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9" w:type="dxa"/>
        <w:tblInd w:w="-284" w:type="dxa"/>
        <w:tblBorders>
          <w:bottom w:val="single" w:sz="30" w:space="0" w:color="000000"/>
        </w:tblBorders>
        <w:tblLayout w:type="fixed"/>
        <w:tblLook w:val="0000" w:firstRow="0" w:lastRow="0" w:firstColumn="0" w:lastColumn="0" w:noHBand="0" w:noVBand="0"/>
      </w:tblPr>
      <w:tblGrid>
        <w:gridCol w:w="1412"/>
        <w:gridCol w:w="1389"/>
        <w:gridCol w:w="1993"/>
        <w:gridCol w:w="1100"/>
        <w:gridCol w:w="4455"/>
      </w:tblGrid>
      <w:tr w:rsidR="001A00F5" w:rsidRPr="00575A30" w14:paraId="57087372" w14:textId="77777777" w:rsidTr="00BD0CA8">
        <w:tc>
          <w:tcPr>
            <w:tcW w:w="1412" w:type="dxa"/>
            <w:tcBorders>
              <w:bottom w:val="single" w:sz="12" w:space="0" w:color="000000"/>
            </w:tcBorders>
          </w:tcPr>
          <w:p w14:paraId="2017C6E2" w14:textId="77777777" w:rsidR="001A00F5" w:rsidRPr="00575A30" w:rsidRDefault="0057243B" w:rsidP="00134AF2">
            <w:pPr>
              <w:pStyle w:val="Para1"/>
              <w:numPr>
                <w:ilvl w:val="0"/>
                <w:numId w:val="0"/>
              </w:numPr>
              <w:spacing w:before="0"/>
              <w:rPr>
                <w:noProof/>
                <w:snapToGrid/>
                <w:szCs w:val="24"/>
                <w:lang w:val="fr-FR"/>
              </w:rPr>
            </w:pPr>
            <w:r>
              <w:rPr>
                <w:b/>
                <w:noProof/>
                <w:kern w:val="22"/>
                <w:lang w:eastAsia="en-CA"/>
              </w:rPr>
              <w:t xml:space="preserve">      </w:t>
            </w:r>
            <w:r w:rsidRPr="006F4060">
              <w:rPr>
                <w:b/>
                <w:noProof/>
                <w:kern w:val="22"/>
                <w:lang w:eastAsia="en-CA"/>
              </w:rPr>
              <w:drawing>
                <wp:inline distT="0" distB="0" distL="0" distR="0" wp14:anchorId="7E320E7D" wp14:editId="6162C40C">
                  <wp:extent cx="480060" cy="4038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060" cy="403860"/>
                          </a:xfrm>
                          <a:prstGeom prst="rect">
                            <a:avLst/>
                          </a:prstGeom>
                          <a:noFill/>
                          <a:ln>
                            <a:noFill/>
                          </a:ln>
                        </pic:spPr>
                      </pic:pic>
                    </a:graphicData>
                  </a:graphic>
                </wp:inline>
              </w:drawing>
            </w:r>
          </w:p>
        </w:tc>
        <w:tc>
          <w:tcPr>
            <w:tcW w:w="1389" w:type="dxa"/>
            <w:tcBorders>
              <w:bottom w:val="single" w:sz="12" w:space="0" w:color="000000"/>
            </w:tcBorders>
          </w:tcPr>
          <w:p w14:paraId="4B35892B" w14:textId="77777777" w:rsidR="001A00F5" w:rsidRPr="00575A30" w:rsidRDefault="0057243B" w:rsidP="00134AF2">
            <w:pPr>
              <w:spacing w:after="120"/>
              <w:rPr>
                <w:lang w:val="fr-FR"/>
              </w:rPr>
            </w:pPr>
            <w:r>
              <w:rPr>
                <w:noProof/>
              </w:rPr>
              <w:drawing>
                <wp:inline distT="0" distB="0" distL="0" distR="0" wp14:anchorId="2507FD44" wp14:editId="3E8BEBAD">
                  <wp:extent cx="590550" cy="361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p>
        </w:tc>
        <w:tc>
          <w:tcPr>
            <w:tcW w:w="7548" w:type="dxa"/>
            <w:gridSpan w:val="3"/>
            <w:tcBorders>
              <w:bottom w:val="single" w:sz="12" w:space="0" w:color="000000"/>
            </w:tcBorders>
          </w:tcPr>
          <w:p w14:paraId="5FDC11E2" w14:textId="77777777" w:rsidR="001A00F5" w:rsidRPr="00575A30" w:rsidRDefault="001A00F5" w:rsidP="00134AF2">
            <w:pPr>
              <w:spacing w:after="120"/>
              <w:jc w:val="right"/>
              <w:rPr>
                <w:rFonts w:ascii="Univers" w:hAnsi="Univers"/>
                <w:b/>
                <w:sz w:val="32"/>
                <w:lang w:val="fr-FR"/>
              </w:rPr>
            </w:pPr>
            <w:r w:rsidRPr="00575A30">
              <w:rPr>
                <w:rFonts w:ascii="Univers" w:hAnsi="Univers"/>
                <w:b/>
                <w:sz w:val="32"/>
                <w:lang w:val="fr-FR"/>
              </w:rPr>
              <w:t>CBD</w:t>
            </w:r>
          </w:p>
          <w:p w14:paraId="18A6EE16" w14:textId="77777777" w:rsidR="001A00F5" w:rsidRPr="00575A30" w:rsidRDefault="001A00F5" w:rsidP="00134AF2">
            <w:pPr>
              <w:spacing w:after="120"/>
              <w:ind w:firstLine="720"/>
              <w:jc w:val="left"/>
              <w:rPr>
                <w:rFonts w:ascii="Univers" w:hAnsi="Univers"/>
                <w:b/>
                <w:color w:val="FF0000"/>
                <w:sz w:val="32"/>
                <w:lang w:val="fr-FR"/>
              </w:rPr>
            </w:pPr>
          </w:p>
        </w:tc>
      </w:tr>
      <w:tr w:rsidR="001A00F5" w:rsidRPr="00D12FBB" w14:paraId="2CB365FD" w14:textId="77777777" w:rsidTr="00BD0CA8">
        <w:tblPrEx>
          <w:tblBorders>
            <w:bottom w:val="single" w:sz="36" w:space="0" w:color="000000"/>
          </w:tblBorders>
        </w:tblPrEx>
        <w:trPr>
          <w:trHeight w:val="1693"/>
        </w:trPr>
        <w:tc>
          <w:tcPr>
            <w:tcW w:w="4794" w:type="dxa"/>
            <w:gridSpan w:val="3"/>
            <w:tcBorders>
              <w:top w:val="nil"/>
              <w:bottom w:val="single" w:sz="36" w:space="0" w:color="000000"/>
            </w:tcBorders>
          </w:tcPr>
          <w:p w14:paraId="7A41B1C1" w14:textId="77777777" w:rsidR="001A00F5" w:rsidRPr="00575A30" w:rsidRDefault="001A00F5" w:rsidP="00134AF2">
            <w:pPr>
              <w:rPr>
                <w:lang w:val="fr-FR"/>
              </w:rPr>
            </w:pPr>
          </w:p>
          <w:p w14:paraId="454D350B" w14:textId="77777777" w:rsidR="001A00F5" w:rsidRPr="00575A30" w:rsidRDefault="00303726" w:rsidP="00134AF2">
            <w:pPr>
              <w:rPr>
                <w:lang w:val="fr-FR"/>
              </w:rPr>
            </w:pPr>
            <w:r>
              <w:rPr>
                <w:bCs/>
                <w:noProof/>
                <w:szCs w:val="22"/>
                <w:lang w:val="fr-CA" w:eastAsia="fr-CA"/>
              </w:rPr>
              <w:drawing>
                <wp:inline distT="0" distB="0" distL="0" distR="0" wp14:anchorId="18DD1AC0" wp14:editId="7557F57D">
                  <wp:extent cx="2857500" cy="1076325"/>
                  <wp:effectExtent l="0" t="0" r="0" b="9525"/>
                  <wp:docPr id="1" name="Image 1"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p w14:paraId="3DF8D19F" w14:textId="77777777" w:rsidR="001A00F5" w:rsidRPr="00575A30" w:rsidRDefault="001A00F5" w:rsidP="00134AF2">
            <w:pPr>
              <w:rPr>
                <w:lang w:val="fr-FR"/>
              </w:rPr>
            </w:pPr>
          </w:p>
        </w:tc>
        <w:tc>
          <w:tcPr>
            <w:tcW w:w="1100" w:type="dxa"/>
            <w:tcBorders>
              <w:top w:val="nil"/>
              <w:bottom w:val="single" w:sz="36" w:space="0" w:color="000000"/>
            </w:tcBorders>
          </w:tcPr>
          <w:p w14:paraId="0D8E8673" w14:textId="77777777" w:rsidR="001A00F5" w:rsidRPr="00575A30" w:rsidRDefault="001A00F5" w:rsidP="00134AF2">
            <w:pPr>
              <w:pStyle w:val="Header"/>
              <w:tabs>
                <w:tab w:val="clear" w:pos="4320"/>
                <w:tab w:val="clear" w:pos="8640"/>
              </w:tabs>
              <w:rPr>
                <w:b/>
                <w:szCs w:val="32"/>
                <w:lang w:val="fr-FR"/>
              </w:rPr>
            </w:pPr>
          </w:p>
        </w:tc>
        <w:tc>
          <w:tcPr>
            <w:tcW w:w="4455" w:type="dxa"/>
            <w:tcBorders>
              <w:top w:val="nil"/>
              <w:bottom w:val="single" w:sz="36" w:space="0" w:color="000000"/>
            </w:tcBorders>
          </w:tcPr>
          <w:p w14:paraId="2FC89A68" w14:textId="77777777" w:rsidR="00176EA6" w:rsidRPr="00575A30" w:rsidRDefault="00176EA6" w:rsidP="00504E72">
            <w:pPr>
              <w:ind w:left="519"/>
              <w:rPr>
                <w:noProof/>
                <w:lang w:val="fr-FR"/>
              </w:rPr>
            </w:pPr>
            <w:r w:rsidRPr="00575A30">
              <w:rPr>
                <w:noProof/>
                <w:lang w:val="fr-FR"/>
              </w:rPr>
              <w:t>Distr.</w:t>
            </w:r>
          </w:p>
          <w:p w14:paraId="3DD85D33" w14:textId="77777777" w:rsidR="001A00F5" w:rsidRPr="00575A30" w:rsidRDefault="00176EA6" w:rsidP="00504E72">
            <w:pPr>
              <w:ind w:left="519"/>
              <w:rPr>
                <w:lang w:val="fr-FR"/>
              </w:rPr>
            </w:pPr>
            <w:r w:rsidRPr="00575A30">
              <w:rPr>
                <w:noProof/>
                <w:lang w:val="fr-FR"/>
              </w:rPr>
              <w:t>GÉNÉRALE</w:t>
            </w:r>
          </w:p>
          <w:p w14:paraId="307C4A11" w14:textId="77777777" w:rsidR="001A00F5" w:rsidRPr="00575A30" w:rsidRDefault="001A00F5" w:rsidP="00504E72">
            <w:pPr>
              <w:ind w:left="519"/>
              <w:rPr>
                <w:lang w:val="fr-FR"/>
              </w:rPr>
            </w:pPr>
          </w:p>
          <w:p w14:paraId="2B322E2B" w14:textId="77777777" w:rsidR="001A00F5" w:rsidRPr="0047361C" w:rsidRDefault="006040D4" w:rsidP="00504E72">
            <w:pPr>
              <w:ind w:left="519"/>
              <w:rPr>
                <w:lang w:val="fr-CA"/>
              </w:rPr>
            </w:pPr>
            <w:r>
              <w:rPr>
                <w:lang w:val="fr-CA"/>
              </w:rPr>
              <w:t>CBD/SBI/3</w:t>
            </w:r>
            <w:r w:rsidR="0047361C" w:rsidRPr="0047361C">
              <w:rPr>
                <w:lang w:val="fr-CA"/>
              </w:rPr>
              <w:t>/2/Add.</w:t>
            </w:r>
            <w:r w:rsidR="002A7A96" w:rsidRPr="0047361C">
              <w:rPr>
                <w:lang w:val="fr-CA"/>
              </w:rPr>
              <w:t>1</w:t>
            </w:r>
          </w:p>
          <w:p w14:paraId="3F21DFBE" w14:textId="77777777" w:rsidR="001A00F5" w:rsidRPr="00575A30" w:rsidRDefault="00180861" w:rsidP="00504E72">
            <w:pPr>
              <w:ind w:left="519"/>
              <w:rPr>
                <w:lang w:val="fr-FR"/>
              </w:rPr>
            </w:pPr>
            <w:r>
              <w:rPr>
                <w:lang w:val="fr-FR"/>
              </w:rPr>
              <w:t xml:space="preserve">Le </w:t>
            </w:r>
            <w:r w:rsidR="006040D4">
              <w:rPr>
                <w:lang w:val="fr-FR"/>
              </w:rPr>
              <w:t>25 mars 2020</w:t>
            </w:r>
          </w:p>
          <w:p w14:paraId="119157BD" w14:textId="77777777" w:rsidR="001A00F5" w:rsidRPr="00575A30" w:rsidRDefault="001A00F5" w:rsidP="00504E72">
            <w:pPr>
              <w:ind w:left="519"/>
              <w:rPr>
                <w:lang w:val="fr-FR"/>
              </w:rPr>
            </w:pPr>
          </w:p>
          <w:p w14:paraId="0FDFADBA" w14:textId="77777777" w:rsidR="00176EA6" w:rsidRPr="00575A30" w:rsidRDefault="00176EA6" w:rsidP="00504E72">
            <w:pPr>
              <w:ind w:left="519"/>
              <w:rPr>
                <w:noProof/>
                <w:lang w:val="fr-FR"/>
              </w:rPr>
            </w:pPr>
            <w:r w:rsidRPr="00575A30">
              <w:rPr>
                <w:noProof/>
                <w:lang w:val="fr-FR"/>
              </w:rPr>
              <w:t>FRANÇAIS</w:t>
            </w:r>
          </w:p>
          <w:p w14:paraId="131877AA" w14:textId="77777777" w:rsidR="001A00F5" w:rsidRPr="00575A30" w:rsidRDefault="00176EA6" w:rsidP="00504E72">
            <w:pPr>
              <w:ind w:left="519"/>
              <w:rPr>
                <w:b/>
                <w:bCs/>
                <w:color w:val="FF0000"/>
                <w:u w:val="single"/>
                <w:lang w:val="fr-FR"/>
              </w:rPr>
            </w:pPr>
            <w:r w:rsidRPr="00575A30">
              <w:rPr>
                <w:noProof/>
                <w:lang w:val="fr-FR"/>
              </w:rPr>
              <w:t>ORIGINAL : ANGLAIS</w:t>
            </w:r>
          </w:p>
        </w:tc>
      </w:tr>
    </w:tbl>
    <w:p w14:paraId="795C5B58" w14:textId="77777777" w:rsidR="001A00F5" w:rsidRPr="00575A30" w:rsidRDefault="00F07056" w:rsidP="00F07056">
      <w:pPr>
        <w:pStyle w:val="Cornernotation"/>
        <w:ind w:left="360" w:right="4398" w:hanging="360"/>
        <w:rPr>
          <w:lang w:val="fr-FR"/>
        </w:rPr>
      </w:pPr>
      <w:r>
        <w:rPr>
          <w:lang w:val="fr-FR"/>
        </w:rPr>
        <w:t>ORGANE SUBSIDIAIRE CHARGÉ DE   L’APPLICATION</w:t>
      </w:r>
    </w:p>
    <w:p w14:paraId="67294743" w14:textId="77777777" w:rsidR="00961198" w:rsidRPr="00575A30" w:rsidRDefault="006040D4" w:rsidP="00CD2077">
      <w:pPr>
        <w:tabs>
          <w:tab w:val="left" w:pos="5954"/>
        </w:tabs>
        <w:autoSpaceDE w:val="0"/>
        <w:autoSpaceDN w:val="0"/>
        <w:adjustRightInd w:val="0"/>
        <w:ind w:right="3406"/>
        <w:jc w:val="left"/>
        <w:rPr>
          <w:szCs w:val="22"/>
          <w:lang w:val="fr-FR"/>
        </w:rPr>
      </w:pPr>
      <w:r>
        <w:rPr>
          <w:szCs w:val="22"/>
          <w:lang w:val="fr-FR"/>
        </w:rPr>
        <w:t>Troisième</w:t>
      </w:r>
      <w:r w:rsidR="00FB30DE" w:rsidRPr="00575A30">
        <w:rPr>
          <w:szCs w:val="22"/>
          <w:lang w:val="fr-FR"/>
        </w:rPr>
        <w:t xml:space="preserve"> </w:t>
      </w:r>
      <w:r w:rsidR="00961198" w:rsidRPr="00575A30">
        <w:rPr>
          <w:szCs w:val="22"/>
          <w:lang w:val="fr-FR"/>
        </w:rPr>
        <w:t>réunion</w:t>
      </w:r>
    </w:p>
    <w:p w14:paraId="359FBEC4" w14:textId="77777777" w:rsidR="001A00F5" w:rsidRPr="00575A30" w:rsidRDefault="00CD1F9A" w:rsidP="00CD2077">
      <w:pPr>
        <w:spacing w:line="276" w:lineRule="auto"/>
        <w:rPr>
          <w:szCs w:val="22"/>
          <w:lang w:val="fr-FR"/>
        </w:rPr>
      </w:pPr>
      <w:r>
        <w:rPr>
          <w:szCs w:val="22"/>
          <w:lang w:val="fr-FR"/>
        </w:rPr>
        <w:t>Montréal</w:t>
      </w:r>
      <w:r w:rsidR="00F07056">
        <w:rPr>
          <w:szCs w:val="22"/>
          <w:lang w:val="fr-FR"/>
        </w:rPr>
        <w:t xml:space="preserve">, Canada, </w:t>
      </w:r>
      <w:r>
        <w:rPr>
          <w:szCs w:val="22"/>
          <w:lang w:val="fr-FR"/>
        </w:rPr>
        <w:t>24-29 août</w:t>
      </w:r>
      <w:r w:rsidR="006040D4">
        <w:rPr>
          <w:szCs w:val="22"/>
          <w:lang w:val="fr-FR"/>
        </w:rPr>
        <w:t xml:space="preserve"> 2020</w:t>
      </w:r>
    </w:p>
    <w:p w14:paraId="4C662E7C" w14:textId="77777777" w:rsidR="001A00F5" w:rsidRPr="004333C9" w:rsidRDefault="00961198" w:rsidP="00CD2077">
      <w:pPr>
        <w:spacing w:line="276" w:lineRule="auto"/>
        <w:rPr>
          <w:szCs w:val="22"/>
          <w:lang w:val="fr-CA"/>
        </w:rPr>
      </w:pPr>
      <w:r w:rsidRPr="00575A30">
        <w:rPr>
          <w:szCs w:val="22"/>
          <w:lang w:val="fr-FR"/>
        </w:rPr>
        <w:t>Point </w:t>
      </w:r>
      <w:r w:rsidR="00F07056">
        <w:rPr>
          <w:szCs w:val="22"/>
          <w:lang w:val="fr-FR"/>
        </w:rPr>
        <w:t>3</w:t>
      </w:r>
      <w:r w:rsidR="00FB30DE" w:rsidRPr="00575A30">
        <w:rPr>
          <w:szCs w:val="22"/>
          <w:lang w:val="fr-FR"/>
        </w:rPr>
        <w:t xml:space="preserve"> </w:t>
      </w:r>
      <w:r w:rsidRPr="00575A30">
        <w:rPr>
          <w:szCs w:val="22"/>
          <w:lang w:val="fr-FR"/>
        </w:rPr>
        <w:t>de l’ordre du jour provisoire</w:t>
      </w:r>
      <w:r w:rsidR="004333C9" w:rsidRPr="004333C9">
        <w:rPr>
          <w:rStyle w:val="FootnoteReference"/>
          <w:snapToGrid w:val="0"/>
          <w:kern w:val="22"/>
          <w:szCs w:val="22"/>
          <w:lang w:val="fr-CA"/>
        </w:rPr>
        <w:footnoteReference w:customMarkFollows="1" w:id="1"/>
        <w:t>*</w:t>
      </w:r>
    </w:p>
    <w:p w14:paraId="07121741" w14:textId="77777777" w:rsidR="001A00F5" w:rsidRPr="00575A30" w:rsidRDefault="00F862B7" w:rsidP="00713813">
      <w:pPr>
        <w:pStyle w:val="Heading2"/>
        <w:rPr>
          <w:i w:val="0"/>
          <w:caps/>
          <w:lang w:val="fr-FR"/>
        </w:rPr>
      </w:pPr>
      <w:r w:rsidRPr="00575A30">
        <w:rPr>
          <w:i w:val="0"/>
          <w:caps/>
          <w:lang w:val="fr-FR"/>
        </w:rPr>
        <w:t>MISE à JOUR CONCERNANT L</w:t>
      </w:r>
      <w:r w:rsidR="00EB4E0B" w:rsidRPr="00575A30">
        <w:rPr>
          <w:i w:val="0"/>
          <w:caps/>
          <w:lang w:val="fr-FR"/>
        </w:rPr>
        <w:t>es</w:t>
      </w:r>
      <w:r w:rsidR="00713813" w:rsidRPr="00575A30">
        <w:rPr>
          <w:i w:val="0"/>
          <w:caps/>
          <w:lang w:val="fr-FR"/>
        </w:rPr>
        <w:t xml:space="preserve"> progrès réalisés dans la révision/mise à jour et la mise en œuvre des stratégies et plans d’action nationaux pour la biodiversité, y compris des objectifs nationaux</w:t>
      </w:r>
    </w:p>
    <w:p w14:paraId="5C12C1AC" w14:textId="77777777" w:rsidR="001A00F5" w:rsidRPr="00575A30" w:rsidRDefault="001A00F5" w:rsidP="00497B62">
      <w:pPr>
        <w:pStyle w:val="Heading2"/>
        <w:rPr>
          <w:lang w:val="fr-FR"/>
        </w:rPr>
      </w:pPr>
      <w:r w:rsidRPr="00575A30">
        <w:rPr>
          <w:b w:val="0"/>
          <w:lang w:val="fr-FR"/>
        </w:rPr>
        <w:t xml:space="preserve">Note </w:t>
      </w:r>
      <w:r w:rsidR="00497B62" w:rsidRPr="00575A30">
        <w:rPr>
          <w:b w:val="0"/>
          <w:lang w:val="fr-FR"/>
        </w:rPr>
        <w:t>du Secrétaire exécutif</w:t>
      </w:r>
    </w:p>
    <w:p w14:paraId="569CD201" w14:textId="77777777" w:rsidR="00790BFA" w:rsidRPr="00575A30" w:rsidRDefault="008C535F" w:rsidP="00790BFA">
      <w:pPr>
        <w:pStyle w:val="Heading1"/>
        <w:tabs>
          <w:tab w:val="clear" w:pos="720"/>
        </w:tabs>
        <w:spacing w:before="120"/>
        <w:rPr>
          <w:lang w:val="fr-FR"/>
        </w:rPr>
      </w:pPr>
      <w:r w:rsidRPr="00575A30">
        <w:rPr>
          <w:lang w:val="fr-FR"/>
        </w:rPr>
        <w:t>I.</w:t>
      </w:r>
      <w:r w:rsidR="00790BFA" w:rsidRPr="00575A30">
        <w:rPr>
          <w:lang w:val="fr-FR"/>
        </w:rPr>
        <w:tab/>
        <w:t>Introduction</w:t>
      </w:r>
      <w:r w:rsidR="00092DF4" w:rsidRPr="00575A30">
        <w:rPr>
          <w:lang w:val="fr-FR"/>
        </w:rPr>
        <w:t xml:space="preserve"> </w:t>
      </w:r>
    </w:p>
    <w:p w14:paraId="59314721" w14:textId="77777777" w:rsidR="009601BA" w:rsidRPr="00575A30" w:rsidRDefault="001776D8" w:rsidP="00F36F85">
      <w:pPr>
        <w:numPr>
          <w:ilvl w:val="0"/>
          <w:numId w:val="11"/>
        </w:numPr>
        <w:tabs>
          <w:tab w:val="clear" w:pos="540"/>
          <w:tab w:val="num" w:pos="709"/>
        </w:tabs>
        <w:spacing w:before="120" w:after="120"/>
        <w:ind w:left="0" w:firstLine="0"/>
        <w:rPr>
          <w:lang w:val="fr-FR"/>
        </w:rPr>
      </w:pPr>
      <w:r w:rsidRPr="00575A30">
        <w:rPr>
          <w:lang w:val="fr-FR"/>
        </w:rPr>
        <w:t xml:space="preserve">Les stratégies et plans d’action nationaux pour la biodiversité (SPANB) </w:t>
      </w:r>
      <w:r w:rsidR="008C535F" w:rsidRPr="00575A30">
        <w:rPr>
          <w:lang w:val="fr-FR"/>
        </w:rPr>
        <w:t>constituent</w:t>
      </w:r>
      <w:r w:rsidRPr="00575A30">
        <w:rPr>
          <w:lang w:val="fr-FR"/>
        </w:rPr>
        <w:t xml:space="preserve"> le principal outil de planification </w:t>
      </w:r>
      <w:r w:rsidR="00516D7A" w:rsidRPr="00575A30">
        <w:rPr>
          <w:lang w:val="fr-FR"/>
        </w:rPr>
        <w:t xml:space="preserve">de </w:t>
      </w:r>
      <w:r w:rsidR="00B43FE4" w:rsidRPr="00575A30">
        <w:rPr>
          <w:lang w:val="fr-FR"/>
        </w:rPr>
        <w:t>la mise en œuvre de</w:t>
      </w:r>
      <w:r w:rsidRPr="00575A30">
        <w:rPr>
          <w:lang w:val="fr-FR"/>
        </w:rPr>
        <w:t xml:space="preserve"> la Convention au niveau national. L’article 6 de la Convention sur la diversité biologique </w:t>
      </w:r>
      <w:r w:rsidR="00B43FE4" w:rsidRPr="00575A30">
        <w:rPr>
          <w:lang w:val="fr-FR"/>
        </w:rPr>
        <w:t xml:space="preserve">dispose </w:t>
      </w:r>
      <w:r w:rsidRPr="00575A30">
        <w:rPr>
          <w:lang w:val="fr-FR"/>
        </w:rPr>
        <w:t>que « chacune des Parties contractantes, en fonction des conditions et moyens qui lui sont propres, élabore des stratégies, plans ou programmes nationaux tendant à assurer la conservation et l’utilisation durable de la diversité biologique ou adapte à cette fin ses stratégies, plans ou programmes existants qui tiendront compte, entre autres, des mesures énoncées dans la présente Convention qui la concernent </w:t>
      </w:r>
      <w:r w:rsidR="008C535F" w:rsidRPr="00575A30">
        <w:rPr>
          <w:lang w:val="fr-FR"/>
        </w:rPr>
        <w:t xml:space="preserve">». </w:t>
      </w:r>
      <w:r w:rsidR="00F513CB">
        <w:rPr>
          <w:lang w:val="fr-FR"/>
        </w:rPr>
        <w:t>Presque toutes les</w:t>
      </w:r>
      <w:r w:rsidR="008C535F" w:rsidRPr="00575A30">
        <w:rPr>
          <w:lang w:val="fr-FR"/>
        </w:rPr>
        <w:t xml:space="preserve"> Parties (9</w:t>
      </w:r>
      <w:r w:rsidR="00F513CB">
        <w:rPr>
          <w:lang w:val="fr-FR"/>
        </w:rPr>
        <w:t>7 p. cent</w:t>
      </w:r>
      <w:r w:rsidRPr="00575A30">
        <w:rPr>
          <w:lang w:val="fr-FR"/>
        </w:rPr>
        <w:t>) ont élaboré au moins un</w:t>
      </w:r>
      <w:r w:rsidR="00EB4E0B" w:rsidRPr="00575A30">
        <w:rPr>
          <w:lang w:val="fr-FR"/>
        </w:rPr>
        <w:t xml:space="preserve">e stratégie et un plan </w:t>
      </w:r>
      <w:proofErr w:type="gramStart"/>
      <w:r w:rsidR="00EB4E0B" w:rsidRPr="00575A30">
        <w:rPr>
          <w:lang w:val="fr-FR"/>
        </w:rPr>
        <w:t>d'action</w:t>
      </w:r>
      <w:proofErr w:type="gramEnd"/>
      <w:r w:rsidR="00EB4E0B" w:rsidRPr="00575A30">
        <w:rPr>
          <w:lang w:val="fr-FR"/>
        </w:rPr>
        <w:t xml:space="preserve"> nationaux pour la biodiversité</w:t>
      </w:r>
      <w:r w:rsidR="00F513CB">
        <w:rPr>
          <w:lang w:val="fr-FR"/>
        </w:rPr>
        <w:t xml:space="preserve"> depuis qu’elles sont devenues P</w:t>
      </w:r>
      <w:r w:rsidRPr="00575A30">
        <w:rPr>
          <w:lang w:val="fr-FR"/>
        </w:rPr>
        <w:t>arties.</w:t>
      </w:r>
    </w:p>
    <w:p w14:paraId="5282A3DD" w14:textId="77777777" w:rsidR="00215547" w:rsidRPr="00575A30" w:rsidRDefault="001776D8" w:rsidP="00F36F85">
      <w:pPr>
        <w:numPr>
          <w:ilvl w:val="0"/>
          <w:numId w:val="11"/>
        </w:numPr>
        <w:tabs>
          <w:tab w:val="clear" w:pos="540"/>
          <w:tab w:val="num" w:pos="709"/>
        </w:tabs>
        <w:spacing w:before="120" w:after="120"/>
        <w:ind w:left="0" w:firstLine="0"/>
        <w:rPr>
          <w:lang w:val="fr-FR"/>
        </w:rPr>
      </w:pPr>
      <w:r w:rsidRPr="00575A30">
        <w:rPr>
          <w:lang w:val="fr-FR"/>
        </w:rPr>
        <w:t>Dans la</w:t>
      </w:r>
      <w:r w:rsidR="006040D4">
        <w:rPr>
          <w:lang w:val="fr-FR"/>
        </w:rPr>
        <w:t xml:space="preserve"> décision X/2, </w:t>
      </w:r>
      <w:r w:rsidRPr="00575A30">
        <w:rPr>
          <w:lang w:val="fr-FR"/>
        </w:rPr>
        <w:t>la Conférence des Parties</w:t>
      </w:r>
      <w:r w:rsidR="00AF7680" w:rsidRPr="00575A30">
        <w:rPr>
          <w:lang w:val="fr-FR"/>
        </w:rPr>
        <w:t xml:space="preserve"> a</w:t>
      </w:r>
      <w:r w:rsidRPr="00575A30">
        <w:rPr>
          <w:lang w:val="fr-FR"/>
        </w:rPr>
        <w:t xml:space="preserve"> exhort</w:t>
      </w:r>
      <w:r w:rsidR="00AF7680" w:rsidRPr="00575A30">
        <w:rPr>
          <w:lang w:val="fr-FR"/>
        </w:rPr>
        <w:t>é</w:t>
      </w:r>
      <w:r w:rsidRPr="00575A30">
        <w:rPr>
          <w:lang w:val="fr-FR"/>
        </w:rPr>
        <w:t xml:space="preserve"> les Parties </w:t>
      </w:r>
      <w:r w:rsidR="00B6253A" w:rsidRPr="00575A30">
        <w:rPr>
          <w:lang w:val="fr-FR"/>
        </w:rPr>
        <w:t xml:space="preserve">à </w:t>
      </w:r>
      <w:r w:rsidR="001E042B" w:rsidRPr="00575A30">
        <w:rPr>
          <w:lang w:val="fr-FR"/>
        </w:rPr>
        <w:t xml:space="preserve">examiner, réviser et mettre à jour, </w:t>
      </w:r>
      <w:r w:rsidR="00EB4E0B" w:rsidRPr="00575A30">
        <w:rPr>
          <w:lang w:val="fr-FR"/>
        </w:rPr>
        <w:t>selon le cas</w:t>
      </w:r>
      <w:r w:rsidR="001E042B" w:rsidRPr="00575A30">
        <w:rPr>
          <w:lang w:val="fr-FR"/>
        </w:rPr>
        <w:t>, leur</w:t>
      </w:r>
      <w:r w:rsidR="00EB4E0B" w:rsidRPr="00575A30">
        <w:rPr>
          <w:lang w:val="fr-FR"/>
        </w:rPr>
        <w:t xml:space="preserve"> </w:t>
      </w:r>
      <w:r w:rsidR="00514B30" w:rsidRPr="00575A30">
        <w:rPr>
          <w:lang w:val="fr-FR"/>
        </w:rPr>
        <w:t>s</w:t>
      </w:r>
      <w:r w:rsidR="00EB4E0B" w:rsidRPr="00575A30">
        <w:rPr>
          <w:lang w:val="fr-FR"/>
        </w:rPr>
        <w:t>tratégie et leur plan d'action nationaux pour la biodiversité</w:t>
      </w:r>
      <w:r w:rsidR="001E042B" w:rsidRPr="00575A30">
        <w:rPr>
          <w:lang w:val="fr-FR"/>
        </w:rPr>
        <w:t xml:space="preserve"> </w:t>
      </w:r>
      <w:r w:rsidR="00514B30" w:rsidRPr="00575A30">
        <w:rPr>
          <w:lang w:val="fr-FR"/>
        </w:rPr>
        <w:t xml:space="preserve">conformément </w:t>
      </w:r>
      <w:proofErr w:type="gramStart"/>
      <w:r w:rsidR="00514B30" w:rsidRPr="00575A30">
        <w:rPr>
          <w:lang w:val="fr-FR"/>
        </w:rPr>
        <w:t>au</w:t>
      </w:r>
      <w:proofErr w:type="gramEnd"/>
      <w:r w:rsidR="00514B30" w:rsidRPr="00575A30">
        <w:rPr>
          <w:lang w:val="fr-FR"/>
        </w:rPr>
        <w:t xml:space="preserve"> </w:t>
      </w:r>
      <w:r w:rsidR="001E042B" w:rsidRPr="00575A30">
        <w:rPr>
          <w:lang w:val="fr-FR"/>
        </w:rPr>
        <w:t xml:space="preserve">Plan stratégique 2011-2020 pour la diversité biologique. L’objectif 17 d’Aichi </w:t>
      </w:r>
      <w:r w:rsidR="00076F51" w:rsidRPr="00575A30">
        <w:rPr>
          <w:lang w:val="fr-FR"/>
        </w:rPr>
        <w:t xml:space="preserve">relatif à </w:t>
      </w:r>
      <w:r w:rsidR="001E042B" w:rsidRPr="00575A30">
        <w:rPr>
          <w:lang w:val="fr-FR"/>
        </w:rPr>
        <w:t>la biodiversité</w:t>
      </w:r>
      <w:r w:rsidR="00EB4E0B" w:rsidRPr="00575A30">
        <w:rPr>
          <w:lang w:val="fr-FR"/>
        </w:rPr>
        <w:t>, qui devait être atteint en 2015,</w:t>
      </w:r>
      <w:r w:rsidR="00862F46" w:rsidRPr="00575A30">
        <w:rPr>
          <w:lang w:val="fr-FR"/>
        </w:rPr>
        <w:t xml:space="preserve"> </w:t>
      </w:r>
      <w:r w:rsidR="006040D4">
        <w:rPr>
          <w:lang w:val="fr-FR"/>
        </w:rPr>
        <w:t>invitait</w:t>
      </w:r>
      <w:r w:rsidR="002A7A96" w:rsidRPr="00575A30">
        <w:rPr>
          <w:lang w:val="fr-FR"/>
        </w:rPr>
        <w:t xml:space="preserve"> </w:t>
      </w:r>
      <w:r w:rsidR="001E042B" w:rsidRPr="00575A30">
        <w:rPr>
          <w:lang w:val="fr-FR"/>
        </w:rPr>
        <w:t>les Parties à élaborer et adopter en tant qu’instr</w:t>
      </w:r>
      <w:r w:rsidR="008C535F" w:rsidRPr="00575A30">
        <w:rPr>
          <w:lang w:val="fr-FR"/>
        </w:rPr>
        <w:t>uments de politique générale</w:t>
      </w:r>
      <w:r w:rsidR="00B6253A" w:rsidRPr="00575A30">
        <w:rPr>
          <w:lang w:val="fr-FR"/>
        </w:rPr>
        <w:t xml:space="preserve"> </w:t>
      </w:r>
      <w:r w:rsidR="00862F46" w:rsidRPr="00575A30">
        <w:rPr>
          <w:lang w:val="fr-FR"/>
        </w:rPr>
        <w:t xml:space="preserve">une stratégie et un plan d'action nationaux efficaces, participatifs et actualisés </w:t>
      </w:r>
      <w:r w:rsidR="00B6253A" w:rsidRPr="00575A30">
        <w:rPr>
          <w:lang w:val="fr-FR"/>
        </w:rPr>
        <w:t>et</w:t>
      </w:r>
      <w:r w:rsidR="001E042B" w:rsidRPr="00575A30">
        <w:rPr>
          <w:lang w:val="fr-FR"/>
        </w:rPr>
        <w:t xml:space="preserve"> </w:t>
      </w:r>
      <w:r w:rsidR="00FC1E3C" w:rsidRPr="00575A30">
        <w:rPr>
          <w:lang w:val="fr-FR"/>
        </w:rPr>
        <w:t xml:space="preserve">à </w:t>
      </w:r>
      <w:r w:rsidR="00516D7A" w:rsidRPr="00575A30">
        <w:rPr>
          <w:lang w:val="fr-FR"/>
        </w:rPr>
        <w:t xml:space="preserve">entreprendre de </w:t>
      </w:r>
      <w:r w:rsidR="00862F46" w:rsidRPr="00575A30">
        <w:rPr>
          <w:lang w:val="fr-FR"/>
        </w:rPr>
        <w:t xml:space="preserve">les </w:t>
      </w:r>
      <w:r w:rsidR="001E042B" w:rsidRPr="00575A30">
        <w:rPr>
          <w:lang w:val="fr-FR"/>
        </w:rPr>
        <w:t xml:space="preserve">mettre en œuvre. Les Parties </w:t>
      </w:r>
      <w:r w:rsidR="006040D4">
        <w:rPr>
          <w:lang w:val="fr-FR"/>
        </w:rPr>
        <w:t>s’étaient</w:t>
      </w:r>
      <w:r w:rsidR="001E042B" w:rsidRPr="00575A30">
        <w:rPr>
          <w:lang w:val="fr-FR"/>
        </w:rPr>
        <w:t xml:space="preserve"> également engagées à établir des objectifs nationaux, en </w:t>
      </w:r>
      <w:r w:rsidR="00B6253A" w:rsidRPr="00575A30">
        <w:rPr>
          <w:lang w:val="fr-FR"/>
        </w:rPr>
        <w:t>utilisant le</w:t>
      </w:r>
      <w:r w:rsidR="001E042B" w:rsidRPr="00575A30">
        <w:rPr>
          <w:lang w:val="fr-FR"/>
        </w:rPr>
        <w:t xml:space="preserve"> Plan stratégique </w:t>
      </w:r>
      <w:r w:rsidR="00862F46" w:rsidRPr="00575A30">
        <w:rPr>
          <w:lang w:val="fr-FR"/>
        </w:rPr>
        <w:t xml:space="preserve">2011-2020 pour la diversité biologique </w:t>
      </w:r>
      <w:r w:rsidR="00B6253A" w:rsidRPr="00575A30">
        <w:rPr>
          <w:lang w:val="fr-FR"/>
        </w:rPr>
        <w:t xml:space="preserve">et </w:t>
      </w:r>
      <w:r w:rsidR="001E042B" w:rsidRPr="00575A30">
        <w:rPr>
          <w:lang w:val="fr-FR"/>
        </w:rPr>
        <w:t xml:space="preserve">ses </w:t>
      </w:r>
      <w:r w:rsidR="00514B30" w:rsidRPr="00575A30">
        <w:rPr>
          <w:lang w:val="fr-FR"/>
        </w:rPr>
        <w:t>o</w:t>
      </w:r>
      <w:r w:rsidR="001E042B" w:rsidRPr="00575A30">
        <w:rPr>
          <w:lang w:val="fr-FR"/>
        </w:rPr>
        <w:t xml:space="preserve">bjectifs d’Aichi </w:t>
      </w:r>
      <w:r w:rsidR="00514B30" w:rsidRPr="00575A30">
        <w:rPr>
          <w:lang w:val="fr-FR"/>
        </w:rPr>
        <w:t xml:space="preserve">relatifs à </w:t>
      </w:r>
      <w:r w:rsidR="001E042B" w:rsidRPr="00575A30">
        <w:rPr>
          <w:lang w:val="fr-FR"/>
        </w:rPr>
        <w:t>la biodiversité</w:t>
      </w:r>
      <w:r w:rsidR="00B6253A" w:rsidRPr="00575A30">
        <w:rPr>
          <w:lang w:val="fr-FR"/>
        </w:rPr>
        <w:t xml:space="preserve"> comme cadre flexible.</w:t>
      </w:r>
    </w:p>
    <w:p w14:paraId="78D53E2E" w14:textId="77777777" w:rsidR="00C60273" w:rsidRPr="00575A30" w:rsidRDefault="00273DB4" w:rsidP="00F36F85">
      <w:pPr>
        <w:numPr>
          <w:ilvl w:val="0"/>
          <w:numId w:val="11"/>
        </w:numPr>
        <w:tabs>
          <w:tab w:val="clear" w:pos="540"/>
          <w:tab w:val="num" w:pos="709"/>
        </w:tabs>
        <w:spacing w:before="120" w:after="120"/>
        <w:ind w:left="0" w:firstLine="0"/>
        <w:rPr>
          <w:lang w:val="fr-FR"/>
        </w:rPr>
      </w:pPr>
      <w:r w:rsidRPr="00575A30">
        <w:rPr>
          <w:lang w:val="fr-FR"/>
        </w:rPr>
        <w:t xml:space="preserve">La présente note </w:t>
      </w:r>
      <w:r w:rsidR="0055330E" w:rsidRPr="00575A30">
        <w:rPr>
          <w:lang w:val="fr-FR"/>
        </w:rPr>
        <w:t xml:space="preserve">actualise </w:t>
      </w:r>
      <w:r w:rsidR="00B94C7D" w:rsidRPr="00575A30">
        <w:rPr>
          <w:lang w:val="fr-FR"/>
        </w:rPr>
        <w:t xml:space="preserve">une note présentée </w:t>
      </w:r>
      <w:r w:rsidR="00D504F1">
        <w:rPr>
          <w:lang w:val="fr-FR"/>
        </w:rPr>
        <w:t xml:space="preserve">à </w:t>
      </w:r>
      <w:r w:rsidR="005247F7">
        <w:rPr>
          <w:lang w:val="fr-FR"/>
        </w:rPr>
        <w:t xml:space="preserve">la </w:t>
      </w:r>
      <w:r w:rsidR="00D504F1">
        <w:rPr>
          <w:lang w:val="fr-FR"/>
        </w:rPr>
        <w:t xml:space="preserve">Conférence des Parties </w:t>
      </w:r>
      <w:r w:rsidR="005247F7">
        <w:rPr>
          <w:lang w:val="fr-FR"/>
        </w:rPr>
        <w:t>(CBD/COP/14/5/Add.1)</w:t>
      </w:r>
      <w:r w:rsidR="009A4358">
        <w:rPr>
          <w:lang w:val="fr-FR"/>
        </w:rPr>
        <w:t>, à sa quatorzième réunion,</w:t>
      </w:r>
      <w:r w:rsidR="005247F7">
        <w:rPr>
          <w:lang w:val="fr-FR"/>
        </w:rPr>
        <w:t xml:space="preserve"> afin de reflé</w:t>
      </w:r>
      <w:r w:rsidR="0068510B" w:rsidRPr="00575A30">
        <w:rPr>
          <w:lang w:val="fr-FR"/>
        </w:rPr>
        <w:t>ter les</w:t>
      </w:r>
      <w:r w:rsidR="0007038F" w:rsidRPr="00575A30">
        <w:rPr>
          <w:lang w:val="fr-FR"/>
        </w:rPr>
        <w:t xml:space="preserve"> nouvelles activités </w:t>
      </w:r>
      <w:r w:rsidR="00B94C7D" w:rsidRPr="00575A30">
        <w:rPr>
          <w:lang w:val="fr-FR"/>
        </w:rPr>
        <w:t xml:space="preserve">menées </w:t>
      </w:r>
      <w:r w:rsidR="0007038F" w:rsidRPr="00575A30">
        <w:rPr>
          <w:lang w:val="fr-FR"/>
        </w:rPr>
        <w:t xml:space="preserve">au niveau national depuis </w:t>
      </w:r>
      <w:r w:rsidR="006D3AA8" w:rsidRPr="00575A30">
        <w:rPr>
          <w:lang w:val="fr-FR"/>
        </w:rPr>
        <w:t xml:space="preserve">l'élaboration du </w:t>
      </w:r>
      <w:r w:rsidR="0007038F" w:rsidRPr="00575A30">
        <w:rPr>
          <w:lang w:val="fr-FR"/>
        </w:rPr>
        <w:t xml:space="preserve">document précédent </w:t>
      </w:r>
      <w:r w:rsidR="00805BC7" w:rsidRPr="00575A30">
        <w:rPr>
          <w:lang w:val="fr-FR"/>
        </w:rPr>
        <w:t xml:space="preserve">sur la base des </w:t>
      </w:r>
      <w:r w:rsidR="0007038F" w:rsidRPr="00575A30">
        <w:rPr>
          <w:lang w:val="fr-FR"/>
        </w:rPr>
        <w:t xml:space="preserve">informations fournies par les pays et </w:t>
      </w:r>
      <w:r w:rsidR="00805BC7" w:rsidRPr="00575A30">
        <w:rPr>
          <w:lang w:val="fr-FR"/>
        </w:rPr>
        <w:t>d</w:t>
      </w:r>
      <w:r w:rsidR="0007038F" w:rsidRPr="00575A30">
        <w:rPr>
          <w:lang w:val="fr-FR"/>
        </w:rPr>
        <w:t>es SPANB reçus par le Secrétariat, dans l’une des langues officielles de l’ONU, avan</w:t>
      </w:r>
      <w:r w:rsidR="0068510B" w:rsidRPr="00575A30">
        <w:rPr>
          <w:lang w:val="fr-FR"/>
        </w:rPr>
        <w:t xml:space="preserve">t le </w:t>
      </w:r>
      <w:r w:rsidR="00D504F1">
        <w:rPr>
          <w:lang w:val="fr-FR"/>
        </w:rPr>
        <w:t>1</w:t>
      </w:r>
      <w:r w:rsidR="005247F7">
        <w:rPr>
          <w:lang w:val="fr-FR"/>
        </w:rPr>
        <w:t>6 mars 2020</w:t>
      </w:r>
      <w:r w:rsidR="0068510B" w:rsidRPr="00575A30">
        <w:rPr>
          <w:lang w:val="fr-FR"/>
        </w:rPr>
        <w:t xml:space="preserve">. </w:t>
      </w:r>
    </w:p>
    <w:p w14:paraId="27BF764E" w14:textId="77777777" w:rsidR="00790BFA" w:rsidRPr="00575A30" w:rsidRDefault="0068510B" w:rsidP="00F36F85">
      <w:pPr>
        <w:numPr>
          <w:ilvl w:val="0"/>
          <w:numId w:val="11"/>
        </w:numPr>
        <w:tabs>
          <w:tab w:val="clear" w:pos="540"/>
          <w:tab w:val="num" w:pos="709"/>
        </w:tabs>
        <w:spacing w:before="120" w:after="120"/>
        <w:ind w:left="0" w:firstLine="0"/>
        <w:rPr>
          <w:lang w:val="fr-FR"/>
        </w:rPr>
      </w:pPr>
      <w:r w:rsidRPr="00575A30">
        <w:rPr>
          <w:lang w:val="fr-FR"/>
        </w:rPr>
        <w:t xml:space="preserve">Les progrès </w:t>
      </w:r>
      <w:r w:rsidR="00F71B5E" w:rsidRPr="00575A30">
        <w:rPr>
          <w:lang w:val="fr-FR"/>
        </w:rPr>
        <w:t xml:space="preserve">accomplis </w:t>
      </w:r>
      <w:r w:rsidRPr="00575A30">
        <w:rPr>
          <w:lang w:val="fr-FR"/>
        </w:rPr>
        <w:t xml:space="preserve">dans l’élaboration ou </w:t>
      </w:r>
      <w:proofErr w:type="gramStart"/>
      <w:r w:rsidRPr="00575A30">
        <w:rPr>
          <w:lang w:val="fr-FR"/>
        </w:rPr>
        <w:t>la</w:t>
      </w:r>
      <w:proofErr w:type="gramEnd"/>
      <w:r w:rsidRPr="00575A30">
        <w:rPr>
          <w:lang w:val="fr-FR"/>
        </w:rPr>
        <w:t xml:space="preserve"> révision/mise à jour des SPANB sont résumés dans </w:t>
      </w:r>
      <w:r w:rsidR="00D97CF7" w:rsidRPr="00575A30">
        <w:rPr>
          <w:lang w:val="fr-FR"/>
        </w:rPr>
        <w:t xml:space="preserve">le chapitre </w:t>
      </w:r>
      <w:r w:rsidRPr="00575A30">
        <w:rPr>
          <w:lang w:val="fr-FR"/>
        </w:rPr>
        <w:t xml:space="preserve">II. Un </w:t>
      </w:r>
      <w:r w:rsidR="00F71B5E" w:rsidRPr="00575A30">
        <w:rPr>
          <w:lang w:val="fr-FR"/>
        </w:rPr>
        <w:t xml:space="preserve">résumé </w:t>
      </w:r>
      <w:r w:rsidRPr="00575A30">
        <w:rPr>
          <w:lang w:val="fr-FR"/>
        </w:rPr>
        <w:t xml:space="preserve">des progrès </w:t>
      </w:r>
      <w:r w:rsidR="00F71B5E" w:rsidRPr="00575A30">
        <w:rPr>
          <w:lang w:val="fr-FR"/>
        </w:rPr>
        <w:t xml:space="preserve">accomplis </w:t>
      </w:r>
      <w:r w:rsidRPr="00575A30">
        <w:rPr>
          <w:lang w:val="fr-FR"/>
        </w:rPr>
        <w:t xml:space="preserve">dans l’établissement d’objectifs nationaux, </w:t>
      </w:r>
      <w:r w:rsidR="00F71B5E" w:rsidRPr="00575A30">
        <w:rPr>
          <w:lang w:val="fr-FR"/>
        </w:rPr>
        <w:t xml:space="preserve">notamment en ce qui concerne </w:t>
      </w:r>
      <w:r w:rsidRPr="00575A30">
        <w:rPr>
          <w:lang w:val="fr-FR"/>
        </w:rPr>
        <w:t xml:space="preserve">la réalisation des </w:t>
      </w:r>
      <w:r w:rsidR="00F71B5E" w:rsidRPr="00575A30">
        <w:rPr>
          <w:lang w:val="fr-FR"/>
        </w:rPr>
        <w:t>o</w:t>
      </w:r>
      <w:r w:rsidRPr="00575A30">
        <w:rPr>
          <w:lang w:val="fr-FR"/>
        </w:rPr>
        <w:t>bjectifs d’Aichi</w:t>
      </w:r>
      <w:r w:rsidR="00F71B5E" w:rsidRPr="00575A30">
        <w:rPr>
          <w:lang w:val="fr-FR"/>
        </w:rPr>
        <w:t xml:space="preserve"> relatifs à la diversité biologique</w:t>
      </w:r>
      <w:r w:rsidRPr="00575A30">
        <w:rPr>
          <w:lang w:val="fr-FR"/>
        </w:rPr>
        <w:t xml:space="preserve">, figure dans </w:t>
      </w:r>
      <w:r w:rsidR="00D97CF7" w:rsidRPr="00575A30">
        <w:rPr>
          <w:lang w:val="fr-FR"/>
        </w:rPr>
        <w:t>le chapitre</w:t>
      </w:r>
      <w:r w:rsidR="005247F7">
        <w:rPr>
          <w:lang w:val="fr-FR"/>
        </w:rPr>
        <w:t> </w:t>
      </w:r>
      <w:r w:rsidRPr="00575A30">
        <w:rPr>
          <w:lang w:val="fr-FR"/>
        </w:rPr>
        <w:t xml:space="preserve">III. Une analyse des </w:t>
      </w:r>
      <w:r w:rsidR="00D97CF7" w:rsidRPr="00575A30">
        <w:rPr>
          <w:lang w:val="fr-FR"/>
        </w:rPr>
        <w:t xml:space="preserve">dispositions </w:t>
      </w:r>
      <w:r w:rsidRPr="00575A30">
        <w:rPr>
          <w:lang w:val="fr-FR"/>
        </w:rPr>
        <w:t>des SPANB soumis depuis l’adoption du Plan stratégique 2011-2020 pour la diversité biologique est présentée dan</w:t>
      </w:r>
      <w:r w:rsidR="00BB1F71" w:rsidRPr="00575A30">
        <w:rPr>
          <w:lang w:val="fr-FR"/>
        </w:rPr>
        <w:t>s</w:t>
      </w:r>
      <w:r w:rsidRPr="00575A30">
        <w:rPr>
          <w:lang w:val="fr-FR"/>
        </w:rPr>
        <w:t xml:space="preserve"> </w:t>
      </w:r>
      <w:r w:rsidR="00B94C7D" w:rsidRPr="00575A30">
        <w:rPr>
          <w:lang w:val="fr-FR"/>
        </w:rPr>
        <w:t>le chapitre</w:t>
      </w:r>
      <w:r w:rsidRPr="00575A30">
        <w:rPr>
          <w:lang w:val="fr-FR"/>
        </w:rPr>
        <w:t> IV.</w:t>
      </w:r>
      <w:r w:rsidR="005247F7">
        <w:rPr>
          <w:lang w:val="fr-FR"/>
        </w:rPr>
        <w:t xml:space="preserve"> </w:t>
      </w:r>
      <w:r w:rsidR="002526FD">
        <w:rPr>
          <w:lang w:val="fr-FR"/>
        </w:rPr>
        <w:t xml:space="preserve">Des renseignements connexes </w:t>
      </w:r>
      <w:r w:rsidR="00562BDC">
        <w:rPr>
          <w:lang w:val="fr-FR"/>
        </w:rPr>
        <w:t xml:space="preserve">ont également </w:t>
      </w:r>
      <w:proofErr w:type="gramStart"/>
      <w:r w:rsidR="00562BDC">
        <w:rPr>
          <w:lang w:val="fr-FR"/>
        </w:rPr>
        <w:t>fournis</w:t>
      </w:r>
      <w:proofErr w:type="gramEnd"/>
      <w:r w:rsidR="00562BDC">
        <w:rPr>
          <w:lang w:val="fr-FR"/>
        </w:rPr>
        <w:t xml:space="preserve"> dans le document sur</w:t>
      </w:r>
      <w:r w:rsidR="002526FD">
        <w:rPr>
          <w:lang w:val="fr-FR"/>
        </w:rPr>
        <w:t xml:space="preserve"> </w:t>
      </w:r>
      <w:r w:rsidR="00DF1542">
        <w:rPr>
          <w:lang w:val="fr-FR"/>
        </w:rPr>
        <w:t>l’examen des progrès</w:t>
      </w:r>
      <w:r w:rsidR="002526FD">
        <w:rPr>
          <w:lang w:val="fr-FR"/>
        </w:rPr>
        <w:t xml:space="preserve"> accomplis dans </w:t>
      </w:r>
      <w:r w:rsidR="00DF1542">
        <w:rPr>
          <w:lang w:val="fr-FR"/>
        </w:rPr>
        <w:t>l’application</w:t>
      </w:r>
      <w:r w:rsidR="002526FD">
        <w:rPr>
          <w:lang w:val="fr-FR"/>
        </w:rPr>
        <w:t xml:space="preserve"> de la </w:t>
      </w:r>
      <w:r w:rsidR="002526FD">
        <w:rPr>
          <w:lang w:val="fr-FR"/>
        </w:rPr>
        <w:lastRenderedPageBreak/>
        <w:t xml:space="preserve">Convention et </w:t>
      </w:r>
      <w:r w:rsidR="00DF1542">
        <w:rPr>
          <w:lang w:val="fr-FR"/>
        </w:rPr>
        <w:t xml:space="preserve">la mise en œuvre </w:t>
      </w:r>
      <w:r w:rsidR="002526FD">
        <w:rPr>
          <w:lang w:val="fr-FR"/>
        </w:rPr>
        <w:t>du Plan stratégique pour la diversité biologique 2011-2020 et en vue de la réa</w:t>
      </w:r>
      <w:r w:rsidR="00562BDC">
        <w:rPr>
          <w:lang w:val="fr-FR"/>
        </w:rPr>
        <w:t>l</w:t>
      </w:r>
      <w:r w:rsidR="002526FD">
        <w:rPr>
          <w:lang w:val="fr-FR"/>
        </w:rPr>
        <w:t xml:space="preserve">isation des Objectifs d’Aichi pour la biodiversité (CBD/SBI/3/2) et </w:t>
      </w:r>
      <w:r w:rsidR="002526FD" w:rsidRPr="00071DBB">
        <w:rPr>
          <w:lang w:val="fr-FR"/>
        </w:rPr>
        <w:t xml:space="preserve">dans le document sur les mécanismes propres à faciliter </w:t>
      </w:r>
      <w:r w:rsidR="00562BDC" w:rsidRPr="00071DBB">
        <w:rPr>
          <w:lang w:val="fr-FR"/>
        </w:rPr>
        <w:t>l’</w:t>
      </w:r>
      <w:r w:rsidR="002526FD" w:rsidRPr="00071DBB">
        <w:rPr>
          <w:lang w:val="fr-FR"/>
        </w:rPr>
        <w:t xml:space="preserve">examen de </w:t>
      </w:r>
      <w:r w:rsidR="00071DBB">
        <w:rPr>
          <w:lang w:val="fr-FR"/>
        </w:rPr>
        <w:t>l’application</w:t>
      </w:r>
      <w:r w:rsidR="002526FD" w:rsidRPr="00071DBB">
        <w:rPr>
          <w:lang w:val="fr-FR"/>
        </w:rPr>
        <w:t xml:space="preserve"> (CBD</w:t>
      </w:r>
      <w:r w:rsidR="00562BDC" w:rsidRPr="00071DBB">
        <w:rPr>
          <w:lang w:val="fr-FR"/>
        </w:rPr>
        <w:t>/SBI/3/11</w:t>
      </w:r>
      <w:r w:rsidR="00562BDC">
        <w:rPr>
          <w:lang w:val="fr-FR"/>
        </w:rPr>
        <w:t>).</w:t>
      </w:r>
    </w:p>
    <w:p w14:paraId="772A5118" w14:textId="77777777" w:rsidR="00790BFA" w:rsidRPr="00575A30" w:rsidRDefault="00790BFA" w:rsidP="00543482">
      <w:pPr>
        <w:pStyle w:val="Heading1multiline"/>
        <w:tabs>
          <w:tab w:val="clear" w:pos="720"/>
          <w:tab w:val="num" w:pos="709"/>
        </w:tabs>
        <w:spacing w:before="120"/>
        <w:rPr>
          <w:lang w:val="fr-FR"/>
        </w:rPr>
      </w:pPr>
      <w:r w:rsidRPr="00575A30">
        <w:rPr>
          <w:lang w:val="fr-FR"/>
        </w:rPr>
        <w:t xml:space="preserve">II. </w:t>
      </w:r>
      <w:r w:rsidRPr="00575A30">
        <w:rPr>
          <w:lang w:val="fr-FR"/>
        </w:rPr>
        <w:tab/>
      </w:r>
      <w:r w:rsidR="002A5869" w:rsidRPr="00575A30">
        <w:rPr>
          <w:lang w:val="fr-FR"/>
        </w:rPr>
        <w:t xml:space="preserve">progrès </w:t>
      </w:r>
      <w:r w:rsidR="000635C8" w:rsidRPr="00575A30">
        <w:rPr>
          <w:lang w:val="fr-FR"/>
        </w:rPr>
        <w:t xml:space="preserve">accomplis </w:t>
      </w:r>
      <w:r w:rsidR="002A5869" w:rsidRPr="00575A30">
        <w:rPr>
          <w:lang w:val="fr-FR"/>
        </w:rPr>
        <w:t xml:space="preserve">dans l’élaboration ou la révision et la </w:t>
      </w:r>
      <w:r w:rsidR="00B731D3" w:rsidRPr="00575A30">
        <w:rPr>
          <w:lang w:val="fr-FR"/>
        </w:rPr>
        <w:t xml:space="preserve">mise à jour des </w:t>
      </w:r>
      <w:r w:rsidR="00D504F1">
        <w:rPr>
          <w:lang w:val="fr-FR"/>
        </w:rPr>
        <w:t xml:space="preserve">STRATÉGIES ET PLANS D’ACTION NATIONAUX POUR LA </w:t>
      </w:r>
      <w:r w:rsidR="00A40A6E">
        <w:rPr>
          <w:lang w:val="fr-FR"/>
        </w:rPr>
        <w:t>biodiversité</w:t>
      </w:r>
    </w:p>
    <w:p w14:paraId="2D75FFDA" w14:textId="77777777" w:rsidR="00790BFA" w:rsidRPr="00575A30" w:rsidRDefault="00B731D3" w:rsidP="00F36F85">
      <w:pPr>
        <w:numPr>
          <w:ilvl w:val="0"/>
          <w:numId w:val="11"/>
        </w:numPr>
        <w:tabs>
          <w:tab w:val="clear" w:pos="540"/>
          <w:tab w:val="num" w:pos="709"/>
        </w:tabs>
        <w:spacing w:before="120" w:after="120"/>
        <w:ind w:left="0" w:firstLine="0"/>
        <w:rPr>
          <w:lang w:val="fr-FR"/>
        </w:rPr>
      </w:pPr>
      <w:r w:rsidRPr="00575A30">
        <w:rPr>
          <w:lang w:val="fr-FR"/>
        </w:rPr>
        <w:t>Depuis 199</w:t>
      </w:r>
      <w:r w:rsidR="00061A0A" w:rsidRPr="00575A30">
        <w:rPr>
          <w:lang w:val="fr-FR"/>
        </w:rPr>
        <w:t>3</w:t>
      </w:r>
      <w:r w:rsidRPr="00575A30">
        <w:rPr>
          <w:lang w:val="fr-FR"/>
        </w:rPr>
        <w:t>,</w:t>
      </w:r>
      <w:r w:rsidR="00A85330" w:rsidRPr="00575A30">
        <w:rPr>
          <w:lang w:val="fr-FR"/>
        </w:rPr>
        <w:t xml:space="preserve"> </w:t>
      </w:r>
      <w:r w:rsidR="002A7A96" w:rsidRPr="00575A30">
        <w:rPr>
          <w:lang w:val="fr-FR"/>
        </w:rPr>
        <w:t>1</w:t>
      </w:r>
      <w:r w:rsidR="00F574D1">
        <w:rPr>
          <w:lang w:val="fr-FR"/>
        </w:rPr>
        <w:t>91</w:t>
      </w:r>
      <w:r w:rsidR="002A7A96" w:rsidRPr="00575A30">
        <w:rPr>
          <w:lang w:val="fr-FR"/>
        </w:rPr>
        <w:t xml:space="preserve"> </w:t>
      </w:r>
      <w:r w:rsidRPr="00575A30">
        <w:rPr>
          <w:lang w:val="fr-FR"/>
        </w:rPr>
        <w:t xml:space="preserve">Parties </w:t>
      </w:r>
      <w:r w:rsidR="00061A0A" w:rsidRPr="00575A30">
        <w:rPr>
          <w:lang w:val="fr-FR"/>
        </w:rPr>
        <w:t>(</w:t>
      </w:r>
      <w:r w:rsidR="009C50FA">
        <w:rPr>
          <w:lang w:val="fr-FR"/>
        </w:rPr>
        <w:t>97 p. cent</w:t>
      </w:r>
      <w:r w:rsidR="00061A0A" w:rsidRPr="00575A30">
        <w:rPr>
          <w:lang w:val="fr-FR"/>
        </w:rPr>
        <w:t xml:space="preserve">) </w:t>
      </w:r>
      <w:r w:rsidRPr="00575A30">
        <w:rPr>
          <w:lang w:val="fr-FR"/>
        </w:rPr>
        <w:t xml:space="preserve">ont </w:t>
      </w:r>
      <w:r w:rsidR="00061A0A" w:rsidRPr="00575A30">
        <w:rPr>
          <w:lang w:val="fr-FR"/>
        </w:rPr>
        <w:t xml:space="preserve">élaboré </w:t>
      </w:r>
      <w:r w:rsidRPr="00575A30">
        <w:rPr>
          <w:lang w:val="fr-FR"/>
        </w:rPr>
        <w:t xml:space="preserve">au moins </w:t>
      </w:r>
      <w:r w:rsidR="009C50FA">
        <w:rPr>
          <w:lang w:val="fr-FR"/>
        </w:rPr>
        <w:t>u</w:t>
      </w:r>
      <w:r w:rsidR="00A40A6E">
        <w:rPr>
          <w:lang w:val="fr-FR"/>
        </w:rPr>
        <w:t>n SPAN</w:t>
      </w:r>
      <w:r w:rsidR="009C50FA">
        <w:rPr>
          <w:lang w:val="fr-FR"/>
        </w:rPr>
        <w:t>B</w:t>
      </w:r>
      <w:r w:rsidRPr="00575A30">
        <w:rPr>
          <w:lang w:val="fr-FR"/>
        </w:rPr>
        <w:t xml:space="preserve">, tandis que </w:t>
      </w:r>
      <w:r w:rsidR="00F574D1">
        <w:rPr>
          <w:lang w:val="fr-FR"/>
        </w:rPr>
        <w:t>5</w:t>
      </w:r>
      <w:r w:rsidR="002A7A96" w:rsidRPr="00575A30">
        <w:rPr>
          <w:lang w:val="fr-FR"/>
        </w:rPr>
        <w:t xml:space="preserve"> </w:t>
      </w:r>
      <w:r w:rsidRPr="00575A30">
        <w:rPr>
          <w:lang w:val="fr-FR"/>
        </w:rPr>
        <w:t xml:space="preserve">Parties </w:t>
      </w:r>
      <w:r w:rsidR="00061A0A" w:rsidRPr="00575A30">
        <w:rPr>
          <w:lang w:val="fr-FR"/>
        </w:rPr>
        <w:t>doivent encore soumettre ces documents pour la première fois</w:t>
      </w:r>
      <w:r w:rsidRPr="00575A30">
        <w:rPr>
          <w:lang w:val="fr-FR"/>
        </w:rPr>
        <w:t xml:space="preserve">. </w:t>
      </w:r>
      <w:r w:rsidR="00B94C7D" w:rsidRPr="00575A30">
        <w:rPr>
          <w:lang w:val="fr-FR"/>
        </w:rPr>
        <w:t xml:space="preserve">Au </w:t>
      </w:r>
      <w:r w:rsidR="00F574D1">
        <w:rPr>
          <w:lang w:val="fr-FR"/>
        </w:rPr>
        <w:t>16</w:t>
      </w:r>
      <w:r w:rsidR="009C50FA">
        <w:rPr>
          <w:lang w:val="fr-FR"/>
        </w:rPr>
        <w:t xml:space="preserve"> mars 20</w:t>
      </w:r>
      <w:r w:rsidR="00F574D1">
        <w:rPr>
          <w:lang w:val="fr-FR"/>
        </w:rPr>
        <w:t>20</w:t>
      </w:r>
      <w:r w:rsidR="00B94C7D" w:rsidRPr="00575A30">
        <w:rPr>
          <w:lang w:val="fr-FR"/>
        </w:rPr>
        <w:t xml:space="preserve">, </w:t>
      </w:r>
      <w:r w:rsidR="00F574D1">
        <w:rPr>
          <w:lang w:val="fr-FR"/>
        </w:rPr>
        <w:t>154</w:t>
      </w:r>
      <w:r w:rsidR="00646698">
        <w:rPr>
          <w:lang w:val="fr-FR"/>
        </w:rPr>
        <w:t xml:space="preserve"> Parties sur les</w:t>
      </w:r>
      <w:r w:rsidR="00A85330" w:rsidRPr="00575A30">
        <w:rPr>
          <w:lang w:val="fr-FR"/>
        </w:rPr>
        <w:t xml:space="preserve"> </w:t>
      </w:r>
      <w:r w:rsidR="009C50FA">
        <w:rPr>
          <w:lang w:val="fr-FR"/>
        </w:rPr>
        <w:t>19</w:t>
      </w:r>
      <w:r w:rsidR="00F574D1">
        <w:rPr>
          <w:lang w:val="fr-FR"/>
        </w:rPr>
        <w:t>1</w:t>
      </w:r>
      <w:r w:rsidR="002A7A96" w:rsidRPr="00575A30">
        <w:rPr>
          <w:lang w:val="fr-FR"/>
        </w:rPr>
        <w:t xml:space="preserve"> </w:t>
      </w:r>
      <w:r w:rsidRPr="00575A30">
        <w:rPr>
          <w:lang w:val="fr-FR"/>
        </w:rPr>
        <w:t xml:space="preserve">Parties ayant </w:t>
      </w:r>
      <w:r w:rsidR="00061A0A" w:rsidRPr="00575A30">
        <w:rPr>
          <w:lang w:val="fr-FR"/>
        </w:rPr>
        <w:t xml:space="preserve">élaboré </w:t>
      </w:r>
      <w:r w:rsidRPr="00575A30">
        <w:rPr>
          <w:lang w:val="fr-FR"/>
        </w:rPr>
        <w:t>des SPANB,</w:t>
      </w:r>
      <w:r w:rsidR="00A85330" w:rsidRPr="00575A30">
        <w:rPr>
          <w:lang w:val="fr-FR"/>
        </w:rPr>
        <w:t xml:space="preserve"> </w:t>
      </w:r>
      <w:r w:rsidRPr="00575A30">
        <w:rPr>
          <w:lang w:val="fr-FR"/>
        </w:rPr>
        <w:t xml:space="preserve">les </w:t>
      </w:r>
      <w:r w:rsidR="00646698">
        <w:rPr>
          <w:lang w:val="fr-FR"/>
        </w:rPr>
        <w:t>avaient</w:t>
      </w:r>
      <w:r w:rsidRPr="00575A30">
        <w:rPr>
          <w:lang w:val="fr-FR"/>
        </w:rPr>
        <w:t xml:space="preserve"> révisés au moins une fois.</w:t>
      </w:r>
    </w:p>
    <w:p w14:paraId="22E52B09" w14:textId="77777777" w:rsidR="004D00E8" w:rsidRPr="00575A30" w:rsidRDefault="00FA367A" w:rsidP="00F36F85">
      <w:pPr>
        <w:numPr>
          <w:ilvl w:val="0"/>
          <w:numId w:val="11"/>
        </w:numPr>
        <w:tabs>
          <w:tab w:val="clear" w:pos="540"/>
          <w:tab w:val="num" w:pos="709"/>
        </w:tabs>
        <w:spacing w:before="120" w:after="120"/>
        <w:ind w:left="0" w:firstLine="0"/>
        <w:rPr>
          <w:rFonts w:ascii="Calibri" w:hAnsi="Calibri"/>
          <w:color w:val="000000"/>
          <w:szCs w:val="22"/>
          <w:lang w:val="fr-FR"/>
        </w:rPr>
      </w:pPr>
      <w:r w:rsidRPr="00575A30">
        <w:rPr>
          <w:szCs w:val="22"/>
          <w:lang w:val="fr-FR"/>
        </w:rPr>
        <w:t>Depuis la dixième réunion de la Conférence des Parties, la majorité des Parties</w:t>
      </w:r>
      <w:r w:rsidR="00B73C91" w:rsidRPr="00575A30">
        <w:rPr>
          <w:szCs w:val="22"/>
          <w:lang w:val="fr-FR"/>
        </w:rPr>
        <w:t xml:space="preserve"> ont</w:t>
      </w:r>
      <w:r w:rsidR="00623263" w:rsidRPr="00575A30">
        <w:rPr>
          <w:szCs w:val="22"/>
          <w:lang w:val="fr-FR"/>
        </w:rPr>
        <w:t xml:space="preserve"> en</w:t>
      </w:r>
      <w:r w:rsidR="00BD792A" w:rsidRPr="00575A30">
        <w:rPr>
          <w:szCs w:val="22"/>
          <w:lang w:val="fr-FR"/>
        </w:rPr>
        <w:t>tamé</w:t>
      </w:r>
      <w:r w:rsidR="00623263" w:rsidRPr="00575A30">
        <w:rPr>
          <w:szCs w:val="22"/>
          <w:lang w:val="fr-FR"/>
        </w:rPr>
        <w:t xml:space="preserve"> de nouvelles révisions de leurs SPANB </w:t>
      </w:r>
      <w:r w:rsidR="00A70E63" w:rsidRPr="00575A30">
        <w:rPr>
          <w:szCs w:val="22"/>
          <w:lang w:val="fr-FR"/>
        </w:rPr>
        <w:t xml:space="preserve">afin de </w:t>
      </w:r>
      <w:r w:rsidR="00623263" w:rsidRPr="00575A30">
        <w:rPr>
          <w:szCs w:val="22"/>
          <w:lang w:val="fr-FR"/>
        </w:rPr>
        <w:t xml:space="preserve">donner suite à la décision X/2. Des 145 Parties </w:t>
      </w:r>
      <w:r w:rsidR="00567A79" w:rsidRPr="00575A30">
        <w:rPr>
          <w:szCs w:val="22"/>
          <w:lang w:val="fr-FR"/>
        </w:rPr>
        <w:t xml:space="preserve">pouvant prétendre </w:t>
      </w:r>
      <w:r w:rsidR="00623263" w:rsidRPr="00575A30">
        <w:rPr>
          <w:szCs w:val="22"/>
          <w:lang w:val="fr-FR"/>
        </w:rPr>
        <w:t>à un financement du Fonds pour l’environnement mondial</w:t>
      </w:r>
      <w:r w:rsidR="00B94C7D" w:rsidRPr="00575A30">
        <w:rPr>
          <w:szCs w:val="22"/>
          <w:lang w:val="fr-FR"/>
        </w:rPr>
        <w:t xml:space="preserve"> (FEM)</w:t>
      </w:r>
      <w:r w:rsidR="00623263" w:rsidRPr="00575A30">
        <w:rPr>
          <w:szCs w:val="22"/>
          <w:lang w:val="fr-FR"/>
        </w:rPr>
        <w:t xml:space="preserve">, 141 ont obtenu des fonds </w:t>
      </w:r>
      <w:r w:rsidR="00A73C92" w:rsidRPr="00575A30">
        <w:rPr>
          <w:szCs w:val="22"/>
          <w:lang w:val="fr-FR"/>
        </w:rPr>
        <w:t xml:space="preserve">dans le cadre </w:t>
      </w:r>
      <w:r w:rsidR="00002CAC" w:rsidRPr="00575A30">
        <w:rPr>
          <w:szCs w:val="22"/>
          <w:lang w:val="fr-FR"/>
        </w:rPr>
        <w:t>d</w:t>
      </w:r>
      <w:r w:rsidR="00A73C92" w:rsidRPr="00575A30">
        <w:rPr>
          <w:szCs w:val="22"/>
          <w:lang w:val="fr-FR"/>
        </w:rPr>
        <w:t>e</w:t>
      </w:r>
      <w:r w:rsidR="00002CAC" w:rsidRPr="00575A30">
        <w:rPr>
          <w:szCs w:val="22"/>
          <w:lang w:val="fr-FR"/>
        </w:rPr>
        <w:t xml:space="preserve"> FEM</w:t>
      </w:r>
      <w:r w:rsidR="00002CAC" w:rsidRPr="00575A30">
        <w:rPr>
          <w:szCs w:val="22"/>
          <w:lang w:val="fr-FR"/>
        </w:rPr>
        <w:noBreakHyphen/>
        <w:t xml:space="preserve">5 </w:t>
      </w:r>
      <w:r w:rsidR="00BD792A" w:rsidRPr="00575A30">
        <w:rPr>
          <w:szCs w:val="22"/>
          <w:lang w:val="fr-FR"/>
        </w:rPr>
        <w:t>et d</w:t>
      </w:r>
      <w:r w:rsidR="00A73C92" w:rsidRPr="00575A30">
        <w:rPr>
          <w:szCs w:val="22"/>
          <w:lang w:val="fr-FR"/>
        </w:rPr>
        <w:t>e</w:t>
      </w:r>
      <w:r w:rsidR="00BD792A" w:rsidRPr="00575A30">
        <w:rPr>
          <w:szCs w:val="22"/>
          <w:lang w:val="fr-FR"/>
        </w:rPr>
        <w:t xml:space="preserve"> FEM</w:t>
      </w:r>
      <w:r w:rsidR="00BD792A" w:rsidRPr="00575A30">
        <w:rPr>
          <w:szCs w:val="22"/>
          <w:lang w:val="fr-FR"/>
        </w:rPr>
        <w:noBreakHyphen/>
        <w:t xml:space="preserve">6 </w:t>
      </w:r>
      <w:r w:rsidR="00350AD6" w:rsidRPr="00575A30">
        <w:rPr>
          <w:szCs w:val="22"/>
          <w:lang w:val="fr-FR"/>
        </w:rPr>
        <w:t>pour</w:t>
      </w:r>
      <w:r w:rsidR="00FE0BD7" w:rsidRPr="00575A30">
        <w:rPr>
          <w:szCs w:val="22"/>
          <w:lang w:val="fr-FR"/>
        </w:rPr>
        <w:t xml:space="preserve"> des </w:t>
      </w:r>
      <w:r w:rsidR="00623263" w:rsidRPr="00575A30">
        <w:rPr>
          <w:szCs w:val="22"/>
          <w:lang w:val="fr-FR"/>
        </w:rPr>
        <w:t xml:space="preserve">activités </w:t>
      </w:r>
      <w:r w:rsidR="00A73C92" w:rsidRPr="00575A30">
        <w:rPr>
          <w:szCs w:val="22"/>
          <w:lang w:val="fr-FR"/>
        </w:rPr>
        <w:t>favorisant la bio</w:t>
      </w:r>
      <w:r w:rsidR="00623263" w:rsidRPr="00575A30">
        <w:rPr>
          <w:szCs w:val="22"/>
          <w:lang w:val="fr-FR"/>
        </w:rPr>
        <w:t xml:space="preserve">diversité (49 </w:t>
      </w:r>
      <w:r w:rsidR="00C47C62" w:rsidRPr="00575A30">
        <w:rPr>
          <w:szCs w:val="22"/>
          <w:lang w:val="fr-FR"/>
        </w:rPr>
        <w:t xml:space="preserve">Parties ont reçu des fonds </w:t>
      </w:r>
      <w:r w:rsidR="00623263" w:rsidRPr="00575A30">
        <w:rPr>
          <w:szCs w:val="22"/>
          <w:lang w:val="fr-FR"/>
        </w:rPr>
        <w:t xml:space="preserve">par le biais du Programme des Nations Unies pour le développement (PNUD), 84 par le biais du Programme des Nations Unies pour l’environnement (PNUE), </w:t>
      </w:r>
      <w:r w:rsidR="000631BF" w:rsidRPr="00575A30">
        <w:rPr>
          <w:szCs w:val="22"/>
          <w:lang w:val="fr-FR"/>
        </w:rPr>
        <w:t>un</w:t>
      </w:r>
      <w:r w:rsidR="00C47C62" w:rsidRPr="00575A30">
        <w:rPr>
          <w:szCs w:val="22"/>
          <w:lang w:val="fr-FR"/>
        </w:rPr>
        <w:t>e</w:t>
      </w:r>
      <w:r w:rsidR="000631BF" w:rsidRPr="00575A30">
        <w:rPr>
          <w:szCs w:val="22"/>
          <w:lang w:val="fr-FR"/>
        </w:rPr>
        <w:t xml:space="preserve"> par le biais de l’Organisation des Nations Unies pour l’alimentation et l’agriculture (FAO), un</w:t>
      </w:r>
      <w:r w:rsidR="00C47C62" w:rsidRPr="00575A30">
        <w:rPr>
          <w:szCs w:val="22"/>
          <w:lang w:val="fr-FR"/>
        </w:rPr>
        <w:t>e</w:t>
      </w:r>
      <w:r w:rsidR="000631BF" w:rsidRPr="00575A30">
        <w:rPr>
          <w:szCs w:val="22"/>
          <w:lang w:val="fr-FR"/>
        </w:rPr>
        <w:t xml:space="preserve"> par le biais de la Banque interaméricaine de développement (BID) et six </w:t>
      </w:r>
      <w:r w:rsidR="00A70E63" w:rsidRPr="00575A30">
        <w:rPr>
          <w:szCs w:val="22"/>
          <w:lang w:val="fr-FR"/>
        </w:rPr>
        <w:t>de manière directe</w:t>
      </w:r>
      <w:r w:rsidR="000631BF" w:rsidRPr="00575A30">
        <w:rPr>
          <w:szCs w:val="22"/>
          <w:lang w:val="fr-FR"/>
        </w:rPr>
        <w:t xml:space="preserve">). </w:t>
      </w:r>
      <w:r w:rsidR="00F574D1">
        <w:rPr>
          <w:szCs w:val="22"/>
          <w:lang w:val="fr-FR"/>
        </w:rPr>
        <w:t>Le</w:t>
      </w:r>
      <w:r w:rsidR="00002CAC" w:rsidRPr="00575A30">
        <w:rPr>
          <w:szCs w:val="22"/>
          <w:lang w:val="fr-FR"/>
        </w:rPr>
        <w:t xml:space="preserve"> montant total investi dans ces projets de révision s’élève à 31 231 908 </w:t>
      </w:r>
      <w:r w:rsidR="00A40A6E">
        <w:rPr>
          <w:szCs w:val="22"/>
          <w:lang w:val="fr-FR"/>
        </w:rPr>
        <w:t>$US</w:t>
      </w:r>
      <w:r w:rsidR="00350AD6" w:rsidRPr="00575A30">
        <w:rPr>
          <w:szCs w:val="22"/>
          <w:lang w:val="fr-FR"/>
        </w:rPr>
        <w:t xml:space="preserve"> </w:t>
      </w:r>
      <w:r w:rsidR="00002CAC" w:rsidRPr="00575A30">
        <w:rPr>
          <w:szCs w:val="22"/>
          <w:lang w:val="fr-FR"/>
        </w:rPr>
        <w:t>en termes de subventions du FEM</w:t>
      </w:r>
      <w:r w:rsidR="00BD792A" w:rsidRPr="00575A30">
        <w:rPr>
          <w:szCs w:val="22"/>
          <w:lang w:val="fr-FR"/>
        </w:rPr>
        <w:t xml:space="preserve"> </w:t>
      </w:r>
      <w:r w:rsidR="00BD792A" w:rsidRPr="00575A30">
        <w:rPr>
          <w:snapToGrid w:val="0"/>
          <w:kern w:val="22"/>
          <w:szCs w:val="22"/>
          <w:lang w:val="fr-FR"/>
        </w:rPr>
        <w:t>(30 263 908 </w:t>
      </w:r>
      <w:r w:rsidR="00A40A6E">
        <w:rPr>
          <w:szCs w:val="22"/>
          <w:lang w:val="fr-FR"/>
        </w:rPr>
        <w:t>$US</w:t>
      </w:r>
      <w:r w:rsidR="00350AD6" w:rsidRPr="00575A30">
        <w:rPr>
          <w:szCs w:val="22"/>
          <w:lang w:val="fr-FR"/>
        </w:rPr>
        <w:t xml:space="preserve"> </w:t>
      </w:r>
      <w:r w:rsidR="00C47C62" w:rsidRPr="00575A30">
        <w:rPr>
          <w:snapToGrid w:val="0"/>
          <w:kern w:val="22"/>
          <w:szCs w:val="22"/>
          <w:lang w:val="fr-FR"/>
        </w:rPr>
        <w:t>au titre de</w:t>
      </w:r>
      <w:r w:rsidR="00BD792A" w:rsidRPr="00575A30">
        <w:rPr>
          <w:snapToGrid w:val="0"/>
          <w:kern w:val="22"/>
          <w:szCs w:val="22"/>
          <w:lang w:val="fr-FR"/>
        </w:rPr>
        <w:t xml:space="preserve"> FEM</w:t>
      </w:r>
      <w:r w:rsidR="00BD792A" w:rsidRPr="00575A30">
        <w:rPr>
          <w:snapToGrid w:val="0"/>
          <w:kern w:val="22"/>
          <w:szCs w:val="22"/>
          <w:lang w:val="fr-FR"/>
        </w:rPr>
        <w:noBreakHyphen/>
        <w:t>5 et 968 000 </w:t>
      </w:r>
      <w:r w:rsidR="00A40A6E">
        <w:rPr>
          <w:szCs w:val="22"/>
          <w:lang w:val="fr-FR"/>
        </w:rPr>
        <w:t>$US</w:t>
      </w:r>
      <w:r w:rsidR="00350AD6" w:rsidRPr="00575A30">
        <w:rPr>
          <w:szCs w:val="22"/>
          <w:lang w:val="fr-FR"/>
        </w:rPr>
        <w:t xml:space="preserve"> </w:t>
      </w:r>
      <w:r w:rsidR="00C47C62" w:rsidRPr="00575A30">
        <w:rPr>
          <w:snapToGrid w:val="0"/>
          <w:kern w:val="22"/>
          <w:szCs w:val="22"/>
          <w:lang w:val="fr-FR"/>
        </w:rPr>
        <w:t xml:space="preserve">au titre </w:t>
      </w:r>
      <w:r w:rsidR="00BD792A" w:rsidRPr="00575A30">
        <w:rPr>
          <w:snapToGrid w:val="0"/>
          <w:kern w:val="22"/>
          <w:szCs w:val="22"/>
          <w:lang w:val="fr-FR"/>
        </w:rPr>
        <w:t>d</w:t>
      </w:r>
      <w:r w:rsidR="00C47C62" w:rsidRPr="00575A30">
        <w:rPr>
          <w:snapToGrid w:val="0"/>
          <w:kern w:val="22"/>
          <w:szCs w:val="22"/>
          <w:lang w:val="fr-FR"/>
        </w:rPr>
        <w:t>e</w:t>
      </w:r>
      <w:r w:rsidR="00BD792A" w:rsidRPr="00575A30">
        <w:rPr>
          <w:snapToGrid w:val="0"/>
          <w:kern w:val="22"/>
          <w:szCs w:val="22"/>
          <w:lang w:val="fr-FR"/>
        </w:rPr>
        <w:t xml:space="preserve"> FEM</w:t>
      </w:r>
      <w:r w:rsidR="00BD792A" w:rsidRPr="00575A30">
        <w:rPr>
          <w:snapToGrid w:val="0"/>
          <w:kern w:val="22"/>
          <w:szCs w:val="22"/>
          <w:lang w:val="fr-FR"/>
        </w:rPr>
        <w:noBreakHyphen/>
        <w:t xml:space="preserve">6) </w:t>
      </w:r>
      <w:r w:rsidR="00002CAC" w:rsidRPr="00575A30">
        <w:rPr>
          <w:szCs w:val="22"/>
          <w:lang w:val="fr-FR"/>
        </w:rPr>
        <w:t xml:space="preserve">et </w:t>
      </w:r>
      <w:r w:rsidR="00C47C62" w:rsidRPr="00575A30">
        <w:rPr>
          <w:szCs w:val="22"/>
          <w:lang w:val="fr-FR"/>
        </w:rPr>
        <w:t xml:space="preserve">à </w:t>
      </w:r>
      <w:r w:rsidR="00002CAC" w:rsidRPr="00575A30">
        <w:rPr>
          <w:szCs w:val="22"/>
          <w:lang w:val="fr-FR"/>
        </w:rPr>
        <w:t>53 049 355 </w:t>
      </w:r>
      <w:r w:rsidR="00A40A6E">
        <w:rPr>
          <w:szCs w:val="22"/>
          <w:lang w:val="fr-FR"/>
        </w:rPr>
        <w:t>$US</w:t>
      </w:r>
      <w:r w:rsidR="00350AD6" w:rsidRPr="00575A30">
        <w:rPr>
          <w:szCs w:val="22"/>
          <w:lang w:val="fr-FR"/>
        </w:rPr>
        <w:t xml:space="preserve"> </w:t>
      </w:r>
      <w:r w:rsidR="00002CAC" w:rsidRPr="00575A30">
        <w:rPr>
          <w:szCs w:val="22"/>
          <w:lang w:val="fr-FR"/>
        </w:rPr>
        <w:t>en termes d</w:t>
      </w:r>
      <w:r w:rsidR="00B623E0" w:rsidRPr="00575A30">
        <w:rPr>
          <w:szCs w:val="22"/>
          <w:lang w:val="fr-FR"/>
        </w:rPr>
        <w:t xml:space="preserve">e cofinancement total en espèces et en nature </w:t>
      </w:r>
      <w:r w:rsidR="00B623E0" w:rsidRPr="00575A30">
        <w:rPr>
          <w:snapToGrid w:val="0"/>
          <w:kern w:val="22"/>
          <w:szCs w:val="22"/>
          <w:lang w:val="fr-FR"/>
        </w:rPr>
        <w:t>(52 219 355 </w:t>
      </w:r>
      <w:r w:rsidR="00A40A6E">
        <w:rPr>
          <w:szCs w:val="22"/>
          <w:lang w:val="fr-FR"/>
        </w:rPr>
        <w:t>$US</w:t>
      </w:r>
      <w:r w:rsidR="00350AD6" w:rsidRPr="00575A30">
        <w:rPr>
          <w:szCs w:val="22"/>
          <w:lang w:val="fr-FR"/>
        </w:rPr>
        <w:t xml:space="preserve"> </w:t>
      </w:r>
      <w:r w:rsidR="00C47C62" w:rsidRPr="00575A30">
        <w:rPr>
          <w:snapToGrid w:val="0"/>
          <w:kern w:val="22"/>
          <w:szCs w:val="22"/>
          <w:lang w:val="fr-FR"/>
        </w:rPr>
        <w:t xml:space="preserve">au titre </w:t>
      </w:r>
      <w:r w:rsidR="00B623E0" w:rsidRPr="00575A30">
        <w:rPr>
          <w:snapToGrid w:val="0"/>
          <w:kern w:val="22"/>
          <w:szCs w:val="22"/>
          <w:lang w:val="fr-FR"/>
        </w:rPr>
        <w:t>d</w:t>
      </w:r>
      <w:r w:rsidR="00C47C62" w:rsidRPr="00575A30">
        <w:rPr>
          <w:snapToGrid w:val="0"/>
          <w:kern w:val="22"/>
          <w:szCs w:val="22"/>
          <w:lang w:val="fr-FR"/>
        </w:rPr>
        <w:t>e</w:t>
      </w:r>
      <w:r w:rsidR="00B623E0" w:rsidRPr="00575A30">
        <w:rPr>
          <w:snapToGrid w:val="0"/>
          <w:kern w:val="22"/>
          <w:szCs w:val="22"/>
          <w:lang w:val="fr-FR"/>
        </w:rPr>
        <w:t xml:space="preserve"> FEM</w:t>
      </w:r>
      <w:r w:rsidR="00B623E0" w:rsidRPr="00575A30">
        <w:rPr>
          <w:snapToGrid w:val="0"/>
          <w:kern w:val="22"/>
          <w:szCs w:val="22"/>
          <w:lang w:val="fr-FR"/>
        </w:rPr>
        <w:noBreakHyphen/>
        <w:t>5 et 830 000 </w:t>
      </w:r>
      <w:r w:rsidR="00A40A6E">
        <w:rPr>
          <w:szCs w:val="22"/>
          <w:lang w:val="fr-FR"/>
        </w:rPr>
        <w:t>$US</w:t>
      </w:r>
      <w:r w:rsidR="00350AD6" w:rsidRPr="00575A30">
        <w:rPr>
          <w:szCs w:val="22"/>
          <w:lang w:val="fr-FR"/>
        </w:rPr>
        <w:t xml:space="preserve"> </w:t>
      </w:r>
      <w:r w:rsidR="00C47C62" w:rsidRPr="00575A30">
        <w:rPr>
          <w:snapToGrid w:val="0"/>
          <w:kern w:val="22"/>
          <w:szCs w:val="22"/>
          <w:lang w:val="fr-FR"/>
        </w:rPr>
        <w:t xml:space="preserve">au titre </w:t>
      </w:r>
      <w:r w:rsidR="00B623E0" w:rsidRPr="00575A30">
        <w:rPr>
          <w:snapToGrid w:val="0"/>
          <w:kern w:val="22"/>
          <w:szCs w:val="22"/>
          <w:lang w:val="fr-FR"/>
        </w:rPr>
        <w:t>d</w:t>
      </w:r>
      <w:r w:rsidR="00C47C62" w:rsidRPr="00575A30">
        <w:rPr>
          <w:snapToGrid w:val="0"/>
          <w:kern w:val="22"/>
          <w:szCs w:val="22"/>
          <w:lang w:val="fr-FR"/>
        </w:rPr>
        <w:t>e</w:t>
      </w:r>
      <w:r w:rsidR="00B623E0" w:rsidRPr="00575A30">
        <w:rPr>
          <w:snapToGrid w:val="0"/>
          <w:kern w:val="22"/>
          <w:szCs w:val="22"/>
          <w:lang w:val="fr-FR"/>
        </w:rPr>
        <w:t xml:space="preserve"> FEM</w:t>
      </w:r>
      <w:r w:rsidR="00B623E0" w:rsidRPr="00575A30">
        <w:rPr>
          <w:snapToGrid w:val="0"/>
          <w:kern w:val="22"/>
          <w:szCs w:val="22"/>
          <w:lang w:val="fr-FR"/>
        </w:rPr>
        <w:noBreakHyphen/>
        <w:t>6)</w:t>
      </w:r>
      <w:r w:rsidR="00002CAC" w:rsidRPr="00575A30">
        <w:rPr>
          <w:szCs w:val="22"/>
          <w:lang w:val="fr-FR"/>
        </w:rPr>
        <w:t xml:space="preserve">. Un certain nombre de Parties, </w:t>
      </w:r>
      <w:r w:rsidR="00F574D1">
        <w:rPr>
          <w:szCs w:val="22"/>
          <w:lang w:val="fr-FR"/>
        </w:rPr>
        <w:t>dont</w:t>
      </w:r>
      <w:r w:rsidR="00002CAC" w:rsidRPr="00575A30">
        <w:rPr>
          <w:szCs w:val="22"/>
          <w:lang w:val="fr-FR"/>
        </w:rPr>
        <w:t xml:space="preserve"> le </w:t>
      </w:r>
      <w:r w:rsidR="00C47C62" w:rsidRPr="00575A30">
        <w:rPr>
          <w:szCs w:val="22"/>
          <w:lang w:val="fr-FR"/>
        </w:rPr>
        <w:t>G</w:t>
      </w:r>
      <w:r w:rsidR="00002CAC" w:rsidRPr="00575A30">
        <w:rPr>
          <w:szCs w:val="22"/>
          <w:lang w:val="fr-FR"/>
        </w:rPr>
        <w:t>ouvernement du Japon, par le biais du Fonds japonais pour la biodiversité, ont accordé un soutien additionnel au</w:t>
      </w:r>
      <w:r w:rsidR="003256E4">
        <w:rPr>
          <w:szCs w:val="22"/>
          <w:lang w:val="fr-FR"/>
        </w:rPr>
        <w:t xml:space="preserve"> processus de révision des SPAN</w:t>
      </w:r>
      <w:r w:rsidR="00D23C9A">
        <w:rPr>
          <w:szCs w:val="22"/>
          <w:lang w:val="fr-FR"/>
        </w:rPr>
        <w:t>B</w:t>
      </w:r>
      <w:r w:rsidR="00B73C91" w:rsidRPr="00575A30">
        <w:rPr>
          <w:szCs w:val="22"/>
          <w:lang w:val="fr-FR"/>
        </w:rPr>
        <w:t>.</w:t>
      </w:r>
    </w:p>
    <w:p w14:paraId="4CB0ADC5" w14:textId="77777777" w:rsidR="00F71500" w:rsidRPr="00F71500" w:rsidRDefault="007A7EF8" w:rsidP="00F36F85">
      <w:pPr>
        <w:numPr>
          <w:ilvl w:val="0"/>
          <w:numId w:val="11"/>
        </w:numPr>
        <w:tabs>
          <w:tab w:val="clear" w:pos="540"/>
          <w:tab w:val="num" w:pos="709"/>
        </w:tabs>
        <w:spacing w:before="120" w:after="240"/>
        <w:ind w:left="0" w:firstLine="0"/>
        <w:rPr>
          <w:szCs w:val="22"/>
          <w:lang w:val="fr-FR"/>
        </w:rPr>
      </w:pPr>
      <w:r>
        <w:rPr>
          <w:szCs w:val="22"/>
          <w:lang w:val="fr-FR"/>
        </w:rPr>
        <w:t>En</w:t>
      </w:r>
      <w:r w:rsidR="00A70E63" w:rsidRPr="00575A30">
        <w:rPr>
          <w:szCs w:val="22"/>
          <w:lang w:val="fr-FR"/>
        </w:rPr>
        <w:t xml:space="preserve"> décembre 2015 (date</w:t>
      </w:r>
      <w:r w:rsidR="00A7284C" w:rsidRPr="00575A30">
        <w:rPr>
          <w:szCs w:val="22"/>
          <w:lang w:val="fr-FR"/>
        </w:rPr>
        <w:t xml:space="preserve">-butoir de </w:t>
      </w:r>
      <w:r w:rsidR="00A70E63" w:rsidRPr="00575A30">
        <w:rPr>
          <w:szCs w:val="22"/>
          <w:lang w:val="fr-FR"/>
        </w:rPr>
        <w:t xml:space="preserve">l'objectif 17 d'Aichi relatif à la diversité biologique), </w:t>
      </w:r>
      <w:r w:rsidR="002A7A96" w:rsidRPr="00575A30">
        <w:rPr>
          <w:szCs w:val="22"/>
          <w:lang w:val="fr-FR"/>
        </w:rPr>
        <w:t>69</w:t>
      </w:r>
      <w:r w:rsidR="0012283B">
        <w:rPr>
          <w:szCs w:val="22"/>
          <w:lang w:val="fr-FR"/>
        </w:rPr>
        <w:t xml:space="preserve"> </w:t>
      </w:r>
      <w:r w:rsidR="00A70E63" w:rsidRPr="00575A30">
        <w:rPr>
          <w:szCs w:val="22"/>
          <w:lang w:val="fr-FR"/>
        </w:rPr>
        <w:t xml:space="preserve">Parties </w:t>
      </w:r>
      <w:r w:rsidR="00F574D1">
        <w:rPr>
          <w:szCs w:val="22"/>
          <w:lang w:val="fr-FR"/>
        </w:rPr>
        <w:t xml:space="preserve">seulement </w:t>
      </w:r>
      <w:r w:rsidR="00A70E63" w:rsidRPr="00575A30">
        <w:rPr>
          <w:szCs w:val="22"/>
          <w:lang w:val="fr-FR"/>
        </w:rPr>
        <w:t>avaient soumis un</w:t>
      </w:r>
      <w:r w:rsidR="00F700EF" w:rsidRPr="00575A30">
        <w:rPr>
          <w:szCs w:val="22"/>
          <w:lang w:val="fr-FR"/>
        </w:rPr>
        <w:t xml:space="preserve">e stratégie et un plan d'action nationaux pour </w:t>
      </w:r>
      <w:proofErr w:type="gramStart"/>
      <w:r w:rsidR="00F700EF" w:rsidRPr="00575A30">
        <w:rPr>
          <w:szCs w:val="22"/>
          <w:lang w:val="fr-FR"/>
        </w:rPr>
        <w:t>la biodiversité</w:t>
      </w:r>
      <w:r w:rsidR="00A70E63" w:rsidRPr="00575A30">
        <w:rPr>
          <w:szCs w:val="22"/>
          <w:lang w:val="fr-FR"/>
        </w:rPr>
        <w:t xml:space="preserve"> élaboré</w:t>
      </w:r>
      <w:r w:rsidR="00F700EF" w:rsidRPr="00575A30">
        <w:rPr>
          <w:szCs w:val="22"/>
          <w:lang w:val="fr-FR"/>
        </w:rPr>
        <w:t>s</w:t>
      </w:r>
      <w:proofErr w:type="gramEnd"/>
      <w:r w:rsidR="00A70E63" w:rsidRPr="00575A30">
        <w:rPr>
          <w:szCs w:val="22"/>
          <w:lang w:val="fr-FR"/>
        </w:rPr>
        <w:t xml:space="preserve"> ou révisé</w:t>
      </w:r>
      <w:r w:rsidR="00F700EF" w:rsidRPr="00575A30">
        <w:rPr>
          <w:szCs w:val="22"/>
          <w:lang w:val="fr-FR"/>
        </w:rPr>
        <w:t>s</w:t>
      </w:r>
      <w:r w:rsidR="00A70E63" w:rsidRPr="00575A30">
        <w:rPr>
          <w:szCs w:val="22"/>
          <w:lang w:val="fr-FR"/>
        </w:rPr>
        <w:t xml:space="preserve">/mis à jour après l'adoption du Plan stratégique 2011-2020 pour la diversité </w:t>
      </w:r>
      <w:r w:rsidR="003A46DE" w:rsidRPr="00575A30">
        <w:rPr>
          <w:szCs w:val="22"/>
          <w:lang w:val="fr-FR"/>
        </w:rPr>
        <w:t>biologique</w:t>
      </w:r>
      <w:r w:rsidR="00286F1F">
        <w:rPr>
          <w:szCs w:val="22"/>
          <w:lang w:val="fr-FR"/>
        </w:rPr>
        <w:t>. Au</w:t>
      </w:r>
      <w:r w:rsidR="00F574D1">
        <w:rPr>
          <w:szCs w:val="22"/>
          <w:lang w:val="fr-FR"/>
        </w:rPr>
        <w:t xml:space="preserve"> 16 mars </w:t>
      </w:r>
      <w:r w:rsidR="00442EF6">
        <w:rPr>
          <w:szCs w:val="22"/>
          <w:lang w:val="fr-FR"/>
        </w:rPr>
        <w:t>20</w:t>
      </w:r>
      <w:r w:rsidR="00F574D1">
        <w:rPr>
          <w:szCs w:val="22"/>
          <w:lang w:val="fr-FR"/>
        </w:rPr>
        <w:t>20</w:t>
      </w:r>
      <w:r w:rsidR="00442EF6">
        <w:rPr>
          <w:szCs w:val="22"/>
          <w:lang w:val="fr-FR"/>
        </w:rPr>
        <w:t xml:space="preserve">, </w:t>
      </w:r>
      <w:r w:rsidR="00F574D1">
        <w:rPr>
          <w:szCs w:val="22"/>
          <w:lang w:val="fr-FR"/>
        </w:rPr>
        <w:t>101</w:t>
      </w:r>
      <w:r w:rsidR="00442EF6">
        <w:rPr>
          <w:szCs w:val="22"/>
          <w:lang w:val="fr-FR"/>
        </w:rPr>
        <w:t> </w:t>
      </w:r>
      <w:r w:rsidR="00286F1F">
        <w:rPr>
          <w:szCs w:val="22"/>
          <w:lang w:val="fr-FR"/>
        </w:rPr>
        <w:t>pays</w:t>
      </w:r>
      <w:r w:rsidR="00442EF6">
        <w:rPr>
          <w:szCs w:val="22"/>
          <w:lang w:val="fr-FR"/>
        </w:rPr>
        <w:t xml:space="preserve"> de plus</w:t>
      </w:r>
      <w:r w:rsidR="00286F1F">
        <w:rPr>
          <w:szCs w:val="22"/>
          <w:lang w:val="fr-FR"/>
        </w:rPr>
        <w:t xml:space="preserve"> avaient soumis u</w:t>
      </w:r>
      <w:r w:rsidR="003256E4">
        <w:rPr>
          <w:szCs w:val="22"/>
          <w:lang w:val="fr-FR"/>
        </w:rPr>
        <w:t>n SPAN</w:t>
      </w:r>
      <w:r w:rsidR="00286F1F">
        <w:rPr>
          <w:szCs w:val="22"/>
          <w:lang w:val="fr-FR"/>
        </w:rPr>
        <w:t>B, pour un total de</w:t>
      </w:r>
      <w:r w:rsidR="0012283B">
        <w:rPr>
          <w:szCs w:val="22"/>
          <w:lang w:val="fr-FR"/>
        </w:rPr>
        <w:t xml:space="preserve"> </w:t>
      </w:r>
      <w:r w:rsidR="00F574D1">
        <w:rPr>
          <w:szCs w:val="22"/>
          <w:lang w:val="fr-FR"/>
        </w:rPr>
        <w:t>170</w:t>
      </w:r>
      <w:r w:rsidR="0012283B">
        <w:rPr>
          <w:szCs w:val="22"/>
          <w:lang w:val="fr-FR"/>
        </w:rPr>
        <w:t> pays</w:t>
      </w:r>
      <w:r w:rsidR="0012283B" w:rsidRPr="00575A30">
        <w:rPr>
          <w:rStyle w:val="FootnoteReference"/>
          <w:snapToGrid w:val="0"/>
          <w:kern w:val="22"/>
          <w:szCs w:val="22"/>
          <w:lang w:val="fr-FR"/>
        </w:rPr>
        <w:footnoteReference w:id="2"/>
      </w:r>
      <w:r w:rsidR="003A46DE" w:rsidRPr="00575A30">
        <w:rPr>
          <w:szCs w:val="22"/>
          <w:lang w:val="fr-FR"/>
        </w:rPr>
        <w:t xml:space="preserve">. </w:t>
      </w:r>
      <w:r w:rsidR="00286F1F">
        <w:rPr>
          <w:szCs w:val="22"/>
          <w:lang w:val="fr-FR"/>
        </w:rPr>
        <w:t>De ce nombre</w:t>
      </w:r>
      <w:r>
        <w:rPr>
          <w:szCs w:val="22"/>
          <w:lang w:val="fr-FR"/>
        </w:rPr>
        <w:t xml:space="preserve"> </w:t>
      </w:r>
      <w:r w:rsidR="00F574D1">
        <w:rPr>
          <w:szCs w:val="22"/>
          <w:lang w:val="fr-FR"/>
        </w:rPr>
        <w:lastRenderedPageBreak/>
        <w:t>149 </w:t>
      </w:r>
      <w:r w:rsidR="00D23C9A">
        <w:rPr>
          <w:szCs w:val="22"/>
          <w:lang w:val="fr-FR"/>
        </w:rPr>
        <w:t>pays avaient soumis des SPANB révisés</w:t>
      </w:r>
      <w:r w:rsidR="0012283B" w:rsidRPr="00575A30">
        <w:rPr>
          <w:rStyle w:val="FootnoteReference"/>
          <w:snapToGrid w:val="0"/>
          <w:kern w:val="22"/>
          <w:szCs w:val="22"/>
        </w:rPr>
        <w:footnoteReference w:id="3"/>
      </w:r>
      <w:r w:rsidR="00F71500">
        <w:rPr>
          <w:szCs w:val="22"/>
          <w:lang w:val="fr-FR"/>
        </w:rPr>
        <w:t xml:space="preserve"> </w:t>
      </w:r>
      <w:r w:rsidR="00F71500" w:rsidRPr="00490254">
        <w:rPr>
          <w:vertAlign w:val="superscript"/>
        </w:rPr>
        <w:footnoteReference w:id="4"/>
      </w:r>
      <w:r w:rsidR="00F71500">
        <w:rPr>
          <w:snapToGrid w:val="0"/>
          <w:kern w:val="22"/>
          <w:szCs w:val="22"/>
          <w:lang w:val="fr-CA"/>
        </w:rPr>
        <w:t xml:space="preserve">. Bien qu’elles aient été présentées sous différentes formes, toutes les soumissions sont </w:t>
      </w:r>
      <w:proofErr w:type="gramStart"/>
      <w:r w:rsidR="00F71500">
        <w:rPr>
          <w:snapToGrid w:val="0"/>
          <w:kern w:val="22"/>
          <w:szCs w:val="22"/>
          <w:lang w:val="fr-CA"/>
        </w:rPr>
        <w:t>considérés</w:t>
      </w:r>
      <w:proofErr w:type="gramEnd"/>
      <w:r w:rsidR="00F71500">
        <w:rPr>
          <w:snapToGrid w:val="0"/>
          <w:kern w:val="22"/>
          <w:szCs w:val="22"/>
          <w:lang w:val="fr-CA"/>
        </w:rPr>
        <w:t xml:space="preserve"> comme étant des SPANB pour les besoins de ce document. </w:t>
      </w:r>
    </w:p>
    <w:p w14:paraId="31072C91" w14:textId="77777777" w:rsidR="00790BFA" w:rsidRPr="00575A30" w:rsidRDefault="0012283B" w:rsidP="00F36F85">
      <w:pPr>
        <w:numPr>
          <w:ilvl w:val="0"/>
          <w:numId w:val="11"/>
        </w:numPr>
        <w:tabs>
          <w:tab w:val="clear" w:pos="540"/>
          <w:tab w:val="num" w:pos="709"/>
        </w:tabs>
        <w:spacing w:before="120" w:after="240"/>
        <w:ind w:left="0" w:firstLine="0"/>
        <w:rPr>
          <w:szCs w:val="22"/>
          <w:lang w:val="fr-FR"/>
        </w:rPr>
      </w:pPr>
      <w:r w:rsidRPr="00575A30">
        <w:rPr>
          <w:szCs w:val="22"/>
          <w:lang w:val="fr-FR"/>
        </w:rPr>
        <w:t>Le tableau ci-après fait le point sur les SPANB élaborés et révisés/mis à jour, conformément aux informations officieuses qui ont été communiquées au Secrétariat </w:t>
      </w:r>
      <w:r w:rsidR="004E183B" w:rsidRPr="00575A30">
        <w:rPr>
          <w:szCs w:val="22"/>
          <w:lang w:val="fr-FR"/>
        </w:rPr>
        <w:t>:</w:t>
      </w:r>
      <w:r w:rsidR="00790BFA" w:rsidRPr="00575A30">
        <w:rPr>
          <w:szCs w:val="22"/>
          <w:lang w:val="fr-FR"/>
        </w:rPr>
        <w:t xml:space="preserve"> </w:t>
      </w:r>
    </w:p>
    <w:p w14:paraId="7B4593E2" w14:textId="77777777" w:rsidR="00FB423D" w:rsidRPr="00575A30" w:rsidRDefault="00112A97" w:rsidP="00BE15D9">
      <w:pPr>
        <w:spacing w:before="120" w:after="240"/>
        <w:jc w:val="center"/>
        <w:rPr>
          <w:szCs w:val="22"/>
          <w:lang w:val="fr-FR"/>
        </w:rPr>
      </w:pPr>
      <w:r>
        <w:rPr>
          <w:b/>
          <w:color w:val="000000"/>
          <w:szCs w:val="22"/>
          <w:lang w:val="fr-FR"/>
        </w:rPr>
        <w:t xml:space="preserve">Tableau 1. </w:t>
      </w:r>
      <w:r w:rsidR="00FB423D" w:rsidRPr="00575A30">
        <w:rPr>
          <w:b/>
          <w:color w:val="000000"/>
          <w:szCs w:val="22"/>
          <w:lang w:val="fr-FR"/>
        </w:rPr>
        <w:t xml:space="preserve">État d'élaboration et de révision/mise à jour des SPANB au </w:t>
      </w:r>
      <w:r>
        <w:rPr>
          <w:b/>
          <w:color w:val="000000"/>
          <w:szCs w:val="22"/>
          <w:lang w:val="fr-FR"/>
        </w:rPr>
        <w:t>16</w:t>
      </w:r>
      <w:r w:rsidR="003256E4">
        <w:rPr>
          <w:b/>
          <w:color w:val="000000"/>
          <w:szCs w:val="22"/>
          <w:lang w:val="fr-FR"/>
        </w:rPr>
        <w:t xml:space="preserve"> mars 20</w:t>
      </w:r>
      <w:r>
        <w:rPr>
          <w:b/>
          <w:color w:val="000000"/>
          <w:szCs w:val="22"/>
          <w:lang w:val="fr-FR"/>
        </w:rPr>
        <w:t>20</w:t>
      </w:r>
    </w:p>
    <w:tbl>
      <w:tblPr>
        <w:tblW w:w="7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98"/>
        <w:gridCol w:w="1690"/>
      </w:tblGrid>
      <w:tr w:rsidR="00790BFA" w:rsidRPr="00575A30" w14:paraId="78A9272C" w14:textId="77777777" w:rsidTr="00BE15D9">
        <w:trPr>
          <w:trHeight w:val="300"/>
          <w:jc w:val="center"/>
        </w:trPr>
        <w:tc>
          <w:tcPr>
            <w:tcW w:w="5598" w:type="dxa"/>
            <w:noWrap/>
            <w:tcMar>
              <w:top w:w="0" w:type="dxa"/>
              <w:left w:w="70" w:type="dxa"/>
              <w:bottom w:w="0" w:type="dxa"/>
              <w:right w:w="70" w:type="dxa"/>
            </w:tcMar>
            <w:vAlign w:val="center"/>
            <w:hideMark/>
          </w:tcPr>
          <w:p w14:paraId="374743CE" w14:textId="77777777" w:rsidR="00790BFA" w:rsidRPr="00575A30" w:rsidRDefault="004E183B" w:rsidP="00BE15D9">
            <w:pPr>
              <w:jc w:val="left"/>
              <w:rPr>
                <w:rFonts w:eastAsia="Calibri"/>
                <w:color w:val="000000"/>
                <w:szCs w:val="22"/>
                <w:lang w:val="fr-FR"/>
              </w:rPr>
            </w:pPr>
            <w:r w:rsidRPr="00575A30">
              <w:rPr>
                <w:color w:val="000000"/>
                <w:szCs w:val="22"/>
                <w:lang w:val="fr-FR"/>
              </w:rPr>
              <w:t xml:space="preserve">SPANB soumis </w:t>
            </w:r>
            <w:r w:rsidR="0086056E" w:rsidRPr="00575A30">
              <w:rPr>
                <w:color w:val="000000"/>
                <w:szCs w:val="22"/>
                <w:lang w:val="fr-FR"/>
              </w:rPr>
              <w:t>au Secrétariat</w:t>
            </w:r>
          </w:p>
        </w:tc>
        <w:tc>
          <w:tcPr>
            <w:tcW w:w="1690" w:type="dxa"/>
            <w:noWrap/>
            <w:tcMar>
              <w:top w:w="0" w:type="dxa"/>
              <w:left w:w="70" w:type="dxa"/>
              <w:bottom w:w="0" w:type="dxa"/>
              <w:right w:w="70" w:type="dxa"/>
            </w:tcMar>
            <w:vAlign w:val="center"/>
            <w:hideMark/>
          </w:tcPr>
          <w:p w14:paraId="440115AB" w14:textId="77777777" w:rsidR="00790BFA" w:rsidRPr="00575A30" w:rsidRDefault="00112A97" w:rsidP="00A40A6E">
            <w:pPr>
              <w:jc w:val="right"/>
              <w:rPr>
                <w:rFonts w:eastAsia="Calibri"/>
                <w:szCs w:val="22"/>
                <w:lang w:val="fr-FR"/>
              </w:rPr>
            </w:pPr>
            <w:r>
              <w:rPr>
                <w:szCs w:val="22"/>
                <w:lang w:val="fr-FR"/>
              </w:rPr>
              <w:t>170</w:t>
            </w:r>
          </w:p>
        </w:tc>
      </w:tr>
      <w:tr w:rsidR="00790BFA" w:rsidRPr="00575A30" w14:paraId="28E6E354" w14:textId="77777777" w:rsidTr="00BE15D9">
        <w:trPr>
          <w:trHeight w:val="300"/>
          <w:jc w:val="center"/>
        </w:trPr>
        <w:tc>
          <w:tcPr>
            <w:tcW w:w="5598" w:type="dxa"/>
            <w:tcMar>
              <w:top w:w="0" w:type="dxa"/>
              <w:left w:w="70" w:type="dxa"/>
              <w:bottom w:w="0" w:type="dxa"/>
              <w:right w:w="70" w:type="dxa"/>
            </w:tcMar>
            <w:vAlign w:val="center"/>
            <w:hideMark/>
          </w:tcPr>
          <w:p w14:paraId="0C50ABF6" w14:textId="77777777" w:rsidR="00790BFA" w:rsidRPr="00575A30" w:rsidRDefault="004E183B" w:rsidP="00112A97">
            <w:pPr>
              <w:jc w:val="left"/>
              <w:rPr>
                <w:rFonts w:eastAsia="Calibri"/>
                <w:color w:val="000000"/>
                <w:szCs w:val="22"/>
                <w:lang w:val="fr-FR"/>
              </w:rPr>
            </w:pPr>
            <w:r w:rsidRPr="00575A30">
              <w:rPr>
                <w:color w:val="000000"/>
                <w:szCs w:val="22"/>
                <w:lang w:val="fr-FR"/>
              </w:rPr>
              <w:t xml:space="preserve">SPANB </w:t>
            </w:r>
            <w:r w:rsidR="00112A97">
              <w:rPr>
                <w:color w:val="000000"/>
                <w:szCs w:val="22"/>
                <w:lang w:val="fr-FR"/>
              </w:rPr>
              <w:t xml:space="preserve">en préparation ou en révision, ou achevés </w:t>
            </w:r>
            <w:r w:rsidRPr="00575A30">
              <w:rPr>
                <w:color w:val="000000"/>
                <w:szCs w:val="22"/>
                <w:lang w:val="fr-FR"/>
              </w:rPr>
              <w:t>(e</w:t>
            </w:r>
            <w:r w:rsidR="00112A97">
              <w:rPr>
                <w:color w:val="000000"/>
                <w:szCs w:val="22"/>
                <w:lang w:val="fr-FR"/>
              </w:rPr>
              <w:t>t e</w:t>
            </w:r>
            <w:r w:rsidRPr="00575A30">
              <w:rPr>
                <w:color w:val="000000"/>
                <w:szCs w:val="22"/>
                <w:lang w:val="fr-FR"/>
              </w:rPr>
              <w:t xml:space="preserve">n attente </w:t>
            </w:r>
            <w:r w:rsidR="00E06A3B" w:rsidRPr="00575A30">
              <w:rPr>
                <w:color w:val="000000"/>
                <w:szCs w:val="22"/>
                <w:lang w:val="fr-FR"/>
              </w:rPr>
              <w:t>d'</w:t>
            </w:r>
            <w:r w:rsidRPr="00575A30">
              <w:rPr>
                <w:color w:val="000000"/>
                <w:szCs w:val="22"/>
                <w:lang w:val="fr-FR"/>
              </w:rPr>
              <w:t xml:space="preserve">approbation </w:t>
            </w:r>
            <w:r w:rsidR="00AE7951" w:rsidRPr="00575A30">
              <w:rPr>
                <w:color w:val="000000"/>
                <w:szCs w:val="22"/>
                <w:lang w:val="fr-FR"/>
              </w:rPr>
              <w:t>définitive</w:t>
            </w:r>
            <w:r w:rsidRPr="00575A30">
              <w:rPr>
                <w:color w:val="000000"/>
                <w:szCs w:val="22"/>
                <w:lang w:val="fr-FR"/>
              </w:rPr>
              <w:t>)</w:t>
            </w:r>
          </w:p>
        </w:tc>
        <w:tc>
          <w:tcPr>
            <w:tcW w:w="1690" w:type="dxa"/>
            <w:noWrap/>
            <w:tcMar>
              <w:top w:w="0" w:type="dxa"/>
              <w:left w:w="70" w:type="dxa"/>
              <w:bottom w:w="0" w:type="dxa"/>
              <w:right w:w="70" w:type="dxa"/>
            </w:tcMar>
            <w:vAlign w:val="center"/>
            <w:hideMark/>
          </w:tcPr>
          <w:p w14:paraId="0DE1C247" w14:textId="77777777" w:rsidR="00790BFA" w:rsidRPr="00575A30" w:rsidRDefault="00112A97" w:rsidP="00BE15D9">
            <w:pPr>
              <w:jc w:val="right"/>
              <w:rPr>
                <w:rFonts w:eastAsia="Calibri"/>
                <w:szCs w:val="22"/>
                <w:lang w:val="fr-FR"/>
              </w:rPr>
            </w:pPr>
            <w:r>
              <w:rPr>
                <w:szCs w:val="22"/>
                <w:lang w:val="fr-FR"/>
              </w:rPr>
              <w:t>20</w:t>
            </w:r>
          </w:p>
        </w:tc>
      </w:tr>
      <w:tr w:rsidR="00790BFA" w:rsidRPr="00575A30" w14:paraId="48E3BAD0" w14:textId="77777777" w:rsidTr="00BE15D9">
        <w:trPr>
          <w:trHeight w:val="300"/>
          <w:jc w:val="center"/>
        </w:trPr>
        <w:tc>
          <w:tcPr>
            <w:tcW w:w="5598" w:type="dxa"/>
            <w:noWrap/>
            <w:tcMar>
              <w:top w:w="0" w:type="dxa"/>
              <w:left w:w="70" w:type="dxa"/>
              <w:bottom w:w="0" w:type="dxa"/>
              <w:right w:w="70" w:type="dxa"/>
            </w:tcMar>
            <w:vAlign w:val="center"/>
            <w:hideMark/>
          </w:tcPr>
          <w:p w14:paraId="3CABD692" w14:textId="77777777" w:rsidR="00790BFA" w:rsidRPr="00575A30" w:rsidRDefault="004E183B" w:rsidP="00BE15D9">
            <w:pPr>
              <w:jc w:val="left"/>
              <w:rPr>
                <w:rFonts w:eastAsia="Calibri"/>
                <w:color w:val="000000"/>
                <w:szCs w:val="22"/>
                <w:lang w:val="fr-FR"/>
              </w:rPr>
            </w:pPr>
            <w:r w:rsidRPr="00575A30">
              <w:rPr>
                <w:color w:val="000000"/>
                <w:szCs w:val="22"/>
                <w:lang w:val="fr-FR"/>
              </w:rPr>
              <w:t xml:space="preserve">SPANB </w:t>
            </w:r>
            <w:r w:rsidR="00E06A3B" w:rsidRPr="00575A30">
              <w:rPr>
                <w:color w:val="000000"/>
                <w:szCs w:val="22"/>
                <w:lang w:val="fr-FR"/>
              </w:rPr>
              <w:t xml:space="preserve">qui ne devraient pas être mis </w:t>
            </w:r>
            <w:r w:rsidRPr="00575A30">
              <w:rPr>
                <w:color w:val="000000"/>
                <w:szCs w:val="22"/>
                <w:lang w:val="fr-FR"/>
              </w:rPr>
              <w:t>à jour dans un proche avenir</w:t>
            </w:r>
          </w:p>
        </w:tc>
        <w:tc>
          <w:tcPr>
            <w:tcW w:w="1690" w:type="dxa"/>
            <w:noWrap/>
            <w:tcMar>
              <w:top w:w="0" w:type="dxa"/>
              <w:left w:w="70" w:type="dxa"/>
              <w:bottom w:w="0" w:type="dxa"/>
              <w:right w:w="70" w:type="dxa"/>
            </w:tcMar>
            <w:vAlign w:val="center"/>
            <w:hideMark/>
          </w:tcPr>
          <w:p w14:paraId="27537CB4" w14:textId="77777777" w:rsidR="00790BFA" w:rsidRPr="00575A30" w:rsidRDefault="002146BC" w:rsidP="00BE15D9">
            <w:pPr>
              <w:jc w:val="right"/>
              <w:rPr>
                <w:rFonts w:eastAsia="Calibri"/>
                <w:color w:val="000000"/>
                <w:szCs w:val="22"/>
                <w:lang w:val="fr-FR"/>
              </w:rPr>
            </w:pPr>
            <w:r>
              <w:rPr>
                <w:color w:val="000000"/>
                <w:szCs w:val="22"/>
                <w:lang w:val="fr-FR"/>
              </w:rPr>
              <w:t>1</w:t>
            </w:r>
          </w:p>
        </w:tc>
      </w:tr>
      <w:tr w:rsidR="00790BFA" w:rsidRPr="00575A30" w14:paraId="47C76D35" w14:textId="77777777" w:rsidTr="00BE15D9">
        <w:trPr>
          <w:trHeight w:val="300"/>
          <w:jc w:val="center"/>
        </w:trPr>
        <w:tc>
          <w:tcPr>
            <w:tcW w:w="5598" w:type="dxa"/>
            <w:tcMar>
              <w:top w:w="0" w:type="dxa"/>
              <w:left w:w="70" w:type="dxa"/>
              <w:bottom w:w="0" w:type="dxa"/>
              <w:right w:w="70" w:type="dxa"/>
            </w:tcMar>
            <w:vAlign w:val="center"/>
            <w:hideMark/>
          </w:tcPr>
          <w:p w14:paraId="6382AAF5" w14:textId="77777777" w:rsidR="00790BFA" w:rsidRPr="00575A30" w:rsidRDefault="004E183B" w:rsidP="00BE15D9">
            <w:pPr>
              <w:jc w:val="left"/>
              <w:rPr>
                <w:rFonts w:eastAsia="Calibri"/>
                <w:color w:val="000000"/>
                <w:szCs w:val="22"/>
                <w:lang w:val="fr-FR"/>
              </w:rPr>
            </w:pPr>
            <w:r w:rsidRPr="00575A30">
              <w:rPr>
                <w:color w:val="000000"/>
                <w:szCs w:val="22"/>
                <w:lang w:val="fr-FR"/>
              </w:rPr>
              <w:t>Aucune information</w:t>
            </w:r>
          </w:p>
        </w:tc>
        <w:tc>
          <w:tcPr>
            <w:tcW w:w="1690" w:type="dxa"/>
            <w:noWrap/>
            <w:tcMar>
              <w:top w:w="0" w:type="dxa"/>
              <w:left w:w="70" w:type="dxa"/>
              <w:bottom w:w="0" w:type="dxa"/>
              <w:right w:w="70" w:type="dxa"/>
            </w:tcMar>
            <w:vAlign w:val="center"/>
            <w:hideMark/>
          </w:tcPr>
          <w:p w14:paraId="26E55A56" w14:textId="77777777" w:rsidR="00790BFA" w:rsidRPr="00575A30" w:rsidRDefault="00754FF7" w:rsidP="00BE15D9">
            <w:pPr>
              <w:jc w:val="right"/>
              <w:rPr>
                <w:rFonts w:eastAsia="Calibri"/>
                <w:color w:val="000000"/>
                <w:szCs w:val="22"/>
                <w:lang w:val="fr-FR"/>
              </w:rPr>
            </w:pPr>
            <w:r>
              <w:rPr>
                <w:color w:val="000000"/>
                <w:szCs w:val="22"/>
                <w:lang w:val="fr-FR"/>
              </w:rPr>
              <w:t>5</w:t>
            </w:r>
          </w:p>
        </w:tc>
      </w:tr>
      <w:tr w:rsidR="00790BFA" w:rsidRPr="00575A30" w14:paraId="43B5F9F1" w14:textId="77777777" w:rsidTr="00BE15D9">
        <w:trPr>
          <w:trHeight w:val="300"/>
          <w:jc w:val="center"/>
        </w:trPr>
        <w:tc>
          <w:tcPr>
            <w:tcW w:w="5598" w:type="dxa"/>
            <w:noWrap/>
            <w:tcMar>
              <w:top w:w="0" w:type="dxa"/>
              <w:left w:w="70" w:type="dxa"/>
              <w:bottom w:w="0" w:type="dxa"/>
              <w:right w:w="70" w:type="dxa"/>
            </w:tcMar>
            <w:vAlign w:val="center"/>
            <w:hideMark/>
          </w:tcPr>
          <w:p w14:paraId="48B56D89" w14:textId="77777777" w:rsidR="00790BFA" w:rsidRPr="00575A30" w:rsidRDefault="00790BFA" w:rsidP="00BE15D9">
            <w:pPr>
              <w:jc w:val="left"/>
              <w:rPr>
                <w:rFonts w:eastAsia="Calibri"/>
                <w:b/>
                <w:bCs/>
                <w:color w:val="000000"/>
                <w:szCs w:val="22"/>
                <w:lang w:val="fr-FR"/>
              </w:rPr>
            </w:pPr>
            <w:r w:rsidRPr="00575A30">
              <w:rPr>
                <w:b/>
                <w:bCs/>
                <w:color w:val="000000"/>
                <w:szCs w:val="22"/>
                <w:lang w:val="fr-FR"/>
              </w:rPr>
              <w:t>TOTAL</w:t>
            </w:r>
          </w:p>
        </w:tc>
        <w:tc>
          <w:tcPr>
            <w:tcW w:w="1690" w:type="dxa"/>
            <w:noWrap/>
            <w:tcMar>
              <w:top w:w="0" w:type="dxa"/>
              <w:left w:w="70" w:type="dxa"/>
              <w:bottom w:w="0" w:type="dxa"/>
              <w:right w:w="70" w:type="dxa"/>
            </w:tcMar>
            <w:vAlign w:val="center"/>
            <w:hideMark/>
          </w:tcPr>
          <w:p w14:paraId="7337EE18" w14:textId="77777777" w:rsidR="00790BFA" w:rsidRPr="00575A30" w:rsidRDefault="00790BFA" w:rsidP="00BE15D9">
            <w:pPr>
              <w:jc w:val="right"/>
              <w:rPr>
                <w:rFonts w:eastAsia="Calibri"/>
                <w:b/>
                <w:bCs/>
                <w:color w:val="000000"/>
                <w:szCs w:val="22"/>
                <w:lang w:val="fr-FR"/>
              </w:rPr>
            </w:pPr>
            <w:r w:rsidRPr="00575A30">
              <w:rPr>
                <w:b/>
                <w:bCs/>
                <w:color w:val="000000"/>
                <w:szCs w:val="22"/>
                <w:lang w:val="fr-FR"/>
              </w:rPr>
              <w:t>196</w:t>
            </w:r>
          </w:p>
        </w:tc>
      </w:tr>
    </w:tbl>
    <w:p w14:paraId="374269B1" w14:textId="77777777" w:rsidR="00790BFA" w:rsidRPr="00575A30" w:rsidRDefault="00790BFA" w:rsidP="00F177BA">
      <w:pPr>
        <w:pStyle w:val="Heading1multiline"/>
        <w:tabs>
          <w:tab w:val="clear" w:pos="720"/>
        </w:tabs>
        <w:spacing w:before="120"/>
        <w:rPr>
          <w:lang w:val="fr-FR"/>
        </w:rPr>
      </w:pPr>
      <w:r w:rsidRPr="00575A30">
        <w:rPr>
          <w:lang w:val="fr-FR"/>
        </w:rPr>
        <w:t xml:space="preserve">III. </w:t>
      </w:r>
      <w:r w:rsidRPr="00575A30">
        <w:rPr>
          <w:lang w:val="fr-FR"/>
        </w:rPr>
        <w:tab/>
      </w:r>
      <w:r w:rsidR="00F177BA" w:rsidRPr="00575A30">
        <w:rPr>
          <w:lang w:val="fr-FR"/>
        </w:rPr>
        <w:t>progrès</w:t>
      </w:r>
      <w:r w:rsidR="0055414F" w:rsidRPr="00575A30">
        <w:rPr>
          <w:lang w:val="fr-FR"/>
        </w:rPr>
        <w:t xml:space="preserve"> </w:t>
      </w:r>
      <w:r w:rsidR="00F177BA" w:rsidRPr="00575A30">
        <w:rPr>
          <w:lang w:val="fr-FR"/>
        </w:rPr>
        <w:t xml:space="preserve">dans l’établissement d’objectifs nationaux </w:t>
      </w:r>
      <w:r w:rsidR="00EB001B" w:rsidRPr="00575A30">
        <w:rPr>
          <w:lang w:val="fr-FR"/>
        </w:rPr>
        <w:t>en vue de</w:t>
      </w:r>
      <w:r w:rsidR="0055414F" w:rsidRPr="00575A30">
        <w:rPr>
          <w:lang w:val="fr-FR"/>
        </w:rPr>
        <w:t xml:space="preserve"> </w:t>
      </w:r>
      <w:r w:rsidR="00F177BA" w:rsidRPr="00575A30">
        <w:rPr>
          <w:lang w:val="fr-FR"/>
        </w:rPr>
        <w:t xml:space="preserve">la réalisation des Objectifs d’Aichi </w:t>
      </w:r>
      <w:r w:rsidR="0055414F" w:rsidRPr="00575A30">
        <w:rPr>
          <w:lang w:val="fr-FR"/>
        </w:rPr>
        <w:t xml:space="preserve">relatifs à </w:t>
      </w:r>
      <w:r w:rsidR="00F177BA" w:rsidRPr="00575A30">
        <w:rPr>
          <w:lang w:val="fr-FR"/>
        </w:rPr>
        <w:t>la</w:t>
      </w:r>
      <w:r w:rsidR="00BC6ED9" w:rsidRPr="00575A30">
        <w:rPr>
          <w:lang w:val="fr-FR"/>
        </w:rPr>
        <w:t xml:space="preserve"> </w:t>
      </w:r>
      <w:r w:rsidR="0055414F" w:rsidRPr="00575A30">
        <w:rPr>
          <w:lang w:val="fr-FR"/>
        </w:rPr>
        <w:t xml:space="preserve">diversité biologique </w:t>
      </w:r>
    </w:p>
    <w:p w14:paraId="09DD8EA9" w14:textId="77777777" w:rsidR="00790BFA" w:rsidRPr="00575A30" w:rsidRDefault="00BA04F8" w:rsidP="00F36F85">
      <w:pPr>
        <w:numPr>
          <w:ilvl w:val="0"/>
          <w:numId w:val="11"/>
        </w:numPr>
        <w:tabs>
          <w:tab w:val="clear" w:pos="540"/>
          <w:tab w:val="num" w:pos="709"/>
        </w:tabs>
        <w:spacing w:before="120" w:after="120"/>
        <w:ind w:left="0" w:firstLine="0"/>
        <w:rPr>
          <w:lang w:val="fr-FR"/>
        </w:rPr>
      </w:pPr>
      <w:bookmarkStart w:id="0" w:name="_Ref320369045"/>
      <w:r w:rsidRPr="00575A30">
        <w:rPr>
          <w:lang w:val="fr-FR"/>
        </w:rPr>
        <w:t>Dans sa décision </w:t>
      </w:r>
      <w:r w:rsidR="00790BFA" w:rsidRPr="00575A30">
        <w:rPr>
          <w:lang w:val="fr-FR"/>
        </w:rPr>
        <w:t>X/2,</w:t>
      </w:r>
      <w:r w:rsidRPr="00575A30">
        <w:rPr>
          <w:lang w:val="fr-FR"/>
        </w:rPr>
        <w:t xml:space="preserve"> la Conférence des Parties a exhorté les Parties et les autres gouvernements à </w:t>
      </w:r>
      <w:r w:rsidRPr="00575A30">
        <w:rPr>
          <w:noProof/>
          <w:lang w:val="fr-FR"/>
        </w:rPr>
        <w:t xml:space="preserve">élaborer des objectifs nationaux et régionaux, en </w:t>
      </w:r>
      <w:r w:rsidR="006F3CD9" w:rsidRPr="00575A30">
        <w:rPr>
          <w:noProof/>
          <w:lang w:val="fr-FR"/>
        </w:rPr>
        <w:t xml:space="preserve">utilisant le </w:t>
      </w:r>
      <w:r w:rsidR="00924FF2" w:rsidRPr="00575A30">
        <w:rPr>
          <w:noProof/>
          <w:lang w:val="fr-FR"/>
        </w:rPr>
        <w:t xml:space="preserve">Plan stratégique 2011-2020 pour la diversité biologique </w:t>
      </w:r>
      <w:r w:rsidRPr="00575A30">
        <w:rPr>
          <w:noProof/>
          <w:lang w:val="fr-FR"/>
        </w:rPr>
        <w:t>et</w:t>
      </w:r>
      <w:r w:rsidR="00746B63" w:rsidRPr="00575A30">
        <w:rPr>
          <w:noProof/>
          <w:lang w:val="fr-FR"/>
        </w:rPr>
        <w:t xml:space="preserve"> ses objectifs d’Aichi comme </w:t>
      </w:r>
      <w:r w:rsidRPr="00575A30">
        <w:rPr>
          <w:noProof/>
          <w:lang w:val="fr-FR"/>
        </w:rPr>
        <w:t xml:space="preserve">cadre souple, conformément aux priorités et aux capacités nationales et en tenant compte de l’état et des tendances de la diversité biologique dans chaque pays, ainsi que des ressources fournies </w:t>
      </w:r>
      <w:r w:rsidR="008027F6" w:rsidRPr="00575A30">
        <w:rPr>
          <w:noProof/>
          <w:lang w:val="fr-FR"/>
        </w:rPr>
        <w:t xml:space="preserve">grâce à </w:t>
      </w:r>
      <w:r w:rsidRPr="00575A30">
        <w:rPr>
          <w:noProof/>
          <w:lang w:val="fr-FR"/>
        </w:rPr>
        <w:t xml:space="preserve">la </w:t>
      </w:r>
      <w:r w:rsidR="006F3CD9" w:rsidRPr="00575A30">
        <w:rPr>
          <w:noProof/>
          <w:lang w:val="fr-FR"/>
        </w:rPr>
        <w:t>s</w:t>
      </w:r>
      <w:r w:rsidRPr="00575A30">
        <w:rPr>
          <w:noProof/>
          <w:lang w:val="fr-FR"/>
        </w:rPr>
        <w:t xml:space="preserve">tratégie de mobilisation des ressources, </w:t>
      </w:r>
      <w:r w:rsidR="00CF01FB" w:rsidRPr="00575A30">
        <w:rPr>
          <w:noProof/>
          <w:lang w:val="fr-FR"/>
        </w:rPr>
        <w:t xml:space="preserve">et </w:t>
      </w:r>
      <w:r w:rsidRPr="00575A30">
        <w:rPr>
          <w:noProof/>
          <w:lang w:val="fr-FR"/>
        </w:rPr>
        <w:t>en</w:t>
      </w:r>
      <w:r w:rsidR="00CF01FB" w:rsidRPr="00575A30">
        <w:rPr>
          <w:noProof/>
          <w:lang w:val="fr-FR"/>
        </w:rPr>
        <w:t xml:space="preserve"> tenant compte aussi des contributions nationales</w:t>
      </w:r>
      <w:r w:rsidRPr="00575A30">
        <w:rPr>
          <w:noProof/>
          <w:lang w:val="fr-FR"/>
        </w:rPr>
        <w:t xml:space="preserve"> </w:t>
      </w:r>
      <w:r w:rsidR="00CF01FB" w:rsidRPr="00575A30">
        <w:rPr>
          <w:noProof/>
          <w:lang w:val="fr-FR"/>
        </w:rPr>
        <w:t>à la réalisation des objectifs mondiaux,</w:t>
      </w:r>
      <w:r w:rsidRPr="00575A30">
        <w:rPr>
          <w:noProof/>
          <w:lang w:val="fr-FR"/>
        </w:rPr>
        <w:t xml:space="preserve"> et </w:t>
      </w:r>
      <w:r w:rsidR="00CF01FB" w:rsidRPr="00575A30">
        <w:rPr>
          <w:noProof/>
          <w:lang w:val="fr-FR"/>
        </w:rPr>
        <w:t xml:space="preserve">de </w:t>
      </w:r>
      <w:r w:rsidRPr="00575A30">
        <w:rPr>
          <w:noProof/>
          <w:lang w:val="fr-FR"/>
        </w:rPr>
        <w:t xml:space="preserve">faire rapport à ce sujet à </w:t>
      </w:r>
      <w:r w:rsidR="006F3CD9" w:rsidRPr="00575A30">
        <w:rPr>
          <w:noProof/>
          <w:lang w:val="fr-FR"/>
        </w:rPr>
        <w:t>l</w:t>
      </w:r>
      <w:r w:rsidRPr="00575A30">
        <w:rPr>
          <w:noProof/>
          <w:lang w:val="fr-FR"/>
        </w:rPr>
        <w:t xml:space="preserve">a </w:t>
      </w:r>
      <w:r w:rsidR="006F3CD9" w:rsidRPr="00575A30">
        <w:rPr>
          <w:noProof/>
          <w:lang w:val="fr-FR"/>
        </w:rPr>
        <w:t>Conférence des Parties</w:t>
      </w:r>
      <w:r w:rsidR="009A4358">
        <w:rPr>
          <w:noProof/>
          <w:lang w:val="fr-FR"/>
        </w:rPr>
        <w:t>, à sa onzième réunion</w:t>
      </w:r>
      <w:r w:rsidRPr="00575A30">
        <w:rPr>
          <w:noProof/>
          <w:lang w:val="fr-FR"/>
        </w:rPr>
        <w:t>.</w:t>
      </w:r>
      <w:r w:rsidR="00CF01FB" w:rsidRPr="00575A30">
        <w:rPr>
          <w:noProof/>
          <w:lang w:val="fr-FR"/>
        </w:rPr>
        <w:t xml:space="preserve"> Très peu de Parties ont été en mesure de </w:t>
      </w:r>
      <w:r w:rsidR="002146BC">
        <w:rPr>
          <w:noProof/>
          <w:lang w:val="fr-FR"/>
        </w:rPr>
        <w:t xml:space="preserve">respecter cette échéance. Par contre, 169 Parties avaient soumis leurs objectifs nationaux au 16 mars 2020. </w:t>
      </w:r>
      <w:bookmarkEnd w:id="0"/>
    </w:p>
    <w:p w14:paraId="13B69754" w14:textId="77777777" w:rsidR="00790BFA" w:rsidRPr="00787C37" w:rsidRDefault="00FB1F77" w:rsidP="00D273B4">
      <w:pPr>
        <w:numPr>
          <w:ilvl w:val="0"/>
          <w:numId w:val="11"/>
        </w:numPr>
        <w:tabs>
          <w:tab w:val="clear" w:pos="540"/>
          <w:tab w:val="num" w:pos="709"/>
        </w:tabs>
        <w:spacing w:before="120" w:after="120"/>
        <w:ind w:left="0" w:firstLine="0"/>
        <w:rPr>
          <w:szCs w:val="22"/>
          <w:lang w:val="fr-FR"/>
        </w:rPr>
      </w:pPr>
      <w:r w:rsidRPr="00787C37">
        <w:rPr>
          <w:lang w:val="fr-FR"/>
        </w:rPr>
        <w:t xml:space="preserve">Le Secrétariat </w:t>
      </w:r>
      <w:r w:rsidR="002146BC">
        <w:rPr>
          <w:lang w:val="fr-FR"/>
        </w:rPr>
        <w:t>a constitué</w:t>
      </w:r>
      <w:r w:rsidR="00540108" w:rsidRPr="00787C37">
        <w:rPr>
          <w:lang w:val="fr-FR"/>
        </w:rPr>
        <w:t xml:space="preserve"> </w:t>
      </w:r>
      <w:r w:rsidR="00CC3FFB" w:rsidRPr="00787C37">
        <w:rPr>
          <w:lang w:val="fr-FR"/>
        </w:rPr>
        <w:t>une base de données de tous les « objectifs »</w:t>
      </w:r>
      <w:r w:rsidR="00CC3FFB" w:rsidRPr="00575A30">
        <w:rPr>
          <w:rStyle w:val="FootnoteReference"/>
          <w:lang w:val="fr-FR"/>
        </w:rPr>
        <w:footnoteReference w:id="5"/>
      </w:r>
      <w:r w:rsidR="00CC3FFB" w:rsidRPr="00787C37">
        <w:rPr>
          <w:lang w:val="fr-FR"/>
        </w:rPr>
        <w:t xml:space="preserve"> présentés dans les SPANB, </w:t>
      </w:r>
      <w:r w:rsidR="00FA4A1D" w:rsidRPr="00787C37">
        <w:rPr>
          <w:lang w:val="fr-FR"/>
        </w:rPr>
        <w:t xml:space="preserve">les </w:t>
      </w:r>
      <w:r w:rsidR="00CC3FFB" w:rsidRPr="00787C37">
        <w:rPr>
          <w:lang w:val="fr-FR"/>
        </w:rPr>
        <w:t xml:space="preserve">cinquièmes rapports nationaux ou </w:t>
      </w:r>
      <w:r w:rsidR="00FA4A1D" w:rsidRPr="00787C37">
        <w:rPr>
          <w:lang w:val="fr-FR"/>
        </w:rPr>
        <w:t xml:space="preserve">les </w:t>
      </w:r>
      <w:r w:rsidR="00CC3FFB" w:rsidRPr="00787C37">
        <w:rPr>
          <w:lang w:val="fr-FR"/>
        </w:rPr>
        <w:t>documents</w:t>
      </w:r>
      <w:r w:rsidR="00924B8E" w:rsidRPr="00787C37">
        <w:rPr>
          <w:lang w:val="fr-FR"/>
        </w:rPr>
        <w:t xml:space="preserve"> </w:t>
      </w:r>
      <w:r w:rsidR="00CC3FFB" w:rsidRPr="00787C37">
        <w:rPr>
          <w:lang w:val="fr-FR"/>
        </w:rPr>
        <w:t xml:space="preserve">soumis </w:t>
      </w:r>
      <w:r w:rsidR="004743F9" w:rsidRPr="00787C37">
        <w:rPr>
          <w:lang w:val="fr-FR"/>
        </w:rPr>
        <w:t xml:space="preserve">à part </w:t>
      </w:r>
      <w:r w:rsidR="00CC3FFB" w:rsidRPr="00787C37">
        <w:rPr>
          <w:lang w:val="fr-FR"/>
        </w:rPr>
        <w:t xml:space="preserve">depuis la dixième réunion de la Conférence des Parties. Au </w:t>
      </w:r>
      <w:r w:rsidR="002146BC">
        <w:rPr>
          <w:lang w:val="fr-FR"/>
        </w:rPr>
        <w:t>16 mars 2020</w:t>
      </w:r>
      <w:r w:rsidR="00CC3FFB" w:rsidRPr="00787C37">
        <w:rPr>
          <w:lang w:val="fr-FR"/>
        </w:rPr>
        <w:t xml:space="preserve">, la base de données contenait </w:t>
      </w:r>
      <w:r w:rsidR="002146BC">
        <w:rPr>
          <w:lang w:val="fr-FR"/>
        </w:rPr>
        <w:t>4 107</w:t>
      </w:r>
      <w:r w:rsidR="00754FF7">
        <w:rPr>
          <w:lang w:val="fr-FR"/>
        </w:rPr>
        <w:t xml:space="preserve"> </w:t>
      </w:r>
      <w:r w:rsidR="00CC3FFB" w:rsidRPr="00787C37">
        <w:rPr>
          <w:lang w:val="fr-FR"/>
        </w:rPr>
        <w:t xml:space="preserve">« objectifs » distincts. </w:t>
      </w:r>
      <w:r w:rsidR="00B65109" w:rsidRPr="00787C37">
        <w:rPr>
          <w:lang w:val="fr-FR"/>
        </w:rPr>
        <w:t xml:space="preserve">Chaque fois que </w:t>
      </w:r>
      <w:r w:rsidR="004743F9" w:rsidRPr="00787C37">
        <w:rPr>
          <w:lang w:val="fr-FR"/>
        </w:rPr>
        <w:t>d</w:t>
      </w:r>
      <w:r w:rsidR="00B65109" w:rsidRPr="00787C37">
        <w:rPr>
          <w:lang w:val="fr-FR"/>
        </w:rPr>
        <w:t xml:space="preserve">es objectifs nationaux ont été mis en rapport avec les objectifs mondiaux par la Partie concernée, cela est </w:t>
      </w:r>
      <w:r w:rsidR="004743F9" w:rsidRPr="00787C37">
        <w:rPr>
          <w:lang w:val="fr-FR"/>
        </w:rPr>
        <w:t xml:space="preserve">reflété </w:t>
      </w:r>
      <w:r w:rsidR="00B65109" w:rsidRPr="00787C37">
        <w:rPr>
          <w:lang w:val="fr-FR"/>
        </w:rPr>
        <w:t>dans la base de données</w:t>
      </w:r>
      <w:r w:rsidR="004743F9" w:rsidRPr="00787C37">
        <w:rPr>
          <w:lang w:val="fr-FR"/>
        </w:rPr>
        <w:t>, ce qui est à</w:t>
      </w:r>
      <w:r w:rsidR="00B65109" w:rsidRPr="00787C37">
        <w:rPr>
          <w:lang w:val="fr-FR"/>
        </w:rPr>
        <w:t xml:space="preserve"> ce jour</w:t>
      </w:r>
      <w:r w:rsidR="004743F9" w:rsidRPr="00787C37">
        <w:rPr>
          <w:lang w:val="fr-FR"/>
        </w:rPr>
        <w:t xml:space="preserve"> le cas pour</w:t>
      </w:r>
      <w:r w:rsidR="00B65109" w:rsidRPr="00787C37">
        <w:rPr>
          <w:lang w:val="fr-FR"/>
        </w:rPr>
        <w:t xml:space="preserve"> </w:t>
      </w:r>
      <w:r w:rsidR="007B6E5D">
        <w:rPr>
          <w:lang w:val="fr-FR"/>
        </w:rPr>
        <w:t>99</w:t>
      </w:r>
      <w:r w:rsidR="0039331E" w:rsidRPr="00787C37">
        <w:rPr>
          <w:lang w:val="fr-FR"/>
        </w:rPr>
        <w:t> </w:t>
      </w:r>
      <w:r w:rsidR="00B65109" w:rsidRPr="00787C37">
        <w:rPr>
          <w:lang w:val="fr-FR"/>
        </w:rPr>
        <w:t>Parties</w:t>
      </w:r>
      <w:r w:rsidR="0001700C" w:rsidRPr="00575A30">
        <w:rPr>
          <w:rStyle w:val="FootnoteReference"/>
          <w:snapToGrid w:val="0"/>
          <w:kern w:val="22"/>
          <w:szCs w:val="22"/>
          <w:lang w:val="fr-FR"/>
        </w:rPr>
        <w:footnoteReference w:id="6"/>
      </w:r>
      <w:r w:rsidR="000E736B" w:rsidRPr="00787C37">
        <w:rPr>
          <w:lang w:val="fr-FR"/>
        </w:rPr>
        <w:t xml:space="preserve">. Une analyse plus poussée </w:t>
      </w:r>
      <w:r w:rsidR="000E736B" w:rsidRPr="00787C37">
        <w:rPr>
          <w:lang w:val="fr-FR"/>
        </w:rPr>
        <w:lastRenderedPageBreak/>
        <w:t xml:space="preserve">des objectifs nationaux figure dans l’analyse </w:t>
      </w:r>
      <w:r w:rsidR="00FA4A1D" w:rsidRPr="00787C37">
        <w:rPr>
          <w:lang w:val="fr-FR"/>
        </w:rPr>
        <w:t xml:space="preserve">actualisée </w:t>
      </w:r>
      <w:r w:rsidR="000E736B" w:rsidRPr="00787C37">
        <w:rPr>
          <w:lang w:val="fr-FR"/>
        </w:rPr>
        <w:t xml:space="preserve">de la contribution des objectifs établis par les Parties et des progrès </w:t>
      </w:r>
      <w:r w:rsidR="00FA4A1D" w:rsidRPr="00787C37">
        <w:rPr>
          <w:lang w:val="fr-FR"/>
        </w:rPr>
        <w:t xml:space="preserve">accomplis </w:t>
      </w:r>
      <w:r w:rsidR="000E736B" w:rsidRPr="00787C37">
        <w:rPr>
          <w:lang w:val="fr-FR"/>
        </w:rPr>
        <w:t xml:space="preserve">dans la réalisation des </w:t>
      </w:r>
      <w:r w:rsidR="00FA4A1D" w:rsidRPr="00787C37">
        <w:rPr>
          <w:lang w:val="fr-FR"/>
        </w:rPr>
        <w:t>o</w:t>
      </w:r>
      <w:r w:rsidR="000E736B" w:rsidRPr="00787C37">
        <w:rPr>
          <w:lang w:val="fr-FR"/>
        </w:rPr>
        <w:t xml:space="preserve">bjectifs d’Aichi </w:t>
      </w:r>
      <w:r w:rsidR="00FA4A1D" w:rsidRPr="00787C37">
        <w:rPr>
          <w:lang w:val="fr-FR"/>
        </w:rPr>
        <w:t xml:space="preserve">relatifs à la diversité biologique </w:t>
      </w:r>
      <w:r w:rsidR="000E736B" w:rsidRPr="00787C37">
        <w:rPr>
          <w:szCs w:val="22"/>
          <w:lang w:val="fr-FR"/>
        </w:rPr>
        <w:t>(</w:t>
      </w:r>
      <w:r w:rsidR="007B6E5D">
        <w:rPr>
          <w:szCs w:val="22"/>
          <w:lang w:val="fr-FR"/>
        </w:rPr>
        <w:t>CBD/SBI/3</w:t>
      </w:r>
      <w:r w:rsidR="008D06D4">
        <w:rPr>
          <w:szCs w:val="22"/>
          <w:lang w:val="fr-FR"/>
        </w:rPr>
        <w:t>/2/Add.2</w:t>
      </w:r>
      <w:r w:rsidR="000E736B" w:rsidRPr="00787C37">
        <w:rPr>
          <w:szCs w:val="22"/>
          <w:lang w:val="fr-FR"/>
        </w:rPr>
        <w:t>).</w:t>
      </w:r>
    </w:p>
    <w:p w14:paraId="5ED83241" w14:textId="77777777" w:rsidR="0065634D" w:rsidRPr="00575A30" w:rsidRDefault="00967F53" w:rsidP="00707087">
      <w:pPr>
        <w:pStyle w:val="HEADING"/>
        <w:ind w:left="1418" w:hanging="567"/>
        <w:jc w:val="left"/>
        <w:rPr>
          <w:kern w:val="22"/>
          <w:lang w:val="fr-FR"/>
        </w:rPr>
      </w:pPr>
      <w:r w:rsidRPr="00575A30">
        <w:rPr>
          <w:kern w:val="22"/>
          <w:lang w:val="fr-FR"/>
        </w:rPr>
        <w:t>I</w:t>
      </w:r>
      <w:r w:rsidR="0065634D" w:rsidRPr="00575A30">
        <w:rPr>
          <w:kern w:val="22"/>
          <w:lang w:val="fr-FR"/>
        </w:rPr>
        <w:t>V</w:t>
      </w:r>
      <w:r w:rsidR="00930AEE" w:rsidRPr="00575A30">
        <w:rPr>
          <w:kern w:val="22"/>
          <w:lang w:val="fr-FR"/>
        </w:rPr>
        <w:t>.</w:t>
      </w:r>
      <w:r w:rsidR="00930AEE" w:rsidRPr="00575A30">
        <w:rPr>
          <w:kern w:val="22"/>
          <w:lang w:val="fr-FR"/>
        </w:rPr>
        <w:tab/>
      </w:r>
      <w:r w:rsidR="00707087" w:rsidRPr="001503CF">
        <w:rPr>
          <w:kern w:val="22"/>
          <w:lang w:val="fr-FR"/>
        </w:rPr>
        <w:t>analyse des</w:t>
      </w:r>
      <w:r w:rsidR="00707087" w:rsidRPr="00575A30">
        <w:rPr>
          <w:kern w:val="22"/>
          <w:lang w:val="fr-FR"/>
        </w:rPr>
        <w:t xml:space="preserve"> données</w:t>
      </w:r>
      <w:r w:rsidR="001C1749" w:rsidRPr="00575A30">
        <w:rPr>
          <w:kern w:val="22"/>
          <w:lang w:val="fr-FR"/>
        </w:rPr>
        <w:t xml:space="preserve"> des spanb reçus après l’adoption du Plan stratégique 2011-2020 pour la diversité biologique</w:t>
      </w:r>
      <w:r w:rsidR="00F216A3" w:rsidRPr="00575A30">
        <w:rPr>
          <w:kern w:val="22"/>
          <w:lang w:val="fr-FR"/>
        </w:rPr>
        <w:t xml:space="preserve"> </w:t>
      </w:r>
    </w:p>
    <w:p w14:paraId="270CBF0E" w14:textId="77777777" w:rsidR="008F324A" w:rsidRPr="00575A30" w:rsidRDefault="00B94C7D" w:rsidP="00F36F85">
      <w:pPr>
        <w:numPr>
          <w:ilvl w:val="0"/>
          <w:numId w:val="11"/>
        </w:numPr>
        <w:tabs>
          <w:tab w:val="clear" w:pos="540"/>
          <w:tab w:val="num" w:pos="709"/>
        </w:tabs>
        <w:spacing w:before="120" w:after="120"/>
        <w:ind w:left="0" w:firstLine="0"/>
        <w:rPr>
          <w:kern w:val="22"/>
          <w:szCs w:val="22"/>
          <w:lang w:val="fr-FR"/>
        </w:rPr>
      </w:pPr>
      <w:r w:rsidRPr="00575A30">
        <w:rPr>
          <w:kern w:val="22"/>
          <w:szCs w:val="22"/>
          <w:lang w:val="fr-FR"/>
        </w:rPr>
        <w:t xml:space="preserve">Le </w:t>
      </w:r>
      <w:r w:rsidR="001C1749" w:rsidRPr="00575A30">
        <w:rPr>
          <w:kern w:val="22"/>
          <w:szCs w:val="22"/>
          <w:lang w:val="fr-FR"/>
        </w:rPr>
        <w:t xml:space="preserve">présent </w:t>
      </w:r>
      <w:r w:rsidRPr="00575A30">
        <w:rPr>
          <w:kern w:val="22"/>
          <w:szCs w:val="22"/>
          <w:lang w:val="fr-FR"/>
        </w:rPr>
        <w:t xml:space="preserve">chapitre </w:t>
      </w:r>
      <w:r w:rsidR="001503CF">
        <w:rPr>
          <w:kern w:val="22"/>
          <w:szCs w:val="22"/>
          <w:lang w:val="fr-FR"/>
        </w:rPr>
        <w:t>présente un compte rendu d</w:t>
      </w:r>
      <w:r w:rsidR="001C1749" w:rsidRPr="00575A30">
        <w:rPr>
          <w:kern w:val="22"/>
          <w:szCs w:val="22"/>
          <w:lang w:val="fr-FR"/>
        </w:rPr>
        <w:t>es principales const</w:t>
      </w:r>
      <w:r w:rsidR="00E41600">
        <w:rPr>
          <w:kern w:val="22"/>
          <w:szCs w:val="22"/>
          <w:lang w:val="fr-FR"/>
        </w:rPr>
        <w:t xml:space="preserve">atations découlant de l’analyse réalisée à l’interne </w:t>
      </w:r>
      <w:r w:rsidR="001C1749" w:rsidRPr="00575A30">
        <w:rPr>
          <w:kern w:val="22"/>
          <w:szCs w:val="22"/>
          <w:lang w:val="fr-FR"/>
        </w:rPr>
        <w:t xml:space="preserve">de </w:t>
      </w:r>
      <w:r w:rsidR="009214EC">
        <w:rPr>
          <w:kern w:val="22"/>
          <w:szCs w:val="22"/>
          <w:lang w:val="fr-FR"/>
        </w:rPr>
        <w:t>167</w:t>
      </w:r>
      <w:r w:rsidR="0039331E" w:rsidRPr="00575A30">
        <w:rPr>
          <w:kern w:val="22"/>
          <w:szCs w:val="22"/>
          <w:lang w:val="fr-FR"/>
        </w:rPr>
        <w:t> </w:t>
      </w:r>
      <w:r w:rsidR="001C1749" w:rsidRPr="00575A30">
        <w:rPr>
          <w:kern w:val="22"/>
          <w:szCs w:val="22"/>
          <w:lang w:val="fr-FR"/>
        </w:rPr>
        <w:t>SPANB soumis au Secrétariat</w:t>
      </w:r>
      <w:r w:rsidR="008E08EE" w:rsidRPr="00575A30">
        <w:rPr>
          <w:kern w:val="22"/>
          <w:szCs w:val="22"/>
          <w:lang w:val="fr-FR"/>
        </w:rPr>
        <w:t xml:space="preserve">, dans l'une des langues officielles </w:t>
      </w:r>
      <w:r w:rsidR="00E41600">
        <w:rPr>
          <w:kern w:val="22"/>
          <w:szCs w:val="22"/>
          <w:lang w:val="fr-FR"/>
        </w:rPr>
        <w:t>des Nations Unies</w:t>
      </w:r>
      <w:r w:rsidR="008E08EE" w:rsidRPr="00575A30">
        <w:rPr>
          <w:kern w:val="22"/>
          <w:szCs w:val="22"/>
          <w:lang w:val="fr-FR"/>
        </w:rPr>
        <w:t>,</w:t>
      </w:r>
      <w:r w:rsidR="001C1749" w:rsidRPr="00575A30">
        <w:rPr>
          <w:kern w:val="22"/>
          <w:szCs w:val="22"/>
          <w:lang w:val="fr-FR"/>
        </w:rPr>
        <w:t xml:space="preserve"> </w:t>
      </w:r>
      <w:r w:rsidR="00E41600">
        <w:rPr>
          <w:kern w:val="22"/>
          <w:szCs w:val="22"/>
          <w:lang w:val="fr-FR"/>
        </w:rPr>
        <w:t>en date du</w:t>
      </w:r>
      <w:r w:rsidR="001C1749" w:rsidRPr="00575A30">
        <w:rPr>
          <w:kern w:val="22"/>
          <w:szCs w:val="22"/>
          <w:lang w:val="fr-FR"/>
        </w:rPr>
        <w:t xml:space="preserve"> </w:t>
      </w:r>
      <w:r w:rsidR="009214EC">
        <w:rPr>
          <w:kern w:val="22"/>
          <w:szCs w:val="22"/>
          <w:lang w:val="fr-FR"/>
        </w:rPr>
        <w:t>16 mars 2020</w:t>
      </w:r>
      <w:r w:rsidR="001C1749" w:rsidRPr="00575A30">
        <w:rPr>
          <w:kern w:val="22"/>
          <w:szCs w:val="22"/>
          <w:lang w:val="fr-FR"/>
        </w:rPr>
        <w:t>.</w:t>
      </w:r>
      <w:r w:rsidR="001C1749" w:rsidRPr="00575A30">
        <w:rPr>
          <w:rStyle w:val="FootnoteReference"/>
          <w:kern w:val="22"/>
          <w:lang w:val="fr-FR"/>
        </w:rPr>
        <w:footnoteReference w:id="7"/>
      </w:r>
      <w:r w:rsidR="001C1749" w:rsidRPr="00575A30">
        <w:rPr>
          <w:kern w:val="22"/>
          <w:szCs w:val="22"/>
          <w:lang w:val="fr-FR"/>
        </w:rPr>
        <w:t xml:space="preserve"> </w:t>
      </w:r>
      <w:r w:rsidR="009214EC">
        <w:rPr>
          <w:kern w:val="22"/>
          <w:szCs w:val="22"/>
          <w:lang w:val="fr-FR"/>
        </w:rPr>
        <w:t>Les critères de c</w:t>
      </w:r>
      <w:r w:rsidR="00466A6E" w:rsidRPr="00575A30">
        <w:rPr>
          <w:kern w:val="22"/>
          <w:szCs w:val="22"/>
          <w:lang w:val="fr-FR"/>
        </w:rPr>
        <w:t xml:space="preserve">ette analyse </w:t>
      </w:r>
      <w:r w:rsidR="009214EC">
        <w:rPr>
          <w:kern w:val="22"/>
          <w:szCs w:val="22"/>
          <w:lang w:val="fr-FR"/>
        </w:rPr>
        <w:t>sont fondés</w:t>
      </w:r>
      <w:r w:rsidR="008E08EE" w:rsidRPr="00575A30">
        <w:rPr>
          <w:kern w:val="22"/>
          <w:szCs w:val="22"/>
          <w:lang w:val="fr-FR"/>
        </w:rPr>
        <w:t xml:space="preserve"> </w:t>
      </w:r>
      <w:r w:rsidR="00466A6E" w:rsidRPr="00575A30">
        <w:rPr>
          <w:kern w:val="22"/>
          <w:szCs w:val="22"/>
          <w:lang w:val="fr-FR"/>
        </w:rPr>
        <w:t xml:space="preserve">sur les orientations concernant les SPANB adoptées dans la </w:t>
      </w:r>
      <w:hyperlink r:id="rId14" w:history="1">
        <w:r w:rsidR="00466A6E" w:rsidRPr="00E41600">
          <w:rPr>
            <w:rStyle w:val="Hyperlink"/>
            <w:kern w:val="22"/>
            <w:szCs w:val="22"/>
            <w:lang w:val="fr-FR"/>
          </w:rPr>
          <w:t>décision IX/8</w:t>
        </w:r>
      </w:hyperlink>
      <w:r w:rsidR="00466A6E" w:rsidRPr="00575A30">
        <w:rPr>
          <w:kern w:val="22"/>
          <w:szCs w:val="22"/>
          <w:lang w:val="fr-FR"/>
        </w:rPr>
        <w:t xml:space="preserve"> </w:t>
      </w:r>
      <w:r w:rsidR="0086617F">
        <w:rPr>
          <w:kern w:val="22"/>
          <w:szCs w:val="22"/>
          <w:lang w:val="fr-FR"/>
        </w:rPr>
        <w:t>dans</w:t>
      </w:r>
      <w:r w:rsidR="00466A6E" w:rsidRPr="00575A30">
        <w:rPr>
          <w:kern w:val="22"/>
          <w:szCs w:val="22"/>
          <w:lang w:val="fr-FR"/>
        </w:rPr>
        <w:t xml:space="preserve"> les catégories suivantes : a) les informations de base</w:t>
      </w:r>
      <w:r w:rsidR="00BC6ED9" w:rsidRPr="00575A30">
        <w:rPr>
          <w:kern w:val="22"/>
          <w:szCs w:val="22"/>
          <w:lang w:val="fr-FR"/>
        </w:rPr>
        <w:t> ;</w:t>
      </w:r>
      <w:r w:rsidR="00466A6E" w:rsidRPr="00575A30">
        <w:rPr>
          <w:kern w:val="22"/>
          <w:szCs w:val="22"/>
          <w:lang w:val="fr-FR"/>
        </w:rPr>
        <w:t xml:space="preserve"> b) le processus</w:t>
      </w:r>
      <w:r w:rsidR="00A86285" w:rsidRPr="00575A30">
        <w:rPr>
          <w:kern w:val="22"/>
          <w:szCs w:val="22"/>
          <w:lang w:val="fr-FR"/>
        </w:rPr>
        <w:t xml:space="preserve"> de révision</w:t>
      </w:r>
      <w:r w:rsidR="00BC6ED9" w:rsidRPr="00575A30">
        <w:rPr>
          <w:kern w:val="22"/>
          <w:szCs w:val="22"/>
          <w:lang w:val="fr-FR"/>
        </w:rPr>
        <w:t> ;</w:t>
      </w:r>
      <w:r w:rsidR="00A86285" w:rsidRPr="00575A30">
        <w:rPr>
          <w:kern w:val="22"/>
          <w:szCs w:val="22"/>
          <w:lang w:val="fr-FR"/>
        </w:rPr>
        <w:t xml:space="preserve"> c) les élément</w:t>
      </w:r>
      <w:r w:rsidR="00466A6E" w:rsidRPr="00575A30">
        <w:rPr>
          <w:kern w:val="22"/>
          <w:szCs w:val="22"/>
          <w:lang w:val="fr-FR"/>
        </w:rPr>
        <w:t>s des SPANB et d) l’intégration. Les informations d</w:t>
      </w:r>
      <w:r w:rsidR="0001700C" w:rsidRPr="00575A30">
        <w:rPr>
          <w:kern w:val="22"/>
          <w:szCs w:val="22"/>
          <w:lang w:val="fr-FR"/>
        </w:rPr>
        <w:t>e</w:t>
      </w:r>
      <w:r w:rsidR="00466A6E" w:rsidRPr="00575A30">
        <w:rPr>
          <w:kern w:val="22"/>
          <w:szCs w:val="22"/>
          <w:lang w:val="fr-FR"/>
        </w:rPr>
        <w:t xml:space="preserve"> l’analyse </w:t>
      </w:r>
      <w:r w:rsidR="008E08EE" w:rsidRPr="00575A30">
        <w:rPr>
          <w:kern w:val="22"/>
          <w:szCs w:val="22"/>
          <w:lang w:val="fr-FR"/>
        </w:rPr>
        <w:t xml:space="preserve">sont tirées </w:t>
      </w:r>
      <w:r w:rsidR="00466A6E" w:rsidRPr="00575A30">
        <w:rPr>
          <w:kern w:val="22"/>
          <w:szCs w:val="22"/>
          <w:lang w:val="fr-FR"/>
        </w:rPr>
        <w:t xml:space="preserve">des SPANB, sauf indication contraire. Quelques exemples sont fournis pour illustrer </w:t>
      </w:r>
      <w:r w:rsidR="0086617F">
        <w:rPr>
          <w:kern w:val="22"/>
          <w:szCs w:val="22"/>
          <w:lang w:val="fr-FR"/>
        </w:rPr>
        <w:t>les critères de</w:t>
      </w:r>
      <w:r w:rsidR="00466A6E" w:rsidRPr="00575A30">
        <w:rPr>
          <w:kern w:val="22"/>
          <w:szCs w:val="22"/>
          <w:lang w:val="fr-FR"/>
        </w:rPr>
        <w:t xml:space="preserve"> l’analyse.</w:t>
      </w:r>
    </w:p>
    <w:p w14:paraId="2F0A54F4" w14:textId="77777777" w:rsidR="002A0778" w:rsidRPr="00575A30" w:rsidRDefault="0065634D" w:rsidP="00466A6E">
      <w:pPr>
        <w:spacing w:before="240" w:after="120"/>
        <w:jc w:val="center"/>
        <w:rPr>
          <w:b/>
          <w:i/>
          <w:kern w:val="22"/>
          <w:lang w:val="fr-FR"/>
        </w:rPr>
      </w:pPr>
      <w:r w:rsidRPr="00575A30">
        <w:rPr>
          <w:b/>
          <w:kern w:val="22"/>
          <w:lang w:val="fr-FR"/>
        </w:rPr>
        <w:t>A</w:t>
      </w:r>
      <w:r w:rsidR="002A0778" w:rsidRPr="00575A30">
        <w:rPr>
          <w:b/>
          <w:kern w:val="22"/>
          <w:lang w:val="fr-FR"/>
        </w:rPr>
        <w:t>.</w:t>
      </w:r>
      <w:r w:rsidR="002A0778" w:rsidRPr="00575A30">
        <w:rPr>
          <w:b/>
          <w:kern w:val="22"/>
          <w:lang w:val="fr-FR"/>
        </w:rPr>
        <w:tab/>
      </w:r>
      <w:r w:rsidR="00466A6E" w:rsidRPr="00575A30">
        <w:rPr>
          <w:b/>
          <w:kern w:val="22"/>
          <w:lang w:val="fr-FR"/>
        </w:rPr>
        <w:t>Informations de base</w:t>
      </w:r>
    </w:p>
    <w:p w14:paraId="3A69D874" w14:textId="77777777" w:rsidR="00E46D85" w:rsidRPr="00575A30" w:rsidRDefault="00707087" w:rsidP="00095365">
      <w:pPr>
        <w:numPr>
          <w:ilvl w:val="0"/>
          <w:numId w:val="11"/>
        </w:numPr>
        <w:tabs>
          <w:tab w:val="clear" w:pos="540"/>
        </w:tabs>
        <w:spacing w:before="120"/>
        <w:ind w:left="0" w:firstLine="0"/>
        <w:rPr>
          <w:kern w:val="22"/>
          <w:szCs w:val="22"/>
          <w:lang w:val="fr-FR"/>
        </w:rPr>
      </w:pPr>
      <w:r w:rsidRPr="00575A30">
        <w:rPr>
          <w:kern w:val="22"/>
          <w:szCs w:val="22"/>
          <w:lang w:val="fr-FR"/>
        </w:rPr>
        <w:t xml:space="preserve">Les </w:t>
      </w:r>
      <w:r w:rsidR="00FB423D" w:rsidRPr="00575A30">
        <w:rPr>
          <w:kern w:val="22"/>
          <w:szCs w:val="22"/>
          <w:lang w:val="fr-FR"/>
        </w:rPr>
        <w:t xml:space="preserve">stratégies </w:t>
      </w:r>
      <w:r w:rsidR="00FB423D" w:rsidRPr="00575A30">
        <w:rPr>
          <w:iCs/>
          <w:kern w:val="22"/>
          <w:szCs w:val="22"/>
          <w:lang w:val="fr-FR"/>
        </w:rPr>
        <w:t>et</w:t>
      </w:r>
      <w:r w:rsidR="00FB423D" w:rsidRPr="00575A30">
        <w:rPr>
          <w:kern w:val="22"/>
          <w:szCs w:val="22"/>
          <w:lang w:val="fr-FR"/>
        </w:rPr>
        <w:t xml:space="preserve"> plans d’action nationaux pour la biodiversité (</w:t>
      </w:r>
      <w:r w:rsidRPr="00575A30">
        <w:rPr>
          <w:kern w:val="22"/>
          <w:szCs w:val="22"/>
          <w:lang w:val="fr-FR"/>
        </w:rPr>
        <w:t>SPANB</w:t>
      </w:r>
      <w:r w:rsidR="00FB423D" w:rsidRPr="00575A30">
        <w:rPr>
          <w:kern w:val="22"/>
          <w:szCs w:val="22"/>
          <w:lang w:val="fr-FR"/>
        </w:rPr>
        <w:t>)</w:t>
      </w:r>
      <w:r w:rsidRPr="00575A30">
        <w:rPr>
          <w:kern w:val="22"/>
          <w:szCs w:val="22"/>
          <w:lang w:val="fr-FR"/>
        </w:rPr>
        <w:t xml:space="preserve"> ont été soumis au Secrétariat sous diverses formes</w:t>
      </w:r>
      <w:r w:rsidR="007B5475">
        <w:rPr>
          <w:kern w:val="22"/>
          <w:szCs w:val="22"/>
          <w:lang w:val="fr-FR"/>
        </w:rPr>
        <w:t xml:space="preserve">, comme indiqué </w:t>
      </w:r>
      <w:r w:rsidR="001D3157">
        <w:rPr>
          <w:kern w:val="22"/>
          <w:szCs w:val="22"/>
          <w:lang w:val="fr-FR"/>
        </w:rPr>
        <w:t>dans la partie II</w:t>
      </w:r>
      <w:r w:rsidR="007B5475">
        <w:rPr>
          <w:kern w:val="22"/>
          <w:szCs w:val="22"/>
          <w:lang w:val="fr-FR"/>
        </w:rPr>
        <w:t xml:space="preserve">. Toutefois, tous les documents sont considérés comme des SPANB aux fins de cette analyse et le Secrétariat y </w:t>
      </w:r>
      <w:r w:rsidR="007501E0">
        <w:rPr>
          <w:kern w:val="22"/>
          <w:szCs w:val="22"/>
          <w:lang w:val="fr-FR"/>
        </w:rPr>
        <w:t>réfère ainsi</w:t>
      </w:r>
      <w:r w:rsidR="007B5475">
        <w:rPr>
          <w:kern w:val="22"/>
          <w:szCs w:val="22"/>
          <w:lang w:val="fr-FR"/>
        </w:rPr>
        <w:t>. C</w:t>
      </w:r>
      <w:r w:rsidR="001503CF">
        <w:rPr>
          <w:kern w:val="22"/>
          <w:szCs w:val="22"/>
          <w:lang w:val="fr-FR"/>
        </w:rPr>
        <w:t xml:space="preserve">ent </w:t>
      </w:r>
      <w:r w:rsidR="007B5475">
        <w:rPr>
          <w:kern w:val="22"/>
          <w:szCs w:val="22"/>
          <w:lang w:val="fr-FR"/>
        </w:rPr>
        <w:t xml:space="preserve">quarante-deux </w:t>
      </w:r>
      <w:r w:rsidR="00B014FC">
        <w:rPr>
          <w:kern w:val="22"/>
          <w:szCs w:val="22"/>
          <w:lang w:val="fr-FR"/>
        </w:rPr>
        <w:t>documents examinés</w:t>
      </w:r>
      <w:r w:rsidR="00326D6B" w:rsidRPr="00575A30">
        <w:rPr>
          <w:snapToGrid w:val="0"/>
          <w:kern w:val="22"/>
          <w:szCs w:val="22"/>
          <w:vertAlign w:val="superscript"/>
          <w:lang w:val="fr-FR"/>
        </w:rPr>
        <w:footnoteReference w:id="8"/>
      </w:r>
      <w:r w:rsidRPr="00575A30">
        <w:rPr>
          <w:kern w:val="22"/>
          <w:szCs w:val="22"/>
          <w:lang w:val="fr-FR"/>
        </w:rPr>
        <w:t xml:space="preserve"> sont des </w:t>
      </w:r>
      <w:r w:rsidR="007B5475">
        <w:rPr>
          <w:kern w:val="22"/>
          <w:szCs w:val="22"/>
          <w:lang w:val="fr-FR"/>
        </w:rPr>
        <w:t xml:space="preserve">stratégies </w:t>
      </w:r>
      <w:r w:rsidR="007B5475" w:rsidRPr="00095365">
        <w:rPr>
          <w:i/>
          <w:kern w:val="22"/>
          <w:szCs w:val="22"/>
          <w:lang w:val="fr-FR"/>
        </w:rPr>
        <w:t>et</w:t>
      </w:r>
      <w:r w:rsidR="007B5475">
        <w:rPr>
          <w:kern w:val="22"/>
          <w:szCs w:val="22"/>
          <w:lang w:val="fr-FR"/>
        </w:rPr>
        <w:t xml:space="preserve"> plans d’</w:t>
      </w:r>
      <w:r w:rsidR="00095365">
        <w:rPr>
          <w:kern w:val="22"/>
          <w:szCs w:val="22"/>
          <w:lang w:val="fr-FR"/>
        </w:rPr>
        <w:t>acti</w:t>
      </w:r>
      <w:r w:rsidR="007B5475">
        <w:rPr>
          <w:kern w:val="22"/>
          <w:szCs w:val="22"/>
          <w:lang w:val="fr-FR"/>
        </w:rPr>
        <w:t xml:space="preserve">on nationaux pour la </w:t>
      </w:r>
      <w:r w:rsidR="00095365">
        <w:rPr>
          <w:kern w:val="22"/>
          <w:szCs w:val="22"/>
          <w:lang w:val="fr-FR"/>
        </w:rPr>
        <w:t xml:space="preserve">biodiversité (SPANB) </w:t>
      </w:r>
      <w:r w:rsidR="00095365" w:rsidRPr="007501E0">
        <w:rPr>
          <w:i/>
          <w:kern w:val="22"/>
          <w:szCs w:val="22"/>
          <w:lang w:val="fr-FR"/>
        </w:rPr>
        <w:t>ou</w:t>
      </w:r>
      <w:r w:rsidR="00095365">
        <w:rPr>
          <w:kern w:val="22"/>
          <w:szCs w:val="22"/>
          <w:lang w:val="fr-FR"/>
        </w:rPr>
        <w:t xml:space="preserve"> uniquement des plans d’</w:t>
      </w:r>
      <w:r w:rsidR="007501E0">
        <w:rPr>
          <w:kern w:val="22"/>
          <w:szCs w:val="22"/>
          <w:lang w:val="fr-FR"/>
        </w:rPr>
        <w:t xml:space="preserve">action et </w:t>
      </w:r>
      <w:r w:rsidR="0039331E" w:rsidRPr="00575A30">
        <w:rPr>
          <w:kern w:val="22"/>
          <w:szCs w:val="22"/>
          <w:lang w:val="fr-FR"/>
        </w:rPr>
        <w:t>2</w:t>
      </w:r>
      <w:r w:rsidR="00B014FC">
        <w:rPr>
          <w:kern w:val="22"/>
          <w:szCs w:val="22"/>
          <w:lang w:val="fr-FR"/>
        </w:rPr>
        <w:t>2</w:t>
      </w:r>
      <w:r w:rsidR="0039331E" w:rsidRPr="00575A30">
        <w:rPr>
          <w:kern w:val="22"/>
          <w:szCs w:val="22"/>
          <w:lang w:val="fr-FR"/>
        </w:rPr>
        <w:t xml:space="preserve"> </w:t>
      </w:r>
      <w:r w:rsidRPr="00575A30">
        <w:rPr>
          <w:kern w:val="22"/>
          <w:szCs w:val="22"/>
          <w:lang w:val="fr-FR"/>
        </w:rPr>
        <w:t>sont des documents de stratégie ou de politique</w:t>
      </w:r>
      <w:r w:rsidR="00217841" w:rsidRPr="00575A30">
        <w:rPr>
          <w:kern w:val="22"/>
          <w:szCs w:val="22"/>
          <w:lang w:val="fr-FR"/>
        </w:rPr>
        <w:t xml:space="preserve"> générale</w:t>
      </w:r>
      <w:r w:rsidR="00FB423D" w:rsidRPr="00575A30">
        <w:rPr>
          <w:snapToGrid w:val="0"/>
          <w:kern w:val="22"/>
          <w:szCs w:val="22"/>
          <w:vertAlign w:val="superscript"/>
          <w:lang w:val="fr-FR"/>
        </w:rPr>
        <w:footnoteReference w:id="9"/>
      </w:r>
      <w:r w:rsidR="00B014FC">
        <w:rPr>
          <w:kern w:val="22"/>
          <w:szCs w:val="22"/>
          <w:lang w:val="fr-FR"/>
        </w:rPr>
        <w:t xml:space="preserve">. </w:t>
      </w:r>
      <w:r w:rsidR="00095365">
        <w:rPr>
          <w:kern w:val="22"/>
          <w:szCs w:val="22"/>
          <w:lang w:val="fr-FR"/>
        </w:rPr>
        <w:t>Cinq</w:t>
      </w:r>
      <w:r w:rsidRPr="00575A30">
        <w:rPr>
          <w:kern w:val="22"/>
          <w:szCs w:val="22"/>
          <w:lang w:val="fr-FR"/>
        </w:rPr>
        <w:t xml:space="preserve"> Parties</w:t>
      </w:r>
      <w:r w:rsidR="00326D6B" w:rsidRPr="00575A30">
        <w:rPr>
          <w:snapToGrid w:val="0"/>
          <w:kern w:val="22"/>
          <w:szCs w:val="22"/>
          <w:vertAlign w:val="superscript"/>
          <w:lang w:val="fr-FR"/>
        </w:rPr>
        <w:footnoteReference w:id="10"/>
      </w:r>
      <w:r w:rsidR="00174964" w:rsidRPr="00575A30">
        <w:rPr>
          <w:kern w:val="22"/>
          <w:szCs w:val="22"/>
          <w:lang w:val="fr-FR"/>
        </w:rPr>
        <w:t xml:space="preserve"> </w:t>
      </w:r>
      <w:r w:rsidR="00B014FC">
        <w:rPr>
          <w:kern w:val="22"/>
          <w:szCs w:val="22"/>
          <w:lang w:val="fr-FR"/>
        </w:rPr>
        <w:t>ayant</w:t>
      </w:r>
      <w:r w:rsidR="00174964" w:rsidRPr="00575A30">
        <w:rPr>
          <w:kern w:val="22"/>
          <w:szCs w:val="22"/>
          <w:lang w:val="fr-FR"/>
        </w:rPr>
        <w:t xml:space="preserve"> soumis d</w:t>
      </w:r>
      <w:r w:rsidRPr="00575A30">
        <w:rPr>
          <w:kern w:val="22"/>
          <w:szCs w:val="22"/>
          <w:lang w:val="fr-FR"/>
        </w:rPr>
        <w:t xml:space="preserve">es documents de stratégie </w:t>
      </w:r>
      <w:r w:rsidR="00217841" w:rsidRPr="00575A30">
        <w:rPr>
          <w:kern w:val="22"/>
          <w:szCs w:val="22"/>
          <w:lang w:val="fr-FR"/>
        </w:rPr>
        <w:t xml:space="preserve">ont </w:t>
      </w:r>
      <w:r w:rsidR="0039331E" w:rsidRPr="00575A30">
        <w:rPr>
          <w:kern w:val="22"/>
          <w:szCs w:val="22"/>
          <w:lang w:val="fr-FR"/>
        </w:rPr>
        <w:t xml:space="preserve">l’intention </w:t>
      </w:r>
      <w:r w:rsidR="00217841" w:rsidRPr="00575A30">
        <w:rPr>
          <w:kern w:val="22"/>
          <w:szCs w:val="22"/>
          <w:lang w:val="fr-FR"/>
        </w:rPr>
        <w:t>d'</w:t>
      </w:r>
      <w:r w:rsidRPr="00575A30">
        <w:rPr>
          <w:kern w:val="22"/>
          <w:szCs w:val="22"/>
          <w:lang w:val="fr-FR"/>
        </w:rPr>
        <w:t>élabore</w:t>
      </w:r>
      <w:r w:rsidR="00217841" w:rsidRPr="00575A30">
        <w:rPr>
          <w:kern w:val="22"/>
          <w:szCs w:val="22"/>
          <w:lang w:val="fr-FR"/>
        </w:rPr>
        <w:t>r</w:t>
      </w:r>
      <w:r w:rsidRPr="00575A30">
        <w:rPr>
          <w:kern w:val="22"/>
          <w:szCs w:val="22"/>
          <w:lang w:val="fr-FR"/>
        </w:rPr>
        <w:t xml:space="preserve"> des plans d’action. </w:t>
      </w:r>
      <w:r w:rsidR="00095365">
        <w:rPr>
          <w:kern w:val="22"/>
          <w:szCs w:val="22"/>
          <w:lang w:val="fr-FR"/>
        </w:rPr>
        <w:t>De plus, trois Parties</w:t>
      </w:r>
      <w:r w:rsidR="007501E0" w:rsidRPr="00DA64F5">
        <w:rPr>
          <w:rStyle w:val="FootnoteReference"/>
          <w:snapToGrid w:val="0"/>
          <w:kern w:val="22"/>
          <w:szCs w:val="22"/>
        </w:rPr>
        <w:footnoteReference w:id="11"/>
      </w:r>
      <w:r w:rsidR="00095365">
        <w:rPr>
          <w:kern w:val="22"/>
          <w:szCs w:val="22"/>
          <w:lang w:val="fr-FR"/>
        </w:rPr>
        <w:t xml:space="preserve"> ont remis </w:t>
      </w:r>
      <w:proofErr w:type="gramStart"/>
      <w:r w:rsidR="00095365">
        <w:rPr>
          <w:kern w:val="22"/>
          <w:szCs w:val="22"/>
          <w:lang w:val="fr-FR"/>
        </w:rPr>
        <w:t>des addenda</w:t>
      </w:r>
      <w:proofErr w:type="gramEnd"/>
      <w:r w:rsidR="00095365">
        <w:rPr>
          <w:kern w:val="22"/>
          <w:szCs w:val="22"/>
          <w:lang w:val="fr-FR"/>
        </w:rPr>
        <w:t xml:space="preserve"> aux stratégies et plans d’action préparés avant la dixième réunion de la Conférence des Parties, constitués d’objectifs et de mesures nationaux pour atteindre les Objectifs d’</w:t>
      </w:r>
      <w:r w:rsidR="007501E0">
        <w:rPr>
          <w:kern w:val="22"/>
          <w:szCs w:val="22"/>
          <w:lang w:val="fr-FR"/>
        </w:rPr>
        <w:t>Aichi pour la bi</w:t>
      </w:r>
      <w:r w:rsidR="00095365">
        <w:rPr>
          <w:kern w:val="22"/>
          <w:szCs w:val="22"/>
          <w:lang w:val="fr-FR"/>
        </w:rPr>
        <w:t>odiversité.</w:t>
      </w:r>
    </w:p>
    <w:p w14:paraId="09A19C62" w14:textId="77777777" w:rsidR="007A7237" w:rsidRPr="00575A30" w:rsidRDefault="00174964" w:rsidP="00F36F85">
      <w:pPr>
        <w:numPr>
          <w:ilvl w:val="0"/>
          <w:numId w:val="11"/>
        </w:numPr>
        <w:tabs>
          <w:tab w:val="clear" w:pos="540"/>
          <w:tab w:val="num" w:pos="709"/>
        </w:tabs>
        <w:spacing w:before="120"/>
        <w:ind w:left="0" w:firstLine="0"/>
        <w:jc w:val="left"/>
        <w:rPr>
          <w:kern w:val="22"/>
          <w:szCs w:val="22"/>
          <w:lang w:val="fr-FR"/>
        </w:rPr>
      </w:pPr>
      <w:r w:rsidRPr="00575A30">
        <w:rPr>
          <w:kern w:val="22"/>
          <w:szCs w:val="22"/>
          <w:lang w:val="fr-FR"/>
        </w:rPr>
        <w:lastRenderedPageBreak/>
        <w:t xml:space="preserve">Les échéanciers des SPANB soumis à ce jour varient également. </w:t>
      </w:r>
      <w:r w:rsidR="00E60ED7">
        <w:rPr>
          <w:kern w:val="22"/>
          <w:szCs w:val="22"/>
          <w:lang w:val="fr-FR"/>
        </w:rPr>
        <w:t>Sept</w:t>
      </w:r>
      <w:r w:rsidRPr="00575A30">
        <w:rPr>
          <w:kern w:val="22"/>
          <w:szCs w:val="22"/>
          <w:lang w:val="fr-FR"/>
        </w:rPr>
        <w:t xml:space="preserve"> SPANB</w:t>
      </w:r>
      <w:r w:rsidR="00CD365A" w:rsidRPr="00575A30">
        <w:rPr>
          <w:snapToGrid w:val="0"/>
          <w:kern w:val="22"/>
          <w:szCs w:val="22"/>
          <w:vertAlign w:val="superscript"/>
          <w:lang w:val="fr-FR"/>
        </w:rPr>
        <w:footnoteReference w:id="12"/>
      </w:r>
      <w:r w:rsidR="00CD365A" w:rsidRPr="00575A30">
        <w:rPr>
          <w:kern w:val="22"/>
          <w:szCs w:val="22"/>
          <w:lang w:val="fr-FR"/>
        </w:rPr>
        <w:t xml:space="preserve"> </w:t>
      </w:r>
      <w:r w:rsidRPr="00575A30">
        <w:rPr>
          <w:kern w:val="22"/>
          <w:szCs w:val="22"/>
          <w:lang w:val="fr-FR"/>
        </w:rPr>
        <w:t xml:space="preserve">couvrent des périodes </w:t>
      </w:r>
      <w:r w:rsidR="008E16BC" w:rsidRPr="00575A30">
        <w:rPr>
          <w:kern w:val="22"/>
          <w:szCs w:val="22"/>
          <w:lang w:val="fr-FR"/>
        </w:rPr>
        <w:t>allant de </w:t>
      </w:r>
      <w:r w:rsidRPr="00575A30">
        <w:rPr>
          <w:kern w:val="22"/>
          <w:szCs w:val="22"/>
          <w:lang w:val="fr-FR"/>
        </w:rPr>
        <w:t xml:space="preserve">2015 </w:t>
      </w:r>
      <w:r w:rsidR="008E16BC" w:rsidRPr="00575A30">
        <w:rPr>
          <w:kern w:val="22"/>
          <w:szCs w:val="22"/>
          <w:lang w:val="fr-FR"/>
        </w:rPr>
        <w:t xml:space="preserve">à </w:t>
      </w:r>
      <w:r w:rsidRPr="00575A30">
        <w:rPr>
          <w:kern w:val="22"/>
          <w:szCs w:val="22"/>
          <w:lang w:val="fr-FR"/>
        </w:rPr>
        <w:t>2018</w:t>
      </w:r>
      <w:r w:rsidR="00E60ED7">
        <w:rPr>
          <w:kern w:val="22"/>
          <w:szCs w:val="22"/>
          <w:lang w:val="fr-FR"/>
        </w:rPr>
        <w:t xml:space="preserve"> et 82</w:t>
      </w:r>
      <w:r w:rsidR="0039331E" w:rsidRPr="00575A30">
        <w:rPr>
          <w:kern w:val="22"/>
          <w:szCs w:val="22"/>
          <w:lang w:val="fr-FR"/>
        </w:rPr>
        <w:t xml:space="preserve"> </w:t>
      </w:r>
      <w:r w:rsidR="00706126">
        <w:rPr>
          <w:kern w:val="22"/>
          <w:szCs w:val="22"/>
          <w:lang w:val="fr-FR"/>
        </w:rPr>
        <w:t>portent sur</w:t>
      </w:r>
      <w:r w:rsidRPr="00575A30">
        <w:rPr>
          <w:kern w:val="22"/>
          <w:szCs w:val="22"/>
          <w:lang w:val="fr-FR"/>
        </w:rPr>
        <w:t xml:space="preserve"> des périodes allant jusqu’à 2020,</w:t>
      </w:r>
      <w:r w:rsidR="00CD365A" w:rsidRPr="00575A30">
        <w:rPr>
          <w:snapToGrid w:val="0"/>
          <w:kern w:val="22"/>
          <w:szCs w:val="22"/>
          <w:vertAlign w:val="superscript"/>
          <w:lang w:val="fr-FR"/>
        </w:rPr>
        <w:footnoteReference w:id="13"/>
      </w:r>
      <w:r w:rsidRPr="00575A30">
        <w:rPr>
          <w:kern w:val="22"/>
          <w:szCs w:val="22"/>
          <w:lang w:val="fr-FR"/>
        </w:rPr>
        <w:t xml:space="preserve"> tandis que </w:t>
      </w:r>
      <w:r w:rsidR="00E60ED7">
        <w:rPr>
          <w:kern w:val="22"/>
          <w:szCs w:val="22"/>
          <w:lang w:val="fr-FR"/>
        </w:rPr>
        <w:t>64</w:t>
      </w:r>
      <w:r w:rsidR="0039331E" w:rsidRPr="00575A30">
        <w:rPr>
          <w:kern w:val="22"/>
          <w:szCs w:val="22"/>
          <w:lang w:val="fr-FR"/>
        </w:rPr>
        <w:t xml:space="preserve"> </w:t>
      </w:r>
      <w:r w:rsidRPr="00575A30">
        <w:rPr>
          <w:kern w:val="22"/>
          <w:szCs w:val="22"/>
          <w:lang w:val="fr-FR"/>
        </w:rPr>
        <w:t>autres</w:t>
      </w:r>
      <w:r w:rsidR="00CD365A" w:rsidRPr="00575A30">
        <w:rPr>
          <w:kern w:val="22"/>
          <w:szCs w:val="22"/>
          <w:lang w:val="fr-FR"/>
        </w:rPr>
        <w:t xml:space="preserve"> </w:t>
      </w:r>
      <w:r w:rsidR="00706126">
        <w:rPr>
          <w:kern w:val="22"/>
          <w:szCs w:val="22"/>
          <w:lang w:val="fr-FR"/>
        </w:rPr>
        <w:t>visent</w:t>
      </w:r>
      <w:r w:rsidRPr="00575A30">
        <w:rPr>
          <w:kern w:val="22"/>
          <w:szCs w:val="22"/>
          <w:lang w:val="fr-FR"/>
        </w:rPr>
        <w:t xml:space="preserve"> des périodes s’étalant jusqu’en 2</w:t>
      </w:r>
      <w:r w:rsidRPr="00706126">
        <w:rPr>
          <w:kern w:val="22"/>
          <w:szCs w:val="22"/>
          <w:lang w:val="fr-FR"/>
        </w:rPr>
        <w:t>03</w:t>
      </w:r>
      <w:r w:rsidRPr="00575A30">
        <w:rPr>
          <w:kern w:val="22"/>
          <w:szCs w:val="22"/>
          <w:lang w:val="fr-FR"/>
        </w:rPr>
        <w:t>0.</w:t>
      </w:r>
      <w:r w:rsidR="00CD365A" w:rsidRPr="00575A30">
        <w:rPr>
          <w:snapToGrid w:val="0"/>
          <w:kern w:val="22"/>
          <w:szCs w:val="22"/>
          <w:vertAlign w:val="superscript"/>
          <w:lang w:val="fr-FR"/>
        </w:rPr>
        <w:footnoteReference w:id="14"/>
      </w:r>
      <w:r w:rsidR="00FB6DF4">
        <w:rPr>
          <w:kern w:val="22"/>
          <w:szCs w:val="22"/>
          <w:lang w:val="fr-FR"/>
        </w:rPr>
        <w:t xml:space="preserve"> </w:t>
      </w:r>
      <w:r w:rsidR="00E37F43">
        <w:rPr>
          <w:kern w:val="22"/>
          <w:szCs w:val="22"/>
          <w:lang w:val="fr-FR"/>
        </w:rPr>
        <w:t xml:space="preserve">Quatorze SPANB </w:t>
      </w:r>
      <w:r w:rsidR="00FB6DF4">
        <w:rPr>
          <w:kern w:val="22"/>
          <w:szCs w:val="22"/>
          <w:lang w:val="fr-FR"/>
        </w:rPr>
        <w:t>ne mentionnent aucune échéance.</w:t>
      </w:r>
      <w:r w:rsidR="00FB6DF4" w:rsidRPr="00DA64F5">
        <w:rPr>
          <w:vertAlign w:val="superscript"/>
        </w:rPr>
        <w:footnoteReference w:id="15"/>
      </w:r>
    </w:p>
    <w:p w14:paraId="17F8FE99" w14:textId="77777777" w:rsidR="007A7237" w:rsidRPr="00575A30" w:rsidRDefault="00347139" w:rsidP="005F0C37">
      <w:pPr>
        <w:pStyle w:val="Para1"/>
        <w:keepNext/>
        <w:numPr>
          <w:ilvl w:val="0"/>
          <w:numId w:val="0"/>
        </w:numPr>
        <w:jc w:val="center"/>
        <w:rPr>
          <w:bCs/>
          <w:i/>
          <w:iCs/>
          <w:kern w:val="22"/>
          <w:lang w:val="fr-FR"/>
        </w:rPr>
      </w:pPr>
      <w:r w:rsidRPr="00FD6A9B">
        <w:rPr>
          <w:bCs/>
          <w:i/>
          <w:iCs/>
          <w:kern w:val="22"/>
          <w:lang w:val="fr-FR"/>
        </w:rPr>
        <w:t>L’adoption en tant q</w:t>
      </w:r>
      <w:r w:rsidRPr="00575A30">
        <w:rPr>
          <w:bCs/>
          <w:i/>
          <w:iCs/>
          <w:kern w:val="22"/>
          <w:lang w:val="fr-FR"/>
        </w:rPr>
        <w:t xml:space="preserve">u’instrument </w:t>
      </w:r>
      <w:r w:rsidR="003F1615" w:rsidRPr="00575A30">
        <w:rPr>
          <w:bCs/>
          <w:i/>
          <w:iCs/>
          <w:kern w:val="22"/>
          <w:lang w:val="fr-FR"/>
        </w:rPr>
        <w:t xml:space="preserve">de </w:t>
      </w:r>
      <w:r w:rsidRPr="00575A30">
        <w:rPr>
          <w:bCs/>
          <w:i/>
          <w:iCs/>
          <w:kern w:val="22"/>
          <w:lang w:val="fr-FR"/>
        </w:rPr>
        <w:t>politique</w:t>
      </w:r>
      <w:r w:rsidR="003F1615" w:rsidRPr="00575A30">
        <w:rPr>
          <w:bCs/>
          <w:i/>
          <w:iCs/>
          <w:kern w:val="22"/>
          <w:lang w:val="fr-FR"/>
        </w:rPr>
        <w:t xml:space="preserve"> générale</w:t>
      </w:r>
    </w:p>
    <w:p w14:paraId="464BE064" w14:textId="77777777" w:rsidR="00503E99" w:rsidRPr="00575A30" w:rsidRDefault="0049116A" w:rsidP="00F36F85">
      <w:pPr>
        <w:numPr>
          <w:ilvl w:val="0"/>
          <w:numId w:val="11"/>
        </w:numPr>
        <w:tabs>
          <w:tab w:val="clear" w:pos="540"/>
          <w:tab w:val="num" w:pos="709"/>
        </w:tabs>
        <w:ind w:left="0" w:firstLine="0"/>
        <w:rPr>
          <w:kern w:val="22"/>
          <w:szCs w:val="22"/>
          <w:lang w:val="fr-FR"/>
        </w:rPr>
      </w:pPr>
      <w:r w:rsidRPr="00575A30">
        <w:rPr>
          <w:kern w:val="22"/>
          <w:szCs w:val="22"/>
          <w:lang w:val="fr-FR"/>
        </w:rPr>
        <w:t xml:space="preserve">Le libellé de l’objectif 17 </w:t>
      </w:r>
      <w:r w:rsidR="00D30171">
        <w:rPr>
          <w:kern w:val="22"/>
          <w:szCs w:val="22"/>
          <w:lang w:val="fr-FR"/>
        </w:rPr>
        <w:t xml:space="preserve">d’Aichi pour la biodiversité </w:t>
      </w:r>
      <w:r w:rsidRPr="00575A30">
        <w:rPr>
          <w:kern w:val="22"/>
          <w:szCs w:val="22"/>
          <w:lang w:val="fr-FR"/>
        </w:rPr>
        <w:t xml:space="preserve">ainsi que le texte de la décision X/2 demandent aux Parties </w:t>
      </w:r>
      <w:r w:rsidR="00154A88" w:rsidRPr="00575A30">
        <w:rPr>
          <w:kern w:val="22"/>
          <w:szCs w:val="22"/>
          <w:lang w:val="fr-FR"/>
        </w:rPr>
        <w:t>d’adopter</w:t>
      </w:r>
      <w:r w:rsidRPr="00575A30">
        <w:rPr>
          <w:kern w:val="22"/>
          <w:szCs w:val="22"/>
          <w:lang w:val="fr-FR"/>
        </w:rPr>
        <w:t xml:space="preserve"> leur</w:t>
      </w:r>
      <w:r w:rsidR="008E16BC" w:rsidRPr="00575A30">
        <w:rPr>
          <w:kern w:val="22"/>
          <w:szCs w:val="22"/>
          <w:lang w:val="fr-FR"/>
        </w:rPr>
        <w:t xml:space="preserve"> stratégie et leur plan d'action nationaux pour </w:t>
      </w:r>
      <w:proofErr w:type="gramStart"/>
      <w:r w:rsidR="008E16BC" w:rsidRPr="00575A30">
        <w:rPr>
          <w:kern w:val="22"/>
          <w:szCs w:val="22"/>
          <w:lang w:val="fr-FR"/>
        </w:rPr>
        <w:t>la biodiversité</w:t>
      </w:r>
      <w:r w:rsidRPr="00575A30">
        <w:rPr>
          <w:kern w:val="22"/>
          <w:szCs w:val="22"/>
          <w:lang w:val="fr-FR"/>
        </w:rPr>
        <w:t xml:space="preserve"> révisé</w:t>
      </w:r>
      <w:r w:rsidR="008E16BC" w:rsidRPr="00575A30">
        <w:rPr>
          <w:kern w:val="22"/>
          <w:szCs w:val="22"/>
          <w:lang w:val="fr-FR"/>
        </w:rPr>
        <w:t>s</w:t>
      </w:r>
      <w:proofErr w:type="gramEnd"/>
      <w:r w:rsidRPr="00575A30">
        <w:rPr>
          <w:kern w:val="22"/>
          <w:szCs w:val="22"/>
          <w:lang w:val="fr-FR"/>
        </w:rPr>
        <w:t xml:space="preserve"> en tant qu’instrument</w:t>
      </w:r>
      <w:r w:rsidR="008E16BC" w:rsidRPr="00575A30">
        <w:rPr>
          <w:kern w:val="22"/>
          <w:szCs w:val="22"/>
          <w:lang w:val="fr-FR"/>
        </w:rPr>
        <w:t>s</w:t>
      </w:r>
      <w:r w:rsidRPr="00575A30">
        <w:rPr>
          <w:kern w:val="22"/>
          <w:szCs w:val="22"/>
          <w:lang w:val="fr-FR"/>
        </w:rPr>
        <w:t xml:space="preserve"> </w:t>
      </w:r>
      <w:r w:rsidR="003F1615" w:rsidRPr="00575A30">
        <w:rPr>
          <w:kern w:val="22"/>
          <w:szCs w:val="22"/>
          <w:lang w:val="fr-FR"/>
        </w:rPr>
        <w:t xml:space="preserve">de </w:t>
      </w:r>
      <w:r w:rsidRPr="00575A30">
        <w:rPr>
          <w:kern w:val="22"/>
          <w:szCs w:val="22"/>
          <w:lang w:val="fr-FR"/>
        </w:rPr>
        <w:t>politique</w:t>
      </w:r>
      <w:r w:rsidR="003F1615" w:rsidRPr="00575A30">
        <w:rPr>
          <w:kern w:val="22"/>
          <w:szCs w:val="22"/>
          <w:lang w:val="fr-FR"/>
        </w:rPr>
        <w:t xml:space="preserve"> générale</w:t>
      </w:r>
      <w:r w:rsidRPr="00575A30">
        <w:rPr>
          <w:kern w:val="22"/>
          <w:szCs w:val="22"/>
          <w:lang w:val="fr-FR"/>
        </w:rPr>
        <w:t xml:space="preserve">. </w:t>
      </w:r>
      <w:r w:rsidR="007C0154" w:rsidRPr="00575A30">
        <w:rPr>
          <w:kern w:val="22"/>
          <w:szCs w:val="22"/>
          <w:lang w:val="fr-FR"/>
        </w:rPr>
        <w:t xml:space="preserve">Le but est de permettre aux SPANB de devenir des politiques </w:t>
      </w:r>
      <w:r w:rsidR="00503E99" w:rsidRPr="00575A30">
        <w:rPr>
          <w:kern w:val="22"/>
          <w:szCs w:val="22"/>
          <w:lang w:val="fr-FR"/>
        </w:rPr>
        <w:t xml:space="preserve">applicables à l'ensemble des services publics </w:t>
      </w:r>
      <w:r w:rsidR="007C0154" w:rsidRPr="00575A30">
        <w:rPr>
          <w:kern w:val="22"/>
          <w:szCs w:val="22"/>
          <w:lang w:val="fr-FR"/>
        </w:rPr>
        <w:t xml:space="preserve">facilitant ainsi </w:t>
      </w:r>
      <w:r w:rsidR="003F1615" w:rsidRPr="00575A30">
        <w:rPr>
          <w:kern w:val="22"/>
          <w:szCs w:val="22"/>
          <w:lang w:val="fr-FR"/>
        </w:rPr>
        <w:t xml:space="preserve">la prise en compte </w:t>
      </w:r>
      <w:r w:rsidR="007C0154" w:rsidRPr="00575A30">
        <w:rPr>
          <w:kern w:val="22"/>
          <w:szCs w:val="22"/>
          <w:lang w:val="fr-FR"/>
        </w:rPr>
        <w:t>de la biodiversité dans tous les</w:t>
      </w:r>
      <w:r w:rsidR="00267DDD" w:rsidRPr="00575A30">
        <w:rPr>
          <w:kern w:val="22"/>
          <w:szCs w:val="22"/>
          <w:lang w:val="fr-FR"/>
        </w:rPr>
        <w:t xml:space="preserve"> secteurs </w:t>
      </w:r>
      <w:r w:rsidR="00D30171">
        <w:rPr>
          <w:kern w:val="22"/>
          <w:szCs w:val="22"/>
          <w:lang w:val="fr-FR"/>
        </w:rPr>
        <w:t>du gouvernement</w:t>
      </w:r>
      <w:r w:rsidR="00267DDD" w:rsidRPr="00575A30">
        <w:rPr>
          <w:kern w:val="22"/>
          <w:szCs w:val="22"/>
          <w:lang w:val="fr-FR"/>
        </w:rPr>
        <w:t xml:space="preserve"> et processus </w:t>
      </w:r>
      <w:r w:rsidR="00D30171">
        <w:rPr>
          <w:kern w:val="22"/>
          <w:szCs w:val="22"/>
          <w:lang w:val="fr-FR"/>
        </w:rPr>
        <w:t>décisionnels</w:t>
      </w:r>
      <w:r w:rsidR="007C0154" w:rsidRPr="00575A30">
        <w:rPr>
          <w:kern w:val="22"/>
          <w:szCs w:val="22"/>
          <w:lang w:val="fr-FR"/>
        </w:rPr>
        <w:t>.</w:t>
      </w:r>
      <w:r w:rsidRPr="00575A30">
        <w:rPr>
          <w:kern w:val="22"/>
          <w:szCs w:val="22"/>
          <w:lang w:val="fr-FR"/>
        </w:rPr>
        <w:t xml:space="preserve"> </w:t>
      </w:r>
    </w:p>
    <w:p w14:paraId="67EC27A1" w14:textId="77777777" w:rsidR="00D04A41" w:rsidRPr="00575A30" w:rsidRDefault="00D04A41" w:rsidP="00D04A41">
      <w:pPr>
        <w:tabs>
          <w:tab w:val="num" w:pos="709"/>
        </w:tabs>
        <w:rPr>
          <w:kern w:val="22"/>
          <w:szCs w:val="22"/>
          <w:lang w:val="fr-FR"/>
        </w:rPr>
      </w:pPr>
    </w:p>
    <w:p w14:paraId="69B93A61" w14:textId="77777777" w:rsidR="002A0778" w:rsidRPr="00575A30" w:rsidRDefault="003E2CA6" w:rsidP="00F36F85">
      <w:pPr>
        <w:numPr>
          <w:ilvl w:val="0"/>
          <w:numId w:val="11"/>
        </w:numPr>
        <w:tabs>
          <w:tab w:val="clear" w:pos="540"/>
          <w:tab w:val="num" w:pos="709"/>
        </w:tabs>
        <w:ind w:left="0" w:firstLine="0"/>
        <w:rPr>
          <w:kern w:val="22"/>
          <w:szCs w:val="22"/>
          <w:lang w:val="fr-FR"/>
        </w:rPr>
      </w:pPr>
      <w:r w:rsidRPr="00575A30">
        <w:rPr>
          <w:kern w:val="22"/>
          <w:szCs w:val="22"/>
          <w:lang w:val="fr-FR"/>
        </w:rPr>
        <w:t xml:space="preserve">Les conséquences réelles de l’adoption des SPANB en tant qu’instruments </w:t>
      </w:r>
      <w:r w:rsidR="0095621F" w:rsidRPr="00575A30">
        <w:rPr>
          <w:kern w:val="22"/>
          <w:szCs w:val="22"/>
          <w:lang w:val="fr-FR"/>
        </w:rPr>
        <w:t xml:space="preserve">de </w:t>
      </w:r>
      <w:r w:rsidRPr="00575A30">
        <w:rPr>
          <w:kern w:val="22"/>
          <w:szCs w:val="22"/>
          <w:lang w:val="fr-FR"/>
        </w:rPr>
        <w:t>politique</w:t>
      </w:r>
      <w:r w:rsidR="0095621F" w:rsidRPr="00575A30">
        <w:rPr>
          <w:kern w:val="22"/>
          <w:szCs w:val="22"/>
          <w:lang w:val="fr-FR"/>
        </w:rPr>
        <w:t xml:space="preserve"> générale</w:t>
      </w:r>
      <w:r w:rsidR="00D30171">
        <w:rPr>
          <w:kern w:val="22"/>
          <w:szCs w:val="22"/>
          <w:lang w:val="fr-FR"/>
        </w:rPr>
        <w:t xml:space="preserve"> varie</w:t>
      </w:r>
      <w:r w:rsidRPr="00575A30">
        <w:rPr>
          <w:kern w:val="22"/>
          <w:szCs w:val="22"/>
          <w:lang w:val="fr-FR"/>
        </w:rPr>
        <w:t>nt d’un pa</w:t>
      </w:r>
      <w:r w:rsidR="00D30171">
        <w:rPr>
          <w:kern w:val="22"/>
          <w:szCs w:val="22"/>
          <w:lang w:val="fr-FR"/>
        </w:rPr>
        <w:t>ys à l’autre et selon le degré auquel le SPANB est adopté</w:t>
      </w:r>
      <w:r w:rsidR="00154A88" w:rsidRPr="00575A30">
        <w:rPr>
          <w:kern w:val="22"/>
          <w:szCs w:val="22"/>
          <w:lang w:val="fr-FR"/>
        </w:rPr>
        <w:t>,</w:t>
      </w:r>
      <w:r w:rsidRPr="00575A30">
        <w:rPr>
          <w:kern w:val="22"/>
          <w:szCs w:val="22"/>
          <w:lang w:val="fr-FR"/>
        </w:rPr>
        <w:t xml:space="preserve"> et il est encore </w:t>
      </w:r>
      <w:r w:rsidR="00D30171">
        <w:rPr>
          <w:kern w:val="22"/>
          <w:szCs w:val="22"/>
          <w:lang w:val="fr-FR"/>
        </w:rPr>
        <w:t>difficile d’</w:t>
      </w:r>
      <w:r w:rsidRPr="00575A30">
        <w:rPr>
          <w:kern w:val="22"/>
          <w:szCs w:val="22"/>
          <w:lang w:val="fr-FR"/>
        </w:rPr>
        <w:t xml:space="preserve">évaluer si, et dans quelle mesure, l’adoption </w:t>
      </w:r>
      <w:r w:rsidR="0095621F" w:rsidRPr="00575A30">
        <w:rPr>
          <w:kern w:val="22"/>
          <w:szCs w:val="22"/>
          <w:lang w:val="fr-FR"/>
        </w:rPr>
        <w:t xml:space="preserve">de ces documents </w:t>
      </w:r>
      <w:r w:rsidRPr="00575A30">
        <w:rPr>
          <w:kern w:val="22"/>
          <w:szCs w:val="22"/>
          <w:lang w:val="fr-FR"/>
        </w:rPr>
        <w:t>en tant qu’instrument</w:t>
      </w:r>
      <w:r w:rsidR="0095621F" w:rsidRPr="00575A30">
        <w:rPr>
          <w:kern w:val="22"/>
          <w:szCs w:val="22"/>
          <w:lang w:val="fr-FR"/>
        </w:rPr>
        <w:t>s de</w:t>
      </w:r>
      <w:r w:rsidRPr="00575A30">
        <w:rPr>
          <w:kern w:val="22"/>
          <w:szCs w:val="22"/>
          <w:lang w:val="fr-FR"/>
        </w:rPr>
        <w:t xml:space="preserve"> politique </w:t>
      </w:r>
      <w:r w:rsidR="0095621F" w:rsidRPr="00575A30">
        <w:rPr>
          <w:kern w:val="22"/>
          <w:szCs w:val="22"/>
          <w:lang w:val="fr-FR"/>
        </w:rPr>
        <w:t xml:space="preserve">générale </w:t>
      </w:r>
      <w:r w:rsidRPr="00575A30">
        <w:rPr>
          <w:kern w:val="22"/>
          <w:szCs w:val="22"/>
          <w:lang w:val="fr-FR"/>
        </w:rPr>
        <w:t xml:space="preserve">a effectivement entraîné </w:t>
      </w:r>
      <w:r w:rsidR="004C60A1" w:rsidRPr="00575A30">
        <w:rPr>
          <w:kern w:val="22"/>
          <w:szCs w:val="22"/>
          <w:lang w:val="fr-FR"/>
        </w:rPr>
        <w:t xml:space="preserve">l'intégration </w:t>
      </w:r>
      <w:r w:rsidRPr="00575A30">
        <w:rPr>
          <w:kern w:val="22"/>
          <w:szCs w:val="22"/>
          <w:lang w:val="fr-FR"/>
        </w:rPr>
        <w:t>de la biodiversité dans les politiques et pratiques sectorielles et intersectorielles.</w:t>
      </w:r>
      <w:r w:rsidR="00267DDD" w:rsidRPr="00575A30">
        <w:rPr>
          <w:kern w:val="22"/>
          <w:szCs w:val="22"/>
          <w:lang w:val="fr-FR"/>
        </w:rPr>
        <w:t xml:space="preserve"> </w:t>
      </w:r>
      <w:r w:rsidR="00D77D96">
        <w:rPr>
          <w:kern w:val="22"/>
          <w:szCs w:val="22"/>
          <w:lang w:val="fr-FR"/>
        </w:rPr>
        <w:t>Le</w:t>
      </w:r>
      <w:r w:rsidR="00154A88" w:rsidRPr="00575A30">
        <w:rPr>
          <w:kern w:val="22"/>
          <w:szCs w:val="22"/>
          <w:lang w:val="fr-FR"/>
        </w:rPr>
        <w:t xml:space="preserve"> Secrétariat observe que les Parties ont donné suite à cet élément de l’objectif 17 d’Aichi </w:t>
      </w:r>
      <w:r w:rsidR="00D77D96">
        <w:rPr>
          <w:kern w:val="22"/>
          <w:szCs w:val="22"/>
          <w:lang w:val="fr-FR"/>
        </w:rPr>
        <w:t xml:space="preserve">pour la biodiversité </w:t>
      </w:r>
      <w:r w:rsidR="00154A88" w:rsidRPr="00575A30">
        <w:rPr>
          <w:kern w:val="22"/>
          <w:szCs w:val="22"/>
          <w:lang w:val="fr-FR"/>
        </w:rPr>
        <w:t>en faisant adopter leur</w:t>
      </w:r>
      <w:r w:rsidR="00106866" w:rsidRPr="00575A30">
        <w:rPr>
          <w:kern w:val="22"/>
          <w:szCs w:val="22"/>
          <w:lang w:val="fr-FR"/>
        </w:rPr>
        <w:t>s</w:t>
      </w:r>
      <w:r w:rsidR="00154A88" w:rsidRPr="00575A30">
        <w:rPr>
          <w:kern w:val="22"/>
          <w:szCs w:val="22"/>
          <w:lang w:val="fr-FR"/>
        </w:rPr>
        <w:t xml:space="preserve"> SPANB par diverses autorités, dont </w:t>
      </w:r>
      <w:r w:rsidR="0095621F" w:rsidRPr="00575A30">
        <w:rPr>
          <w:kern w:val="22"/>
          <w:szCs w:val="22"/>
          <w:lang w:val="fr-FR"/>
        </w:rPr>
        <w:t>les autorités royales</w:t>
      </w:r>
      <w:r w:rsidR="00154A88" w:rsidRPr="00575A30">
        <w:rPr>
          <w:kern w:val="22"/>
          <w:szCs w:val="22"/>
          <w:lang w:val="fr-FR"/>
        </w:rPr>
        <w:t>, le</w:t>
      </w:r>
      <w:r w:rsidR="00D418DD" w:rsidRPr="00575A30">
        <w:rPr>
          <w:kern w:val="22"/>
          <w:szCs w:val="22"/>
          <w:lang w:val="fr-FR"/>
        </w:rPr>
        <w:t>s</w:t>
      </w:r>
      <w:r w:rsidR="00154A88" w:rsidRPr="00575A30">
        <w:rPr>
          <w:kern w:val="22"/>
          <w:szCs w:val="22"/>
          <w:lang w:val="fr-FR"/>
        </w:rPr>
        <w:t xml:space="preserve"> </w:t>
      </w:r>
      <w:r w:rsidR="0095621F" w:rsidRPr="00575A30">
        <w:rPr>
          <w:kern w:val="22"/>
          <w:szCs w:val="22"/>
          <w:lang w:val="fr-FR"/>
        </w:rPr>
        <w:t>gouvernements</w:t>
      </w:r>
      <w:r w:rsidR="00F028F3" w:rsidRPr="00575A30">
        <w:rPr>
          <w:kern w:val="22"/>
          <w:szCs w:val="22"/>
          <w:lang w:val="fr-FR"/>
        </w:rPr>
        <w:t xml:space="preserve"> et </w:t>
      </w:r>
      <w:r w:rsidR="00D418DD" w:rsidRPr="00575A30">
        <w:rPr>
          <w:kern w:val="22"/>
          <w:szCs w:val="22"/>
          <w:lang w:val="fr-FR"/>
        </w:rPr>
        <w:t xml:space="preserve">les conseils de ministres. D’autres Parties ont </w:t>
      </w:r>
      <w:r w:rsidR="006C48DC" w:rsidRPr="00575A30">
        <w:rPr>
          <w:kern w:val="22"/>
          <w:szCs w:val="22"/>
          <w:lang w:val="fr-FR"/>
        </w:rPr>
        <w:t xml:space="preserve">strictement </w:t>
      </w:r>
      <w:r w:rsidR="00D418DD" w:rsidRPr="00575A30">
        <w:rPr>
          <w:kern w:val="22"/>
          <w:szCs w:val="22"/>
          <w:lang w:val="fr-FR"/>
        </w:rPr>
        <w:t xml:space="preserve">limité cette adoption au secteur de l’environnement. </w:t>
      </w:r>
      <w:r w:rsidR="00B6595B" w:rsidRPr="00575A30">
        <w:rPr>
          <w:kern w:val="22"/>
          <w:szCs w:val="22"/>
          <w:lang w:val="fr-FR"/>
        </w:rPr>
        <w:t xml:space="preserve">Quelques exemples </w:t>
      </w:r>
      <w:r w:rsidR="0095621F" w:rsidRPr="00575A30">
        <w:rPr>
          <w:kern w:val="22"/>
          <w:szCs w:val="22"/>
          <w:lang w:val="fr-FR"/>
        </w:rPr>
        <w:t xml:space="preserve">sont présentés </w:t>
      </w:r>
      <w:r w:rsidR="00B6595B" w:rsidRPr="00575A30">
        <w:rPr>
          <w:noProof/>
          <w:kern w:val="22"/>
          <w:szCs w:val="22"/>
          <w:lang w:val="fr-FR"/>
        </w:rPr>
        <w:t>ci</w:t>
      </w:r>
      <w:r w:rsidR="00B6595B" w:rsidRPr="00575A30">
        <w:rPr>
          <w:noProof/>
          <w:kern w:val="22"/>
          <w:szCs w:val="22"/>
          <w:lang w:val="fr-FR"/>
        </w:rPr>
        <w:noBreakHyphen/>
        <w:t>dessous</w:t>
      </w:r>
      <w:r w:rsidR="00267DDD" w:rsidRPr="00575A30">
        <w:rPr>
          <w:kern w:val="22"/>
          <w:szCs w:val="22"/>
          <w:lang w:val="fr-FR"/>
        </w:rPr>
        <w:t>.</w:t>
      </w:r>
      <w:r w:rsidR="00D77D96" w:rsidRPr="000974B3">
        <w:rPr>
          <w:vertAlign w:val="superscript"/>
        </w:rPr>
        <w:footnoteReference w:id="16"/>
      </w:r>
    </w:p>
    <w:p w14:paraId="020194DA" w14:textId="77777777" w:rsidR="002A0778" w:rsidRPr="00575A30" w:rsidRDefault="00D44CF8" w:rsidP="00F36F85">
      <w:pPr>
        <w:numPr>
          <w:ilvl w:val="0"/>
          <w:numId w:val="11"/>
        </w:numPr>
        <w:tabs>
          <w:tab w:val="clear" w:pos="540"/>
          <w:tab w:val="num" w:pos="709"/>
        </w:tabs>
        <w:spacing w:before="240" w:after="120"/>
        <w:ind w:left="0" w:firstLine="0"/>
        <w:rPr>
          <w:kern w:val="22"/>
          <w:szCs w:val="22"/>
          <w:lang w:val="fr-FR"/>
        </w:rPr>
      </w:pPr>
      <w:r w:rsidRPr="00575A30">
        <w:rPr>
          <w:kern w:val="22"/>
          <w:szCs w:val="22"/>
          <w:lang w:val="fr-FR"/>
        </w:rPr>
        <w:t xml:space="preserve">Au total, </w:t>
      </w:r>
      <w:r w:rsidR="00AD0576">
        <w:rPr>
          <w:kern w:val="22"/>
          <w:szCs w:val="22"/>
          <w:lang w:val="fr-FR"/>
        </w:rPr>
        <w:t>6</w:t>
      </w:r>
      <w:r w:rsidR="00FD6A9B">
        <w:rPr>
          <w:kern w:val="22"/>
          <w:szCs w:val="22"/>
          <w:lang w:val="fr-FR"/>
        </w:rPr>
        <w:t>9</w:t>
      </w:r>
      <w:r w:rsidR="0039331E" w:rsidRPr="00575A30">
        <w:rPr>
          <w:kern w:val="22"/>
          <w:szCs w:val="22"/>
          <w:lang w:val="fr-FR"/>
        </w:rPr>
        <w:t xml:space="preserve"> </w:t>
      </w:r>
      <w:r w:rsidRPr="00575A30">
        <w:rPr>
          <w:kern w:val="22"/>
          <w:szCs w:val="22"/>
          <w:lang w:val="fr-FR"/>
        </w:rPr>
        <w:t>SPANB</w:t>
      </w:r>
      <w:r w:rsidR="00267DDD" w:rsidRPr="00575A30">
        <w:rPr>
          <w:snapToGrid w:val="0"/>
          <w:kern w:val="22"/>
          <w:szCs w:val="22"/>
          <w:vertAlign w:val="superscript"/>
          <w:lang w:val="fr-FR"/>
        </w:rPr>
        <w:footnoteReference w:id="17"/>
      </w:r>
      <w:r w:rsidRPr="00575A30">
        <w:rPr>
          <w:kern w:val="22"/>
          <w:szCs w:val="22"/>
          <w:lang w:val="fr-FR"/>
        </w:rPr>
        <w:t xml:space="preserve"> ont été adopté</w:t>
      </w:r>
      <w:r w:rsidR="008E16BC" w:rsidRPr="00575A30">
        <w:rPr>
          <w:kern w:val="22"/>
          <w:szCs w:val="22"/>
          <w:lang w:val="fr-FR"/>
        </w:rPr>
        <w:t>s</w:t>
      </w:r>
      <w:r w:rsidRPr="00575A30">
        <w:rPr>
          <w:kern w:val="22"/>
          <w:szCs w:val="22"/>
          <w:lang w:val="fr-FR"/>
        </w:rPr>
        <w:t xml:space="preserve"> en tant qu’instruments pangouvernementaux</w:t>
      </w:r>
      <w:r w:rsidR="0095621F" w:rsidRPr="00575A30">
        <w:rPr>
          <w:kern w:val="22"/>
          <w:szCs w:val="22"/>
          <w:lang w:val="fr-FR"/>
        </w:rPr>
        <w:t>, p</w:t>
      </w:r>
      <w:r w:rsidRPr="00575A30">
        <w:rPr>
          <w:kern w:val="22"/>
          <w:szCs w:val="22"/>
          <w:lang w:val="fr-FR"/>
        </w:rPr>
        <w:t>ar exemple :</w:t>
      </w:r>
    </w:p>
    <w:p w14:paraId="11B81B1B" w14:textId="77777777" w:rsidR="00713A73" w:rsidRPr="00575A30" w:rsidRDefault="00B718B8" w:rsidP="00F36F85">
      <w:pPr>
        <w:pStyle w:val="Para1"/>
        <w:numPr>
          <w:ilvl w:val="0"/>
          <w:numId w:val="6"/>
        </w:numPr>
        <w:tabs>
          <w:tab w:val="clear" w:pos="1080"/>
        </w:tabs>
        <w:ind w:left="0" w:firstLine="763"/>
        <w:rPr>
          <w:kern w:val="22"/>
          <w:szCs w:val="22"/>
          <w:lang w:val="fr-FR"/>
        </w:rPr>
      </w:pPr>
      <w:r w:rsidRPr="00575A30">
        <w:rPr>
          <w:kern w:val="22"/>
          <w:szCs w:val="22"/>
          <w:lang w:val="fr-FR"/>
        </w:rPr>
        <w:lastRenderedPageBreak/>
        <w:t xml:space="preserve">Les SPANB de </w:t>
      </w:r>
      <w:r w:rsidR="0095621F" w:rsidRPr="00575A30">
        <w:rPr>
          <w:kern w:val="22"/>
          <w:szCs w:val="22"/>
          <w:lang w:val="fr-FR"/>
        </w:rPr>
        <w:t xml:space="preserve">l'Allemagne, </w:t>
      </w:r>
      <w:r w:rsidR="00FD6A9B">
        <w:rPr>
          <w:kern w:val="22"/>
          <w:szCs w:val="22"/>
          <w:lang w:val="fr-FR"/>
        </w:rPr>
        <w:t xml:space="preserve">du Cambodge, de la Croatie, </w:t>
      </w:r>
      <w:r w:rsidR="0095621F" w:rsidRPr="00575A30">
        <w:rPr>
          <w:kern w:val="22"/>
          <w:szCs w:val="22"/>
          <w:lang w:val="fr-FR"/>
        </w:rPr>
        <w:t xml:space="preserve">de </w:t>
      </w:r>
      <w:r w:rsidRPr="00575A30">
        <w:rPr>
          <w:kern w:val="22"/>
          <w:szCs w:val="22"/>
          <w:lang w:val="fr-FR"/>
        </w:rPr>
        <w:t xml:space="preserve">l’Inde, de la Géorgie, </w:t>
      </w:r>
      <w:r w:rsidR="0095621F" w:rsidRPr="00575A30">
        <w:rPr>
          <w:kern w:val="22"/>
          <w:szCs w:val="22"/>
          <w:lang w:val="fr-FR"/>
        </w:rPr>
        <w:t xml:space="preserve">du </w:t>
      </w:r>
      <w:r w:rsidRPr="00575A30">
        <w:rPr>
          <w:kern w:val="22"/>
          <w:szCs w:val="22"/>
          <w:lang w:val="fr-FR"/>
        </w:rPr>
        <w:t>Guyan</w:t>
      </w:r>
      <w:r w:rsidR="0095621F" w:rsidRPr="00575A30">
        <w:rPr>
          <w:kern w:val="22"/>
          <w:szCs w:val="22"/>
          <w:lang w:val="fr-FR"/>
        </w:rPr>
        <w:t>a</w:t>
      </w:r>
      <w:r w:rsidRPr="00575A30">
        <w:rPr>
          <w:kern w:val="22"/>
          <w:szCs w:val="22"/>
          <w:lang w:val="fr-FR"/>
        </w:rPr>
        <w:t>,</w:t>
      </w:r>
      <w:r w:rsidR="0095621F" w:rsidRPr="00575A30">
        <w:rPr>
          <w:kern w:val="22"/>
          <w:szCs w:val="22"/>
          <w:lang w:val="fr-FR"/>
        </w:rPr>
        <w:t xml:space="preserve"> de la Hongrie,</w:t>
      </w:r>
      <w:r w:rsidRPr="00575A30">
        <w:rPr>
          <w:kern w:val="22"/>
          <w:szCs w:val="22"/>
          <w:lang w:val="fr-FR"/>
        </w:rPr>
        <w:t xml:space="preserve"> du Japon, d</w:t>
      </w:r>
      <w:r w:rsidR="0095621F" w:rsidRPr="00575A30">
        <w:rPr>
          <w:kern w:val="22"/>
          <w:szCs w:val="22"/>
          <w:lang w:val="fr-FR"/>
        </w:rPr>
        <w:t>u</w:t>
      </w:r>
      <w:r w:rsidRPr="00575A30">
        <w:rPr>
          <w:kern w:val="22"/>
          <w:szCs w:val="22"/>
          <w:lang w:val="fr-FR"/>
        </w:rPr>
        <w:t xml:space="preserve"> Myanmar,</w:t>
      </w:r>
      <w:r w:rsidR="00D572A1">
        <w:rPr>
          <w:kern w:val="22"/>
          <w:szCs w:val="22"/>
          <w:lang w:val="fr-FR"/>
        </w:rPr>
        <w:t xml:space="preserve"> de la Namibie, </w:t>
      </w:r>
      <w:r w:rsidRPr="00575A30">
        <w:rPr>
          <w:kern w:val="22"/>
          <w:szCs w:val="22"/>
          <w:lang w:val="fr-FR"/>
        </w:rPr>
        <w:t xml:space="preserve">du Népal, </w:t>
      </w:r>
      <w:r w:rsidR="00FD6A9B">
        <w:rPr>
          <w:kern w:val="22"/>
          <w:szCs w:val="22"/>
          <w:lang w:val="fr-FR"/>
        </w:rPr>
        <w:t xml:space="preserve">de la Norvège, </w:t>
      </w:r>
      <w:r w:rsidR="00D572A1">
        <w:rPr>
          <w:kern w:val="22"/>
          <w:szCs w:val="22"/>
          <w:lang w:val="fr-FR"/>
        </w:rPr>
        <w:t xml:space="preserve">de la République de Corée, </w:t>
      </w:r>
      <w:r w:rsidRPr="00575A30">
        <w:rPr>
          <w:kern w:val="22"/>
          <w:szCs w:val="22"/>
          <w:lang w:val="fr-FR"/>
        </w:rPr>
        <w:t>des Seychelles</w:t>
      </w:r>
      <w:r w:rsidR="00FD6A9B">
        <w:rPr>
          <w:kern w:val="22"/>
          <w:szCs w:val="22"/>
          <w:lang w:val="fr-FR"/>
        </w:rPr>
        <w:t>, du Sri Lanka, de la Thaïlande,</w:t>
      </w:r>
      <w:r w:rsidRPr="00575A30">
        <w:rPr>
          <w:kern w:val="22"/>
          <w:szCs w:val="22"/>
          <w:lang w:val="fr-FR"/>
        </w:rPr>
        <w:t xml:space="preserve"> de</w:t>
      </w:r>
      <w:r w:rsidR="008E16BC" w:rsidRPr="00575A30">
        <w:rPr>
          <w:kern w:val="22"/>
          <w:szCs w:val="22"/>
          <w:lang w:val="fr-FR"/>
        </w:rPr>
        <w:t>s</w:t>
      </w:r>
      <w:r w:rsidRPr="00575A30">
        <w:rPr>
          <w:kern w:val="22"/>
          <w:szCs w:val="22"/>
          <w:lang w:val="fr-FR"/>
        </w:rPr>
        <w:t xml:space="preserve"> Tuvalu</w:t>
      </w:r>
      <w:r w:rsidR="00CC5447">
        <w:rPr>
          <w:kern w:val="22"/>
          <w:szCs w:val="22"/>
          <w:lang w:val="fr-FR"/>
        </w:rPr>
        <w:t xml:space="preserve">, de l’Ukraine et du </w:t>
      </w:r>
      <w:proofErr w:type="gramStart"/>
      <w:r w:rsidR="00CC5447">
        <w:rPr>
          <w:kern w:val="22"/>
          <w:szCs w:val="22"/>
          <w:lang w:val="fr-FR"/>
        </w:rPr>
        <w:t xml:space="preserve">Zimbabwe </w:t>
      </w:r>
      <w:r w:rsidRPr="00575A30">
        <w:rPr>
          <w:kern w:val="22"/>
          <w:szCs w:val="22"/>
          <w:lang w:val="fr-FR"/>
        </w:rPr>
        <w:t xml:space="preserve"> ont</w:t>
      </w:r>
      <w:proofErr w:type="gramEnd"/>
      <w:r w:rsidRPr="00575A30">
        <w:rPr>
          <w:kern w:val="22"/>
          <w:szCs w:val="22"/>
          <w:lang w:val="fr-FR"/>
        </w:rPr>
        <w:t xml:space="preserve"> été adoptés/entérinés par le</w:t>
      </w:r>
      <w:r w:rsidR="00106866" w:rsidRPr="00575A30">
        <w:rPr>
          <w:kern w:val="22"/>
          <w:szCs w:val="22"/>
          <w:lang w:val="fr-FR"/>
        </w:rPr>
        <w:t>s</w:t>
      </w:r>
      <w:r w:rsidRPr="00575A30">
        <w:rPr>
          <w:kern w:val="22"/>
          <w:szCs w:val="22"/>
          <w:lang w:val="fr-FR"/>
        </w:rPr>
        <w:t xml:space="preserve"> </w:t>
      </w:r>
      <w:r w:rsidR="00106866" w:rsidRPr="00575A30">
        <w:rPr>
          <w:kern w:val="22"/>
          <w:szCs w:val="22"/>
          <w:lang w:val="fr-FR"/>
        </w:rPr>
        <w:t>G</w:t>
      </w:r>
      <w:r w:rsidR="0095621F" w:rsidRPr="00575A30">
        <w:rPr>
          <w:kern w:val="22"/>
          <w:szCs w:val="22"/>
          <w:lang w:val="fr-FR"/>
        </w:rPr>
        <w:t>ouvernement</w:t>
      </w:r>
      <w:r w:rsidR="00106866" w:rsidRPr="00575A30">
        <w:rPr>
          <w:kern w:val="22"/>
          <w:szCs w:val="22"/>
          <w:lang w:val="fr-FR"/>
        </w:rPr>
        <w:t>s respectifs</w:t>
      </w:r>
      <w:r w:rsidR="00BC6ED9" w:rsidRPr="00575A30">
        <w:rPr>
          <w:kern w:val="22"/>
          <w:szCs w:val="22"/>
          <w:lang w:val="fr-FR"/>
        </w:rPr>
        <w:t> </w:t>
      </w:r>
      <w:r w:rsidR="00CC5447">
        <w:rPr>
          <w:kern w:val="22"/>
          <w:szCs w:val="22"/>
          <w:lang w:val="fr-FR"/>
        </w:rPr>
        <w:t>ou un organe équivalent</w:t>
      </w:r>
      <w:r w:rsidR="00BC6ED9" w:rsidRPr="00575A30">
        <w:rPr>
          <w:kern w:val="22"/>
          <w:szCs w:val="22"/>
          <w:lang w:val="fr-FR"/>
        </w:rPr>
        <w:t>;</w:t>
      </w:r>
    </w:p>
    <w:p w14:paraId="5EF49F38" w14:textId="77777777" w:rsidR="00AF1CEB" w:rsidRDefault="00B718B8" w:rsidP="00F36F85">
      <w:pPr>
        <w:pStyle w:val="Para1"/>
        <w:numPr>
          <w:ilvl w:val="0"/>
          <w:numId w:val="6"/>
        </w:numPr>
        <w:tabs>
          <w:tab w:val="clear" w:pos="1080"/>
          <w:tab w:val="num" w:pos="1440"/>
        </w:tabs>
        <w:ind w:left="0" w:firstLine="720"/>
        <w:rPr>
          <w:kern w:val="22"/>
          <w:szCs w:val="22"/>
          <w:lang w:val="fr-FR"/>
        </w:rPr>
      </w:pPr>
      <w:r w:rsidRPr="00575A30">
        <w:rPr>
          <w:kern w:val="22"/>
          <w:szCs w:val="22"/>
          <w:lang w:val="fr-FR"/>
        </w:rPr>
        <w:t xml:space="preserve">Les </w:t>
      </w:r>
      <w:r w:rsidR="004D4BEF" w:rsidRPr="00575A30">
        <w:rPr>
          <w:kern w:val="22"/>
          <w:szCs w:val="22"/>
          <w:lang w:val="fr-FR"/>
        </w:rPr>
        <w:t>SPANB</w:t>
      </w:r>
      <w:r w:rsidR="004D4BEF" w:rsidRPr="00575A30" w:rsidDel="0095621F">
        <w:rPr>
          <w:kern w:val="22"/>
          <w:szCs w:val="22"/>
          <w:lang w:val="fr-FR"/>
        </w:rPr>
        <w:t xml:space="preserve"> </w:t>
      </w:r>
      <w:r w:rsidRPr="00575A30">
        <w:rPr>
          <w:kern w:val="22"/>
          <w:szCs w:val="22"/>
          <w:lang w:val="fr-FR"/>
        </w:rPr>
        <w:t xml:space="preserve">du </w:t>
      </w:r>
      <w:r w:rsidRPr="00575A30">
        <w:rPr>
          <w:noProof/>
          <w:kern w:val="22"/>
          <w:szCs w:val="22"/>
          <w:lang w:val="fr-FR"/>
        </w:rPr>
        <w:t>Bélarus</w:t>
      </w:r>
      <w:r w:rsidRPr="00575A30">
        <w:rPr>
          <w:kern w:val="22"/>
          <w:szCs w:val="22"/>
          <w:lang w:val="fr-FR"/>
        </w:rPr>
        <w:t xml:space="preserve">, </w:t>
      </w:r>
      <w:r w:rsidR="0095621F" w:rsidRPr="00575A30">
        <w:rPr>
          <w:kern w:val="22"/>
          <w:szCs w:val="22"/>
          <w:lang w:val="fr-FR"/>
        </w:rPr>
        <w:t xml:space="preserve">du Bénin, </w:t>
      </w:r>
      <w:r w:rsidR="00CC5447">
        <w:rPr>
          <w:kern w:val="22"/>
          <w:szCs w:val="22"/>
          <w:lang w:val="fr-FR"/>
        </w:rPr>
        <w:t xml:space="preserve">de la Bosnie-Herzégovine, du Chili, </w:t>
      </w:r>
      <w:r w:rsidRPr="00575A30">
        <w:rPr>
          <w:kern w:val="22"/>
          <w:szCs w:val="22"/>
          <w:lang w:val="fr-FR"/>
        </w:rPr>
        <w:t xml:space="preserve">de la Grèce, </w:t>
      </w:r>
      <w:r w:rsidR="00C92086">
        <w:rPr>
          <w:kern w:val="22"/>
          <w:szCs w:val="22"/>
          <w:lang w:val="fr-FR"/>
        </w:rPr>
        <w:t xml:space="preserve">du Liban, </w:t>
      </w:r>
      <w:r w:rsidR="00CC5447">
        <w:rPr>
          <w:kern w:val="22"/>
          <w:szCs w:val="22"/>
          <w:lang w:val="fr-FR"/>
        </w:rPr>
        <w:t xml:space="preserve">du Luxembourg, </w:t>
      </w:r>
      <w:r w:rsidRPr="00575A30">
        <w:rPr>
          <w:kern w:val="22"/>
          <w:szCs w:val="22"/>
          <w:lang w:val="fr-FR"/>
        </w:rPr>
        <w:t xml:space="preserve">de la Mauritanie, </w:t>
      </w:r>
      <w:r w:rsidR="0095621F" w:rsidRPr="00575A30">
        <w:rPr>
          <w:kern w:val="22"/>
          <w:szCs w:val="22"/>
          <w:lang w:val="fr-FR"/>
        </w:rPr>
        <w:t>de la Pologne</w:t>
      </w:r>
      <w:r w:rsidR="00C92086">
        <w:rPr>
          <w:kern w:val="22"/>
          <w:szCs w:val="22"/>
          <w:lang w:val="fr-FR"/>
        </w:rPr>
        <w:t>,</w:t>
      </w:r>
      <w:r w:rsidRPr="00575A30">
        <w:rPr>
          <w:kern w:val="22"/>
          <w:szCs w:val="22"/>
          <w:lang w:val="fr-FR"/>
        </w:rPr>
        <w:t xml:space="preserve"> du Soudan </w:t>
      </w:r>
      <w:r w:rsidR="00C92086">
        <w:rPr>
          <w:kern w:val="22"/>
          <w:szCs w:val="22"/>
          <w:lang w:val="fr-FR"/>
        </w:rPr>
        <w:t xml:space="preserve">et de la Suisse </w:t>
      </w:r>
      <w:r w:rsidRPr="00575A30">
        <w:rPr>
          <w:kern w:val="22"/>
          <w:szCs w:val="22"/>
          <w:lang w:val="fr-FR"/>
        </w:rPr>
        <w:t xml:space="preserve">ont </w:t>
      </w:r>
      <w:r w:rsidR="004D4BEF" w:rsidRPr="00575A30">
        <w:rPr>
          <w:kern w:val="22"/>
          <w:szCs w:val="22"/>
          <w:lang w:val="fr-FR"/>
        </w:rPr>
        <w:t xml:space="preserve">été </w:t>
      </w:r>
      <w:r w:rsidRPr="00575A30">
        <w:rPr>
          <w:kern w:val="22"/>
          <w:szCs w:val="22"/>
          <w:lang w:val="fr-FR"/>
        </w:rPr>
        <w:t>approuvé</w:t>
      </w:r>
      <w:r w:rsidR="004D4BEF" w:rsidRPr="00575A30">
        <w:rPr>
          <w:kern w:val="22"/>
          <w:szCs w:val="22"/>
          <w:lang w:val="fr-FR"/>
        </w:rPr>
        <w:t>s</w:t>
      </w:r>
      <w:r w:rsidRPr="00575A30">
        <w:rPr>
          <w:kern w:val="22"/>
          <w:szCs w:val="22"/>
          <w:lang w:val="fr-FR"/>
        </w:rPr>
        <w:t xml:space="preserve"> </w:t>
      </w:r>
      <w:r w:rsidR="008E16BC" w:rsidRPr="00575A30">
        <w:rPr>
          <w:kern w:val="22"/>
          <w:szCs w:val="22"/>
          <w:lang w:val="fr-FR"/>
        </w:rPr>
        <w:t xml:space="preserve">par </w:t>
      </w:r>
      <w:r w:rsidR="004D4BEF" w:rsidRPr="00575A30">
        <w:rPr>
          <w:kern w:val="22"/>
          <w:szCs w:val="22"/>
          <w:lang w:val="fr-FR"/>
        </w:rPr>
        <w:t>le conseil des ministres de chaque État</w:t>
      </w:r>
      <w:r w:rsidR="00BC6ED9" w:rsidRPr="00575A30">
        <w:rPr>
          <w:kern w:val="22"/>
          <w:szCs w:val="22"/>
          <w:lang w:val="fr-FR"/>
        </w:rPr>
        <w:t> ;</w:t>
      </w:r>
    </w:p>
    <w:p w14:paraId="698D11F7" w14:textId="77777777" w:rsidR="00CC5447" w:rsidRDefault="00CC5447" w:rsidP="00F36F85">
      <w:pPr>
        <w:pStyle w:val="Para1"/>
        <w:numPr>
          <w:ilvl w:val="0"/>
          <w:numId w:val="6"/>
        </w:numPr>
        <w:tabs>
          <w:tab w:val="clear" w:pos="1080"/>
          <w:tab w:val="num" w:pos="1440"/>
        </w:tabs>
        <w:ind w:left="0" w:firstLine="720"/>
        <w:rPr>
          <w:kern w:val="22"/>
          <w:szCs w:val="22"/>
          <w:lang w:val="fr-FR"/>
        </w:rPr>
      </w:pPr>
      <w:r>
        <w:rPr>
          <w:kern w:val="22"/>
          <w:szCs w:val="22"/>
          <w:lang w:val="fr-FR"/>
        </w:rPr>
        <w:t>Les SPANB de l’Azerbaïdjan, du Cambodge, de l’</w:t>
      </w:r>
      <w:r w:rsidR="00C92086">
        <w:rPr>
          <w:kern w:val="22"/>
          <w:szCs w:val="22"/>
          <w:lang w:val="fr-FR"/>
        </w:rPr>
        <w:t>Espagne,</w:t>
      </w:r>
      <w:r>
        <w:rPr>
          <w:kern w:val="22"/>
          <w:szCs w:val="22"/>
          <w:lang w:val="fr-FR"/>
        </w:rPr>
        <w:t xml:space="preserve"> de la France </w:t>
      </w:r>
      <w:r w:rsidR="00C92086">
        <w:rPr>
          <w:kern w:val="22"/>
          <w:szCs w:val="22"/>
          <w:lang w:val="fr-FR"/>
        </w:rPr>
        <w:t>et de Palau ont été approuvés</w:t>
      </w:r>
      <w:r>
        <w:rPr>
          <w:kern w:val="22"/>
          <w:szCs w:val="22"/>
          <w:lang w:val="fr-FR"/>
        </w:rPr>
        <w:t xml:space="preserve"> par leurs chef</w:t>
      </w:r>
      <w:r w:rsidR="004432F2">
        <w:rPr>
          <w:kern w:val="22"/>
          <w:szCs w:val="22"/>
          <w:lang w:val="fr-FR"/>
        </w:rPr>
        <w:t>s</w:t>
      </w:r>
      <w:r>
        <w:rPr>
          <w:kern w:val="22"/>
          <w:szCs w:val="22"/>
          <w:lang w:val="fr-FR"/>
        </w:rPr>
        <w:t xml:space="preserve"> d’État ;</w:t>
      </w:r>
    </w:p>
    <w:p w14:paraId="63F71CC6" w14:textId="77777777" w:rsidR="00CC5447" w:rsidRPr="00575A30" w:rsidRDefault="00CC5447" w:rsidP="00F36F85">
      <w:pPr>
        <w:pStyle w:val="Para1"/>
        <w:numPr>
          <w:ilvl w:val="0"/>
          <w:numId w:val="6"/>
        </w:numPr>
        <w:tabs>
          <w:tab w:val="clear" w:pos="1080"/>
          <w:tab w:val="num" w:pos="1440"/>
        </w:tabs>
        <w:ind w:left="0" w:firstLine="720"/>
        <w:rPr>
          <w:kern w:val="22"/>
          <w:szCs w:val="22"/>
          <w:lang w:val="fr-FR"/>
        </w:rPr>
      </w:pPr>
      <w:r>
        <w:rPr>
          <w:kern w:val="22"/>
          <w:szCs w:val="22"/>
          <w:lang w:val="fr-FR"/>
        </w:rPr>
        <w:t xml:space="preserve">Le SPANB du Costa Rica fait partie de la Politique nationale pour la biodiversité (2015-2030) </w:t>
      </w:r>
      <w:r w:rsidR="00412370">
        <w:rPr>
          <w:kern w:val="22"/>
          <w:szCs w:val="22"/>
          <w:lang w:val="fr-FR"/>
        </w:rPr>
        <w:t>(PNB) adopté</w:t>
      </w:r>
      <w:r w:rsidR="004432F2">
        <w:rPr>
          <w:kern w:val="22"/>
          <w:szCs w:val="22"/>
          <w:lang w:val="fr-FR"/>
        </w:rPr>
        <w:t>e</w:t>
      </w:r>
      <w:r w:rsidR="00412370">
        <w:rPr>
          <w:kern w:val="22"/>
          <w:szCs w:val="22"/>
          <w:lang w:val="fr-FR"/>
        </w:rPr>
        <w:t xml:space="preserve"> par décret</w:t>
      </w:r>
      <w:r w:rsidR="00C92086">
        <w:rPr>
          <w:kern w:val="22"/>
          <w:szCs w:val="22"/>
          <w:lang w:val="fr-FR"/>
        </w:rPr>
        <w:t xml:space="preserve">. De même, le SPANB du Panama a été adopté par décret en 2018, après avoir tenu compte des Objectifs d’Aichi pour la biodiversité et des Objectifs de développement durable, ainsi que de la </w:t>
      </w:r>
      <w:r w:rsidR="008B663D">
        <w:rPr>
          <w:kern w:val="22"/>
          <w:szCs w:val="22"/>
          <w:lang w:val="fr-FR"/>
        </w:rPr>
        <w:t>P</w:t>
      </w:r>
      <w:r w:rsidR="00C92086">
        <w:rPr>
          <w:kern w:val="22"/>
          <w:szCs w:val="22"/>
          <w:lang w:val="fr-FR"/>
        </w:rPr>
        <w:t>olitique nationale pour la biodiversité adoptée par décret en 2008. L’Albanie a aussi adopté son SPANB par décret en 2016</w:t>
      </w:r>
      <w:r w:rsidR="00412370">
        <w:rPr>
          <w:kern w:val="22"/>
          <w:szCs w:val="22"/>
          <w:lang w:val="fr-FR"/>
        </w:rPr>
        <w:t> ;</w:t>
      </w:r>
    </w:p>
    <w:p w14:paraId="1A17D54A" w14:textId="77777777" w:rsidR="00713A73" w:rsidRPr="00575A30" w:rsidRDefault="00AF1CEB" w:rsidP="00F36F85">
      <w:pPr>
        <w:pStyle w:val="Para1"/>
        <w:numPr>
          <w:ilvl w:val="0"/>
          <w:numId w:val="6"/>
        </w:numPr>
        <w:tabs>
          <w:tab w:val="clear" w:pos="1080"/>
          <w:tab w:val="num" w:pos="1440"/>
        </w:tabs>
        <w:ind w:left="0" w:firstLine="720"/>
        <w:rPr>
          <w:kern w:val="22"/>
          <w:szCs w:val="22"/>
          <w:lang w:val="fr-FR"/>
        </w:rPr>
      </w:pPr>
      <w:r w:rsidRPr="00575A30">
        <w:rPr>
          <w:kern w:val="22"/>
          <w:szCs w:val="22"/>
          <w:lang w:val="fr-FR"/>
        </w:rPr>
        <w:t>Le</w:t>
      </w:r>
      <w:r w:rsidR="00106866" w:rsidRPr="00575A30">
        <w:rPr>
          <w:kern w:val="22"/>
          <w:szCs w:val="22"/>
          <w:lang w:val="fr-FR"/>
        </w:rPr>
        <w:t>s</w:t>
      </w:r>
      <w:r w:rsidRPr="00575A30">
        <w:rPr>
          <w:kern w:val="22"/>
          <w:szCs w:val="22"/>
          <w:lang w:val="fr-FR"/>
        </w:rPr>
        <w:t xml:space="preserve"> SPANB de l'Union européenne </w:t>
      </w:r>
      <w:r w:rsidR="00106866" w:rsidRPr="00575A30">
        <w:rPr>
          <w:kern w:val="22"/>
          <w:szCs w:val="22"/>
          <w:lang w:val="fr-FR"/>
        </w:rPr>
        <w:t xml:space="preserve">ont </w:t>
      </w:r>
      <w:r w:rsidRPr="00575A30">
        <w:rPr>
          <w:kern w:val="22"/>
          <w:szCs w:val="22"/>
          <w:lang w:val="fr-FR"/>
        </w:rPr>
        <w:t>été adopté</w:t>
      </w:r>
      <w:r w:rsidR="00106866" w:rsidRPr="00575A30">
        <w:rPr>
          <w:kern w:val="22"/>
          <w:szCs w:val="22"/>
          <w:lang w:val="fr-FR"/>
        </w:rPr>
        <w:t>s</w:t>
      </w:r>
      <w:r w:rsidRPr="00575A30">
        <w:rPr>
          <w:kern w:val="22"/>
          <w:szCs w:val="22"/>
          <w:lang w:val="fr-FR"/>
        </w:rPr>
        <w:t xml:space="preserve"> par la Commission et approuvé</w:t>
      </w:r>
      <w:r w:rsidR="00106866" w:rsidRPr="00575A30">
        <w:rPr>
          <w:kern w:val="22"/>
          <w:szCs w:val="22"/>
          <w:lang w:val="fr-FR"/>
        </w:rPr>
        <w:t>s</w:t>
      </w:r>
      <w:r w:rsidRPr="00575A30">
        <w:rPr>
          <w:kern w:val="22"/>
          <w:szCs w:val="22"/>
          <w:lang w:val="fr-FR"/>
        </w:rPr>
        <w:t xml:space="preserve"> par le Conseil des ministres et le Parlement européen</w:t>
      </w:r>
      <w:r w:rsidR="00BC6ED9" w:rsidRPr="00575A30">
        <w:rPr>
          <w:kern w:val="22"/>
          <w:szCs w:val="22"/>
          <w:lang w:val="fr-FR"/>
        </w:rPr>
        <w:t> ;</w:t>
      </w:r>
    </w:p>
    <w:p w14:paraId="1F5E26F1" w14:textId="77777777" w:rsidR="008B663D" w:rsidRDefault="00412370" w:rsidP="00F36F85">
      <w:pPr>
        <w:pStyle w:val="Para1"/>
        <w:numPr>
          <w:ilvl w:val="0"/>
          <w:numId w:val="6"/>
        </w:numPr>
        <w:tabs>
          <w:tab w:val="clear" w:pos="1080"/>
          <w:tab w:val="num" w:pos="1440"/>
        </w:tabs>
        <w:ind w:left="0" w:firstLine="720"/>
        <w:rPr>
          <w:kern w:val="22"/>
          <w:szCs w:val="22"/>
          <w:lang w:val="fr-FR"/>
        </w:rPr>
      </w:pPr>
      <w:r>
        <w:rPr>
          <w:kern w:val="22"/>
          <w:szCs w:val="22"/>
          <w:lang w:val="fr-FR"/>
        </w:rPr>
        <w:t>Le</w:t>
      </w:r>
      <w:r w:rsidR="0039331E" w:rsidRPr="00575A30">
        <w:rPr>
          <w:kern w:val="22"/>
          <w:szCs w:val="22"/>
          <w:lang w:val="fr-FR"/>
        </w:rPr>
        <w:t xml:space="preserve"> SPANB de la Suède </w:t>
      </w:r>
      <w:r>
        <w:rPr>
          <w:kern w:val="22"/>
          <w:szCs w:val="22"/>
          <w:lang w:val="fr-FR"/>
        </w:rPr>
        <w:t>a été adopté</w:t>
      </w:r>
      <w:r w:rsidR="0039331E" w:rsidRPr="00575A30">
        <w:rPr>
          <w:kern w:val="22"/>
          <w:szCs w:val="22"/>
          <w:lang w:val="fr-FR"/>
        </w:rPr>
        <w:t xml:space="preserve"> par le </w:t>
      </w:r>
      <w:r>
        <w:rPr>
          <w:kern w:val="22"/>
          <w:szCs w:val="22"/>
          <w:lang w:val="fr-FR"/>
        </w:rPr>
        <w:t>Parlement</w:t>
      </w:r>
      <w:r w:rsidR="008B663D">
        <w:rPr>
          <w:kern w:val="22"/>
          <w:szCs w:val="22"/>
          <w:lang w:val="fr-FR"/>
        </w:rPr>
        <w:t> ;</w:t>
      </w:r>
    </w:p>
    <w:p w14:paraId="7A08A1B9" w14:textId="77777777" w:rsidR="0039331E" w:rsidRPr="00575A30" w:rsidRDefault="008B663D" w:rsidP="00F36F85">
      <w:pPr>
        <w:pStyle w:val="Para1"/>
        <w:numPr>
          <w:ilvl w:val="0"/>
          <w:numId w:val="6"/>
        </w:numPr>
        <w:tabs>
          <w:tab w:val="clear" w:pos="1080"/>
          <w:tab w:val="num" w:pos="1440"/>
        </w:tabs>
        <w:ind w:left="0" w:firstLine="720"/>
        <w:rPr>
          <w:kern w:val="22"/>
          <w:szCs w:val="22"/>
          <w:lang w:val="fr-FR"/>
        </w:rPr>
      </w:pPr>
      <w:r>
        <w:rPr>
          <w:kern w:val="22"/>
          <w:szCs w:val="22"/>
          <w:lang w:val="fr-FR"/>
        </w:rPr>
        <w:t>Le SPANB de la Chine a été adopté par le Conseil d’État.</w:t>
      </w:r>
      <w:r w:rsidR="0039331E" w:rsidRPr="00575A30">
        <w:rPr>
          <w:kern w:val="22"/>
          <w:szCs w:val="22"/>
          <w:lang w:val="fr-FR"/>
        </w:rPr>
        <w:t xml:space="preserve"> </w:t>
      </w:r>
    </w:p>
    <w:p w14:paraId="38311C8F" w14:textId="77777777" w:rsidR="008B663D" w:rsidRDefault="008B663D" w:rsidP="00412370">
      <w:pPr>
        <w:numPr>
          <w:ilvl w:val="0"/>
          <w:numId w:val="11"/>
        </w:numPr>
        <w:tabs>
          <w:tab w:val="clear" w:pos="540"/>
          <w:tab w:val="left" w:pos="709"/>
          <w:tab w:val="num" w:pos="1080"/>
        </w:tabs>
        <w:spacing w:before="240" w:after="120"/>
        <w:ind w:left="0" w:firstLine="0"/>
        <w:rPr>
          <w:kern w:val="22"/>
          <w:szCs w:val="22"/>
          <w:lang w:val="fr-FR"/>
        </w:rPr>
      </w:pPr>
      <w:r>
        <w:rPr>
          <w:kern w:val="22"/>
          <w:szCs w:val="22"/>
          <w:lang w:val="fr-FR"/>
        </w:rPr>
        <w:t>Au total, 18 autres pays</w:t>
      </w:r>
      <w:r w:rsidRPr="004F3BF9">
        <w:rPr>
          <w:rStyle w:val="FootnoteReference"/>
          <w:snapToGrid w:val="0"/>
          <w:kern w:val="22"/>
          <w:szCs w:val="22"/>
        </w:rPr>
        <w:footnoteReference w:id="18"/>
      </w:r>
      <w:r>
        <w:rPr>
          <w:kern w:val="22"/>
          <w:szCs w:val="22"/>
          <w:lang w:val="fr-FR"/>
        </w:rPr>
        <w:t xml:space="preserve"> ont manifesté leur intention de faire</w:t>
      </w:r>
      <w:r w:rsidR="001D3157">
        <w:rPr>
          <w:kern w:val="22"/>
          <w:szCs w:val="22"/>
          <w:lang w:val="fr-FR"/>
        </w:rPr>
        <w:t xml:space="preserve"> adopter leur SPANB en tant qu’</w:t>
      </w:r>
      <w:r>
        <w:rPr>
          <w:kern w:val="22"/>
          <w:szCs w:val="22"/>
          <w:lang w:val="fr-FR"/>
        </w:rPr>
        <w:t>instrument de politique générale.</w:t>
      </w:r>
    </w:p>
    <w:p w14:paraId="4F217895" w14:textId="77777777" w:rsidR="000C28B3" w:rsidRPr="00412370" w:rsidRDefault="00DC2E23" w:rsidP="00412370">
      <w:pPr>
        <w:numPr>
          <w:ilvl w:val="0"/>
          <w:numId w:val="11"/>
        </w:numPr>
        <w:tabs>
          <w:tab w:val="clear" w:pos="540"/>
          <w:tab w:val="left" w:pos="709"/>
          <w:tab w:val="num" w:pos="1080"/>
        </w:tabs>
        <w:spacing w:before="240" w:after="120"/>
        <w:ind w:left="0" w:firstLine="0"/>
        <w:rPr>
          <w:kern w:val="22"/>
          <w:szCs w:val="22"/>
          <w:lang w:val="fr-FR"/>
        </w:rPr>
      </w:pPr>
      <w:r>
        <w:rPr>
          <w:kern w:val="22"/>
          <w:szCs w:val="22"/>
          <w:lang w:val="fr-FR"/>
        </w:rPr>
        <w:t>Huit</w:t>
      </w:r>
      <w:r w:rsidR="00B718B8" w:rsidRPr="00575A30">
        <w:rPr>
          <w:kern w:val="22"/>
          <w:szCs w:val="22"/>
          <w:lang w:val="fr-FR"/>
        </w:rPr>
        <w:t xml:space="preserve"> autres SPANB</w:t>
      </w:r>
      <w:r w:rsidR="003E7712" w:rsidRPr="00575A30">
        <w:rPr>
          <w:snapToGrid w:val="0"/>
          <w:kern w:val="22"/>
          <w:szCs w:val="22"/>
          <w:vertAlign w:val="superscript"/>
          <w:lang w:val="fr-FR"/>
        </w:rPr>
        <w:footnoteReference w:id="19"/>
      </w:r>
      <w:r w:rsidR="00B718B8" w:rsidRPr="00575A30">
        <w:rPr>
          <w:kern w:val="22"/>
          <w:szCs w:val="22"/>
          <w:lang w:val="fr-FR"/>
        </w:rPr>
        <w:t xml:space="preserve"> ont été adoptés en tant qu’instruments applicables au secteur de l’environnement</w:t>
      </w:r>
      <w:r w:rsidR="00F028F3" w:rsidRPr="00575A30">
        <w:rPr>
          <w:kern w:val="22"/>
          <w:szCs w:val="22"/>
          <w:lang w:val="fr-FR"/>
        </w:rPr>
        <w:t>. P</w:t>
      </w:r>
      <w:r w:rsidR="00F02464" w:rsidRPr="00575A30">
        <w:rPr>
          <w:kern w:val="22"/>
          <w:szCs w:val="22"/>
          <w:lang w:val="fr-FR"/>
        </w:rPr>
        <w:t xml:space="preserve">ar exemple </w:t>
      </w:r>
      <w:r w:rsidR="00F028F3" w:rsidRPr="00575A30">
        <w:rPr>
          <w:kern w:val="22"/>
          <w:szCs w:val="22"/>
          <w:lang w:val="fr-FR"/>
        </w:rPr>
        <w:t xml:space="preserve">la </w:t>
      </w:r>
      <w:r w:rsidR="009C0D19" w:rsidRPr="00575A30">
        <w:rPr>
          <w:kern w:val="22"/>
          <w:szCs w:val="22"/>
          <w:lang w:val="fr-FR"/>
        </w:rPr>
        <w:t xml:space="preserve">Stratégie de conservation de la biodiversité de l’Australie a été adoptée par le </w:t>
      </w:r>
      <w:r w:rsidR="00836592" w:rsidRPr="00575A30">
        <w:rPr>
          <w:kern w:val="22"/>
          <w:szCs w:val="22"/>
          <w:lang w:val="fr-FR"/>
        </w:rPr>
        <w:t>Gouvernement</w:t>
      </w:r>
      <w:r w:rsidR="009C0D19" w:rsidRPr="00575A30">
        <w:rPr>
          <w:kern w:val="22"/>
          <w:szCs w:val="22"/>
          <w:lang w:val="fr-FR"/>
        </w:rPr>
        <w:t xml:space="preserve"> et fonctionne comme une politique-cadre qui régit d’autres cadres nationaux </w:t>
      </w:r>
      <w:r w:rsidR="003E7712" w:rsidRPr="00575A30">
        <w:rPr>
          <w:kern w:val="22"/>
          <w:szCs w:val="22"/>
          <w:lang w:val="fr-FR"/>
        </w:rPr>
        <w:t xml:space="preserve">plus </w:t>
      </w:r>
      <w:r w:rsidR="009C0D19" w:rsidRPr="00575A30">
        <w:rPr>
          <w:kern w:val="22"/>
          <w:szCs w:val="22"/>
          <w:lang w:val="fr-FR"/>
        </w:rPr>
        <w:t xml:space="preserve">spécifiques </w:t>
      </w:r>
      <w:r w:rsidR="006B6D6C" w:rsidRPr="00575A30">
        <w:rPr>
          <w:kern w:val="22"/>
          <w:szCs w:val="22"/>
          <w:lang w:val="fr-FR"/>
        </w:rPr>
        <w:t xml:space="preserve">relatifs à </w:t>
      </w:r>
      <w:r w:rsidR="009C0D19" w:rsidRPr="00575A30">
        <w:rPr>
          <w:kern w:val="22"/>
          <w:szCs w:val="22"/>
          <w:lang w:val="fr-FR"/>
        </w:rPr>
        <w:t xml:space="preserve">l’environnement. </w:t>
      </w:r>
      <w:r w:rsidR="003E7712" w:rsidRPr="00575A30">
        <w:rPr>
          <w:kern w:val="22"/>
          <w:szCs w:val="22"/>
          <w:lang w:val="fr-FR"/>
        </w:rPr>
        <w:t xml:space="preserve">Elle </w:t>
      </w:r>
      <w:r w:rsidR="00F92837" w:rsidRPr="00575A30">
        <w:rPr>
          <w:kern w:val="22"/>
          <w:szCs w:val="22"/>
          <w:lang w:val="fr-FR"/>
        </w:rPr>
        <w:t xml:space="preserve">sert </w:t>
      </w:r>
      <w:r w:rsidR="003E7712" w:rsidRPr="00575A30">
        <w:rPr>
          <w:kern w:val="22"/>
          <w:szCs w:val="22"/>
          <w:lang w:val="fr-FR"/>
        </w:rPr>
        <w:t xml:space="preserve">également </w:t>
      </w:r>
      <w:r w:rsidR="00F92837" w:rsidRPr="00575A30">
        <w:rPr>
          <w:kern w:val="22"/>
          <w:szCs w:val="22"/>
          <w:lang w:val="fr-FR"/>
        </w:rPr>
        <w:t xml:space="preserve">de </w:t>
      </w:r>
      <w:r w:rsidR="003E7712" w:rsidRPr="00575A30">
        <w:rPr>
          <w:kern w:val="22"/>
          <w:szCs w:val="22"/>
          <w:lang w:val="fr-FR"/>
        </w:rPr>
        <w:t xml:space="preserve">cadre politique directeur </w:t>
      </w:r>
      <w:r w:rsidR="00F92837" w:rsidRPr="00575A30">
        <w:rPr>
          <w:kern w:val="22"/>
          <w:szCs w:val="22"/>
          <w:lang w:val="fr-FR"/>
        </w:rPr>
        <w:t xml:space="preserve">à toute une </w:t>
      </w:r>
      <w:r w:rsidR="003E7712" w:rsidRPr="00575A30">
        <w:rPr>
          <w:kern w:val="22"/>
          <w:szCs w:val="22"/>
          <w:lang w:val="fr-FR"/>
        </w:rPr>
        <w:t xml:space="preserve">mosaïque d’approches de la conservation de la biodiversité adoptées par le </w:t>
      </w:r>
      <w:r w:rsidR="00172C8F" w:rsidRPr="00575A30">
        <w:rPr>
          <w:kern w:val="22"/>
          <w:szCs w:val="22"/>
          <w:lang w:val="fr-FR"/>
        </w:rPr>
        <w:t>G</w:t>
      </w:r>
      <w:r w:rsidR="003E7712" w:rsidRPr="00575A30">
        <w:rPr>
          <w:kern w:val="22"/>
          <w:szCs w:val="22"/>
          <w:lang w:val="fr-FR"/>
        </w:rPr>
        <w:t>ouvernement fédéral, les États,</w:t>
      </w:r>
      <w:r w:rsidR="006B6D6C" w:rsidRPr="00575A30">
        <w:rPr>
          <w:kern w:val="22"/>
          <w:szCs w:val="22"/>
          <w:lang w:val="fr-FR"/>
        </w:rPr>
        <w:t xml:space="preserve"> les administrations</w:t>
      </w:r>
      <w:r w:rsidR="003E7712" w:rsidRPr="00575A30">
        <w:rPr>
          <w:kern w:val="22"/>
          <w:szCs w:val="22"/>
          <w:lang w:val="fr-FR"/>
        </w:rPr>
        <w:t xml:space="preserve"> territo</w:t>
      </w:r>
      <w:r w:rsidR="006B6D6C" w:rsidRPr="00575A30">
        <w:rPr>
          <w:kern w:val="22"/>
          <w:szCs w:val="22"/>
          <w:lang w:val="fr-FR"/>
        </w:rPr>
        <w:t xml:space="preserve">riales </w:t>
      </w:r>
      <w:r w:rsidR="003E7712" w:rsidRPr="00575A30">
        <w:rPr>
          <w:kern w:val="22"/>
          <w:szCs w:val="22"/>
          <w:lang w:val="fr-FR"/>
        </w:rPr>
        <w:t>et loca</w:t>
      </w:r>
      <w:r w:rsidR="006B6D6C" w:rsidRPr="00575A30">
        <w:rPr>
          <w:kern w:val="22"/>
          <w:szCs w:val="22"/>
          <w:lang w:val="fr-FR"/>
        </w:rPr>
        <w:t>les</w:t>
      </w:r>
      <w:r w:rsidR="003E7712" w:rsidRPr="00575A30">
        <w:rPr>
          <w:kern w:val="22"/>
          <w:szCs w:val="22"/>
          <w:lang w:val="fr-FR"/>
        </w:rPr>
        <w:t xml:space="preserve"> et le secteur privé australien</w:t>
      </w:r>
      <w:r w:rsidR="00AA0E3B" w:rsidRPr="00575A30">
        <w:rPr>
          <w:kern w:val="22"/>
          <w:szCs w:val="22"/>
          <w:lang w:val="fr-FR"/>
        </w:rPr>
        <w:t>.</w:t>
      </w:r>
    </w:p>
    <w:p w14:paraId="521BD5C7" w14:textId="77777777" w:rsidR="00002E75" w:rsidRDefault="00002E75" w:rsidP="00F36F85">
      <w:pPr>
        <w:numPr>
          <w:ilvl w:val="0"/>
          <w:numId w:val="11"/>
        </w:numPr>
        <w:tabs>
          <w:tab w:val="clear" w:pos="540"/>
          <w:tab w:val="num" w:pos="709"/>
        </w:tabs>
        <w:spacing w:before="240" w:after="200"/>
        <w:ind w:left="0" w:firstLine="0"/>
        <w:rPr>
          <w:kern w:val="22"/>
          <w:szCs w:val="22"/>
          <w:lang w:val="fr-FR"/>
        </w:rPr>
      </w:pPr>
      <w:r w:rsidRPr="00575A30">
        <w:rPr>
          <w:kern w:val="22"/>
          <w:szCs w:val="22"/>
          <w:lang w:val="fr-FR"/>
        </w:rPr>
        <w:t xml:space="preserve">Les </w:t>
      </w:r>
      <w:r w:rsidR="00DC2E23">
        <w:rPr>
          <w:kern w:val="22"/>
          <w:szCs w:val="22"/>
          <w:lang w:val="fr-FR"/>
        </w:rPr>
        <w:t xml:space="preserve">72 </w:t>
      </w:r>
      <w:r w:rsidRPr="00575A30">
        <w:rPr>
          <w:kern w:val="22"/>
          <w:szCs w:val="22"/>
          <w:lang w:val="fr-FR"/>
        </w:rPr>
        <w:t>SPANB restants ne fournissent pas suffisamment d'informations pour déterminer s'ils ont été adoptés en tant qu'instruments de politique général</w:t>
      </w:r>
      <w:r w:rsidR="00507D6C" w:rsidRPr="00575A30">
        <w:rPr>
          <w:kern w:val="22"/>
          <w:szCs w:val="22"/>
          <w:lang w:val="fr-FR"/>
        </w:rPr>
        <w:t xml:space="preserve">e ou, </w:t>
      </w:r>
      <w:r w:rsidR="0056509C" w:rsidRPr="00575A30">
        <w:rPr>
          <w:kern w:val="22"/>
          <w:szCs w:val="22"/>
          <w:lang w:val="fr-FR"/>
        </w:rPr>
        <w:t xml:space="preserve">si tel est </w:t>
      </w:r>
      <w:r w:rsidR="00507D6C" w:rsidRPr="00575A30">
        <w:rPr>
          <w:kern w:val="22"/>
          <w:szCs w:val="22"/>
          <w:lang w:val="fr-FR"/>
        </w:rPr>
        <w:t>le cas, le type d'instruments dont il s</w:t>
      </w:r>
      <w:r w:rsidR="00507D6C" w:rsidRPr="009929AF">
        <w:rPr>
          <w:kern w:val="22"/>
          <w:szCs w:val="22"/>
          <w:lang w:val="fr-FR"/>
        </w:rPr>
        <w:t>'agit</w:t>
      </w:r>
      <w:r w:rsidR="00507D6C" w:rsidRPr="00575A30">
        <w:rPr>
          <w:kern w:val="22"/>
          <w:szCs w:val="22"/>
          <w:lang w:val="fr-FR"/>
        </w:rPr>
        <w:t>.</w:t>
      </w:r>
      <w:r w:rsidR="00DC2E23">
        <w:rPr>
          <w:kern w:val="22"/>
          <w:szCs w:val="22"/>
          <w:lang w:val="fr-FR"/>
        </w:rPr>
        <w:t xml:space="preserve"> Un schéma donnant un aperçu de l’adoption des SPANB en tant qu’instruments de politique générale est présenté à la figure 1.</w:t>
      </w:r>
    </w:p>
    <w:p w14:paraId="10E5117B" w14:textId="77777777" w:rsidR="004B61B5" w:rsidRDefault="004B61B5">
      <w:pPr>
        <w:jc w:val="left"/>
        <w:rPr>
          <w:kern w:val="22"/>
          <w:szCs w:val="22"/>
          <w:lang w:val="fr-FR"/>
        </w:rPr>
      </w:pPr>
      <w:r>
        <w:rPr>
          <w:kern w:val="22"/>
          <w:szCs w:val="22"/>
          <w:lang w:val="fr-FR"/>
        </w:rPr>
        <w:br w:type="page"/>
      </w:r>
    </w:p>
    <w:p w14:paraId="3EDC5B86" w14:textId="77777777" w:rsidR="00A07A2D" w:rsidRDefault="00A07A2D" w:rsidP="00A07A2D">
      <w:pPr>
        <w:spacing w:before="240" w:after="200"/>
        <w:rPr>
          <w:b/>
          <w:kern w:val="22"/>
          <w:szCs w:val="22"/>
          <w:lang w:val="fr-FR"/>
        </w:rPr>
      </w:pPr>
      <w:r w:rsidRPr="00A07A2D">
        <w:rPr>
          <w:b/>
          <w:kern w:val="22"/>
          <w:szCs w:val="22"/>
          <w:lang w:val="fr-FR"/>
        </w:rPr>
        <w:lastRenderedPageBreak/>
        <w:t>Figure 1. Adoption des SPANB en tant qu’instruments de politique générale</w:t>
      </w:r>
    </w:p>
    <w:p w14:paraId="26AFF43B" w14:textId="77777777" w:rsidR="004B61B5" w:rsidRPr="00A07A2D" w:rsidRDefault="00D12FBB" w:rsidP="00A07A2D">
      <w:pPr>
        <w:spacing w:before="240" w:after="200"/>
        <w:rPr>
          <w:b/>
          <w:kern w:val="22"/>
          <w:szCs w:val="22"/>
          <w:lang w:val="fr-FR"/>
        </w:rPr>
      </w:pPr>
      <w:r>
        <w:rPr>
          <w:noProof/>
        </w:rPr>
        <w:drawing>
          <wp:inline distT="0" distB="0" distL="0" distR="0" wp14:anchorId="4A71B006" wp14:editId="067ABA83">
            <wp:extent cx="5943600" cy="3757930"/>
            <wp:effectExtent l="0" t="0" r="0" b="13970"/>
            <wp:docPr id="2" name="Chart 2" descr="No of Parit">
              <a:extLst xmlns:a="http://schemas.openxmlformats.org/drawingml/2006/main">
                <a:ext uri="{FF2B5EF4-FFF2-40B4-BE49-F238E27FC236}">
                  <a16:creationId xmlns:a16="http://schemas.microsoft.com/office/drawing/2014/main" id="{722DD405-6142-456C-92A6-E943D8A33A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7393906" w14:textId="77777777" w:rsidR="00B66EE6" w:rsidRDefault="00B66EE6" w:rsidP="00F36F85">
      <w:pPr>
        <w:numPr>
          <w:ilvl w:val="0"/>
          <w:numId w:val="11"/>
        </w:numPr>
        <w:tabs>
          <w:tab w:val="clear" w:pos="540"/>
          <w:tab w:val="num" w:pos="709"/>
        </w:tabs>
        <w:spacing w:before="240" w:after="200"/>
        <w:ind w:left="0" w:firstLine="0"/>
        <w:rPr>
          <w:kern w:val="22"/>
          <w:szCs w:val="22"/>
          <w:lang w:val="fr-FR"/>
        </w:rPr>
      </w:pPr>
      <w:r w:rsidRPr="008972F4">
        <w:rPr>
          <w:kern w:val="22"/>
          <w:szCs w:val="22"/>
          <w:lang w:val="fr-FR"/>
        </w:rPr>
        <w:t>Le pourcentage</w:t>
      </w:r>
      <w:r>
        <w:rPr>
          <w:kern w:val="22"/>
          <w:szCs w:val="22"/>
          <w:lang w:val="fr-FR"/>
        </w:rPr>
        <w:t xml:space="preserve"> de Parties ayant </w:t>
      </w:r>
      <w:r w:rsidR="006F4582">
        <w:rPr>
          <w:kern w:val="22"/>
          <w:szCs w:val="22"/>
          <w:lang w:val="fr-FR"/>
        </w:rPr>
        <w:t xml:space="preserve">informé le Secrétariat de l’adoption de leur SPANB en tant qu’instrument pangouvernemental </w:t>
      </w:r>
      <w:r w:rsidR="00DB4C08">
        <w:rPr>
          <w:kern w:val="22"/>
          <w:szCs w:val="22"/>
          <w:lang w:val="fr-FR"/>
        </w:rPr>
        <w:t>variait</w:t>
      </w:r>
      <w:r w:rsidR="006F4582">
        <w:rPr>
          <w:kern w:val="22"/>
          <w:szCs w:val="22"/>
          <w:lang w:val="fr-FR"/>
        </w:rPr>
        <w:t xml:space="preserve"> selon la</w:t>
      </w:r>
      <w:r w:rsidR="008E56A8">
        <w:rPr>
          <w:kern w:val="22"/>
          <w:szCs w:val="22"/>
          <w:lang w:val="fr-FR"/>
        </w:rPr>
        <w:t xml:space="preserve"> source</w:t>
      </w:r>
      <w:r w:rsidR="006F4582">
        <w:rPr>
          <w:kern w:val="22"/>
          <w:szCs w:val="22"/>
          <w:lang w:val="fr-FR"/>
        </w:rPr>
        <w:t xml:space="preserve"> de financement. Bien que 50 p. cent des Parties n’ayant pas droit à un soutien financier du Fonds pour l’</w:t>
      </w:r>
      <w:r w:rsidR="008E56A8">
        <w:rPr>
          <w:kern w:val="22"/>
          <w:szCs w:val="22"/>
          <w:lang w:val="fr-FR"/>
        </w:rPr>
        <w:t>environnement mondial aient</w:t>
      </w:r>
      <w:r w:rsidR="006F4582">
        <w:rPr>
          <w:kern w:val="22"/>
          <w:szCs w:val="22"/>
          <w:lang w:val="fr-FR"/>
        </w:rPr>
        <w:t xml:space="preserve"> adopté leur SPANB en tant qu’instrument de politique pangouvernemental, </w:t>
      </w:r>
      <w:r w:rsidR="008972F4">
        <w:rPr>
          <w:kern w:val="22"/>
          <w:szCs w:val="22"/>
          <w:lang w:val="fr-FR"/>
        </w:rPr>
        <w:t xml:space="preserve">36 p. cent </w:t>
      </w:r>
      <w:r w:rsidR="006E7BC7">
        <w:rPr>
          <w:kern w:val="22"/>
          <w:szCs w:val="22"/>
          <w:lang w:val="fr-FR"/>
        </w:rPr>
        <w:t xml:space="preserve">seulement </w:t>
      </w:r>
      <w:r w:rsidR="008972F4">
        <w:rPr>
          <w:kern w:val="22"/>
          <w:szCs w:val="22"/>
          <w:lang w:val="fr-FR"/>
        </w:rPr>
        <w:t>des Parties</w:t>
      </w:r>
      <w:r w:rsidR="006F4582">
        <w:rPr>
          <w:kern w:val="22"/>
          <w:szCs w:val="22"/>
          <w:lang w:val="fr-FR"/>
        </w:rPr>
        <w:t xml:space="preserve"> ayant travaillé avec le Programme des Nations Unies pour le développement et </w:t>
      </w:r>
      <w:r w:rsidR="008972F4">
        <w:rPr>
          <w:kern w:val="22"/>
          <w:szCs w:val="22"/>
          <w:lang w:val="fr-FR"/>
        </w:rPr>
        <w:t>22</w:t>
      </w:r>
      <w:r w:rsidR="008E56A8">
        <w:rPr>
          <w:kern w:val="22"/>
          <w:szCs w:val="22"/>
          <w:lang w:val="fr-FR"/>
        </w:rPr>
        <w:t> </w:t>
      </w:r>
      <w:r w:rsidR="008972F4">
        <w:rPr>
          <w:kern w:val="22"/>
          <w:szCs w:val="22"/>
          <w:lang w:val="fr-FR"/>
        </w:rPr>
        <w:t>p. cent</w:t>
      </w:r>
      <w:r w:rsidR="006F4582">
        <w:rPr>
          <w:kern w:val="22"/>
          <w:szCs w:val="22"/>
          <w:lang w:val="fr-FR"/>
        </w:rPr>
        <w:t xml:space="preserve"> ayant travaillé avec le Programme des Nations Unies pour l’environnement en qualité d’agence d’exécution </w:t>
      </w:r>
      <w:r w:rsidR="008972F4">
        <w:rPr>
          <w:kern w:val="22"/>
          <w:szCs w:val="22"/>
          <w:lang w:val="fr-FR"/>
        </w:rPr>
        <w:t>l’ont fait</w:t>
      </w:r>
      <w:r w:rsidR="006F4582">
        <w:rPr>
          <w:kern w:val="22"/>
          <w:szCs w:val="22"/>
          <w:lang w:val="fr-FR"/>
        </w:rPr>
        <w:t xml:space="preserve">. </w:t>
      </w:r>
      <w:r w:rsidR="005024EA">
        <w:rPr>
          <w:kern w:val="22"/>
          <w:szCs w:val="22"/>
          <w:lang w:val="fr-FR"/>
        </w:rPr>
        <w:t xml:space="preserve">Au total, </w:t>
      </w:r>
      <w:r w:rsidR="008972F4">
        <w:rPr>
          <w:kern w:val="22"/>
          <w:szCs w:val="22"/>
          <w:lang w:val="fr-FR"/>
        </w:rPr>
        <w:t>33</w:t>
      </w:r>
      <w:r w:rsidR="005024EA">
        <w:rPr>
          <w:kern w:val="22"/>
          <w:szCs w:val="22"/>
          <w:lang w:val="fr-FR"/>
        </w:rPr>
        <w:t xml:space="preserve"> p. cent des Parties ayant re</w:t>
      </w:r>
      <w:r w:rsidR="00B0010E">
        <w:rPr>
          <w:kern w:val="22"/>
          <w:szCs w:val="22"/>
          <w:lang w:val="fr-FR"/>
        </w:rPr>
        <w:t>ç</w:t>
      </w:r>
      <w:r w:rsidR="005024EA">
        <w:rPr>
          <w:kern w:val="22"/>
          <w:szCs w:val="22"/>
          <w:lang w:val="fr-FR"/>
        </w:rPr>
        <w:t xml:space="preserve">u un soutien financier du FEM grâce à la modalité d’accès direct ont adopté leur SPANB en tant qu’instrument pangouvernemental. </w:t>
      </w:r>
      <w:r w:rsidR="008E56A8">
        <w:rPr>
          <w:kern w:val="22"/>
          <w:szCs w:val="22"/>
          <w:lang w:val="fr-FR"/>
        </w:rPr>
        <w:t>Si toutes</w:t>
      </w:r>
      <w:r w:rsidR="005024EA">
        <w:rPr>
          <w:kern w:val="22"/>
          <w:szCs w:val="22"/>
          <w:lang w:val="fr-FR"/>
        </w:rPr>
        <w:t xml:space="preserve"> </w:t>
      </w:r>
      <w:r w:rsidR="00B0010E">
        <w:rPr>
          <w:kern w:val="22"/>
          <w:szCs w:val="22"/>
          <w:lang w:val="fr-FR"/>
        </w:rPr>
        <w:t>les Part</w:t>
      </w:r>
      <w:r w:rsidR="005024EA">
        <w:rPr>
          <w:kern w:val="22"/>
          <w:szCs w:val="22"/>
          <w:lang w:val="fr-FR"/>
        </w:rPr>
        <w:t xml:space="preserve">ies </w:t>
      </w:r>
      <w:r w:rsidR="008E56A8">
        <w:rPr>
          <w:kern w:val="22"/>
          <w:szCs w:val="22"/>
          <w:lang w:val="fr-FR"/>
        </w:rPr>
        <w:t>ayant</w:t>
      </w:r>
      <w:r w:rsidR="005024EA">
        <w:rPr>
          <w:kern w:val="22"/>
          <w:szCs w:val="22"/>
          <w:lang w:val="fr-FR"/>
        </w:rPr>
        <w:t xml:space="preserve"> manifesté leur intention d’adopter leur SPANB en tant qu’</w:t>
      </w:r>
      <w:r w:rsidR="00B0010E">
        <w:rPr>
          <w:kern w:val="22"/>
          <w:szCs w:val="22"/>
          <w:lang w:val="fr-FR"/>
        </w:rPr>
        <w:t>instrument pan</w:t>
      </w:r>
      <w:r w:rsidR="005024EA">
        <w:rPr>
          <w:kern w:val="22"/>
          <w:szCs w:val="22"/>
          <w:lang w:val="fr-FR"/>
        </w:rPr>
        <w:t>go</w:t>
      </w:r>
      <w:r w:rsidR="00B0010E">
        <w:rPr>
          <w:kern w:val="22"/>
          <w:szCs w:val="22"/>
          <w:lang w:val="fr-FR"/>
        </w:rPr>
        <w:t>u</w:t>
      </w:r>
      <w:r w:rsidR="005024EA">
        <w:rPr>
          <w:kern w:val="22"/>
          <w:szCs w:val="22"/>
          <w:lang w:val="fr-FR"/>
        </w:rPr>
        <w:t>vernemental l’a</w:t>
      </w:r>
      <w:r w:rsidR="008E56A8">
        <w:rPr>
          <w:kern w:val="22"/>
          <w:szCs w:val="22"/>
          <w:lang w:val="fr-FR"/>
        </w:rPr>
        <w:t>va</w:t>
      </w:r>
      <w:r w:rsidR="005024EA">
        <w:rPr>
          <w:kern w:val="22"/>
          <w:szCs w:val="22"/>
          <w:lang w:val="fr-FR"/>
        </w:rPr>
        <w:t>ient fait, les Parties n’ayant pas re</w:t>
      </w:r>
      <w:r w:rsidR="00B0010E">
        <w:rPr>
          <w:kern w:val="22"/>
          <w:szCs w:val="22"/>
          <w:lang w:val="fr-FR"/>
        </w:rPr>
        <w:t>ç</w:t>
      </w:r>
      <w:r w:rsidR="005024EA">
        <w:rPr>
          <w:kern w:val="22"/>
          <w:szCs w:val="22"/>
          <w:lang w:val="fr-FR"/>
        </w:rPr>
        <w:t>u de soutien fina</w:t>
      </w:r>
      <w:r w:rsidR="00B0010E">
        <w:rPr>
          <w:kern w:val="22"/>
          <w:szCs w:val="22"/>
          <w:lang w:val="fr-FR"/>
        </w:rPr>
        <w:t>n</w:t>
      </w:r>
      <w:r w:rsidR="005024EA">
        <w:rPr>
          <w:kern w:val="22"/>
          <w:szCs w:val="22"/>
          <w:lang w:val="fr-FR"/>
        </w:rPr>
        <w:t xml:space="preserve">cier </w:t>
      </w:r>
      <w:r w:rsidR="006E7BC7">
        <w:rPr>
          <w:kern w:val="22"/>
          <w:szCs w:val="22"/>
          <w:lang w:val="fr-FR"/>
        </w:rPr>
        <w:t>du FEM</w:t>
      </w:r>
      <w:r w:rsidR="005024EA">
        <w:rPr>
          <w:kern w:val="22"/>
          <w:szCs w:val="22"/>
          <w:lang w:val="fr-FR"/>
        </w:rPr>
        <w:t xml:space="preserve"> présenteraient un taux d’adoption plus élevé</w:t>
      </w:r>
      <w:r w:rsidR="00B0010E">
        <w:rPr>
          <w:kern w:val="22"/>
          <w:szCs w:val="22"/>
          <w:lang w:val="fr-FR"/>
        </w:rPr>
        <w:t xml:space="preserve">. </w:t>
      </w:r>
      <w:r w:rsidR="006E7BC7">
        <w:rPr>
          <w:kern w:val="22"/>
          <w:szCs w:val="22"/>
          <w:lang w:val="fr-FR"/>
        </w:rPr>
        <w:t>Plus de la moitié</w:t>
      </w:r>
      <w:r w:rsidR="00DB4C08">
        <w:rPr>
          <w:kern w:val="22"/>
          <w:szCs w:val="22"/>
          <w:lang w:val="fr-FR"/>
        </w:rPr>
        <w:t xml:space="preserve"> des SPANB (5</w:t>
      </w:r>
      <w:r w:rsidR="006E7BC7">
        <w:rPr>
          <w:kern w:val="22"/>
          <w:szCs w:val="22"/>
          <w:lang w:val="fr-FR"/>
        </w:rPr>
        <w:t>2</w:t>
      </w:r>
      <w:r w:rsidR="00DB4C08">
        <w:rPr>
          <w:kern w:val="22"/>
          <w:szCs w:val="22"/>
          <w:lang w:val="fr-FR"/>
        </w:rPr>
        <w:t> p. </w:t>
      </w:r>
      <w:r w:rsidR="00B0010E">
        <w:rPr>
          <w:kern w:val="22"/>
          <w:szCs w:val="22"/>
          <w:lang w:val="fr-FR"/>
        </w:rPr>
        <w:t xml:space="preserve">cent) </w:t>
      </w:r>
      <w:r w:rsidR="00DC3926">
        <w:rPr>
          <w:kern w:val="22"/>
          <w:szCs w:val="22"/>
          <w:lang w:val="fr-FR"/>
        </w:rPr>
        <w:t>n’ont toutefois pas permis</w:t>
      </w:r>
      <w:r w:rsidR="00B0010E">
        <w:rPr>
          <w:kern w:val="22"/>
          <w:szCs w:val="22"/>
          <w:lang w:val="fr-FR"/>
        </w:rPr>
        <w:t xml:space="preserve"> pas de tirer des conclusions quant à leur situation en tant qu’instrument de politique. </w:t>
      </w:r>
      <w:r w:rsidR="00DC3926">
        <w:rPr>
          <w:kern w:val="22"/>
          <w:szCs w:val="22"/>
          <w:lang w:val="fr-FR"/>
        </w:rPr>
        <w:t>Le</w:t>
      </w:r>
      <w:r w:rsidR="00B0010E">
        <w:rPr>
          <w:kern w:val="22"/>
          <w:szCs w:val="22"/>
          <w:lang w:val="fr-FR"/>
        </w:rPr>
        <w:t xml:space="preserve"> tableau 2 fournit ces renseignements par source de financement.</w:t>
      </w:r>
    </w:p>
    <w:p w14:paraId="794D80DB" w14:textId="77777777" w:rsidR="00DC3926" w:rsidRDefault="00DC3926" w:rsidP="00DC3926">
      <w:pPr>
        <w:spacing w:before="240" w:after="200"/>
        <w:rPr>
          <w:kern w:val="22"/>
          <w:szCs w:val="22"/>
          <w:lang w:val="fr-FR"/>
        </w:rPr>
      </w:pPr>
      <w:r>
        <w:rPr>
          <w:b/>
          <w:kern w:val="22"/>
          <w:szCs w:val="22"/>
          <w:lang w:val="fr-FR"/>
        </w:rPr>
        <w:t>Tableau 2. Adoption des SPANB en tant qu’instrument pangouvernemental, selon la source de financement</w:t>
      </w:r>
    </w:p>
    <w:tbl>
      <w:tblPr>
        <w:tblW w:w="8390" w:type="dxa"/>
        <w:jc w:val="center"/>
        <w:tblLook w:val="04A0" w:firstRow="1" w:lastRow="0" w:firstColumn="1" w:lastColumn="0" w:noHBand="0" w:noVBand="1"/>
      </w:tblPr>
      <w:tblGrid>
        <w:gridCol w:w="2721"/>
        <w:gridCol w:w="1304"/>
        <w:gridCol w:w="1650"/>
        <w:gridCol w:w="1243"/>
        <w:gridCol w:w="1472"/>
      </w:tblGrid>
      <w:tr w:rsidR="00DC3926" w:rsidRPr="00DC3926" w14:paraId="7054ECBB" w14:textId="77777777" w:rsidTr="009B1893">
        <w:trPr>
          <w:cantSplit/>
          <w:jc w:val="center"/>
        </w:trPr>
        <w:tc>
          <w:tcPr>
            <w:tcW w:w="2721" w:type="dxa"/>
            <w:tcBorders>
              <w:top w:val="single" w:sz="4" w:space="0" w:color="auto"/>
              <w:left w:val="single" w:sz="4" w:space="0" w:color="auto"/>
              <w:bottom w:val="single" w:sz="4" w:space="0" w:color="auto"/>
              <w:right w:val="single" w:sz="4" w:space="0" w:color="auto"/>
            </w:tcBorders>
            <w:shd w:val="clear" w:color="000000" w:fill="auto"/>
            <w:vAlign w:val="bottom"/>
            <w:hideMark/>
          </w:tcPr>
          <w:p w14:paraId="2D553E0E" w14:textId="77777777" w:rsidR="00DC3926" w:rsidRPr="00DC3926" w:rsidRDefault="00DC3926" w:rsidP="00D302CB">
            <w:pPr>
              <w:keepNext/>
              <w:suppressLineNumbers/>
              <w:suppressAutoHyphens/>
              <w:kinsoku w:val="0"/>
              <w:overflowPunct w:val="0"/>
              <w:autoSpaceDE w:val="0"/>
              <w:autoSpaceDN w:val="0"/>
              <w:adjustRightInd w:val="0"/>
              <w:snapToGrid w:val="0"/>
              <w:jc w:val="center"/>
              <w:rPr>
                <w:rFonts w:hAnsi="Times New Roman Bold"/>
                <w:i/>
                <w:iCs/>
                <w:snapToGrid w:val="0"/>
                <w:color w:val="000000"/>
                <w:kern w:val="22"/>
                <w:szCs w:val="22"/>
                <w:lang w:val="fr-CA"/>
              </w:rPr>
            </w:pPr>
          </w:p>
        </w:tc>
        <w:tc>
          <w:tcPr>
            <w:tcW w:w="5669" w:type="dxa"/>
            <w:gridSpan w:val="4"/>
            <w:tcBorders>
              <w:top w:val="single" w:sz="4" w:space="0" w:color="auto"/>
              <w:left w:val="nil"/>
              <w:bottom w:val="single" w:sz="4" w:space="0" w:color="auto"/>
              <w:right w:val="single" w:sz="4" w:space="0" w:color="auto"/>
            </w:tcBorders>
            <w:shd w:val="clear" w:color="000000" w:fill="auto"/>
            <w:vAlign w:val="bottom"/>
            <w:hideMark/>
          </w:tcPr>
          <w:p w14:paraId="3A3A7986" w14:textId="77777777" w:rsidR="00DC3926" w:rsidRPr="00DC3926" w:rsidRDefault="00DC3926" w:rsidP="00D302CB">
            <w:pPr>
              <w:keepNext/>
              <w:suppressLineNumbers/>
              <w:suppressAutoHyphens/>
              <w:kinsoku w:val="0"/>
              <w:overflowPunct w:val="0"/>
              <w:autoSpaceDE w:val="0"/>
              <w:autoSpaceDN w:val="0"/>
              <w:adjustRightInd w:val="0"/>
              <w:snapToGrid w:val="0"/>
              <w:jc w:val="center"/>
              <w:rPr>
                <w:rFonts w:hAnsi="Times New Roman Bold"/>
                <w:i/>
                <w:iCs/>
                <w:snapToGrid w:val="0"/>
                <w:color w:val="000000"/>
                <w:kern w:val="22"/>
                <w:szCs w:val="22"/>
                <w:lang w:val="fr-CA"/>
              </w:rPr>
            </w:pPr>
            <w:r w:rsidRPr="00DC3926">
              <w:rPr>
                <w:rFonts w:hAnsi="Times New Roman Bold"/>
                <w:i/>
                <w:iCs/>
                <w:snapToGrid w:val="0"/>
                <w:color w:val="000000"/>
                <w:kern w:val="22"/>
                <w:szCs w:val="22"/>
                <w:lang w:val="fr-CA"/>
              </w:rPr>
              <w:t>Type d</w:t>
            </w:r>
            <w:r w:rsidRPr="00DC3926">
              <w:rPr>
                <w:rFonts w:hAnsi="Times New Roman Bold"/>
                <w:i/>
                <w:iCs/>
                <w:snapToGrid w:val="0"/>
                <w:color w:val="000000"/>
                <w:kern w:val="22"/>
                <w:szCs w:val="22"/>
                <w:lang w:val="fr-CA"/>
              </w:rPr>
              <w:t>’</w:t>
            </w:r>
            <w:r w:rsidRPr="00DC3926">
              <w:rPr>
                <w:rFonts w:hAnsi="Times New Roman Bold"/>
                <w:i/>
                <w:iCs/>
                <w:snapToGrid w:val="0"/>
                <w:color w:val="000000"/>
                <w:kern w:val="22"/>
                <w:szCs w:val="22"/>
                <w:lang w:val="fr-CA"/>
              </w:rPr>
              <w:t>instrument</w:t>
            </w:r>
          </w:p>
        </w:tc>
      </w:tr>
      <w:tr w:rsidR="00DC3926" w:rsidRPr="00DC3926" w14:paraId="2B8B3AC4" w14:textId="77777777" w:rsidTr="009B1893">
        <w:trPr>
          <w:cantSplit/>
          <w:jc w:val="center"/>
        </w:trPr>
        <w:tc>
          <w:tcPr>
            <w:tcW w:w="2721" w:type="dxa"/>
            <w:tcBorders>
              <w:top w:val="nil"/>
              <w:left w:val="single" w:sz="4" w:space="0" w:color="auto"/>
              <w:bottom w:val="single" w:sz="4" w:space="0" w:color="auto"/>
              <w:right w:val="single" w:sz="4" w:space="0" w:color="auto"/>
            </w:tcBorders>
            <w:shd w:val="clear" w:color="000000" w:fill="auto"/>
            <w:vAlign w:val="bottom"/>
            <w:hideMark/>
          </w:tcPr>
          <w:p w14:paraId="050AC716" w14:textId="77777777" w:rsidR="00DC3926" w:rsidRPr="00DC3926" w:rsidRDefault="00DC3926" w:rsidP="00D302CB">
            <w:pPr>
              <w:suppressLineNumbers/>
              <w:suppressAutoHyphens/>
              <w:kinsoku w:val="0"/>
              <w:overflowPunct w:val="0"/>
              <w:autoSpaceDE w:val="0"/>
              <w:autoSpaceDN w:val="0"/>
              <w:adjustRightInd w:val="0"/>
              <w:snapToGrid w:val="0"/>
              <w:jc w:val="center"/>
              <w:rPr>
                <w:rFonts w:hAnsi="Times New Roman Bold"/>
                <w:i/>
                <w:iCs/>
                <w:snapToGrid w:val="0"/>
                <w:color w:val="000000"/>
                <w:kern w:val="22"/>
                <w:szCs w:val="22"/>
                <w:lang w:val="fr-CA"/>
              </w:rPr>
            </w:pPr>
            <w:r w:rsidRPr="00DC3926">
              <w:rPr>
                <w:rFonts w:hAnsi="Times New Roman Bold"/>
                <w:i/>
                <w:iCs/>
                <w:snapToGrid w:val="0"/>
                <w:color w:val="000000"/>
                <w:kern w:val="22"/>
                <w:szCs w:val="22"/>
                <w:lang w:val="fr-CA"/>
              </w:rPr>
              <w:t>Agence d</w:t>
            </w:r>
            <w:r w:rsidRPr="00DC3926">
              <w:rPr>
                <w:rFonts w:hAnsi="Times New Roman Bold"/>
                <w:i/>
                <w:iCs/>
                <w:snapToGrid w:val="0"/>
                <w:color w:val="000000"/>
                <w:kern w:val="22"/>
                <w:szCs w:val="22"/>
                <w:lang w:val="fr-CA"/>
              </w:rPr>
              <w:t>’</w:t>
            </w:r>
            <w:r w:rsidRPr="00DC3926">
              <w:rPr>
                <w:rFonts w:hAnsi="Times New Roman Bold"/>
                <w:i/>
                <w:iCs/>
                <w:snapToGrid w:val="0"/>
                <w:color w:val="000000"/>
                <w:kern w:val="22"/>
                <w:szCs w:val="22"/>
                <w:lang w:val="fr-CA"/>
              </w:rPr>
              <w:t>ex</w:t>
            </w:r>
            <w:r w:rsidRPr="00DC3926">
              <w:rPr>
                <w:rFonts w:hAnsi="Times New Roman Bold"/>
                <w:i/>
                <w:iCs/>
                <w:snapToGrid w:val="0"/>
                <w:color w:val="000000"/>
                <w:kern w:val="22"/>
                <w:szCs w:val="22"/>
                <w:lang w:val="fr-CA"/>
              </w:rPr>
              <w:t>é</w:t>
            </w:r>
            <w:r w:rsidRPr="00DC3926">
              <w:rPr>
                <w:rFonts w:hAnsi="Times New Roman Bold"/>
                <w:i/>
                <w:iCs/>
                <w:snapToGrid w:val="0"/>
                <w:color w:val="000000"/>
                <w:kern w:val="22"/>
                <w:szCs w:val="22"/>
                <w:lang w:val="fr-CA"/>
              </w:rPr>
              <w:t>cution</w:t>
            </w:r>
          </w:p>
        </w:tc>
        <w:tc>
          <w:tcPr>
            <w:tcW w:w="1304" w:type="dxa"/>
            <w:tcBorders>
              <w:top w:val="nil"/>
              <w:left w:val="nil"/>
              <w:bottom w:val="single" w:sz="4" w:space="0" w:color="auto"/>
              <w:right w:val="single" w:sz="4" w:space="0" w:color="auto"/>
            </w:tcBorders>
            <w:shd w:val="clear" w:color="000000" w:fill="auto"/>
            <w:vAlign w:val="bottom"/>
            <w:hideMark/>
          </w:tcPr>
          <w:p w14:paraId="098441EE" w14:textId="77777777" w:rsidR="00DC3926" w:rsidRPr="00DC3926" w:rsidRDefault="00DC3926" w:rsidP="00D302CB">
            <w:pPr>
              <w:suppressLineNumbers/>
              <w:suppressAutoHyphens/>
              <w:kinsoku w:val="0"/>
              <w:overflowPunct w:val="0"/>
              <w:autoSpaceDE w:val="0"/>
              <w:autoSpaceDN w:val="0"/>
              <w:adjustRightInd w:val="0"/>
              <w:snapToGrid w:val="0"/>
              <w:jc w:val="center"/>
              <w:rPr>
                <w:rFonts w:hAnsi="Times New Roman Bold"/>
                <w:i/>
                <w:iCs/>
                <w:snapToGrid w:val="0"/>
                <w:color w:val="000000"/>
                <w:kern w:val="22"/>
                <w:szCs w:val="22"/>
                <w:lang w:val="fr-CA"/>
              </w:rPr>
            </w:pPr>
            <w:r>
              <w:rPr>
                <w:rFonts w:hAnsi="Times New Roman Bold"/>
                <w:i/>
                <w:iCs/>
                <w:snapToGrid w:val="0"/>
                <w:color w:val="000000"/>
                <w:kern w:val="22"/>
                <w:szCs w:val="22"/>
                <w:lang w:val="fr-CA"/>
              </w:rPr>
              <w:t xml:space="preserve">Instrument </w:t>
            </w:r>
            <w:proofErr w:type="spellStart"/>
            <w:r>
              <w:rPr>
                <w:rFonts w:hAnsi="Times New Roman Bold"/>
                <w:i/>
                <w:iCs/>
                <w:snapToGrid w:val="0"/>
                <w:color w:val="000000"/>
                <w:kern w:val="22"/>
                <w:szCs w:val="22"/>
                <w:lang w:val="fr-CA"/>
              </w:rPr>
              <w:t>pangou-vernemental</w:t>
            </w:r>
            <w:proofErr w:type="spellEnd"/>
          </w:p>
        </w:tc>
        <w:tc>
          <w:tcPr>
            <w:tcW w:w="1650" w:type="dxa"/>
            <w:tcBorders>
              <w:top w:val="nil"/>
              <w:left w:val="nil"/>
              <w:bottom w:val="single" w:sz="4" w:space="0" w:color="auto"/>
              <w:right w:val="single" w:sz="4" w:space="0" w:color="auto"/>
            </w:tcBorders>
            <w:shd w:val="clear" w:color="000000" w:fill="auto"/>
            <w:vAlign w:val="bottom"/>
            <w:hideMark/>
          </w:tcPr>
          <w:p w14:paraId="31E1FE03" w14:textId="77777777" w:rsidR="00DC3926" w:rsidRPr="00DC3926" w:rsidRDefault="00DC3926" w:rsidP="00D302CB">
            <w:pPr>
              <w:suppressLineNumbers/>
              <w:suppressAutoHyphens/>
              <w:kinsoku w:val="0"/>
              <w:overflowPunct w:val="0"/>
              <w:autoSpaceDE w:val="0"/>
              <w:autoSpaceDN w:val="0"/>
              <w:adjustRightInd w:val="0"/>
              <w:snapToGrid w:val="0"/>
              <w:jc w:val="center"/>
              <w:rPr>
                <w:rFonts w:hAnsi="Times New Roman Bold"/>
                <w:i/>
                <w:iCs/>
                <w:snapToGrid w:val="0"/>
                <w:color w:val="000000"/>
                <w:kern w:val="22"/>
                <w:szCs w:val="22"/>
                <w:lang w:val="fr-CA"/>
              </w:rPr>
            </w:pPr>
            <w:r>
              <w:rPr>
                <w:rFonts w:hAnsi="Times New Roman Bold"/>
                <w:i/>
                <w:iCs/>
                <w:snapToGrid w:val="0"/>
                <w:color w:val="000000"/>
                <w:kern w:val="22"/>
                <w:szCs w:val="22"/>
                <w:lang w:val="fr-CA"/>
              </w:rPr>
              <w:t>Instrument pour l</w:t>
            </w:r>
            <w:r>
              <w:rPr>
                <w:rFonts w:hAnsi="Times New Roman Bold"/>
                <w:i/>
                <w:iCs/>
                <w:snapToGrid w:val="0"/>
                <w:color w:val="000000"/>
                <w:kern w:val="22"/>
                <w:szCs w:val="22"/>
                <w:lang w:val="fr-CA"/>
              </w:rPr>
              <w:t>’</w:t>
            </w:r>
            <w:r>
              <w:rPr>
                <w:rFonts w:hAnsi="Times New Roman Bold"/>
                <w:i/>
                <w:iCs/>
                <w:snapToGrid w:val="0"/>
                <w:color w:val="000000"/>
                <w:kern w:val="22"/>
                <w:szCs w:val="22"/>
                <w:lang w:val="fr-CA"/>
              </w:rPr>
              <w:t>environnement</w:t>
            </w:r>
          </w:p>
        </w:tc>
        <w:tc>
          <w:tcPr>
            <w:tcW w:w="1243" w:type="dxa"/>
            <w:tcBorders>
              <w:top w:val="nil"/>
              <w:left w:val="nil"/>
              <w:bottom w:val="single" w:sz="4" w:space="0" w:color="auto"/>
              <w:right w:val="single" w:sz="4" w:space="0" w:color="auto"/>
            </w:tcBorders>
            <w:shd w:val="clear" w:color="000000" w:fill="auto"/>
            <w:vAlign w:val="bottom"/>
            <w:hideMark/>
          </w:tcPr>
          <w:p w14:paraId="45DA758F" w14:textId="77777777" w:rsidR="00DC3926" w:rsidRPr="00DC3926" w:rsidRDefault="00DC3926" w:rsidP="00DB4C08">
            <w:pPr>
              <w:suppressLineNumbers/>
              <w:suppressAutoHyphens/>
              <w:kinsoku w:val="0"/>
              <w:overflowPunct w:val="0"/>
              <w:autoSpaceDE w:val="0"/>
              <w:autoSpaceDN w:val="0"/>
              <w:adjustRightInd w:val="0"/>
              <w:snapToGrid w:val="0"/>
              <w:jc w:val="center"/>
              <w:rPr>
                <w:rFonts w:hAnsi="Times New Roman Bold"/>
                <w:i/>
                <w:iCs/>
                <w:snapToGrid w:val="0"/>
                <w:color w:val="000000"/>
                <w:kern w:val="22"/>
                <w:szCs w:val="22"/>
                <w:lang w:val="fr-CA"/>
              </w:rPr>
            </w:pPr>
            <w:r>
              <w:rPr>
                <w:rFonts w:hAnsi="Times New Roman Bold"/>
                <w:i/>
                <w:iCs/>
                <w:snapToGrid w:val="0"/>
                <w:color w:val="000000"/>
                <w:kern w:val="22"/>
                <w:szCs w:val="22"/>
                <w:lang w:val="fr-CA"/>
              </w:rPr>
              <w:t xml:space="preserve">Adoption du SPANB </w:t>
            </w:r>
            <w:r w:rsidR="00DB4C08">
              <w:rPr>
                <w:rFonts w:hAnsi="Times New Roman Bold"/>
                <w:i/>
                <w:iCs/>
                <w:snapToGrid w:val="0"/>
                <w:color w:val="000000"/>
                <w:kern w:val="22"/>
                <w:szCs w:val="22"/>
                <w:lang w:val="fr-CA"/>
              </w:rPr>
              <w:t>pr</w:t>
            </w:r>
            <w:r w:rsidR="00DB4C08">
              <w:rPr>
                <w:rFonts w:hAnsi="Times New Roman Bold"/>
                <w:i/>
                <w:iCs/>
                <w:snapToGrid w:val="0"/>
                <w:color w:val="000000"/>
                <w:kern w:val="22"/>
                <w:szCs w:val="22"/>
                <w:lang w:val="fr-CA"/>
              </w:rPr>
              <w:t>é</w:t>
            </w:r>
            <w:r w:rsidR="00DB4C08">
              <w:rPr>
                <w:rFonts w:hAnsi="Times New Roman Bold"/>
                <w:i/>
                <w:iCs/>
                <w:snapToGrid w:val="0"/>
                <w:color w:val="000000"/>
                <w:kern w:val="22"/>
                <w:szCs w:val="22"/>
                <w:lang w:val="fr-CA"/>
              </w:rPr>
              <w:t>vue</w:t>
            </w:r>
          </w:p>
        </w:tc>
        <w:tc>
          <w:tcPr>
            <w:tcW w:w="1472" w:type="dxa"/>
            <w:tcBorders>
              <w:top w:val="nil"/>
              <w:left w:val="nil"/>
              <w:bottom w:val="single" w:sz="4" w:space="0" w:color="auto"/>
              <w:right w:val="single" w:sz="4" w:space="0" w:color="auto"/>
            </w:tcBorders>
            <w:shd w:val="clear" w:color="000000" w:fill="auto"/>
            <w:vAlign w:val="bottom"/>
            <w:hideMark/>
          </w:tcPr>
          <w:p w14:paraId="68DCB8D4" w14:textId="77777777" w:rsidR="00DC3926" w:rsidRPr="00DC3926" w:rsidRDefault="00DC3926" w:rsidP="00D302CB">
            <w:pPr>
              <w:suppressLineNumbers/>
              <w:suppressAutoHyphens/>
              <w:kinsoku w:val="0"/>
              <w:overflowPunct w:val="0"/>
              <w:autoSpaceDE w:val="0"/>
              <w:autoSpaceDN w:val="0"/>
              <w:adjustRightInd w:val="0"/>
              <w:snapToGrid w:val="0"/>
              <w:jc w:val="center"/>
              <w:rPr>
                <w:rFonts w:hAnsi="Times New Roman Bold"/>
                <w:i/>
                <w:iCs/>
                <w:snapToGrid w:val="0"/>
                <w:color w:val="000000"/>
                <w:kern w:val="22"/>
                <w:szCs w:val="22"/>
                <w:lang w:val="fr-CA"/>
              </w:rPr>
            </w:pPr>
          </w:p>
          <w:p w14:paraId="76AB7A99" w14:textId="77777777" w:rsidR="00DC3926" w:rsidRPr="00DC3926" w:rsidRDefault="00DB4C08" w:rsidP="00DB4C08">
            <w:pPr>
              <w:suppressLineNumbers/>
              <w:suppressAutoHyphens/>
              <w:kinsoku w:val="0"/>
              <w:overflowPunct w:val="0"/>
              <w:autoSpaceDE w:val="0"/>
              <w:autoSpaceDN w:val="0"/>
              <w:adjustRightInd w:val="0"/>
              <w:snapToGrid w:val="0"/>
              <w:jc w:val="center"/>
              <w:rPr>
                <w:rFonts w:hAnsi="Times New Roman Bold"/>
                <w:i/>
                <w:iCs/>
                <w:snapToGrid w:val="0"/>
                <w:color w:val="000000"/>
                <w:kern w:val="22"/>
                <w:szCs w:val="22"/>
                <w:lang w:val="fr-CA"/>
              </w:rPr>
            </w:pPr>
            <w:r>
              <w:rPr>
                <w:rFonts w:hAnsi="Times New Roman Bold"/>
                <w:i/>
                <w:iCs/>
                <w:snapToGrid w:val="0"/>
                <w:color w:val="000000"/>
                <w:kern w:val="22"/>
                <w:szCs w:val="22"/>
                <w:lang w:val="fr-CA"/>
              </w:rPr>
              <w:t>É</w:t>
            </w:r>
            <w:r w:rsidR="00DC3926">
              <w:rPr>
                <w:rFonts w:hAnsi="Times New Roman Bold"/>
                <w:i/>
                <w:iCs/>
                <w:snapToGrid w:val="0"/>
                <w:color w:val="000000"/>
                <w:kern w:val="22"/>
                <w:szCs w:val="22"/>
                <w:lang w:val="fr-CA"/>
              </w:rPr>
              <w:t>l</w:t>
            </w:r>
            <w:r w:rsidR="00DC3926">
              <w:rPr>
                <w:rFonts w:hAnsi="Times New Roman Bold"/>
                <w:i/>
                <w:iCs/>
                <w:snapToGrid w:val="0"/>
                <w:color w:val="000000"/>
                <w:kern w:val="22"/>
                <w:szCs w:val="22"/>
                <w:lang w:val="fr-CA"/>
              </w:rPr>
              <w:t>é</w:t>
            </w:r>
            <w:r w:rsidR="00DC3926">
              <w:rPr>
                <w:rFonts w:hAnsi="Times New Roman Bold"/>
                <w:i/>
                <w:iCs/>
                <w:snapToGrid w:val="0"/>
                <w:color w:val="000000"/>
                <w:kern w:val="22"/>
                <w:szCs w:val="22"/>
                <w:lang w:val="fr-CA"/>
              </w:rPr>
              <w:t>ments probants</w:t>
            </w:r>
            <w:r>
              <w:rPr>
                <w:rFonts w:hAnsi="Times New Roman Bold"/>
                <w:i/>
                <w:iCs/>
                <w:snapToGrid w:val="0"/>
                <w:color w:val="000000"/>
                <w:kern w:val="22"/>
                <w:szCs w:val="22"/>
                <w:lang w:val="fr-CA"/>
              </w:rPr>
              <w:t xml:space="preserve"> insuffisants</w:t>
            </w:r>
          </w:p>
        </w:tc>
      </w:tr>
      <w:tr w:rsidR="006E7BC7" w:rsidRPr="00DC3926" w14:paraId="1784B26B" w14:textId="77777777" w:rsidTr="00C06AC6">
        <w:trPr>
          <w:cantSplit/>
          <w:jc w:val="center"/>
        </w:trPr>
        <w:tc>
          <w:tcPr>
            <w:tcW w:w="2721" w:type="dxa"/>
            <w:tcBorders>
              <w:top w:val="nil"/>
              <w:left w:val="single" w:sz="4" w:space="0" w:color="auto"/>
              <w:bottom w:val="single" w:sz="4" w:space="0" w:color="auto"/>
              <w:right w:val="single" w:sz="4" w:space="0" w:color="auto"/>
            </w:tcBorders>
            <w:shd w:val="clear" w:color="auto" w:fill="auto"/>
            <w:vAlign w:val="bottom"/>
            <w:hideMark/>
          </w:tcPr>
          <w:p w14:paraId="175A3C5C" w14:textId="77777777" w:rsidR="006E7BC7" w:rsidRPr="00DC3926" w:rsidRDefault="006E7BC7" w:rsidP="006E7BC7">
            <w:pPr>
              <w:suppressLineNumbers/>
              <w:suppressAutoHyphens/>
              <w:kinsoku w:val="0"/>
              <w:overflowPunct w:val="0"/>
              <w:autoSpaceDE w:val="0"/>
              <w:autoSpaceDN w:val="0"/>
              <w:adjustRightInd w:val="0"/>
              <w:snapToGrid w:val="0"/>
              <w:jc w:val="left"/>
              <w:rPr>
                <w:snapToGrid w:val="0"/>
                <w:color w:val="000000"/>
                <w:kern w:val="22"/>
                <w:szCs w:val="22"/>
                <w:lang w:val="fr-CA"/>
              </w:rPr>
            </w:pPr>
            <w:r>
              <w:rPr>
                <w:snapToGrid w:val="0"/>
                <w:color w:val="000000"/>
                <w:kern w:val="22"/>
                <w:szCs w:val="22"/>
                <w:lang w:val="fr-CA"/>
              </w:rPr>
              <w:t>PNUE</w:t>
            </w:r>
          </w:p>
        </w:tc>
        <w:tc>
          <w:tcPr>
            <w:tcW w:w="1304" w:type="dxa"/>
            <w:tcBorders>
              <w:top w:val="nil"/>
              <w:left w:val="nil"/>
              <w:bottom w:val="single" w:sz="4" w:space="0" w:color="auto"/>
              <w:right w:val="single" w:sz="4" w:space="0" w:color="auto"/>
            </w:tcBorders>
            <w:shd w:val="clear" w:color="auto" w:fill="auto"/>
            <w:vAlign w:val="center"/>
            <w:hideMark/>
          </w:tcPr>
          <w:p w14:paraId="7BCA5003" w14:textId="77777777" w:rsidR="006E7BC7" w:rsidRPr="00600544" w:rsidRDefault="006E7BC7" w:rsidP="006E7BC7">
            <w:pPr>
              <w:suppressLineNumbers/>
              <w:suppressAutoHyphens/>
              <w:jc w:val="center"/>
              <w:rPr>
                <w:color w:val="000000"/>
                <w:szCs w:val="22"/>
              </w:rPr>
            </w:pPr>
            <w:r w:rsidRPr="00600544">
              <w:rPr>
                <w:snapToGrid w:val="0"/>
                <w:color w:val="000000"/>
                <w:kern w:val="22"/>
                <w:szCs w:val="22"/>
              </w:rPr>
              <w:t>15 (22</w:t>
            </w:r>
            <w:r>
              <w:rPr>
                <w:snapToGrid w:val="0"/>
                <w:color w:val="000000"/>
                <w:kern w:val="22"/>
                <w:szCs w:val="22"/>
              </w:rPr>
              <w:t xml:space="preserve"> %</w:t>
            </w:r>
            <w:r w:rsidRPr="00600544">
              <w:rPr>
                <w:snapToGrid w:val="0"/>
                <w:color w:val="000000"/>
                <w:kern w:val="22"/>
                <w:szCs w:val="22"/>
              </w:rPr>
              <w:t>)</w:t>
            </w:r>
          </w:p>
        </w:tc>
        <w:tc>
          <w:tcPr>
            <w:tcW w:w="1650" w:type="dxa"/>
            <w:tcBorders>
              <w:top w:val="nil"/>
              <w:left w:val="nil"/>
              <w:bottom w:val="single" w:sz="4" w:space="0" w:color="auto"/>
              <w:right w:val="single" w:sz="4" w:space="0" w:color="auto"/>
            </w:tcBorders>
            <w:shd w:val="clear" w:color="auto" w:fill="auto"/>
            <w:vAlign w:val="center"/>
            <w:hideMark/>
          </w:tcPr>
          <w:p w14:paraId="1B6C84F1" w14:textId="77777777" w:rsidR="006E7BC7" w:rsidRPr="00600544" w:rsidRDefault="006E7BC7" w:rsidP="006E7BC7">
            <w:pPr>
              <w:suppressLineNumbers/>
              <w:suppressAutoHyphens/>
              <w:jc w:val="center"/>
              <w:rPr>
                <w:color w:val="000000"/>
                <w:szCs w:val="22"/>
              </w:rPr>
            </w:pPr>
            <w:r w:rsidRPr="00600544">
              <w:rPr>
                <w:snapToGrid w:val="0"/>
                <w:color w:val="000000"/>
                <w:kern w:val="22"/>
                <w:szCs w:val="22"/>
              </w:rPr>
              <w:t>3 (4</w:t>
            </w:r>
            <w:r>
              <w:rPr>
                <w:snapToGrid w:val="0"/>
                <w:color w:val="000000"/>
                <w:kern w:val="22"/>
                <w:szCs w:val="22"/>
              </w:rPr>
              <w:t xml:space="preserve"> %</w:t>
            </w:r>
            <w:r w:rsidRPr="00600544">
              <w:rPr>
                <w:snapToGrid w:val="0"/>
                <w:color w:val="000000"/>
                <w:kern w:val="22"/>
                <w:szCs w:val="22"/>
              </w:rPr>
              <w:t>)</w:t>
            </w:r>
          </w:p>
        </w:tc>
        <w:tc>
          <w:tcPr>
            <w:tcW w:w="1243" w:type="dxa"/>
            <w:tcBorders>
              <w:top w:val="nil"/>
              <w:left w:val="nil"/>
              <w:bottom w:val="single" w:sz="4" w:space="0" w:color="auto"/>
              <w:right w:val="single" w:sz="4" w:space="0" w:color="auto"/>
            </w:tcBorders>
            <w:shd w:val="clear" w:color="auto" w:fill="auto"/>
            <w:vAlign w:val="center"/>
            <w:hideMark/>
          </w:tcPr>
          <w:p w14:paraId="2D34E326" w14:textId="77777777" w:rsidR="006E7BC7" w:rsidRPr="00600544" w:rsidRDefault="006E7BC7" w:rsidP="006E7BC7">
            <w:pPr>
              <w:suppressLineNumbers/>
              <w:suppressAutoHyphens/>
              <w:jc w:val="center"/>
              <w:rPr>
                <w:color w:val="000000"/>
                <w:szCs w:val="22"/>
              </w:rPr>
            </w:pPr>
            <w:r w:rsidRPr="00600544">
              <w:rPr>
                <w:snapToGrid w:val="0"/>
                <w:color w:val="000000"/>
                <w:kern w:val="22"/>
                <w:szCs w:val="22"/>
              </w:rPr>
              <w:t>12 (17</w:t>
            </w:r>
            <w:r>
              <w:rPr>
                <w:snapToGrid w:val="0"/>
                <w:color w:val="000000"/>
                <w:kern w:val="22"/>
                <w:szCs w:val="22"/>
              </w:rPr>
              <w:t xml:space="preserve"> %</w:t>
            </w:r>
            <w:r w:rsidRPr="00600544">
              <w:rPr>
                <w:snapToGrid w:val="0"/>
                <w:color w:val="000000"/>
                <w:kern w:val="22"/>
                <w:szCs w:val="22"/>
              </w:rPr>
              <w:t>)</w:t>
            </w:r>
          </w:p>
        </w:tc>
        <w:tc>
          <w:tcPr>
            <w:tcW w:w="1472" w:type="dxa"/>
            <w:tcBorders>
              <w:top w:val="nil"/>
              <w:left w:val="nil"/>
              <w:bottom w:val="single" w:sz="4" w:space="0" w:color="auto"/>
              <w:right w:val="single" w:sz="4" w:space="0" w:color="auto"/>
            </w:tcBorders>
            <w:shd w:val="clear" w:color="auto" w:fill="auto"/>
            <w:vAlign w:val="center"/>
            <w:hideMark/>
          </w:tcPr>
          <w:p w14:paraId="60FAFB39" w14:textId="77777777" w:rsidR="006E7BC7" w:rsidRPr="00600544" w:rsidRDefault="006E7BC7" w:rsidP="006E7BC7">
            <w:pPr>
              <w:suppressLineNumbers/>
              <w:suppressAutoHyphens/>
              <w:jc w:val="center"/>
              <w:rPr>
                <w:color w:val="000000"/>
                <w:szCs w:val="22"/>
              </w:rPr>
            </w:pPr>
            <w:r w:rsidRPr="00600544">
              <w:rPr>
                <w:snapToGrid w:val="0"/>
                <w:color w:val="000000"/>
                <w:kern w:val="22"/>
                <w:szCs w:val="22"/>
              </w:rPr>
              <w:t>40 (57</w:t>
            </w:r>
            <w:r>
              <w:rPr>
                <w:snapToGrid w:val="0"/>
                <w:color w:val="000000"/>
                <w:kern w:val="22"/>
                <w:szCs w:val="22"/>
              </w:rPr>
              <w:t xml:space="preserve"> %</w:t>
            </w:r>
            <w:r w:rsidRPr="00600544">
              <w:rPr>
                <w:snapToGrid w:val="0"/>
                <w:color w:val="000000"/>
                <w:kern w:val="22"/>
                <w:szCs w:val="22"/>
              </w:rPr>
              <w:t>)</w:t>
            </w:r>
          </w:p>
        </w:tc>
      </w:tr>
      <w:tr w:rsidR="006E7BC7" w:rsidRPr="00DC3926" w14:paraId="7CC8708D" w14:textId="77777777" w:rsidTr="00C06AC6">
        <w:trPr>
          <w:cantSplit/>
          <w:jc w:val="center"/>
        </w:trPr>
        <w:tc>
          <w:tcPr>
            <w:tcW w:w="2721" w:type="dxa"/>
            <w:tcBorders>
              <w:top w:val="nil"/>
              <w:left w:val="single" w:sz="4" w:space="0" w:color="auto"/>
              <w:bottom w:val="single" w:sz="4" w:space="0" w:color="auto"/>
              <w:right w:val="single" w:sz="4" w:space="0" w:color="auto"/>
            </w:tcBorders>
            <w:shd w:val="clear" w:color="auto" w:fill="auto"/>
            <w:vAlign w:val="bottom"/>
            <w:hideMark/>
          </w:tcPr>
          <w:p w14:paraId="58BD7E3F" w14:textId="77777777" w:rsidR="006E7BC7" w:rsidRPr="00DC3926" w:rsidRDefault="006E7BC7" w:rsidP="006E7BC7">
            <w:pPr>
              <w:suppressLineNumbers/>
              <w:suppressAutoHyphens/>
              <w:kinsoku w:val="0"/>
              <w:overflowPunct w:val="0"/>
              <w:autoSpaceDE w:val="0"/>
              <w:autoSpaceDN w:val="0"/>
              <w:adjustRightInd w:val="0"/>
              <w:snapToGrid w:val="0"/>
              <w:jc w:val="left"/>
              <w:rPr>
                <w:snapToGrid w:val="0"/>
                <w:color w:val="000000"/>
                <w:kern w:val="22"/>
                <w:szCs w:val="22"/>
                <w:lang w:val="fr-CA"/>
              </w:rPr>
            </w:pPr>
            <w:r>
              <w:rPr>
                <w:snapToGrid w:val="0"/>
                <w:color w:val="000000"/>
                <w:kern w:val="22"/>
                <w:szCs w:val="22"/>
                <w:lang w:val="fr-CA"/>
              </w:rPr>
              <w:t>PNUD</w:t>
            </w:r>
          </w:p>
        </w:tc>
        <w:tc>
          <w:tcPr>
            <w:tcW w:w="1304" w:type="dxa"/>
            <w:tcBorders>
              <w:top w:val="nil"/>
              <w:left w:val="nil"/>
              <w:bottom w:val="single" w:sz="4" w:space="0" w:color="auto"/>
              <w:right w:val="single" w:sz="4" w:space="0" w:color="auto"/>
            </w:tcBorders>
            <w:shd w:val="clear" w:color="auto" w:fill="auto"/>
            <w:vAlign w:val="center"/>
            <w:hideMark/>
          </w:tcPr>
          <w:p w14:paraId="78A12CBF" w14:textId="77777777" w:rsidR="006E7BC7" w:rsidRPr="00600544" w:rsidRDefault="006E7BC7" w:rsidP="006E7BC7">
            <w:pPr>
              <w:suppressLineNumbers/>
              <w:suppressAutoHyphens/>
              <w:jc w:val="center"/>
              <w:rPr>
                <w:color w:val="000000"/>
                <w:szCs w:val="22"/>
              </w:rPr>
            </w:pPr>
            <w:r w:rsidRPr="00600544">
              <w:rPr>
                <w:snapToGrid w:val="0"/>
                <w:color w:val="000000"/>
                <w:kern w:val="22"/>
                <w:szCs w:val="22"/>
              </w:rPr>
              <w:t>16 (36</w:t>
            </w:r>
            <w:r>
              <w:rPr>
                <w:snapToGrid w:val="0"/>
                <w:color w:val="000000"/>
                <w:kern w:val="22"/>
                <w:szCs w:val="22"/>
              </w:rPr>
              <w:t xml:space="preserve"> %</w:t>
            </w:r>
            <w:r w:rsidRPr="00600544">
              <w:rPr>
                <w:snapToGrid w:val="0"/>
                <w:color w:val="000000"/>
                <w:kern w:val="22"/>
                <w:szCs w:val="22"/>
              </w:rPr>
              <w:t>)</w:t>
            </w:r>
          </w:p>
        </w:tc>
        <w:tc>
          <w:tcPr>
            <w:tcW w:w="1650" w:type="dxa"/>
            <w:tcBorders>
              <w:top w:val="nil"/>
              <w:left w:val="nil"/>
              <w:bottom w:val="single" w:sz="4" w:space="0" w:color="auto"/>
              <w:right w:val="single" w:sz="4" w:space="0" w:color="auto"/>
            </w:tcBorders>
            <w:shd w:val="clear" w:color="auto" w:fill="auto"/>
            <w:vAlign w:val="center"/>
            <w:hideMark/>
          </w:tcPr>
          <w:p w14:paraId="5A3E90DF" w14:textId="77777777" w:rsidR="006E7BC7" w:rsidRPr="00600544" w:rsidRDefault="006E7BC7" w:rsidP="006E7BC7">
            <w:pPr>
              <w:suppressLineNumbers/>
              <w:suppressAutoHyphens/>
              <w:jc w:val="center"/>
              <w:rPr>
                <w:color w:val="000000"/>
                <w:szCs w:val="22"/>
              </w:rPr>
            </w:pPr>
            <w:r w:rsidRPr="00600544">
              <w:rPr>
                <w:color w:val="000000"/>
                <w:szCs w:val="22"/>
              </w:rPr>
              <w:t>1 (2</w:t>
            </w:r>
            <w:r>
              <w:rPr>
                <w:color w:val="000000"/>
                <w:szCs w:val="22"/>
              </w:rPr>
              <w:t xml:space="preserve"> %</w:t>
            </w:r>
            <w:r w:rsidRPr="00600544">
              <w:rPr>
                <w:color w:val="000000"/>
                <w:szCs w:val="22"/>
              </w:rPr>
              <w:t>)</w:t>
            </w:r>
          </w:p>
        </w:tc>
        <w:tc>
          <w:tcPr>
            <w:tcW w:w="1243" w:type="dxa"/>
            <w:tcBorders>
              <w:top w:val="nil"/>
              <w:left w:val="nil"/>
              <w:bottom w:val="single" w:sz="4" w:space="0" w:color="auto"/>
              <w:right w:val="single" w:sz="4" w:space="0" w:color="auto"/>
            </w:tcBorders>
            <w:shd w:val="clear" w:color="auto" w:fill="auto"/>
            <w:vAlign w:val="center"/>
            <w:hideMark/>
          </w:tcPr>
          <w:p w14:paraId="2D48B406" w14:textId="77777777" w:rsidR="006E7BC7" w:rsidRPr="00600544" w:rsidRDefault="006E7BC7" w:rsidP="006E7BC7">
            <w:pPr>
              <w:suppressLineNumbers/>
              <w:suppressAutoHyphens/>
              <w:jc w:val="center"/>
              <w:rPr>
                <w:color w:val="000000"/>
                <w:szCs w:val="22"/>
              </w:rPr>
            </w:pPr>
            <w:r w:rsidRPr="00600544">
              <w:rPr>
                <w:snapToGrid w:val="0"/>
                <w:color w:val="000000"/>
                <w:kern w:val="22"/>
                <w:szCs w:val="22"/>
              </w:rPr>
              <w:t>3 (7</w:t>
            </w:r>
            <w:r>
              <w:rPr>
                <w:snapToGrid w:val="0"/>
                <w:color w:val="000000"/>
                <w:kern w:val="22"/>
                <w:szCs w:val="22"/>
              </w:rPr>
              <w:t xml:space="preserve"> %</w:t>
            </w:r>
            <w:r w:rsidRPr="00600544">
              <w:rPr>
                <w:snapToGrid w:val="0"/>
                <w:color w:val="000000"/>
                <w:kern w:val="22"/>
                <w:szCs w:val="22"/>
              </w:rPr>
              <w:t>)</w:t>
            </w:r>
          </w:p>
        </w:tc>
        <w:tc>
          <w:tcPr>
            <w:tcW w:w="1472" w:type="dxa"/>
            <w:tcBorders>
              <w:top w:val="nil"/>
              <w:left w:val="nil"/>
              <w:bottom w:val="single" w:sz="4" w:space="0" w:color="auto"/>
              <w:right w:val="single" w:sz="4" w:space="0" w:color="auto"/>
            </w:tcBorders>
            <w:shd w:val="clear" w:color="auto" w:fill="auto"/>
            <w:vAlign w:val="center"/>
            <w:hideMark/>
          </w:tcPr>
          <w:p w14:paraId="592F0B11" w14:textId="77777777" w:rsidR="006E7BC7" w:rsidRPr="00600544" w:rsidRDefault="006E7BC7" w:rsidP="006E7BC7">
            <w:pPr>
              <w:suppressLineNumbers/>
              <w:suppressAutoHyphens/>
              <w:jc w:val="center"/>
              <w:rPr>
                <w:color w:val="000000"/>
                <w:szCs w:val="22"/>
              </w:rPr>
            </w:pPr>
            <w:r w:rsidRPr="00600544">
              <w:rPr>
                <w:snapToGrid w:val="0"/>
                <w:color w:val="000000"/>
                <w:kern w:val="22"/>
                <w:szCs w:val="22"/>
              </w:rPr>
              <w:t>24 (55</w:t>
            </w:r>
            <w:r>
              <w:rPr>
                <w:snapToGrid w:val="0"/>
                <w:color w:val="000000"/>
                <w:kern w:val="22"/>
                <w:szCs w:val="22"/>
              </w:rPr>
              <w:t xml:space="preserve"> %</w:t>
            </w:r>
            <w:r w:rsidRPr="00600544">
              <w:rPr>
                <w:snapToGrid w:val="0"/>
                <w:color w:val="000000"/>
                <w:kern w:val="22"/>
                <w:szCs w:val="22"/>
              </w:rPr>
              <w:t>)</w:t>
            </w:r>
          </w:p>
        </w:tc>
      </w:tr>
      <w:tr w:rsidR="006E7BC7" w:rsidRPr="00DC3926" w14:paraId="6307BD6C" w14:textId="77777777" w:rsidTr="00C06AC6">
        <w:trPr>
          <w:cantSplit/>
          <w:jc w:val="center"/>
        </w:trPr>
        <w:tc>
          <w:tcPr>
            <w:tcW w:w="2721" w:type="dxa"/>
            <w:tcBorders>
              <w:top w:val="nil"/>
              <w:left w:val="single" w:sz="4" w:space="0" w:color="auto"/>
              <w:bottom w:val="single" w:sz="4" w:space="0" w:color="auto"/>
              <w:right w:val="single" w:sz="4" w:space="0" w:color="auto"/>
            </w:tcBorders>
            <w:shd w:val="clear" w:color="auto" w:fill="auto"/>
            <w:vAlign w:val="bottom"/>
            <w:hideMark/>
          </w:tcPr>
          <w:p w14:paraId="3092C836" w14:textId="77777777" w:rsidR="006E7BC7" w:rsidRPr="00DC3926" w:rsidRDefault="006E7BC7" w:rsidP="006E7BC7">
            <w:pPr>
              <w:suppressLineNumbers/>
              <w:suppressAutoHyphens/>
              <w:kinsoku w:val="0"/>
              <w:overflowPunct w:val="0"/>
              <w:autoSpaceDE w:val="0"/>
              <w:autoSpaceDN w:val="0"/>
              <w:adjustRightInd w:val="0"/>
              <w:snapToGrid w:val="0"/>
              <w:jc w:val="left"/>
              <w:rPr>
                <w:snapToGrid w:val="0"/>
                <w:color w:val="000000"/>
                <w:kern w:val="22"/>
                <w:szCs w:val="22"/>
                <w:lang w:val="fr-CA"/>
              </w:rPr>
            </w:pPr>
            <w:r w:rsidRPr="00DC3926">
              <w:rPr>
                <w:snapToGrid w:val="0"/>
                <w:color w:val="000000"/>
                <w:kern w:val="22"/>
                <w:szCs w:val="22"/>
                <w:lang w:val="fr-CA"/>
              </w:rPr>
              <w:t>FAO</w:t>
            </w:r>
          </w:p>
        </w:tc>
        <w:tc>
          <w:tcPr>
            <w:tcW w:w="1304" w:type="dxa"/>
            <w:tcBorders>
              <w:top w:val="nil"/>
              <w:left w:val="nil"/>
              <w:bottom w:val="single" w:sz="4" w:space="0" w:color="auto"/>
              <w:right w:val="single" w:sz="4" w:space="0" w:color="auto"/>
            </w:tcBorders>
            <w:shd w:val="clear" w:color="auto" w:fill="auto"/>
            <w:vAlign w:val="center"/>
            <w:hideMark/>
          </w:tcPr>
          <w:p w14:paraId="0A17842E" w14:textId="77777777" w:rsidR="006E7BC7" w:rsidRPr="00600544" w:rsidRDefault="006E7BC7" w:rsidP="006E7BC7">
            <w:pPr>
              <w:suppressLineNumbers/>
              <w:suppressAutoHyphens/>
              <w:jc w:val="center"/>
              <w:rPr>
                <w:color w:val="000000"/>
                <w:szCs w:val="22"/>
              </w:rPr>
            </w:pPr>
            <w:r w:rsidRPr="00600544">
              <w:rPr>
                <w:snapToGrid w:val="0"/>
                <w:color w:val="000000"/>
                <w:kern w:val="22"/>
                <w:szCs w:val="22"/>
              </w:rPr>
              <w:t>0</w:t>
            </w:r>
          </w:p>
        </w:tc>
        <w:tc>
          <w:tcPr>
            <w:tcW w:w="1650" w:type="dxa"/>
            <w:tcBorders>
              <w:top w:val="nil"/>
              <w:left w:val="nil"/>
              <w:bottom w:val="single" w:sz="4" w:space="0" w:color="auto"/>
              <w:right w:val="single" w:sz="4" w:space="0" w:color="auto"/>
            </w:tcBorders>
            <w:shd w:val="clear" w:color="auto" w:fill="auto"/>
            <w:vAlign w:val="center"/>
            <w:hideMark/>
          </w:tcPr>
          <w:p w14:paraId="433693E8" w14:textId="77777777" w:rsidR="006E7BC7" w:rsidRPr="00600544" w:rsidRDefault="006E7BC7" w:rsidP="006E7BC7">
            <w:pPr>
              <w:suppressLineNumbers/>
              <w:suppressAutoHyphens/>
              <w:jc w:val="center"/>
              <w:rPr>
                <w:color w:val="000000"/>
                <w:szCs w:val="22"/>
              </w:rPr>
            </w:pPr>
            <w:r w:rsidRPr="00600544">
              <w:rPr>
                <w:snapToGrid w:val="0"/>
                <w:color w:val="000000"/>
                <w:kern w:val="22"/>
                <w:szCs w:val="22"/>
              </w:rPr>
              <w:t>0</w:t>
            </w:r>
          </w:p>
        </w:tc>
        <w:tc>
          <w:tcPr>
            <w:tcW w:w="1243" w:type="dxa"/>
            <w:tcBorders>
              <w:top w:val="nil"/>
              <w:left w:val="nil"/>
              <w:bottom w:val="single" w:sz="4" w:space="0" w:color="auto"/>
              <w:right w:val="single" w:sz="4" w:space="0" w:color="auto"/>
            </w:tcBorders>
            <w:shd w:val="clear" w:color="auto" w:fill="auto"/>
            <w:vAlign w:val="center"/>
            <w:hideMark/>
          </w:tcPr>
          <w:p w14:paraId="1FD4F1CB" w14:textId="77777777" w:rsidR="006E7BC7" w:rsidRPr="00600544" w:rsidRDefault="006E7BC7" w:rsidP="006E7BC7">
            <w:pPr>
              <w:suppressLineNumbers/>
              <w:suppressAutoHyphens/>
              <w:jc w:val="center"/>
              <w:rPr>
                <w:color w:val="000000"/>
                <w:szCs w:val="22"/>
              </w:rPr>
            </w:pPr>
            <w:r w:rsidRPr="00600544">
              <w:rPr>
                <w:snapToGrid w:val="0"/>
                <w:color w:val="000000"/>
                <w:kern w:val="22"/>
                <w:szCs w:val="22"/>
              </w:rPr>
              <w:t>0</w:t>
            </w:r>
          </w:p>
        </w:tc>
        <w:tc>
          <w:tcPr>
            <w:tcW w:w="1472" w:type="dxa"/>
            <w:tcBorders>
              <w:top w:val="nil"/>
              <w:left w:val="nil"/>
              <w:bottom w:val="single" w:sz="4" w:space="0" w:color="auto"/>
              <w:right w:val="single" w:sz="4" w:space="0" w:color="auto"/>
            </w:tcBorders>
            <w:shd w:val="clear" w:color="auto" w:fill="auto"/>
            <w:vAlign w:val="center"/>
            <w:hideMark/>
          </w:tcPr>
          <w:p w14:paraId="474CA94D" w14:textId="77777777" w:rsidR="006E7BC7" w:rsidRPr="00600544" w:rsidRDefault="006E7BC7" w:rsidP="006E7BC7">
            <w:pPr>
              <w:suppressLineNumbers/>
              <w:suppressAutoHyphens/>
              <w:jc w:val="center"/>
              <w:rPr>
                <w:color w:val="000000"/>
                <w:szCs w:val="22"/>
              </w:rPr>
            </w:pPr>
            <w:r w:rsidRPr="00600544">
              <w:rPr>
                <w:snapToGrid w:val="0"/>
                <w:color w:val="000000"/>
                <w:kern w:val="22"/>
                <w:szCs w:val="22"/>
              </w:rPr>
              <w:t>1 (100</w:t>
            </w:r>
            <w:r>
              <w:rPr>
                <w:snapToGrid w:val="0"/>
                <w:color w:val="000000"/>
                <w:kern w:val="22"/>
                <w:szCs w:val="22"/>
              </w:rPr>
              <w:t xml:space="preserve"> %</w:t>
            </w:r>
            <w:r w:rsidRPr="00600544">
              <w:rPr>
                <w:snapToGrid w:val="0"/>
                <w:color w:val="000000"/>
                <w:kern w:val="22"/>
                <w:szCs w:val="22"/>
              </w:rPr>
              <w:t>)</w:t>
            </w:r>
          </w:p>
        </w:tc>
      </w:tr>
      <w:tr w:rsidR="006E7BC7" w:rsidRPr="00DC3926" w14:paraId="2A7C8D15" w14:textId="77777777" w:rsidTr="00C06AC6">
        <w:trPr>
          <w:cantSplit/>
          <w:jc w:val="center"/>
        </w:trPr>
        <w:tc>
          <w:tcPr>
            <w:tcW w:w="2721" w:type="dxa"/>
            <w:tcBorders>
              <w:top w:val="nil"/>
              <w:left w:val="single" w:sz="4" w:space="0" w:color="auto"/>
              <w:bottom w:val="single" w:sz="4" w:space="0" w:color="auto"/>
              <w:right w:val="single" w:sz="4" w:space="0" w:color="auto"/>
            </w:tcBorders>
            <w:shd w:val="clear" w:color="auto" w:fill="auto"/>
            <w:vAlign w:val="bottom"/>
            <w:hideMark/>
          </w:tcPr>
          <w:p w14:paraId="3AFAB8E4" w14:textId="77777777" w:rsidR="006E7BC7" w:rsidRPr="00DC3926" w:rsidRDefault="006E7BC7" w:rsidP="006E7BC7">
            <w:pPr>
              <w:suppressLineNumbers/>
              <w:suppressAutoHyphens/>
              <w:kinsoku w:val="0"/>
              <w:overflowPunct w:val="0"/>
              <w:autoSpaceDE w:val="0"/>
              <w:autoSpaceDN w:val="0"/>
              <w:adjustRightInd w:val="0"/>
              <w:snapToGrid w:val="0"/>
              <w:jc w:val="left"/>
              <w:rPr>
                <w:snapToGrid w:val="0"/>
                <w:color w:val="000000"/>
                <w:kern w:val="22"/>
                <w:szCs w:val="22"/>
                <w:lang w:val="fr-CA"/>
              </w:rPr>
            </w:pPr>
            <w:r>
              <w:rPr>
                <w:snapToGrid w:val="0"/>
                <w:color w:val="000000"/>
                <w:kern w:val="22"/>
                <w:szCs w:val="22"/>
                <w:lang w:val="fr-CA"/>
              </w:rPr>
              <w:t>Accès direct</w:t>
            </w:r>
          </w:p>
        </w:tc>
        <w:tc>
          <w:tcPr>
            <w:tcW w:w="1304" w:type="dxa"/>
            <w:tcBorders>
              <w:top w:val="nil"/>
              <w:left w:val="nil"/>
              <w:bottom w:val="single" w:sz="4" w:space="0" w:color="auto"/>
              <w:right w:val="single" w:sz="4" w:space="0" w:color="auto"/>
            </w:tcBorders>
            <w:shd w:val="clear" w:color="auto" w:fill="auto"/>
            <w:vAlign w:val="center"/>
            <w:hideMark/>
          </w:tcPr>
          <w:p w14:paraId="3F93E8CE" w14:textId="77777777" w:rsidR="006E7BC7" w:rsidRPr="00600544" w:rsidRDefault="006E7BC7" w:rsidP="006E7BC7">
            <w:pPr>
              <w:suppressLineNumbers/>
              <w:suppressAutoHyphens/>
              <w:jc w:val="center"/>
              <w:rPr>
                <w:color w:val="000000"/>
                <w:szCs w:val="22"/>
              </w:rPr>
            </w:pPr>
            <w:r w:rsidRPr="00600544">
              <w:rPr>
                <w:snapToGrid w:val="0"/>
                <w:color w:val="000000"/>
                <w:kern w:val="22"/>
                <w:szCs w:val="22"/>
              </w:rPr>
              <w:t>2 (33</w:t>
            </w:r>
            <w:r>
              <w:rPr>
                <w:snapToGrid w:val="0"/>
                <w:color w:val="000000"/>
                <w:kern w:val="22"/>
                <w:szCs w:val="22"/>
              </w:rPr>
              <w:t xml:space="preserve"> %</w:t>
            </w:r>
            <w:r w:rsidRPr="00600544">
              <w:rPr>
                <w:snapToGrid w:val="0"/>
                <w:color w:val="000000"/>
                <w:kern w:val="22"/>
                <w:szCs w:val="22"/>
              </w:rPr>
              <w:t>)</w:t>
            </w:r>
          </w:p>
        </w:tc>
        <w:tc>
          <w:tcPr>
            <w:tcW w:w="1650" w:type="dxa"/>
            <w:tcBorders>
              <w:top w:val="nil"/>
              <w:left w:val="nil"/>
              <w:bottom w:val="single" w:sz="4" w:space="0" w:color="auto"/>
              <w:right w:val="single" w:sz="4" w:space="0" w:color="auto"/>
            </w:tcBorders>
            <w:shd w:val="clear" w:color="auto" w:fill="auto"/>
            <w:vAlign w:val="center"/>
            <w:hideMark/>
          </w:tcPr>
          <w:p w14:paraId="285708D8" w14:textId="77777777" w:rsidR="006E7BC7" w:rsidRPr="00600544" w:rsidRDefault="006E7BC7" w:rsidP="006E7BC7">
            <w:pPr>
              <w:suppressLineNumbers/>
              <w:suppressAutoHyphens/>
              <w:jc w:val="center"/>
              <w:rPr>
                <w:color w:val="000000"/>
                <w:szCs w:val="22"/>
              </w:rPr>
            </w:pPr>
            <w:r w:rsidRPr="00600544">
              <w:rPr>
                <w:snapToGrid w:val="0"/>
                <w:color w:val="000000"/>
                <w:kern w:val="22"/>
                <w:szCs w:val="22"/>
              </w:rPr>
              <w:t>0</w:t>
            </w:r>
          </w:p>
        </w:tc>
        <w:tc>
          <w:tcPr>
            <w:tcW w:w="1243" w:type="dxa"/>
            <w:tcBorders>
              <w:top w:val="nil"/>
              <w:left w:val="nil"/>
              <w:bottom w:val="single" w:sz="4" w:space="0" w:color="auto"/>
              <w:right w:val="single" w:sz="4" w:space="0" w:color="auto"/>
            </w:tcBorders>
            <w:shd w:val="clear" w:color="auto" w:fill="auto"/>
            <w:vAlign w:val="center"/>
            <w:hideMark/>
          </w:tcPr>
          <w:p w14:paraId="2DFB106D" w14:textId="77777777" w:rsidR="006E7BC7" w:rsidRPr="00600544" w:rsidRDefault="006E7BC7" w:rsidP="006E7BC7">
            <w:pPr>
              <w:suppressLineNumbers/>
              <w:suppressAutoHyphens/>
              <w:jc w:val="center"/>
              <w:rPr>
                <w:color w:val="000000"/>
                <w:szCs w:val="22"/>
              </w:rPr>
            </w:pPr>
            <w:r w:rsidRPr="00600544">
              <w:rPr>
                <w:snapToGrid w:val="0"/>
                <w:color w:val="000000"/>
                <w:kern w:val="22"/>
                <w:szCs w:val="22"/>
              </w:rPr>
              <w:t>1 (17</w:t>
            </w:r>
            <w:r>
              <w:rPr>
                <w:snapToGrid w:val="0"/>
                <w:color w:val="000000"/>
                <w:kern w:val="22"/>
                <w:szCs w:val="22"/>
              </w:rPr>
              <w:t xml:space="preserve"> %</w:t>
            </w:r>
            <w:r w:rsidRPr="00600544">
              <w:rPr>
                <w:snapToGrid w:val="0"/>
                <w:color w:val="000000"/>
                <w:kern w:val="22"/>
                <w:szCs w:val="22"/>
              </w:rPr>
              <w:t>)</w:t>
            </w:r>
          </w:p>
        </w:tc>
        <w:tc>
          <w:tcPr>
            <w:tcW w:w="1472" w:type="dxa"/>
            <w:tcBorders>
              <w:top w:val="nil"/>
              <w:left w:val="nil"/>
              <w:bottom w:val="single" w:sz="4" w:space="0" w:color="auto"/>
              <w:right w:val="single" w:sz="4" w:space="0" w:color="auto"/>
            </w:tcBorders>
            <w:shd w:val="clear" w:color="auto" w:fill="auto"/>
            <w:vAlign w:val="center"/>
            <w:hideMark/>
          </w:tcPr>
          <w:p w14:paraId="13B1E3CB" w14:textId="77777777" w:rsidR="006E7BC7" w:rsidRPr="00600544" w:rsidRDefault="006E7BC7" w:rsidP="006E7BC7">
            <w:pPr>
              <w:suppressLineNumbers/>
              <w:suppressAutoHyphens/>
              <w:jc w:val="center"/>
              <w:rPr>
                <w:color w:val="000000"/>
                <w:szCs w:val="22"/>
              </w:rPr>
            </w:pPr>
            <w:r w:rsidRPr="00600544">
              <w:rPr>
                <w:snapToGrid w:val="0"/>
                <w:color w:val="000000"/>
                <w:kern w:val="22"/>
                <w:szCs w:val="22"/>
              </w:rPr>
              <w:t>3 (50</w:t>
            </w:r>
            <w:r>
              <w:rPr>
                <w:snapToGrid w:val="0"/>
                <w:color w:val="000000"/>
                <w:kern w:val="22"/>
                <w:szCs w:val="22"/>
              </w:rPr>
              <w:t xml:space="preserve"> %</w:t>
            </w:r>
            <w:r w:rsidRPr="00600544">
              <w:rPr>
                <w:snapToGrid w:val="0"/>
                <w:color w:val="000000"/>
                <w:kern w:val="22"/>
                <w:szCs w:val="22"/>
              </w:rPr>
              <w:t>)</w:t>
            </w:r>
          </w:p>
        </w:tc>
      </w:tr>
      <w:tr w:rsidR="006E7BC7" w:rsidRPr="00DC3926" w14:paraId="5BC570F8" w14:textId="77777777" w:rsidTr="00C06AC6">
        <w:trPr>
          <w:cantSplit/>
          <w:jc w:val="center"/>
        </w:trPr>
        <w:tc>
          <w:tcPr>
            <w:tcW w:w="2721" w:type="dxa"/>
            <w:tcBorders>
              <w:top w:val="nil"/>
              <w:left w:val="single" w:sz="4" w:space="0" w:color="auto"/>
              <w:bottom w:val="single" w:sz="4" w:space="0" w:color="auto"/>
              <w:right w:val="single" w:sz="4" w:space="0" w:color="auto"/>
            </w:tcBorders>
            <w:shd w:val="clear" w:color="auto" w:fill="auto"/>
            <w:vAlign w:val="bottom"/>
            <w:hideMark/>
          </w:tcPr>
          <w:p w14:paraId="073D2A29" w14:textId="77777777" w:rsidR="006E7BC7" w:rsidRPr="009B1893" w:rsidRDefault="006E7BC7" w:rsidP="006E7BC7">
            <w:pPr>
              <w:suppressLineNumbers/>
              <w:suppressAutoHyphens/>
              <w:kinsoku w:val="0"/>
              <w:overflowPunct w:val="0"/>
              <w:autoSpaceDE w:val="0"/>
              <w:autoSpaceDN w:val="0"/>
              <w:adjustRightInd w:val="0"/>
              <w:snapToGrid w:val="0"/>
              <w:jc w:val="left"/>
              <w:rPr>
                <w:snapToGrid w:val="0"/>
                <w:color w:val="000000"/>
                <w:kern w:val="22"/>
                <w:szCs w:val="22"/>
                <w:lang w:val="fr-CA"/>
              </w:rPr>
            </w:pPr>
            <w:r w:rsidRPr="009B1893">
              <w:rPr>
                <w:snapToGrid w:val="0"/>
                <w:color w:val="000000"/>
                <w:kern w:val="22"/>
                <w:szCs w:val="22"/>
                <w:lang w:val="fr-CA"/>
              </w:rPr>
              <w:t>N’a pas demandé le soutien du FEM</w:t>
            </w:r>
          </w:p>
        </w:tc>
        <w:tc>
          <w:tcPr>
            <w:tcW w:w="1304" w:type="dxa"/>
            <w:tcBorders>
              <w:top w:val="nil"/>
              <w:left w:val="nil"/>
              <w:bottom w:val="single" w:sz="4" w:space="0" w:color="auto"/>
              <w:right w:val="single" w:sz="4" w:space="0" w:color="auto"/>
            </w:tcBorders>
            <w:shd w:val="clear" w:color="auto" w:fill="auto"/>
            <w:vAlign w:val="center"/>
            <w:hideMark/>
          </w:tcPr>
          <w:p w14:paraId="50871DF7" w14:textId="77777777" w:rsidR="006E7BC7" w:rsidRPr="00600544" w:rsidRDefault="006E7BC7" w:rsidP="006E7BC7">
            <w:pPr>
              <w:suppressLineNumbers/>
              <w:suppressAutoHyphens/>
              <w:jc w:val="center"/>
              <w:rPr>
                <w:color w:val="000000"/>
                <w:szCs w:val="22"/>
              </w:rPr>
            </w:pPr>
            <w:r w:rsidRPr="00600544">
              <w:rPr>
                <w:snapToGrid w:val="0"/>
                <w:color w:val="000000"/>
                <w:kern w:val="22"/>
                <w:szCs w:val="22"/>
              </w:rPr>
              <w:t>1 (50</w:t>
            </w:r>
            <w:r>
              <w:rPr>
                <w:snapToGrid w:val="0"/>
                <w:color w:val="000000"/>
                <w:kern w:val="22"/>
                <w:szCs w:val="22"/>
              </w:rPr>
              <w:t xml:space="preserve"> %</w:t>
            </w:r>
            <w:r w:rsidRPr="00600544">
              <w:rPr>
                <w:snapToGrid w:val="0"/>
                <w:color w:val="000000"/>
                <w:kern w:val="22"/>
                <w:szCs w:val="22"/>
              </w:rPr>
              <w:t>)</w:t>
            </w:r>
          </w:p>
        </w:tc>
        <w:tc>
          <w:tcPr>
            <w:tcW w:w="1650" w:type="dxa"/>
            <w:tcBorders>
              <w:top w:val="nil"/>
              <w:left w:val="nil"/>
              <w:bottom w:val="single" w:sz="4" w:space="0" w:color="auto"/>
              <w:right w:val="single" w:sz="4" w:space="0" w:color="auto"/>
            </w:tcBorders>
            <w:shd w:val="clear" w:color="auto" w:fill="auto"/>
            <w:vAlign w:val="center"/>
            <w:hideMark/>
          </w:tcPr>
          <w:p w14:paraId="6A9579F9" w14:textId="77777777" w:rsidR="006E7BC7" w:rsidRPr="00600544" w:rsidRDefault="006E7BC7" w:rsidP="006E7BC7">
            <w:pPr>
              <w:suppressLineNumbers/>
              <w:suppressAutoHyphens/>
              <w:jc w:val="center"/>
              <w:rPr>
                <w:color w:val="000000"/>
                <w:szCs w:val="22"/>
              </w:rPr>
            </w:pPr>
            <w:r w:rsidRPr="00600544">
              <w:rPr>
                <w:snapToGrid w:val="0"/>
                <w:color w:val="000000"/>
                <w:kern w:val="22"/>
                <w:szCs w:val="22"/>
              </w:rPr>
              <w:t>0</w:t>
            </w:r>
          </w:p>
        </w:tc>
        <w:tc>
          <w:tcPr>
            <w:tcW w:w="1243" w:type="dxa"/>
            <w:tcBorders>
              <w:top w:val="nil"/>
              <w:left w:val="nil"/>
              <w:bottom w:val="single" w:sz="4" w:space="0" w:color="auto"/>
              <w:right w:val="single" w:sz="4" w:space="0" w:color="auto"/>
            </w:tcBorders>
            <w:shd w:val="clear" w:color="auto" w:fill="auto"/>
            <w:vAlign w:val="center"/>
            <w:hideMark/>
          </w:tcPr>
          <w:p w14:paraId="03753F38" w14:textId="77777777" w:rsidR="006E7BC7" w:rsidRPr="00600544" w:rsidRDefault="006E7BC7" w:rsidP="006E7BC7">
            <w:pPr>
              <w:suppressLineNumbers/>
              <w:suppressAutoHyphens/>
              <w:jc w:val="center"/>
              <w:rPr>
                <w:color w:val="000000"/>
                <w:szCs w:val="22"/>
              </w:rPr>
            </w:pPr>
            <w:r w:rsidRPr="00600544">
              <w:rPr>
                <w:snapToGrid w:val="0"/>
                <w:color w:val="000000"/>
                <w:kern w:val="22"/>
                <w:szCs w:val="22"/>
              </w:rPr>
              <w:t>0</w:t>
            </w:r>
          </w:p>
        </w:tc>
        <w:tc>
          <w:tcPr>
            <w:tcW w:w="1472" w:type="dxa"/>
            <w:tcBorders>
              <w:top w:val="nil"/>
              <w:left w:val="nil"/>
              <w:bottom w:val="single" w:sz="4" w:space="0" w:color="auto"/>
              <w:right w:val="single" w:sz="4" w:space="0" w:color="auto"/>
            </w:tcBorders>
            <w:shd w:val="clear" w:color="auto" w:fill="auto"/>
            <w:vAlign w:val="center"/>
            <w:hideMark/>
          </w:tcPr>
          <w:p w14:paraId="44070130" w14:textId="77777777" w:rsidR="006E7BC7" w:rsidRPr="00600544" w:rsidRDefault="006E7BC7" w:rsidP="006E7BC7">
            <w:pPr>
              <w:suppressLineNumbers/>
              <w:suppressAutoHyphens/>
              <w:jc w:val="center"/>
              <w:rPr>
                <w:color w:val="000000"/>
                <w:szCs w:val="22"/>
              </w:rPr>
            </w:pPr>
            <w:r w:rsidRPr="00600544">
              <w:rPr>
                <w:snapToGrid w:val="0"/>
                <w:color w:val="000000"/>
                <w:kern w:val="22"/>
                <w:szCs w:val="22"/>
              </w:rPr>
              <w:t>1 (50</w:t>
            </w:r>
            <w:r>
              <w:rPr>
                <w:snapToGrid w:val="0"/>
                <w:color w:val="000000"/>
                <w:kern w:val="22"/>
                <w:szCs w:val="22"/>
              </w:rPr>
              <w:t xml:space="preserve"> %</w:t>
            </w:r>
            <w:r w:rsidRPr="00600544">
              <w:rPr>
                <w:snapToGrid w:val="0"/>
                <w:color w:val="000000"/>
                <w:kern w:val="22"/>
                <w:szCs w:val="22"/>
              </w:rPr>
              <w:t>)</w:t>
            </w:r>
          </w:p>
        </w:tc>
      </w:tr>
      <w:tr w:rsidR="006E7BC7" w:rsidRPr="00DC3926" w14:paraId="0D1DF91A" w14:textId="77777777" w:rsidTr="00C06AC6">
        <w:trPr>
          <w:cantSplit/>
          <w:jc w:val="center"/>
        </w:trPr>
        <w:tc>
          <w:tcPr>
            <w:tcW w:w="2721" w:type="dxa"/>
            <w:tcBorders>
              <w:top w:val="nil"/>
              <w:left w:val="single" w:sz="4" w:space="0" w:color="auto"/>
              <w:bottom w:val="single" w:sz="4" w:space="0" w:color="auto"/>
              <w:right w:val="single" w:sz="4" w:space="0" w:color="auto"/>
            </w:tcBorders>
            <w:shd w:val="clear" w:color="auto" w:fill="auto"/>
            <w:vAlign w:val="bottom"/>
            <w:hideMark/>
          </w:tcPr>
          <w:p w14:paraId="408BAE77" w14:textId="77777777" w:rsidR="006E7BC7" w:rsidRPr="00DC3926" w:rsidRDefault="006E7BC7" w:rsidP="006E7BC7">
            <w:pPr>
              <w:suppressLineNumbers/>
              <w:suppressAutoHyphens/>
              <w:kinsoku w:val="0"/>
              <w:overflowPunct w:val="0"/>
              <w:autoSpaceDE w:val="0"/>
              <w:autoSpaceDN w:val="0"/>
              <w:adjustRightInd w:val="0"/>
              <w:snapToGrid w:val="0"/>
              <w:jc w:val="left"/>
              <w:rPr>
                <w:snapToGrid w:val="0"/>
                <w:color w:val="000000"/>
                <w:kern w:val="22"/>
                <w:szCs w:val="22"/>
                <w:lang w:val="fr-CA"/>
              </w:rPr>
            </w:pPr>
            <w:r>
              <w:rPr>
                <w:snapToGrid w:val="0"/>
                <w:color w:val="000000"/>
                <w:kern w:val="22"/>
                <w:szCs w:val="22"/>
                <w:lang w:val="fr-CA"/>
              </w:rPr>
              <w:lastRenderedPageBreak/>
              <w:t>Non admissible au FEM</w:t>
            </w:r>
          </w:p>
        </w:tc>
        <w:tc>
          <w:tcPr>
            <w:tcW w:w="1304" w:type="dxa"/>
            <w:tcBorders>
              <w:top w:val="nil"/>
              <w:left w:val="nil"/>
              <w:bottom w:val="single" w:sz="4" w:space="0" w:color="auto"/>
              <w:right w:val="single" w:sz="4" w:space="0" w:color="auto"/>
            </w:tcBorders>
            <w:shd w:val="clear" w:color="auto" w:fill="auto"/>
            <w:vAlign w:val="center"/>
            <w:hideMark/>
          </w:tcPr>
          <w:p w14:paraId="49B0D2F0" w14:textId="77777777" w:rsidR="006E7BC7" w:rsidRPr="00600544" w:rsidRDefault="006E7BC7" w:rsidP="006E7BC7">
            <w:pPr>
              <w:suppressLineNumbers/>
              <w:suppressAutoHyphens/>
              <w:jc w:val="center"/>
              <w:rPr>
                <w:color w:val="000000"/>
                <w:szCs w:val="22"/>
              </w:rPr>
            </w:pPr>
            <w:r w:rsidRPr="00600544">
              <w:rPr>
                <w:snapToGrid w:val="0"/>
                <w:color w:val="000000"/>
                <w:kern w:val="22"/>
                <w:szCs w:val="22"/>
              </w:rPr>
              <w:t>22 (54</w:t>
            </w:r>
            <w:r>
              <w:rPr>
                <w:snapToGrid w:val="0"/>
                <w:color w:val="000000"/>
                <w:kern w:val="22"/>
                <w:szCs w:val="22"/>
              </w:rPr>
              <w:t xml:space="preserve"> %</w:t>
            </w:r>
            <w:r w:rsidRPr="00600544">
              <w:rPr>
                <w:snapToGrid w:val="0"/>
                <w:color w:val="000000"/>
                <w:kern w:val="22"/>
                <w:szCs w:val="22"/>
              </w:rPr>
              <w:t>)</w:t>
            </w:r>
          </w:p>
        </w:tc>
        <w:tc>
          <w:tcPr>
            <w:tcW w:w="1650" w:type="dxa"/>
            <w:tcBorders>
              <w:top w:val="nil"/>
              <w:left w:val="nil"/>
              <w:bottom w:val="single" w:sz="4" w:space="0" w:color="auto"/>
              <w:right w:val="single" w:sz="4" w:space="0" w:color="auto"/>
            </w:tcBorders>
            <w:shd w:val="clear" w:color="auto" w:fill="auto"/>
            <w:vAlign w:val="center"/>
            <w:hideMark/>
          </w:tcPr>
          <w:p w14:paraId="1F991483" w14:textId="77777777" w:rsidR="006E7BC7" w:rsidRPr="00600544" w:rsidRDefault="006E7BC7" w:rsidP="006E7BC7">
            <w:pPr>
              <w:suppressLineNumbers/>
              <w:suppressAutoHyphens/>
              <w:jc w:val="center"/>
              <w:rPr>
                <w:color w:val="000000"/>
                <w:szCs w:val="22"/>
              </w:rPr>
            </w:pPr>
            <w:r w:rsidRPr="00600544">
              <w:rPr>
                <w:snapToGrid w:val="0"/>
                <w:color w:val="000000"/>
                <w:kern w:val="22"/>
                <w:szCs w:val="22"/>
              </w:rPr>
              <w:t>2 (5</w:t>
            </w:r>
            <w:r>
              <w:rPr>
                <w:snapToGrid w:val="0"/>
                <w:color w:val="000000"/>
                <w:kern w:val="22"/>
                <w:szCs w:val="22"/>
              </w:rPr>
              <w:t xml:space="preserve"> %</w:t>
            </w:r>
            <w:r w:rsidRPr="00600544">
              <w:rPr>
                <w:snapToGrid w:val="0"/>
                <w:color w:val="000000"/>
                <w:kern w:val="22"/>
                <w:szCs w:val="22"/>
              </w:rPr>
              <w:t>)</w:t>
            </w:r>
          </w:p>
        </w:tc>
        <w:tc>
          <w:tcPr>
            <w:tcW w:w="1243" w:type="dxa"/>
            <w:tcBorders>
              <w:top w:val="nil"/>
              <w:left w:val="nil"/>
              <w:bottom w:val="single" w:sz="4" w:space="0" w:color="auto"/>
              <w:right w:val="single" w:sz="4" w:space="0" w:color="auto"/>
            </w:tcBorders>
            <w:shd w:val="clear" w:color="auto" w:fill="auto"/>
            <w:vAlign w:val="center"/>
            <w:hideMark/>
          </w:tcPr>
          <w:p w14:paraId="4EB49877" w14:textId="77777777" w:rsidR="006E7BC7" w:rsidRPr="00600544" w:rsidRDefault="006E7BC7" w:rsidP="006E7BC7">
            <w:pPr>
              <w:suppressLineNumbers/>
              <w:suppressAutoHyphens/>
              <w:jc w:val="center"/>
              <w:rPr>
                <w:color w:val="000000"/>
                <w:szCs w:val="22"/>
              </w:rPr>
            </w:pPr>
            <w:r w:rsidRPr="00600544">
              <w:rPr>
                <w:snapToGrid w:val="0"/>
                <w:color w:val="000000"/>
                <w:kern w:val="22"/>
                <w:szCs w:val="22"/>
              </w:rPr>
              <w:t>1 (2</w:t>
            </w:r>
            <w:r>
              <w:rPr>
                <w:snapToGrid w:val="0"/>
                <w:color w:val="000000"/>
                <w:kern w:val="22"/>
                <w:szCs w:val="22"/>
              </w:rPr>
              <w:t xml:space="preserve"> %</w:t>
            </w:r>
            <w:r w:rsidRPr="00600544">
              <w:rPr>
                <w:snapToGrid w:val="0"/>
                <w:color w:val="000000"/>
                <w:kern w:val="22"/>
                <w:szCs w:val="22"/>
              </w:rPr>
              <w:t>)</w:t>
            </w:r>
          </w:p>
        </w:tc>
        <w:tc>
          <w:tcPr>
            <w:tcW w:w="1472" w:type="dxa"/>
            <w:tcBorders>
              <w:top w:val="nil"/>
              <w:left w:val="nil"/>
              <w:bottom w:val="single" w:sz="4" w:space="0" w:color="auto"/>
              <w:right w:val="single" w:sz="4" w:space="0" w:color="auto"/>
            </w:tcBorders>
            <w:shd w:val="clear" w:color="auto" w:fill="auto"/>
            <w:vAlign w:val="center"/>
            <w:hideMark/>
          </w:tcPr>
          <w:p w14:paraId="0149F3E3" w14:textId="77777777" w:rsidR="006E7BC7" w:rsidRPr="00600544" w:rsidRDefault="006E7BC7" w:rsidP="006E7BC7">
            <w:pPr>
              <w:suppressLineNumbers/>
              <w:suppressAutoHyphens/>
              <w:jc w:val="center"/>
              <w:rPr>
                <w:color w:val="000000"/>
                <w:szCs w:val="22"/>
              </w:rPr>
            </w:pPr>
            <w:r w:rsidRPr="00600544">
              <w:rPr>
                <w:snapToGrid w:val="0"/>
                <w:color w:val="000000"/>
                <w:kern w:val="22"/>
                <w:szCs w:val="22"/>
              </w:rPr>
              <w:t>16 (39</w:t>
            </w:r>
            <w:r>
              <w:rPr>
                <w:snapToGrid w:val="0"/>
                <w:color w:val="000000"/>
                <w:kern w:val="22"/>
                <w:szCs w:val="22"/>
              </w:rPr>
              <w:t xml:space="preserve"> %</w:t>
            </w:r>
            <w:r w:rsidRPr="00600544">
              <w:rPr>
                <w:snapToGrid w:val="0"/>
                <w:color w:val="000000"/>
                <w:kern w:val="22"/>
                <w:szCs w:val="22"/>
              </w:rPr>
              <w:t>)</w:t>
            </w:r>
          </w:p>
        </w:tc>
      </w:tr>
      <w:tr w:rsidR="006E7BC7" w:rsidRPr="00DC3926" w14:paraId="0CE15CED" w14:textId="77777777" w:rsidTr="00C06AC6">
        <w:trPr>
          <w:cantSplit/>
          <w:jc w:val="center"/>
        </w:trPr>
        <w:tc>
          <w:tcPr>
            <w:tcW w:w="2721" w:type="dxa"/>
            <w:tcBorders>
              <w:top w:val="nil"/>
              <w:left w:val="single" w:sz="4" w:space="0" w:color="auto"/>
              <w:bottom w:val="single" w:sz="4" w:space="0" w:color="auto"/>
              <w:right w:val="single" w:sz="4" w:space="0" w:color="auto"/>
            </w:tcBorders>
            <w:shd w:val="clear" w:color="auto" w:fill="auto"/>
            <w:vAlign w:val="bottom"/>
            <w:hideMark/>
          </w:tcPr>
          <w:p w14:paraId="51E9FF4F" w14:textId="77777777" w:rsidR="006E7BC7" w:rsidRPr="00DC3926" w:rsidRDefault="006E7BC7" w:rsidP="006E7BC7">
            <w:pPr>
              <w:suppressLineNumbers/>
              <w:suppressAutoHyphens/>
              <w:kinsoku w:val="0"/>
              <w:overflowPunct w:val="0"/>
              <w:autoSpaceDE w:val="0"/>
              <w:autoSpaceDN w:val="0"/>
              <w:adjustRightInd w:val="0"/>
              <w:snapToGrid w:val="0"/>
              <w:jc w:val="left"/>
              <w:rPr>
                <w:b/>
                <w:bCs/>
                <w:snapToGrid w:val="0"/>
                <w:color w:val="000000"/>
                <w:kern w:val="22"/>
                <w:szCs w:val="22"/>
                <w:lang w:val="fr-CA"/>
              </w:rPr>
            </w:pPr>
            <w:r w:rsidRPr="00DC3926">
              <w:rPr>
                <w:b/>
                <w:bCs/>
                <w:snapToGrid w:val="0"/>
                <w:color w:val="000000"/>
                <w:kern w:val="22"/>
                <w:szCs w:val="22"/>
                <w:lang w:val="fr-CA"/>
              </w:rPr>
              <w:t>TOTAL</w:t>
            </w:r>
          </w:p>
        </w:tc>
        <w:tc>
          <w:tcPr>
            <w:tcW w:w="1304" w:type="dxa"/>
            <w:tcBorders>
              <w:top w:val="nil"/>
              <w:left w:val="nil"/>
              <w:bottom w:val="single" w:sz="4" w:space="0" w:color="auto"/>
              <w:right w:val="single" w:sz="4" w:space="0" w:color="auto"/>
            </w:tcBorders>
            <w:shd w:val="clear" w:color="auto" w:fill="auto"/>
            <w:vAlign w:val="center"/>
            <w:hideMark/>
          </w:tcPr>
          <w:p w14:paraId="18F46D21" w14:textId="77777777" w:rsidR="006E7BC7" w:rsidRPr="00600544" w:rsidRDefault="006E7BC7" w:rsidP="006E7BC7">
            <w:pPr>
              <w:suppressLineNumbers/>
              <w:suppressAutoHyphens/>
              <w:jc w:val="center"/>
              <w:rPr>
                <w:b/>
                <w:bCs/>
                <w:color w:val="000000"/>
                <w:szCs w:val="22"/>
              </w:rPr>
            </w:pPr>
            <w:r w:rsidRPr="00600544">
              <w:rPr>
                <w:b/>
                <w:bCs/>
                <w:snapToGrid w:val="0"/>
                <w:color w:val="000000"/>
                <w:kern w:val="22"/>
                <w:szCs w:val="22"/>
              </w:rPr>
              <w:t>56 (34</w:t>
            </w:r>
            <w:r>
              <w:rPr>
                <w:b/>
                <w:bCs/>
                <w:snapToGrid w:val="0"/>
                <w:color w:val="000000"/>
                <w:kern w:val="22"/>
                <w:szCs w:val="22"/>
              </w:rPr>
              <w:t xml:space="preserve"> %</w:t>
            </w:r>
            <w:r w:rsidRPr="00600544">
              <w:rPr>
                <w:b/>
                <w:bCs/>
                <w:snapToGrid w:val="0"/>
                <w:color w:val="000000"/>
                <w:kern w:val="22"/>
                <w:szCs w:val="22"/>
              </w:rPr>
              <w:t>)</w:t>
            </w:r>
          </w:p>
        </w:tc>
        <w:tc>
          <w:tcPr>
            <w:tcW w:w="1650" w:type="dxa"/>
            <w:tcBorders>
              <w:top w:val="nil"/>
              <w:left w:val="nil"/>
              <w:bottom w:val="single" w:sz="4" w:space="0" w:color="auto"/>
              <w:right w:val="single" w:sz="4" w:space="0" w:color="auto"/>
            </w:tcBorders>
            <w:shd w:val="clear" w:color="auto" w:fill="auto"/>
            <w:vAlign w:val="center"/>
            <w:hideMark/>
          </w:tcPr>
          <w:p w14:paraId="740B4AAD" w14:textId="77777777" w:rsidR="006E7BC7" w:rsidRPr="00600544" w:rsidRDefault="006E7BC7" w:rsidP="006E7BC7">
            <w:pPr>
              <w:suppressLineNumbers/>
              <w:suppressAutoHyphens/>
              <w:jc w:val="center"/>
              <w:rPr>
                <w:b/>
                <w:bCs/>
                <w:color w:val="000000"/>
                <w:szCs w:val="22"/>
              </w:rPr>
            </w:pPr>
            <w:r w:rsidRPr="00600544">
              <w:rPr>
                <w:b/>
                <w:bCs/>
                <w:snapToGrid w:val="0"/>
                <w:color w:val="000000"/>
                <w:kern w:val="22"/>
                <w:szCs w:val="22"/>
              </w:rPr>
              <w:t>6 (4</w:t>
            </w:r>
            <w:r>
              <w:rPr>
                <w:b/>
                <w:bCs/>
                <w:snapToGrid w:val="0"/>
                <w:color w:val="000000"/>
                <w:kern w:val="22"/>
                <w:szCs w:val="22"/>
              </w:rPr>
              <w:t xml:space="preserve"> %</w:t>
            </w:r>
            <w:r w:rsidRPr="00600544">
              <w:rPr>
                <w:b/>
                <w:bCs/>
                <w:snapToGrid w:val="0"/>
                <w:color w:val="000000"/>
                <w:kern w:val="22"/>
                <w:szCs w:val="22"/>
              </w:rPr>
              <w:t>)</w:t>
            </w:r>
          </w:p>
        </w:tc>
        <w:tc>
          <w:tcPr>
            <w:tcW w:w="1243" w:type="dxa"/>
            <w:tcBorders>
              <w:top w:val="nil"/>
              <w:left w:val="nil"/>
              <w:bottom w:val="single" w:sz="4" w:space="0" w:color="auto"/>
              <w:right w:val="single" w:sz="4" w:space="0" w:color="auto"/>
            </w:tcBorders>
            <w:shd w:val="clear" w:color="auto" w:fill="auto"/>
            <w:vAlign w:val="center"/>
            <w:hideMark/>
          </w:tcPr>
          <w:p w14:paraId="703CB7D2" w14:textId="77777777" w:rsidR="006E7BC7" w:rsidRPr="00600544" w:rsidRDefault="006E7BC7" w:rsidP="006E7BC7">
            <w:pPr>
              <w:suppressLineNumbers/>
              <w:suppressAutoHyphens/>
              <w:jc w:val="center"/>
              <w:rPr>
                <w:b/>
                <w:bCs/>
                <w:color w:val="000000"/>
                <w:szCs w:val="22"/>
              </w:rPr>
            </w:pPr>
            <w:r w:rsidRPr="00600544">
              <w:rPr>
                <w:b/>
                <w:bCs/>
                <w:snapToGrid w:val="0"/>
                <w:color w:val="000000"/>
                <w:kern w:val="22"/>
                <w:szCs w:val="22"/>
              </w:rPr>
              <w:t>17 (10</w:t>
            </w:r>
            <w:r>
              <w:rPr>
                <w:b/>
                <w:bCs/>
                <w:snapToGrid w:val="0"/>
                <w:color w:val="000000"/>
                <w:kern w:val="22"/>
                <w:szCs w:val="22"/>
              </w:rPr>
              <w:t xml:space="preserve"> %</w:t>
            </w:r>
            <w:r w:rsidRPr="00600544">
              <w:rPr>
                <w:b/>
                <w:bCs/>
                <w:snapToGrid w:val="0"/>
                <w:color w:val="000000"/>
                <w:kern w:val="22"/>
                <w:szCs w:val="22"/>
              </w:rPr>
              <w:t>)</w:t>
            </w:r>
          </w:p>
        </w:tc>
        <w:tc>
          <w:tcPr>
            <w:tcW w:w="1472" w:type="dxa"/>
            <w:tcBorders>
              <w:top w:val="nil"/>
              <w:left w:val="nil"/>
              <w:bottom w:val="single" w:sz="4" w:space="0" w:color="auto"/>
              <w:right w:val="single" w:sz="4" w:space="0" w:color="auto"/>
            </w:tcBorders>
            <w:shd w:val="clear" w:color="auto" w:fill="auto"/>
            <w:vAlign w:val="center"/>
            <w:hideMark/>
          </w:tcPr>
          <w:p w14:paraId="6464DF8F" w14:textId="77777777" w:rsidR="006E7BC7" w:rsidRPr="004F3BF9" w:rsidRDefault="006E7BC7" w:rsidP="006E7BC7">
            <w:pPr>
              <w:suppressLineNumbers/>
              <w:suppressAutoHyphens/>
              <w:jc w:val="center"/>
              <w:rPr>
                <w:b/>
                <w:bCs/>
                <w:color w:val="000000"/>
                <w:szCs w:val="22"/>
              </w:rPr>
            </w:pPr>
            <w:r w:rsidRPr="00600544">
              <w:rPr>
                <w:b/>
                <w:bCs/>
                <w:snapToGrid w:val="0"/>
                <w:color w:val="000000"/>
                <w:kern w:val="22"/>
                <w:szCs w:val="22"/>
              </w:rPr>
              <w:t>85 (52</w:t>
            </w:r>
            <w:r>
              <w:rPr>
                <w:b/>
                <w:bCs/>
                <w:snapToGrid w:val="0"/>
                <w:color w:val="000000"/>
                <w:kern w:val="22"/>
                <w:szCs w:val="22"/>
              </w:rPr>
              <w:t xml:space="preserve"> %</w:t>
            </w:r>
            <w:r w:rsidRPr="00600544">
              <w:rPr>
                <w:b/>
                <w:bCs/>
                <w:snapToGrid w:val="0"/>
                <w:color w:val="000000"/>
                <w:kern w:val="22"/>
                <w:szCs w:val="22"/>
              </w:rPr>
              <w:t>)</w:t>
            </w:r>
          </w:p>
        </w:tc>
      </w:tr>
    </w:tbl>
    <w:p w14:paraId="3CB699C2" w14:textId="77777777" w:rsidR="00DB4C08" w:rsidRDefault="00DB4C08" w:rsidP="00DC3926">
      <w:pPr>
        <w:spacing w:before="240" w:after="200"/>
        <w:rPr>
          <w:kern w:val="22"/>
          <w:szCs w:val="22"/>
          <w:lang w:val="fr-FR"/>
        </w:rPr>
      </w:pPr>
    </w:p>
    <w:p w14:paraId="44358104" w14:textId="77777777" w:rsidR="00DC3926" w:rsidRPr="00DC3926" w:rsidRDefault="00DC3926" w:rsidP="00DC3926">
      <w:pPr>
        <w:spacing w:before="240" w:after="200"/>
        <w:rPr>
          <w:kern w:val="22"/>
          <w:szCs w:val="22"/>
          <w:lang w:val="fr-FR"/>
        </w:rPr>
      </w:pPr>
    </w:p>
    <w:p w14:paraId="53A3529D" w14:textId="77777777" w:rsidR="002A0778" w:rsidRPr="00575A30" w:rsidRDefault="002A0778" w:rsidP="00EB7A2D">
      <w:pPr>
        <w:pStyle w:val="Heading2"/>
        <w:spacing w:before="0" w:after="0"/>
        <w:rPr>
          <w:i w:val="0"/>
          <w:kern w:val="22"/>
          <w:lang w:val="fr-FR"/>
        </w:rPr>
      </w:pPr>
      <w:r w:rsidRPr="00575A30">
        <w:rPr>
          <w:i w:val="0"/>
          <w:kern w:val="22"/>
          <w:lang w:val="fr-FR"/>
        </w:rPr>
        <w:t>B.</w:t>
      </w:r>
      <w:r w:rsidRPr="00575A30">
        <w:rPr>
          <w:i w:val="0"/>
          <w:kern w:val="22"/>
          <w:lang w:val="fr-FR"/>
        </w:rPr>
        <w:tab/>
      </w:r>
      <w:r w:rsidR="00EB7A2D" w:rsidRPr="009929AF">
        <w:rPr>
          <w:i w:val="0"/>
          <w:kern w:val="22"/>
          <w:lang w:val="fr-FR"/>
        </w:rPr>
        <w:t>Processus</w:t>
      </w:r>
      <w:r w:rsidR="00EB7A2D" w:rsidRPr="00575A30">
        <w:rPr>
          <w:i w:val="0"/>
          <w:kern w:val="22"/>
          <w:lang w:val="fr-FR"/>
        </w:rPr>
        <w:t xml:space="preserve"> de révision</w:t>
      </w:r>
    </w:p>
    <w:p w14:paraId="3BA53AE9" w14:textId="77777777" w:rsidR="002A0778" w:rsidRPr="00575A30" w:rsidRDefault="009F5423" w:rsidP="009F5423">
      <w:pPr>
        <w:pStyle w:val="Para1"/>
        <w:numPr>
          <w:ilvl w:val="0"/>
          <w:numId w:val="0"/>
        </w:numPr>
        <w:jc w:val="center"/>
        <w:rPr>
          <w:bCs/>
          <w:i/>
          <w:iCs/>
          <w:kern w:val="22"/>
          <w:szCs w:val="22"/>
          <w:lang w:val="fr-FR"/>
        </w:rPr>
      </w:pPr>
      <w:r w:rsidRPr="00575A30">
        <w:rPr>
          <w:bCs/>
          <w:i/>
          <w:iCs/>
          <w:kern w:val="22"/>
          <w:szCs w:val="22"/>
          <w:lang w:val="fr-FR"/>
        </w:rPr>
        <w:t>1.</w:t>
      </w:r>
      <w:r w:rsidR="00D81A20" w:rsidRPr="00575A30">
        <w:rPr>
          <w:bCs/>
          <w:i/>
          <w:iCs/>
          <w:kern w:val="22"/>
          <w:szCs w:val="22"/>
          <w:lang w:val="fr-FR"/>
        </w:rPr>
        <w:tab/>
      </w:r>
      <w:r w:rsidR="00C45FB3" w:rsidRPr="00575A30">
        <w:rPr>
          <w:bCs/>
          <w:i/>
          <w:iCs/>
          <w:kern w:val="22"/>
          <w:szCs w:val="22"/>
          <w:lang w:val="fr-FR"/>
        </w:rPr>
        <w:t>Évaluation des SPANB précédents</w:t>
      </w:r>
    </w:p>
    <w:p w14:paraId="4CD1C95F" w14:textId="77777777" w:rsidR="002A0778" w:rsidRPr="00575A30" w:rsidRDefault="00A42224" w:rsidP="00F36F85">
      <w:pPr>
        <w:numPr>
          <w:ilvl w:val="0"/>
          <w:numId w:val="11"/>
        </w:numPr>
        <w:tabs>
          <w:tab w:val="clear" w:pos="540"/>
          <w:tab w:val="num" w:pos="709"/>
        </w:tabs>
        <w:ind w:left="0" w:firstLine="0"/>
        <w:rPr>
          <w:kern w:val="22"/>
          <w:szCs w:val="22"/>
          <w:lang w:val="fr-FR"/>
        </w:rPr>
      </w:pPr>
      <w:r w:rsidRPr="00575A30">
        <w:rPr>
          <w:kern w:val="22"/>
          <w:szCs w:val="22"/>
          <w:lang w:val="fr-FR"/>
        </w:rPr>
        <w:t xml:space="preserve">Parmi les Parties ayant soumis </w:t>
      </w:r>
      <w:r w:rsidR="00C525E6" w:rsidRPr="00575A30">
        <w:rPr>
          <w:kern w:val="22"/>
          <w:szCs w:val="22"/>
          <w:lang w:val="fr-FR"/>
        </w:rPr>
        <w:t xml:space="preserve">des </w:t>
      </w:r>
      <w:r w:rsidRPr="00575A30">
        <w:rPr>
          <w:kern w:val="22"/>
          <w:szCs w:val="22"/>
          <w:lang w:val="fr-FR"/>
        </w:rPr>
        <w:t xml:space="preserve">SPANB après 2010, </w:t>
      </w:r>
      <w:r w:rsidR="0011382A">
        <w:rPr>
          <w:kern w:val="22"/>
          <w:szCs w:val="22"/>
          <w:lang w:val="fr-FR"/>
        </w:rPr>
        <w:t>111</w:t>
      </w:r>
      <w:r w:rsidR="009F5423" w:rsidRPr="00575A30">
        <w:rPr>
          <w:snapToGrid w:val="0"/>
          <w:kern w:val="22"/>
          <w:szCs w:val="22"/>
          <w:vertAlign w:val="superscript"/>
          <w:lang w:val="fr-FR"/>
        </w:rPr>
        <w:footnoteReference w:id="20"/>
      </w:r>
      <w:r w:rsidRPr="00575A30">
        <w:rPr>
          <w:kern w:val="22"/>
          <w:szCs w:val="22"/>
          <w:lang w:val="fr-FR"/>
        </w:rPr>
        <w:t xml:space="preserve"> </w:t>
      </w:r>
      <w:r w:rsidR="00902A4E" w:rsidRPr="00575A30">
        <w:rPr>
          <w:kern w:val="22"/>
          <w:szCs w:val="22"/>
          <w:lang w:val="fr-FR"/>
        </w:rPr>
        <w:t xml:space="preserve">ont </w:t>
      </w:r>
      <w:r w:rsidRPr="00575A30">
        <w:rPr>
          <w:kern w:val="22"/>
          <w:szCs w:val="22"/>
          <w:lang w:val="fr-FR"/>
        </w:rPr>
        <w:t>indiqu</w:t>
      </w:r>
      <w:r w:rsidR="00902A4E" w:rsidRPr="00575A30">
        <w:rPr>
          <w:kern w:val="22"/>
          <w:szCs w:val="22"/>
          <w:lang w:val="fr-FR"/>
        </w:rPr>
        <w:t>é</w:t>
      </w:r>
      <w:r w:rsidRPr="00575A30">
        <w:rPr>
          <w:kern w:val="22"/>
          <w:szCs w:val="22"/>
          <w:lang w:val="fr-FR"/>
        </w:rPr>
        <w:t xml:space="preserve"> </w:t>
      </w:r>
      <w:r w:rsidR="00850860" w:rsidRPr="00575A30">
        <w:rPr>
          <w:kern w:val="22"/>
          <w:szCs w:val="22"/>
          <w:lang w:val="fr-FR"/>
        </w:rPr>
        <w:t>avoir évalué</w:t>
      </w:r>
      <w:r w:rsidR="00850860" w:rsidRPr="00575A30">
        <w:rPr>
          <w:vertAlign w:val="superscript"/>
          <w:lang w:val="fr-FR"/>
        </w:rPr>
        <w:footnoteReference w:id="21"/>
      </w:r>
      <w:r w:rsidR="00850860" w:rsidRPr="00575A30">
        <w:rPr>
          <w:kern w:val="22"/>
          <w:szCs w:val="22"/>
          <w:lang w:val="fr-FR"/>
        </w:rPr>
        <w:t xml:space="preserve"> leur</w:t>
      </w:r>
      <w:r w:rsidR="00C525E6" w:rsidRPr="00575A30">
        <w:rPr>
          <w:kern w:val="22"/>
          <w:szCs w:val="22"/>
          <w:lang w:val="fr-FR"/>
        </w:rPr>
        <w:t>s</w:t>
      </w:r>
      <w:r w:rsidR="00850860" w:rsidRPr="00575A30">
        <w:rPr>
          <w:kern w:val="22"/>
          <w:szCs w:val="22"/>
          <w:lang w:val="fr-FR"/>
        </w:rPr>
        <w:t xml:space="preserve"> SPANB précédent</w:t>
      </w:r>
      <w:r w:rsidR="00C525E6" w:rsidRPr="00575A30">
        <w:rPr>
          <w:kern w:val="22"/>
          <w:szCs w:val="22"/>
          <w:lang w:val="fr-FR"/>
        </w:rPr>
        <w:t>s</w:t>
      </w:r>
      <w:r w:rsidR="00850860" w:rsidRPr="00575A30">
        <w:rPr>
          <w:kern w:val="22"/>
          <w:szCs w:val="22"/>
          <w:lang w:val="fr-FR"/>
        </w:rPr>
        <w:t xml:space="preserve"> dans le cadre du processus de révision.</w:t>
      </w:r>
      <w:r w:rsidRPr="00575A30">
        <w:rPr>
          <w:kern w:val="22"/>
          <w:szCs w:val="22"/>
          <w:lang w:val="fr-FR"/>
        </w:rPr>
        <w:t xml:space="preserve"> </w:t>
      </w:r>
      <w:r w:rsidR="000E6FD8" w:rsidRPr="00575A30">
        <w:rPr>
          <w:kern w:val="22"/>
          <w:szCs w:val="22"/>
          <w:lang w:val="fr-FR"/>
        </w:rPr>
        <w:t>Ces évaluation</w:t>
      </w:r>
      <w:r w:rsidR="0028155D" w:rsidRPr="00575A30">
        <w:rPr>
          <w:kern w:val="22"/>
          <w:szCs w:val="22"/>
          <w:lang w:val="fr-FR"/>
        </w:rPr>
        <w:t>s</w:t>
      </w:r>
      <w:r w:rsidR="000E6FD8" w:rsidRPr="00575A30">
        <w:rPr>
          <w:kern w:val="22"/>
          <w:szCs w:val="22"/>
          <w:lang w:val="fr-FR"/>
        </w:rPr>
        <w:t xml:space="preserve"> ont aidé les Parties à comprendre les forces et les faiblesses de leurs SPANB précédents afin d</w:t>
      </w:r>
      <w:r w:rsidR="0028155D" w:rsidRPr="00575A30">
        <w:rPr>
          <w:kern w:val="22"/>
          <w:szCs w:val="22"/>
          <w:lang w:val="fr-FR"/>
        </w:rPr>
        <w:t>’</w:t>
      </w:r>
      <w:r w:rsidR="00902A4E" w:rsidRPr="00575A30">
        <w:rPr>
          <w:kern w:val="22"/>
          <w:szCs w:val="22"/>
          <w:lang w:val="fr-FR"/>
        </w:rPr>
        <w:t>enrichir la révision la plus récente d'</w:t>
      </w:r>
      <w:r w:rsidR="0028155D" w:rsidRPr="00575A30">
        <w:rPr>
          <w:kern w:val="22"/>
          <w:szCs w:val="22"/>
          <w:lang w:val="fr-FR"/>
        </w:rPr>
        <w:t>améliorations</w:t>
      </w:r>
      <w:r w:rsidR="000E6FD8" w:rsidRPr="00575A30">
        <w:rPr>
          <w:kern w:val="22"/>
          <w:szCs w:val="22"/>
          <w:lang w:val="fr-FR"/>
        </w:rPr>
        <w:t xml:space="preserve"> </w:t>
      </w:r>
      <w:r w:rsidR="00902A4E" w:rsidRPr="00575A30">
        <w:rPr>
          <w:kern w:val="22"/>
          <w:szCs w:val="22"/>
          <w:lang w:val="fr-FR"/>
        </w:rPr>
        <w:t>nouvelles</w:t>
      </w:r>
      <w:r w:rsidR="000E6FD8" w:rsidRPr="00575A30">
        <w:rPr>
          <w:kern w:val="22"/>
          <w:szCs w:val="22"/>
          <w:lang w:val="fr-FR"/>
        </w:rPr>
        <w:t>.</w:t>
      </w:r>
      <w:r w:rsidR="0028155D" w:rsidRPr="00575A30">
        <w:rPr>
          <w:kern w:val="22"/>
          <w:szCs w:val="22"/>
          <w:lang w:val="fr-FR"/>
        </w:rPr>
        <w:t xml:space="preserve"> </w:t>
      </w:r>
      <w:r w:rsidR="00AE57CF" w:rsidRPr="00575A30">
        <w:rPr>
          <w:kern w:val="22"/>
          <w:szCs w:val="22"/>
          <w:lang w:val="fr-FR"/>
        </w:rPr>
        <w:t xml:space="preserve">Ces </w:t>
      </w:r>
      <w:r w:rsidR="0028155D" w:rsidRPr="00575A30">
        <w:rPr>
          <w:kern w:val="22"/>
          <w:szCs w:val="22"/>
          <w:lang w:val="fr-FR"/>
        </w:rPr>
        <w:t xml:space="preserve">évaluations </w:t>
      </w:r>
      <w:r w:rsidR="00AE57CF" w:rsidRPr="00575A30">
        <w:rPr>
          <w:kern w:val="22"/>
          <w:szCs w:val="22"/>
          <w:lang w:val="fr-FR"/>
        </w:rPr>
        <w:t xml:space="preserve">traitent de sujets </w:t>
      </w:r>
      <w:r w:rsidR="00902A4E" w:rsidRPr="00575A30">
        <w:rPr>
          <w:kern w:val="22"/>
          <w:szCs w:val="22"/>
          <w:lang w:val="fr-FR"/>
        </w:rPr>
        <w:t>divers</w:t>
      </w:r>
      <w:r w:rsidR="0028155D" w:rsidRPr="00575A30">
        <w:rPr>
          <w:kern w:val="22"/>
          <w:szCs w:val="22"/>
          <w:lang w:val="fr-FR"/>
        </w:rPr>
        <w:t xml:space="preserve">. </w:t>
      </w:r>
      <w:r w:rsidR="0011382A">
        <w:rPr>
          <w:kern w:val="22"/>
          <w:szCs w:val="22"/>
          <w:lang w:val="fr-FR"/>
        </w:rPr>
        <w:t xml:space="preserve">Très peu font état de la qualité ou de l’utilité du SPANB en tant qu’instrument de planification ou d’application. </w:t>
      </w:r>
      <w:r w:rsidR="00902A4E" w:rsidRPr="00575A30">
        <w:rPr>
          <w:kern w:val="22"/>
          <w:szCs w:val="22"/>
          <w:lang w:val="fr-FR"/>
        </w:rPr>
        <w:t>En règle générale, elles ont fait la part des activités au titre d</w:t>
      </w:r>
      <w:r w:rsidR="00B55AA1" w:rsidRPr="00575A30">
        <w:rPr>
          <w:kern w:val="22"/>
          <w:szCs w:val="22"/>
          <w:lang w:val="fr-FR"/>
        </w:rPr>
        <w:t>es</w:t>
      </w:r>
      <w:r w:rsidR="00902A4E" w:rsidRPr="00575A30">
        <w:rPr>
          <w:kern w:val="22"/>
          <w:szCs w:val="22"/>
          <w:lang w:val="fr-FR"/>
        </w:rPr>
        <w:t xml:space="preserve"> SPANB qui ont été mises en œuvre, des résultats obtenus et des difficultés de mise en œuvre, par </w:t>
      </w:r>
      <w:r w:rsidR="0028155D" w:rsidRPr="00575A30">
        <w:rPr>
          <w:kern w:val="22"/>
          <w:szCs w:val="22"/>
          <w:lang w:val="fr-FR"/>
        </w:rPr>
        <w:t>exemple :</w:t>
      </w:r>
    </w:p>
    <w:p w14:paraId="27271B5A" w14:textId="77777777" w:rsidR="000D7451" w:rsidRPr="00575A30" w:rsidRDefault="00836592" w:rsidP="00F36F85">
      <w:pPr>
        <w:pStyle w:val="Para1"/>
        <w:numPr>
          <w:ilvl w:val="0"/>
          <w:numId w:val="8"/>
        </w:numPr>
        <w:tabs>
          <w:tab w:val="clear" w:pos="1080"/>
          <w:tab w:val="num" w:pos="709"/>
        </w:tabs>
        <w:ind w:left="0" w:firstLine="709"/>
        <w:rPr>
          <w:kern w:val="22"/>
          <w:szCs w:val="22"/>
          <w:lang w:val="fr-FR"/>
        </w:rPr>
      </w:pPr>
      <w:r w:rsidRPr="00575A30">
        <w:rPr>
          <w:kern w:val="22"/>
          <w:szCs w:val="22"/>
          <w:lang w:val="fr-FR"/>
        </w:rPr>
        <w:t xml:space="preserve">Les évaluations menées par </w:t>
      </w:r>
      <w:r w:rsidR="009929AF">
        <w:rPr>
          <w:kern w:val="22"/>
          <w:szCs w:val="22"/>
          <w:lang w:val="fr-FR"/>
        </w:rPr>
        <w:t>19</w:t>
      </w:r>
      <w:r w:rsidR="009D2A51" w:rsidRPr="00575A30">
        <w:rPr>
          <w:kern w:val="22"/>
          <w:szCs w:val="22"/>
          <w:lang w:val="fr-FR"/>
        </w:rPr>
        <w:t xml:space="preserve"> Parties</w:t>
      </w:r>
      <w:r w:rsidRPr="00575A30">
        <w:rPr>
          <w:rStyle w:val="FootnoteReference"/>
          <w:kern w:val="22"/>
          <w:szCs w:val="22"/>
          <w:lang w:val="fr-FR"/>
        </w:rPr>
        <w:footnoteReference w:id="22"/>
      </w:r>
      <w:r w:rsidR="00A85330" w:rsidRPr="00575A30">
        <w:rPr>
          <w:kern w:val="22"/>
          <w:szCs w:val="22"/>
          <w:lang w:val="fr-FR"/>
        </w:rPr>
        <w:t xml:space="preserve"> </w:t>
      </w:r>
      <w:r w:rsidR="000D7451" w:rsidRPr="00575A30">
        <w:rPr>
          <w:kern w:val="22"/>
          <w:szCs w:val="22"/>
          <w:lang w:val="fr-FR"/>
        </w:rPr>
        <w:t>ont rendu compte du pourcentage de réalisation des objectifs, projets ou activités d</w:t>
      </w:r>
      <w:r w:rsidR="00B55AA1" w:rsidRPr="00575A30">
        <w:rPr>
          <w:kern w:val="22"/>
          <w:szCs w:val="22"/>
          <w:lang w:val="fr-FR"/>
        </w:rPr>
        <w:t>es</w:t>
      </w:r>
      <w:r w:rsidR="000D7451" w:rsidRPr="00575A30">
        <w:rPr>
          <w:kern w:val="22"/>
          <w:szCs w:val="22"/>
          <w:lang w:val="fr-FR"/>
        </w:rPr>
        <w:t xml:space="preserve"> SPANB</w:t>
      </w:r>
      <w:r w:rsidR="00B55AA1" w:rsidRPr="00575A30">
        <w:rPr>
          <w:kern w:val="22"/>
          <w:szCs w:val="22"/>
          <w:lang w:val="fr-FR"/>
        </w:rPr>
        <w:t xml:space="preserve"> précédents</w:t>
      </w:r>
      <w:r w:rsidR="00FA7B1D">
        <w:rPr>
          <w:kern w:val="22"/>
          <w:szCs w:val="22"/>
          <w:lang w:val="fr-FR"/>
        </w:rPr>
        <w:t>. L</w:t>
      </w:r>
      <w:r w:rsidR="000D7451" w:rsidRPr="00575A30">
        <w:rPr>
          <w:kern w:val="22"/>
          <w:szCs w:val="22"/>
          <w:lang w:val="fr-FR"/>
        </w:rPr>
        <w:t xml:space="preserve">es pourcentages </w:t>
      </w:r>
      <w:r w:rsidR="00FA7B1D">
        <w:rPr>
          <w:kern w:val="22"/>
          <w:szCs w:val="22"/>
          <w:lang w:val="fr-FR"/>
        </w:rPr>
        <w:t>et niveaux de réalisation variaient énormément d’un pays à l’autre</w:t>
      </w:r>
      <w:r w:rsidR="00BC6ED9" w:rsidRPr="00575A30">
        <w:rPr>
          <w:kern w:val="22"/>
          <w:szCs w:val="22"/>
          <w:lang w:val="fr-FR"/>
        </w:rPr>
        <w:t>;</w:t>
      </w:r>
    </w:p>
    <w:p w14:paraId="22511D5F" w14:textId="77777777" w:rsidR="000550E3" w:rsidRPr="00575A30" w:rsidRDefault="00FA7B1D" w:rsidP="00F36F85">
      <w:pPr>
        <w:pStyle w:val="Para1"/>
        <w:numPr>
          <w:ilvl w:val="0"/>
          <w:numId w:val="8"/>
        </w:numPr>
        <w:tabs>
          <w:tab w:val="clear" w:pos="1080"/>
          <w:tab w:val="num" w:pos="709"/>
        </w:tabs>
        <w:ind w:left="0" w:firstLine="709"/>
        <w:rPr>
          <w:kern w:val="22"/>
          <w:szCs w:val="22"/>
          <w:lang w:val="fr-FR"/>
        </w:rPr>
      </w:pPr>
      <w:r>
        <w:rPr>
          <w:kern w:val="22"/>
          <w:szCs w:val="22"/>
          <w:lang w:val="fr-FR"/>
        </w:rPr>
        <w:t>Quarante</w:t>
      </w:r>
      <w:r w:rsidR="00FD269A">
        <w:rPr>
          <w:kern w:val="22"/>
          <w:szCs w:val="22"/>
          <w:lang w:val="fr-FR"/>
        </w:rPr>
        <w:t>-six</w:t>
      </w:r>
      <w:r w:rsidR="00D81A20" w:rsidRPr="00575A30">
        <w:rPr>
          <w:kern w:val="22"/>
          <w:szCs w:val="22"/>
          <w:lang w:val="fr-FR"/>
        </w:rPr>
        <w:t xml:space="preserve"> </w:t>
      </w:r>
      <w:r w:rsidR="000550E3" w:rsidRPr="00575A30">
        <w:rPr>
          <w:kern w:val="22"/>
          <w:szCs w:val="22"/>
          <w:lang w:val="fr-FR"/>
        </w:rPr>
        <w:t>Parties</w:t>
      </w:r>
      <w:r w:rsidR="00592B10" w:rsidRPr="00575A30">
        <w:rPr>
          <w:rStyle w:val="FootnoteReference"/>
          <w:kern w:val="22"/>
          <w:szCs w:val="22"/>
          <w:lang w:val="fr-FR"/>
        </w:rPr>
        <w:footnoteReference w:id="23"/>
      </w:r>
      <w:r w:rsidR="000550E3" w:rsidRPr="00575A30">
        <w:rPr>
          <w:kern w:val="22"/>
          <w:szCs w:val="22"/>
          <w:lang w:val="fr-FR"/>
        </w:rPr>
        <w:t xml:space="preserve"> ont rendu compte </w:t>
      </w:r>
      <w:r w:rsidR="00B55AA1" w:rsidRPr="00575A30">
        <w:rPr>
          <w:kern w:val="22"/>
          <w:szCs w:val="22"/>
          <w:lang w:val="fr-FR"/>
        </w:rPr>
        <w:t xml:space="preserve">dans leurs évaluations </w:t>
      </w:r>
      <w:r w:rsidR="000550E3" w:rsidRPr="00575A30">
        <w:rPr>
          <w:kern w:val="22"/>
          <w:szCs w:val="22"/>
          <w:lang w:val="fr-FR"/>
        </w:rPr>
        <w:t xml:space="preserve">des résultats </w:t>
      </w:r>
      <w:r>
        <w:rPr>
          <w:kern w:val="22"/>
          <w:szCs w:val="22"/>
          <w:lang w:val="fr-FR"/>
        </w:rPr>
        <w:t xml:space="preserve">précis </w:t>
      </w:r>
      <w:r w:rsidR="000550E3" w:rsidRPr="00575A30">
        <w:rPr>
          <w:kern w:val="22"/>
          <w:szCs w:val="22"/>
          <w:lang w:val="fr-FR"/>
        </w:rPr>
        <w:t xml:space="preserve">obtenus </w:t>
      </w:r>
      <w:r w:rsidR="00E24CDC" w:rsidRPr="00575A30">
        <w:rPr>
          <w:kern w:val="22"/>
          <w:szCs w:val="22"/>
          <w:lang w:val="fr-FR"/>
        </w:rPr>
        <w:t>au cours de la période couverte par leur</w:t>
      </w:r>
      <w:r w:rsidR="00B55AA1" w:rsidRPr="00575A30">
        <w:rPr>
          <w:kern w:val="22"/>
          <w:szCs w:val="22"/>
          <w:lang w:val="fr-FR"/>
        </w:rPr>
        <w:t>s</w:t>
      </w:r>
      <w:r w:rsidR="00E24CDC" w:rsidRPr="00575A30">
        <w:rPr>
          <w:kern w:val="22"/>
          <w:szCs w:val="22"/>
          <w:lang w:val="fr-FR"/>
        </w:rPr>
        <w:t xml:space="preserve"> SPANB</w:t>
      </w:r>
      <w:r w:rsidR="00B55AA1" w:rsidRPr="00575A30">
        <w:rPr>
          <w:kern w:val="22"/>
          <w:szCs w:val="22"/>
          <w:lang w:val="fr-FR"/>
        </w:rPr>
        <w:t xml:space="preserve"> précédents</w:t>
      </w:r>
      <w:r w:rsidR="00E24CDC" w:rsidRPr="00575A30">
        <w:rPr>
          <w:kern w:val="22"/>
          <w:szCs w:val="22"/>
          <w:lang w:val="fr-FR"/>
        </w:rPr>
        <w:t xml:space="preserve">. </w:t>
      </w:r>
      <w:r w:rsidR="00F908FB" w:rsidRPr="00575A30">
        <w:rPr>
          <w:kern w:val="22"/>
          <w:szCs w:val="22"/>
          <w:lang w:val="fr-FR"/>
        </w:rPr>
        <w:t xml:space="preserve">Elles ont plus communément permis de constater une </w:t>
      </w:r>
      <w:r>
        <w:rPr>
          <w:kern w:val="22"/>
          <w:szCs w:val="22"/>
          <w:lang w:val="fr-FR"/>
        </w:rPr>
        <w:t>réhabilitation des forêts (pour 25 Parties), l’élaboration de nouvelles politiques et mesures législatives et/ou l’amélioration des</w:t>
      </w:r>
      <w:r w:rsidR="00FD269A">
        <w:rPr>
          <w:kern w:val="22"/>
          <w:szCs w:val="22"/>
          <w:lang w:val="fr-FR"/>
        </w:rPr>
        <w:t xml:space="preserve"> cadres institutionnels (pour 24</w:t>
      </w:r>
      <w:r>
        <w:rPr>
          <w:kern w:val="22"/>
          <w:szCs w:val="22"/>
          <w:lang w:val="fr-FR"/>
        </w:rPr>
        <w:t xml:space="preserve"> Parties)</w:t>
      </w:r>
      <w:r w:rsidR="00FD269A">
        <w:rPr>
          <w:kern w:val="22"/>
          <w:szCs w:val="22"/>
          <w:lang w:val="fr-FR"/>
        </w:rPr>
        <w:t>,</w:t>
      </w:r>
      <w:r>
        <w:rPr>
          <w:kern w:val="22"/>
          <w:szCs w:val="22"/>
          <w:lang w:val="fr-FR"/>
        </w:rPr>
        <w:t xml:space="preserve"> </w:t>
      </w:r>
      <w:r w:rsidR="000722C9" w:rsidRPr="00575A30">
        <w:rPr>
          <w:kern w:val="22"/>
          <w:szCs w:val="22"/>
          <w:lang w:val="fr-FR"/>
        </w:rPr>
        <w:t xml:space="preserve">la mise en place de </w:t>
      </w:r>
      <w:r w:rsidR="003D5603">
        <w:rPr>
          <w:kern w:val="22"/>
          <w:szCs w:val="22"/>
          <w:lang w:val="fr-FR"/>
        </w:rPr>
        <w:t xml:space="preserve">nouveaux </w:t>
      </w:r>
      <w:r w:rsidR="000722C9" w:rsidRPr="00575A30">
        <w:rPr>
          <w:kern w:val="22"/>
          <w:szCs w:val="22"/>
          <w:lang w:val="fr-FR"/>
        </w:rPr>
        <w:t xml:space="preserve">programmes de conservation (pour </w:t>
      </w:r>
      <w:r w:rsidR="00FD269A">
        <w:rPr>
          <w:kern w:val="22"/>
          <w:szCs w:val="22"/>
          <w:lang w:val="fr-FR"/>
        </w:rPr>
        <w:t>20</w:t>
      </w:r>
      <w:r w:rsidR="00D81A20" w:rsidRPr="00575A30">
        <w:rPr>
          <w:kern w:val="22"/>
          <w:szCs w:val="22"/>
          <w:lang w:val="fr-FR"/>
        </w:rPr>
        <w:t xml:space="preserve"> </w:t>
      </w:r>
      <w:r w:rsidR="003D5603">
        <w:rPr>
          <w:kern w:val="22"/>
          <w:szCs w:val="22"/>
          <w:lang w:val="fr-FR"/>
        </w:rPr>
        <w:t>Parties)</w:t>
      </w:r>
      <w:r w:rsidR="00FD269A">
        <w:rPr>
          <w:kern w:val="22"/>
          <w:szCs w:val="22"/>
          <w:lang w:val="fr-FR"/>
        </w:rPr>
        <w:t xml:space="preserve"> et une </w:t>
      </w:r>
      <w:r w:rsidR="00FD269A" w:rsidRPr="00575A30">
        <w:rPr>
          <w:kern w:val="22"/>
          <w:szCs w:val="22"/>
          <w:lang w:val="fr-FR"/>
        </w:rPr>
        <w:t xml:space="preserve">augmentation de la surface des aires protégées (pour </w:t>
      </w:r>
      <w:r w:rsidR="00FD269A">
        <w:rPr>
          <w:kern w:val="22"/>
          <w:szCs w:val="22"/>
          <w:lang w:val="fr-FR"/>
        </w:rPr>
        <w:t>17</w:t>
      </w:r>
      <w:r w:rsidR="00FD269A" w:rsidRPr="00575A30">
        <w:rPr>
          <w:kern w:val="22"/>
          <w:szCs w:val="22"/>
          <w:lang w:val="fr-FR"/>
        </w:rPr>
        <w:t xml:space="preserve"> Parties) ou des améliorations dans la gestion de ces aires (pour </w:t>
      </w:r>
      <w:r w:rsidR="00D1290F">
        <w:rPr>
          <w:kern w:val="22"/>
          <w:szCs w:val="22"/>
          <w:lang w:val="fr-FR"/>
        </w:rPr>
        <w:t>14</w:t>
      </w:r>
      <w:r w:rsidR="00FD269A" w:rsidRPr="00575A30">
        <w:rPr>
          <w:kern w:val="22"/>
          <w:szCs w:val="22"/>
          <w:lang w:val="fr-FR"/>
        </w:rPr>
        <w:t xml:space="preserve"> Parties </w:t>
      </w:r>
      <w:r w:rsidR="00BC6ED9" w:rsidRPr="00575A30">
        <w:rPr>
          <w:kern w:val="22"/>
          <w:szCs w:val="22"/>
          <w:lang w:val="fr-FR"/>
        </w:rPr>
        <w:t>;</w:t>
      </w:r>
    </w:p>
    <w:p w14:paraId="1CE0788A" w14:textId="77777777" w:rsidR="00624603" w:rsidRPr="00575A30" w:rsidRDefault="00D1290F" w:rsidP="00F36F85">
      <w:pPr>
        <w:pStyle w:val="Para1"/>
        <w:numPr>
          <w:ilvl w:val="0"/>
          <w:numId w:val="8"/>
        </w:numPr>
        <w:tabs>
          <w:tab w:val="clear" w:pos="1080"/>
          <w:tab w:val="num" w:pos="709"/>
        </w:tabs>
        <w:ind w:left="0" w:firstLine="709"/>
        <w:rPr>
          <w:kern w:val="22"/>
          <w:szCs w:val="22"/>
          <w:lang w:val="fr-FR"/>
        </w:rPr>
      </w:pPr>
      <w:r>
        <w:rPr>
          <w:kern w:val="22"/>
          <w:szCs w:val="22"/>
          <w:lang w:val="fr-FR"/>
        </w:rPr>
        <w:t>Soixante</w:t>
      </w:r>
      <w:r w:rsidR="00D81A20" w:rsidRPr="00575A30">
        <w:rPr>
          <w:kern w:val="22"/>
          <w:szCs w:val="22"/>
          <w:lang w:val="fr-FR"/>
        </w:rPr>
        <w:t xml:space="preserve"> </w:t>
      </w:r>
      <w:r w:rsidR="00B55AA1" w:rsidRPr="00575A30">
        <w:rPr>
          <w:kern w:val="22"/>
          <w:szCs w:val="22"/>
          <w:lang w:val="fr-FR"/>
        </w:rPr>
        <w:t>Parties</w:t>
      </w:r>
      <w:r w:rsidR="00154E7E" w:rsidRPr="00575A30">
        <w:rPr>
          <w:rStyle w:val="FootnoteReference"/>
          <w:kern w:val="22"/>
          <w:szCs w:val="22"/>
          <w:lang w:val="fr-FR"/>
        </w:rPr>
        <w:footnoteReference w:id="24"/>
      </w:r>
      <w:r w:rsidR="00B55AA1" w:rsidRPr="00575A30">
        <w:rPr>
          <w:kern w:val="22"/>
          <w:szCs w:val="22"/>
          <w:lang w:val="fr-FR"/>
        </w:rPr>
        <w:t xml:space="preserve"> ont rendu compte </w:t>
      </w:r>
      <w:r w:rsidR="00836592" w:rsidRPr="00575A30">
        <w:rPr>
          <w:kern w:val="22"/>
          <w:szCs w:val="22"/>
          <w:lang w:val="fr-FR"/>
        </w:rPr>
        <w:t xml:space="preserve">dans leurs évaluations </w:t>
      </w:r>
      <w:r w:rsidR="00B55AA1" w:rsidRPr="00575A30">
        <w:rPr>
          <w:kern w:val="22"/>
          <w:szCs w:val="22"/>
          <w:lang w:val="fr-FR"/>
        </w:rPr>
        <w:t>de</w:t>
      </w:r>
      <w:r w:rsidR="00B55FFA" w:rsidRPr="00575A30">
        <w:rPr>
          <w:kern w:val="22"/>
          <w:szCs w:val="22"/>
          <w:lang w:val="fr-FR"/>
        </w:rPr>
        <w:t xml:space="preserve"> difficultés</w:t>
      </w:r>
      <w:r w:rsidR="00B55AA1" w:rsidRPr="00575A30">
        <w:rPr>
          <w:kern w:val="22"/>
          <w:szCs w:val="22"/>
          <w:lang w:val="fr-FR"/>
        </w:rPr>
        <w:t xml:space="preserve"> de mise en œuvre</w:t>
      </w:r>
      <w:r w:rsidR="00B55FFA" w:rsidRPr="00575A30">
        <w:rPr>
          <w:kern w:val="22"/>
          <w:szCs w:val="22"/>
          <w:lang w:val="fr-FR"/>
        </w:rPr>
        <w:t xml:space="preserve">, dont les plus couramment citées étaient l'insuffisance des ressources financières (pour </w:t>
      </w:r>
      <w:r>
        <w:rPr>
          <w:kern w:val="22"/>
          <w:szCs w:val="22"/>
          <w:lang w:val="fr-FR"/>
        </w:rPr>
        <w:t>36</w:t>
      </w:r>
      <w:r w:rsidR="00D81A20" w:rsidRPr="00575A30">
        <w:rPr>
          <w:kern w:val="22"/>
          <w:szCs w:val="22"/>
          <w:lang w:val="fr-FR"/>
        </w:rPr>
        <w:t xml:space="preserve"> </w:t>
      </w:r>
      <w:r w:rsidR="00B55FFA" w:rsidRPr="00575A30">
        <w:rPr>
          <w:kern w:val="22"/>
          <w:szCs w:val="22"/>
          <w:lang w:val="fr-FR"/>
        </w:rPr>
        <w:t>Parties</w:t>
      </w:r>
      <w:r>
        <w:rPr>
          <w:kern w:val="22"/>
          <w:szCs w:val="22"/>
          <w:lang w:val="fr-FR"/>
        </w:rPr>
        <w:t xml:space="preserve">), </w:t>
      </w:r>
      <w:r w:rsidRPr="00575A30">
        <w:rPr>
          <w:kern w:val="22"/>
          <w:szCs w:val="22"/>
          <w:lang w:val="fr-FR"/>
        </w:rPr>
        <w:t xml:space="preserve">une prise </w:t>
      </w:r>
      <w:r w:rsidRPr="00575A30">
        <w:rPr>
          <w:kern w:val="22"/>
          <w:szCs w:val="22"/>
          <w:lang w:val="fr-FR"/>
        </w:rPr>
        <w:lastRenderedPageBreak/>
        <w:t>en considération inexistante ou insuffisante dans les politiques nationales et sectorielles</w:t>
      </w:r>
      <w:r>
        <w:rPr>
          <w:kern w:val="22"/>
          <w:szCs w:val="22"/>
          <w:lang w:val="fr-FR"/>
        </w:rPr>
        <w:t xml:space="preserve"> (pour 25 Parties), </w:t>
      </w:r>
      <w:r w:rsidR="00B55FFA" w:rsidRPr="00575A30">
        <w:rPr>
          <w:kern w:val="22"/>
          <w:szCs w:val="22"/>
          <w:lang w:val="fr-FR"/>
        </w:rPr>
        <w:t>l'inadéquation des cadres de suivi et d'évaluation (</w:t>
      </w:r>
      <w:r w:rsidR="00897456" w:rsidRPr="00575A30">
        <w:rPr>
          <w:kern w:val="22"/>
          <w:szCs w:val="22"/>
          <w:lang w:val="fr-FR"/>
        </w:rPr>
        <w:t xml:space="preserve">pour </w:t>
      </w:r>
      <w:r>
        <w:rPr>
          <w:kern w:val="22"/>
          <w:szCs w:val="22"/>
          <w:lang w:val="fr-FR"/>
        </w:rPr>
        <w:t>26</w:t>
      </w:r>
      <w:r w:rsidR="00D81A20" w:rsidRPr="00575A30">
        <w:rPr>
          <w:kern w:val="22"/>
          <w:szCs w:val="22"/>
          <w:lang w:val="fr-FR"/>
        </w:rPr>
        <w:t xml:space="preserve"> </w:t>
      </w:r>
      <w:r w:rsidR="00B55FFA" w:rsidRPr="00575A30">
        <w:rPr>
          <w:kern w:val="22"/>
          <w:szCs w:val="22"/>
          <w:lang w:val="fr-FR"/>
        </w:rPr>
        <w:t>Parties)</w:t>
      </w:r>
      <w:r>
        <w:rPr>
          <w:kern w:val="22"/>
          <w:szCs w:val="22"/>
          <w:lang w:val="fr-FR"/>
        </w:rPr>
        <w:t xml:space="preserve"> et</w:t>
      </w:r>
      <w:r w:rsidR="003D5603">
        <w:rPr>
          <w:kern w:val="22"/>
          <w:szCs w:val="22"/>
          <w:lang w:val="fr-FR"/>
        </w:rPr>
        <w:t xml:space="preserve"> le manque ou la faiblesse des communications avec les autre</w:t>
      </w:r>
      <w:r>
        <w:rPr>
          <w:kern w:val="22"/>
          <w:szCs w:val="22"/>
          <w:lang w:val="fr-FR"/>
        </w:rPr>
        <w:t>s ministères et agences (pour 26</w:t>
      </w:r>
      <w:r w:rsidR="003D5603">
        <w:rPr>
          <w:kern w:val="22"/>
          <w:szCs w:val="22"/>
          <w:lang w:val="fr-FR"/>
        </w:rPr>
        <w:t xml:space="preserve"> Parties)</w:t>
      </w:r>
      <w:r w:rsidR="00B55FFA" w:rsidRPr="00575A30">
        <w:rPr>
          <w:kern w:val="22"/>
          <w:szCs w:val="22"/>
          <w:lang w:val="fr-FR"/>
        </w:rPr>
        <w:t>.</w:t>
      </w:r>
    </w:p>
    <w:p w14:paraId="6A7D145B" w14:textId="77777777" w:rsidR="002A0778" w:rsidRPr="00575A30" w:rsidRDefault="009A7411" w:rsidP="009A7411">
      <w:pPr>
        <w:pStyle w:val="Para1"/>
        <w:keepNext/>
        <w:numPr>
          <w:ilvl w:val="0"/>
          <w:numId w:val="0"/>
        </w:numPr>
        <w:jc w:val="center"/>
        <w:rPr>
          <w:bCs/>
          <w:i/>
          <w:iCs/>
          <w:color w:val="000000"/>
          <w:kern w:val="22"/>
          <w:szCs w:val="22"/>
          <w:lang w:val="fr-FR"/>
        </w:rPr>
      </w:pPr>
      <w:r w:rsidRPr="00575A30">
        <w:rPr>
          <w:bCs/>
          <w:i/>
          <w:iCs/>
          <w:color w:val="000000"/>
          <w:kern w:val="22"/>
          <w:szCs w:val="22"/>
          <w:lang w:val="fr-FR"/>
        </w:rPr>
        <w:t>2.</w:t>
      </w:r>
      <w:r w:rsidR="00D81A20" w:rsidRPr="00575A30">
        <w:rPr>
          <w:bCs/>
          <w:i/>
          <w:iCs/>
          <w:color w:val="000000"/>
          <w:kern w:val="22"/>
          <w:szCs w:val="22"/>
          <w:lang w:val="fr-FR"/>
        </w:rPr>
        <w:tab/>
      </w:r>
      <w:r w:rsidR="0010201B" w:rsidRPr="00575A30">
        <w:rPr>
          <w:bCs/>
          <w:i/>
          <w:iCs/>
          <w:color w:val="000000"/>
          <w:kern w:val="22"/>
          <w:szCs w:val="22"/>
          <w:lang w:val="fr-FR"/>
        </w:rPr>
        <w:t>E</w:t>
      </w:r>
      <w:r w:rsidR="002A0778" w:rsidRPr="00575A30">
        <w:rPr>
          <w:bCs/>
          <w:i/>
          <w:iCs/>
          <w:color w:val="000000"/>
          <w:kern w:val="22"/>
          <w:szCs w:val="22"/>
          <w:lang w:val="fr-FR"/>
        </w:rPr>
        <w:t>ngagement</w:t>
      </w:r>
      <w:r w:rsidR="0010201B" w:rsidRPr="00575A30">
        <w:rPr>
          <w:bCs/>
          <w:i/>
          <w:iCs/>
          <w:color w:val="000000"/>
          <w:kern w:val="22"/>
          <w:szCs w:val="22"/>
          <w:lang w:val="fr-FR"/>
        </w:rPr>
        <w:t xml:space="preserve"> des parties prenantes</w:t>
      </w:r>
    </w:p>
    <w:p w14:paraId="5B82D92C" w14:textId="77777777" w:rsidR="00F827A0" w:rsidRPr="00575A30" w:rsidRDefault="00FB4193" w:rsidP="00F36F85">
      <w:pPr>
        <w:numPr>
          <w:ilvl w:val="0"/>
          <w:numId w:val="11"/>
        </w:numPr>
        <w:tabs>
          <w:tab w:val="clear" w:pos="540"/>
          <w:tab w:val="num" w:pos="851"/>
        </w:tabs>
        <w:ind w:left="0" w:firstLine="0"/>
        <w:rPr>
          <w:kern w:val="22"/>
          <w:szCs w:val="22"/>
          <w:lang w:val="fr-FR"/>
        </w:rPr>
      </w:pPr>
      <w:r w:rsidRPr="00575A30">
        <w:rPr>
          <w:kern w:val="22"/>
          <w:szCs w:val="22"/>
          <w:lang w:val="fr-FR"/>
        </w:rPr>
        <w:t xml:space="preserve">La plupart des Parties ont </w:t>
      </w:r>
      <w:r w:rsidR="001B5835" w:rsidRPr="00575A30">
        <w:rPr>
          <w:kern w:val="22"/>
          <w:szCs w:val="22"/>
          <w:lang w:val="fr-FR"/>
        </w:rPr>
        <w:t xml:space="preserve">signalé </w:t>
      </w:r>
      <w:r w:rsidRPr="00575A30">
        <w:rPr>
          <w:kern w:val="22"/>
          <w:szCs w:val="22"/>
          <w:lang w:val="fr-FR"/>
        </w:rPr>
        <w:t xml:space="preserve">la participation </w:t>
      </w:r>
      <w:r w:rsidR="000C7388" w:rsidRPr="00575A30">
        <w:rPr>
          <w:kern w:val="22"/>
          <w:szCs w:val="22"/>
          <w:lang w:val="fr-FR"/>
        </w:rPr>
        <w:t>de diverses</w:t>
      </w:r>
      <w:r w:rsidRPr="00575A30">
        <w:rPr>
          <w:kern w:val="22"/>
          <w:szCs w:val="22"/>
          <w:lang w:val="fr-FR"/>
        </w:rPr>
        <w:t xml:space="preserve"> parties prenantes </w:t>
      </w:r>
      <w:r w:rsidR="001B5835" w:rsidRPr="00575A30">
        <w:rPr>
          <w:kern w:val="22"/>
          <w:szCs w:val="22"/>
          <w:lang w:val="fr-FR"/>
        </w:rPr>
        <w:t xml:space="preserve">au </w:t>
      </w:r>
      <w:r w:rsidRPr="00575A30">
        <w:rPr>
          <w:kern w:val="22"/>
          <w:szCs w:val="22"/>
          <w:lang w:val="fr-FR"/>
        </w:rPr>
        <w:t xml:space="preserve">processus de révision des SPANB. Cependant, peu de commentaires sont fournis sur la qualité de cette participation </w:t>
      </w:r>
      <w:r w:rsidR="00836592" w:rsidRPr="00575A30">
        <w:rPr>
          <w:kern w:val="22"/>
          <w:szCs w:val="22"/>
          <w:lang w:val="fr-FR"/>
        </w:rPr>
        <w:t xml:space="preserve">ou </w:t>
      </w:r>
      <w:r w:rsidRPr="00575A30">
        <w:rPr>
          <w:kern w:val="22"/>
          <w:szCs w:val="22"/>
          <w:lang w:val="fr-FR"/>
        </w:rPr>
        <w:t xml:space="preserve">les incidences sur la mise en œuvre </w:t>
      </w:r>
      <w:r w:rsidR="001B5835" w:rsidRPr="00575A30">
        <w:rPr>
          <w:kern w:val="22"/>
          <w:szCs w:val="22"/>
          <w:lang w:val="fr-FR"/>
        </w:rPr>
        <w:t xml:space="preserve">des </w:t>
      </w:r>
      <w:r w:rsidRPr="00575A30">
        <w:rPr>
          <w:kern w:val="22"/>
          <w:szCs w:val="22"/>
          <w:lang w:val="fr-FR"/>
        </w:rPr>
        <w:t>SPANB.</w:t>
      </w:r>
      <w:r w:rsidR="000C7388" w:rsidRPr="00575A30">
        <w:rPr>
          <w:kern w:val="22"/>
          <w:szCs w:val="22"/>
          <w:lang w:val="fr-FR"/>
        </w:rPr>
        <w:t xml:space="preserve"> Les ministères </w:t>
      </w:r>
      <w:r w:rsidR="00DC401A">
        <w:rPr>
          <w:kern w:val="22"/>
          <w:szCs w:val="22"/>
          <w:lang w:val="fr-FR"/>
        </w:rPr>
        <w:t>en charge de l'a</w:t>
      </w:r>
      <w:r w:rsidR="00710950" w:rsidRPr="00575A30">
        <w:rPr>
          <w:kern w:val="22"/>
          <w:szCs w:val="22"/>
          <w:lang w:val="fr-FR"/>
        </w:rPr>
        <w:t xml:space="preserve">griculture, </w:t>
      </w:r>
      <w:r w:rsidR="005F2A31">
        <w:rPr>
          <w:kern w:val="22"/>
          <w:szCs w:val="22"/>
          <w:lang w:val="fr-FR"/>
        </w:rPr>
        <w:t xml:space="preserve">des pêches, </w:t>
      </w:r>
      <w:r w:rsidR="001B5835" w:rsidRPr="00575A30">
        <w:rPr>
          <w:kern w:val="22"/>
          <w:szCs w:val="22"/>
          <w:lang w:val="fr-FR"/>
        </w:rPr>
        <w:t>du développement et de la planification, des f</w:t>
      </w:r>
      <w:r w:rsidR="00710950" w:rsidRPr="00575A30">
        <w:rPr>
          <w:kern w:val="22"/>
          <w:szCs w:val="22"/>
          <w:lang w:val="fr-FR"/>
        </w:rPr>
        <w:t xml:space="preserve">orêts, </w:t>
      </w:r>
      <w:r w:rsidR="001B5835" w:rsidRPr="00575A30">
        <w:rPr>
          <w:kern w:val="22"/>
          <w:szCs w:val="22"/>
          <w:lang w:val="fr-FR"/>
        </w:rPr>
        <w:t>du tourisme, de l'é</w:t>
      </w:r>
      <w:r w:rsidR="00710950" w:rsidRPr="00575A30">
        <w:rPr>
          <w:kern w:val="22"/>
          <w:szCs w:val="22"/>
          <w:lang w:val="fr-FR"/>
        </w:rPr>
        <w:t>ducation</w:t>
      </w:r>
      <w:r w:rsidR="005F2A31">
        <w:rPr>
          <w:kern w:val="22"/>
          <w:szCs w:val="22"/>
          <w:lang w:val="fr-FR"/>
        </w:rPr>
        <w:t>, des finances,</w:t>
      </w:r>
      <w:r w:rsidR="001B5835" w:rsidRPr="00575A30">
        <w:rPr>
          <w:kern w:val="22"/>
          <w:szCs w:val="22"/>
          <w:lang w:val="fr-FR"/>
        </w:rPr>
        <w:t xml:space="preserve"> </w:t>
      </w:r>
      <w:r w:rsidR="000B3EC9">
        <w:rPr>
          <w:kern w:val="22"/>
          <w:szCs w:val="22"/>
          <w:lang w:val="fr-FR"/>
        </w:rPr>
        <w:t>du commerce et de l’industrie</w:t>
      </w:r>
      <w:r w:rsidR="00DD002D">
        <w:rPr>
          <w:kern w:val="22"/>
          <w:szCs w:val="22"/>
          <w:lang w:val="fr-FR"/>
        </w:rPr>
        <w:t xml:space="preserve">, des infrastructures et des </w:t>
      </w:r>
      <w:r w:rsidR="005F2A31">
        <w:rPr>
          <w:kern w:val="22"/>
          <w:szCs w:val="22"/>
          <w:lang w:val="fr-FR"/>
        </w:rPr>
        <w:t>transports</w:t>
      </w:r>
      <w:r w:rsidR="001B5835" w:rsidRPr="00575A30">
        <w:rPr>
          <w:kern w:val="22"/>
          <w:szCs w:val="22"/>
          <w:lang w:val="fr-FR"/>
        </w:rPr>
        <w:t xml:space="preserve"> étaient le plus souvent mobilisés. </w:t>
      </w:r>
      <w:r w:rsidR="00710950" w:rsidRPr="00575A30">
        <w:rPr>
          <w:kern w:val="22"/>
          <w:szCs w:val="22"/>
          <w:lang w:val="fr-FR"/>
        </w:rPr>
        <w:t xml:space="preserve">D’autres ministères </w:t>
      </w:r>
      <w:r w:rsidR="001B5835" w:rsidRPr="00575A30">
        <w:rPr>
          <w:kern w:val="22"/>
          <w:szCs w:val="22"/>
          <w:lang w:val="fr-FR"/>
        </w:rPr>
        <w:t xml:space="preserve">l'étaient également, comme les ministères </w:t>
      </w:r>
      <w:r w:rsidR="005F2A31">
        <w:rPr>
          <w:kern w:val="22"/>
          <w:szCs w:val="22"/>
          <w:lang w:val="fr-FR"/>
        </w:rPr>
        <w:t>de la culture,</w:t>
      </w:r>
      <w:r w:rsidR="001B5835" w:rsidRPr="00575A30">
        <w:rPr>
          <w:kern w:val="22"/>
          <w:szCs w:val="22"/>
          <w:lang w:val="fr-FR"/>
        </w:rPr>
        <w:t xml:space="preserve"> des sciences</w:t>
      </w:r>
      <w:r w:rsidR="00897456" w:rsidRPr="00575A30">
        <w:rPr>
          <w:kern w:val="22"/>
          <w:szCs w:val="22"/>
          <w:lang w:val="fr-FR"/>
        </w:rPr>
        <w:t xml:space="preserve"> et</w:t>
      </w:r>
      <w:r w:rsidR="001B5835" w:rsidRPr="00575A30">
        <w:rPr>
          <w:kern w:val="22"/>
          <w:szCs w:val="22"/>
          <w:lang w:val="fr-FR"/>
        </w:rPr>
        <w:t xml:space="preserve"> des technologies</w:t>
      </w:r>
      <w:r w:rsidR="00897456" w:rsidRPr="00575A30">
        <w:rPr>
          <w:kern w:val="22"/>
          <w:szCs w:val="22"/>
          <w:lang w:val="fr-FR"/>
        </w:rPr>
        <w:t>,</w:t>
      </w:r>
      <w:r w:rsidR="001B5835" w:rsidRPr="00575A30">
        <w:rPr>
          <w:kern w:val="22"/>
          <w:szCs w:val="22"/>
          <w:lang w:val="fr-FR"/>
        </w:rPr>
        <w:t xml:space="preserve"> de l'é</w:t>
      </w:r>
      <w:r w:rsidR="00710950" w:rsidRPr="00575A30">
        <w:rPr>
          <w:kern w:val="22"/>
          <w:szCs w:val="22"/>
          <w:lang w:val="fr-FR"/>
        </w:rPr>
        <w:t>conomie</w:t>
      </w:r>
      <w:r w:rsidR="00151013" w:rsidRPr="00575A30">
        <w:rPr>
          <w:kern w:val="22"/>
          <w:szCs w:val="22"/>
          <w:lang w:val="fr-FR"/>
        </w:rPr>
        <w:t>,</w:t>
      </w:r>
      <w:r w:rsidR="00DD002D">
        <w:rPr>
          <w:kern w:val="22"/>
          <w:szCs w:val="22"/>
          <w:lang w:val="fr-FR"/>
        </w:rPr>
        <w:t xml:space="preserve"> de la santé, des sports </w:t>
      </w:r>
      <w:r w:rsidR="001B5835" w:rsidRPr="00575A30">
        <w:rPr>
          <w:kern w:val="22"/>
          <w:szCs w:val="22"/>
          <w:lang w:val="fr-FR"/>
        </w:rPr>
        <w:t>et des a</w:t>
      </w:r>
      <w:r w:rsidR="00710950" w:rsidRPr="00575A30">
        <w:rPr>
          <w:kern w:val="22"/>
          <w:szCs w:val="22"/>
          <w:lang w:val="fr-FR"/>
        </w:rPr>
        <w:t xml:space="preserve">ffaires sociales (voir </w:t>
      </w:r>
      <w:r w:rsidR="00DD002D">
        <w:rPr>
          <w:kern w:val="22"/>
          <w:szCs w:val="22"/>
          <w:lang w:val="fr-FR"/>
        </w:rPr>
        <w:t>la figure 2</w:t>
      </w:r>
      <w:r w:rsidR="000C7388" w:rsidRPr="00575A30">
        <w:rPr>
          <w:kern w:val="22"/>
          <w:szCs w:val="22"/>
          <w:lang w:val="fr-FR"/>
        </w:rPr>
        <w:t>).</w:t>
      </w:r>
    </w:p>
    <w:p w14:paraId="45D25F53" w14:textId="77777777" w:rsidR="00995CEB" w:rsidRPr="00DC401A" w:rsidRDefault="000C7388" w:rsidP="00F36F85">
      <w:pPr>
        <w:numPr>
          <w:ilvl w:val="0"/>
          <w:numId w:val="11"/>
        </w:numPr>
        <w:tabs>
          <w:tab w:val="clear" w:pos="540"/>
          <w:tab w:val="num" w:pos="851"/>
        </w:tabs>
        <w:spacing w:before="240"/>
        <w:ind w:left="0" w:firstLine="0"/>
        <w:rPr>
          <w:b/>
          <w:kern w:val="22"/>
          <w:szCs w:val="22"/>
          <w:lang w:val="fr-CA"/>
        </w:rPr>
      </w:pPr>
      <w:r w:rsidRPr="00575A30">
        <w:rPr>
          <w:kern w:val="22"/>
          <w:szCs w:val="22"/>
          <w:lang w:val="fr-FR"/>
        </w:rPr>
        <w:t xml:space="preserve">Les </w:t>
      </w:r>
      <w:r w:rsidRPr="00DC401A">
        <w:rPr>
          <w:kern w:val="22"/>
          <w:szCs w:val="22"/>
          <w:lang w:val="fr-CA"/>
        </w:rPr>
        <w:t xml:space="preserve">Parties ont également </w:t>
      </w:r>
      <w:r w:rsidR="00151013" w:rsidRPr="00DC401A">
        <w:rPr>
          <w:kern w:val="22"/>
          <w:szCs w:val="22"/>
          <w:lang w:val="fr-CA"/>
        </w:rPr>
        <w:t xml:space="preserve">signalé </w:t>
      </w:r>
      <w:r w:rsidRPr="00DC401A">
        <w:rPr>
          <w:kern w:val="22"/>
          <w:szCs w:val="22"/>
          <w:lang w:val="fr-CA"/>
        </w:rPr>
        <w:t xml:space="preserve">la participation </w:t>
      </w:r>
      <w:r w:rsidR="00151013" w:rsidRPr="00DC401A">
        <w:rPr>
          <w:kern w:val="22"/>
          <w:szCs w:val="22"/>
          <w:lang w:val="fr-CA"/>
        </w:rPr>
        <w:t xml:space="preserve">de </w:t>
      </w:r>
      <w:r w:rsidRPr="00DC401A">
        <w:rPr>
          <w:kern w:val="22"/>
          <w:szCs w:val="22"/>
          <w:lang w:val="fr-CA"/>
        </w:rPr>
        <w:t xml:space="preserve">parties prenantes </w:t>
      </w:r>
      <w:r w:rsidR="00151013" w:rsidRPr="00DC401A">
        <w:rPr>
          <w:kern w:val="22"/>
          <w:szCs w:val="22"/>
          <w:lang w:val="fr-CA"/>
        </w:rPr>
        <w:t xml:space="preserve">non gouvernementales </w:t>
      </w:r>
      <w:r w:rsidRPr="00DC401A">
        <w:rPr>
          <w:kern w:val="22"/>
          <w:szCs w:val="22"/>
          <w:lang w:val="fr-CA"/>
        </w:rPr>
        <w:t>au processus de révision</w:t>
      </w:r>
      <w:r w:rsidR="00151013" w:rsidRPr="00DC401A">
        <w:rPr>
          <w:kern w:val="22"/>
          <w:szCs w:val="22"/>
          <w:lang w:val="fr-CA"/>
        </w:rPr>
        <w:t xml:space="preserve">, </w:t>
      </w:r>
      <w:r w:rsidRPr="00DC401A">
        <w:rPr>
          <w:kern w:val="22"/>
          <w:szCs w:val="22"/>
          <w:lang w:val="fr-CA"/>
        </w:rPr>
        <w:t xml:space="preserve">notamment </w:t>
      </w:r>
      <w:r w:rsidR="00151013" w:rsidRPr="00DC401A">
        <w:rPr>
          <w:kern w:val="22"/>
          <w:szCs w:val="22"/>
          <w:lang w:val="fr-CA"/>
        </w:rPr>
        <w:t xml:space="preserve">les </w:t>
      </w:r>
      <w:r w:rsidRPr="00DC401A">
        <w:rPr>
          <w:kern w:val="22"/>
          <w:szCs w:val="22"/>
          <w:lang w:val="fr-CA"/>
        </w:rPr>
        <w:t xml:space="preserve">communautés </w:t>
      </w:r>
      <w:r w:rsidR="00151013" w:rsidRPr="00DC401A">
        <w:rPr>
          <w:kern w:val="22"/>
          <w:szCs w:val="22"/>
          <w:lang w:val="fr-CA"/>
        </w:rPr>
        <w:t xml:space="preserve">autochtones et </w:t>
      </w:r>
      <w:r w:rsidRPr="00DC401A">
        <w:rPr>
          <w:kern w:val="22"/>
          <w:szCs w:val="22"/>
          <w:lang w:val="fr-CA"/>
        </w:rPr>
        <w:t>locales (</w:t>
      </w:r>
      <w:r w:rsidR="00897456" w:rsidRPr="00DC401A">
        <w:rPr>
          <w:kern w:val="22"/>
          <w:szCs w:val="22"/>
          <w:lang w:val="fr-CA"/>
        </w:rPr>
        <w:t>dans</w:t>
      </w:r>
      <w:r w:rsidR="00B41B9D" w:rsidRPr="00DC401A">
        <w:rPr>
          <w:kern w:val="22"/>
          <w:szCs w:val="22"/>
          <w:lang w:val="fr-CA"/>
        </w:rPr>
        <w:t xml:space="preserve"> </w:t>
      </w:r>
      <w:r w:rsidR="00DD002D">
        <w:rPr>
          <w:kern w:val="22"/>
          <w:szCs w:val="22"/>
          <w:lang w:val="fr-CA"/>
        </w:rPr>
        <w:t>40</w:t>
      </w:r>
      <w:r w:rsidR="00D81A20" w:rsidRPr="00DC401A">
        <w:rPr>
          <w:kern w:val="22"/>
          <w:szCs w:val="22"/>
          <w:lang w:val="fr-CA"/>
        </w:rPr>
        <w:t xml:space="preserve"> </w:t>
      </w:r>
      <w:r w:rsidRPr="00DC401A">
        <w:rPr>
          <w:kern w:val="22"/>
          <w:szCs w:val="22"/>
          <w:lang w:val="fr-CA"/>
        </w:rPr>
        <w:t>SPANB</w:t>
      </w:r>
      <w:r w:rsidR="00783276" w:rsidRPr="00DC401A">
        <w:rPr>
          <w:snapToGrid w:val="0"/>
          <w:kern w:val="22"/>
          <w:szCs w:val="22"/>
          <w:vertAlign w:val="superscript"/>
          <w:lang w:val="fr-CA"/>
        </w:rPr>
        <w:footnoteReference w:id="25"/>
      </w:r>
      <w:r w:rsidRPr="00DC401A">
        <w:rPr>
          <w:kern w:val="22"/>
          <w:szCs w:val="22"/>
          <w:lang w:val="fr-CA"/>
        </w:rPr>
        <w:t xml:space="preserve">), </w:t>
      </w:r>
      <w:r w:rsidR="00151013" w:rsidRPr="00DC401A">
        <w:rPr>
          <w:kern w:val="22"/>
          <w:szCs w:val="22"/>
          <w:lang w:val="fr-CA"/>
        </w:rPr>
        <w:t>d'</w:t>
      </w:r>
      <w:r w:rsidRPr="00DC401A">
        <w:rPr>
          <w:kern w:val="22"/>
          <w:szCs w:val="22"/>
          <w:lang w:val="fr-CA"/>
        </w:rPr>
        <w:t>O</w:t>
      </w:r>
      <w:r w:rsidR="00151013" w:rsidRPr="00DC401A">
        <w:rPr>
          <w:kern w:val="22"/>
          <w:szCs w:val="22"/>
          <w:lang w:val="fr-CA"/>
        </w:rPr>
        <w:t xml:space="preserve">NG et de la </w:t>
      </w:r>
      <w:r w:rsidRPr="00DC401A">
        <w:rPr>
          <w:kern w:val="22"/>
          <w:szCs w:val="22"/>
          <w:lang w:val="fr-CA"/>
        </w:rPr>
        <w:t>société civile (</w:t>
      </w:r>
      <w:r w:rsidR="00897456" w:rsidRPr="00DC401A">
        <w:rPr>
          <w:kern w:val="22"/>
          <w:szCs w:val="22"/>
          <w:lang w:val="fr-CA"/>
        </w:rPr>
        <w:t>dans</w:t>
      </w:r>
      <w:r w:rsidR="00151013" w:rsidRPr="00DC401A">
        <w:rPr>
          <w:kern w:val="22"/>
          <w:szCs w:val="22"/>
          <w:lang w:val="fr-CA"/>
        </w:rPr>
        <w:t xml:space="preserve"> </w:t>
      </w:r>
      <w:r w:rsidR="00DD002D">
        <w:rPr>
          <w:kern w:val="22"/>
          <w:szCs w:val="22"/>
          <w:lang w:val="fr-CA"/>
        </w:rPr>
        <w:t>100</w:t>
      </w:r>
      <w:r w:rsidR="00D81A20" w:rsidRPr="00DC401A">
        <w:rPr>
          <w:kern w:val="22"/>
          <w:szCs w:val="22"/>
          <w:lang w:val="fr-CA"/>
        </w:rPr>
        <w:t xml:space="preserve"> </w:t>
      </w:r>
      <w:r w:rsidRPr="00DC401A">
        <w:rPr>
          <w:kern w:val="22"/>
          <w:szCs w:val="22"/>
          <w:lang w:val="fr-CA"/>
        </w:rPr>
        <w:t>SPANB</w:t>
      </w:r>
      <w:r w:rsidR="00783276" w:rsidRPr="00DC401A">
        <w:rPr>
          <w:snapToGrid w:val="0"/>
          <w:kern w:val="22"/>
          <w:szCs w:val="22"/>
          <w:vertAlign w:val="superscript"/>
          <w:lang w:val="fr-CA"/>
        </w:rPr>
        <w:footnoteReference w:id="26"/>
      </w:r>
      <w:r w:rsidRPr="00DC401A">
        <w:rPr>
          <w:kern w:val="22"/>
          <w:szCs w:val="22"/>
          <w:lang w:val="fr-CA"/>
        </w:rPr>
        <w:t>), du secteur privé (</w:t>
      </w:r>
      <w:r w:rsidR="00897456" w:rsidRPr="00DC401A">
        <w:rPr>
          <w:kern w:val="22"/>
          <w:szCs w:val="22"/>
          <w:lang w:val="fr-CA"/>
        </w:rPr>
        <w:t>dans</w:t>
      </w:r>
      <w:r w:rsidR="00151013" w:rsidRPr="00DC401A">
        <w:rPr>
          <w:kern w:val="22"/>
          <w:szCs w:val="22"/>
          <w:lang w:val="fr-CA"/>
        </w:rPr>
        <w:t xml:space="preserve"> </w:t>
      </w:r>
      <w:r w:rsidR="00DD002D">
        <w:rPr>
          <w:kern w:val="22"/>
          <w:szCs w:val="22"/>
          <w:lang w:val="fr-CA"/>
        </w:rPr>
        <w:t>51</w:t>
      </w:r>
      <w:r w:rsidR="00D81A20" w:rsidRPr="00DC401A">
        <w:rPr>
          <w:kern w:val="22"/>
          <w:szCs w:val="22"/>
          <w:lang w:val="fr-CA"/>
        </w:rPr>
        <w:t xml:space="preserve"> </w:t>
      </w:r>
      <w:r w:rsidRPr="00DC401A">
        <w:rPr>
          <w:kern w:val="22"/>
          <w:szCs w:val="22"/>
          <w:lang w:val="fr-CA"/>
        </w:rPr>
        <w:t>SPANB</w:t>
      </w:r>
      <w:r w:rsidR="00783276" w:rsidRPr="00DC401A">
        <w:rPr>
          <w:snapToGrid w:val="0"/>
          <w:kern w:val="22"/>
          <w:szCs w:val="22"/>
          <w:vertAlign w:val="superscript"/>
          <w:lang w:val="fr-CA"/>
        </w:rPr>
        <w:footnoteReference w:id="27"/>
      </w:r>
      <w:r w:rsidRPr="00DC401A">
        <w:rPr>
          <w:kern w:val="22"/>
          <w:szCs w:val="22"/>
          <w:lang w:val="fr-CA"/>
        </w:rPr>
        <w:t>) et du milieu universitaire (</w:t>
      </w:r>
      <w:r w:rsidR="00897456" w:rsidRPr="00DC401A">
        <w:rPr>
          <w:kern w:val="22"/>
          <w:szCs w:val="22"/>
          <w:lang w:val="fr-CA"/>
        </w:rPr>
        <w:t>dans</w:t>
      </w:r>
      <w:r w:rsidR="00151013" w:rsidRPr="00DC401A">
        <w:rPr>
          <w:kern w:val="22"/>
          <w:szCs w:val="22"/>
          <w:lang w:val="fr-CA"/>
        </w:rPr>
        <w:t xml:space="preserve"> </w:t>
      </w:r>
      <w:r w:rsidR="00DD002D">
        <w:rPr>
          <w:kern w:val="22"/>
          <w:szCs w:val="22"/>
          <w:lang w:val="fr-CA"/>
        </w:rPr>
        <w:t>70</w:t>
      </w:r>
      <w:r w:rsidR="00D81A20" w:rsidRPr="00DC401A">
        <w:rPr>
          <w:kern w:val="22"/>
          <w:szCs w:val="22"/>
          <w:lang w:val="fr-CA"/>
        </w:rPr>
        <w:t xml:space="preserve"> </w:t>
      </w:r>
      <w:r w:rsidRPr="00DC401A">
        <w:rPr>
          <w:kern w:val="22"/>
          <w:szCs w:val="22"/>
          <w:lang w:val="fr-CA"/>
        </w:rPr>
        <w:t>SPANB</w:t>
      </w:r>
      <w:r w:rsidR="00783276" w:rsidRPr="00DC401A">
        <w:rPr>
          <w:snapToGrid w:val="0"/>
          <w:kern w:val="22"/>
          <w:szCs w:val="22"/>
          <w:vertAlign w:val="superscript"/>
          <w:lang w:val="fr-CA"/>
        </w:rPr>
        <w:footnoteReference w:id="28"/>
      </w:r>
      <w:r w:rsidRPr="00DC401A">
        <w:rPr>
          <w:kern w:val="22"/>
          <w:szCs w:val="22"/>
          <w:lang w:val="fr-CA"/>
        </w:rPr>
        <w:t>).</w:t>
      </w:r>
    </w:p>
    <w:p w14:paraId="329FD409" w14:textId="77777777" w:rsidR="00E278D2" w:rsidRPr="00575A30" w:rsidRDefault="00A535F3" w:rsidP="00F36F85">
      <w:pPr>
        <w:numPr>
          <w:ilvl w:val="0"/>
          <w:numId w:val="11"/>
        </w:numPr>
        <w:tabs>
          <w:tab w:val="clear" w:pos="540"/>
          <w:tab w:val="num" w:pos="851"/>
          <w:tab w:val="left" w:pos="1440"/>
        </w:tabs>
        <w:spacing w:before="240" w:after="120"/>
        <w:ind w:left="0" w:firstLine="0"/>
        <w:rPr>
          <w:kern w:val="22"/>
          <w:szCs w:val="22"/>
          <w:lang w:val="fr-FR"/>
        </w:rPr>
      </w:pPr>
      <w:r w:rsidRPr="00DC401A">
        <w:rPr>
          <w:kern w:val="22"/>
          <w:szCs w:val="22"/>
          <w:lang w:val="fr-CA"/>
        </w:rPr>
        <w:t xml:space="preserve">Sur les </w:t>
      </w:r>
      <w:r w:rsidR="00DD002D">
        <w:rPr>
          <w:kern w:val="22"/>
          <w:szCs w:val="22"/>
          <w:lang w:val="fr-CA"/>
        </w:rPr>
        <w:t>167</w:t>
      </w:r>
      <w:r w:rsidR="00D81A20" w:rsidRPr="00DC401A">
        <w:rPr>
          <w:kern w:val="22"/>
          <w:szCs w:val="22"/>
          <w:lang w:val="fr-CA"/>
        </w:rPr>
        <w:t> </w:t>
      </w:r>
      <w:r w:rsidR="00D86AB1" w:rsidRPr="00DC401A">
        <w:rPr>
          <w:kern w:val="22"/>
          <w:szCs w:val="22"/>
          <w:lang w:val="fr-CA"/>
        </w:rPr>
        <w:t xml:space="preserve">SPANB examinés, </w:t>
      </w:r>
      <w:r w:rsidR="00DD002D">
        <w:rPr>
          <w:kern w:val="22"/>
          <w:szCs w:val="22"/>
          <w:lang w:val="fr-CA"/>
        </w:rPr>
        <w:t>9</w:t>
      </w:r>
      <w:r w:rsidR="000B3EC9" w:rsidRPr="00DC401A">
        <w:rPr>
          <w:kern w:val="22"/>
          <w:szCs w:val="22"/>
          <w:lang w:val="fr-CA"/>
        </w:rPr>
        <w:t>7</w:t>
      </w:r>
      <w:r w:rsidR="00D81A20" w:rsidRPr="00DC401A">
        <w:rPr>
          <w:kern w:val="22"/>
          <w:szCs w:val="22"/>
          <w:lang w:val="fr-CA"/>
        </w:rPr>
        <w:t xml:space="preserve"> </w:t>
      </w:r>
      <w:r w:rsidR="000C7388" w:rsidRPr="00DC401A">
        <w:rPr>
          <w:kern w:val="22"/>
          <w:szCs w:val="22"/>
          <w:lang w:val="fr-CA"/>
        </w:rPr>
        <w:t>indiquent qu</w:t>
      </w:r>
      <w:r w:rsidRPr="00DC401A">
        <w:rPr>
          <w:kern w:val="22"/>
          <w:szCs w:val="22"/>
          <w:lang w:val="fr-CA"/>
        </w:rPr>
        <w:t xml:space="preserve">e les Parties </w:t>
      </w:r>
      <w:r w:rsidR="000C7388" w:rsidRPr="00DC401A">
        <w:rPr>
          <w:kern w:val="22"/>
          <w:szCs w:val="22"/>
          <w:lang w:val="fr-CA"/>
        </w:rPr>
        <w:t>sont doté</w:t>
      </w:r>
      <w:r w:rsidRPr="00DC401A">
        <w:rPr>
          <w:kern w:val="22"/>
          <w:szCs w:val="22"/>
          <w:lang w:val="fr-CA"/>
        </w:rPr>
        <w:t>e</w:t>
      </w:r>
      <w:r w:rsidR="000C7388" w:rsidRPr="00DC401A">
        <w:rPr>
          <w:kern w:val="22"/>
          <w:szCs w:val="22"/>
          <w:lang w:val="fr-CA"/>
        </w:rPr>
        <w:t>s d’une structure de coordination formelle</w:t>
      </w:r>
      <w:r w:rsidR="00432E03" w:rsidRPr="00DC401A">
        <w:rPr>
          <w:kern w:val="22"/>
          <w:szCs w:val="22"/>
          <w:lang w:val="fr-CA"/>
        </w:rPr>
        <w:t xml:space="preserve"> ou </w:t>
      </w:r>
      <w:r w:rsidR="0026578F" w:rsidRPr="00DC401A">
        <w:rPr>
          <w:kern w:val="22"/>
          <w:szCs w:val="22"/>
          <w:lang w:val="fr-CA"/>
        </w:rPr>
        <w:t>d’</w:t>
      </w:r>
      <w:r w:rsidR="00432E03" w:rsidRPr="00DC401A">
        <w:rPr>
          <w:kern w:val="22"/>
          <w:szCs w:val="22"/>
          <w:lang w:val="fr-CA"/>
        </w:rPr>
        <w:t xml:space="preserve">un groupe de travail </w:t>
      </w:r>
      <w:r w:rsidR="00E278D2" w:rsidRPr="00DC401A">
        <w:rPr>
          <w:kern w:val="22"/>
          <w:szCs w:val="22"/>
          <w:lang w:val="fr-CA"/>
        </w:rPr>
        <w:t xml:space="preserve">consacré aux </w:t>
      </w:r>
      <w:r w:rsidR="00432E03" w:rsidRPr="00DC401A">
        <w:rPr>
          <w:kern w:val="22"/>
          <w:szCs w:val="22"/>
          <w:lang w:val="fr-CA"/>
        </w:rPr>
        <w:t>tâches relatives au</w:t>
      </w:r>
      <w:r w:rsidR="00E278D2" w:rsidRPr="00DC401A">
        <w:rPr>
          <w:kern w:val="22"/>
          <w:szCs w:val="22"/>
          <w:lang w:val="fr-CA"/>
        </w:rPr>
        <w:t>x</w:t>
      </w:r>
      <w:r w:rsidR="00432E03" w:rsidRPr="00DC401A">
        <w:rPr>
          <w:kern w:val="22"/>
          <w:szCs w:val="22"/>
          <w:lang w:val="fr-CA"/>
        </w:rPr>
        <w:t xml:space="preserve"> SPANB</w:t>
      </w:r>
      <w:r w:rsidR="00D86AB1" w:rsidRPr="00DC401A">
        <w:rPr>
          <w:kern w:val="22"/>
          <w:szCs w:val="22"/>
          <w:lang w:val="fr-CA"/>
        </w:rPr>
        <w:t>,</w:t>
      </w:r>
      <w:r w:rsidR="00BC6ED9" w:rsidRPr="00DC401A">
        <w:rPr>
          <w:snapToGrid w:val="0"/>
          <w:kern w:val="22"/>
          <w:szCs w:val="22"/>
          <w:vertAlign w:val="superscript"/>
          <w:lang w:val="fr-CA"/>
        </w:rPr>
        <w:t xml:space="preserve"> </w:t>
      </w:r>
      <w:r w:rsidR="00E278D2" w:rsidRPr="00DC401A">
        <w:rPr>
          <w:kern w:val="22"/>
          <w:szCs w:val="22"/>
          <w:lang w:val="fr-CA"/>
        </w:rPr>
        <w:t xml:space="preserve">et </w:t>
      </w:r>
      <w:r w:rsidR="00432E03" w:rsidRPr="00DC401A">
        <w:rPr>
          <w:kern w:val="22"/>
          <w:szCs w:val="22"/>
          <w:lang w:val="fr-CA"/>
        </w:rPr>
        <w:t>composé de diverses parties prenantes.</w:t>
      </w:r>
      <w:r w:rsidR="00D86AB1" w:rsidRPr="00DC401A">
        <w:rPr>
          <w:snapToGrid w:val="0"/>
          <w:kern w:val="22"/>
          <w:szCs w:val="22"/>
          <w:vertAlign w:val="superscript"/>
          <w:lang w:val="fr-CA"/>
        </w:rPr>
        <w:footnoteReference w:id="29"/>
      </w:r>
      <w:r w:rsidR="00432E03" w:rsidRPr="00DC401A">
        <w:rPr>
          <w:kern w:val="22"/>
          <w:szCs w:val="22"/>
          <w:lang w:val="fr-CA"/>
        </w:rPr>
        <w:t xml:space="preserve"> Le</w:t>
      </w:r>
      <w:r w:rsidR="00613B23" w:rsidRPr="00DC401A">
        <w:rPr>
          <w:kern w:val="22"/>
          <w:szCs w:val="22"/>
          <w:lang w:val="fr-CA"/>
        </w:rPr>
        <w:t>s</w:t>
      </w:r>
      <w:r w:rsidR="00432E03" w:rsidRPr="00DC401A">
        <w:rPr>
          <w:kern w:val="22"/>
          <w:szCs w:val="22"/>
          <w:lang w:val="fr-CA"/>
        </w:rPr>
        <w:t xml:space="preserve"> </w:t>
      </w:r>
      <w:r w:rsidR="00E278D2" w:rsidRPr="00DC401A">
        <w:rPr>
          <w:kern w:val="22"/>
          <w:szCs w:val="22"/>
          <w:lang w:val="fr-CA"/>
        </w:rPr>
        <w:t xml:space="preserve">mandats </w:t>
      </w:r>
      <w:r w:rsidR="00432E03" w:rsidRPr="00DC401A">
        <w:rPr>
          <w:kern w:val="22"/>
          <w:szCs w:val="22"/>
          <w:lang w:val="fr-CA"/>
        </w:rPr>
        <w:t>de ces mécanismes de coordination varie</w:t>
      </w:r>
      <w:r w:rsidR="00613B23" w:rsidRPr="00DC401A">
        <w:rPr>
          <w:kern w:val="22"/>
          <w:szCs w:val="22"/>
          <w:lang w:val="fr-CA"/>
        </w:rPr>
        <w:t>nt</w:t>
      </w:r>
      <w:r w:rsidR="00432E03" w:rsidRPr="00DC401A">
        <w:rPr>
          <w:kern w:val="22"/>
          <w:szCs w:val="22"/>
          <w:lang w:val="fr-CA"/>
        </w:rPr>
        <w:t xml:space="preserve">. </w:t>
      </w:r>
      <w:r w:rsidR="00E278D2" w:rsidRPr="00DC401A">
        <w:rPr>
          <w:kern w:val="22"/>
          <w:szCs w:val="22"/>
          <w:lang w:val="fr-CA"/>
        </w:rPr>
        <w:t xml:space="preserve">Si dans certains pays </w:t>
      </w:r>
      <w:r w:rsidR="00E278D2" w:rsidRPr="00DC401A">
        <w:rPr>
          <w:kern w:val="22"/>
          <w:szCs w:val="22"/>
          <w:lang w:val="fr-CA"/>
        </w:rPr>
        <w:lastRenderedPageBreak/>
        <w:t>leur mandat se limite à la révision des SPANB, dans d'autres, ces mécanismes de coordination sont également chargés du suivi de la mise en œuvre. Dans certains pays, ils sont en outre chargés de superviser le processus de mise en œuvre lui-même (</w:t>
      </w:r>
      <w:r w:rsidR="00951EA8" w:rsidRPr="00DC401A">
        <w:rPr>
          <w:kern w:val="22"/>
          <w:szCs w:val="22"/>
          <w:lang w:val="fr-CA"/>
        </w:rPr>
        <w:t xml:space="preserve">Afrique du Sud, </w:t>
      </w:r>
      <w:r w:rsidR="000B3EC9" w:rsidRPr="00DC401A">
        <w:rPr>
          <w:kern w:val="22"/>
          <w:szCs w:val="22"/>
          <w:lang w:val="fr-CA"/>
        </w:rPr>
        <w:t xml:space="preserve">Bangladesh, </w:t>
      </w:r>
      <w:r w:rsidR="00DD002D">
        <w:rPr>
          <w:kern w:val="22"/>
          <w:szCs w:val="22"/>
          <w:lang w:val="fr-CA"/>
        </w:rPr>
        <w:t xml:space="preserve">Chine, Costa Rica, </w:t>
      </w:r>
      <w:r w:rsidR="000B3EC9" w:rsidRPr="00DC401A">
        <w:rPr>
          <w:kern w:val="22"/>
          <w:szCs w:val="22"/>
          <w:lang w:val="fr-CA"/>
        </w:rPr>
        <w:t xml:space="preserve">Finlande, Indonésie, </w:t>
      </w:r>
      <w:r w:rsidR="00E278D2" w:rsidRPr="00DC401A">
        <w:rPr>
          <w:kern w:val="22"/>
          <w:szCs w:val="22"/>
          <w:lang w:val="fr-CA"/>
        </w:rPr>
        <w:t>Irlande, Japon, Nigéria, Sénégal, Timor</w:t>
      </w:r>
      <w:r w:rsidR="00E278D2" w:rsidRPr="00575A30">
        <w:rPr>
          <w:kern w:val="22"/>
          <w:szCs w:val="22"/>
          <w:lang w:val="fr-FR"/>
        </w:rPr>
        <w:t>-Leste</w:t>
      </w:r>
      <w:r w:rsidR="000B3EC9">
        <w:rPr>
          <w:kern w:val="22"/>
          <w:szCs w:val="22"/>
          <w:lang w:val="fr-FR"/>
        </w:rPr>
        <w:t>,</w:t>
      </w:r>
      <w:r w:rsidR="00951EA8" w:rsidRPr="00575A30">
        <w:rPr>
          <w:kern w:val="22"/>
          <w:szCs w:val="22"/>
          <w:lang w:val="fr-FR"/>
        </w:rPr>
        <w:t xml:space="preserve"> Union européenne</w:t>
      </w:r>
      <w:r w:rsidR="000B3EC9">
        <w:rPr>
          <w:kern w:val="22"/>
          <w:szCs w:val="22"/>
          <w:lang w:val="fr-FR"/>
        </w:rPr>
        <w:t xml:space="preserve"> et Yémen</w:t>
      </w:r>
      <w:r w:rsidR="00E278D2" w:rsidRPr="00575A30">
        <w:rPr>
          <w:kern w:val="22"/>
          <w:szCs w:val="22"/>
          <w:lang w:val="fr-FR"/>
        </w:rPr>
        <w:t>).</w:t>
      </w:r>
    </w:p>
    <w:p w14:paraId="389631CA" w14:textId="77777777" w:rsidR="00624603" w:rsidRPr="00DC401A" w:rsidRDefault="002A1589" w:rsidP="00DC401A">
      <w:pPr>
        <w:pStyle w:val="Para1"/>
        <w:numPr>
          <w:ilvl w:val="0"/>
          <w:numId w:val="0"/>
        </w:numPr>
        <w:ind w:left="720"/>
        <w:jc w:val="center"/>
        <w:rPr>
          <w:b/>
          <w:kern w:val="22"/>
          <w:szCs w:val="22"/>
          <w:lang w:val="fr-FR"/>
        </w:rPr>
      </w:pPr>
      <w:r w:rsidRPr="00575A30">
        <w:rPr>
          <w:b/>
          <w:kern w:val="22"/>
          <w:szCs w:val="22"/>
          <w:lang w:val="fr-FR"/>
        </w:rPr>
        <w:br w:type="page"/>
      </w:r>
      <w:r w:rsidR="00024999">
        <w:rPr>
          <w:b/>
          <w:kern w:val="22"/>
          <w:szCs w:val="22"/>
          <w:lang w:val="fr-FR"/>
        </w:rPr>
        <w:lastRenderedPageBreak/>
        <w:t>Figure 2</w:t>
      </w:r>
      <w:r w:rsidR="00DC401A">
        <w:rPr>
          <w:b/>
          <w:kern w:val="22"/>
          <w:szCs w:val="22"/>
          <w:lang w:val="fr-FR"/>
        </w:rPr>
        <w:t>.</w:t>
      </w:r>
      <w:r w:rsidR="003B136D" w:rsidRPr="00575A30">
        <w:rPr>
          <w:b/>
          <w:kern w:val="22"/>
          <w:szCs w:val="22"/>
          <w:lang w:val="fr-FR"/>
        </w:rPr>
        <w:t xml:space="preserve"> </w:t>
      </w:r>
      <w:r w:rsidR="00AF066E" w:rsidRPr="00575A30">
        <w:rPr>
          <w:b/>
          <w:kern w:val="22"/>
          <w:szCs w:val="22"/>
          <w:lang w:val="fr-FR"/>
        </w:rPr>
        <w:t>Nombre de</w:t>
      </w:r>
      <w:r w:rsidR="0071741D" w:rsidRPr="00575A30">
        <w:rPr>
          <w:b/>
          <w:kern w:val="22"/>
          <w:szCs w:val="22"/>
          <w:lang w:val="fr-FR"/>
        </w:rPr>
        <w:t xml:space="preserve"> Parties</w:t>
      </w:r>
      <w:r w:rsidR="00AF066E" w:rsidRPr="00575A30">
        <w:rPr>
          <w:b/>
          <w:kern w:val="22"/>
          <w:szCs w:val="22"/>
          <w:lang w:val="fr-FR"/>
        </w:rPr>
        <w:t xml:space="preserve"> </w:t>
      </w:r>
      <w:r w:rsidR="00D87D8F" w:rsidRPr="00575A30">
        <w:rPr>
          <w:b/>
          <w:kern w:val="22"/>
          <w:szCs w:val="22"/>
          <w:lang w:val="fr-FR"/>
        </w:rPr>
        <w:t xml:space="preserve">ayant </w:t>
      </w:r>
      <w:r w:rsidR="00D251D4" w:rsidRPr="00575A30">
        <w:rPr>
          <w:b/>
          <w:kern w:val="22"/>
          <w:szCs w:val="22"/>
          <w:lang w:val="fr-FR"/>
        </w:rPr>
        <w:t>signalé</w:t>
      </w:r>
      <w:r w:rsidR="00D87D8F" w:rsidRPr="00575A30">
        <w:rPr>
          <w:b/>
          <w:kern w:val="22"/>
          <w:szCs w:val="22"/>
          <w:lang w:val="fr-FR"/>
        </w:rPr>
        <w:t xml:space="preserve"> </w:t>
      </w:r>
      <w:r w:rsidR="00AF066E" w:rsidRPr="00575A30">
        <w:rPr>
          <w:b/>
          <w:kern w:val="22"/>
          <w:szCs w:val="22"/>
          <w:lang w:val="fr-FR"/>
        </w:rPr>
        <w:t>la participation</w:t>
      </w:r>
      <w:r w:rsidR="00B7031D" w:rsidRPr="00575A30">
        <w:rPr>
          <w:b/>
          <w:kern w:val="22"/>
          <w:szCs w:val="22"/>
          <w:lang w:val="fr-FR"/>
        </w:rPr>
        <w:t xml:space="preserve"> </w:t>
      </w:r>
      <w:r w:rsidR="00420723" w:rsidRPr="00575A30">
        <w:rPr>
          <w:b/>
          <w:kern w:val="22"/>
          <w:szCs w:val="22"/>
          <w:lang w:val="fr-FR"/>
        </w:rPr>
        <w:t xml:space="preserve">d’autres ministères dans le </w:t>
      </w:r>
      <w:r w:rsidR="00DC401A">
        <w:rPr>
          <w:b/>
          <w:kern w:val="22"/>
          <w:szCs w:val="22"/>
          <w:lang w:val="fr-FR"/>
        </w:rPr>
        <w:t>processus des SPANB</w:t>
      </w:r>
    </w:p>
    <w:p w14:paraId="7500E806" w14:textId="77777777" w:rsidR="00924298" w:rsidRDefault="00F2156D" w:rsidP="00624603">
      <w:pPr>
        <w:pStyle w:val="Para1"/>
        <w:numPr>
          <w:ilvl w:val="0"/>
          <w:numId w:val="0"/>
        </w:numPr>
        <w:spacing w:before="0" w:after="0"/>
        <w:ind w:hanging="810"/>
        <w:jc w:val="center"/>
        <w:rPr>
          <w:kern w:val="22"/>
          <w:szCs w:val="22"/>
          <w:lang w:val="fr-FR"/>
        </w:rPr>
      </w:pPr>
      <w:r>
        <w:rPr>
          <w:noProof/>
        </w:rPr>
        <w:drawing>
          <wp:inline distT="0" distB="0" distL="0" distR="0" wp14:anchorId="2D51EF62" wp14:editId="0C597A09">
            <wp:extent cx="5943600" cy="5986145"/>
            <wp:effectExtent l="0" t="0" r="0" b="14605"/>
            <wp:docPr id="3" name="Chart 3">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ED21F9F" w14:textId="77777777" w:rsidR="00924298" w:rsidRPr="00575A30" w:rsidRDefault="00924298" w:rsidP="00024999">
      <w:pPr>
        <w:pStyle w:val="Para1"/>
        <w:numPr>
          <w:ilvl w:val="0"/>
          <w:numId w:val="0"/>
        </w:numPr>
        <w:spacing w:before="0" w:after="0"/>
        <w:rPr>
          <w:kern w:val="22"/>
          <w:szCs w:val="22"/>
          <w:lang w:val="fr-FR"/>
        </w:rPr>
      </w:pPr>
    </w:p>
    <w:p w14:paraId="1E13F0E7" w14:textId="77777777" w:rsidR="00691FCB" w:rsidRPr="00575A30" w:rsidRDefault="002E4C59" w:rsidP="002E4C59">
      <w:pPr>
        <w:pStyle w:val="Para1"/>
        <w:numPr>
          <w:ilvl w:val="0"/>
          <w:numId w:val="0"/>
        </w:numPr>
        <w:spacing w:before="0" w:after="0"/>
        <w:jc w:val="center"/>
        <w:rPr>
          <w:bCs/>
          <w:i/>
          <w:iCs/>
          <w:kern w:val="22"/>
          <w:szCs w:val="22"/>
          <w:lang w:val="fr-FR"/>
        </w:rPr>
      </w:pPr>
      <w:bookmarkStart w:id="1" w:name="_GoBack"/>
      <w:bookmarkEnd w:id="1"/>
      <w:r w:rsidRPr="00575A30">
        <w:rPr>
          <w:bCs/>
          <w:i/>
          <w:iCs/>
          <w:kern w:val="22"/>
          <w:szCs w:val="22"/>
          <w:lang w:val="fr-FR"/>
        </w:rPr>
        <w:t>3.</w:t>
      </w:r>
      <w:r w:rsidR="00D81A20" w:rsidRPr="00575A30">
        <w:rPr>
          <w:bCs/>
          <w:i/>
          <w:iCs/>
          <w:kern w:val="22"/>
          <w:szCs w:val="22"/>
          <w:lang w:val="fr-FR"/>
        </w:rPr>
        <w:tab/>
      </w:r>
      <w:r w:rsidR="00D364CD" w:rsidRPr="00575A30">
        <w:rPr>
          <w:bCs/>
          <w:i/>
          <w:iCs/>
          <w:kern w:val="22"/>
          <w:szCs w:val="22"/>
          <w:lang w:val="fr-FR"/>
        </w:rPr>
        <w:t>Centre d’échange</w:t>
      </w:r>
    </w:p>
    <w:p w14:paraId="7E0D9519" w14:textId="77777777" w:rsidR="006A1CB1" w:rsidRPr="00575A30" w:rsidRDefault="005F7AC0" w:rsidP="00F36F85">
      <w:pPr>
        <w:numPr>
          <w:ilvl w:val="0"/>
          <w:numId w:val="11"/>
        </w:numPr>
        <w:tabs>
          <w:tab w:val="clear" w:pos="540"/>
          <w:tab w:val="num" w:pos="851"/>
        </w:tabs>
        <w:spacing w:before="240" w:after="240"/>
        <w:ind w:left="0" w:firstLine="0"/>
        <w:rPr>
          <w:kern w:val="22"/>
          <w:szCs w:val="22"/>
          <w:lang w:val="fr-FR"/>
        </w:rPr>
      </w:pPr>
      <w:r>
        <w:rPr>
          <w:kern w:val="22"/>
          <w:szCs w:val="22"/>
          <w:lang w:val="fr-FR"/>
        </w:rPr>
        <w:t>Cinq</w:t>
      </w:r>
      <w:r w:rsidR="00556556">
        <w:rPr>
          <w:kern w:val="22"/>
          <w:szCs w:val="22"/>
          <w:lang w:val="fr-FR"/>
        </w:rPr>
        <w:t xml:space="preserve"> Parties seulement </w:t>
      </w:r>
      <w:r w:rsidR="00556556" w:rsidRPr="00575A30">
        <w:rPr>
          <w:kern w:val="22"/>
          <w:szCs w:val="22"/>
          <w:lang w:val="fr-FR"/>
        </w:rPr>
        <w:t xml:space="preserve">des </w:t>
      </w:r>
      <w:r w:rsidR="00556556">
        <w:rPr>
          <w:kern w:val="22"/>
          <w:szCs w:val="22"/>
          <w:lang w:val="fr-FR"/>
        </w:rPr>
        <w:t>167</w:t>
      </w:r>
      <w:r w:rsidR="00556556" w:rsidRPr="00575A30">
        <w:rPr>
          <w:kern w:val="22"/>
          <w:szCs w:val="22"/>
          <w:lang w:val="fr-FR"/>
        </w:rPr>
        <w:t xml:space="preserve"> Parties qui ont à ce jour présenté des SPANB révisés</w:t>
      </w:r>
      <w:r w:rsidR="00556556">
        <w:rPr>
          <w:kern w:val="22"/>
          <w:szCs w:val="22"/>
          <w:lang w:val="fr-FR"/>
        </w:rPr>
        <w:t xml:space="preserve"> ont utilisé</w:t>
      </w:r>
      <w:r w:rsidR="00556556" w:rsidRPr="00575A30">
        <w:rPr>
          <w:kern w:val="22"/>
          <w:szCs w:val="22"/>
          <w:lang w:val="fr-FR"/>
        </w:rPr>
        <w:t xml:space="preserve"> un centre d’échange national </w:t>
      </w:r>
      <w:r w:rsidR="00556556">
        <w:rPr>
          <w:kern w:val="22"/>
          <w:szCs w:val="22"/>
          <w:lang w:val="fr-FR"/>
        </w:rPr>
        <w:t>dans le cadre du processus de révision du SPANB.</w:t>
      </w:r>
      <w:r w:rsidR="00B36C5D" w:rsidRPr="00575A30">
        <w:rPr>
          <w:rStyle w:val="FootnoteReference"/>
          <w:kern w:val="22"/>
          <w:szCs w:val="22"/>
          <w:lang w:val="fr-FR"/>
        </w:rPr>
        <w:footnoteReference w:id="30"/>
      </w:r>
      <w:r w:rsidR="008F4532" w:rsidRPr="00575A30">
        <w:rPr>
          <w:kern w:val="22"/>
          <w:szCs w:val="22"/>
          <w:lang w:val="fr-FR"/>
        </w:rPr>
        <w:t xml:space="preserve"> </w:t>
      </w:r>
      <w:r>
        <w:rPr>
          <w:kern w:val="22"/>
          <w:szCs w:val="22"/>
          <w:lang w:val="fr-FR"/>
        </w:rPr>
        <w:t>Trente</w:t>
      </w:r>
      <w:r w:rsidR="001D302E">
        <w:rPr>
          <w:kern w:val="22"/>
          <w:szCs w:val="22"/>
          <w:lang w:val="fr-FR"/>
        </w:rPr>
        <w:t>-six</w:t>
      </w:r>
      <w:r w:rsidR="00494678" w:rsidRPr="00575A30">
        <w:rPr>
          <w:rStyle w:val="FootnoteReference"/>
          <w:kern w:val="22"/>
          <w:szCs w:val="22"/>
          <w:lang w:val="fr-FR"/>
        </w:rPr>
        <w:footnoteReference w:id="31"/>
      </w:r>
      <w:r w:rsidR="00DC67C1" w:rsidRPr="00575A30">
        <w:rPr>
          <w:kern w:val="22"/>
          <w:szCs w:val="22"/>
          <w:lang w:val="fr-FR"/>
        </w:rPr>
        <w:t xml:space="preserve"> Parties ont </w:t>
      </w:r>
      <w:r w:rsidR="00DC67C1" w:rsidRPr="00575A30">
        <w:rPr>
          <w:kern w:val="22"/>
          <w:szCs w:val="22"/>
          <w:lang w:val="fr-FR"/>
        </w:rPr>
        <w:lastRenderedPageBreak/>
        <w:t xml:space="preserve">arrêté des mesures ou des plans dans leurs SPANB révisés </w:t>
      </w:r>
      <w:r w:rsidR="00494678" w:rsidRPr="00575A30">
        <w:rPr>
          <w:kern w:val="22"/>
          <w:szCs w:val="22"/>
          <w:lang w:val="fr-FR"/>
        </w:rPr>
        <w:t>en vue</w:t>
      </w:r>
      <w:r w:rsidR="00DC67C1" w:rsidRPr="00575A30">
        <w:rPr>
          <w:kern w:val="22"/>
          <w:szCs w:val="22"/>
          <w:lang w:val="fr-FR"/>
        </w:rPr>
        <w:t xml:space="preserve"> d’établir un centre d’échange</w:t>
      </w:r>
      <w:r w:rsidR="00494678" w:rsidRPr="00575A30">
        <w:rPr>
          <w:kern w:val="22"/>
          <w:szCs w:val="22"/>
          <w:lang w:val="fr-FR"/>
        </w:rPr>
        <w:t xml:space="preserve"> au niveau</w:t>
      </w:r>
      <w:r w:rsidR="00DC67C1" w:rsidRPr="00575A30">
        <w:rPr>
          <w:kern w:val="22"/>
          <w:szCs w:val="22"/>
          <w:lang w:val="fr-FR"/>
        </w:rPr>
        <w:t xml:space="preserve"> national. </w:t>
      </w:r>
    </w:p>
    <w:p w14:paraId="6A1DCF59" w14:textId="77777777" w:rsidR="00701713" w:rsidRPr="00575A30" w:rsidRDefault="00D364CD" w:rsidP="00F36F85">
      <w:pPr>
        <w:numPr>
          <w:ilvl w:val="0"/>
          <w:numId w:val="11"/>
        </w:numPr>
        <w:tabs>
          <w:tab w:val="clear" w:pos="540"/>
          <w:tab w:val="num" w:pos="851"/>
        </w:tabs>
        <w:spacing w:before="240" w:after="240"/>
        <w:ind w:left="0" w:firstLine="0"/>
        <w:rPr>
          <w:kern w:val="22"/>
          <w:szCs w:val="22"/>
          <w:lang w:val="fr-FR"/>
        </w:rPr>
      </w:pPr>
      <w:r w:rsidRPr="00575A30">
        <w:rPr>
          <w:kern w:val="22"/>
          <w:szCs w:val="22"/>
          <w:lang w:val="fr-FR"/>
        </w:rPr>
        <w:t xml:space="preserve"> </w:t>
      </w:r>
      <w:r w:rsidR="006A1CB1" w:rsidRPr="00575A30">
        <w:rPr>
          <w:kern w:val="22"/>
          <w:szCs w:val="22"/>
          <w:lang w:val="fr-FR"/>
        </w:rPr>
        <w:t xml:space="preserve">Parmi les Parties qui </w:t>
      </w:r>
      <w:r w:rsidR="00494678" w:rsidRPr="00575A30">
        <w:rPr>
          <w:kern w:val="22"/>
          <w:szCs w:val="22"/>
          <w:lang w:val="fr-FR"/>
        </w:rPr>
        <w:t xml:space="preserve">se </w:t>
      </w:r>
      <w:r w:rsidR="006A1CB1" w:rsidRPr="00575A30">
        <w:rPr>
          <w:kern w:val="22"/>
          <w:szCs w:val="22"/>
          <w:lang w:val="fr-FR"/>
        </w:rPr>
        <w:t xml:space="preserve">sont dotées d'un centre d'échange, </w:t>
      </w:r>
      <w:r w:rsidR="0089220D">
        <w:rPr>
          <w:kern w:val="22"/>
          <w:szCs w:val="22"/>
          <w:lang w:val="fr-FR"/>
        </w:rPr>
        <w:t>4</w:t>
      </w:r>
      <w:r w:rsidR="001D302E">
        <w:rPr>
          <w:kern w:val="22"/>
          <w:szCs w:val="22"/>
          <w:lang w:val="fr-FR"/>
        </w:rPr>
        <w:t>5</w:t>
      </w:r>
      <w:r w:rsidR="00B36C5D" w:rsidRPr="00575A30">
        <w:rPr>
          <w:rStyle w:val="FootnoteReference"/>
          <w:kern w:val="22"/>
          <w:szCs w:val="22"/>
          <w:lang w:val="fr-FR"/>
        </w:rPr>
        <w:footnoteReference w:id="32"/>
      </w:r>
      <w:r w:rsidR="006A1CB1" w:rsidRPr="00575A30">
        <w:rPr>
          <w:kern w:val="22"/>
          <w:szCs w:val="22"/>
          <w:lang w:val="fr-FR"/>
        </w:rPr>
        <w:t xml:space="preserve"> ont indiqué </w:t>
      </w:r>
      <w:r w:rsidR="00EE251E" w:rsidRPr="00575A30">
        <w:rPr>
          <w:kern w:val="22"/>
          <w:szCs w:val="22"/>
          <w:lang w:val="fr-FR"/>
        </w:rPr>
        <w:t xml:space="preserve">qu'elles avaient </w:t>
      </w:r>
      <w:r w:rsidR="004575DF" w:rsidRPr="00575A30">
        <w:rPr>
          <w:kern w:val="22"/>
          <w:szCs w:val="22"/>
          <w:lang w:val="fr-FR"/>
        </w:rPr>
        <w:t>l’</w:t>
      </w:r>
      <w:r w:rsidRPr="00575A30">
        <w:rPr>
          <w:kern w:val="22"/>
          <w:szCs w:val="22"/>
          <w:lang w:val="fr-FR"/>
        </w:rPr>
        <w:t>intention</w:t>
      </w:r>
      <w:r w:rsidR="004575DF" w:rsidRPr="00575A30">
        <w:rPr>
          <w:kern w:val="22"/>
          <w:szCs w:val="22"/>
          <w:lang w:val="fr-FR"/>
        </w:rPr>
        <w:t xml:space="preserve"> </w:t>
      </w:r>
      <w:r w:rsidRPr="00575A30">
        <w:rPr>
          <w:kern w:val="22"/>
          <w:szCs w:val="22"/>
          <w:lang w:val="fr-FR"/>
        </w:rPr>
        <w:t>d’améliorer et de renforcer leur système actuel</w:t>
      </w:r>
      <w:r w:rsidR="00EE251E" w:rsidRPr="00575A30">
        <w:rPr>
          <w:kern w:val="22"/>
          <w:szCs w:val="22"/>
          <w:lang w:val="fr-FR"/>
        </w:rPr>
        <w:t xml:space="preserve"> de gestion </w:t>
      </w:r>
      <w:r w:rsidR="000E1CFD" w:rsidRPr="00575A30">
        <w:rPr>
          <w:kern w:val="22"/>
          <w:szCs w:val="22"/>
          <w:lang w:val="fr-FR"/>
        </w:rPr>
        <w:t>des données</w:t>
      </w:r>
      <w:r w:rsidR="0037625A" w:rsidRPr="00575A30">
        <w:rPr>
          <w:kern w:val="22"/>
          <w:szCs w:val="22"/>
          <w:lang w:val="fr-FR"/>
        </w:rPr>
        <w:t xml:space="preserve">. </w:t>
      </w:r>
    </w:p>
    <w:p w14:paraId="14A87F7F" w14:textId="77777777" w:rsidR="002A0778" w:rsidRPr="00575A30" w:rsidRDefault="002A0778" w:rsidP="00543482">
      <w:pPr>
        <w:pStyle w:val="Para1"/>
        <w:numPr>
          <w:ilvl w:val="0"/>
          <w:numId w:val="0"/>
        </w:numPr>
        <w:tabs>
          <w:tab w:val="num" w:pos="851"/>
        </w:tabs>
        <w:spacing w:before="0" w:after="0"/>
        <w:jc w:val="center"/>
        <w:rPr>
          <w:b/>
          <w:kern w:val="22"/>
          <w:lang w:val="fr-FR"/>
        </w:rPr>
      </w:pPr>
      <w:r w:rsidRPr="00575A30">
        <w:rPr>
          <w:b/>
          <w:kern w:val="22"/>
          <w:lang w:val="fr-FR"/>
        </w:rPr>
        <w:t>C.</w:t>
      </w:r>
      <w:r w:rsidRPr="00575A30">
        <w:rPr>
          <w:b/>
          <w:kern w:val="22"/>
          <w:lang w:val="fr-FR"/>
        </w:rPr>
        <w:tab/>
      </w:r>
      <w:r w:rsidR="00A86285" w:rsidRPr="00C31B2F">
        <w:rPr>
          <w:b/>
          <w:kern w:val="22"/>
          <w:lang w:val="fr-FR"/>
        </w:rPr>
        <w:t>Élément</w:t>
      </w:r>
      <w:r w:rsidR="00187D26" w:rsidRPr="00C31B2F">
        <w:rPr>
          <w:b/>
          <w:kern w:val="22"/>
          <w:lang w:val="fr-FR"/>
        </w:rPr>
        <w:t>s</w:t>
      </w:r>
      <w:r w:rsidR="00C31B2F">
        <w:rPr>
          <w:b/>
          <w:kern w:val="22"/>
          <w:lang w:val="fr-FR"/>
        </w:rPr>
        <w:t xml:space="preserve"> du SPANB</w:t>
      </w:r>
    </w:p>
    <w:p w14:paraId="1F2FEFC6" w14:textId="77777777" w:rsidR="002A0778" w:rsidRPr="00575A30" w:rsidRDefault="00187D26" w:rsidP="00543482">
      <w:pPr>
        <w:pStyle w:val="Para1"/>
        <w:numPr>
          <w:ilvl w:val="0"/>
          <w:numId w:val="0"/>
        </w:numPr>
        <w:tabs>
          <w:tab w:val="num" w:pos="851"/>
        </w:tabs>
        <w:jc w:val="center"/>
        <w:rPr>
          <w:bCs/>
          <w:i/>
          <w:iCs/>
          <w:kern w:val="22"/>
          <w:lang w:val="fr-FR"/>
        </w:rPr>
      </w:pPr>
      <w:r w:rsidRPr="00575A30">
        <w:rPr>
          <w:bCs/>
          <w:i/>
          <w:iCs/>
          <w:kern w:val="22"/>
          <w:lang w:val="fr-FR"/>
        </w:rPr>
        <w:t>1.</w:t>
      </w:r>
      <w:r w:rsidR="00494678" w:rsidRPr="00575A30">
        <w:rPr>
          <w:bCs/>
          <w:i/>
          <w:iCs/>
          <w:kern w:val="22"/>
          <w:lang w:val="fr-FR"/>
        </w:rPr>
        <w:tab/>
      </w:r>
      <w:r w:rsidR="0037625A" w:rsidRPr="00575A30">
        <w:rPr>
          <w:bCs/>
          <w:i/>
          <w:iCs/>
          <w:kern w:val="22"/>
          <w:lang w:val="fr-FR"/>
        </w:rPr>
        <w:t>Stratégies de mobilisation des ressources</w:t>
      </w:r>
    </w:p>
    <w:p w14:paraId="0D0E4118" w14:textId="77777777" w:rsidR="001F6F8F" w:rsidRPr="00575A30" w:rsidRDefault="00CB3A78" w:rsidP="00F36F85">
      <w:pPr>
        <w:numPr>
          <w:ilvl w:val="0"/>
          <w:numId w:val="11"/>
        </w:numPr>
        <w:tabs>
          <w:tab w:val="clear" w:pos="540"/>
          <w:tab w:val="num" w:pos="851"/>
        </w:tabs>
        <w:ind w:left="0" w:firstLine="0"/>
        <w:rPr>
          <w:kern w:val="22"/>
          <w:szCs w:val="22"/>
          <w:lang w:val="fr-FR"/>
        </w:rPr>
      </w:pPr>
      <w:r w:rsidRPr="00575A30">
        <w:rPr>
          <w:kern w:val="22"/>
          <w:szCs w:val="22"/>
          <w:lang w:val="fr-FR"/>
        </w:rPr>
        <w:t xml:space="preserve">Au </w:t>
      </w:r>
      <w:r w:rsidR="00F868ED" w:rsidRPr="00575A30">
        <w:rPr>
          <w:kern w:val="22"/>
          <w:szCs w:val="22"/>
          <w:lang w:val="fr-FR"/>
        </w:rPr>
        <w:t>paragraphe 25 de la décision XI/</w:t>
      </w:r>
      <w:r w:rsidR="0075041E" w:rsidRPr="00575A30">
        <w:rPr>
          <w:kern w:val="22"/>
          <w:szCs w:val="22"/>
          <w:lang w:val="fr-FR"/>
        </w:rPr>
        <w:t>1</w:t>
      </w:r>
      <w:r w:rsidR="003A4B68" w:rsidRPr="00575A30">
        <w:rPr>
          <w:kern w:val="22"/>
          <w:szCs w:val="22"/>
          <w:lang w:val="fr-FR"/>
        </w:rPr>
        <w:t xml:space="preserve">4, </w:t>
      </w:r>
      <w:r w:rsidR="00836592" w:rsidRPr="00575A30">
        <w:rPr>
          <w:kern w:val="22"/>
          <w:szCs w:val="22"/>
          <w:lang w:val="fr-FR"/>
        </w:rPr>
        <w:t xml:space="preserve">la Conférence des </w:t>
      </w:r>
      <w:r w:rsidR="00F868ED" w:rsidRPr="00575A30">
        <w:rPr>
          <w:kern w:val="22"/>
          <w:szCs w:val="22"/>
          <w:lang w:val="fr-FR"/>
        </w:rPr>
        <w:t xml:space="preserve">Parties </w:t>
      </w:r>
      <w:r w:rsidR="00836592" w:rsidRPr="00575A30">
        <w:rPr>
          <w:kern w:val="22"/>
          <w:szCs w:val="22"/>
          <w:lang w:val="fr-FR"/>
        </w:rPr>
        <w:t xml:space="preserve">a </w:t>
      </w:r>
      <w:r w:rsidRPr="00575A30">
        <w:rPr>
          <w:kern w:val="22"/>
          <w:szCs w:val="22"/>
          <w:lang w:val="fr-FR"/>
        </w:rPr>
        <w:t>encouragé</w:t>
      </w:r>
      <w:r w:rsidR="00836592" w:rsidRPr="00575A30">
        <w:rPr>
          <w:kern w:val="22"/>
          <w:szCs w:val="22"/>
          <w:lang w:val="fr-FR"/>
        </w:rPr>
        <w:t xml:space="preserve"> les Parties</w:t>
      </w:r>
      <w:r w:rsidRPr="00575A30">
        <w:rPr>
          <w:kern w:val="22"/>
          <w:szCs w:val="22"/>
          <w:lang w:val="fr-FR"/>
        </w:rPr>
        <w:t xml:space="preserve"> </w:t>
      </w:r>
      <w:r w:rsidR="00F868ED" w:rsidRPr="00575A30">
        <w:rPr>
          <w:kern w:val="22"/>
          <w:szCs w:val="22"/>
          <w:lang w:val="fr-FR"/>
        </w:rPr>
        <w:t>« </w:t>
      </w:r>
      <w:r w:rsidR="00F868ED" w:rsidRPr="00575A30">
        <w:rPr>
          <w:szCs w:val="22"/>
          <w:lang w:val="fr-FR"/>
        </w:rPr>
        <w:t>à élaborer, comme il convient</w:t>
      </w:r>
      <w:r w:rsidRPr="00575A30">
        <w:rPr>
          <w:szCs w:val="22"/>
          <w:lang w:val="fr-FR"/>
        </w:rPr>
        <w:t xml:space="preserve"> [...]</w:t>
      </w:r>
      <w:r w:rsidR="00F868ED" w:rsidRPr="00575A30">
        <w:rPr>
          <w:szCs w:val="22"/>
          <w:lang w:val="fr-FR"/>
        </w:rPr>
        <w:t xml:space="preserve">, des stratégies de mobilisation des ressources par pays, y compris une évaluation des besoins de financement, dans le cadre de leurs stratégies et plans d’action nationaux révisés pour la diversité biologique ». À cet égard, </w:t>
      </w:r>
      <w:r w:rsidR="001D302E">
        <w:rPr>
          <w:szCs w:val="22"/>
          <w:lang w:val="fr-FR"/>
        </w:rPr>
        <w:t>25</w:t>
      </w:r>
      <w:r w:rsidR="00494678" w:rsidRPr="00575A30">
        <w:rPr>
          <w:szCs w:val="22"/>
          <w:lang w:val="fr-FR"/>
        </w:rPr>
        <w:t xml:space="preserve"> </w:t>
      </w:r>
      <w:r w:rsidR="00F868ED" w:rsidRPr="00575A30">
        <w:rPr>
          <w:szCs w:val="22"/>
          <w:lang w:val="fr-FR"/>
        </w:rPr>
        <w:t>SPANB</w:t>
      </w:r>
      <w:r w:rsidR="00306AD9" w:rsidRPr="00575A30">
        <w:rPr>
          <w:rStyle w:val="FootnoteReference"/>
          <w:snapToGrid w:val="0"/>
          <w:kern w:val="22"/>
          <w:szCs w:val="22"/>
          <w:lang w:val="fr-FR"/>
        </w:rPr>
        <w:footnoteReference w:id="33"/>
      </w:r>
      <w:r w:rsidR="00F868ED" w:rsidRPr="00575A30">
        <w:rPr>
          <w:szCs w:val="22"/>
          <w:lang w:val="fr-FR"/>
        </w:rPr>
        <w:t xml:space="preserve"> contiennent </w:t>
      </w:r>
      <w:r w:rsidR="00306AD9" w:rsidRPr="00575A30">
        <w:rPr>
          <w:szCs w:val="22"/>
          <w:lang w:val="fr-FR"/>
        </w:rPr>
        <w:t xml:space="preserve">expressément </w:t>
      </w:r>
      <w:r w:rsidR="00F868ED" w:rsidRPr="00575A30">
        <w:rPr>
          <w:szCs w:val="22"/>
          <w:lang w:val="fr-FR"/>
        </w:rPr>
        <w:t xml:space="preserve">une stratégie </w:t>
      </w:r>
      <w:r w:rsidR="00306AD9" w:rsidRPr="00575A30">
        <w:rPr>
          <w:szCs w:val="22"/>
          <w:lang w:val="fr-FR"/>
        </w:rPr>
        <w:t xml:space="preserve">nationale </w:t>
      </w:r>
      <w:r w:rsidR="00F868ED" w:rsidRPr="00575A30">
        <w:rPr>
          <w:szCs w:val="22"/>
          <w:lang w:val="fr-FR"/>
        </w:rPr>
        <w:t>de mobilisation des ressources ou équivalent</w:t>
      </w:r>
      <w:r w:rsidR="00306AD9" w:rsidRPr="00575A30">
        <w:rPr>
          <w:rStyle w:val="FootnoteReference"/>
          <w:snapToGrid w:val="0"/>
          <w:kern w:val="22"/>
          <w:szCs w:val="22"/>
          <w:lang w:val="fr-FR"/>
        </w:rPr>
        <w:footnoteReference w:id="34"/>
      </w:r>
      <w:r w:rsidR="00765F7A">
        <w:rPr>
          <w:szCs w:val="22"/>
          <w:lang w:val="fr-FR"/>
        </w:rPr>
        <w:t>, par exemple</w:t>
      </w:r>
      <w:r w:rsidR="00F868ED" w:rsidRPr="00575A30">
        <w:rPr>
          <w:szCs w:val="22"/>
          <w:lang w:val="fr-FR"/>
        </w:rPr>
        <w:t> :</w:t>
      </w:r>
      <w:r w:rsidR="00F868ED" w:rsidRPr="00575A30">
        <w:rPr>
          <w:kern w:val="22"/>
          <w:szCs w:val="22"/>
          <w:lang w:val="fr-FR"/>
        </w:rPr>
        <w:t xml:space="preserve"> </w:t>
      </w:r>
    </w:p>
    <w:p w14:paraId="76E3F81A" w14:textId="77777777" w:rsidR="001F6F8F" w:rsidRPr="00575A30" w:rsidRDefault="001F6F8F" w:rsidP="00F36F85">
      <w:pPr>
        <w:pStyle w:val="Para1"/>
        <w:numPr>
          <w:ilvl w:val="1"/>
          <w:numId w:val="11"/>
        </w:numPr>
        <w:tabs>
          <w:tab w:val="clear" w:pos="1440"/>
          <w:tab w:val="num" w:pos="851"/>
        </w:tabs>
        <w:ind w:left="0" w:firstLine="851"/>
        <w:rPr>
          <w:kern w:val="22"/>
          <w:lang w:val="fr-FR"/>
        </w:rPr>
      </w:pPr>
      <w:r w:rsidRPr="00575A30">
        <w:rPr>
          <w:kern w:val="22"/>
          <w:lang w:val="fr-FR"/>
        </w:rPr>
        <w:t xml:space="preserve">La Bosnie-Herzégovine a mis au point un plan de mobilisation des ressources qui </w:t>
      </w:r>
      <w:r w:rsidR="00836592" w:rsidRPr="00575A30">
        <w:rPr>
          <w:kern w:val="22"/>
          <w:lang w:val="fr-FR"/>
        </w:rPr>
        <w:t>i</w:t>
      </w:r>
      <w:r w:rsidRPr="00575A30">
        <w:rPr>
          <w:kern w:val="22"/>
          <w:lang w:val="fr-FR"/>
        </w:rPr>
        <w:t>) fait état de la situation concernant le financement de la protection de la biodiversité</w:t>
      </w:r>
      <w:r w:rsidR="00BC6ED9" w:rsidRPr="00575A30">
        <w:rPr>
          <w:kern w:val="22"/>
          <w:lang w:val="fr-FR"/>
        </w:rPr>
        <w:t xml:space="preserve"> ;</w:t>
      </w:r>
      <w:r w:rsidRPr="00575A30">
        <w:rPr>
          <w:kern w:val="22"/>
          <w:lang w:val="fr-FR"/>
        </w:rPr>
        <w:t xml:space="preserve"> </w:t>
      </w:r>
      <w:r w:rsidR="00836592" w:rsidRPr="00575A30">
        <w:rPr>
          <w:kern w:val="22"/>
          <w:lang w:val="fr-FR"/>
        </w:rPr>
        <w:t>ii</w:t>
      </w:r>
      <w:r w:rsidRPr="00575A30">
        <w:rPr>
          <w:kern w:val="22"/>
          <w:lang w:val="fr-FR"/>
        </w:rPr>
        <w:t>) identifie les recettes et les bénéficiaires des fonds dédiés à la protection de l'environnement</w:t>
      </w:r>
      <w:r w:rsidR="00BC6ED9" w:rsidRPr="00575A30">
        <w:rPr>
          <w:kern w:val="22"/>
          <w:lang w:val="fr-FR"/>
        </w:rPr>
        <w:t xml:space="preserve"> ;</w:t>
      </w:r>
      <w:r w:rsidRPr="00575A30">
        <w:rPr>
          <w:kern w:val="22"/>
          <w:lang w:val="fr-FR"/>
        </w:rPr>
        <w:t xml:space="preserve"> </w:t>
      </w:r>
      <w:r w:rsidR="00836592" w:rsidRPr="00575A30">
        <w:rPr>
          <w:kern w:val="22"/>
          <w:lang w:val="fr-FR"/>
        </w:rPr>
        <w:t>iii</w:t>
      </w:r>
      <w:r w:rsidRPr="00575A30">
        <w:rPr>
          <w:kern w:val="22"/>
          <w:lang w:val="fr-FR"/>
        </w:rPr>
        <w:t>) recense les sources potentielles de financement international en faveur de la conservation de la biodiversité</w:t>
      </w:r>
      <w:r w:rsidR="00BC6ED9" w:rsidRPr="00575A30">
        <w:rPr>
          <w:kern w:val="22"/>
          <w:lang w:val="fr-FR"/>
        </w:rPr>
        <w:t xml:space="preserve"> ;</w:t>
      </w:r>
      <w:r w:rsidRPr="00575A30">
        <w:rPr>
          <w:kern w:val="22"/>
          <w:lang w:val="fr-FR"/>
        </w:rPr>
        <w:t xml:space="preserve"> </w:t>
      </w:r>
      <w:r w:rsidR="00836592" w:rsidRPr="00575A30">
        <w:rPr>
          <w:kern w:val="22"/>
          <w:lang w:val="fr-FR"/>
        </w:rPr>
        <w:t>iv</w:t>
      </w:r>
      <w:r w:rsidRPr="00575A30">
        <w:rPr>
          <w:kern w:val="22"/>
          <w:lang w:val="fr-FR"/>
        </w:rPr>
        <w:t>) évalue l'efficacité du modèle de financement existant en faveur de la biodiversité</w:t>
      </w:r>
      <w:r w:rsidR="00BC6ED9" w:rsidRPr="00575A30">
        <w:rPr>
          <w:kern w:val="22"/>
          <w:lang w:val="fr-FR"/>
        </w:rPr>
        <w:t xml:space="preserve"> ;</w:t>
      </w:r>
      <w:r w:rsidRPr="00575A30">
        <w:rPr>
          <w:kern w:val="22"/>
          <w:lang w:val="fr-FR"/>
        </w:rPr>
        <w:t xml:space="preserve"> </w:t>
      </w:r>
      <w:r w:rsidR="00836592" w:rsidRPr="00575A30">
        <w:rPr>
          <w:kern w:val="22"/>
          <w:lang w:val="fr-FR"/>
        </w:rPr>
        <w:t>v</w:t>
      </w:r>
      <w:r w:rsidRPr="00575A30">
        <w:rPr>
          <w:kern w:val="22"/>
          <w:lang w:val="fr-FR"/>
        </w:rPr>
        <w:t xml:space="preserve">) prévoit la mobilisation de ressources </w:t>
      </w:r>
      <w:r w:rsidR="00D90C5B" w:rsidRPr="00575A30">
        <w:rPr>
          <w:kern w:val="22"/>
          <w:lang w:val="fr-FR"/>
        </w:rPr>
        <w:t>pour</w:t>
      </w:r>
      <w:r w:rsidRPr="00575A30">
        <w:rPr>
          <w:kern w:val="22"/>
          <w:lang w:val="fr-FR"/>
        </w:rPr>
        <w:t xml:space="preserve"> financer la conservation de la biodiversité </w:t>
      </w:r>
      <w:r w:rsidR="00D90C5B" w:rsidRPr="00575A30">
        <w:rPr>
          <w:kern w:val="22"/>
          <w:lang w:val="fr-FR"/>
        </w:rPr>
        <w:t xml:space="preserve">et </w:t>
      </w:r>
      <w:r w:rsidR="00836592" w:rsidRPr="00575A30">
        <w:rPr>
          <w:kern w:val="22"/>
          <w:lang w:val="fr-FR"/>
        </w:rPr>
        <w:t>vi</w:t>
      </w:r>
      <w:r w:rsidRPr="00575A30">
        <w:rPr>
          <w:kern w:val="22"/>
          <w:lang w:val="fr-FR"/>
        </w:rPr>
        <w:t>)</w:t>
      </w:r>
      <w:r w:rsidR="002B2904" w:rsidRPr="00575A30">
        <w:rPr>
          <w:kern w:val="22"/>
          <w:lang w:val="fr-FR"/>
        </w:rPr>
        <w:t xml:space="preserve"> fait</w:t>
      </w:r>
      <w:r w:rsidRPr="00575A30">
        <w:rPr>
          <w:kern w:val="22"/>
          <w:lang w:val="fr-FR"/>
        </w:rPr>
        <w:t xml:space="preserve"> le suivi de la mise en œuvre</w:t>
      </w:r>
      <w:r w:rsidR="00BC6ED9" w:rsidRPr="00575A30">
        <w:rPr>
          <w:kern w:val="22"/>
          <w:lang w:val="fr-FR"/>
        </w:rPr>
        <w:t> ;</w:t>
      </w:r>
      <w:r w:rsidRPr="00575A30">
        <w:rPr>
          <w:kern w:val="22"/>
          <w:lang w:val="fr-FR"/>
        </w:rPr>
        <w:t xml:space="preserve"> </w:t>
      </w:r>
    </w:p>
    <w:p w14:paraId="22B1FB1A" w14:textId="77777777" w:rsidR="001F6F8F" w:rsidRDefault="001F6F8F" w:rsidP="00F36F85">
      <w:pPr>
        <w:pStyle w:val="Para1"/>
        <w:numPr>
          <w:ilvl w:val="1"/>
          <w:numId w:val="11"/>
        </w:numPr>
        <w:tabs>
          <w:tab w:val="clear" w:pos="1440"/>
        </w:tabs>
        <w:ind w:left="0" w:firstLine="851"/>
        <w:rPr>
          <w:kern w:val="22"/>
          <w:lang w:val="fr-FR"/>
        </w:rPr>
      </w:pPr>
      <w:r w:rsidRPr="00575A30">
        <w:rPr>
          <w:kern w:val="22"/>
          <w:lang w:val="fr-FR"/>
        </w:rPr>
        <w:t xml:space="preserve">Certaines des activités prévues dans le plan de mobilisation des ressources du Botswana visent </w:t>
      </w:r>
      <w:r w:rsidR="00836592" w:rsidRPr="00575A30">
        <w:rPr>
          <w:kern w:val="22"/>
          <w:lang w:val="fr-FR"/>
        </w:rPr>
        <w:t>i</w:t>
      </w:r>
      <w:r w:rsidRPr="00575A30">
        <w:rPr>
          <w:kern w:val="22"/>
          <w:lang w:val="fr-FR"/>
        </w:rPr>
        <w:t xml:space="preserve">) à faire en sorte que le fonds national pour l'environnement soit pleinement opérationnel et que des crédits spécifiques soit alloués </w:t>
      </w:r>
      <w:r w:rsidR="00330937" w:rsidRPr="00575A30">
        <w:rPr>
          <w:kern w:val="22"/>
          <w:lang w:val="fr-FR"/>
        </w:rPr>
        <w:t xml:space="preserve">dans ce cadre </w:t>
      </w:r>
      <w:r w:rsidRPr="00575A30">
        <w:rPr>
          <w:kern w:val="22"/>
          <w:lang w:val="fr-FR"/>
        </w:rPr>
        <w:t>aux activités liées à la conservation de la biodiversité</w:t>
      </w:r>
      <w:r w:rsidR="00BC6ED9" w:rsidRPr="00575A30">
        <w:rPr>
          <w:kern w:val="22"/>
          <w:lang w:val="fr-FR"/>
        </w:rPr>
        <w:t xml:space="preserve"> ;</w:t>
      </w:r>
      <w:r w:rsidRPr="00575A30">
        <w:rPr>
          <w:kern w:val="22"/>
          <w:lang w:val="fr-FR"/>
        </w:rPr>
        <w:t xml:space="preserve"> et </w:t>
      </w:r>
      <w:r w:rsidR="00836592" w:rsidRPr="00575A30">
        <w:rPr>
          <w:kern w:val="22"/>
          <w:lang w:val="fr-FR"/>
        </w:rPr>
        <w:t>ii</w:t>
      </w:r>
      <w:r w:rsidRPr="00575A30">
        <w:rPr>
          <w:kern w:val="22"/>
          <w:lang w:val="fr-FR"/>
        </w:rPr>
        <w:t>) à faire établir une étude</w:t>
      </w:r>
      <w:r w:rsidR="009C5C21" w:rsidRPr="00575A30">
        <w:rPr>
          <w:kern w:val="22"/>
          <w:lang w:val="fr-FR"/>
        </w:rPr>
        <w:t xml:space="preserve"> contenant des données ventilées</w:t>
      </w:r>
      <w:r w:rsidRPr="00575A30">
        <w:rPr>
          <w:kern w:val="22"/>
          <w:lang w:val="fr-FR"/>
        </w:rPr>
        <w:t xml:space="preserve"> sur les dépenses et les recettes </w:t>
      </w:r>
      <w:r w:rsidR="009C5C21" w:rsidRPr="00575A30">
        <w:rPr>
          <w:kern w:val="22"/>
          <w:lang w:val="fr-FR"/>
        </w:rPr>
        <w:t>se rapportant</w:t>
      </w:r>
      <w:r w:rsidRPr="00575A30">
        <w:rPr>
          <w:kern w:val="22"/>
          <w:lang w:val="fr-FR"/>
        </w:rPr>
        <w:t xml:space="preserve"> à la biodiversité </w:t>
      </w:r>
      <w:r w:rsidR="009C5C21" w:rsidRPr="00575A30">
        <w:rPr>
          <w:kern w:val="22"/>
          <w:lang w:val="fr-FR"/>
        </w:rPr>
        <w:t xml:space="preserve">pour les </w:t>
      </w:r>
      <w:r w:rsidRPr="00575A30">
        <w:rPr>
          <w:kern w:val="22"/>
          <w:lang w:val="fr-FR"/>
        </w:rPr>
        <w:t xml:space="preserve">secteurs public et privé, </w:t>
      </w:r>
      <w:r w:rsidR="009C5C21" w:rsidRPr="00575A30">
        <w:rPr>
          <w:kern w:val="22"/>
          <w:lang w:val="fr-FR"/>
        </w:rPr>
        <w:t>l</w:t>
      </w:r>
      <w:r w:rsidRPr="00575A30">
        <w:rPr>
          <w:kern w:val="22"/>
          <w:lang w:val="fr-FR"/>
        </w:rPr>
        <w:t xml:space="preserve">es ONG, </w:t>
      </w:r>
      <w:r w:rsidR="009C5C21" w:rsidRPr="00575A30">
        <w:rPr>
          <w:kern w:val="22"/>
          <w:lang w:val="fr-FR"/>
        </w:rPr>
        <w:t>l</w:t>
      </w:r>
      <w:r w:rsidRPr="00575A30">
        <w:rPr>
          <w:kern w:val="22"/>
          <w:lang w:val="fr-FR"/>
        </w:rPr>
        <w:t xml:space="preserve">es associations locales, </w:t>
      </w:r>
      <w:r w:rsidR="009C5C21" w:rsidRPr="00575A30">
        <w:rPr>
          <w:kern w:val="22"/>
          <w:lang w:val="fr-FR"/>
        </w:rPr>
        <w:t>l</w:t>
      </w:r>
      <w:r w:rsidRPr="00575A30">
        <w:rPr>
          <w:kern w:val="22"/>
          <w:lang w:val="fr-FR"/>
        </w:rPr>
        <w:t xml:space="preserve">es programmes internationaux concertés et </w:t>
      </w:r>
      <w:r w:rsidR="009C5C21" w:rsidRPr="00575A30">
        <w:rPr>
          <w:kern w:val="22"/>
          <w:lang w:val="fr-FR"/>
        </w:rPr>
        <w:t>l</w:t>
      </w:r>
      <w:r w:rsidRPr="00575A30">
        <w:rPr>
          <w:kern w:val="22"/>
          <w:lang w:val="fr-FR"/>
        </w:rPr>
        <w:t>es instituts de recherche</w:t>
      </w:r>
      <w:r w:rsidR="00BC6ED9" w:rsidRPr="00575A30">
        <w:rPr>
          <w:kern w:val="22"/>
          <w:lang w:val="fr-FR"/>
        </w:rPr>
        <w:t xml:space="preserve"> ;</w:t>
      </w:r>
    </w:p>
    <w:p w14:paraId="20FADF73" w14:textId="77777777" w:rsidR="005A2BC1" w:rsidRPr="00575A30" w:rsidRDefault="005A2BC1" w:rsidP="00F36F85">
      <w:pPr>
        <w:pStyle w:val="Para1"/>
        <w:numPr>
          <w:ilvl w:val="1"/>
          <w:numId w:val="11"/>
        </w:numPr>
        <w:tabs>
          <w:tab w:val="clear" w:pos="1440"/>
        </w:tabs>
        <w:ind w:left="0" w:firstLine="851"/>
        <w:rPr>
          <w:kern w:val="22"/>
          <w:lang w:val="fr-FR"/>
        </w:rPr>
      </w:pPr>
      <w:r>
        <w:rPr>
          <w:kern w:val="22"/>
          <w:lang w:val="fr-FR"/>
        </w:rPr>
        <w:t xml:space="preserve">Le plan de mobilisation des ressources du Costa Rica a été créé </w:t>
      </w:r>
      <w:r w:rsidR="00C86C2E">
        <w:rPr>
          <w:kern w:val="22"/>
          <w:lang w:val="fr-FR"/>
        </w:rPr>
        <w:t>en conséquence</w:t>
      </w:r>
      <w:r>
        <w:rPr>
          <w:kern w:val="22"/>
          <w:lang w:val="fr-FR"/>
        </w:rPr>
        <w:t xml:space="preserve"> de la participation du pays à </w:t>
      </w:r>
      <w:r w:rsidRPr="00953074">
        <w:rPr>
          <w:kern w:val="22"/>
          <w:lang w:val="fr-FR"/>
        </w:rPr>
        <w:t>l’Initiative de financement de la diversité biologique (BIOFIN) </w:t>
      </w:r>
      <w:r>
        <w:rPr>
          <w:kern w:val="22"/>
          <w:lang w:val="fr-FR"/>
        </w:rPr>
        <w:t>;</w:t>
      </w:r>
    </w:p>
    <w:p w14:paraId="535B11CC" w14:textId="77777777" w:rsidR="001F6F8F" w:rsidRDefault="001F6F8F" w:rsidP="00F36F85">
      <w:pPr>
        <w:pStyle w:val="Para1"/>
        <w:numPr>
          <w:ilvl w:val="1"/>
          <w:numId w:val="11"/>
        </w:numPr>
        <w:tabs>
          <w:tab w:val="clear" w:pos="1440"/>
        </w:tabs>
        <w:ind w:left="0" w:firstLine="851"/>
        <w:rPr>
          <w:kern w:val="22"/>
          <w:lang w:val="fr-FR"/>
        </w:rPr>
      </w:pPr>
      <w:r w:rsidRPr="00575A30">
        <w:rPr>
          <w:kern w:val="22"/>
          <w:lang w:val="fr-FR"/>
        </w:rPr>
        <w:t xml:space="preserve">La stratégie et le plan d'action nationaux pour la biodiversité des Maldives comprennent une stratégie de mobilisation des ressources qui expose les besoins financiers et présente plusieurs options en vue de lever des fonds (par exemple, recettes tirées du tourisme, de la pêche et de la foresterie, des droits liés à la promotion et à la propriété immobilières, Fonds vert des Maldives (établi comme une source potentiellement très importante de financement), taxe verte, correction des incitations </w:t>
      </w:r>
      <w:r w:rsidR="00C86C2E">
        <w:rPr>
          <w:kern w:val="22"/>
          <w:lang w:val="fr-FR"/>
        </w:rPr>
        <w:t>à effet pervers, secteur privé) ;</w:t>
      </w:r>
    </w:p>
    <w:p w14:paraId="67C6A2D6" w14:textId="77777777" w:rsidR="00C86C2E" w:rsidRPr="00575A30" w:rsidRDefault="00C86C2E" w:rsidP="00F36F85">
      <w:pPr>
        <w:pStyle w:val="Para1"/>
        <w:numPr>
          <w:ilvl w:val="1"/>
          <w:numId w:val="11"/>
        </w:numPr>
        <w:tabs>
          <w:tab w:val="clear" w:pos="1440"/>
        </w:tabs>
        <w:ind w:left="0" w:firstLine="851"/>
        <w:rPr>
          <w:kern w:val="22"/>
          <w:lang w:val="fr-FR"/>
        </w:rPr>
      </w:pPr>
      <w:r>
        <w:rPr>
          <w:kern w:val="22"/>
          <w:lang w:val="fr-FR"/>
        </w:rPr>
        <w:t>La stratégie de financement du Rwanda met l’accent sur la création de mécanismes de financement innovateurs visant à accroître les contributions des secteurs public et privé et le soutien des partenaires de développement.</w:t>
      </w:r>
    </w:p>
    <w:p w14:paraId="4A61E2E1" w14:textId="77777777" w:rsidR="001973C1" w:rsidRPr="00575A30" w:rsidRDefault="00D669D0" w:rsidP="00F36F85">
      <w:pPr>
        <w:numPr>
          <w:ilvl w:val="0"/>
          <w:numId w:val="11"/>
        </w:numPr>
        <w:tabs>
          <w:tab w:val="clear" w:pos="540"/>
          <w:tab w:val="num" w:pos="851"/>
        </w:tabs>
        <w:ind w:left="0" w:firstLine="0"/>
        <w:rPr>
          <w:snapToGrid w:val="0"/>
          <w:kern w:val="22"/>
          <w:szCs w:val="22"/>
          <w:lang w:val="fr-FR"/>
        </w:rPr>
      </w:pPr>
      <w:r w:rsidRPr="00575A30">
        <w:rPr>
          <w:snapToGrid w:val="0"/>
          <w:kern w:val="22"/>
          <w:szCs w:val="22"/>
          <w:lang w:val="fr-FR"/>
        </w:rPr>
        <w:lastRenderedPageBreak/>
        <w:t xml:space="preserve">Au total, </w:t>
      </w:r>
      <w:r w:rsidR="0073610D">
        <w:rPr>
          <w:snapToGrid w:val="0"/>
          <w:kern w:val="22"/>
          <w:szCs w:val="22"/>
          <w:lang w:val="fr-FR"/>
        </w:rPr>
        <w:t>6</w:t>
      </w:r>
      <w:r w:rsidR="00AF4E79">
        <w:rPr>
          <w:snapToGrid w:val="0"/>
          <w:kern w:val="22"/>
          <w:szCs w:val="22"/>
          <w:lang w:val="fr-FR"/>
        </w:rPr>
        <w:t>4</w:t>
      </w:r>
      <w:r w:rsidR="00494678" w:rsidRPr="00575A30">
        <w:rPr>
          <w:snapToGrid w:val="0"/>
          <w:kern w:val="22"/>
          <w:szCs w:val="22"/>
          <w:lang w:val="fr-FR"/>
        </w:rPr>
        <w:t xml:space="preserve"> </w:t>
      </w:r>
      <w:r w:rsidRPr="00575A30">
        <w:rPr>
          <w:snapToGrid w:val="0"/>
          <w:kern w:val="22"/>
          <w:szCs w:val="22"/>
          <w:lang w:val="fr-FR"/>
        </w:rPr>
        <w:t>SPANB révisés</w:t>
      </w:r>
      <w:r w:rsidR="00C86C2E">
        <w:rPr>
          <w:rStyle w:val="FootnoteReference"/>
          <w:snapToGrid w:val="0"/>
          <w:kern w:val="22"/>
          <w:szCs w:val="22"/>
          <w:lang w:val="fr-FR"/>
        </w:rPr>
        <w:footnoteReference w:id="35"/>
      </w:r>
      <w:r w:rsidRPr="00575A30">
        <w:rPr>
          <w:snapToGrid w:val="0"/>
          <w:kern w:val="22"/>
          <w:szCs w:val="22"/>
          <w:lang w:val="fr-FR"/>
        </w:rPr>
        <w:t xml:space="preserve"> </w:t>
      </w:r>
      <w:r w:rsidR="0065058B" w:rsidRPr="00575A30">
        <w:rPr>
          <w:snapToGrid w:val="0"/>
          <w:kern w:val="22"/>
          <w:szCs w:val="22"/>
          <w:lang w:val="fr-FR"/>
        </w:rPr>
        <w:t xml:space="preserve">présentent </w:t>
      </w:r>
      <w:r w:rsidRPr="00575A30">
        <w:rPr>
          <w:snapToGrid w:val="0"/>
          <w:kern w:val="22"/>
          <w:szCs w:val="22"/>
          <w:lang w:val="fr-FR"/>
        </w:rPr>
        <w:t>un chiffrage de</w:t>
      </w:r>
      <w:r w:rsidR="00E31BC1" w:rsidRPr="00575A30">
        <w:rPr>
          <w:snapToGrid w:val="0"/>
          <w:kern w:val="22"/>
          <w:szCs w:val="22"/>
          <w:lang w:val="fr-FR"/>
        </w:rPr>
        <w:t xml:space="preserve"> leur</w:t>
      </w:r>
      <w:r w:rsidRPr="00575A30">
        <w:rPr>
          <w:snapToGrid w:val="0"/>
          <w:kern w:val="22"/>
          <w:szCs w:val="22"/>
          <w:lang w:val="fr-FR"/>
        </w:rPr>
        <w:t xml:space="preserve">s </w:t>
      </w:r>
      <w:r w:rsidR="00513E28" w:rsidRPr="00575A30">
        <w:rPr>
          <w:snapToGrid w:val="0"/>
          <w:kern w:val="22"/>
          <w:szCs w:val="22"/>
          <w:lang w:val="fr-FR"/>
        </w:rPr>
        <w:t>plans d'action</w:t>
      </w:r>
      <w:r w:rsidRPr="00575A30">
        <w:rPr>
          <w:snapToGrid w:val="0"/>
          <w:kern w:val="22"/>
          <w:szCs w:val="22"/>
          <w:lang w:val="fr-FR"/>
        </w:rPr>
        <w:t xml:space="preserve">. Seuls </w:t>
      </w:r>
      <w:r w:rsidR="00C86C2E">
        <w:rPr>
          <w:snapToGrid w:val="0"/>
          <w:kern w:val="22"/>
          <w:szCs w:val="22"/>
          <w:lang w:val="fr-FR"/>
        </w:rPr>
        <w:t>1</w:t>
      </w:r>
      <w:r w:rsidR="00AF4E79">
        <w:rPr>
          <w:snapToGrid w:val="0"/>
          <w:kern w:val="22"/>
          <w:szCs w:val="22"/>
          <w:lang w:val="fr-FR"/>
        </w:rPr>
        <w:t>2</w:t>
      </w:r>
      <w:r w:rsidR="00494678" w:rsidRPr="00575A30">
        <w:rPr>
          <w:snapToGrid w:val="0"/>
          <w:kern w:val="22"/>
          <w:szCs w:val="22"/>
          <w:lang w:val="fr-FR"/>
        </w:rPr>
        <w:t xml:space="preserve"> </w:t>
      </w:r>
      <w:r w:rsidR="0065058B" w:rsidRPr="00575A30">
        <w:rPr>
          <w:snapToGrid w:val="0"/>
          <w:kern w:val="22"/>
          <w:szCs w:val="22"/>
          <w:lang w:val="fr-FR"/>
        </w:rPr>
        <w:t xml:space="preserve">de ces </w:t>
      </w:r>
      <w:r w:rsidR="00330937" w:rsidRPr="00575A30">
        <w:rPr>
          <w:snapToGrid w:val="0"/>
          <w:kern w:val="22"/>
          <w:szCs w:val="22"/>
          <w:lang w:val="fr-FR"/>
        </w:rPr>
        <w:t xml:space="preserve">documents </w:t>
      </w:r>
      <w:r w:rsidRPr="00575A30">
        <w:rPr>
          <w:snapToGrid w:val="0"/>
          <w:kern w:val="22"/>
          <w:szCs w:val="22"/>
          <w:lang w:val="fr-FR"/>
        </w:rPr>
        <w:t xml:space="preserve">(déjà mentionnés ci-dessus) </w:t>
      </w:r>
      <w:r w:rsidR="00E31BC1" w:rsidRPr="00575A30">
        <w:rPr>
          <w:snapToGrid w:val="0"/>
          <w:kern w:val="22"/>
          <w:szCs w:val="22"/>
          <w:lang w:val="fr-FR"/>
        </w:rPr>
        <w:t xml:space="preserve">contiennent aussi </w:t>
      </w:r>
      <w:r w:rsidRPr="00575A30">
        <w:rPr>
          <w:snapToGrid w:val="0"/>
          <w:kern w:val="22"/>
          <w:szCs w:val="22"/>
          <w:lang w:val="fr-FR"/>
        </w:rPr>
        <w:t xml:space="preserve">une stratégie </w:t>
      </w:r>
      <w:r w:rsidR="00E31BC1" w:rsidRPr="00575A30">
        <w:rPr>
          <w:snapToGrid w:val="0"/>
          <w:kern w:val="22"/>
          <w:szCs w:val="22"/>
          <w:lang w:val="fr-FR"/>
        </w:rPr>
        <w:t xml:space="preserve">complète </w:t>
      </w:r>
      <w:r w:rsidRPr="00575A30">
        <w:rPr>
          <w:snapToGrid w:val="0"/>
          <w:kern w:val="22"/>
          <w:szCs w:val="22"/>
          <w:lang w:val="fr-FR"/>
        </w:rPr>
        <w:t>de mobilisation des ressources.</w:t>
      </w:r>
    </w:p>
    <w:p w14:paraId="2849A43C" w14:textId="77777777" w:rsidR="00543482" w:rsidRPr="00575A30" w:rsidRDefault="00543482" w:rsidP="00543482">
      <w:pPr>
        <w:tabs>
          <w:tab w:val="num" w:pos="851"/>
        </w:tabs>
        <w:rPr>
          <w:snapToGrid w:val="0"/>
          <w:kern w:val="22"/>
          <w:szCs w:val="22"/>
          <w:lang w:val="fr-FR"/>
        </w:rPr>
      </w:pPr>
    </w:p>
    <w:p w14:paraId="2C2E6B1D" w14:textId="77777777" w:rsidR="00E96FAA" w:rsidRDefault="00CB4DEF" w:rsidP="00504E72">
      <w:pPr>
        <w:numPr>
          <w:ilvl w:val="0"/>
          <w:numId w:val="11"/>
        </w:numPr>
        <w:tabs>
          <w:tab w:val="clear" w:pos="540"/>
          <w:tab w:val="num" w:pos="851"/>
        </w:tabs>
        <w:ind w:left="0" w:firstLine="0"/>
        <w:rPr>
          <w:snapToGrid w:val="0"/>
          <w:kern w:val="22"/>
          <w:szCs w:val="22"/>
          <w:lang w:val="fr-FR"/>
        </w:rPr>
      </w:pPr>
      <w:r w:rsidRPr="00575A30">
        <w:rPr>
          <w:snapToGrid w:val="0"/>
          <w:kern w:val="22"/>
          <w:szCs w:val="22"/>
          <w:lang w:val="fr-FR"/>
        </w:rPr>
        <w:t xml:space="preserve">Au total, </w:t>
      </w:r>
      <w:r w:rsidR="00AF4E79">
        <w:rPr>
          <w:snapToGrid w:val="0"/>
          <w:kern w:val="22"/>
          <w:szCs w:val="22"/>
          <w:lang w:val="fr-FR"/>
        </w:rPr>
        <w:t>100</w:t>
      </w:r>
      <w:r w:rsidR="00765F7A">
        <w:rPr>
          <w:snapToGrid w:val="0"/>
          <w:kern w:val="22"/>
          <w:szCs w:val="22"/>
          <w:lang w:val="fr-FR"/>
        </w:rPr>
        <w:t xml:space="preserve"> Parties</w:t>
      </w:r>
      <w:r w:rsidR="00494678" w:rsidRPr="00575A30">
        <w:rPr>
          <w:snapToGrid w:val="0"/>
          <w:kern w:val="22"/>
          <w:szCs w:val="22"/>
          <w:vertAlign w:val="superscript"/>
          <w:lang w:val="fr-FR"/>
        </w:rPr>
        <w:footnoteReference w:id="36"/>
      </w:r>
      <w:r w:rsidR="00494678" w:rsidRPr="00575A30">
        <w:rPr>
          <w:snapToGrid w:val="0"/>
          <w:kern w:val="22"/>
          <w:szCs w:val="22"/>
          <w:lang w:val="fr-FR"/>
        </w:rPr>
        <w:t xml:space="preserve"> </w:t>
      </w:r>
      <w:r w:rsidRPr="00575A30">
        <w:rPr>
          <w:snapToGrid w:val="0"/>
          <w:kern w:val="22"/>
          <w:szCs w:val="22"/>
          <w:lang w:val="fr-FR"/>
        </w:rPr>
        <w:t>ont défini des objectifs nationaux en conformité avec l'objectif 20 d'Aichi relatif à la diversité biologique</w:t>
      </w:r>
      <w:r w:rsidR="00494678" w:rsidRPr="00575A30">
        <w:rPr>
          <w:snapToGrid w:val="0"/>
          <w:kern w:val="22"/>
          <w:szCs w:val="22"/>
          <w:lang w:val="fr-FR"/>
        </w:rPr>
        <w:t xml:space="preserve">, et </w:t>
      </w:r>
      <w:r w:rsidR="00AF4E79">
        <w:rPr>
          <w:snapToGrid w:val="0"/>
          <w:kern w:val="22"/>
          <w:szCs w:val="22"/>
          <w:lang w:val="fr-FR"/>
        </w:rPr>
        <w:t>81</w:t>
      </w:r>
      <w:r w:rsidR="00494678" w:rsidRPr="00575A30">
        <w:rPr>
          <w:snapToGrid w:val="0"/>
          <w:kern w:val="22"/>
          <w:szCs w:val="22"/>
          <w:lang w:val="fr-FR"/>
        </w:rPr>
        <w:t xml:space="preserve"> </w:t>
      </w:r>
      <w:r w:rsidR="00E96FAA" w:rsidRPr="00575A30">
        <w:rPr>
          <w:snapToGrid w:val="0"/>
          <w:kern w:val="22"/>
          <w:szCs w:val="22"/>
          <w:lang w:val="fr-FR"/>
        </w:rPr>
        <w:t xml:space="preserve">Parties </w:t>
      </w:r>
      <w:r w:rsidR="00DD11FA" w:rsidRPr="00575A30">
        <w:rPr>
          <w:snapToGrid w:val="0"/>
          <w:kern w:val="22"/>
          <w:szCs w:val="22"/>
          <w:lang w:val="fr-FR"/>
        </w:rPr>
        <w:t>donnent des précisions</w:t>
      </w:r>
      <w:r w:rsidR="00494678" w:rsidRPr="00575A30">
        <w:rPr>
          <w:snapToGrid w:val="0"/>
          <w:kern w:val="22"/>
          <w:szCs w:val="22"/>
          <w:lang w:val="fr-FR"/>
        </w:rPr>
        <w:t>, dans leurs SPANB,</w:t>
      </w:r>
      <w:r w:rsidR="00DD11FA" w:rsidRPr="00575A30">
        <w:rPr>
          <w:snapToGrid w:val="0"/>
          <w:kern w:val="22"/>
          <w:szCs w:val="22"/>
          <w:lang w:val="fr-FR"/>
        </w:rPr>
        <w:t xml:space="preserve"> sur les efforts qui ont été mis</w:t>
      </w:r>
      <w:r w:rsidR="002B6B8C" w:rsidRPr="00575A30">
        <w:rPr>
          <w:snapToGrid w:val="0"/>
          <w:kern w:val="22"/>
          <w:szCs w:val="22"/>
          <w:lang w:val="fr-FR"/>
        </w:rPr>
        <w:t xml:space="preserve"> en place pour </w:t>
      </w:r>
      <w:r w:rsidR="00DD11FA" w:rsidRPr="00575A30">
        <w:rPr>
          <w:snapToGrid w:val="0"/>
          <w:kern w:val="22"/>
          <w:szCs w:val="22"/>
          <w:lang w:val="fr-FR"/>
        </w:rPr>
        <w:t>mobiliser des fonds supplémentaires en faveur de la biodiversité dans leurs pays et/ou sur leur intention d'élaborer un plan de mobilisation des ressources :</w:t>
      </w:r>
    </w:p>
    <w:p w14:paraId="0BCFFECC" w14:textId="77777777" w:rsidR="00765F7A" w:rsidRDefault="00765F7A" w:rsidP="00765F7A">
      <w:pPr>
        <w:pStyle w:val="ListParagraph0"/>
        <w:rPr>
          <w:snapToGrid w:val="0"/>
          <w:kern w:val="22"/>
          <w:szCs w:val="22"/>
          <w:lang w:val="fr-FR"/>
        </w:rPr>
      </w:pPr>
    </w:p>
    <w:p w14:paraId="456E819F" w14:textId="77777777" w:rsidR="00765F7A" w:rsidRDefault="00765F7A" w:rsidP="00A5637B">
      <w:pPr>
        <w:numPr>
          <w:ilvl w:val="1"/>
          <w:numId w:val="11"/>
        </w:numPr>
        <w:tabs>
          <w:tab w:val="clear" w:pos="1440"/>
        </w:tabs>
        <w:ind w:left="0" w:firstLine="720"/>
        <w:rPr>
          <w:snapToGrid w:val="0"/>
          <w:kern w:val="22"/>
          <w:szCs w:val="22"/>
          <w:lang w:val="fr-FR"/>
        </w:rPr>
      </w:pPr>
      <w:r>
        <w:rPr>
          <w:snapToGrid w:val="0"/>
          <w:kern w:val="22"/>
          <w:szCs w:val="22"/>
          <w:lang w:val="fr-FR"/>
        </w:rPr>
        <w:t xml:space="preserve">Le Belize </w:t>
      </w:r>
      <w:r w:rsidR="00A5637B">
        <w:rPr>
          <w:snapToGrid w:val="0"/>
          <w:kern w:val="22"/>
          <w:szCs w:val="22"/>
          <w:lang w:val="fr-FR"/>
        </w:rPr>
        <w:t xml:space="preserve">a recours à divers mécanismes pour financer </w:t>
      </w:r>
      <w:r>
        <w:rPr>
          <w:snapToGrid w:val="0"/>
          <w:kern w:val="22"/>
          <w:szCs w:val="22"/>
          <w:lang w:val="fr-FR"/>
        </w:rPr>
        <w:t xml:space="preserve">son </w:t>
      </w:r>
      <w:r w:rsidRPr="00953074">
        <w:rPr>
          <w:snapToGrid w:val="0"/>
          <w:kern w:val="22"/>
          <w:szCs w:val="22"/>
          <w:lang w:val="fr-FR"/>
        </w:rPr>
        <w:t>réseau national d’</w:t>
      </w:r>
      <w:r w:rsidR="00A5637B" w:rsidRPr="00953074">
        <w:rPr>
          <w:snapToGrid w:val="0"/>
          <w:kern w:val="22"/>
          <w:szCs w:val="22"/>
          <w:lang w:val="fr-FR"/>
        </w:rPr>
        <w:t>aires protégées</w:t>
      </w:r>
      <w:r>
        <w:rPr>
          <w:snapToGrid w:val="0"/>
          <w:kern w:val="22"/>
          <w:szCs w:val="22"/>
          <w:lang w:val="fr-FR"/>
        </w:rPr>
        <w:t xml:space="preserve">, dont des subventions du </w:t>
      </w:r>
      <w:r w:rsidRPr="00953074">
        <w:rPr>
          <w:snapToGrid w:val="0"/>
          <w:kern w:val="22"/>
          <w:szCs w:val="22"/>
          <w:lang w:val="fr-FR"/>
        </w:rPr>
        <w:t xml:space="preserve">Fonds </w:t>
      </w:r>
      <w:r w:rsidR="00BE4B63" w:rsidRPr="00953074">
        <w:rPr>
          <w:snapToGrid w:val="0"/>
          <w:kern w:val="22"/>
          <w:szCs w:val="22"/>
          <w:lang w:val="fr-FR"/>
        </w:rPr>
        <w:t xml:space="preserve">d’affectation spéciale </w:t>
      </w:r>
      <w:r w:rsidRPr="00953074">
        <w:rPr>
          <w:snapToGrid w:val="0"/>
          <w:kern w:val="22"/>
          <w:szCs w:val="22"/>
          <w:lang w:val="fr-FR"/>
        </w:rPr>
        <w:t>pour la conservation des aires protégées (PACT)</w:t>
      </w:r>
      <w:r>
        <w:rPr>
          <w:snapToGrid w:val="0"/>
          <w:kern w:val="22"/>
          <w:szCs w:val="22"/>
          <w:lang w:val="fr-FR"/>
        </w:rPr>
        <w:t>, d</w:t>
      </w:r>
      <w:r w:rsidR="00A5637B">
        <w:rPr>
          <w:snapToGrid w:val="0"/>
          <w:kern w:val="22"/>
          <w:szCs w:val="22"/>
          <w:lang w:val="fr-FR"/>
        </w:rPr>
        <w:t xml:space="preserve">es </w:t>
      </w:r>
      <w:r>
        <w:rPr>
          <w:snapToGrid w:val="0"/>
          <w:kern w:val="22"/>
          <w:szCs w:val="22"/>
          <w:lang w:val="fr-FR"/>
        </w:rPr>
        <w:t xml:space="preserve">accords sur la reconversion de dettes en </w:t>
      </w:r>
      <w:r w:rsidR="00A5637B">
        <w:rPr>
          <w:snapToGrid w:val="0"/>
          <w:kern w:val="22"/>
          <w:szCs w:val="22"/>
          <w:lang w:val="fr-FR"/>
        </w:rPr>
        <w:t>i</w:t>
      </w:r>
      <w:r>
        <w:rPr>
          <w:snapToGrid w:val="0"/>
          <w:kern w:val="22"/>
          <w:szCs w:val="22"/>
          <w:lang w:val="fr-FR"/>
        </w:rPr>
        <w:t>nvestissements écologiques</w:t>
      </w:r>
      <w:r w:rsidR="00A5637B">
        <w:rPr>
          <w:snapToGrid w:val="0"/>
          <w:kern w:val="22"/>
          <w:szCs w:val="22"/>
          <w:lang w:val="fr-FR"/>
        </w:rPr>
        <w:t>, de revenus</w:t>
      </w:r>
      <w:r>
        <w:rPr>
          <w:snapToGrid w:val="0"/>
          <w:kern w:val="22"/>
          <w:szCs w:val="22"/>
          <w:lang w:val="fr-FR"/>
        </w:rPr>
        <w:t xml:space="preserve"> </w:t>
      </w:r>
      <w:r w:rsidR="00A5637B">
        <w:rPr>
          <w:snapToGrid w:val="0"/>
          <w:kern w:val="22"/>
          <w:szCs w:val="22"/>
          <w:lang w:val="fr-FR"/>
        </w:rPr>
        <w:t>créés</w:t>
      </w:r>
      <w:r>
        <w:rPr>
          <w:snapToGrid w:val="0"/>
          <w:kern w:val="22"/>
          <w:szCs w:val="22"/>
          <w:lang w:val="fr-FR"/>
        </w:rPr>
        <w:t xml:space="preserve"> directem</w:t>
      </w:r>
      <w:r w:rsidR="00A5637B">
        <w:rPr>
          <w:snapToGrid w:val="0"/>
          <w:kern w:val="22"/>
          <w:szCs w:val="22"/>
          <w:lang w:val="fr-FR"/>
        </w:rPr>
        <w:t>ent par les aires pr</w:t>
      </w:r>
      <w:r>
        <w:rPr>
          <w:snapToGrid w:val="0"/>
          <w:kern w:val="22"/>
          <w:szCs w:val="22"/>
          <w:lang w:val="fr-FR"/>
        </w:rPr>
        <w:t>otégées et de</w:t>
      </w:r>
      <w:r w:rsidR="00CE5D31">
        <w:rPr>
          <w:snapToGrid w:val="0"/>
          <w:kern w:val="22"/>
          <w:szCs w:val="22"/>
          <w:lang w:val="fr-FR"/>
        </w:rPr>
        <w:t>s</w:t>
      </w:r>
      <w:r>
        <w:rPr>
          <w:snapToGrid w:val="0"/>
          <w:kern w:val="22"/>
          <w:szCs w:val="22"/>
          <w:lang w:val="fr-FR"/>
        </w:rPr>
        <w:t xml:space="preserve"> fonds </w:t>
      </w:r>
      <w:r w:rsidR="00A5637B">
        <w:rPr>
          <w:snapToGrid w:val="0"/>
          <w:kern w:val="22"/>
          <w:szCs w:val="22"/>
          <w:lang w:val="fr-FR"/>
        </w:rPr>
        <w:t>provenant d’agences de cogestion des aires protégées ;</w:t>
      </w:r>
    </w:p>
    <w:p w14:paraId="3B6F7C5D" w14:textId="77777777" w:rsidR="00A5637B" w:rsidRDefault="00A5637B" w:rsidP="00A5637B">
      <w:pPr>
        <w:ind w:firstLine="900"/>
        <w:rPr>
          <w:snapToGrid w:val="0"/>
          <w:kern w:val="22"/>
          <w:szCs w:val="22"/>
          <w:lang w:val="fr-FR"/>
        </w:rPr>
      </w:pPr>
    </w:p>
    <w:p w14:paraId="3F02E030" w14:textId="77777777" w:rsidR="00A5637B" w:rsidRPr="00575A30" w:rsidRDefault="00A5637B" w:rsidP="00A5637B">
      <w:pPr>
        <w:numPr>
          <w:ilvl w:val="1"/>
          <w:numId w:val="11"/>
        </w:numPr>
        <w:tabs>
          <w:tab w:val="clear" w:pos="1440"/>
        </w:tabs>
        <w:ind w:left="0" w:firstLine="810"/>
        <w:rPr>
          <w:snapToGrid w:val="0"/>
          <w:kern w:val="22"/>
          <w:szCs w:val="22"/>
          <w:lang w:val="fr-FR"/>
        </w:rPr>
      </w:pPr>
      <w:r>
        <w:rPr>
          <w:snapToGrid w:val="0"/>
          <w:kern w:val="22"/>
          <w:szCs w:val="22"/>
          <w:lang w:val="fr-FR"/>
        </w:rPr>
        <w:t xml:space="preserve">Le fonds d’affectation spéciale « </w:t>
      </w:r>
      <w:r w:rsidRPr="00953074">
        <w:rPr>
          <w:snapToGrid w:val="0"/>
          <w:kern w:val="22"/>
          <w:szCs w:val="22"/>
          <w:lang w:val="fr-FR"/>
        </w:rPr>
        <w:t>Okapi</w:t>
      </w:r>
      <w:r>
        <w:rPr>
          <w:snapToGrid w:val="0"/>
          <w:kern w:val="22"/>
          <w:szCs w:val="22"/>
          <w:lang w:val="fr-FR"/>
        </w:rPr>
        <w:t> » pour la réhabilitation des aires protégées en République démocratique du Congo a été créé en 2014 et profite de l’appui de la Loi sur la conservation de nature ;</w:t>
      </w:r>
    </w:p>
    <w:p w14:paraId="6C5F7A8F" w14:textId="77777777" w:rsidR="00E96FAA" w:rsidRPr="00575A30" w:rsidRDefault="00D65BA4" w:rsidP="00F36F85">
      <w:pPr>
        <w:pStyle w:val="Para1"/>
        <w:numPr>
          <w:ilvl w:val="1"/>
          <w:numId w:val="11"/>
        </w:numPr>
        <w:suppressLineNumbers/>
        <w:tabs>
          <w:tab w:val="clear" w:pos="1440"/>
          <w:tab w:val="num" w:pos="0"/>
          <w:tab w:val="num" w:pos="90"/>
          <w:tab w:val="left" w:pos="1560"/>
        </w:tabs>
        <w:suppressAutoHyphens/>
        <w:ind w:left="0" w:firstLine="851"/>
        <w:rPr>
          <w:kern w:val="22"/>
          <w:szCs w:val="22"/>
          <w:lang w:val="fr-FR"/>
        </w:rPr>
      </w:pPr>
      <w:r w:rsidRPr="00575A30">
        <w:rPr>
          <w:kern w:val="22"/>
          <w:szCs w:val="22"/>
          <w:lang w:val="fr-FR"/>
        </w:rPr>
        <w:t>En Guinée</w:t>
      </w:r>
      <w:r w:rsidR="00E96FAA" w:rsidRPr="00575A30">
        <w:rPr>
          <w:kern w:val="22"/>
          <w:szCs w:val="22"/>
          <w:lang w:val="fr-FR"/>
        </w:rPr>
        <w:t xml:space="preserve">-Bissau, </w:t>
      </w:r>
      <w:r w:rsidR="009D3384" w:rsidRPr="00575A30">
        <w:rPr>
          <w:kern w:val="22"/>
          <w:szCs w:val="22"/>
          <w:lang w:val="fr-FR"/>
        </w:rPr>
        <w:t xml:space="preserve">la création de la Fondation </w:t>
      </w:r>
      <w:proofErr w:type="spellStart"/>
      <w:r w:rsidR="009D3384" w:rsidRPr="00575A30">
        <w:rPr>
          <w:kern w:val="22"/>
          <w:szCs w:val="22"/>
          <w:lang w:val="fr-FR"/>
        </w:rPr>
        <w:t>BioGuiné</w:t>
      </w:r>
      <w:r w:rsidR="00485EB5">
        <w:rPr>
          <w:kern w:val="22"/>
          <w:szCs w:val="22"/>
          <w:lang w:val="fr-FR"/>
        </w:rPr>
        <w:t>e</w:t>
      </w:r>
      <w:proofErr w:type="spellEnd"/>
      <w:r w:rsidR="00A36E07" w:rsidRPr="00575A30">
        <w:rPr>
          <w:kern w:val="22"/>
          <w:szCs w:val="22"/>
          <w:lang w:val="fr-FR"/>
        </w:rPr>
        <w:t xml:space="preserve"> en 2011 a permis </w:t>
      </w:r>
      <w:r w:rsidR="009D3384" w:rsidRPr="00575A30">
        <w:rPr>
          <w:kern w:val="22"/>
          <w:szCs w:val="22"/>
          <w:lang w:val="fr-FR"/>
        </w:rPr>
        <w:t xml:space="preserve">de mettre en œuvre des activités relatives à la </w:t>
      </w:r>
      <w:r w:rsidR="00B126AA" w:rsidRPr="00575A30">
        <w:rPr>
          <w:kern w:val="22"/>
          <w:szCs w:val="22"/>
          <w:lang w:val="fr-FR"/>
        </w:rPr>
        <w:t>gestion</w:t>
      </w:r>
      <w:r w:rsidR="009D3384" w:rsidRPr="00575A30">
        <w:rPr>
          <w:kern w:val="22"/>
          <w:szCs w:val="22"/>
          <w:lang w:val="fr-FR"/>
        </w:rPr>
        <w:t xml:space="preserve"> durable des aires protégées et de mettre en place des mécanismes de financement durables en faveur des aires protégées</w:t>
      </w:r>
      <w:r w:rsidR="00BC6ED9" w:rsidRPr="00575A30">
        <w:rPr>
          <w:kern w:val="22"/>
          <w:szCs w:val="22"/>
          <w:lang w:val="fr-FR"/>
        </w:rPr>
        <w:t> ;</w:t>
      </w:r>
    </w:p>
    <w:p w14:paraId="25EDBA16" w14:textId="77777777" w:rsidR="00551948" w:rsidRPr="00575A30" w:rsidRDefault="00224C0C" w:rsidP="00F36F85">
      <w:pPr>
        <w:pStyle w:val="Para1"/>
        <w:numPr>
          <w:ilvl w:val="1"/>
          <w:numId w:val="11"/>
        </w:numPr>
        <w:suppressLineNumbers/>
        <w:tabs>
          <w:tab w:val="clear" w:pos="1440"/>
          <w:tab w:val="num" w:pos="0"/>
          <w:tab w:val="num" w:pos="90"/>
          <w:tab w:val="left" w:pos="1560"/>
        </w:tabs>
        <w:suppressAutoHyphens/>
        <w:ind w:left="0" w:firstLine="851"/>
        <w:rPr>
          <w:kern w:val="22"/>
          <w:szCs w:val="22"/>
          <w:lang w:val="fr-FR"/>
        </w:rPr>
      </w:pPr>
      <w:r w:rsidRPr="00575A30">
        <w:rPr>
          <w:kern w:val="22"/>
          <w:szCs w:val="22"/>
          <w:lang w:val="fr-FR"/>
        </w:rPr>
        <w:t xml:space="preserve">Au cours </w:t>
      </w:r>
      <w:r w:rsidR="00A27281" w:rsidRPr="00575A30">
        <w:rPr>
          <w:kern w:val="22"/>
          <w:szCs w:val="22"/>
          <w:lang w:val="fr-FR"/>
        </w:rPr>
        <w:t>de la dernière décennie</w:t>
      </w:r>
      <w:r w:rsidRPr="00575A30">
        <w:rPr>
          <w:kern w:val="22"/>
          <w:szCs w:val="22"/>
          <w:lang w:val="fr-FR"/>
        </w:rPr>
        <w:t>, la Malais</w:t>
      </w:r>
      <w:r w:rsidR="00205D9D" w:rsidRPr="00575A30">
        <w:rPr>
          <w:kern w:val="22"/>
          <w:szCs w:val="22"/>
          <w:lang w:val="fr-FR"/>
        </w:rPr>
        <w:t>i</w:t>
      </w:r>
      <w:r w:rsidRPr="00575A30">
        <w:rPr>
          <w:kern w:val="22"/>
          <w:szCs w:val="22"/>
          <w:lang w:val="fr-FR"/>
        </w:rPr>
        <w:t xml:space="preserve">e a </w:t>
      </w:r>
      <w:r w:rsidR="009F2D10" w:rsidRPr="00575A30">
        <w:rPr>
          <w:kern w:val="22"/>
          <w:szCs w:val="22"/>
          <w:lang w:val="fr-FR"/>
        </w:rPr>
        <w:t xml:space="preserve">observé une certaine diversification des financements en faveur de la conservation. Différents fonds d'affectation spéciale (par exemple le Fonds d'affectation spéciale pour les parcs marins, le Fonds d'affectation spéciale Taman Negara) et, plus récemment, le </w:t>
      </w:r>
      <w:r w:rsidR="009F2D10" w:rsidRPr="00953074">
        <w:rPr>
          <w:kern w:val="22"/>
          <w:szCs w:val="22"/>
          <w:lang w:val="fr-FR"/>
        </w:rPr>
        <w:t>Fonds national d'affectation spéciale pour la conservation des ressources naturelles</w:t>
      </w:r>
      <w:r w:rsidR="009F2D10" w:rsidRPr="00575A30">
        <w:rPr>
          <w:kern w:val="22"/>
          <w:szCs w:val="22"/>
          <w:lang w:val="fr-FR"/>
        </w:rPr>
        <w:t xml:space="preserve">, ont été établis en tant que mécanismes de financement </w:t>
      </w:r>
      <w:r w:rsidR="006B1FF6" w:rsidRPr="00575A30">
        <w:rPr>
          <w:kern w:val="22"/>
          <w:szCs w:val="22"/>
          <w:lang w:val="fr-FR"/>
        </w:rPr>
        <w:t>durables</w:t>
      </w:r>
      <w:r w:rsidR="009F2D10" w:rsidRPr="00575A30">
        <w:rPr>
          <w:kern w:val="22"/>
          <w:szCs w:val="22"/>
          <w:lang w:val="fr-FR"/>
        </w:rPr>
        <w:t xml:space="preserve"> à long terme</w:t>
      </w:r>
      <w:r w:rsidR="00BC6ED9" w:rsidRPr="00575A30">
        <w:rPr>
          <w:kern w:val="22"/>
          <w:szCs w:val="22"/>
          <w:lang w:val="fr-FR"/>
        </w:rPr>
        <w:t> ;</w:t>
      </w:r>
    </w:p>
    <w:p w14:paraId="2C089477" w14:textId="77777777" w:rsidR="00986D55" w:rsidRDefault="00551948" w:rsidP="00F36F85">
      <w:pPr>
        <w:pStyle w:val="Para1"/>
        <w:numPr>
          <w:ilvl w:val="1"/>
          <w:numId w:val="11"/>
        </w:numPr>
        <w:suppressLineNumbers/>
        <w:tabs>
          <w:tab w:val="clear" w:pos="1440"/>
          <w:tab w:val="num" w:pos="0"/>
          <w:tab w:val="num" w:pos="90"/>
          <w:tab w:val="left" w:pos="1560"/>
        </w:tabs>
        <w:suppressAutoHyphens/>
        <w:ind w:left="0" w:firstLine="851"/>
        <w:rPr>
          <w:kern w:val="22"/>
          <w:szCs w:val="22"/>
          <w:lang w:val="fr-FR"/>
        </w:rPr>
      </w:pPr>
      <w:r w:rsidRPr="00575A30">
        <w:rPr>
          <w:kern w:val="22"/>
          <w:szCs w:val="22"/>
          <w:lang w:val="fr-FR"/>
        </w:rPr>
        <w:t xml:space="preserve">Le </w:t>
      </w:r>
      <w:r w:rsidR="00E96FAA" w:rsidRPr="00575A30">
        <w:rPr>
          <w:kern w:val="22"/>
          <w:szCs w:val="22"/>
          <w:lang w:val="fr-FR"/>
        </w:rPr>
        <w:t xml:space="preserve">Mozambique </w:t>
      </w:r>
      <w:r w:rsidRPr="00575A30">
        <w:rPr>
          <w:kern w:val="22"/>
          <w:szCs w:val="22"/>
          <w:lang w:val="fr-FR"/>
        </w:rPr>
        <w:t xml:space="preserve">dispose d'une </w:t>
      </w:r>
      <w:r w:rsidRPr="00FA2C78">
        <w:rPr>
          <w:kern w:val="22"/>
          <w:szCs w:val="22"/>
          <w:lang w:val="fr-FR"/>
        </w:rPr>
        <w:t>Fondation pour la conservation de la biodiversité</w:t>
      </w:r>
      <w:r w:rsidRPr="00575A30">
        <w:rPr>
          <w:kern w:val="22"/>
          <w:szCs w:val="22"/>
          <w:lang w:val="fr-FR"/>
        </w:rPr>
        <w:t>, un organisme privé dont la mission est de soutenir la conservation et la gestion durable des ressources naturelles et de la biodiversité aquatique et terrestre.</w:t>
      </w:r>
    </w:p>
    <w:p w14:paraId="60347517" w14:textId="77777777" w:rsidR="00AF4E79" w:rsidRDefault="00AF4E79" w:rsidP="00F36F85">
      <w:pPr>
        <w:pStyle w:val="Para1"/>
        <w:numPr>
          <w:ilvl w:val="1"/>
          <w:numId w:val="11"/>
        </w:numPr>
        <w:suppressLineNumbers/>
        <w:tabs>
          <w:tab w:val="clear" w:pos="1440"/>
          <w:tab w:val="num" w:pos="0"/>
          <w:tab w:val="num" w:pos="90"/>
          <w:tab w:val="left" w:pos="1560"/>
        </w:tabs>
        <w:suppressAutoHyphens/>
        <w:ind w:left="0" w:firstLine="851"/>
        <w:rPr>
          <w:kern w:val="22"/>
          <w:szCs w:val="22"/>
          <w:lang w:val="fr-FR"/>
        </w:rPr>
      </w:pPr>
      <w:r>
        <w:rPr>
          <w:kern w:val="22"/>
          <w:szCs w:val="22"/>
          <w:lang w:val="fr-FR"/>
        </w:rPr>
        <w:t xml:space="preserve">Trinité-et-Tobago </w:t>
      </w:r>
      <w:r w:rsidR="00FC4ED4">
        <w:rPr>
          <w:kern w:val="22"/>
          <w:szCs w:val="22"/>
          <w:lang w:val="fr-FR"/>
        </w:rPr>
        <w:t>possède un</w:t>
      </w:r>
      <w:r>
        <w:rPr>
          <w:kern w:val="22"/>
          <w:szCs w:val="22"/>
          <w:lang w:val="fr-FR"/>
        </w:rPr>
        <w:t xml:space="preserve"> Fonds vert </w:t>
      </w:r>
      <w:r w:rsidR="00FC4ED4">
        <w:rPr>
          <w:kern w:val="22"/>
          <w:szCs w:val="22"/>
          <w:lang w:val="fr-FR"/>
        </w:rPr>
        <w:t xml:space="preserve">établi au titre </w:t>
      </w:r>
      <w:r>
        <w:rPr>
          <w:kern w:val="22"/>
          <w:szCs w:val="22"/>
          <w:lang w:val="fr-FR"/>
        </w:rPr>
        <w:t>de la L</w:t>
      </w:r>
      <w:r w:rsidR="00FC4ED4">
        <w:rPr>
          <w:kern w:val="22"/>
          <w:szCs w:val="22"/>
          <w:lang w:val="fr-FR"/>
        </w:rPr>
        <w:t xml:space="preserve">oi sur les finances, en 2000, afin de percevoir des </w:t>
      </w:r>
      <w:r w:rsidR="0029154E">
        <w:rPr>
          <w:kern w:val="22"/>
          <w:szCs w:val="22"/>
          <w:lang w:val="fr-FR"/>
        </w:rPr>
        <w:t>redevances</w:t>
      </w:r>
      <w:r w:rsidR="00FC4ED4">
        <w:rPr>
          <w:kern w:val="22"/>
          <w:szCs w:val="22"/>
          <w:lang w:val="fr-FR"/>
        </w:rPr>
        <w:t xml:space="preserve"> </w:t>
      </w:r>
      <w:r w:rsidR="007F3B0E">
        <w:rPr>
          <w:kern w:val="22"/>
          <w:szCs w:val="22"/>
          <w:lang w:val="fr-FR"/>
        </w:rPr>
        <w:t>pour un</w:t>
      </w:r>
      <w:r w:rsidR="00FC4ED4">
        <w:rPr>
          <w:kern w:val="22"/>
          <w:szCs w:val="22"/>
          <w:lang w:val="fr-FR"/>
        </w:rPr>
        <w:t xml:space="preserve"> Fonds vert</w:t>
      </w:r>
      <w:r w:rsidR="007F3B0E">
        <w:rPr>
          <w:kern w:val="22"/>
          <w:szCs w:val="22"/>
          <w:lang w:val="fr-FR"/>
        </w:rPr>
        <w:t>. Les sommes recueillies visent à offrir une assistance financière aux organismes et groupes communautaires pour la mise en œuvre d’activités de restauration, de reboisement et de conservation de l’environnement.</w:t>
      </w:r>
    </w:p>
    <w:p w14:paraId="577CE7B8" w14:textId="77777777" w:rsidR="007F3B0E" w:rsidRPr="00575A30" w:rsidRDefault="007F3B0E" w:rsidP="00F36F85">
      <w:pPr>
        <w:pStyle w:val="Para1"/>
        <w:numPr>
          <w:ilvl w:val="1"/>
          <w:numId w:val="11"/>
        </w:numPr>
        <w:suppressLineNumbers/>
        <w:tabs>
          <w:tab w:val="clear" w:pos="1440"/>
          <w:tab w:val="num" w:pos="0"/>
          <w:tab w:val="num" w:pos="90"/>
          <w:tab w:val="left" w:pos="1560"/>
        </w:tabs>
        <w:suppressAutoHyphens/>
        <w:ind w:left="0" w:firstLine="851"/>
        <w:rPr>
          <w:kern w:val="22"/>
          <w:szCs w:val="22"/>
          <w:lang w:val="fr-FR"/>
        </w:rPr>
      </w:pPr>
      <w:r>
        <w:rPr>
          <w:kern w:val="22"/>
          <w:szCs w:val="22"/>
          <w:lang w:val="fr-FR"/>
        </w:rPr>
        <w:t xml:space="preserve">Les États fédérés de Micronésie </w:t>
      </w:r>
      <w:r w:rsidR="00210443">
        <w:rPr>
          <w:kern w:val="22"/>
          <w:szCs w:val="22"/>
          <w:lang w:val="fr-FR"/>
        </w:rPr>
        <w:t>ont établi</w:t>
      </w:r>
      <w:r>
        <w:rPr>
          <w:kern w:val="22"/>
          <w:szCs w:val="22"/>
          <w:lang w:val="fr-FR"/>
        </w:rPr>
        <w:t xml:space="preserve"> le fonds d’affectation spéciale pour la conservation de la Micronésie</w:t>
      </w:r>
      <w:r w:rsidR="00210443">
        <w:rPr>
          <w:kern w:val="22"/>
          <w:szCs w:val="22"/>
          <w:lang w:val="fr-FR"/>
        </w:rPr>
        <w:t xml:space="preserve"> (MCT), dont les activités ont débuté en 2002. Il s’agit du premier fonds d’affectation spéciale pour </w:t>
      </w:r>
      <w:proofErr w:type="gramStart"/>
      <w:r w:rsidR="00210443">
        <w:rPr>
          <w:kern w:val="22"/>
          <w:szCs w:val="22"/>
          <w:lang w:val="fr-FR"/>
        </w:rPr>
        <w:t xml:space="preserve">la conservation </w:t>
      </w:r>
      <w:r w:rsidR="0029154E">
        <w:rPr>
          <w:kern w:val="22"/>
          <w:szCs w:val="22"/>
          <w:lang w:val="fr-FR"/>
        </w:rPr>
        <w:t>établi</w:t>
      </w:r>
      <w:proofErr w:type="gramEnd"/>
      <w:r w:rsidR="0029154E">
        <w:rPr>
          <w:kern w:val="22"/>
          <w:szCs w:val="22"/>
          <w:lang w:val="fr-FR"/>
        </w:rPr>
        <w:t xml:space="preserve"> dans la </w:t>
      </w:r>
      <w:r w:rsidR="00210443">
        <w:rPr>
          <w:kern w:val="22"/>
          <w:szCs w:val="22"/>
          <w:lang w:val="fr-FR"/>
        </w:rPr>
        <w:t xml:space="preserve">région, </w:t>
      </w:r>
      <w:r w:rsidR="0029154E">
        <w:rPr>
          <w:kern w:val="22"/>
          <w:szCs w:val="22"/>
          <w:lang w:val="fr-FR"/>
        </w:rPr>
        <w:t>afin de</w:t>
      </w:r>
      <w:r w:rsidR="00210443">
        <w:rPr>
          <w:kern w:val="22"/>
          <w:szCs w:val="22"/>
          <w:lang w:val="fr-FR"/>
        </w:rPr>
        <w:t xml:space="preserve"> soutenir la conservation de la </w:t>
      </w:r>
      <w:r w:rsidR="00210443">
        <w:rPr>
          <w:kern w:val="22"/>
          <w:szCs w:val="22"/>
          <w:lang w:val="fr-FR"/>
        </w:rPr>
        <w:lastRenderedPageBreak/>
        <w:t xml:space="preserve">biodiversité, l’adaptation aux changements climatiques et le développement durable dans l’ensemble des États fédérés de Micronésie et la grande région </w:t>
      </w:r>
      <w:r w:rsidR="00556556">
        <w:rPr>
          <w:kern w:val="22"/>
          <w:szCs w:val="22"/>
          <w:lang w:val="fr-FR"/>
        </w:rPr>
        <w:t>micronésienne</w:t>
      </w:r>
      <w:r w:rsidR="00210443">
        <w:rPr>
          <w:kern w:val="22"/>
          <w:szCs w:val="22"/>
          <w:lang w:val="fr-FR"/>
        </w:rPr>
        <w:t>.</w:t>
      </w:r>
    </w:p>
    <w:p w14:paraId="6DD25B0D" w14:textId="77777777" w:rsidR="005E4188" w:rsidRPr="00575A30" w:rsidRDefault="00B12680" w:rsidP="00B12680">
      <w:pPr>
        <w:pStyle w:val="Para1"/>
        <w:numPr>
          <w:ilvl w:val="0"/>
          <w:numId w:val="0"/>
        </w:numPr>
        <w:jc w:val="center"/>
        <w:rPr>
          <w:bCs/>
          <w:i/>
          <w:iCs/>
          <w:kern w:val="22"/>
          <w:lang w:val="fr-FR"/>
        </w:rPr>
      </w:pPr>
      <w:r w:rsidRPr="00575A30">
        <w:rPr>
          <w:bCs/>
          <w:i/>
          <w:iCs/>
          <w:kern w:val="22"/>
          <w:lang w:val="fr-FR"/>
        </w:rPr>
        <w:t>2.</w:t>
      </w:r>
      <w:r w:rsidR="00BE15D9" w:rsidRPr="00575A30">
        <w:rPr>
          <w:bCs/>
          <w:i/>
          <w:iCs/>
          <w:kern w:val="22"/>
          <w:lang w:val="fr-FR"/>
        </w:rPr>
        <w:tab/>
      </w:r>
      <w:r w:rsidR="005E4188" w:rsidRPr="008A124F">
        <w:rPr>
          <w:bCs/>
          <w:i/>
          <w:iCs/>
          <w:kern w:val="22"/>
          <w:lang w:val="fr-FR"/>
        </w:rPr>
        <w:t>Communication</w:t>
      </w:r>
      <w:r w:rsidR="005E4188" w:rsidRPr="00575A30">
        <w:rPr>
          <w:bCs/>
          <w:i/>
          <w:iCs/>
          <w:kern w:val="22"/>
          <w:lang w:val="fr-FR"/>
        </w:rPr>
        <w:t xml:space="preserve">, </w:t>
      </w:r>
      <w:r w:rsidR="00840513" w:rsidRPr="00575A30">
        <w:rPr>
          <w:bCs/>
          <w:i/>
          <w:iCs/>
          <w:kern w:val="22"/>
          <w:lang w:val="fr-FR"/>
        </w:rPr>
        <w:t>é</w:t>
      </w:r>
      <w:r w:rsidR="00572989" w:rsidRPr="00575A30">
        <w:rPr>
          <w:bCs/>
          <w:i/>
          <w:iCs/>
          <w:kern w:val="22"/>
          <w:lang w:val="fr-FR"/>
        </w:rPr>
        <w:t xml:space="preserve">ducation </w:t>
      </w:r>
      <w:r w:rsidR="00840513" w:rsidRPr="00575A30">
        <w:rPr>
          <w:bCs/>
          <w:i/>
          <w:iCs/>
          <w:kern w:val="22"/>
          <w:lang w:val="fr-FR"/>
        </w:rPr>
        <w:t>et sensibilisation du public</w:t>
      </w:r>
    </w:p>
    <w:p w14:paraId="39FC006D" w14:textId="77777777" w:rsidR="0040277E" w:rsidRPr="00575A30" w:rsidRDefault="000E3FCF" w:rsidP="00F36F85">
      <w:pPr>
        <w:numPr>
          <w:ilvl w:val="0"/>
          <w:numId w:val="11"/>
        </w:numPr>
        <w:tabs>
          <w:tab w:val="clear" w:pos="540"/>
          <w:tab w:val="num" w:pos="709"/>
        </w:tabs>
        <w:ind w:left="0" w:firstLine="0"/>
        <w:rPr>
          <w:kern w:val="22"/>
          <w:szCs w:val="22"/>
          <w:lang w:val="fr-FR"/>
        </w:rPr>
      </w:pPr>
      <w:r w:rsidRPr="00575A30">
        <w:rPr>
          <w:kern w:val="22"/>
          <w:szCs w:val="22"/>
          <w:lang w:val="fr-FR"/>
        </w:rPr>
        <w:t>Les décisions </w:t>
      </w:r>
      <w:hyperlink r:id="rId17" w:history="1">
        <w:r w:rsidR="003B136D" w:rsidRPr="00FA0E97">
          <w:rPr>
            <w:rStyle w:val="Hyperlink"/>
            <w:kern w:val="22"/>
            <w:szCs w:val="22"/>
            <w:lang w:val="fr-FR"/>
          </w:rPr>
          <w:t>VIII/6</w:t>
        </w:r>
      </w:hyperlink>
      <w:r w:rsidR="003B136D" w:rsidRPr="00575A30">
        <w:rPr>
          <w:kern w:val="22"/>
          <w:szCs w:val="22"/>
          <w:lang w:val="fr-FR"/>
        </w:rPr>
        <w:t xml:space="preserve"> </w:t>
      </w:r>
      <w:r w:rsidRPr="00575A30">
        <w:rPr>
          <w:kern w:val="22"/>
          <w:szCs w:val="22"/>
          <w:lang w:val="fr-FR"/>
        </w:rPr>
        <w:t>et </w:t>
      </w:r>
      <w:hyperlink r:id="rId18" w:history="1">
        <w:r w:rsidR="003B136D" w:rsidRPr="00DA210C">
          <w:rPr>
            <w:rStyle w:val="Hyperlink"/>
            <w:kern w:val="22"/>
            <w:szCs w:val="22"/>
            <w:lang w:val="fr-FR"/>
          </w:rPr>
          <w:t>IX/8</w:t>
        </w:r>
      </w:hyperlink>
      <w:r w:rsidRPr="00575A30">
        <w:rPr>
          <w:kern w:val="22"/>
          <w:szCs w:val="22"/>
          <w:lang w:val="fr-FR"/>
        </w:rPr>
        <w:t xml:space="preserve"> </w:t>
      </w:r>
      <w:r w:rsidR="00002FDC" w:rsidRPr="00575A30">
        <w:rPr>
          <w:kern w:val="22"/>
          <w:szCs w:val="22"/>
          <w:lang w:val="fr-FR"/>
        </w:rPr>
        <w:t xml:space="preserve">énoncent </w:t>
      </w:r>
      <w:r w:rsidRPr="00575A30">
        <w:rPr>
          <w:kern w:val="22"/>
          <w:szCs w:val="22"/>
          <w:lang w:val="fr-FR"/>
        </w:rPr>
        <w:t>que des</w:t>
      </w:r>
      <w:r w:rsidR="00D850AB" w:rsidRPr="00575A30">
        <w:rPr>
          <w:kern w:val="22"/>
          <w:szCs w:val="22"/>
          <w:lang w:val="fr-FR"/>
        </w:rPr>
        <w:t xml:space="preserve"> stratégies</w:t>
      </w:r>
      <w:r w:rsidR="00494678" w:rsidRPr="00575A30">
        <w:rPr>
          <w:kern w:val="22"/>
          <w:szCs w:val="22"/>
          <w:lang w:val="fr-FR"/>
        </w:rPr>
        <w:t xml:space="preserve"> et des activités</w:t>
      </w:r>
      <w:r w:rsidR="00D850AB" w:rsidRPr="00575A30">
        <w:rPr>
          <w:kern w:val="22"/>
          <w:szCs w:val="22"/>
          <w:lang w:val="fr-FR"/>
        </w:rPr>
        <w:t xml:space="preserve"> de communication, d</w:t>
      </w:r>
      <w:r w:rsidRPr="00575A30">
        <w:rPr>
          <w:kern w:val="22"/>
          <w:szCs w:val="22"/>
          <w:lang w:val="fr-FR"/>
        </w:rPr>
        <w:t>’</w:t>
      </w:r>
      <w:r w:rsidR="00D850AB" w:rsidRPr="00575A30">
        <w:rPr>
          <w:kern w:val="22"/>
          <w:szCs w:val="22"/>
          <w:lang w:val="fr-FR"/>
        </w:rPr>
        <w:t>éducation et de</w:t>
      </w:r>
      <w:r w:rsidRPr="00575A30">
        <w:rPr>
          <w:kern w:val="22"/>
          <w:szCs w:val="22"/>
          <w:lang w:val="fr-FR"/>
        </w:rPr>
        <w:t xml:space="preserve"> sensibilisation du public</w:t>
      </w:r>
      <w:r w:rsidR="00D850AB" w:rsidRPr="00575A30">
        <w:rPr>
          <w:kern w:val="22"/>
          <w:szCs w:val="22"/>
          <w:lang w:val="fr-FR"/>
        </w:rPr>
        <w:t xml:space="preserve"> devraient faire partie intégrante des SPANB. </w:t>
      </w:r>
      <w:r w:rsidR="00A61D5D" w:rsidRPr="00575A30">
        <w:rPr>
          <w:kern w:val="22"/>
          <w:szCs w:val="22"/>
          <w:lang w:val="fr-FR"/>
        </w:rPr>
        <w:t>Sur l</w:t>
      </w:r>
      <w:r w:rsidR="00D850AB" w:rsidRPr="00575A30">
        <w:rPr>
          <w:kern w:val="22"/>
          <w:szCs w:val="22"/>
          <w:lang w:val="fr-FR"/>
        </w:rPr>
        <w:t>es</w:t>
      </w:r>
      <w:r w:rsidR="00A85330" w:rsidRPr="00575A30">
        <w:rPr>
          <w:kern w:val="22"/>
          <w:szCs w:val="22"/>
          <w:lang w:val="fr-FR"/>
        </w:rPr>
        <w:t xml:space="preserve"> </w:t>
      </w:r>
      <w:r w:rsidR="008A124F">
        <w:rPr>
          <w:kern w:val="22"/>
          <w:szCs w:val="22"/>
          <w:lang w:val="fr-FR"/>
        </w:rPr>
        <w:t>1</w:t>
      </w:r>
      <w:r w:rsidR="000A55F8">
        <w:rPr>
          <w:kern w:val="22"/>
          <w:szCs w:val="22"/>
          <w:lang w:val="fr-FR"/>
        </w:rPr>
        <w:t>67</w:t>
      </w:r>
      <w:r w:rsidR="00494678" w:rsidRPr="00575A30">
        <w:rPr>
          <w:kern w:val="22"/>
          <w:szCs w:val="22"/>
          <w:lang w:val="fr-FR"/>
        </w:rPr>
        <w:t xml:space="preserve"> </w:t>
      </w:r>
      <w:r w:rsidR="00D850AB" w:rsidRPr="00575A30">
        <w:rPr>
          <w:kern w:val="22"/>
          <w:szCs w:val="22"/>
          <w:lang w:val="fr-FR"/>
        </w:rPr>
        <w:t>SPANB de l’après</w:t>
      </w:r>
      <w:r w:rsidR="00002FDC" w:rsidRPr="00575A30">
        <w:rPr>
          <w:kern w:val="22"/>
          <w:szCs w:val="22"/>
          <w:lang w:val="fr-FR"/>
        </w:rPr>
        <w:t>-</w:t>
      </w:r>
      <w:r w:rsidR="00D850AB" w:rsidRPr="00575A30">
        <w:rPr>
          <w:kern w:val="22"/>
          <w:szCs w:val="22"/>
          <w:lang w:val="fr-FR"/>
        </w:rPr>
        <w:t xml:space="preserve">Nagoya, </w:t>
      </w:r>
      <w:r w:rsidR="008A124F">
        <w:rPr>
          <w:kern w:val="22"/>
          <w:szCs w:val="22"/>
          <w:lang w:val="fr-FR"/>
        </w:rPr>
        <w:t>3</w:t>
      </w:r>
      <w:r w:rsidR="000A55F8">
        <w:rPr>
          <w:kern w:val="22"/>
          <w:szCs w:val="22"/>
          <w:lang w:val="fr-FR"/>
        </w:rPr>
        <w:t>8</w:t>
      </w:r>
      <w:r w:rsidR="00BC0B72" w:rsidRPr="00575A30">
        <w:rPr>
          <w:rStyle w:val="FootnoteReference"/>
          <w:snapToGrid w:val="0"/>
          <w:kern w:val="22"/>
          <w:szCs w:val="22"/>
          <w:lang w:val="fr-FR"/>
        </w:rPr>
        <w:footnoteReference w:id="37"/>
      </w:r>
      <w:r w:rsidR="00D850AB" w:rsidRPr="00575A30">
        <w:rPr>
          <w:kern w:val="22"/>
          <w:szCs w:val="22"/>
          <w:lang w:val="fr-FR"/>
        </w:rPr>
        <w:t xml:space="preserve"> </w:t>
      </w:r>
      <w:r w:rsidR="00A61D5D" w:rsidRPr="00575A30">
        <w:rPr>
          <w:kern w:val="22"/>
          <w:szCs w:val="22"/>
          <w:lang w:val="fr-FR"/>
        </w:rPr>
        <w:t xml:space="preserve">comprennent </w:t>
      </w:r>
      <w:r w:rsidR="00D850AB" w:rsidRPr="00575A30">
        <w:rPr>
          <w:kern w:val="22"/>
          <w:szCs w:val="22"/>
          <w:lang w:val="fr-FR"/>
        </w:rPr>
        <w:t xml:space="preserve">une stratégie et </w:t>
      </w:r>
      <w:r w:rsidR="00A61D5D" w:rsidRPr="00575A30">
        <w:rPr>
          <w:kern w:val="22"/>
          <w:szCs w:val="22"/>
          <w:lang w:val="fr-FR"/>
        </w:rPr>
        <w:t xml:space="preserve">un </w:t>
      </w:r>
      <w:r w:rsidR="00D850AB" w:rsidRPr="00575A30">
        <w:rPr>
          <w:kern w:val="22"/>
          <w:szCs w:val="22"/>
          <w:lang w:val="fr-FR"/>
        </w:rPr>
        <w:t xml:space="preserve">plan d’action </w:t>
      </w:r>
      <w:r w:rsidR="00002FDC" w:rsidRPr="00575A30">
        <w:rPr>
          <w:kern w:val="22"/>
          <w:szCs w:val="22"/>
          <w:lang w:val="fr-FR"/>
        </w:rPr>
        <w:t xml:space="preserve">en matière de communication, d'éducation et de sensibilisation du public </w:t>
      </w:r>
      <w:r w:rsidR="00D850AB" w:rsidRPr="00575A30">
        <w:rPr>
          <w:kern w:val="22"/>
          <w:szCs w:val="22"/>
          <w:lang w:val="fr-FR"/>
        </w:rPr>
        <w:t xml:space="preserve">ou équivalent, et </w:t>
      </w:r>
      <w:r w:rsidR="000A55F8">
        <w:rPr>
          <w:kern w:val="22"/>
          <w:szCs w:val="22"/>
          <w:lang w:val="fr-FR"/>
        </w:rPr>
        <w:t>101</w:t>
      </w:r>
      <w:r w:rsidR="00BC0B72" w:rsidRPr="00575A30">
        <w:rPr>
          <w:snapToGrid w:val="0"/>
          <w:kern w:val="22"/>
          <w:szCs w:val="22"/>
          <w:vertAlign w:val="superscript"/>
          <w:lang w:val="fr-FR"/>
        </w:rPr>
        <w:footnoteReference w:id="38"/>
      </w:r>
      <w:r w:rsidR="00BC0B72" w:rsidRPr="00575A30">
        <w:rPr>
          <w:kern w:val="22"/>
          <w:szCs w:val="22"/>
          <w:lang w:val="fr-FR"/>
        </w:rPr>
        <w:t xml:space="preserve"> </w:t>
      </w:r>
      <w:r w:rsidR="00A61D5D" w:rsidRPr="00575A30">
        <w:rPr>
          <w:kern w:val="22"/>
          <w:szCs w:val="22"/>
          <w:lang w:val="fr-FR"/>
        </w:rPr>
        <w:t xml:space="preserve">incluent </w:t>
      </w:r>
      <w:r w:rsidR="00D850AB" w:rsidRPr="00575A30">
        <w:rPr>
          <w:kern w:val="22"/>
          <w:szCs w:val="22"/>
          <w:lang w:val="fr-FR"/>
        </w:rPr>
        <w:t>des initiatives</w:t>
      </w:r>
      <w:r w:rsidRPr="00575A30">
        <w:rPr>
          <w:kern w:val="22"/>
          <w:szCs w:val="22"/>
          <w:lang w:val="fr-FR"/>
        </w:rPr>
        <w:t xml:space="preserve"> </w:t>
      </w:r>
      <w:r w:rsidR="00D850AB" w:rsidRPr="00575A30">
        <w:rPr>
          <w:kern w:val="22"/>
          <w:szCs w:val="22"/>
          <w:lang w:val="fr-FR"/>
        </w:rPr>
        <w:t xml:space="preserve">portant sur la communication, l’éducation et la sensibilisation du public. </w:t>
      </w:r>
      <w:r w:rsidR="00002FDC" w:rsidRPr="00575A30">
        <w:rPr>
          <w:kern w:val="22"/>
          <w:szCs w:val="22"/>
          <w:lang w:val="fr-FR"/>
        </w:rPr>
        <w:t>En v</w:t>
      </w:r>
      <w:r w:rsidR="00D850AB" w:rsidRPr="00575A30">
        <w:rPr>
          <w:kern w:val="22"/>
          <w:szCs w:val="22"/>
          <w:lang w:val="fr-FR"/>
        </w:rPr>
        <w:t>oici quelques exemples :</w:t>
      </w:r>
    </w:p>
    <w:p w14:paraId="13A9356F" w14:textId="77777777" w:rsidR="008A124F" w:rsidRDefault="008A124F" w:rsidP="00F36F85">
      <w:pPr>
        <w:pStyle w:val="Para1"/>
        <w:numPr>
          <w:ilvl w:val="0"/>
          <w:numId w:val="9"/>
        </w:numPr>
        <w:tabs>
          <w:tab w:val="clear" w:pos="1080"/>
          <w:tab w:val="left" w:pos="1560"/>
        </w:tabs>
        <w:ind w:left="0" w:firstLine="905"/>
        <w:rPr>
          <w:kern w:val="22"/>
          <w:lang w:val="fr-FR"/>
        </w:rPr>
      </w:pPr>
      <w:r>
        <w:rPr>
          <w:kern w:val="22"/>
          <w:lang w:val="fr-FR"/>
        </w:rPr>
        <w:t>L’équateur possède un plan national d’éducation des citoyens en matière d’environnement qui propose des projets pour promouvoir les pratiques écologiques. Le plan est aussi connu sous l’appellation « Nous faisons partie de la solution » ;</w:t>
      </w:r>
    </w:p>
    <w:p w14:paraId="5D73A303" w14:textId="77777777" w:rsidR="004F3632" w:rsidRDefault="004F3632" w:rsidP="00F36F85">
      <w:pPr>
        <w:pStyle w:val="Para1"/>
        <w:numPr>
          <w:ilvl w:val="0"/>
          <w:numId w:val="9"/>
        </w:numPr>
        <w:tabs>
          <w:tab w:val="clear" w:pos="1080"/>
          <w:tab w:val="left" w:pos="1560"/>
        </w:tabs>
        <w:ind w:left="0" w:firstLine="905"/>
        <w:rPr>
          <w:kern w:val="22"/>
          <w:lang w:val="fr-FR"/>
        </w:rPr>
      </w:pPr>
      <w:r w:rsidRPr="00575A30">
        <w:rPr>
          <w:kern w:val="22"/>
          <w:lang w:val="fr-FR"/>
        </w:rPr>
        <w:t xml:space="preserve">La Finlande assurera la formation continue des enseignants </w:t>
      </w:r>
      <w:r w:rsidR="00494678" w:rsidRPr="00575A30">
        <w:rPr>
          <w:kern w:val="22"/>
          <w:lang w:val="fr-FR"/>
        </w:rPr>
        <w:t>(</w:t>
      </w:r>
      <w:r w:rsidR="00A27281" w:rsidRPr="00575A30">
        <w:rPr>
          <w:kern w:val="22"/>
          <w:lang w:val="fr-FR"/>
        </w:rPr>
        <w:t>en ce qui concerne</w:t>
      </w:r>
      <w:r w:rsidRPr="00575A30">
        <w:rPr>
          <w:kern w:val="22"/>
          <w:lang w:val="fr-FR"/>
        </w:rPr>
        <w:t xml:space="preserve"> les espèces et </w:t>
      </w:r>
      <w:r w:rsidR="00494678" w:rsidRPr="00575A30">
        <w:rPr>
          <w:kern w:val="22"/>
          <w:lang w:val="fr-FR"/>
        </w:rPr>
        <w:t xml:space="preserve">la </w:t>
      </w:r>
      <w:r w:rsidRPr="00575A30">
        <w:rPr>
          <w:kern w:val="22"/>
          <w:lang w:val="fr-FR"/>
        </w:rPr>
        <w:t>pédagogie axée sur les questions relatives à la biodiversité</w:t>
      </w:r>
      <w:r w:rsidR="00494678" w:rsidRPr="00575A30">
        <w:rPr>
          <w:kern w:val="22"/>
          <w:lang w:val="fr-FR"/>
        </w:rPr>
        <w:t>)</w:t>
      </w:r>
      <w:r w:rsidR="00BC6ED9" w:rsidRPr="00575A30">
        <w:rPr>
          <w:kern w:val="22"/>
          <w:lang w:val="fr-FR"/>
        </w:rPr>
        <w:t> ;</w:t>
      </w:r>
      <w:r w:rsidRPr="00575A30">
        <w:rPr>
          <w:kern w:val="22"/>
          <w:lang w:val="fr-FR"/>
        </w:rPr>
        <w:t xml:space="preserve"> en outre, à l'aide des nouvelles technologies de l'information, les connaissances sur les espèces et l'éducation au service du développement durable seront renforcées</w:t>
      </w:r>
      <w:r w:rsidR="00BC6ED9" w:rsidRPr="00575A30">
        <w:rPr>
          <w:kern w:val="22"/>
          <w:lang w:val="fr-FR"/>
        </w:rPr>
        <w:t xml:space="preserve"> ;</w:t>
      </w:r>
    </w:p>
    <w:p w14:paraId="38419311" w14:textId="77777777" w:rsidR="007C1EEC" w:rsidRDefault="007C1EEC" w:rsidP="00F36F85">
      <w:pPr>
        <w:pStyle w:val="Para1"/>
        <w:numPr>
          <w:ilvl w:val="0"/>
          <w:numId w:val="9"/>
        </w:numPr>
        <w:tabs>
          <w:tab w:val="clear" w:pos="1080"/>
          <w:tab w:val="left" w:pos="1560"/>
        </w:tabs>
        <w:ind w:left="0" w:firstLine="905"/>
        <w:rPr>
          <w:kern w:val="22"/>
          <w:lang w:val="fr-FR"/>
        </w:rPr>
      </w:pPr>
      <w:r>
        <w:rPr>
          <w:kern w:val="22"/>
          <w:lang w:val="fr-FR"/>
        </w:rPr>
        <w:t>Une des priori</w:t>
      </w:r>
      <w:r w:rsidR="00877AE3">
        <w:rPr>
          <w:kern w:val="22"/>
          <w:lang w:val="fr-FR"/>
        </w:rPr>
        <w:t>tés à court terme de Nauru est</w:t>
      </w:r>
      <w:r>
        <w:rPr>
          <w:kern w:val="22"/>
          <w:lang w:val="fr-FR"/>
        </w:rPr>
        <w:t> </w:t>
      </w:r>
      <w:r w:rsidRPr="00FA2C78">
        <w:rPr>
          <w:kern w:val="22"/>
          <w:lang w:val="fr-FR"/>
        </w:rPr>
        <w:t>d’éduquer systématiquement les personnes au moyen de cours formels et informels sur les connaissances et les compétences du pays en matière de diversité biologique, traditionnelles et nouvelles, afin de gérer ces ressources de manière durable</w:t>
      </w:r>
      <w:r>
        <w:rPr>
          <w:kern w:val="22"/>
          <w:lang w:val="fr-FR"/>
        </w:rPr>
        <w:t>;</w:t>
      </w:r>
    </w:p>
    <w:p w14:paraId="46B3B902" w14:textId="77777777" w:rsidR="0036122C" w:rsidRPr="00575A30" w:rsidRDefault="0036122C" w:rsidP="00F36F85">
      <w:pPr>
        <w:pStyle w:val="Para1"/>
        <w:numPr>
          <w:ilvl w:val="0"/>
          <w:numId w:val="9"/>
        </w:numPr>
        <w:tabs>
          <w:tab w:val="clear" w:pos="1080"/>
          <w:tab w:val="left" w:pos="1560"/>
        </w:tabs>
        <w:ind w:left="0" w:firstLine="905"/>
        <w:rPr>
          <w:kern w:val="22"/>
          <w:lang w:val="fr-FR"/>
        </w:rPr>
      </w:pPr>
      <w:r>
        <w:rPr>
          <w:kern w:val="22"/>
          <w:lang w:val="fr-FR"/>
        </w:rPr>
        <w:t xml:space="preserve">La Nouvelle-Zélande a un programme d’éducation en matière de conservation dirigé par les enfants de la communauté, qui a pour but de « ramener la diversité biologique à la ville ». Le pays possède également un programme Nature en santé, population en santé, développé conjointement par des agences gouvernementales, des ONG et Maori afin d’améliorer la vie des Néo-zélandais en </w:t>
      </w:r>
      <w:r w:rsidR="00877AE3">
        <w:rPr>
          <w:kern w:val="22"/>
          <w:lang w:val="fr-FR"/>
        </w:rPr>
        <w:t>les rapprochant de la nature ;</w:t>
      </w:r>
    </w:p>
    <w:p w14:paraId="77CD66A7" w14:textId="77777777" w:rsidR="004F3632" w:rsidRPr="00575A30" w:rsidRDefault="004F3632" w:rsidP="00F36F85">
      <w:pPr>
        <w:pStyle w:val="Para1"/>
        <w:numPr>
          <w:ilvl w:val="0"/>
          <w:numId w:val="9"/>
        </w:numPr>
        <w:tabs>
          <w:tab w:val="clear" w:pos="1080"/>
          <w:tab w:val="left" w:pos="1560"/>
        </w:tabs>
        <w:ind w:left="0" w:firstLine="905"/>
        <w:rPr>
          <w:kern w:val="22"/>
          <w:szCs w:val="22"/>
          <w:lang w:val="fr-FR"/>
        </w:rPr>
      </w:pPr>
      <w:r w:rsidRPr="00575A30">
        <w:rPr>
          <w:kern w:val="22"/>
          <w:lang w:val="fr-FR"/>
        </w:rPr>
        <w:t>Le Nicaragua a l'intention d'incorporer les questions liées à la Terre Mère et à la biodiversité dans les programmes universitaires. Il diffusera également les meilleures thèses sur les voies du bien commun (</w:t>
      </w:r>
      <w:proofErr w:type="spellStart"/>
      <w:r w:rsidRPr="00575A30">
        <w:rPr>
          <w:i/>
          <w:kern w:val="22"/>
          <w:szCs w:val="22"/>
          <w:lang w:val="fr-FR"/>
        </w:rPr>
        <w:t>Ruta</w:t>
      </w:r>
      <w:proofErr w:type="spellEnd"/>
      <w:r w:rsidRPr="00575A30">
        <w:rPr>
          <w:i/>
          <w:kern w:val="22"/>
          <w:szCs w:val="22"/>
          <w:lang w:val="fr-FR"/>
        </w:rPr>
        <w:t xml:space="preserve"> </w:t>
      </w:r>
      <w:proofErr w:type="spellStart"/>
      <w:r w:rsidRPr="00575A30">
        <w:rPr>
          <w:i/>
          <w:kern w:val="22"/>
          <w:szCs w:val="22"/>
          <w:lang w:val="fr-FR"/>
        </w:rPr>
        <w:t>del</w:t>
      </w:r>
      <w:proofErr w:type="spellEnd"/>
      <w:r w:rsidRPr="00575A30">
        <w:rPr>
          <w:i/>
          <w:kern w:val="22"/>
          <w:szCs w:val="22"/>
          <w:lang w:val="fr-FR"/>
        </w:rPr>
        <w:t xml:space="preserve"> Bien </w:t>
      </w:r>
      <w:proofErr w:type="spellStart"/>
      <w:r w:rsidRPr="00575A30">
        <w:rPr>
          <w:i/>
          <w:kern w:val="22"/>
          <w:szCs w:val="22"/>
          <w:lang w:val="fr-FR"/>
        </w:rPr>
        <w:t>Común</w:t>
      </w:r>
      <w:proofErr w:type="spellEnd"/>
      <w:r w:rsidRPr="00575A30">
        <w:rPr>
          <w:i/>
          <w:kern w:val="22"/>
          <w:szCs w:val="22"/>
          <w:lang w:val="fr-FR"/>
        </w:rPr>
        <w:t xml:space="preserve"> de la Madre Tierra</w:t>
      </w:r>
      <w:r w:rsidRPr="00575A30">
        <w:rPr>
          <w:kern w:val="22"/>
          <w:szCs w:val="22"/>
          <w:lang w:val="fr-FR"/>
        </w:rPr>
        <w:t>) dans des forums consacrés à la jeunesse, afin de promouvoir les recherches sur la biodiversité</w:t>
      </w:r>
      <w:r w:rsidR="00BC6ED9" w:rsidRPr="00575A30">
        <w:rPr>
          <w:kern w:val="22"/>
          <w:szCs w:val="22"/>
          <w:lang w:val="fr-FR"/>
        </w:rPr>
        <w:t> ;</w:t>
      </w:r>
    </w:p>
    <w:p w14:paraId="1DE80836" w14:textId="77777777" w:rsidR="00494678" w:rsidRPr="00575A30" w:rsidRDefault="00494678" w:rsidP="00F36F85">
      <w:pPr>
        <w:pStyle w:val="Para1"/>
        <w:numPr>
          <w:ilvl w:val="0"/>
          <w:numId w:val="9"/>
        </w:numPr>
        <w:tabs>
          <w:tab w:val="clear" w:pos="1080"/>
          <w:tab w:val="left" w:pos="1560"/>
        </w:tabs>
        <w:ind w:left="0" w:firstLine="905"/>
        <w:rPr>
          <w:kern w:val="22"/>
          <w:szCs w:val="22"/>
          <w:lang w:val="fr-FR"/>
        </w:rPr>
      </w:pPr>
      <w:r w:rsidRPr="00575A30">
        <w:rPr>
          <w:kern w:val="22"/>
          <w:szCs w:val="22"/>
          <w:lang w:val="fr-FR"/>
        </w:rPr>
        <w:t>La Norvège poursuivra son programme d’éducation au développement durable en milieu scolaire (</w:t>
      </w:r>
      <w:proofErr w:type="spellStart"/>
      <w:r w:rsidRPr="00575A30">
        <w:rPr>
          <w:kern w:val="22"/>
          <w:szCs w:val="22"/>
          <w:lang w:val="fr-FR"/>
        </w:rPr>
        <w:t>Sustainable</w:t>
      </w:r>
      <w:proofErr w:type="spellEnd"/>
      <w:r w:rsidRPr="00575A30">
        <w:rPr>
          <w:kern w:val="22"/>
          <w:szCs w:val="22"/>
          <w:lang w:val="fr-FR"/>
        </w:rPr>
        <w:t xml:space="preserve"> </w:t>
      </w:r>
      <w:proofErr w:type="spellStart"/>
      <w:r w:rsidRPr="00575A30">
        <w:rPr>
          <w:kern w:val="22"/>
          <w:szCs w:val="22"/>
          <w:lang w:val="fr-FR"/>
        </w:rPr>
        <w:t>Backpack</w:t>
      </w:r>
      <w:proofErr w:type="spellEnd"/>
      <w:r w:rsidRPr="00575A30">
        <w:rPr>
          <w:kern w:val="22"/>
          <w:szCs w:val="22"/>
          <w:lang w:val="fr-FR"/>
        </w:rPr>
        <w:t>), une initiative nationale</w:t>
      </w:r>
      <w:r w:rsidR="00B008BA">
        <w:rPr>
          <w:kern w:val="22"/>
          <w:szCs w:val="22"/>
          <w:lang w:val="fr-FR"/>
        </w:rPr>
        <w:t xml:space="preserve"> menée par le </w:t>
      </w:r>
      <w:r w:rsidR="00B008BA" w:rsidRPr="00FA2C78">
        <w:rPr>
          <w:kern w:val="22"/>
          <w:szCs w:val="22"/>
          <w:lang w:val="fr-FR"/>
        </w:rPr>
        <w:t>m</w:t>
      </w:r>
      <w:r w:rsidRPr="00FA2C78">
        <w:rPr>
          <w:kern w:val="22"/>
          <w:szCs w:val="22"/>
          <w:lang w:val="fr-FR"/>
        </w:rPr>
        <w:t>inistère de l’</w:t>
      </w:r>
      <w:r w:rsidR="00B008BA" w:rsidRPr="00FA2C78">
        <w:rPr>
          <w:kern w:val="22"/>
          <w:szCs w:val="22"/>
          <w:lang w:val="fr-FR"/>
        </w:rPr>
        <w:t>Éducation et de la R</w:t>
      </w:r>
      <w:r w:rsidRPr="00FA2C78">
        <w:rPr>
          <w:kern w:val="22"/>
          <w:szCs w:val="22"/>
          <w:lang w:val="fr-FR"/>
        </w:rPr>
        <w:t>echerche</w:t>
      </w:r>
      <w:r w:rsidRPr="00575A30">
        <w:rPr>
          <w:kern w:val="22"/>
          <w:szCs w:val="22"/>
          <w:lang w:val="fr-FR"/>
        </w:rPr>
        <w:t xml:space="preserve"> et le </w:t>
      </w:r>
      <w:r w:rsidR="00B008BA" w:rsidRPr="00FA2C78">
        <w:rPr>
          <w:kern w:val="22"/>
          <w:szCs w:val="22"/>
          <w:lang w:val="fr-FR"/>
        </w:rPr>
        <w:t>ministère du C</w:t>
      </w:r>
      <w:r w:rsidRPr="00FA2C78">
        <w:rPr>
          <w:kern w:val="22"/>
          <w:szCs w:val="22"/>
          <w:lang w:val="fr-FR"/>
        </w:rPr>
        <w:t>limat et de l’</w:t>
      </w:r>
      <w:r w:rsidR="00B008BA" w:rsidRPr="00FA2C78">
        <w:rPr>
          <w:kern w:val="22"/>
          <w:szCs w:val="22"/>
          <w:lang w:val="fr-FR"/>
        </w:rPr>
        <w:t>E</w:t>
      </w:r>
      <w:r w:rsidRPr="00FA2C78">
        <w:rPr>
          <w:kern w:val="22"/>
          <w:szCs w:val="22"/>
          <w:lang w:val="fr-FR"/>
        </w:rPr>
        <w:t>nvironnement</w:t>
      </w:r>
      <w:r w:rsidRPr="00575A30">
        <w:rPr>
          <w:kern w:val="22"/>
          <w:szCs w:val="22"/>
          <w:lang w:val="fr-FR"/>
        </w:rPr>
        <w:t xml:space="preserve">, </w:t>
      </w:r>
      <w:r w:rsidR="00A949D6" w:rsidRPr="00575A30">
        <w:rPr>
          <w:kern w:val="22"/>
          <w:szCs w:val="22"/>
          <w:lang w:val="fr-FR"/>
        </w:rPr>
        <w:t>qui vise à</w:t>
      </w:r>
      <w:r w:rsidRPr="00575A30">
        <w:rPr>
          <w:kern w:val="22"/>
          <w:szCs w:val="22"/>
          <w:lang w:val="fr-FR"/>
        </w:rPr>
        <w:t xml:space="preserve"> </w:t>
      </w:r>
      <w:r w:rsidR="00A949D6" w:rsidRPr="00575A30">
        <w:rPr>
          <w:kern w:val="22"/>
          <w:szCs w:val="22"/>
          <w:lang w:val="fr-FR"/>
        </w:rPr>
        <w:t xml:space="preserve">soutenir l’éducation au développement durable dans </w:t>
      </w:r>
      <w:r w:rsidRPr="00575A30">
        <w:rPr>
          <w:kern w:val="22"/>
          <w:szCs w:val="22"/>
          <w:lang w:val="fr-FR"/>
        </w:rPr>
        <w:t>les établissements scolaires norvégiens</w:t>
      </w:r>
      <w:r w:rsidR="00A949D6" w:rsidRPr="00575A30">
        <w:rPr>
          <w:kern w:val="22"/>
          <w:szCs w:val="22"/>
          <w:lang w:val="fr-FR"/>
        </w:rPr>
        <w:t> ;</w:t>
      </w:r>
      <w:r w:rsidRPr="00575A30">
        <w:rPr>
          <w:kern w:val="22"/>
          <w:szCs w:val="22"/>
          <w:lang w:val="fr-FR"/>
        </w:rPr>
        <w:t xml:space="preserve"> </w:t>
      </w:r>
    </w:p>
    <w:p w14:paraId="698FB6B0" w14:textId="77777777" w:rsidR="004F3632" w:rsidRPr="00575A30" w:rsidRDefault="004F3632" w:rsidP="00F36F85">
      <w:pPr>
        <w:pStyle w:val="Para1"/>
        <w:numPr>
          <w:ilvl w:val="0"/>
          <w:numId w:val="9"/>
        </w:numPr>
        <w:tabs>
          <w:tab w:val="clear" w:pos="1080"/>
          <w:tab w:val="left" w:pos="1560"/>
        </w:tabs>
        <w:ind w:left="0" w:firstLine="905"/>
        <w:rPr>
          <w:kern w:val="22"/>
          <w:szCs w:val="22"/>
          <w:lang w:val="fr-FR"/>
        </w:rPr>
      </w:pPr>
      <w:r w:rsidRPr="00575A30">
        <w:rPr>
          <w:kern w:val="22"/>
          <w:szCs w:val="22"/>
          <w:lang w:val="fr-FR"/>
        </w:rPr>
        <w:t xml:space="preserve">Saint-Kitts-et-Nevis envisage de créer un réseau de connaissances sur la biodiversité au sein des établissements secondaires en s'appuyant sur </w:t>
      </w:r>
      <w:proofErr w:type="spellStart"/>
      <w:r w:rsidRPr="00575A30">
        <w:rPr>
          <w:kern w:val="22"/>
          <w:szCs w:val="22"/>
          <w:lang w:val="fr-FR"/>
        </w:rPr>
        <w:t>Edu</w:t>
      </w:r>
      <w:proofErr w:type="spellEnd"/>
      <w:r w:rsidR="00B008BA">
        <w:rPr>
          <w:kern w:val="22"/>
          <w:szCs w:val="22"/>
          <w:lang w:val="fr-FR"/>
        </w:rPr>
        <w:t>-</w:t>
      </w:r>
      <w:r w:rsidRPr="00575A30">
        <w:rPr>
          <w:kern w:val="22"/>
          <w:szCs w:val="22"/>
          <w:lang w:val="fr-FR"/>
        </w:rPr>
        <w:t>NET, un réseau de communication, de collaboration, d'apprentissage en ligne et de recherche destiné aux élèves du secondaire</w:t>
      </w:r>
      <w:r w:rsidR="00A949D6" w:rsidRPr="00575A30">
        <w:rPr>
          <w:kern w:val="22"/>
          <w:szCs w:val="22"/>
          <w:lang w:val="fr-FR"/>
        </w:rPr>
        <w:t> ;</w:t>
      </w:r>
    </w:p>
    <w:p w14:paraId="49606B2F" w14:textId="77777777" w:rsidR="00A949D6" w:rsidRDefault="00A949D6" w:rsidP="00F36F85">
      <w:pPr>
        <w:pStyle w:val="Para1"/>
        <w:numPr>
          <w:ilvl w:val="0"/>
          <w:numId w:val="9"/>
        </w:numPr>
        <w:tabs>
          <w:tab w:val="clear" w:pos="1080"/>
          <w:tab w:val="left" w:pos="1560"/>
        </w:tabs>
        <w:ind w:left="0" w:firstLine="905"/>
        <w:rPr>
          <w:kern w:val="22"/>
          <w:szCs w:val="22"/>
          <w:lang w:val="fr-FR"/>
        </w:rPr>
      </w:pPr>
      <w:r w:rsidRPr="00575A30">
        <w:rPr>
          <w:kern w:val="22"/>
          <w:szCs w:val="22"/>
          <w:lang w:val="fr-FR"/>
        </w:rPr>
        <w:lastRenderedPageBreak/>
        <w:t xml:space="preserve">En décembre 2010, le Gouvernement suédois a adopté les objectifs généraux de la politique relative aux loisirs de plein air, établie pour offrir à la population des occasions de passer du temps dans la nature et de se livrer à des loisirs de plein air. </w:t>
      </w:r>
    </w:p>
    <w:p w14:paraId="12FCBD79" w14:textId="77777777" w:rsidR="000A55F8" w:rsidRPr="00575A30" w:rsidRDefault="000A55F8" w:rsidP="00F36F85">
      <w:pPr>
        <w:pStyle w:val="Para1"/>
        <w:numPr>
          <w:ilvl w:val="0"/>
          <w:numId w:val="9"/>
        </w:numPr>
        <w:tabs>
          <w:tab w:val="clear" w:pos="1080"/>
          <w:tab w:val="left" w:pos="1560"/>
        </w:tabs>
        <w:ind w:left="0" w:firstLine="905"/>
        <w:rPr>
          <w:kern w:val="22"/>
          <w:szCs w:val="22"/>
          <w:lang w:val="fr-FR"/>
        </w:rPr>
      </w:pPr>
      <w:r>
        <w:rPr>
          <w:kern w:val="22"/>
          <w:szCs w:val="22"/>
          <w:lang w:val="fr-FR"/>
        </w:rPr>
        <w:t xml:space="preserve">La Bolivie prévoit élaborer et faire la promotion de campagnes de sensibilisation </w:t>
      </w:r>
      <w:r w:rsidR="008A69BD">
        <w:rPr>
          <w:kern w:val="22"/>
          <w:szCs w:val="22"/>
          <w:lang w:val="fr-FR"/>
        </w:rPr>
        <w:t>destinées aux populations urbaines et rurales afin de prévenir le</w:t>
      </w:r>
      <w:r>
        <w:rPr>
          <w:kern w:val="22"/>
          <w:szCs w:val="22"/>
          <w:lang w:val="fr-FR"/>
        </w:rPr>
        <w:t xml:space="preserve"> commerce illicite de </w:t>
      </w:r>
      <w:r w:rsidR="008A69BD">
        <w:rPr>
          <w:kern w:val="22"/>
          <w:szCs w:val="22"/>
          <w:lang w:val="fr-FR"/>
        </w:rPr>
        <w:t xml:space="preserve">la faune et la flore sauvages et le </w:t>
      </w:r>
      <w:proofErr w:type="spellStart"/>
      <w:r w:rsidR="008A69BD">
        <w:rPr>
          <w:kern w:val="22"/>
          <w:szCs w:val="22"/>
          <w:lang w:val="fr-FR"/>
        </w:rPr>
        <w:t>biopiratage</w:t>
      </w:r>
      <w:proofErr w:type="spellEnd"/>
      <w:r w:rsidR="008A69BD">
        <w:rPr>
          <w:kern w:val="22"/>
          <w:szCs w:val="22"/>
          <w:lang w:val="fr-FR"/>
        </w:rPr>
        <w:t>.</w:t>
      </w:r>
    </w:p>
    <w:p w14:paraId="04FD84CE" w14:textId="77777777" w:rsidR="004F3632" w:rsidRPr="00575A30" w:rsidRDefault="00E31BC1" w:rsidP="00F36F85">
      <w:pPr>
        <w:numPr>
          <w:ilvl w:val="0"/>
          <w:numId w:val="11"/>
        </w:numPr>
        <w:tabs>
          <w:tab w:val="clear" w:pos="540"/>
          <w:tab w:val="num" w:pos="851"/>
        </w:tabs>
        <w:ind w:left="0" w:firstLine="0"/>
        <w:rPr>
          <w:kern w:val="22"/>
          <w:szCs w:val="22"/>
          <w:lang w:val="fr-FR"/>
        </w:rPr>
      </w:pPr>
      <w:r w:rsidRPr="00575A30">
        <w:rPr>
          <w:snapToGrid w:val="0"/>
          <w:kern w:val="22"/>
          <w:szCs w:val="22"/>
          <w:lang w:val="fr-FR"/>
        </w:rPr>
        <w:t xml:space="preserve">Au total, </w:t>
      </w:r>
      <w:r w:rsidR="00880B41">
        <w:rPr>
          <w:snapToGrid w:val="0"/>
          <w:kern w:val="22"/>
          <w:szCs w:val="22"/>
          <w:lang w:val="fr-FR"/>
        </w:rPr>
        <w:t>129</w:t>
      </w:r>
      <w:r w:rsidR="00A949D6" w:rsidRPr="00575A30">
        <w:rPr>
          <w:snapToGrid w:val="0"/>
          <w:kern w:val="22"/>
          <w:szCs w:val="22"/>
          <w:lang w:val="fr-FR"/>
        </w:rPr>
        <w:t xml:space="preserve"> </w:t>
      </w:r>
      <w:r w:rsidR="004F3632" w:rsidRPr="00575A30">
        <w:rPr>
          <w:kern w:val="22"/>
          <w:szCs w:val="22"/>
          <w:lang w:val="fr-FR"/>
        </w:rPr>
        <w:t>Parties</w:t>
      </w:r>
      <w:r w:rsidR="004F3632" w:rsidRPr="00575A30">
        <w:rPr>
          <w:rStyle w:val="FootnoteReference"/>
          <w:kern w:val="22"/>
          <w:szCs w:val="22"/>
          <w:lang w:val="fr-FR"/>
        </w:rPr>
        <w:footnoteReference w:id="39"/>
      </w:r>
      <w:r w:rsidR="00BC6ED9" w:rsidRPr="00575A30">
        <w:rPr>
          <w:kern w:val="22"/>
          <w:szCs w:val="22"/>
          <w:lang w:val="fr-FR"/>
        </w:rPr>
        <w:t xml:space="preserve"> </w:t>
      </w:r>
      <w:r w:rsidR="004F3632" w:rsidRPr="00575A30">
        <w:rPr>
          <w:kern w:val="22"/>
          <w:szCs w:val="22"/>
          <w:lang w:val="fr-FR"/>
        </w:rPr>
        <w:t>ont établi des objectifs/cibles au niveau national en lien avec l'objectif</w:t>
      </w:r>
      <w:r w:rsidR="002A1589" w:rsidRPr="00575A30">
        <w:rPr>
          <w:kern w:val="22"/>
          <w:szCs w:val="22"/>
          <w:lang w:val="fr-FR"/>
        </w:rPr>
        <w:t> </w:t>
      </w:r>
      <w:r w:rsidR="00B008BA">
        <w:rPr>
          <w:kern w:val="22"/>
          <w:szCs w:val="22"/>
          <w:lang w:val="fr-FR"/>
        </w:rPr>
        <w:t>1 </w:t>
      </w:r>
      <w:r w:rsidR="004F3632" w:rsidRPr="00575A30">
        <w:rPr>
          <w:snapToGrid w:val="0"/>
          <w:kern w:val="22"/>
          <w:szCs w:val="22"/>
          <w:lang w:val="fr-FR"/>
        </w:rPr>
        <w:t>d'Aichi</w:t>
      </w:r>
      <w:r w:rsidR="004F3632" w:rsidRPr="00575A30">
        <w:rPr>
          <w:kern w:val="22"/>
          <w:szCs w:val="22"/>
          <w:lang w:val="fr-FR"/>
        </w:rPr>
        <w:t xml:space="preserve"> relatif à la diversité biologique.</w:t>
      </w:r>
    </w:p>
    <w:p w14:paraId="0CDC8F02" w14:textId="77777777" w:rsidR="00430D75" w:rsidRPr="00575A30" w:rsidRDefault="006B50CA" w:rsidP="002A1589">
      <w:pPr>
        <w:pStyle w:val="Para1"/>
        <w:numPr>
          <w:ilvl w:val="0"/>
          <w:numId w:val="0"/>
        </w:numPr>
        <w:tabs>
          <w:tab w:val="num" w:pos="540"/>
          <w:tab w:val="left" w:pos="1560"/>
        </w:tabs>
        <w:jc w:val="center"/>
        <w:rPr>
          <w:bCs/>
          <w:i/>
          <w:iCs/>
          <w:kern w:val="22"/>
          <w:lang w:val="fr-FR"/>
        </w:rPr>
      </w:pPr>
      <w:r w:rsidRPr="00575A30">
        <w:rPr>
          <w:bCs/>
          <w:i/>
          <w:iCs/>
          <w:kern w:val="22"/>
          <w:lang w:val="fr-FR"/>
        </w:rPr>
        <w:t>3.</w:t>
      </w:r>
      <w:r w:rsidR="00A949D6" w:rsidRPr="00575A30">
        <w:rPr>
          <w:bCs/>
          <w:i/>
          <w:iCs/>
          <w:kern w:val="22"/>
          <w:lang w:val="fr-FR"/>
        </w:rPr>
        <w:tab/>
      </w:r>
      <w:r w:rsidR="007028F4" w:rsidRPr="003E1C17">
        <w:rPr>
          <w:bCs/>
          <w:i/>
          <w:iCs/>
          <w:kern w:val="22"/>
          <w:lang w:val="fr-FR"/>
        </w:rPr>
        <w:t>Renforcement</w:t>
      </w:r>
      <w:r w:rsidR="007028F4" w:rsidRPr="00575A30">
        <w:rPr>
          <w:bCs/>
          <w:i/>
          <w:iCs/>
          <w:kern w:val="22"/>
          <w:lang w:val="fr-FR"/>
        </w:rPr>
        <w:t xml:space="preserve"> des capacités</w:t>
      </w:r>
    </w:p>
    <w:p w14:paraId="0466EDBD" w14:textId="77777777" w:rsidR="00405A3A" w:rsidRPr="00575A30" w:rsidRDefault="00E31BC1" w:rsidP="00F36F85">
      <w:pPr>
        <w:numPr>
          <w:ilvl w:val="0"/>
          <w:numId w:val="11"/>
        </w:numPr>
        <w:tabs>
          <w:tab w:val="clear" w:pos="540"/>
          <w:tab w:val="num" w:pos="851"/>
        </w:tabs>
        <w:spacing w:before="120" w:after="120"/>
        <w:ind w:left="0" w:firstLine="0"/>
        <w:rPr>
          <w:kern w:val="22"/>
          <w:szCs w:val="22"/>
          <w:lang w:val="fr-FR"/>
        </w:rPr>
      </w:pPr>
      <w:r w:rsidRPr="00575A30">
        <w:rPr>
          <w:kern w:val="22"/>
          <w:szCs w:val="22"/>
          <w:lang w:val="fr-FR"/>
        </w:rPr>
        <w:t>Au total</w:t>
      </w:r>
      <w:r w:rsidR="00D067AD">
        <w:rPr>
          <w:kern w:val="22"/>
          <w:szCs w:val="22"/>
          <w:lang w:val="fr-FR"/>
        </w:rPr>
        <w:t>,</w:t>
      </w:r>
      <w:r w:rsidR="00FB68CF" w:rsidRPr="00575A30">
        <w:rPr>
          <w:kern w:val="22"/>
          <w:szCs w:val="22"/>
          <w:lang w:val="fr-FR"/>
        </w:rPr>
        <w:t xml:space="preserve"> </w:t>
      </w:r>
      <w:r w:rsidR="00880B41">
        <w:rPr>
          <w:kern w:val="22"/>
          <w:szCs w:val="22"/>
          <w:lang w:val="fr-FR"/>
        </w:rPr>
        <w:t>97</w:t>
      </w:r>
      <w:r w:rsidR="00A949D6" w:rsidRPr="00575A30">
        <w:rPr>
          <w:kern w:val="22"/>
          <w:szCs w:val="22"/>
          <w:lang w:val="fr-FR"/>
        </w:rPr>
        <w:t xml:space="preserve"> </w:t>
      </w:r>
      <w:r w:rsidR="00FB68CF" w:rsidRPr="00575A30">
        <w:rPr>
          <w:kern w:val="22"/>
          <w:szCs w:val="22"/>
          <w:lang w:val="fr-FR"/>
        </w:rPr>
        <w:t>pays</w:t>
      </w:r>
      <w:r w:rsidR="006B50CA" w:rsidRPr="00575A30">
        <w:rPr>
          <w:snapToGrid w:val="0"/>
          <w:kern w:val="22"/>
          <w:szCs w:val="22"/>
          <w:vertAlign w:val="superscript"/>
          <w:lang w:val="fr-FR"/>
        </w:rPr>
        <w:footnoteReference w:id="40"/>
      </w:r>
      <w:r w:rsidR="00FB68CF" w:rsidRPr="00575A30">
        <w:rPr>
          <w:kern w:val="22"/>
          <w:szCs w:val="22"/>
          <w:lang w:val="fr-FR"/>
        </w:rPr>
        <w:t xml:space="preserve"> énumèrent plusieurs activités de renforcement des capacités, et certains </w:t>
      </w:r>
      <w:r w:rsidR="002E4F25" w:rsidRPr="00575A30">
        <w:rPr>
          <w:kern w:val="22"/>
          <w:szCs w:val="22"/>
          <w:lang w:val="fr-FR"/>
        </w:rPr>
        <w:t xml:space="preserve">mentionnent </w:t>
      </w:r>
      <w:r w:rsidR="00FB68CF" w:rsidRPr="00575A30">
        <w:rPr>
          <w:kern w:val="22"/>
          <w:szCs w:val="22"/>
          <w:lang w:val="fr-FR"/>
        </w:rPr>
        <w:t>également le</w:t>
      </w:r>
      <w:r w:rsidR="002E4F25" w:rsidRPr="00575A30">
        <w:rPr>
          <w:kern w:val="22"/>
          <w:szCs w:val="22"/>
          <w:lang w:val="fr-FR"/>
        </w:rPr>
        <w:t>s crédits</w:t>
      </w:r>
      <w:r w:rsidR="00FB68CF" w:rsidRPr="00575A30">
        <w:rPr>
          <w:kern w:val="22"/>
          <w:szCs w:val="22"/>
          <w:lang w:val="fr-FR"/>
        </w:rPr>
        <w:t xml:space="preserve"> </w:t>
      </w:r>
      <w:r w:rsidR="002E4F25" w:rsidRPr="00575A30">
        <w:rPr>
          <w:kern w:val="22"/>
          <w:szCs w:val="22"/>
          <w:lang w:val="fr-FR"/>
        </w:rPr>
        <w:t>budgétaires</w:t>
      </w:r>
      <w:r w:rsidR="00FB68CF" w:rsidRPr="00575A30">
        <w:rPr>
          <w:kern w:val="22"/>
          <w:szCs w:val="22"/>
          <w:lang w:val="fr-FR"/>
        </w:rPr>
        <w:t xml:space="preserve"> alloué</w:t>
      </w:r>
      <w:r w:rsidR="002E4F25" w:rsidRPr="00575A30">
        <w:rPr>
          <w:kern w:val="22"/>
          <w:szCs w:val="22"/>
          <w:lang w:val="fr-FR"/>
        </w:rPr>
        <w:t>s</w:t>
      </w:r>
      <w:r w:rsidR="00FB68CF" w:rsidRPr="00575A30">
        <w:rPr>
          <w:kern w:val="22"/>
          <w:szCs w:val="22"/>
          <w:lang w:val="fr-FR"/>
        </w:rPr>
        <w:t xml:space="preserve"> ainsi que l’entité chargée de l’activité</w:t>
      </w:r>
      <w:r w:rsidR="003E1C17">
        <w:rPr>
          <w:kern w:val="22"/>
          <w:szCs w:val="22"/>
          <w:lang w:val="fr-FR"/>
        </w:rPr>
        <w:t>. Les SPANB des 18 pays</w:t>
      </w:r>
      <w:r w:rsidR="00FB23E1">
        <w:rPr>
          <w:rStyle w:val="FootnoteReference"/>
          <w:kern w:val="22"/>
          <w:szCs w:val="22"/>
          <w:lang w:val="fr-FR"/>
        </w:rPr>
        <w:footnoteReference w:id="41"/>
      </w:r>
      <w:r w:rsidR="003E1C17">
        <w:rPr>
          <w:kern w:val="22"/>
          <w:szCs w:val="22"/>
          <w:lang w:val="fr-FR"/>
        </w:rPr>
        <w:t xml:space="preserve"> mentionnent</w:t>
      </w:r>
      <w:r w:rsidR="00FB23E1">
        <w:rPr>
          <w:kern w:val="22"/>
          <w:szCs w:val="22"/>
          <w:lang w:val="fr-FR"/>
        </w:rPr>
        <w:t xml:space="preserve"> l</w:t>
      </w:r>
      <w:r w:rsidR="003E1C17">
        <w:rPr>
          <w:kern w:val="22"/>
          <w:szCs w:val="22"/>
          <w:lang w:val="fr-FR"/>
        </w:rPr>
        <w:t xml:space="preserve">’autoévaluation </w:t>
      </w:r>
      <w:r w:rsidR="0039440C">
        <w:rPr>
          <w:kern w:val="22"/>
          <w:szCs w:val="22"/>
          <w:lang w:val="fr-FR"/>
        </w:rPr>
        <w:t>nationale</w:t>
      </w:r>
      <w:r w:rsidR="003E1C17">
        <w:rPr>
          <w:kern w:val="22"/>
          <w:szCs w:val="22"/>
          <w:lang w:val="fr-FR"/>
        </w:rPr>
        <w:t xml:space="preserve"> des capacités et/ou d’</w:t>
      </w:r>
      <w:r w:rsidR="0039440C">
        <w:rPr>
          <w:kern w:val="22"/>
          <w:szCs w:val="22"/>
          <w:lang w:val="fr-FR"/>
        </w:rPr>
        <w:t>autres évaluati</w:t>
      </w:r>
      <w:r w:rsidR="003E1C17">
        <w:rPr>
          <w:kern w:val="22"/>
          <w:szCs w:val="22"/>
          <w:lang w:val="fr-FR"/>
        </w:rPr>
        <w:t>ons des besoins de formation</w:t>
      </w:r>
      <w:r w:rsidR="0039440C">
        <w:rPr>
          <w:kern w:val="22"/>
          <w:szCs w:val="22"/>
          <w:lang w:val="fr-FR"/>
        </w:rPr>
        <w:t xml:space="preserve"> et des capacités</w:t>
      </w:r>
      <w:r w:rsidR="00556556">
        <w:rPr>
          <w:kern w:val="22"/>
          <w:szCs w:val="22"/>
          <w:lang w:val="fr-FR"/>
        </w:rPr>
        <w:t>.</w:t>
      </w:r>
      <w:r w:rsidR="00FB68CF" w:rsidRPr="00575A30">
        <w:rPr>
          <w:kern w:val="22"/>
          <w:szCs w:val="22"/>
          <w:lang w:val="fr-FR"/>
        </w:rPr>
        <w:t> </w:t>
      </w:r>
      <w:r w:rsidR="00556556">
        <w:rPr>
          <w:kern w:val="22"/>
          <w:szCs w:val="22"/>
          <w:lang w:val="fr-FR"/>
        </w:rPr>
        <w:t xml:space="preserve"> </w:t>
      </w:r>
      <w:r w:rsidR="004863CA">
        <w:rPr>
          <w:kern w:val="22"/>
          <w:szCs w:val="22"/>
          <w:lang w:val="fr-FR"/>
        </w:rPr>
        <w:t>Vingt</w:t>
      </w:r>
      <w:r w:rsidR="00556556" w:rsidRPr="00575A30">
        <w:rPr>
          <w:kern w:val="22"/>
          <w:szCs w:val="22"/>
          <w:lang w:val="fr-FR"/>
        </w:rPr>
        <w:t xml:space="preserve"> SPANB</w:t>
      </w:r>
      <w:r w:rsidR="00556556">
        <w:rPr>
          <w:rStyle w:val="FootnoteReference"/>
          <w:kern w:val="22"/>
          <w:szCs w:val="22"/>
          <w:lang w:val="fr-FR"/>
        </w:rPr>
        <w:footnoteReference w:id="42"/>
      </w:r>
      <w:r w:rsidR="00556556" w:rsidRPr="00575A30">
        <w:rPr>
          <w:kern w:val="22"/>
          <w:szCs w:val="22"/>
          <w:lang w:val="fr-FR"/>
        </w:rPr>
        <w:t xml:space="preserve"> </w:t>
      </w:r>
      <w:r w:rsidR="00556556" w:rsidRPr="00575A30">
        <w:rPr>
          <w:noProof/>
          <w:kern w:val="22"/>
          <w:szCs w:val="22"/>
          <w:lang w:val="fr-FR"/>
        </w:rPr>
        <w:t>comprennent un plan national de renforcement des capacités (voir quelques exemples ci</w:t>
      </w:r>
      <w:r w:rsidR="00556556" w:rsidRPr="00575A30">
        <w:rPr>
          <w:noProof/>
          <w:kern w:val="22"/>
          <w:szCs w:val="22"/>
          <w:lang w:val="fr-FR"/>
        </w:rPr>
        <w:noBreakHyphen/>
        <w:t>après)</w:t>
      </w:r>
      <w:r w:rsidR="00556556" w:rsidRPr="00575A30">
        <w:rPr>
          <w:kern w:val="22"/>
          <w:szCs w:val="22"/>
          <w:lang w:val="fr-FR"/>
        </w:rPr>
        <w:t>.</w:t>
      </w:r>
      <w:r w:rsidR="00556556">
        <w:rPr>
          <w:kern w:val="22"/>
          <w:szCs w:val="22"/>
          <w:lang w:val="fr-FR"/>
        </w:rPr>
        <w:t xml:space="preserve"> Certains exemples de ces </w:t>
      </w:r>
      <w:r w:rsidR="00CB6E90">
        <w:rPr>
          <w:kern w:val="22"/>
          <w:szCs w:val="22"/>
          <w:lang w:val="fr-FR"/>
        </w:rPr>
        <w:t>plans sont présentés ci-dessous</w:t>
      </w:r>
      <w:r w:rsidR="00CB6E90">
        <w:rPr>
          <w:rStyle w:val="FootnoteReference"/>
          <w:kern w:val="22"/>
          <w:szCs w:val="22"/>
          <w:lang w:val="fr-FR"/>
        </w:rPr>
        <w:footnoteReference w:id="43"/>
      </w:r>
      <w:r w:rsidR="00556556" w:rsidRPr="00575A30">
        <w:rPr>
          <w:kern w:val="22"/>
          <w:szCs w:val="22"/>
          <w:lang w:val="fr-FR"/>
        </w:rPr>
        <w:t xml:space="preserve"> </w:t>
      </w:r>
      <w:r w:rsidR="00FB68CF" w:rsidRPr="00575A30">
        <w:rPr>
          <w:kern w:val="22"/>
          <w:szCs w:val="22"/>
          <w:lang w:val="fr-FR"/>
        </w:rPr>
        <w:t>:</w:t>
      </w:r>
    </w:p>
    <w:p w14:paraId="7BBB0D00" w14:textId="77777777" w:rsidR="000153AC" w:rsidRDefault="000153AC" w:rsidP="00F36F85">
      <w:pPr>
        <w:pStyle w:val="Para1"/>
        <w:numPr>
          <w:ilvl w:val="0"/>
          <w:numId w:val="19"/>
        </w:numPr>
        <w:tabs>
          <w:tab w:val="clear" w:pos="900"/>
          <w:tab w:val="num" w:pos="0"/>
        </w:tabs>
        <w:snapToGrid w:val="0"/>
        <w:ind w:left="0" w:firstLine="851"/>
        <w:rPr>
          <w:szCs w:val="22"/>
          <w:lang w:val="fr-FR"/>
        </w:rPr>
      </w:pPr>
      <w:r w:rsidRPr="00575A30">
        <w:rPr>
          <w:szCs w:val="22"/>
          <w:lang w:val="fr-FR"/>
        </w:rPr>
        <w:t>Le Nig</w:t>
      </w:r>
      <w:r w:rsidR="00571E4C" w:rsidRPr="00575A30">
        <w:rPr>
          <w:szCs w:val="22"/>
          <w:lang w:val="fr-FR"/>
        </w:rPr>
        <w:t>é</w:t>
      </w:r>
      <w:r w:rsidRPr="00575A30">
        <w:rPr>
          <w:szCs w:val="22"/>
          <w:lang w:val="fr-FR"/>
        </w:rPr>
        <w:t>ria a élaboré un plan pour le renforcement des capacités et l’évaluation des besoins en matière de capacités techniques. Pour chacune des questions fondamentales relatives aux capacités, ce plan recense les besoins en matière de capacités individuelles et institutionnelles ainsi que des mesures spécifiques. Par ailleurs, il inclut une section sur les besoins en matière de technologies, les technologies identifiées et les mesures requises</w:t>
      </w:r>
      <w:r w:rsidR="00BC6ED9" w:rsidRPr="00575A30">
        <w:rPr>
          <w:szCs w:val="22"/>
          <w:lang w:val="fr-FR"/>
        </w:rPr>
        <w:t> ;</w:t>
      </w:r>
    </w:p>
    <w:p w14:paraId="51EEB2AF" w14:textId="77777777" w:rsidR="0039440C" w:rsidRDefault="0039440C" w:rsidP="00F36F85">
      <w:pPr>
        <w:pStyle w:val="Para1"/>
        <w:numPr>
          <w:ilvl w:val="0"/>
          <w:numId w:val="19"/>
        </w:numPr>
        <w:tabs>
          <w:tab w:val="clear" w:pos="900"/>
          <w:tab w:val="num" w:pos="0"/>
        </w:tabs>
        <w:snapToGrid w:val="0"/>
        <w:ind w:left="0" w:firstLine="851"/>
        <w:rPr>
          <w:szCs w:val="22"/>
          <w:lang w:val="fr-FR"/>
        </w:rPr>
      </w:pPr>
      <w:r>
        <w:rPr>
          <w:szCs w:val="22"/>
          <w:lang w:val="fr-FR"/>
        </w:rPr>
        <w:t xml:space="preserve">Le plan de mise en œuvre du Liberia comprend </w:t>
      </w:r>
      <w:r w:rsidR="00177AAF">
        <w:rPr>
          <w:szCs w:val="22"/>
          <w:lang w:val="fr-FR"/>
        </w:rPr>
        <w:t xml:space="preserve">notamment </w:t>
      </w:r>
      <w:r>
        <w:rPr>
          <w:szCs w:val="22"/>
          <w:lang w:val="fr-FR"/>
        </w:rPr>
        <w:t xml:space="preserve">un plan de renforcement des capacités, qui </w:t>
      </w:r>
      <w:r w:rsidR="00177AAF">
        <w:rPr>
          <w:szCs w:val="22"/>
          <w:lang w:val="fr-FR"/>
        </w:rPr>
        <w:t>inclut</w:t>
      </w:r>
      <w:r>
        <w:rPr>
          <w:szCs w:val="22"/>
          <w:lang w:val="fr-FR"/>
        </w:rPr>
        <w:t xml:space="preserve"> une évaluation des besoins de capacités techniques des systèmes, des institutions et individuelles ;</w:t>
      </w:r>
    </w:p>
    <w:p w14:paraId="4D49BCD0" w14:textId="77777777" w:rsidR="00880B41" w:rsidRDefault="00880B41" w:rsidP="00F36F85">
      <w:pPr>
        <w:pStyle w:val="Para1"/>
        <w:numPr>
          <w:ilvl w:val="0"/>
          <w:numId w:val="19"/>
        </w:numPr>
        <w:tabs>
          <w:tab w:val="clear" w:pos="900"/>
          <w:tab w:val="num" w:pos="0"/>
        </w:tabs>
        <w:snapToGrid w:val="0"/>
        <w:ind w:left="0" w:firstLine="851"/>
        <w:rPr>
          <w:szCs w:val="22"/>
          <w:lang w:val="fr-FR"/>
        </w:rPr>
      </w:pPr>
      <w:r>
        <w:rPr>
          <w:szCs w:val="22"/>
          <w:lang w:val="fr-FR"/>
        </w:rPr>
        <w:t>Palau a préparé une évaluation des besoins technologiques en plus de son cadre et plan d’action pour le renforcement des capacités.</w:t>
      </w:r>
    </w:p>
    <w:p w14:paraId="20DD5E37" w14:textId="77777777" w:rsidR="0039440C" w:rsidRPr="00575A30" w:rsidRDefault="0039440C" w:rsidP="00F36F85">
      <w:pPr>
        <w:pStyle w:val="Para1"/>
        <w:numPr>
          <w:ilvl w:val="0"/>
          <w:numId w:val="19"/>
        </w:numPr>
        <w:tabs>
          <w:tab w:val="clear" w:pos="900"/>
          <w:tab w:val="num" w:pos="0"/>
        </w:tabs>
        <w:snapToGrid w:val="0"/>
        <w:ind w:left="0" w:firstLine="851"/>
        <w:rPr>
          <w:szCs w:val="22"/>
          <w:lang w:val="fr-FR"/>
        </w:rPr>
      </w:pPr>
      <w:r>
        <w:rPr>
          <w:szCs w:val="22"/>
          <w:lang w:val="fr-FR"/>
        </w:rPr>
        <w:lastRenderedPageBreak/>
        <w:t xml:space="preserve">Le plan de renforcement des capacités du Rwanda cible les organismes </w:t>
      </w:r>
      <w:r w:rsidR="00322481">
        <w:rPr>
          <w:szCs w:val="22"/>
          <w:lang w:val="fr-FR"/>
        </w:rPr>
        <w:t>du secteur</w:t>
      </w:r>
      <w:r>
        <w:rPr>
          <w:szCs w:val="22"/>
          <w:lang w:val="fr-FR"/>
        </w:rPr>
        <w:t xml:space="preserve"> de la conservation de la diversité biologique, de </w:t>
      </w:r>
      <w:r w:rsidR="00322481">
        <w:rPr>
          <w:szCs w:val="22"/>
          <w:lang w:val="fr-FR"/>
        </w:rPr>
        <w:t>la biodiversité agricole, de la biotechnologie et de la prévention des risques biotechnologiques. Les activités seront entreprises dans divers établissements de formation et favoriseront l’équilibre entre les sexes en tant que thème intersectoriel de la planification de la diversité biologique ;</w:t>
      </w:r>
    </w:p>
    <w:p w14:paraId="677437F9" w14:textId="77777777" w:rsidR="000153AC" w:rsidRDefault="000153AC" w:rsidP="00F36F85">
      <w:pPr>
        <w:pStyle w:val="Para1"/>
        <w:numPr>
          <w:ilvl w:val="0"/>
          <w:numId w:val="19"/>
        </w:numPr>
        <w:tabs>
          <w:tab w:val="clear" w:pos="900"/>
          <w:tab w:val="num" w:pos="0"/>
        </w:tabs>
        <w:snapToGrid w:val="0"/>
        <w:ind w:left="0" w:firstLine="851"/>
        <w:rPr>
          <w:szCs w:val="22"/>
          <w:lang w:val="fr-FR"/>
        </w:rPr>
      </w:pPr>
      <w:r w:rsidRPr="00575A30">
        <w:rPr>
          <w:szCs w:val="22"/>
          <w:lang w:val="fr-FR"/>
        </w:rPr>
        <w:t xml:space="preserve">Le plan de renforcement des capacités du Suriname présente quatre </w:t>
      </w:r>
      <w:r w:rsidRPr="00575A30">
        <w:rPr>
          <w:noProof/>
          <w:szCs w:val="22"/>
          <w:lang w:val="fr-FR"/>
        </w:rPr>
        <w:t>sous</w:t>
      </w:r>
      <w:r w:rsidRPr="00575A30">
        <w:rPr>
          <w:noProof/>
          <w:szCs w:val="22"/>
          <w:lang w:val="fr-FR"/>
        </w:rPr>
        <w:noBreakHyphen/>
        <w:t>objectifs</w:t>
      </w:r>
      <w:r w:rsidRPr="00575A30">
        <w:rPr>
          <w:szCs w:val="22"/>
          <w:lang w:val="fr-FR"/>
        </w:rPr>
        <w:t> : i) renforcement des capacités générales</w:t>
      </w:r>
      <w:r w:rsidR="00BC6ED9" w:rsidRPr="00575A30">
        <w:rPr>
          <w:szCs w:val="22"/>
          <w:lang w:val="fr-FR"/>
        </w:rPr>
        <w:t> ;</w:t>
      </w:r>
      <w:r w:rsidRPr="00575A30">
        <w:rPr>
          <w:szCs w:val="22"/>
          <w:lang w:val="fr-FR"/>
        </w:rPr>
        <w:t xml:space="preserve"> ii) renforcement des ministères compétents et des organismes associés</w:t>
      </w:r>
      <w:r w:rsidR="00BC6ED9" w:rsidRPr="00575A30">
        <w:rPr>
          <w:szCs w:val="22"/>
          <w:lang w:val="fr-FR"/>
        </w:rPr>
        <w:t> ;</w:t>
      </w:r>
      <w:r w:rsidRPr="00575A30">
        <w:rPr>
          <w:szCs w:val="22"/>
          <w:lang w:val="fr-FR"/>
        </w:rPr>
        <w:t xml:space="preserve"> iii) promotion d'entreprises responsables sur le plan social, dans le respect des principes écologiques et de durabilité</w:t>
      </w:r>
      <w:r w:rsidR="00BC6ED9" w:rsidRPr="00575A30">
        <w:rPr>
          <w:szCs w:val="22"/>
          <w:lang w:val="fr-FR"/>
        </w:rPr>
        <w:t> ;</w:t>
      </w:r>
      <w:r w:rsidRPr="00575A30">
        <w:rPr>
          <w:szCs w:val="22"/>
          <w:lang w:val="fr-FR"/>
        </w:rPr>
        <w:t xml:space="preserve"> iv) renforcement des organisations et des communautés de la société civile locale</w:t>
      </w:r>
      <w:r w:rsidR="0019395D" w:rsidRPr="00575A30">
        <w:rPr>
          <w:szCs w:val="22"/>
          <w:lang w:val="fr-FR"/>
        </w:rPr>
        <w:t xml:space="preserve"> qui sont</w:t>
      </w:r>
      <w:r w:rsidRPr="00575A30">
        <w:rPr>
          <w:szCs w:val="22"/>
          <w:lang w:val="fr-FR"/>
        </w:rPr>
        <w:t xml:space="preserve"> à même de remplir leur rôle </w:t>
      </w:r>
      <w:r w:rsidR="0019395D" w:rsidRPr="00575A30">
        <w:rPr>
          <w:szCs w:val="22"/>
          <w:lang w:val="fr-FR"/>
        </w:rPr>
        <w:t>dans le domaine de</w:t>
      </w:r>
      <w:r w:rsidRPr="00575A30">
        <w:rPr>
          <w:szCs w:val="22"/>
          <w:lang w:val="fr-FR"/>
        </w:rPr>
        <w:t xml:space="preserve"> la diversité biologique.</w:t>
      </w:r>
    </w:p>
    <w:p w14:paraId="70943D0C" w14:textId="77777777" w:rsidR="00463D87" w:rsidRDefault="00463D87" w:rsidP="00F36F85">
      <w:pPr>
        <w:pStyle w:val="Para1"/>
        <w:numPr>
          <w:ilvl w:val="0"/>
          <w:numId w:val="19"/>
        </w:numPr>
        <w:tabs>
          <w:tab w:val="clear" w:pos="900"/>
          <w:tab w:val="num" w:pos="0"/>
        </w:tabs>
        <w:snapToGrid w:val="0"/>
        <w:ind w:left="0" w:firstLine="851"/>
        <w:rPr>
          <w:szCs w:val="22"/>
          <w:lang w:val="fr-FR"/>
        </w:rPr>
      </w:pPr>
      <w:r>
        <w:rPr>
          <w:szCs w:val="22"/>
          <w:lang w:val="fr-FR"/>
        </w:rPr>
        <w:t>La République de Corée prévoit réaliser ses activités nationales de renforcement des capacités pour diverses activités</w:t>
      </w:r>
      <w:r w:rsidR="0073610D">
        <w:rPr>
          <w:szCs w:val="22"/>
          <w:lang w:val="fr-FR"/>
        </w:rPr>
        <w:t>,</w:t>
      </w:r>
      <w:r>
        <w:rPr>
          <w:szCs w:val="22"/>
          <w:lang w:val="fr-FR"/>
        </w:rPr>
        <w:t xml:space="preserve"> notamment le suivi citoyen des aires protégées</w:t>
      </w:r>
      <w:r w:rsidR="00535A75">
        <w:rPr>
          <w:szCs w:val="22"/>
          <w:lang w:val="fr-FR"/>
        </w:rPr>
        <w:t xml:space="preserve"> de zones hum</w:t>
      </w:r>
      <w:r w:rsidR="003D6A3C">
        <w:rPr>
          <w:szCs w:val="22"/>
          <w:lang w:val="fr-FR"/>
        </w:rPr>
        <w:t xml:space="preserve">ides </w:t>
      </w:r>
      <w:r w:rsidR="00535A75">
        <w:rPr>
          <w:szCs w:val="22"/>
          <w:lang w:val="fr-FR"/>
        </w:rPr>
        <w:t>côtières</w:t>
      </w:r>
      <w:r w:rsidR="003B2BC7">
        <w:rPr>
          <w:szCs w:val="22"/>
          <w:lang w:val="fr-FR"/>
        </w:rPr>
        <w:t>, la sensibilisation a</w:t>
      </w:r>
      <w:r w:rsidR="003D6A3C">
        <w:rPr>
          <w:szCs w:val="22"/>
          <w:lang w:val="fr-FR"/>
        </w:rPr>
        <w:t xml:space="preserve">u Protocole de Nagoya auprès des industries </w:t>
      </w:r>
      <w:r w:rsidR="00535A75">
        <w:rPr>
          <w:szCs w:val="22"/>
          <w:lang w:val="fr-FR"/>
        </w:rPr>
        <w:t>du pays</w:t>
      </w:r>
      <w:r w:rsidR="003D6A3C">
        <w:rPr>
          <w:szCs w:val="22"/>
          <w:lang w:val="fr-FR"/>
        </w:rPr>
        <w:t>, l’éducation sur les for</w:t>
      </w:r>
      <w:r w:rsidR="00535A75">
        <w:rPr>
          <w:szCs w:val="22"/>
          <w:lang w:val="fr-FR"/>
        </w:rPr>
        <w:t xml:space="preserve">êts, la mise en œuvre </w:t>
      </w:r>
      <w:r w:rsidR="003D6A3C">
        <w:rPr>
          <w:szCs w:val="22"/>
          <w:lang w:val="fr-FR"/>
        </w:rPr>
        <w:t>de stratégies locales pour la biodiversité, la mise en œuvre de la CITES et la mise à niveau des infrastructures touristiques. Le pays planifie également de re</w:t>
      </w:r>
      <w:r w:rsidR="00DA5A45">
        <w:rPr>
          <w:szCs w:val="22"/>
          <w:lang w:val="fr-FR"/>
        </w:rPr>
        <w:t>s</w:t>
      </w:r>
      <w:r w:rsidR="003D6A3C">
        <w:rPr>
          <w:szCs w:val="22"/>
          <w:lang w:val="fr-FR"/>
        </w:rPr>
        <w:t>serrer ses efforts de coopération internationa</w:t>
      </w:r>
      <w:r w:rsidR="00DA5A45">
        <w:rPr>
          <w:szCs w:val="22"/>
          <w:lang w:val="fr-FR"/>
        </w:rPr>
        <w:t>le, notamment étendre le soutie</w:t>
      </w:r>
      <w:r w:rsidR="003D6A3C">
        <w:rPr>
          <w:szCs w:val="22"/>
          <w:lang w:val="fr-FR"/>
        </w:rPr>
        <w:t xml:space="preserve">n à divers projets en cours tels que l’Initiative Bio-Bridge, </w:t>
      </w:r>
      <w:r w:rsidR="00535A75">
        <w:rPr>
          <w:szCs w:val="22"/>
          <w:lang w:val="fr-FR"/>
        </w:rPr>
        <w:t>l</w:t>
      </w:r>
      <w:r w:rsidR="00DA5A45">
        <w:rPr>
          <w:szCs w:val="22"/>
          <w:lang w:val="fr-FR"/>
        </w:rPr>
        <w:t xml:space="preserve">’initiative </w:t>
      </w:r>
      <w:r w:rsidR="00535A75">
        <w:rPr>
          <w:szCs w:val="22"/>
          <w:lang w:val="fr-FR"/>
        </w:rPr>
        <w:t>Dialogu</w:t>
      </w:r>
      <w:r w:rsidR="00DA5A45">
        <w:rPr>
          <w:szCs w:val="22"/>
          <w:lang w:val="fr-FR"/>
        </w:rPr>
        <w:t>e sur la paix et la biodiversit</w:t>
      </w:r>
      <w:r w:rsidR="00535A75">
        <w:rPr>
          <w:szCs w:val="22"/>
          <w:lang w:val="fr-FR"/>
        </w:rPr>
        <w:t xml:space="preserve">é, le Programme de renforcement des capacités de la Corée </w:t>
      </w:r>
      <w:r w:rsidR="00DA5A45">
        <w:rPr>
          <w:szCs w:val="22"/>
          <w:lang w:val="fr-FR"/>
        </w:rPr>
        <w:t>pou</w:t>
      </w:r>
      <w:r w:rsidR="00535A75">
        <w:rPr>
          <w:szCs w:val="22"/>
          <w:lang w:val="fr-FR"/>
        </w:rPr>
        <w:t>r la prévention des risques biotechnologiques, le Programme de re</w:t>
      </w:r>
      <w:r w:rsidR="00DA5A45">
        <w:rPr>
          <w:szCs w:val="22"/>
          <w:lang w:val="fr-FR"/>
        </w:rPr>
        <w:t>staurati</w:t>
      </w:r>
      <w:r w:rsidR="00535A75">
        <w:rPr>
          <w:szCs w:val="22"/>
          <w:lang w:val="fr-FR"/>
        </w:rPr>
        <w:t>on des écosystèmes forestiers et l’Initiative pour des océans durables, qui contribuent à renfo</w:t>
      </w:r>
      <w:r w:rsidR="00DA5A45">
        <w:rPr>
          <w:szCs w:val="22"/>
          <w:lang w:val="fr-FR"/>
        </w:rPr>
        <w:t>rcer les capacités internationales po</w:t>
      </w:r>
      <w:r w:rsidR="00535A75">
        <w:rPr>
          <w:szCs w:val="22"/>
          <w:lang w:val="fr-FR"/>
        </w:rPr>
        <w:t>ur l’</w:t>
      </w:r>
      <w:r w:rsidR="00DA5A45">
        <w:rPr>
          <w:szCs w:val="22"/>
          <w:lang w:val="fr-FR"/>
        </w:rPr>
        <w:t>applicatio</w:t>
      </w:r>
      <w:r w:rsidR="00535A75">
        <w:rPr>
          <w:szCs w:val="22"/>
          <w:lang w:val="fr-FR"/>
        </w:rPr>
        <w:t>n de la Convention.</w:t>
      </w:r>
    </w:p>
    <w:p w14:paraId="01F6DD4A" w14:textId="77777777" w:rsidR="00535A75" w:rsidRPr="00575A30" w:rsidRDefault="00535A75" w:rsidP="00F36F85">
      <w:pPr>
        <w:pStyle w:val="Para1"/>
        <w:numPr>
          <w:ilvl w:val="0"/>
          <w:numId w:val="19"/>
        </w:numPr>
        <w:tabs>
          <w:tab w:val="clear" w:pos="900"/>
          <w:tab w:val="num" w:pos="0"/>
        </w:tabs>
        <w:snapToGrid w:val="0"/>
        <w:ind w:left="0" w:firstLine="851"/>
        <w:rPr>
          <w:szCs w:val="22"/>
          <w:lang w:val="fr-FR"/>
        </w:rPr>
      </w:pPr>
      <w:r>
        <w:rPr>
          <w:szCs w:val="22"/>
          <w:lang w:val="fr-FR"/>
        </w:rPr>
        <w:t>Le Koweït prévoit renforcer ses capacités pour la biotechnologie.</w:t>
      </w:r>
    </w:p>
    <w:p w14:paraId="769410F5" w14:textId="77777777" w:rsidR="002A0778" w:rsidRPr="00575A30" w:rsidRDefault="002A0778" w:rsidP="00722E2B">
      <w:pPr>
        <w:pStyle w:val="Heading2"/>
        <w:spacing w:before="0"/>
        <w:rPr>
          <w:i w:val="0"/>
          <w:kern w:val="22"/>
          <w:lang w:val="fr-FR"/>
        </w:rPr>
      </w:pPr>
      <w:r w:rsidRPr="00575A30">
        <w:rPr>
          <w:i w:val="0"/>
          <w:kern w:val="22"/>
          <w:lang w:val="fr-FR"/>
        </w:rPr>
        <w:t>D.</w:t>
      </w:r>
      <w:r w:rsidRPr="00575A30">
        <w:rPr>
          <w:i w:val="0"/>
          <w:kern w:val="22"/>
          <w:lang w:val="fr-FR"/>
        </w:rPr>
        <w:tab/>
      </w:r>
      <w:r w:rsidR="00722E2B" w:rsidRPr="00D067AD">
        <w:rPr>
          <w:i w:val="0"/>
          <w:kern w:val="22"/>
          <w:lang w:val="fr-FR"/>
        </w:rPr>
        <w:t>Intégration</w:t>
      </w:r>
    </w:p>
    <w:p w14:paraId="295B863C" w14:textId="77777777" w:rsidR="00561456" w:rsidRPr="00575A30" w:rsidRDefault="003414E5" w:rsidP="003414E5">
      <w:pPr>
        <w:spacing w:after="120"/>
        <w:jc w:val="center"/>
        <w:rPr>
          <w:bCs/>
          <w:i/>
          <w:iCs/>
          <w:kern w:val="22"/>
          <w:lang w:val="fr-FR"/>
        </w:rPr>
      </w:pPr>
      <w:r w:rsidRPr="00575A30">
        <w:rPr>
          <w:bCs/>
          <w:i/>
          <w:iCs/>
          <w:kern w:val="22"/>
          <w:lang w:val="fr-FR"/>
        </w:rPr>
        <w:t>1.</w:t>
      </w:r>
      <w:r w:rsidR="00DD40FE" w:rsidRPr="00575A30">
        <w:rPr>
          <w:bCs/>
          <w:i/>
          <w:iCs/>
          <w:kern w:val="22"/>
          <w:lang w:val="fr-FR"/>
        </w:rPr>
        <w:tab/>
      </w:r>
      <w:r w:rsidR="001C5FFE" w:rsidRPr="00575A30">
        <w:rPr>
          <w:bCs/>
          <w:i/>
          <w:iCs/>
          <w:kern w:val="22"/>
          <w:lang w:val="fr-FR"/>
        </w:rPr>
        <w:t xml:space="preserve">Estimation de la valeur </w:t>
      </w:r>
      <w:r w:rsidR="00722E2B" w:rsidRPr="00575A30">
        <w:rPr>
          <w:bCs/>
          <w:i/>
          <w:iCs/>
          <w:kern w:val="22"/>
          <w:lang w:val="fr-FR"/>
        </w:rPr>
        <w:t xml:space="preserve">de la biodiversité et des services </w:t>
      </w:r>
      <w:r w:rsidR="00722E2B" w:rsidRPr="00575A30">
        <w:rPr>
          <w:bCs/>
          <w:i/>
          <w:iCs/>
          <w:noProof/>
          <w:kern w:val="22"/>
          <w:lang w:val="fr-FR"/>
        </w:rPr>
        <w:t>écosystémiques</w:t>
      </w:r>
    </w:p>
    <w:p w14:paraId="373986B0" w14:textId="77777777" w:rsidR="002A0778" w:rsidRPr="00575A30" w:rsidRDefault="00A34A52" w:rsidP="00F36F85">
      <w:pPr>
        <w:numPr>
          <w:ilvl w:val="0"/>
          <w:numId w:val="11"/>
        </w:numPr>
        <w:tabs>
          <w:tab w:val="clear" w:pos="540"/>
          <w:tab w:val="num" w:pos="709"/>
        </w:tabs>
        <w:ind w:left="0" w:firstLine="0"/>
        <w:rPr>
          <w:kern w:val="22"/>
          <w:szCs w:val="22"/>
          <w:lang w:val="fr-FR"/>
        </w:rPr>
      </w:pPr>
      <w:r w:rsidRPr="00575A30">
        <w:rPr>
          <w:kern w:val="22"/>
          <w:szCs w:val="22"/>
          <w:lang w:val="fr-FR"/>
        </w:rPr>
        <w:t xml:space="preserve">Au total, </w:t>
      </w:r>
      <w:r w:rsidR="00943EE1">
        <w:rPr>
          <w:kern w:val="22"/>
          <w:szCs w:val="22"/>
          <w:lang w:val="fr-FR"/>
        </w:rPr>
        <w:t>4</w:t>
      </w:r>
      <w:r w:rsidR="00DA5A45">
        <w:rPr>
          <w:kern w:val="22"/>
          <w:szCs w:val="22"/>
          <w:lang w:val="fr-FR"/>
        </w:rPr>
        <w:t>7</w:t>
      </w:r>
      <w:r w:rsidR="00DD40FE" w:rsidRPr="00575A30">
        <w:rPr>
          <w:kern w:val="22"/>
          <w:szCs w:val="22"/>
          <w:lang w:val="fr-FR"/>
        </w:rPr>
        <w:t xml:space="preserve"> </w:t>
      </w:r>
      <w:r w:rsidRPr="00575A30">
        <w:rPr>
          <w:kern w:val="22"/>
          <w:szCs w:val="22"/>
          <w:lang w:val="fr-FR"/>
        </w:rPr>
        <w:t>Parties</w:t>
      </w:r>
      <w:r w:rsidR="005F0FF9" w:rsidRPr="00575A30">
        <w:rPr>
          <w:snapToGrid w:val="0"/>
          <w:kern w:val="22"/>
          <w:szCs w:val="22"/>
          <w:vertAlign w:val="superscript"/>
          <w:lang w:val="fr-FR"/>
        </w:rPr>
        <w:footnoteReference w:id="44"/>
      </w:r>
      <w:r w:rsidR="007607CB" w:rsidRPr="00575A30">
        <w:rPr>
          <w:kern w:val="22"/>
          <w:szCs w:val="22"/>
          <w:lang w:val="fr-FR"/>
        </w:rPr>
        <w:t xml:space="preserve"> </w:t>
      </w:r>
      <w:r w:rsidRPr="00575A30">
        <w:rPr>
          <w:kern w:val="22"/>
          <w:szCs w:val="22"/>
          <w:lang w:val="fr-FR"/>
        </w:rPr>
        <w:t xml:space="preserve">ont indiqué avoir mené des études </w:t>
      </w:r>
      <w:r w:rsidR="001C5FFE" w:rsidRPr="00575A30">
        <w:rPr>
          <w:kern w:val="22"/>
          <w:szCs w:val="22"/>
          <w:lang w:val="fr-FR"/>
        </w:rPr>
        <w:t xml:space="preserve">d'évaluation </w:t>
      </w:r>
      <w:r w:rsidRPr="00575A30">
        <w:rPr>
          <w:kern w:val="22"/>
          <w:szCs w:val="22"/>
          <w:lang w:val="fr-FR"/>
        </w:rPr>
        <w:t>de la biodiversité dans</w:t>
      </w:r>
      <w:r w:rsidR="007607CB" w:rsidRPr="00575A30">
        <w:rPr>
          <w:kern w:val="22"/>
          <w:szCs w:val="22"/>
          <w:lang w:val="fr-FR"/>
        </w:rPr>
        <w:t xml:space="preserve"> </w:t>
      </w:r>
      <w:r w:rsidRPr="00575A30">
        <w:rPr>
          <w:kern w:val="22"/>
          <w:szCs w:val="22"/>
          <w:lang w:val="fr-FR"/>
        </w:rPr>
        <w:t xml:space="preserve">leur pays </w:t>
      </w:r>
      <w:r w:rsidR="007607CB" w:rsidRPr="00575A30">
        <w:rPr>
          <w:kern w:val="22"/>
          <w:szCs w:val="22"/>
          <w:lang w:val="fr-FR"/>
        </w:rPr>
        <w:t xml:space="preserve">ou dans certaines </w:t>
      </w:r>
      <w:r w:rsidR="005F0FF9" w:rsidRPr="00575A30">
        <w:rPr>
          <w:kern w:val="22"/>
          <w:szCs w:val="22"/>
          <w:lang w:val="fr-FR"/>
        </w:rPr>
        <w:t>régions</w:t>
      </w:r>
      <w:r w:rsidR="001C5FFE" w:rsidRPr="00575A30">
        <w:rPr>
          <w:kern w:val="22"/>
          <w:szCs w:val="22"/>
          <w:lang w:val="fr-FR"/>
        </w:rPr>
        <w:t xml:space="preserve"> de leur pays</w:t>
      </w:r>
      <w:r w:rsidR="007607CB" w:rsidRPr="00575A30">
        <w:rPr>
          <w:kern w:val="22"/>
          <w:szCs w:val="22"/>
          <w:lang w:val="fr-FR"/>
        </w:rPr>
        <w:t xml:space="preserve">. </w:t>
      </w:r>
      <w:r w:rsidR="00E31BC1" w:rsidRPr="00575A30">
        <w:rPr>
          <w:kern w:val="22"/>
          <w:szCs w:val="22"/>
          <w:lang w:val="fr-FR"/>
        </w:rPr>
        <w:t xml:space="preserve">Les </w:t>
      </w:r>
      <w:r w:rsidRPr="00575A30">
        <w:rPr>
          <w:kern w:val="22"/>
          <w:szCs w:val="22"/>
          <w:lang w:val="fr-FR"/>
        </w:rPr>
        <w:t xml:space="preserve">informations sont </w:t>
      </w:r>
      <w:r w:rsidR="00E31BC1" w:rsidRPr="00575A30">
        <w:rPr>
          <w:kern w:val="22"/>
          <w:szCs w:val="22"/>
          <w:lang w:val="fr-FR"/>
        </w:rPr>
        <w:t xml:space="preserve">toutefois </w:t>
      </w:r>
      <w:r w:rsidRPr="00575A30">
        <w:rPr>
          <w:kern w:val="22"/>
          <w:szCs w:val="22"/>
          <w:lang w:val="fr-FR"/>
        </w:rPr>
        <w:t xml:space="preserve">insuffisantes pour déterminer si les résultats de ces </w:t>
      </w:r>
      <w:r w:rsidR="00DF3CF1" w:rsidRPr="00575A30">
        <w:rPr>
          <w:kern w:val="22"/>
          <w:szCs w:val="22"/>
          <w:lang w:val="fr-FR"/>
        </w:rPr>
        <w:t xml:space="preserve">travaux </w:t>
      </w:r>
      <w:r w:rsidRPr="00575A30">
        <w:rPr>
          <w:kern w:val="22"/>
          <w:szCs w:val="22"/>
          <w:lang w:val="fr-FR"/>
        </w:rPr>
        <w:t>ont été</w:t>
      </w:r>
      <w:r w:rsidR="007607CB" w:rsidRPr="00575A30">
        <w:rPr>
          <w:kern w:val="22"/>
          <w:szCs w:val="22"/>
          <w:lang w:val="fr-FR"/>
        </w:rPr>
        <w:t xml:space="preserve"> pris en considération de manière appréciable </w:t>
      </w:r>
      <w:r w:rsidR="00DF3CF1" w:rsidRPr="00575A30">
        <w:rPr>
          <w:kern w:val="22"/>
          <w:szCs w:val="22"/>
          <w:lang w:val="fr-FR"/>
        </w:rPr>
        <w:t xml:space="preserve">pour établir </w:t>
      </w:r>
      <w:r w:rsidR="007607CB" w:rsidRPr="00575A30">
        <w:rPr>
          <w:kern w:val="22"/>
          <w:szCs w:val="22"/>
          <w:lang w:val="fr-FR"/>
        </w:rPr>
        <w:t xml:space="preserve">des priorités, </w:t>
      </w:r>
      <w:r w:rsidR="00DF3CF1" w:rsidRPr="00575A30">
        <w:rPr>
          <w:kern w:val="22"/>
          <w:szCs w:val="22"/>
          <w:lang w:val="fr-FR"/>
        </w:rPr>
        <w:t xml:space="preserve">prendre en compte </w:t>
      </w:r>
      <w:r w:rsidR="007607CB" w:rsidRPr="00575A30">
        <w:rPr>
          <w:kern w:val="22"/>
          <w:szCs w:val="22"/>
          <w:lang w:val="fr-FR"/>
        </w:rPr>
        <w:t xml:space="preserve">et/ou </w:t>
      </w:r>
      <w:r w:rsidR="00DF3CF1" w:rsidRPr="00575A30">
        <w:rPr>
          <w:kern w:val="22"/>
          <w:szCs w:val="22"/>
          <w:lang w:val="fr-FR"/>
        </w:rPr>
        <w:t>élaborer l</w:t>
      </w:r>
      <w:r w:rsidR="007607CB" w:rsidRPr="00575A30">
        <w:rPr>
          <w:kern w:val="22"/>
          <w:szCs w:val="22"/>
          <w:lang w:val="fr-FR"/>
        </w:rPr>
        <w:t xml:space="preserve">es SPANB révisés. Voici quelques exemples d’études </w:t>
      </w:r>
      <w:r w:rsidR="00A85330" w:rsidRPr="00575A30">
        <w:rPr>
          <w:kern w:val="22"/>
          <w:szCs w:val="22"/>
          <w:lang w:val="fr-FR"/>
        </w:rPr>
        <w:t>d’évaluation :</w:t>
      </w:r>
    </w:p>
    <w:p w14:paraId="34F0CE14" w14:textId="77777777" w:rsidR="00943EE1" w:rsidRDefault="004C4284" w:rsidP="00F36F85">
      <w:pPr>
        <w:pStyle w:val="Para1"/>
        <w:numPr>
          <w:ilvl w:val="1"/>
          <w:numId w:val="12"/>
        </w:numPr>
        <w:ind w:left="0" w:firstLine="709"/>
        <w:rPr>
          <w:kern w:val="22"/>
          <w:lang w:val="fr-FR"/>
        </w:rPr>
      </w:pPr>
      <w:r>
        <w:rPr>
          <w:kern w:val="22"/>
          <w:lang w:val="fr-FR"/>
        </w:rPr>
        <w:t>Le Bangladesh a réalisé une é</w:t>
      </w:r>
      <w:r w:rsidR="00943EE1">
        <w:rPr>
          <w:kern w:val="22"/>
          <w:lang w:val="fr-FR"/>
        </w:rPr>
        <w:t xml:space="preserve">valuation économique des 50 services fournis </w:t>
      </w:r>
      <w:r w:rsidR="008A6C03">
        <w:rPr>
          <w:kern w:val="22"/>
          <w:lang w:val="fr-FR"/>
        </w:rPr>
        <w:t xml:space="preserve">par </w:t>
      </w:r>
      <w:r w:rsidR="00943EE1">
        <w:rPr>
          <w:kern w:val="22"/>
          <w:lang w:val="fr-FR"/>
        </w:rPr>
        <w:t>trois écosystèmes (forêt</w:t>
      </w:r>
      <w:r w:rsidR="008A6C03">
        <w:rPr>
          <w:kern w:val="22"/>
          <w:lang w:val="fr-FR"/>
        </w:rPr>
        <w:t>s</w:t>
      </w:r>
      <w:r w:rsidR="00943EE1">
        <w:rPr>
          <w:kern w:val="22"/>
          <w:lang w:val="fr-FR"/>
        </w:rPr>
        <w:t xml:space="preserve"> montagnarde</w:t>
      </w:r>
      <w:r w:rsidR="008A6C03">
        <w:rPr>
          <w:kern w:val="22"/>
          <w:lang w:val="fr-FR"/>
        </w:rPr>
        <w:t>s</w:t>
      </w:r>
      <w:r w:rsidR="00943EE1">
        <w:rPr>
          <w:kern w:val="22"/>
          <w:lang w:val="fr-FR"/>
        </w:rPr>
        <w:t>, zones humides et mangrove</w:t>
      </w:r>
      <w:r w:rsidR="008A6C03">
        <w:rPr>
          <w:kern w:val="22"/>
          <w:lang w:val="fr-FR"/>
        </w:rPr>
        <w:t>s</w:t>
      </w:r>
      <w:r w:rsidR="00943EE1">
        <w:rPr>
          <w:kern w:val="22"/>
          <w:lang w:val="fr-FR"/>
        </w:rPr>
        <w:t xml:space="preserve">) dans le cadre </w:t>
      </w:r>
      <w:r w:rsidR="008A6C03">
        <w:rPr>
          <w:kern w:val="22"/>
          <w:lang w:val="fr-FR"/>
        </w:rPr>
        <w:t>de la</w:t>
      </w:r>
      <w:r w:rsidR="00943EE1">
        <w:rPr>
          <w:kern w:val="22"/>
          <w:lang w:val="fr-FR"/>
        </w:rPr>
        <w:t xml:space="preserve"> mise à jour de son SPANB ;</w:t>
      </w:r>
    </w:p>
    <w:p w14:paraId="151E9B54" w14:textId="77777777" w:rsidR="00DD40FE" w:rsidRPr="00575A30" w:rsidRDefault="004C4284" w:rsidP="00F36F85">
      <w:pPr>
        <w:pStyle w:val="Para1"/>
        <w:numPr>
          <w:ilvl w:val="1"/>
          <w:numId w:val="12"/>
        </w:numPr>
        <w:ind w:left="0" w:firstLine="709"/>
        <w:rPr>
          <w:kern w:val="22"/>
          <w:lang w:val="fr-FR"/>
        </w:rPr>
      </w:pPr>
      <w:r>
        <w:rPr>
          <w:kern w:val="22"/>
          <w:lang w:val="fr-FR"/>
        </w:rPr>
        <w:t>Cap-Vert a réalisé une é</w:t>
      </w:r>
      <w:r w:rsidR="00DD40FE" w:rsidRPr="00575A30">
        <w:rPr>
          <w:kern w:val="22"/>
          <w:lang w:val="fr-FR"/>
        </w:rPr>
        <w:t xml:space="preserve">tude d’évaluation </w:t>
      </w:r>
      <w:r w:rsidR="00CD36D6">
        <w:rPr>
          <w:kern w:val="22"/>
          <w:lang w:val="fr-FR"/>
        </w:rPr>
        <w:t>sur l’écotourisme et les forêts</w:t>
      </w:r>
      <w:r w:rsidR="00DD40FE" w:rsidRPr="00575A30">
        <w:rPr>
          <w:kern w:val="22"/>
          <w:lang w:val="fr-FR"/>
        </w:rPr>
        <w:t> ;</w:t>
      </w:r>
    </w:p>
    <w:p w14:paraId="5239929F" w14:textId="77777777" w:rsidR="00DF3CF1" w:rsidRPr="00575A30" w:rsidRDefault="00DF3CF1" w:rsidP="00F36F85">
      <w:pPr>
        <w:pStyle w:val="Para1"/>
        <w:numPr>
          <w:ilvl w:val="1"/>
          <w:numId w:val="12"/>
        </w:numPr>
        <w:ind w:left="0" w:firstLine="709"/>
        <w:rPr>
          <w:kern w:val="22"/>
          <w:lang w:val="fr-FR"/>
        </w:rPr>
      </w:pPr>
      <w:r w:rsidRPr="00575A30">
        <w:rPr>
          <w:kern w:val="22"/>
          <w:lang w:val="fr-FR"/>
        </w:rPr>
        <w:t xml:space="preserve">Aires protégées de Wadi El </w:t>
      </w:r>
      <w:proofErr w:type="spellStart"/>
      <w:r w:rsidRPr="00575A30">
        <w:rPr>
          <w:kern w:val="22"/>
          <w:lang w:val="fr-FR"/>
        </w:rPr>
        <w:t>Ryaner</w:t>
      </w:r>
      <w:proofErr w:type="spellEnd"/>
      <w:r w:rsidRPr="00575A30">
        <w:rPr>
          <w:kern w:val="22"/>
          <w:lang w:val="fr-FR"/>
        </w:rPr>
        <w:t xml:space="preserve"> de Ras Mohamed en Égypte</w:t>
      </w:r>
      <w:r w:rsidR="00BC6ED9" w:rsidRPr="00575A30">
        <w:rPr>
          <w:kern w:val="22"/>
          <w:lang w:val="fr-FR"/>
        </w:rPr>
        <w:t xml:space="preserve"> ;</w:t>
      </w:r>
    </w:p>
    <w:p w14:paraId="05BAC4F1" w14:textId="77777777" w:rsidR="00CC07B2" w:rsidRDefault="00CD36D6" w:rsidP="00F36F85">
      <w:pPr>
        <w:pStyle w:val="Para1"/>
        <w:numPr>
          <w:ilvl w:val="1"/>
          <w:numId w:val="12"/>
        </w:numPr>
        <w:ind w:left="0" w:firstLine="709"/>
        <w:rPr>
          <w:kern w:val="22"/>
          <w:lang w:val="fr-FR"/>
        </w:rPr>
      </w:pPr>
      <w:r>
        <w:rPr>
          <w:kern w:val="22"/>
          <w:lang w:val="fr-FR"/>
        </w:rPr>
        <w:t>Étude d’évaluation des écosystèmes du pays (</w:t>
      </w:r>
      <w:proofErr w:type="spellStart"/>
      <w:r w:rsidR="00962145" w:rsidRPr="00FA2C78">
        <w:rPr>
          <w:kern w:val="22"/>
          <w:lang w:val="fr-CA"/>
        </w:rPr>
        <w:t>Ecosystem</w:t>
      </w:r>
      <w:proofErr w:type="spellEnd"/>
      <w:r w:rsidR="00962145" w:rsidRPr="00FA2C78">
        <w:rPr>
          <w:kern w:val="22"/>
          <w:lang w:val="fr-CA"/>
        </w:rPr>
        <w:t xml:space="preserve"> Service Valuation of Cockpit Country</w:t>
      </w:r>
      <w:r>
        <w:rPr>
          <w:kern w:val="22"/>
          <w:lang w:val="fr-FR"/>
        </w:rPr>
        <w:t xml:space="preserve">) menée par la Jamaïque en 2011, qui s’est penchée sur la faisabilité de mettre </w:t>
      </w:r>
      <w:r w:rsidR="004C4284">
        <w:rPr>
          <w:kern w:val="22"/>
          <w:lang w:val="fr-FR"/>
        </w:rPr>
        <w:t xml:space="preserve">en œuvre </w:t>
      </w:r>
      <w:r w:rsidR="00CC07B2">
        <w:rPr>
          <w:kern w:val="22"/>
          <w:lang w:val="fr-FR"/>
        </w:rPr>
        <w:t>un mécanisme de fin</w:t>
      </w:r>
      <w:r>
        <w:rPr>
          <w:kern w:val="22"/>
          <w:lang w:val="fr-FR"/>
        </w:rPr>
        <w:t>ancement durable pour la gestion des océans et des côtes</w:t>
      </w:r>
      <w:r w:rsidR="00CC07B2">
        <w:rPr>
          <w:kern w:val="22"/>
          <w:lang w:val="fr-FR"/>
        </w:rPr>
        <w:t> ;</w:t>
      </w:r>
    </w:p>
    <w:p w14:paraId="69220998" w14:textId="77777777" w:rsidR="00736D0F" w:rsidRDefault="00736D0F" w:rsidP="00F36F85">
      <w:pPr>
        <w:pStyle w:val="Para1"/>
        <w:numPr>
          <w:ilvl w:val="1"/>
          <w:numId w:val="12"/>
        </w:numPr>
        <w:ind w:left="0" w:firstLine="709"/>
        <w:rPr>
          <w:kern w:val="22"/>
          <w:lang w:val="fr-FR"/>
        </w:rPr>
      </w:pPr>
      <w:r w:rsidRPr="00575A30">
        <w:rPr>
          <w:kern w:val="22"/>
          <w:lang w:val="fr-FR"/>
        </w:rPr>
        <w:t xml:space="preserve">Zone humide </w:t>
      </w:r>
      <w:r w:rsidR="004C4284">
        <w:rPr>
          <w:kern w:val="22"/>
          <w:lang w:val="fr-FR"/>
        </w:rPr>
        <w:t xml:space="preserve">représentant le poumon de la région </w:t>
      </w:r>
      <w:proofErr w:type="gramStart"/>
      <w:r w:rsidR="004C4284">
        <w:rPr>
          <w:kern w:val="22"/>
          <w:lang w:val="fr-FR"/>
        </w:rPr>
        <w:t xml:space="preserve">en </w:t>
      </w:r>
      <w:r w:rsidRPr="00575A30">
        <w:rPr>
          <w:kern w:val="22"/>
          <w:lang w:val="fr-FR"/>
        </w:rPr>
        <w:t xml:space="preserve"> République</w:t>
      </w:r>
      <w:proofErr w:type="gramEnd"/>
      <w:r w:rsidRPr="00575A30">
        <w:rPr>
          <w:kern w:val="22"/>
          <w:lang w:val="fr-FR"/>
        </w:rPr>
        <w:t xml:space="preserve"> populaire démocratique lao</w:t>
      </w:r>
      <w:r w:rsidR="00BC6ED9" w:rsidRPr="00575A30">
        <w:rPr>
          <w:kern w:val="22"/>
          <w:lang w:val="fr-FR"/>
        </w:rPr>
        <w:t> ;</w:t>
      </w:r>
    </w:p>
    <w:p w14:paraId="59D70753" w14:textId="77777777" w:rsidR="00CC07B2" w:rsidRPr="00575A30" w:rsidRDefault="00CC07B2" w:rsidP="00F36F85">
      <w:pPr>
        <w:pStyle w:val="Para1"/>
        <w:numPr>
          <w:ilvl w:val="1"/>
          <w:numId w:val="12"/>
        </w:numPr>
        <w:ind w:left="0" w:firstLine="709"/>
        <w:rPr>
          <w:kern w:val="22"/>
          <w:lang w:val="fr-FR"/>
        </w:rPr>
      </w:pPr>
      <w:r>
        <w:rPr>
          <w:kern w:val="22"/>
          <w:lang w:val="fr-FR"/>
        </w:rPr>
        <w:t>Le SPANB du Mexique repose largement sur les dispositions du document sur le Capital naturel du Mexique : mesures stratégiques pour l’évaluation, la préservation et la restauration (2012) </w:t>
      </w:r>
      <w:r w:rsidR="00E917F7">
        <w:rPr>
          <w:kern w:val="22"/>
          <w:lang w:val="fr-FR"/>
        </w:rPr>
        <w:t>(</w:t>
      </w:r>
      <w:r w:rsidR="00E917F7" w:rsidRPr="00E917F7">
        <w:rPr>
          <w:i/>
          <w:kern w:val="22"/>
          <w:lang w:val="fr-FR"/>
        </w:rPr>
        <w:t xml:space="preserve">Capital </w:t>
      </w:r>
      <w:proofErr w:type="spellStart"/>
      <w:r w:rsidR="00E917F7" w:rsidRPr="00E917F7">
        <w:rPr>
          <w:i/>
          <w:kern w:val="22"/>
          <w:lang w:val="fr-FR"/>
        </w:rPr>
        <w:t>natural</w:t>
      </w:r>
      <w:proofErr w:type="spellEnd"/>
      <w:r w:rsidR="00E917F7" w:rsidRPr="00E917F7">
        <w:rPr>
          <w:i/>
          <w:kern w:val="22"/>
          <w:lang w:val="fr-FR"/>
        </w:rPr>
        <w:t xml:space="preserve"> de México : </w:t>
      </w:r>
      <w:proofErr w:type="spellStart"/>
      <w:r w:rsidR="00E917F7" w:rsidRPr="00E917F7">
        <w:rPr>
          <w:i/>
          <w:kern w:val="22"/>
          <w:lang w:val="fr-FR"/>
        </w:rPr>
        <w:t>Acciones</w:t>
      </w:r>
      <w:proofErr w:type="spellEnd"/>
      <w:r w:rsidR="00E917F7" w:rsidRPr="00E917F7">
        <w:rPr>
          <w:i/>
          <w:kern w:val="22"/>
          <w:lang w:val="fr-FR"/>
        </w:rPr>
        <w:t xml:space="preserve"> </w:t>
      </w:r>
      <w:proofErr w:type="spellStart"/>
      <w:r w:rsidR="002946E4">
        <w:rPr>
          <w:i/>
          <w:kern w:val="22"/>
          <w:lang w:val="fr-FR"/>
        </w:rPr>
        <w:t>estratégicas</w:t>
      </w:r>
      <w:proofErr w:type="spellEnd"/>
      <w:r w:rsidR="002946E4">
        <w:rPr>
          <w:i/>
          <w:kern w:val="22"/>
          <w:lang w:val="fr-FR"/>
        </w:rPr>
        <w:t xml:space="preserve"> para su </w:t>
      </w:r>
      <w:proofErr w:type="spellStart"/>
      <w:r w:rsidR="002946E4">
        <w:rPr>
          <w:i/>
          <w:kern w:val="22"/>
          <w:lang w:val="fr-FR"/>
        </w:rPr>
        <w:t>valorisación</w:t>
      </w:r>
      <w:proofErr w:type="spellEnd"/>
      <w:r w:rsidR="002946E4">
        <w:rPr>
          <w:i/>
          <w:kern w:val="22"/>
          <w:lang w:val="fr-FR"/>
        </w:rPr>
        <w:t xml:space="preserve">, </w:t>
      </w:r>
      <w:proofErr w:type="spellStart"/>
      <w:r w:rsidR="002946E4">
        <w:rPr>
          <w:i/>
          <w:kern w:val="22"/>
          <w:lang w:val="fr-FR"/>
        </w:rPr>
        <w:t>preservación</w:t>
      </w:r>
      <w:proofErr w:type="spellEnd"/>
      <w:r w:rsidR="002946E4">
        <w:rPr>
          <w:i/>
          <w:kern w:val="22"/>
          <w:lang w:val="fr-FR"/>
        </w:rPr>
        <w:t xml:space="preserve"> y </w:t>
      </w:r>
      <w:proofErr w:type="spellStart"/>
      <w:r w:rsidR="002946E4">
        <w:rPr>
          <w:i/>
          <w:kern w:val="22"/>
          <w:lang w:val="fr-FR"/>
        </w:rPr>
        <w:t>recuperació</w:t>
      </w:r>
      <w:r w:rsidR="00E917F7" w:rsidRPr="00E917F7">
        <w:rPr>
          <w:i/>
          <w:kern w:val="22"/>
          <w:lang w:val="fr-FR"/>
        </w:rPr>
        <w:t>n</w:t>
      </w:r>
      <w:proofErr w:type="spellEnd"/>
      <w:r w:rsidR="00E917F7">
        <w:rPr>
          <w:kern w:val="22"/>
          <w:lang w:val="fr-FR"/>
        </w:rPr>
        <w:t xml:space="preserve"> (2012)</w:t>
      </w:r>
      <w:r>
        <w:rPr>
          <w:kern w:val="22"/>
          <w:lang w:val="fr-FR"/>
        </w:rPr>
        <w:t>;</w:t>
      </w:r>
    </w:p>
    <w:p w14:paraId="2940E5B4" w14:textId="77777777" w:rsidR="00DD40FE" w:rsidRPr="00575A30" w:rsidRDefault="00DD40FE" w:rsidP="00F36F85">
      <w:pPr>
        <w:pStyle w:val="Para1"/>
        <w:numPr>
          <w:ilvl w:val="1"/>
          <w:numId w:val="12"/>
        </w:numPr>
        <w:ind w:left="0" w:firstLine="709"/>
        <w:rPr>
          <w:kern w:val="22"/>
          <w:lang w:val="fr-FR"/>
        </w:rPr>
      </w:pPr>
      <w:r w:rsidRPr="00575A30">
        <w:rPr>
          <w:kern w:val="22"/>
          <w:lang w:val="fr-FR"/>
        </w:rPr>
        <w:lastRenderedPageBreak/>
        <w:t xml:space="preserve">Évaluation par la Fédération de Russie de la valeur économique de la zone humide de la région de </w:t>
      </w:r>
      <w:proofErr w:type="spellStart"/>
      <w:r w:rsidRPr="00575A30">
        <w:rPr>
          <w:kern w:val="22"/>
          <w:lang w:val="fr-FR"/>
        </w:rPr>
        <w:t>Dubna</w:t>
      </w:r>
      <w:proofErr w:type="spellEnd"/>
      <w:r w:rsidRPr="00575A30">
        <w:rPr>
          <w:kern w:val="22"/>
          <w:lang w:val="fr-FR"/>
        </w:rPr>
        <w:t xml:space="preserve"> (« </w:t>
      </w:r>
      <w:proofErr w:type="spellStart"/>
      <w:r w:rsidRPr="00575A30">
        <w:rPr>
          <w:kern w:val="22"/>
          <w:lang w:val="fr-FR"/>
        </w:rPr>
        <w:t>Craneland</w:t>
      </w:r>
      <w:proofErr w:type="spellEnd"/>
      <w:r w:rsidRPr="00575A30">
        <w:rPr>
          <w:kern w:val="22"/>
          <w:lang w:val="fr-FR"/>
        </w:rPr>
        <w:t> »),</w:t>
      </w:r>
      <w:r w:rsidR="00A85330" w:rsidRPr="00575A30">
        <w:rPr>
          <w:kern w:val="22"/>
          <w:lang w:val="fr-FR"/>
        </w:rPr>
        <w:t xml:space="preserve"> </w:t>
      </w:r>
      <w:r w:rsidRPr="00575A30">
        <w:rPr>
          <w:kern w:val="22"/>
          <w:lang w:val="fr-FR"/>
        </w:rPr>
        <w:t>qui a montré l’intérêt de l’écosystème grâce à l’utilisation directe des bioressources ;</w:t>
      </w:r>
    </w:p>
    <w:p w14:paraId="39B8E91B" w14:textId="77777777" w:rsidR="00736D0F" w:rsidRPr="00575A30" w:rsidRDefault="006342CE" w:rsidP="00F36F85">
      <w:pPr>
        <w:pStyle w:val="Para1"/>
        <w:numPr>
          <w:ilvl w:val="1"/>
          <w:numId w:val="12"/>
        </w:numPr>
        <w:ind w:left="0" w:firstLine="709"/>
        <w:rPr>
          <w:kern w:val="22"/>
          <w:lang w:val="fr-FR"/>
        </w:rPr>
      </w:pPr>
      <w:r w:rsidRPr="00575A30">
        <w:rPr>
          <w:kern w:val="22"/>
          <w:lang w:val="fr-FR"/>
        </w:rPr>
        <w:t>Évaluation</w:t>
      </w:r>
      <w:r w:rsidR="00736D0F" w:rsidRPr="00575A30">
        <w:rPr>
          <w:kern w:val="22"/>
          <w:lang w:val="fr-FR"/>
        </w:rPr>
        <w:t xml:space="preserve"> générale des terres à Saint-</w:t>
      </w:r>
      <w:r w:rsidR="002946E4">
        <w:rPr>
          <w:kern w:val="22"/>
          <w:lang w:val="fr-FR"/>
        </w:rPr>
        <w:t>Kitts</w:t>
      </w:r>
      <w:r w:rsidR="00736D0F" w:rsidRPr="00575A30">
        <w:rPr>
          <w:kern w:val="22"/>
          <w:lang w:val="fr-FR"/>
        </w:rPr>
        <w:t xml:space="preserve">-et-Nevis. Le pays prévoit également de mener davantage d'études sur la valeur intrinsèque </w:t>
      </w:r>
      <w:r w:rsidR="005735D0" w:rsidRPr="00575A30">
        <w:rPr>
          <w:kern w:val="22"/>
          <w:lang w:val="fr-FR"/>
        </w:rPr>
        <w:t xml:space="preserve">de la biodiversité </w:t>
      </w:r>
      <w:r w:rsidR="00736D0F" w:rsidRPr="00575A30">
        <w:rPr>
          <w:kern w:val="22"/>
          <w:lang w:val="fr-FR"/>
        </w:rPr>
        <w:t>sur les plans socioéconomique et culturel</w:t>
      </w:r>
      <w:r w:rsidR="00BC6ED9" w:rsidRPr="00575A30">
        <w:rPr>
          <w:kern w:val="22"/>
          <w:lang w:val="fr-FR"/>
        </w:rPr>
        <w:t> ;</w:t>
      </w:r>
    </w:p>
    <w:p w14:paraId="05D38BED" w14:textId="77777777" w:rsidR="001C5FFE" w:rsidRDefault="001C5FFE" w:rsidP="00F36F85">
      <w:pPr>
        <w:pStyle w:val="Para1"/>
        <w:numPr>
          <w:ilvl w:val="1"/>
          <w:numId w:val="12"/>
        </w:numPr>
        <w:ind w:left="0" w:firstLine="709"/>
        <w:rPr>
          <w:kern w:val="22"/>
          <w:lang w:val="fr-FR"/>
        </w:rPr>
      </w:pPr>
      <w:r w:rsidRPr="00575A30">
        <w:rPr>
          <w:kern w:val="22"/>
          <w:lang w:val="fr-FR"/>
        </w:rPr>
        <w:t xml:space="preserve">Étude d'évaluation sur les aires protégées par le Zimbabwe dans le cadre du processus </w:t>
      </w:r>
      <w:r w:rsidR="005735D0" w:rsidRPr="00575A30">
        <w:rPr>
          <w:kern w:val="22"/>
          <w:lang w:val="fr-FR"/>
        </w:rPr>
        <w:t xml:space="preserve">de révision </w:t>
      </w:r>
      <w:r w:rsidRPr="00575A30">
        <w:rPr>
          <w:kern w:val="22"/>
          <w:lang w:val="fr-FR"/>
        </w:rPr>
        <w:t xml:space="preserve">de </w:t>
      </w:r>
      <w:r w:rsidR="005735D0" w:rsidRPr="00575A30">
        <w:rPr>
          <w:kern w:val="22"/>
          <w:lang w:val="fr-FR"/>
        </w:rPr>
        <w:t xml:space="preserve">sa </w:t>
      </w:r>
      <w:r w:rsidRPr="00575A30">
        <w:rPr>
          <w:kern w:val="22"/>
          <w:lang w:val="fr-FR"/>
        </w:rPr>
        <w:t xml:space="preserve">stratégie et </w:t>
      </w:r>
      <w:r w:rsidR="005735D0" w:rsidRPr="00575A30">
        <w:rPr>
          <w:kern w:val="22"/>
          <w:lang w:val="fr-FR"/>
        </w:rPr>
        <w:t xml:space="preserve">de son </w:t>
      </w:r>
      <w:r w:rsidRPr="00575A30">
        <w:rPr>
          <w:kern w:val="22"/>
          <w:lang w:val="fr-FR"/>
        </w:rPr>
        <w:t>plan d'action nationaux pour la biodiversité.</w:t>
      </w:r>
    </w:p>
    <w:p w14:paraId="1FABB1C8" w14:textId="77777777" w:rsidR="002946E4" w:rsidRPr="00575A30" w:rsidRDefault="004B4B07" w:rsidP="00F36F85">
      <w:pPr>
        <w:pStyle w:val="Para1"/>
        <w:numPr>
          <w:ilvl w:val="1"/>
          <w:numId w:val="12"/>
        </w:numPr>
        <w:ind w:left="0" w:firstLine="709"/>
        <w:rPr>
          <w:kern w:val="22"/>
          <w:lang w:val="fr-FR"/>
        </w:rPr>
      </w:pPr>
      <w:r>
        <w:rPr>
          <w:kern w:val="22"/>
          <w:lang w:val="fr-FR"/>
        </w:rPr>
        <w:t xml:space="preserve">Au cours de la mise en œuvre de son SPANB précédent (2014-2018), la République de Corée a réalisé une étude </w:t>
      </w:r>
      <w:r w:rsidR="008160CF">
        <w:rPr>
          <w:kern w:val="22"/>
          <w:lang w:val="fr-FR"/>
        </w:rPr>
        <w:t>d’évaluation</w:t>
      </w:r>
      <w:r>
        <w:rPr>
          <w:kern w:val="22"/>
          <w:lang w:val="fr-FR"/>
        </w:rPr>
        <w:t xml:space="preserve"> des services écosystémiques fournis par les rizières. La mise en œuvre du SPANB précédent a aussi contribué à l’intégration des valeurs de la biodiversité aux plans légaux </w:t>
      </w:r>
      <w:r w:rsidR="008160CF">
        <w:rPr>
          <w:kern w:val="22"/>
          <w:lang w:val="fr-FR"/>
        </w:rPr>
        <w:t>de</w:t>
      </w:r>
      <w:r>
        <w:rPr>
          <w:kern w:val="22"/>
          <w:lang w:val="fr-FR"/>
        </w:rPr>
        <w:t xml:space="preserve"> différents secteurs, dont les forêts et les océans, et ainsi facilité l’intégration de la biodiversité dans les ministères et les agences. </w:t>
      </w:r>
      <w:r w:rsidR="006B3BD6">
        <w:rPr>
          <w:kern w:val="22"/>
          <w:lang w:val="fr-FR"/>
        </w:rPr>
        <w:t>Des mesures seront prises pour mettre en œuvre le SPANB actuel (</w:t>
      </w:r>
      <w:r w:rsidR="008160CF">
        <w:rPr>
          <w:kern w:val="22"/>
          <w:lang w:val="fr-FR"/>
        </w:rPr>
        <w:t>2019-2023</w:t>
      </w:r>
      <w:r w:rsidR="006B3BD6">
        <w:rPr>
          <w:kern w:val="22"/>
          <w:lang w:val="fr-FR"/>
        </w:rPr>
        <w:t xml:space="preserve">), dont la préparation de normes </w:t>
      </w:r>
      <w:r w:rsidR="008160CF">
        <w:rPr>
          <w:kern w:val="22"/>
          <w:lang w:val="fr-FR"/>
        </w:rPr>
        <w:t>d’évaluation, par la découv</w:t>
      </w:r>
      <w:r w:rsidR="006B3BD6">
        <w:rPr>
          <w:kern w:val="22"/>
          <w:lang w:val="fr-FR"/>
        </w:rPr>
        <w:t xml:space="preserve">erte </w:t>
      </w:r>
      <w:r w:rsidR="008160CF">
        <w:rPr>
          <w:kern w:val="22"/>
          <w:lang w:val="fr-FR"/>
        </w:rPr>
        <w:t>et la sélection des principaux services écosystémiques fores</w:t>
      </w:r>
      <w:r w:rsidR="006B3BD6">
        <w:rPr>
          <w:kern w:val="22"/>
          <w:lang w:val="fr-FR"/>
        </w:rPr>
        <w:t>tiers, ainsi que l’amé</w:t>
      </w:r>
      <w:r w:rsidR="008160CF">
        <w:rPr>
          <w:kern w:val="22"/>
          <w:lang w:val="fr-FR"/>
        </w:rPr>
        <w:t>l</w:t>
      </w:r>
      <w:r w:rsidR="006B3BD6">
        <w:rPr>
          <w:kern w:val="22"/>
          <w:lang w:val="fr-FR"/>
        </w:rPr>
        <w:t>ioration des indicateurs d’</w:t>
      </w:r>
      <w:r w:rsidR="008160CF">
        <w:rPr>
          <w:kern w:val="22"/>
          <w:lang w:val="fr-FR"/>
        </w:rPr>
        <w:t>évaluation fonctionnelle</w:t>
      </w:r>
      <w:r w:rsidR="006B3BD6">
        <w:rPr>
          <w:kern w:val="22"/>
          <w:lang w:val="fr-FR"/>
        </w:rPr>
        <w:t xml:space="preserve">. La République de Corée prévoit également réviser le Loi sur la </w:t>
      </w:r>
      <w:r w:rsidR="008160CF">
        <w:rPr>
          <w:kern w:val="22"/>
          <w:lang w:val="fr-FR"/>
        </w:rPr>
        <w:t xml:space="preserve">conservation et l’utilisation </w:t>
      </w:r>
      <w:r w:rsidR="006B3BD6">
        <w:rPr>
          <w:kern w:val="22"/>
          <w:lang w:val="fr-FR"/>
        </w:rPr>
        <w:t>de la diversité biologique, qui offre une base légale</w:t>
      </w:r>
      <w:r w:rsidR="008160CF">
        <w:rPr>
          <w:kern w:val="22"/>
          <w:lang w:val="fr-FR"/>
        </w:rPr>
        <w:t xml:space="preserve"> pour l</w:t>
      </w:r>
      <w:r w:rsidR="006B3BD6">
        <w:rPr>
          <w:kern w:val="22"/>
          <w:lang w:val="fr-FR"/>
        </w:rPr>
        <w:t xml:space="preserve">a définition des services écosystémiques, </w:t>
      </w:r>
      <w:r w:rsidR="003B2BC7">
        <w:rPr>
          <w:kern w:val="22"/>
          <w:lang w:val="fr-FR"/>
        </w:rPr>
        <w:t>dont</w:t>
      </w:r>
      <w:r w:rsidR="00C401FB">
        <w:rPr>
          <w:kern w:val="22"/>
          <w:lang w:val="fr-FR"/>
        </w:rPr>
        <w:t xml:space="preserve"> la façon de les mesurer et d’établir </w:t>
      </w:r>
      <w:r w:rsidR="006B3BD6">
        <w:rPr>
          <w:kern w:val="22"/>
          <w:lang w:val="fr-FR"/>
        </w:rPr>
        <w:t>leur valeur.</w:t>
      </w:r>
    </w:p>
    <w:p w14:paraId="18CFFF5B" w14:textId="77777777" w:rsidR="002A0778" w:rsidRPr="00575A30" w:rsidRDefault="00335CFF" w:rsidP="00F36F85">
      <w:pPr>
        <w:numPr>
          <w:ilvl w:val="0"/>
          <w:numId w:val="11"/>
        </w:numPr>
        <w:tabs>
          <w:tab w:val="clear" w:pos="540"/>
          <w:tab w:val="num" w:pos="709"/>
        </w:tabs>
        <w:spacing w:before="240" w:after="120"/>
        <w:ind w:left="0" w:firstLine="0"/>
        <w:rPr>
          <w:kern w:val="22"/>
          <w:szCs w:val="22"/>
          <w:lang w:val="fr-FR"/>
        </w:rPr>
      </w:pPr>
      <w:r w:rsidRPr="00575A30">
        <w:rPr>
          <w:kern w:val="22"/>
          <w:szCs w:val="22"/>
          <w:lang w:val="fr-FR"/>
        </w:rPr>
        <w:t xml:space="preserve">Parmi les </w:t>
      </w:r>
      <w:r w:rsidR="00C401FB">
        <w:rPr>
          <w:kern w:val="22"/>
          <w:szCs w:val="22"/>
          <w:lang w:val="fr-FR"/>
        </w:rPr>
        <w:t>167</w:t>
      </w:r>
      <w:r w:rsidR="005735D0" w:rsidRPr="00575A30">
        <w:rPr>
          <w:kern w:val="22"/>
          <w:szCs w:val="22"/>
          <w:lang w:val="fr-FR"/>
        </w:rPr>
        <w:t xml:space="preserve"> </w:t>
      </w:r>
      <w:r w:rsidRPr="00575A30">
        <w:rPr>
          <w:kern w:val="22"/>
          <w:szCs w:val="22"/>
          <w:lang w:val="fr-FR"/>
        </w:rPr>
        <w:t xml:space="preserve">SPANB examinés, </w:t>
      </w:r>
      <w:r w:rsidR="003B2BC7">
        <w:rPr>
          <w:kern w:val="22"/>
          <w:szCs w:val="22"/>
          <w:lang w:val="fr-FR"/>
        </w:rPr>
        <w:t>4</w:t>
      </w:r>
      <w:r w:rsidR="00C401FB">
        <w:rPr>
          <w:kern w:val="22"/>
          <w:szCs w:val="22"/>
          <w:lang w:val="fr-FR"/>
        </w:rPr>
        <w:t>6</w:t>
      </w:r>
      <w:r w:rsidR="00C65784" w:rsidRPr="00575A30">
        <w:rPr>
          <w:kern w:val="22"/>
          <w:szCs w:val="22"/>
          <w:lang w:val="fr-FR"/>
        </w:rPr>
        <w:t> </w:t>
      </w:r>
      <w:r w:rsidR="00CC1FB0" w:rsidRPr="00575A30">
        <w:rPr>
          <w:kern w:val="22"/>
          <w:szCs w:val="22"/>
          <w:lang w:val="fr-FR"/>
        </w:rPr>
        <w:t>pays</w:t>
      </w:r>
      <w:r w:rsidR="00CC1FB0" w:rsidRPr="00575A30">
        <w:rPr>
          <w:rStyle w:val="FootnoteReference"/>
          <w:snapToGrid w:val="0"/>
          <w:kern w:val="22"/>
          <w:szCs w:val="22"/>
          <w:lang w:val="fr-FR"/>
        </w:rPr>
        <w:footnoteReference w:id="45"/>
      </w:r>
      <w:r w:rsidR="00CC1FB0" w:rsidRPr="00575A30">
        <w:rPr>
          <w:kern w:val="22"/>
          <w:szCs w:val="22"/>
          <w:lang w:val="fr-FR"/>
        </w:rPr>
        <w:t xml:space="preserve"> </w:t>
      </w:r>
      <w:r w:rsidRPr="00575A30">
        <w:rPr>
          <w:kern w:val="22"/>
          <w:szCs w:val="22"/>
          <w:lang w:val="fr-FR"/>
        </w:rPr>
        <w:t xml:space="preserve">ont </w:t>
      </w:r>
      <w:r w:rsidR="00CC1FB0" w:rsidRPr="00575A30">
        <w:rPr>
          <w:kern w:val="22"/>
          <w:szCs w:val="22"/>
          <w:lang w:val="fr-FR"/>
        </w:rPr>
        <w:t xml:space="preserve">défini des objectifs nationaux en matière </w:t>
      </w:r>
      <w:r w:rsidR="00816060" w:rsidRPr="00575A30">
        <w:rPr>
          <w:kern w:val="22"/>
          <w:szCs w:val="22"/>
          <w:lang w:val="fr-FR"/>
        </w:rPr>
        <w:t xml:space="preserve">d'évaluation </w:t>
      </w:r>
      <w:r w:rsidR="00CC1FB0" w:rsidRPr="00575A30">
        <w:rPr>
          <w:kern w:val="22"/>
          <w:szCs w:val="22"/>
          <w:lang w:val="fr-FR"/>
        </w:rPr>
        <w:t xml:space="preserve">et </w:t>
      </w:r>
      <w:r w:rsidR="00962145">
        <w:rPr>
          <w:kern w:val="22"/>
          <w:szCs w:val="22"/>
          <w:lang w:val="fr-FR"/>
        </w:rPr>
        <w:t>5</w:t>
      </w:r>
      <w:r w:rsidR="00C401FB">
        <w:rPr>
          <w:kern w:val="22"/>
          <w:szCs w:val="22"/>
          <w:lang w:val="fr-FR"/>
        </w:rPr>
        <w:t>2</w:t>
      </w:r>
      <w:r w:rsidR="00D06A5A">
        <w:rPr>
          <w:kern w:val="22"/>
          <w:szCs w:val="22"/>
          <w:lang w:val="fr-FR"/>
        </w:rPr>
        <w:t xml:space="preserve"> pays</w:t>
      </w:r>
      <w:r w:rsidR="00CC1FB0" w:rsidRPr="00575A30">
        <w:rPr>
          <w:kern w:val="22"/>
          <w:szCs w:val="22"/>
          <w:lang w:val="fr-FR"/>
        </w:rPr>
        <w:t xml:space="preserve"> ont déclaré </w:t>
      </w:r>
      <w:r w:rsidRPr="00575A30">
        <w:rPr>
          <w:kern w:val="22"/>
          <w:szCs w:val="22"/>
          <w:lang w:val="fr-FR"/>
        </w:rPr>
        <w:t xml:space="preserve">leur intention de mener de futures études </w:t>
      </w:r>
      <w:r w:rsidR="00816060" w:rsidRPr="00575A30">
        <w:rPr>
          <w:kern w:val="22"/>
          <w:szCs w:val="22"/>
          <w:lang w:val="fr-FR"/>
        </w:rPr>
        <w:t>d'évaluation</w:t>
      </w:r>
      <w:r w:rsidRPr="00575A30">
        <w:rPr>
          <w:kern w:val="22"/>
          <w:szCs w:val="22"/>
          <w:lang w:val="fr-FR"/>
        </w:rPr>
        <w:t>.</w:t>
      </w:r>
      <w:r w:rsidR="00C65784" w:rsidRPr="00575A30">
        <w:rPr>
          <w:snapToGrid w:val="0"/>
          <w:kern w:val="22"/>
          <w:szCs w:val="22"/>
          <w:vertAlign w:val="superscript"/>
          <w:lang w:val="fr-FR"/>
        </w:rPr>
        <w:footnoteReference w:id="46"/>
      </w:r>
      <w:r w:rsidRPr="00575A30">
        <w:rPr>
          <w:kern w:val="22"/>
          <w:szCs w:val="22"/>
          <w:lang w:val="fr-FR"/>
        </w:rPr>
        <w:t xml:space="preserve"> Par exemple :</w:t>
      </w:r>
    </w:p>
    <w:p w14:paraId="7E83F449" w14:textId="77777777" w:rsidR="00CC1FB0" w:rsidRPr="00575A30" w:rsidRDefault="00CC1FB0" w:rsidP="00F36F85">
      <w:pPr>
        <w:pStyle w:val="Para1"/>
        <w:numPr>
          <w:ilvl w:val="1"/>
          <w:numId w:val="20"/>
        </w:numPr>
        <w:ind w:left="0" w:firstLine="709"/>
        <w:rPr>
          <w:kern w:val="22"/>
          <w:lang w:val="fr-FR"/>
        </w:rPr>
      </w:pPr>
      <w:r w:rsidRPr="00575A30">
        <w:rPr>
          <w:kern w:val="22"/>
          <w:lang w:val="fr-FR"/>
        </w:rPr>
        <w:t xml:space="preserve">L'Arménie, le Mozambique et la République-Unie de Tanzanie ont </w:t>
      </w:r>
      <w:r w:rsidR="00816060" w:rsidRPr="00575A30">
        <w:rPr>
          <w:kern w:val="22"/>
          <w:lang w:val="fr-FR"/>
        </w:rPr>
        <w:t>défini</w:t>
      </w:r>
      <w:r w:rsidRPr="00575A30">
        <w:rPr>
          <w:kern w:val="22"/>
          <w:lang w:val="fr-FR"/>
        </w:rPr>
        <w:t xml:space="preserve"> des mesures visant à élaborer des </w:t>
      </w:r>
      <w:r w:rsidR="00335CFF" w:rsidRPr="00575A30">
        <w:rPr>
          <w:kern w:val="22"/>
          <w:lang w:val="fr-FR"/>
        </w:rPr>
        <w:t>outils</w:t>
      </w:r>
      <w:r w:rsidRPr="00575A30">
        <w:rPr>
          <w:kern w:val="22"/>
          <w:lang w:val="fr-FR"/>
        </w:rPr>
        <w:t xml:space="preserve">, </w:t>
      </w:r>
      <w:r w:rsidR="00335CFF" w:rsidRPr="00575A30">
        <w:rPr>
          <w:kern w:val="22"/>
          <w:lang w:val="fr-FR"/>
        </w:rPr>
        <w:t>de</w:t>
      </w:r>
      <w:r w:rsidRPr="00575A30">
        <w:rPr>
          <w:kern w:val="22"/>
          <w:lang w:val="fr-FR"/>
        </w:rPr>
        <w:t>s</w:t>
      </w:r>
      <w:r w:rsidR="00335CFF" w:rsidRPr="00575A30">
        <w:rPr>
          <w:kern w:val="22"/>
          <w:lang w:val="fr-FR"/>
        </w:rPr>
        <w:t xml:space="preserve"> méthodes </w:t>
      </w:r>
      <w:r w:rsidRPr="00575A30">
        <w:rPr>
          <w:kern w:val="22"/>
          <w:lang w:val="fr-FR"/>
        </w:rPr>
        <w:t xml:space="preserve">ou des méthodologies </w:t>
      </w:r>
      <w:r w:rsidR="00335CFF" w:rsidRPr="00575A30">
        <w:rPr>
          <w:kern w:val="22"/>
          <w:lang w:val="fr-FR"/>
        </w:rPr>
        <w:t xml:space="preserve">pour </w:t>
      </w:r>
      <w:r w:rsidR="00464D7A" w:rsidRPr="00575A30">
        <w:rPr>
          <w:kern w:val="22"/>
          <w:lang w:val="fr-FR"/>
        </w:rPr>
        <w:t xml:space="preserve">apprécier </w:t>
      </w:r>
      <w:r w:rsidR="00335CFF" w:rsidRPr="00575A30">
        <w:rPr>
          <w:kern w:val="22"/>
          <w:lang w:val="fr-FR"/>
        </w:rPr>
        <w:t xml:space="preserve">la valeur de la biodiversité et des services </w:t>
      </w:r>
      <w:r w:rsidR="00335CFF" w:rsidRPr="00575A30">
        <w:rPr>
          <w:noProof/>
          <w:kern w:val="22"/>
          <w:lang w:val="fr-FR"/>
        </w:rPr>
        <w:t>écosystémiques</w:t>
      </w:r>
      <w:r w:rsidR="00BC6ED9" w:rsidRPr="00575A30">
        <w:rPr>
          <w:noProof/>
          <w:kern w:val="22"/>
          <w:lang w:val="fr-FR"/>
        </w:rPr>
        <w:t>;</w:t>
      </w:r>
    </w:p>
    <w:p w14:paraId="273F977F" w14:textId="77777777" w:rsidR="0040044B" w:rsidRDefault="00CC1FB0" w:rsidP="00F36F85">
      <w:pPr>
        <w:pStyle w:val="Para1"/>
        <w:numPr>
          <w:ilvl w:val="1"/>
          <w:numId w:val="20"/>
        </w:numPr>
        <w:ind w:left="0" w:firstLine="709"/>
        <w:rPr>
          <w:kern w:val="22"/>
          <w:lang w:val="fr-FR"/>
        </w:rPr>
      </w:pPr>
      <w:r w:rsidRPr="00575A30">
        <w:rPr>
          <w:noProof/>
          <w:kern w:val="22"/>
          <w:lang w:val="fr-FR"/>
        </w:rPr>
        <w:t>Le Maroc élabore à l'heure actuelle des programmes</w:t>
      </w:r>
      <w:r w:rsidR="00335CFF" w:rsidRPr="00575A30">
        <w:rPr>
          <w:noProof/>
          <w:kern w:val="22"/>
          <w:lang w:val="fr-FR"/>
        </w:rPr>
        <w:t xml:space="preserve"> </w:t>
      </w:r>
      <w:r w:rsidRPr="00575A30">
        <w:rPr>
          <w:noProof/>
          <w:kern w:val="22"/>
          <w:lang w:val="fr-FR"/>
        </w:rPr>
        <w:t xml:space="preserve">visant à mettre en valeur le secteur de </w:t>
      </w:r>
      <w:r w:rsidRPr="00575A30">
        <w:rPr>
          <w:kern w:val="22"/>
          <w:lang w:val="fr-FR"/>
        </w:rPr>
        <w:t>l'élevage</w:t>
      </w:r>
      <w:r w:rsidRPr="00575A30">
        <w:rPr>
          <w:noProof/>
          <w:kern w:val="22"/>
          <w:lang w:val="fr-FR"/>
        </w:rPr>
        <w:t xml:space="preserve"> de chameaux, qui constitue une source majeure de prestige et de revenus pour la population du sud du Maroc. </w:t>
      </w:r>
    </w:p>
    <w:p w14:paraId="4DA3AA18" w14:textId="77777777" w:rsidR="00C401FB" w:rsidRPr="00575A30" w:rsidRDefault="00C401FB" w:rsidP="00F36F85">
      <w:pPr>
        <w:pStyle w:val="Para1"/>
        <w:numPr>
          <w:ilvl w:val="1"/>
          <w:numId w:val="20"/>
        </w:numPr>
        <w:ind w:left="0" w:firstLine="709"/>
        <w:rPr>
          <w:kern w:val="22"/>
          <w:lang w:val="fr-FR"/>
        </w:rPr>
      </w:pPr>
      <w:r>
        <w:rPr>
          <w:noProof/>
          <w:kern w:val="22"/>
          <w:lang w:val="fr-FR"/>
        </w:rPr>
        <w:t>Le Koweït est en train de mener un projet d’évaluation de la biodiversité en association avec l’Union internationale pour la conservation de la nature</w:t>
      </w:r>
    </w:p>
    <w:p w14:paraId="1AC13516" w14:textId="77777777" w:rsidR="009503E5" w:rsidRDefault="009503E5">
      <w:pPr>
        <w:jc w:val="left"/>
        <w:rPr>
          <w:bCs/>
          <w:i/>
          <w:iCs/>
          <w:snapToGrid w:val="0"/>
          <w:kern w:val="22"/>
          <w:szCs w:val="18"/>
          <w:lang w:val="fr-FR" w:eastAsia="x-none"/>
        </w:rPr>
      </w:pPr>
      <w:r>
        <w:rPr>
          <w:bCs/>
          <w:i/>
          <w:iCs/>
          <w:kern w:val="22"/>
          <w:lang w:val="fr-FR"/>
        </w:rPr>
        <w:br w:type="page"/>
      </w:r>
    </w:p>
    <w:p w14:paraId="011E42B8" w14:textId="77777777" w:rsidR="00561456" w:rsidRPr="00575A30" w:rsidRDefault="00263E38" w:rsidP="00263E38">
      <w:pPr>
        <w:pStyle w:val="Para1"/>
        <w:numPr>
          <w:ilvl w:val="0"/>
          <w:numId w:val="0"/>
        </w:numPr>
        <w:jc w:val="center"/>
        <w:rPr>
          <w:bCs/>
          <w:i/>
          <w:iCs/>
          <w:kern w:val="22"/>
          <w:lang w:val="fr-FR"/>
        </w:rPr>
      </w:pPr>
      <w:r w:rsidRPr="00575A30">
        <w:rPr>
          <w:bCs/>
          <w:i/>
          <w:iCs/>
          <w:kern w:val="22"/>
          <w:lang w:val="fr-FR"/>
        </w:rPr>
        <w:lastRenderedPageBreak/>
        <w:t>2.</w:t>
      </w:r>
      <w:r w:rsidR="005735D0" w:rsidRPr="00575A30">
        <w:rPr>
          <w:bCs/>
          <w:i/>
          <w:iCs/>
          <w:kern w:val="22"/>
          <w:lang w:val="fr-FR"/>
        </w:rPr>
        <w:tab/>
      </w:r>
      <w:r w:rsidR="009F4FE6" w:rsidRPr="002705A3">
        <w:rPr>
          <w:bCs/>
          <w:i/>
          <w:iCs/>
          <w:kern w:val="22"/>
          <w:lang w:val="fr-FR"/>
        </w:rPr>
        <w:t>Plans</w:t>
      </w:r>
      <w:r w:rsidR="009F4FE6" w:rsidRPr="00575A30">
        <w:rPr>
          <w:bCs/>
          <w:i/>
          <w:iCs/>
          <w:kern w:val="22"/>
          <w:lang w:val="fr-FR"/>
        </w:rPr>
        <w:t xml:space="preserve"> nationaux de développement</w:t>
      </w:r>
    </w:p>
    <w:p w14:paraId="00F24964" w14:textId="77777777" w:rsidR="00A10C7F" w:rsidRPr="00575A30" w:rsidRDefault="003D33D2" w:rsidP="00F36F85">
      <w:pPr>
        <w:numPr>
          <w:ilvl w:val="0"/>
          <w:numId w:val="11"/>
        </w:numPr>
        <w:tabs>
          <w:tab w:val="clear" w:pos="540"/>
          <w:tab w:val="num" w:pos="709"/>
        </w:tabs>
        <w:ind w:left="0" w:firstLine="0"/>
        <w:rPr>
          <w:kern w:val="22"/>
          <w:lang w:val="fr-FR"/>
        </w:rPr>
      </w:pPr>
      <w:r w:rsidRPr="00575A30">
        <w:rPr>
          <w:kern w:val="22"/>
          <w:lang w:val="fr-FR"/>
        </w:rPr>
        <w:t xml:space="preserve">Au total, </w:t>
      </w:r>
      <w:r w:rsidR="00C401FB">
        <w:rPr>
          <w:kern w:val="22"/>
          <w:lang w:val="fr-FR"/>
        </w:rPr>
        <w:t>40</w:t>
      </w:r>
      <w:r w:rsidR="005735D0" w:rsidRPr="00575A30">
        <w:rPr>
          <w:kern w:val="22"/>
          <w:lang w:val="fr-FR"/>
        </w:rPr>
        <w:t xml:space="preserve"> </w:t>
      </w:r>
      <w:r w:rsidRPr="00575A30">
        <w:rPr>
          <w:kern w:val="22"/>
          <w:lang w:val="fr-FR"/>
        </w:rPr>
        <w:t>Parties</w:t>
      </w:r>
      <w:r w:rsidR="00210299" w:rsidRPr="00575A30">
        <w:rPr>
          <w:snapToGrid w:val="0"/>
          <w:kern w:val="22"/>
          <w:szCs w:val="22"/>
          <w:vertAlign w:val="superscript"/>
          <w:lang w:val="fr-FR"/>
        </w:rPr>
        <w:footnoteReference w:id="47"/>
      </w:r>
      <w:r w:rsidR="00CB6E90" w:rsidRPr="00CB6E90">
        <w:rPr>
          <w:kern w:val="22"/>
          <w:vertAlign w:val="superscript"/>
          <w:lang w:val="fr-FR"/>
        </w:rPr>
        <w:t>,</w:t>
      </w:r>
      <w:r w:rsidR="00C401FB">
        <w:rPr>
          <w:kern w:val="22"/>
          <w:lang w:val="fr-FR"/>
        </w:rPr>
        <w:t xml:space="preserve"> </w:t>
      </w:r>
      <w:r w:rsidR="00C401FB" w:rsidRPr="000C5BB9">
        <w:rPr>
          <w:vertAlign w:val="superscript"/>
        </w:rPr>
        <w:footnoteReference w:id="48"/>
      </w:r>
      <w:r w:rsidRPr="00575A30">
        <w:rPr>
          <w:kern w:val="22"/>
          <w:lang w:val="fr-FR"/>
        </w:rPr>
        <w:t xml:space="preserve"> </w:t>
      </w:r>
      <w:r w:rsidR="00EB5571" w:rsidRPr="00575A30">
        <w:rPr>
          <w:kern w:val="22"/>
          <w:lang w:val="fr-FR"/>
        </w:rPr>
        <w:t xml:space="preserve">ont indiqué </w:t>
      </w:r>
      <w:r w:rsidRPr="00575A30">
        <w:rPr>
          <w:kern w:val="22"/>
          <w:lang w:val="fr-FR"/>
        </w:rPr>
        <w:t>que la biodiversité a</w:t>
      </w:r>
      <w:r w:rsidR="00EB5571" w:rsidRPr="00575A30">
        <w:rPr>
          <w:kern w:val="22"/>
          <w:lang w:val="fr-FR"/>
        </w:rPr>
        <w:t>vait</w:t>
      </w:r>
      <w:r w:rsidRPr="00575A30">
        <w:rPr>
          <w:kern w:val="22"/>
          <w:lang w:val="fr-FR"/>
        </w:rPr>
        <w:t xml:space="preserve"> été </w:t>
      </w:r>
      <w:r w:rsidR="00EB5571" w:rsidRPr="00575A30">
        <w:rPr>
          <w:kern w:val="22"/>
          <w:lang w:val="fr-FR"/>
        </w:rPr>
        <w:t xml:space="preserve">prise en compte </w:t>
      </w:r>
      <w:r w:rsidRPr="00575A30">
        <w:rPr>
          <w:kern w:val="22"/>
          <w:lang w:val="fr-FR"/>
        </w:rPr>
        <w:t>dans leur plan nationa</w:t>
      </w:r>
      <w:r w:rsidR="00EB5571" w:rsidRPr="00575A30">
        <w:rPr>
          <w:kern w:val="22"/>
          <w:lang w:val="fr-FR"/>
        </w:rPr>
        <w:t>l</w:t>
      </w:r>
      <w:r w:rsidRPr="00575A30">
        <w:rPr>
          <w:kern w:val="22"/>
          <w:lang w:val="fr-FR"/>
        </w:rPr>
        <w:t xml:space="preserve"> de développement ou instrument équivalent :</w:t>
      </w:r>
    </w:p>
    <w:p w14:paraId="69F62BD0" w14:textId="77777777" w:rsidR="002705A3" w:rsidRDefault="002705A3" w:rsidP="0018533F">
      <w:pPr>
        <w:pStyle w:val="Para1"/>
        <w:numPr>
          <w:ilvl w:val="1"/>
          <w:numId w:val="13"/>
        </w:numPr>
        <w:ind w:left="0" w:firstLine="720"/>
        <w:rPr>
          <w:kern w:val="22"/>
          <w:szCs w:val="22"/>
          <w:lang w:val="fr-FR"/>
        </w:rPr>
      </w:pPr>
      <w:r>
        <w:rPr>
          <w:kern w:val="22"/>
          <w:szCs w:val="22"/>
          <w:lang w:val="fr-FR"/>
        </w:rPr>
        <w:t>Le SPANB de l’Algérie est intégré au « </w:t>
      </w:r>
      <w:hyperlink r:id="rId19" w:history="1">
        <w:r w:rsidRPr="005A36EA">
          <w:rPr>
            <w:rStyle w:val="Hyperlink"/>
            <w:kern w:val="22"/>
            <w:szCs w:val="22"/>
            <w:lang w:val="fr-FR"/>
          </w:rPr>
          <w:t>Schéma national d’aménagement du territoire Algérie</w:t>
        </w:r>
      </w:hyperlink>
      <w:r>
        <w:rPr>
          <w:kern w:val="22"/>
          <w:szCs w:val="22"/>
          <w:lang w:val="fr-FR"/>
        </w:rPr>
        <w:t xml:space="preserve"> », l’outil de planification stratégique du gouvernement pour l’utilisation des terres et le développement durable ;</w:t>
      </w:r>
    </w:p>
    <w:p w14:paraId="23FBAF87" w14:textId="77777777" w:rsidR="006F22EF" w:rsidRPr="00575A30" w:rsidRDefault="00471EB8" w:rsidP="0018533F">
      <w:pPr>
        <w:pStyle w:val="Para1"/>
        <w:numPr>
          <w:ilvl w:val="1"/>
          <w:numId w:val="13"/>
        </w:numPr>
        <w:ind w:left="0" w:firstLine="720"/>
        <w:rPr>
          <w:kern w:val="22"/>
          <w:szCs w:val="22"/>
          <w:lang w:val="fr-FR"/>
        </w:rPr>
      </w:pPr>
      <w:r w:rsidRPr="00575A30">
        <w:rPr>
          <w:kern w:val="22"/>
          <w:szCs w:val="22"/>
          <w:lang w:val="fr-FR"/>
        </w:rPr>
        <w:t xml:space="preserve">La biodiversité </w:t>
      </w:r>
      <w:r w:rsidR="00727F7C" w:rsidRPr="00575A30">
        <w:rPr>
          <w:kern w:val="22"/>
          <w:szCs w:val="22"/>
          <w:lang w:val="fr-FR"/>
        </w:rPr>
        <w:t xml:space="preserve">est bien mise en avant </w:t>
      </w:r>
      <w:r w:rsidRPr="00575A30">
        <w:rPr>
          <w:kern w:val="22"/>
          <w:szCs w:val="22"/>
          <w:lang w:val="fr-FR"/>
        </w:rPr>
        <w:t xml:space="preserve">dans le </w:t>
      </w:r>
      <w:r w:rsidRPr="00FA2C78">
        <w:rPr>
          <w:kern w:val="22"/>
          <w:szCs w:val="22"/>
          <w:lang w:val="fr-FR"/>
        </w:rPr>
        <w:t>onzième plan quinquennal du Bhoutan (2013</w:t>
      </w:r>
      <w:r w:rsidRPr="00FA2C78">
        <w:rPr>
          <w:kern w:val="22"/>
          <w:szCs w:val="22"/>
          <w:lang w:val="fr-FR"/>
        </w:rPr>
        <w:noBreakHyphen/>
        <w:t>2018)</w:t>
      </w:r>
      <w:r w:rsidR="00BC6ED9" w:rsidRPr="00575A30">
        <w:rPr>
          <w:kern w:val="22"/>
          <w:szCs w:val="22"/>
          <w:lang w:val="fr-FR"/>
        </w:rPr>
        <w:t> ;</w:t>
      </w:r>
    </w:p>
    <w:p w14:paraId="09899AEC" w14:textId="77777777" w:rsidR="009F3AE0" w:rsidRDefault="009F3AE0" w:rsidP="0018533F">
      <w:pPr>
        <w:pStyle w:val="Para1"/>
        <w:numPr>
          <w:ilvl w:val="1"/>
          <w:numId w:val="13"/>
        </w:numPr>
        <w:ind w:left="0" w:firstLine="720"/>
        <w:rPr>
          <w:kern w:val="22"/>
          <w:szCs w:val="22"/>
          <w:lang w:val="fr-FR"/>
        </w:rPr>
      </w:pPr>
      <w:r>
        <w:rPr>
          <w:kern w:val="22"/>
          <w:szCs w:val="22"/>
          <w:lang w:val="fr-FR" w:eastAsia="en-CA"/>
        </w:rPr>
        <w:t>Le processus de révision du SPANB de l’Équateur s’est déroulé en même temps que la préparation du « </w:t>
      </w:r>
      <w:r w:rsidRPr="00FA2C78">
        <w:rPr>
          <w:kern w:val="22"/>
          <w:szCs w:val="22"/>
          <w:lang w:val="fr-FR" w:eastAsia="en-CA"/>
        </w:rPr>
        <w:t>P</w:t>
      </w:r>
      <w:proofErr w:type="spellStart"/>
      <w:r w:rsidRPr="00FA2C78">
        <w:rPr>
          <w:kern w:val="22"/>
          <w:szCs w:val="22"/>
          <w:lang w:val="es-AR" w:eastAsia="en-CA"/>
        </w:rPr>
        <w:t>lan</w:t>
      </w:r>
      <w:proofErr w:type="spellEnd"/>
      <w:r w:rsidRPr="00FA2C78">
        <w:rPr>
          <w:kern w:val="22"/>
          <w:szCs w:val="22"/>
          <w:lang w:val="es-AR" w:eastAsia="en-CA"/>
        </w:rPr>
        <w:t xml:space="preserve"> Nacional para el Buen Vivir 2013-2017 </w:t>
      </w:r>
      <w:r>
        <w:rPr>
          <w:kern w:val="22"/>
          <w:szCs w:val="22"/>
          <w:lang w:val="fr-FR" w:eastAsia="en-CA"/>
        </w:rPr>
        <w:t xml:space="preserve">» (plan national de développement). Plusieurs politiques nationales </w:t>
      </w:r>
      <w:r w:rsidR="00D06A5A">
        <w:rPr>
          <w:kern w:val="22"/>
          <w:szCs w:val="22"/>
          <w:lang w:val="fr-FR" w:eastAsia="en-CA"/>
        </w:rPr>
        <w:t>dont il est question à l’</w:t>
      </w:r>
      <w:r>
        <w:rPr>
          <w:kern w:val="22"/>
          <w:szCs w:val="22"/>
          <w:lang w:val="fr-FR" w:eastAsia="en-CA"/>
        </w:rPr>
        <w:t>Objectif</w:t>
      </w:r>
      <w:r w:rsidR="00D06A5A">
        <w:rPr>
          <w:kern w:val="22"/>
          <w:szCs w:val="22"/>
          <w:lang w:val="fr-FR" w:eastAsia="en-CA"/>
        </w:rPr>
        <w:t xml:space="preserve"> 7</w:t>
      </w:r>
      <w:r w:rsidR="002D5943">
        <w:rPr>
          <w:rStyle w:val="FootnoteReference"/>
          <w:kern w:val="22"/>
          <w:szCs w:val="22"/>
          <w:lang w:val="fr-FR" w:eastAsia="en-CA"/>
        </w:rPr>
        <w:footnoteReference w:id="49"/>
      </w:r>
      <w:r>
        <w:rPr>
          <w:kern w:val="22"/>
          <w:szCs w:val="22"/>
          <w:lang w:val="fr-FR" w:eastAsia="en-CA"/>
        </w:rPr>
        <w:t xml:space="preserve"> ont un lien direct avec la diversité biologique</w:t>
      </w:r>
      <w:r w:rsidR="00D06A5A">
        <w:rPr>
          <w:kern w:val="22"/>
          <w:szCs w:val="22"/>
          <w:lang w:val="fr-FR" w:eastAsia="en-CA"/>
        </w:rPr>
        <w:t> ;</w:t>
      </w:r>
    </w:p>
    <w:p w14:paraId="7F091125" w14:textId="77777777" w:rsidR="006F22EF" w:rsidRPr="00575A30" w:rsidRDefault="0087135C" w:rsidP="0018533F">
      <w:pPr>
        <w:pStyle w:val="Para1"/>
        <w:numPr>
          <w:ilvl w:val="1"/>
          <w:numId w:val="13"/>
        </w:numPr>
        <w:ind w:left="0" w:firstLine="720"/>
        <w:rPr>
          <w:kern w:val="22"/>
          <w:szCs w:val="22"/>
          <w:lang w:val="fr-FR"/>
        </w:rPr>
      </w:pPr>
      <w:r>
        <w:rPr>
          <w:kern w:val="22"/>
          <w:szCs w:val="22"/>
          <w:lang w:val="fr-FR" w:eastAsia="en-CA"/>
        </w:rPr>
        <w:t xml:space="preserve">Le </w:t>
      </w:r>
      <w:r w:rsidR="009F3AE0" w:rsidRPr="00FA2C78">
        <w:rPr>
          <w:kern w:val="22"/>
          <w:szCs w:val="22"/>
          <w:lang w:val="fr-FR" w:eastAsia="en-CA"/>
        </w:rPr>
        <w:t>plan national de développement du Mexique</w:t>
      </w:r>
      <w:r>
        <w:rPr>
          <w:kern w:val="22"/>
          <w:szCs w:val="22"/>
          <w:lang w:val="fr-FR" w:eastAsia="en-CA"/>
        </w:rPr>
        <w:t xml:space="preserve"> s’intéresse à la diversité biologique</w:t>
      </w:r>
      <w:r w:rsidR="009F3AE0">
        <w:rPr>
          <w:kern w:val="22"/>
          <w:szCs w:val="22"/>
          <w:lang w:val="fr-FR" w:eastAsia="en-CA"/>
        </w:rPr>
        <w:t xml:space="preserve">. Les politiques et outils de conservation et d’utilisation durable de la diversité biologique du SPANB ont un lien direct avec les mesures prévues dans le plan national de développement, qui </w:t>
      </w:r>
      <w:r>
        <w:rPr>
          <w:kern w:val="22"/>
          <w:szCs w:val="22"/>
          <w:lang w:val="fr-FR" w:eastAsia="en-CA"/>
        </w:rPr>
        <w:t xml:space="preserve">se penche également sur l’intégration de la diversité biologique dans les secteurs de l’agriculture, des pêches et du tourisme </w:t>
      </w:r>
      <w:r w:rsidR="00BC6ED9" w:rsidRPr="00575A30">
        <w:rPr>
          <w:kern w:val="22"/>
          <w:szCs w:val="22"/>
          <w:lang w:val="fr-FR" w:eastAsia="en-CA"/>
        </w:rPr>
        <w:t>;</w:t>
      </w:r>
    </w:p>
    <w:p w14:paraId="19E3A83D" w14:textId="77777777" w:rsidR="006B65CE" w:rsidRPr="00575A30" w:rsidRDefault="00BC28F1" w:rsidP="0018533F">
      <w:pPr>
        <w:pStyle w:val="Para1"/>
        <w:numPr>
          <w:ilvl w:val="1"/>
          <w:numId w:val="13"/>
        </w:numPr>
        <w:ind w:left="0" w:firstLine="720"/>
        <w:rPr>
          <w:kern w:val="22"/>
          <w:szCs w:val="22"/>
          <w:lang w:val="fr-FR"/>
        </w:rPr>
      </w:pPr>
      <w:r w:rsidRPr="00575A30">
        <w:rPr>
          <w:kern w:val="22"/>
          <w:szCs w:val="22"/>
          <w:lang w:val="fr-FR"/>
        </w:rPr>
        <w:t xml:space="preserve">Le </w:t>
      </w:r>
      <w:hyperlink r:id="rId20" w:history="1">
        <w:r w:rsidR="006B65CE" w:rsidRPr="00C969E3">
          <w:rPr>
            <w:rStyle w:val="Hyperlink"/>
            <w:kern w:val="22"/>
            <w:szCs w:val="22"/>
            <w:lang w:val="fr-FR"/>
          </w:rPr>
          <w:t xml:space="preserve">Plan de </w:t>
        </w:r>
        <w:r w:rsidR="000222B6" w:rsidRPr="00C969E3">
          <w:rPr>
            <w:rStyle w:val="Hyperlink"/>
            <w:kern w:val="22"/>
            <w:szCs w:val="22"/>
            <w:lang w:val="fr-FR"/>
          </w:rPr>
          <w:t>d</w:t>
        </w:r>
        <w:r w:rsidR="006B65CE" w:rsidRPr="00C969E3">
          <w:rPr>
            <w:rStyle w:val="Hyperlink"/>
            <w:kern w:val="22"/>
            <w:szCs w:val="22"/>
            <w:lang w:val="fr-FR"/>
          </w:rPr>
          <w:t xml:space="preserve">éveloppement </w:t>
        </w:r>
        <w:r w:rsidR="000222B6" w:rsidRPr="00C969E3">
          <w:rPr>
            <w:rStyle w:val="Hyperlink"/>
            <w:kern w:val="22"/>
            <w:szCs w:val="22"/>
            <w:lang w:val="fr-FR"/>
          </w:rPr>
          <w:t>é</w:t>
        </w:r>
        <w:r w:rsidR="006B65CE" w:rsidRPr="00C969E3">
          <w:rPr>
            <w:rStyle w:val="Hyperlink"/>
            <w:kern w:val="22"/>
            <w:szCs w:val="22"/>
            <w:lang w:val="fr-FR"/>
          </w:rPr>
          <w:t xml:space="preserve">conomique et </w:t>
        </w:r>
        <w:r w:rsidR="000222B6" w:rsidRPr="00C969E3">
          <w:rPr>
            <w:rStyle w:val="Hyperlink"/>
            <w:kern w:val="22"/>
            <w:szCs w:val="22"/>
            <w:lang w:val="fr-FR"/>
          </w:rPr>
          <w:t>s</w:t>
        </w:r>
        <w:r w:rsidR="006B65CE" w:rsidRPr="00C969E3">
          <w:rPr>
            <w:rStyle w:val="Hyperlink"/>
            <w:kern w:val="22"/>
            <w:szCs w:val="22"/>
            <w:lang w:val="fr-FR"/>
          </w:rPr>
          <w:t>ocial</w:t>
        </w:r>
      </w:hyperlink>
      <w:r w:rsidR="006B65CE" w:rsidRPr="00575A30">
        <w:rPr>
          <w:kern w:val="22"/>
          <w:szCs w:val="22"/>
          <w:lang w:val="fr-FR"/>
        </w:rPr>
        <w:t xml:space="preserve"> </w:t>
      </w:r>
      <w:r w:rsidRPr="00575A30">
        <w:rPr>
          <w:kern w:val="22"/>
          <w:szCs w:val="22"/>
          <w:lang w:val="fr-FR"/>
        </w:rPr>
        <w:t>du</w:t>
      </w:r>
      <w:r w:rsidR="000222B6" w:rsidRPr="00575A30">
        <w:rPr>
          <w:kern w:val="22"/>
          <w:szCs w:val="22"/>
          <w:lang w:val="fr-FR"/>
        </w:rPr>
        <w:t xml:space="preserve"> Niger</w:t>
      </w:r>
      <w:r w:rsidRPr="00575A30">
        <w:rPr>
          <w:kern w:val="22"/>
          <w:szCs w:val="22"/>
          <w:lang w:val="fr-FR"/>
        </w:rPr>
        <w:t xml:space="preserve"> tient compte de la biodiversité dans deux de ses volets</w:t>
      </w:r>
      <w:r w:rsidR="001140FE" w:rsidRPr="00575A30">
        <w:rPr>
          <w:kern w:val="22"/>
          <w:szCs w:val="22"/>
          <w:lang w:val="fr-FR"/>
        </w:rPr>
        <w:t xml:space="preserve">, l’un consacré </w:t>
      </w:r>
      <w:r w:rsidR="00562772" w:rsidRPr="00575A30">
        <w:rPr>
          <w:kern w:val="22"/>
          <w:szCs w:val="22"/>
          <w:lang w:val="fr-FR"/>
        </w:rPr>
        <w:t>à un</w:t>
      </w:r>
      <w:r w:rsidR="001140FE" w:rsidRPr="00575A30">
        <w:rPr>
          <w:kern w:val="22"/>
          <w:szCs w:val="22"/>
          <w:lang w:val="fr-FR"/>
        </w:rPr>
        <w:t xml:space="preserve"> </w:t>
      </w:r>
      <w:r w:rsidRPr="00575A30">
        <w:rPr>
          <w:kern w:val="22"/>
          <w:szCs w:val="22"/>
          <w:lang w:val="fr-FR"/>
        </w:rPr>
        <w:t>développement durable et équilibré</w:t>
      </w:r>
      <w:r w:rsidR="000928C8" w:rsidRPr="00575A30">
        <w:rPr>
          <w:kern w:val="22"/>
          <w:szCs w:val="22"/>
          <w:lang w:val="fr-FR"/>
        </w:rPr>
        <w:t>,</w:t>
      </w:r>
      <w:r w:rsidRPr="00575A30">
        <w:rPr>
          <w:kern w:val="22"/>
          <w:szCs w:val="22"/>
          <w:lang w:val="fr-FR"/>
        </w:rPr>
        <w:t xml:space="preserve"> et </w:t>
      </w:r>
      <w:r w:rsidR="001140FE" w:rsidRPr="00575A30">
        <w:rPr>
          <w:kern w:val="22"/>
          <w:szCs w:val="22"/>
          <w:lang w:val="fr-FR"/>
        </w:rPr>
        <w:t>l</w:t>
      </w:r>
      <w:r w:rsidRPr="00575A30">
        <w:rPr>
          <w:kern w:val="22"/>
          <w:szCs w:val="22"/>
          <w:lang w:val="fr-FR"/>
        </w:rPr>
        <w:t>’autre</w:t>
      </w:r>
      <w:r w:rsidR="001140FE" w:rsidRPr="00575A30">
        <w:rPr>
          <w:kern w:val="22"/>
          <w:szCs w:val="22"/>
          <w:lang w:val="fr-FR"/>
        </w:rPr>
        <w:t>, à</w:t>
      </w:r>
      <w:r w:rsidRPr="00575A30">
        <w:rPr>
          <w:kern w:val="22"/>
          <w:szCs w:val="22"/>
          <w:lang w:val="fr-FR"/>
        </w:rPr>
        <w:t xml:space="preserve"> </w:t>
      </w:r>
      <w:r w:rsidR="001140FE" w:rsidRPr="00575A30">
        <w:rPr>
          <w:kern w:val="22"/>
          <w:szCs w:val="22"/>
          <w:lang w:val="fr-FR"/>
        </w:rPr>
        <w:t xml:space="preserve">la </w:t>
      </w:r>
      <w:r w:rsidRPr="00575A30">
        <w:rPr>
          <w:kern w:val="22"/>
          <w:szCs w:val="22"/>
          <w:lang w:val="fr-FR"/>
        </w:rPr>
        <w:t xml:space="preserve">sécurité alimentaire </w:t>
      </w:r>
      <w:r w:rsidR="001140FE" w:rsidRPr="00575A30">
        <w:rPr>
          <w:kern w:val="22"/>
          <w:szCs w:val="22"/>
          <w:lang w:val="fr-FR"/>
        </w:rPr>
        <w:t xml:space="preserve">durable </w:t>
      </w:r>
      <w:r w:rsidRPr="00575A30">
        <w:rPr>
          <w:kern w:val="22"/>
          <w:szCs w:val="22"/>
          <w:lang w:val="fr-FR"/>
        </w:rPr>
        <w:t xml:space="preserve">et </w:t>
      </w:r>
      <w:r w:rsidR="001140FE" w:rsidRPr="00575A30">
        <w:rPr>
          <w:kern w:val="22"/>
          <w:szCs w:val="22"/>
          <w:lang w:val="fr-FR"/>
        </w:rPr>
        <w:t xml:space="preserve">au </w:t>
      </w:r>
      <w:r w:rsidRPr="00575A30">
        <w:rPr>
          <w:kern w:val="22"/>
          <w:szCs w:val="22"/>
          <w:lang w:val="fr-FR"/>
        </w:rPr>
        <w:t xml:space="preserve">développement </w:t>
      </w:r>
      <w:r w:rsidR="00464D7A" w:rsidRPr="00575A30">
        <w:rPr>
          <w:kern w:val="22"/>
          <w:szCs w:val="22"/>
          <w:lang w:val="fr-FR"/>
        </w:rPr>
        <w:t>agricole ;</w:t>
      </w:r>
      <w:r w:rsidR="00BC6ED9" w:rsidRPr="00575A30">
        <w:rPr>
          <w:kern w:val="22"/>
          <w:szCs w:val="22"/>
          <w:lang w:val="fr-FR"/>
        </w:rPr>
        <w:t xml:space="preserve"> </w:t>
      </w:r>
    </w:p>
    <w:p w14:paraId="4DB9DFEF" w14:textId="77777777" w:rsidR="006B65CE" w:rsidRDefault="00BC28F1" w:rsidP="0018533F">
      <w:pPr>
        <w:pStyle w:val="Para1"/>
        <w:numPr>
          <w:ilvl w:val="1"/>
          <w:numId w:val="13"/>
        </w:numPr>
        <w:ind w:left="0" w:firstLine="720"/>
        <w:rPr>
          <w:kern w:val="22"/>
          <w:szCs w:val="22"/>
          <w:lang w:val="fr-FR"/>
        </w:rPr>
      </w:pPr>
      <w:r w:rsidRPr="00575A30">
        <w:rPr>
          <w:kern w:val="22"/>
          <w:szCs w:val="22"/>
          <w:lang w:val="fr-FR"/>
        </w:rPr>
        <w:t>Le</w:t>
      </w:r>
      <w:r w:rsidR="000222B6" w:rsidRPr="00575A30">
        <w:rPr>
          <w:kern w:val="22"/>
          <w:szCs w:val="22"/>
          <w:lang w:val="fr-FR"/>
        </w:rPr>
        <w:t xml:space="preserve"> </w:t>
      </w:r>
      <w:r w:rsidR="00E31BC1" w:rsidRPr="00575A30">
        <w:rPr>
          <w:kern w:val="22"/>
          <w:szCs w:val="22"/>
          <w:lang w:val="fr-FR"/>
        </w:rPr>
        <w:t>« </w:t>
      </w:r>
      <w:r w:rsidR="00FA2C78" w:rsidRPr="00FA2C78">
        <w:rPr>
          <w:iCs/>
          <w:noProof/>
          <w:kern w:val="22"/>
          <w:szCs w:val="22"/>
          <w:lang w:val="fr-FR"/>
        </w:rPr>
        <w:t>Plan Bicentenario</w:t>
      </w:r>
      <w:r w:rsidR="00E31BC1" w:rsidRPr="00FA2C78">
        <w:rPr>
          <w:iCs/>
          <w:noProof/>
          <w:kern w:val="22"/>
          <w:szCs w:val="22"/>
          <w:lang w:val="fr-FR"/>
        </w:rPr>
        <w:t> </w:t>
      </w:r>
      <w:r w:rsidR="00E31BC1" w:rsidRPr="00575A30">
        <w:rPr>
          <w:iCs/>
          <w:noProof/>
          <w:kern w:val="22"/>
          <w:szCs w:val="22"/>
          <w:lang w:val="fr-FR"/>
        </w:rPr>
        <w:t>»</w:t>
      </w:r>
      <w:r w:rsidR="006B65CE" w:rsidRPr="00575A30">
        <w:rPr>
          <w:noProof/>
          <w:kern w:val="22"/>
          <w:szCs w:val="22"/>
          <w:lang w:val="fr-FR"/>
        </w:rPr>
        <w:t xml:space="preserve"> </w:t>
      </w:r>
      <w:r w:rsidRPr="00575A30">
        <w:rPr>
          <w:noProof/>
          <w:kern w:val="22"/>
          <w:szCs w:val="22"/>
          <w:lang w:val="fr-FR"/>
        </w:rPr>
        <w:t>du Pérou</w:t>
      </w:r>
      <w:r w:rsidR="0070424C" w:rsidRPr="00575A30">
        <w:rPr>
          <w:noProof/>
          <w:kern w:val="22"/>
          <w:szCs w:val="22"/>
          <w:lang w:val="fr-FR"/>
        </w:rPr>
        <w:t xml:space="preserve"> (</w:t>
      </w:r>
      <w:r w:rsidRPr="00575A30">
        <w:rPr>
          <w:noProof/>
          <w:kern w:val="22"/>
          <w:szCs w:val="22"/>
          <w:lang w:val="fr-FR"/>
        </w:rPr>
        <w:t>« </w:t>
      </w:r>
      <w:r w:rsidRPr="00575A30">
        <w:rPr>
          <w:i/>
          <w:iCs/>
          <w:noProof/>
          <w:kern w:val="22"/>
          <w:szCs w:val="22"/>
          <w:lang w:val="fr-FR"/>
        </w:rPr>
        <w:t xml:space="preserve">El </w:t>
      </w:r>
      <w:proofErr w:type="spellStart"/>
      <w:r w:rsidR="000928C8" w:rsidRPr="00575A30">
        <w:rPr>
          <w:i/>
          <w:iCs/>
          <w:kern w:val="22"/>
          <w:szCs w:val="22"/>
          <w:lang w:val="fr-FR"/>
        </w:rPr>
        <w:t>Perú</w:t>
      </w:r>
      <w:proofErr w:type="spellEnd"/>
      <w:r w:rsidRPr="00575A30">
        <w:rPr>
          <w:i/>
          <w:iCs/>
          <w:noProof/>
          <w:kern w:val="22"/>
          <w:szCs w:val="22"/>
          <w:lang w:val="fr-FR"/>
        </w:rPr>
        <w:t xml:space="preserve"> hacia el 2021</w:t>
      </w:r>
      <w:r w:rsidRPr="00575A30">
        <w:rPr>
          <w:kern w:val="22"/>
          <w:szCs w:val="22"/>
          <w:lang w:val="fr-FR"/>
        </w:rPr>
        <w:t> »</w:t>
      </w:r>
      <w:r w:rsidR="0070424C" w:rsidRPr="00575A30">
        <w:rPr>
          <w:kern w:val="22"/>
          <w:szCs w:val="22"/>
          <w:lang w:val="fr-FR"/>
        </w:rPr>
        <w:t>)</w:t>
      </w:r>
      <w:r w:rsidRPr="00575A30">
        <w:rPr>
          <w:kern w:val="22"/>
          <w:szCs w:val="22"/>
          <w:lang w:val="fr-FR"/>
        </w:rPr>
        <w:t xml:space="preserve"> reconnaît et </w:t>
      </w:r>
      <w:r w:rsidR="0070424C" w:rsidRPr="00575A30">
        <w:rPr>
          <w:kern w:val="22"/>
          <w:szCs w:val="22"/>
          <w:lang w:val="fr-FR"/>
        </w:rPr>
        <w:t xml:space="preserve">établit </w:t>
      </w:r>
      <w:r w:rsidRPr="00575A30">
        <w:rPr>
          <w:kern w:val="22"/>
          <w:szCs w:val="22"/>
          <w:lang w:val="fr-FR"/>
        </w:rPr>
        <w:t>la conservation de la biodiversité en tant qu’objectif national</w:t>
      </w:r>
      <w:r w:rsidR="00BC6ED9" w:rsidRPr="00575A30">
        <w:rPr>
          <w:kern w:val="22"/>
          <w:szCs w:val="22"/>
          <w:lang w:val="fr-FR"/>
        </w:rPr>
        <w:t> ;</w:t>
      </w:r>
    </w:p>
    <w:p w14:paraId="6ED0C15E" w14:textId="77777777" w:rsidR="00196F2D" w:rsidRPr="00196F2D" w:rsidRDefault="005A0DF6" w:rsidP="0018533F">
      <w:pPr>
        <w:pStyle w:val="Para1"/>
        <w:numPr>
          <w:ilvl w:val="1"/>
          <w:numId w:val="13"/>
        </w:numPr>
        <w:ind w:left="0" w:firstLine="720"/>
        <w:rPr>
          <w:kern w:val="22"/>
          <w:szCs w:val="22"/>
          <w:lang w:val="fr-FR"/>
        </w:rPr>
      </w:pPr>
      <w:r>
        <w:rPr>
          <w:kern w:val="22"/>
          <w:szCs w:val="22"/>
          <w:lang w:val="fr-FR"/>
        </w:rPr>
        <w:t xml:space="preserve">Le SPANB de Saint-Vincent-et-les-Grenadines </w:t>
      </w:r>
      <w:r w:rsidR="0018533F">
        <w:rPr>
          <w:kern w:val="22"/>
          <w:szCs w:val="22"/>
          <w:lang w:val="fr-FR"/>
        </w:rPr>
        <w:t>révèle</w:t>
      </w:r>
      <w:r>
        <w:rPr>
          <w:kern w:val="22"/>
          <w:szCs w:val="22"/>
          <w:lang w:val="fr-FR"/>
        </w:rPr>
        <w:t xml:space="preserve"> des liens entre ses objectifs nationaux et le</w:t>
      </w:r>
      <w:r w:rsidR="00196F2D">
        <w:rPr>
          <w:kern w:val="22"/>
          <w:szCs w:val="22"/>
          <w:lang w:val="fr-FR"/>
        </w:rPr>
        <w:t>s objectifs du</w:t>
      </w:r>
      <w:r>
        <w:rPr>
          <w:kern w:val="22"/>
          <w:szCs w:val="22"/>
          <w:lang w:val="fr-FR"/>
        </w:rPr>
        <w:t xml:space="preserve"> Plan national de développement économique et social (PNDES) (2013-2025)</w:t>
      </w:r>
      <w:r w:rsidR="00196F2D">
        <w:rPr>
          <w:kern w:val="22"/>
          <w:szCs w:val="22"/>
          <w:lang w:val="fr-FR"/>
        </w:rPr>
        <w:t>. Il comprend également des mesures précises à prendre pour atteindre les objectifs du SPANB et du PNDES ;</w:t>
      </w:r>
    </w:p>
    <w:p w14:paraId="5997226A" w14:textId="77777777" w:rsidR="006F22EF" w:rsidRDefault="0087135C" w:rsidP="0018533F">
      <w:pPr>
        <w:pStyle w:val="Para1"/>
        <w:numPr>
          <w:ilvl w:val="1"/>
          <w:numId w:val="13"/>
        </w:numPr>
        <w:ind w:left="0" w:firstLine="720"/>
        <w:rPr>
          <w:kern w:val="22"/>
          <w:lang w:val="fr-FR"/>
        </w:rPr>
      </w:pPr>
      <w:r>
        <w:rPr>
          <w:noProof/>
          <w:kern w:val="22"/>
          <w:lang w:val="fr-FR"/>
        </w:rPr>
        <w:t>Dans</w:t>
      </w:r>
      <w:r w:rsidR="0070424C" w:rsidRPr="00575A30">
        <w:rPr>
          <w:noProof/>
          <w:kern w:val="22"/>
          <w:lang w:val="fr-FR"/>
        </w:rPr>
        <w:t xml:space="preserve"> son </w:t>
      </w:r>
      <w:r w:rsidR="00C467D2" w:rsidRPr="00FA2C78">
        <w:rPr>
          <w:noProof/>
          <w:kern w:val="22"/>
          <w:lang w:val="fr-FR"/>
        </w:rPr>
        <w:t>plan national de développement stratégique</w:t>
      </w:r>
      <w:r w:rsidR="0070424C" w:rsidRPr="00575A30">
        <w:rPr>
          <w:noProof/>
          <w:kern w:val="22"/>
          <w:lang w:val="fr-FR"/>
        </w:rPr>
        <w:t>,</w:t>
      </w:r>
      <w:r w:rsidR="00C467D2" w:rsidRPr="00575A30">
        <w:rPr>
          <w:noProof/>
          <w:kern w:val="22"/>
          <w:lang w:val="fr-FR"/>
        </w:rPr>
        <w:t xml:space="preserve"> </w:t>
      </w:r>
      <w:r w:rsidR="0070424C" w:rsidRPr="00575A30">
        <w:rPr>
          <w:noProof/>
          <w:kern w:val="22"/>
          <w:lang w:val="fr-FR"/>
        </w:rPr>
        <w:t xml:space="preserve">le </w:t>
      </w:r>
      <w:r w:rsidR="00C467D2" w:rsidRPr="00575A30">
        <w:rPr>
          <w:noProof/>
          <w:kern w:val="22"/>
          <w:lang w:val="fr-FR"/>
        </w:rPr>
        <w:t>Timor</w:t>
      </w:r>
      <w:r w:rsidR="00C467D2" w:rsidRPr="00575A30">
        <w:rPr>
          <w:noProof/>
          <w:kern w:val="22"/>
          <w:lang w:val="fr-FR"/>
        </w:rPr>
        <w:noBreakHyphen/>
        <w:t xml:space="preserve">Leste s’engage à réaliser plusieurs </w:t>
      </w:r>
      <w:r w:rsidR="0070424C" w:rsidRPr="00575A30">
        <w:rPr>
          <w:noProof/>
          <w:kern w:val="22"/>
          <w:lang w:val="fr-FR"/>
        </w:rPr>
        <w:t>o</w:t>
      </w:r>
      <w:r w:rsidR="00C467D2" w:rsidRPr="00575A30">
        <w:rPr>
          <w:noProof/>
          <w:kern w:val="22"/>
          <w:lang w:val="fr-FR"/>
        </w:rPr>
        <w:t xml:space="preserve">bjectifs d’Aichi </w:t>
      </w:r>
      <w:r w:rsidR="0070424C" w:rsidRPr="00575A30">
        <w:rPr>
          <w:noProof/>
          <w:kern w:val="22"/>
          <w:lang w:val="fr-FR"/>
        </w:rPr>
        <w:t xml:space="preserve">relatifs à </w:t>
      </w:r>
      <w:r w:rsidR="00C467D2" w:rsidRPr="00575A30">
        <w:rPr>
          <w:noProof/>
          <w:kern w:val="22"/>
          <w:lang w:val="fr-FR"/>
        </w:rPr>
        <w:t>la biodiversité</w:t>
      </w:r>
      <w:r w:rsidR="00BC6ED9" w:rsidRPr="00575A30">
        <w:rPr>
          <w:noProof/>
          <w:kern w:val="22"/>
          <w:lang w:val="fr-FR"/>
        </w:rPr>
        <w:t> ;</w:t>
      </w:r>
    </w:p>
    <w:p w14:paraId="161032AC" w14:textId="77777777" w:rsidR="00196F2D" w:rsidRDefault="0018533F" w:rsidP="0018533F">
      <w:pPr>
        <w:pStyle w:val="Para1"/>
        <w:numPr>
          <w:ilvl w:val="1"/>
          <w:numId w:val="13"/>
        </w:numPr>
        <w:ind w:left="0" w:firstLine="720"/>
        <w:rPr>
          <w:kern w:val="22"/>
          <w:lang w:val="fr-FR"/>
        </w:rPr>
      </w:pPr>
      <w:r>
        <w:rPr>
          <w:noProof/>
          <w:kern w:val="22"/>
          <w:lang w:val="fr-FR"/>
        </w:rPr>
        <w:t>L</w:t>
      </w:r>
      <w:r w:rsidR="00196F2D">
        <w:rPr>
          <w:noProof/>
          <w:kern w:val="22"/>
          <w:lang w:val="fr-FR"/>
        </w:rPr>
        <w:t>es facteurs liés à la diversité biologique sont intégrés au Plan de développement stratégique de 2004-2023 </w:t>
      </w:r>
      <w:r>
        <w:rPr>
          <w:noProof/>
          <w:kern w:val="22"/>
          <w:lang w:val="fr-FR"/>
        </w:rPr>
        <w:t>des États fédérés de Micronésie</w:t>
      </w:r>
      <w:r w:rsidR="00196F2D">
        <w:rPr>
          <w:noProof/>
          <w:kern w:val="22"/>
          <w:lang w:val="fr-FR"/>
        </w:rPr>
        <w:t>;</w:t>
      </w:r>
    </w:p>
    <w:p w14:paraId="0674B51F" w14:textId="77777777" w:rsidR="002A2957" w:rsidRDefault="002A2957" w:rsidP="0018533F">
      <w:pPr>
        <w:pStyle w:val="Para1"/>
        <w:numPr>
          <w:ilvl w:val="1"/>
          <w:numId w:val="13"/>
        </w:numPr>
        <w:ind w:left="0" w:firstLine="720"/>
        <w:rPr>
          <w:kern w:val="22"/>
          <w:lang w:val="fr-FR"/>
        </w:rPr>
      </w:pPr>
      <w:r>
        <w:rPr>
          <w:noProof/>
          <w:kern w:val="22"/>
          <w:lang w:val="fr-FR"/>
        </w:rPr>
        <w:t>Trinité-et-Tobago intègre la biodiversité à la Stratégie nationale de développement 2016-2030 (Vision 2030) sous le thème V, Placer l’environnement au centre du développement socioéconomique ;</w:t>
      </w:r>
    </w:p>
    <w:p w14:paraId="4655286C" w14:textId="77777777" w:rsidR="00196F2D" w:rsidRDefault="002A2957" w:rsidP="0018533F">
      <w:pPr>
        <w:pStyle w:val="Para1"/>
        <w:numPr>
          <w:ilvl w:val="1"/>
          <w:numId w:val="13"/>
        </w:numPr>
        <w:ind w:left="0" w:firstLine="720"/>
        <w:rPr>
          <w:kern w:val="22"/>
          <w:lang w:val="fr-FR"/>
        </w:rPr>
      </w:pPr>
      <w:r>
        <w:rPr>
          <w:noProof/>
          <w:kern w:val="22"/>
          <w:lang w:val="fr-FR"/>
        </w:rPr>
        <w:t>Le treizième  plan quinquennal de dévelop</w:t>
      </w:r>
      <w:r w:rsidR="0018533F">
        <w:rPr>
          <w:noProof/>
          <w:kern w:val="22"/>
          <w:lang w:val="fr-FR"/>
        </w:rPr>
        <w:t>p</w:t>
      </w:r>
      <w:r>
        <w:rPr>
          <w:noProof/>
          <w:kern w:val="22"/>
          <w:lang w:val="fr-FR"/>
        </w:rPr>
        <w:t xml:space="preserve">ement national et économique de la Chine (2016-2020) </w:t>
      </w:r>
      <w:r w:rsidR="00B42225">
        <w:rPr>
          <w:noProof/>
          <w:kern w:val="22"/>
          <w:lang w:val="fr-FR"/>
        </w:rPr>
        <w:t xml:space="preserve">comprend plusieurs </w:t>
      </w:r>
      <w:r w:rsidR="000E00BC">
        <w:rPr>
          <w:noProof/>
          <w:kern w:val="22"/>
          <w:lang w:val="fr-FR"/>
        </w:rPr>
        <w:t>éléments</w:t>
      </w:r>
      <w:r w:rsidR="00B42225">
        <w:rPr>
          <w:noProof/>
          <w:kern w:val="22"/>
          <w:lang w:val="fr-FR"/>
        </w:rPr>
        <w:t xml:space="preserve"> liés à biodiversité, tels que la conservation de la biodiversité, la restauration des écosystèmes, les changements climatiques, l’</w:t>
      </w:r>
      <w:r w:rsidR="000E00BC">
        <w:rPr>
          <w:noProof/>
          <w:kern w:val="22"/>
          <w:lang w:val="fr-FR"/>
        </w:rPr>
        <w:t>agriculture d</w:t>
      </w:r>
      <w:r w:rsidR="00B42225">
        <w:rPr>
          <w:noProof/>
          <w:kern w:val="22"/>
          <w:lang w:val="fr-FR"/>
        </w:rPr>
        <w:t xml:space="preserve">urable et la gestion de </w:t>
      </w:r>
      <w:r w:rsidR="00B42225">
        <w:rPr>
          <w:noProof/>
          <w:kern w:val="22"/>
          <w:lang w:val="fr-FR"/>
        </w:rPr>
        <w:lastRenderedPageBreak/>
        <w:t>l’environnement, De plus, la conservation et l’utilisation durable de la diversité biologique ont été largement intégré</w:t>
      </w:r>
      <w:r w:rsidR="000E00BC">
        <w:rPr>
          <w:noProof/>
          <w:kern w:val="22"/>
          <w:lang w:val="fr-FR"/>
        </w:rPr>
        <w:t>e</w:t>
      </w:r>
      <w:r w:rsidR="00B42225">
        <w:rPr>
          <w:noProof/>
          <w:kern w:val="22"/>
          <w:lang w:val="fr-FR"/>
        </w:rPr>
        <w:t xml:space="preserve">s </w:t>
      </w:r>
      <w:r w:rsidR="00714C05">
        <w:rPr>
          <w:noProof/>
          <w:kern w:val="22"/>
          <w:lang w:val="fr-FR"/>
        </w:rPr>
        <w:t>à la P</w:t>
      </w:r>
      <w:r w:rsidR="00B42225">
        <w:rPr>
          <w:noProof/>
          <w:kern w:val="22"/>
          <w:lang w:val="fr-FR"/>
        </w:rPr>
        <w:t>olitique critique d</w:t>
      </w:r>
      <w:r w:rsidR="00714C05">
        <w:rPr>
          <w:noProof/>
          <w:kern w:val="22"/>
          <w:lang w:val="fr-FR"/>
        </w:rPr>
        <w:t>e conservation écologique ;</w:t>
      </w:r>
    </w:p>
    <w:p w14:paraId="4BFC9FFC" w14:textId="77777777" w:rsidR="00714C05" w:rsidRPr="00575A30" w:rsidRDefault="00714C05" w:rsidP="0018533F">
      <w:pPr>
        <w:pStyle w:val="Para1"/>
        <w:numPr>
          <w:ilvl w:val="1"/>
          <w:numId w:val="13"/>
        </w:numPr>
        <w:ind w:left="0" w:firstLine="720"/>
        <w:rPr>
          <w:kern w:val="22"/>
          <w:lang w:val="fr-FR"/>
        </w:rPr>
      </w:pPr>
      <w:r>
        <w:rPr>
          <w:noProof/>
          <w:kern w:val="22"/>
          <w:lang w:val="fr-FR"/>
        </w:rPr>
        <w:t xml:space="preserve">La Nouvelle-Zélande a intégré la biodiversité à sa planification économique et de développement durable nationale de diverses façons, notamment par le biais du « Budget du bien-être ». Le budget mentionne spécifiquement le besoin </w:t>
      </w:r>
      <w:r w:rsidR="000E00BC">
        <w:rPr>
          <w:noProof/>
          <w:kern w:val="22"/>
          <w:lang w:val="fr-FR"/>
        </w:rPr>
        <w:t>d’aborder</w:t>
      </w:r>
      <w:r>
        <w:rPr>
          <w:noProof/>
          <w:kern w:val="22"/>
          <w:lang w:val="fr-FR"/>
        </w:rPr>
        <w:t xml:space="preserve"> l’appauvrissement de la diversité biologique, les émissions de gaz à effet de serre, la qualité des voies navigables, l’éros</w:t>
      </w:r>
      <w:r w:rsidR="000E00BC">
        <w:rPr>
          <w:noProof/>
          <w:kern w:val="22"/>
          <w:lang w:val="fr-FR"/>
        </w:rPr>
        <w:t>ion des sols et autres enjeux environnementaux</w:t>
      </w:r>
      <w:r>
        <w:rPr>
          <w:noProof/>
          <w:kern w:val="22"/>
          <w:lang w:val="fr-FR"/>
        </w:rPr>
        <w:t> ;</w:t>
      </w:r>
    </w:p>
    <w:p w14:paraId="35925DD7" w14:textId="77777777" w:rsidR="00561456" w:rsidRPr="00575A30" w:rsidRDefault="000928C8" w:rsidP="00F36F85">
      <w:pPr>
        <w:numPr>
          <w:ilvl w:val="0"/>
          <w:numId w:val="11"/>
        </w:numPr>
        <w:tabs>
          <w:tab w:val="clear" w:pos="540"/>
          <w:tab w:val="num" w:pos="851"/>
        </w:tabs>
        <w:ind w:left="0" w:firstLine="0"/>
        <w:rPr>
          <w:kern w:val="22"/>
          <w:lang w:val="fr-FR"/>
        </w:rPr>
      </w:pPr>
      <w:r w:rsidRPr="00575A30">
        <w:rPr>
          <w:kern w:val="22"/>
          <w:lang w:val="fr-FR"/>
        </w:rPr>
        <w:t>Les</w:t>
      </w:r>
      <w:r w:rsidR="00076DBF" w:rsidRPr="00575A30">
        <w:rPr>
          <w:kern w:val="22"/>
          <w:lang w:val="fr-FR"/>
        </w:rPr>
        <w:t xml:space="preserve"> SPAN</w:t>
      </w:r>
      <w:r w:rsidRPr="00575A30">
        <w:rPr>
          <w:kern w:val="22"/>
          <w:lang w:val="fr-FR"/>
        </w:rPr>
        <w:t>B</w:t>
      </w:r>
      <w:r w:rsidR="00076DBF" w:rsidRPr="00575A30">
        <w:rPr>
          <w:kern w:val="22"/>
          <w:lang w:val="fr-FR"/>
        </w:rPr>
        <w:t xml:space="preserve"> </w:t>
      </w:r>
      <w:r w:rsidRPr="00575A30">
        <w:rPr>
          <w:kern w:val="22"/>
          <w:lang w:val="fr-FR"/>
        </w:rPr>
        <w:t xml:space="preserve">de </w:t>
      </w:r>
      <w:r w:rsidR="00E65E56">
        <w:rPr>
          <w:kern w:val="22"/>
          <w:lang w:val="fr-FR"/>
        </w:rPr>
        <w:t>3</w:t>
      </w:r>
      <w:r w:rsidR="000E00BC">
        <w:rPr>
          <w:kern w:val="22"/>
          <w:lang w:val="fr-FR"/>
        </w:rPr>
        <w:t>6</w:t>
      </w:r>
      <w:r w:rsidR="005735D0" w:rsidRPr="00575A30">
        <w:rPr>
          <w:kern w:val="22"/>
          <w:lang w:val="fr-FR"/>
        </w:rPr>
        <w:t xml:space="preserve"> </w:t>
      </w:r>
      <w:r w:rsidRPr="00575A30">
        <w:rPr>
          <w:kern w:val="22"/>
          <w:lang w:val="fr-FR"/>
        </w:rPr>
        <w:t>autres Parties</w:t>
      </w:r>
      <w:r w:rsidRPr="00575A30">
        <w:rPr>
          <w:snapToGrid w:val="0"/>
          <w:kern w:val="22"/>
          <w:szCs w:val="22"/>
          <w:vertAlign w:val="superscript"/>
          <w:lang w:val="fr-FR"/>
        </w:rPr>
        <w:footnoteReference w:id="50"/>
      </w:r>
      <w:r w:rsidRPr="00575A30">
        <w:rPr>
          <w:kern w:val="22"/>
          <w:lang w:val="fr-FR"/>
        </w:rPr>
        <w:t xml:space="preserve"> </w:t>
      </w:r>
      <w:r w:rsidR="00076DBF" w:rsidRPr="00575A30">
        <w:rPr>
          <w:kern w:val="22"/>
          <w:lang w:val="fr-FR"/>
        </w:rPr>
        <w:t xml:space="preserve">contiennent des éléments et/ou objectifs et mesures qui </w:t>
      </w:r>
      <w:r w:rsidR="008B6B4A" w:rsidRPr="00575A30">
        <w:rPr>
          <w:kern w:val="22"/>
          <w:lang w:val="fr-FR"/>
        </w:rPr>
        <w:t xml:space="preserve">s’imbriquent </w:t>
      </w:r>
      <w:r w:rsidR="00076DBF" w:rsidRPr="00575A30">
        <w:rPr>
          <w:kern w:val="22"/>
          <w:lang w:val="fr-FR"/>
        </w:rPr>
        <w:t>avec le plan national de développeme</w:t>
      </w:r>
      <w:r w:rsidR="00722C31" w:rsidRPr="00575A30">
        <w:rPr>
          <w:kern w:val="22"/>
          <w:lang w:val="fr-FR"/>
        </w:rPr>
        <w:t>nt ou un instrument équivalent.</w:t>
      </w:r>
      <w:r w:rsidR="00E65E56">
        <w:rPr>
          <w:kern w:val="22"/>
          <w:lang w:val="fr-FR"/>
        </w:rPr>
        <w:t xml:space="preserve"> Par exemple, Maurice vient de terminer une évaluation de l’intégration de la diversité biologique pour les principaux thèmes et industries au cours de la préparation du SPANB, et prévoit </w:t>
      </w:r>
      <w:r w:rsidR="007730B3">
        <w:rPr>
          <w:kern w:val="22"/>
          <w:lang w:val="fr-FR"/>
        </w:rPr>
        <w:t>évaluer</w:t>
      </w:r>
      <w:r w:rsidR="00E65E56">
        <w:rPr>
          <w:kern w:val="22"/>
          <w:lang w:val="fr-FR"/>
        </w:rPr>
        <w:t xml:space="preserve"> </w:t>
      </w:r>
      <w:r w:rsidR="007730B3">
        <w:rPr>
          <w:kern w:val="22"/>
          <w:lang w:val="fr-FR"/>
        </w:rPr>
        <w:t>les voies</w:t>
      </w:r>
      <w:r w:rsidR="00E65E56">
        <w:rPr>
          <w:kern w:val="22"/>
          <w:lang w:val="fr-FR"/>
        </w:rPr>
        <w:t xml:space="preserve">, </w:t>
      </w:r>
      <w:r w:rsidR="007730B3">
        <w:rPr>
          <w:kern w:val="22"/>
          <w:lang w:val="fr-FR"/>
        </w:rPr>
        <w:t>l</w:t>
      </w:r>
      <w:r w:rsidR="00E65E56">
        <w:rPr>
          <w:kern w:val="22"/>
          <w:lang w:val="fr-FR"/>
        </w:rPr>
        <w:t>es obstacles</w:t>
      </w:r>
      <w:r w:rsidR="007730B3">
        <w:rPr>
          <w:kern w:val="22"/>
          <w:lang w:val="fr-FR"/>
        </w:rPr>
        <w:t xml:space="preserve"> et l</w:t>
      </w:r>
      <w:r w:rsidR="00E65E56">
        <w:rPr>
          <w:kern w:val="22"/>
          <w:lang w:val="fr-FR"/>
        </w:rPr>
        <w:t>es occasions potentiels de l’intégration de la diversité biologique dans les politiques publiques et le processus décisionnel.</w:t>
      </w:r>
      <w:r w:rsidR="000E00BC">
        <w:rPr>
          <w:kern w:val="22"/>
          <w:lang w:val="fr-FR"/>
        </w:rPr>
        <w:t xml:space="preserve"> La Macédoine du Nord prévoit appliquer des mesures pour intégrer graduellement les valeurs de la biodiversité aux plans nationaux</w:t>
      </w:r>
      <w:r w:rsidR="009268DF">
        <w:rPr>
          <w:kern w:val="22"/>
          <w:lang w:val="fr-FR"/>
        </w:rPr>
        <w:t xml:space="preserve"> de développement.</w:t>
      </w:r>
      <w:r w:rsidR="000E00BC">
        <w:rPr>
          <w:kern w:val="22"/>
          <w:lang w:val="fr-FR"/>
        </w:rPr>
        <w:t xml:space="preserve"> Le Soudan du Sud </w:t>
      </w:r>
      <w:r w:rsidR="009268DF">
        <w:rPr>
          <w:kern w:val="22"/>
          <w:lang w:val="fr-FR"/>
        </w:rPr>
        <w:t>intégrera les valeurs de la biodiversité aux plans nationaux de développement et aux documents du cadre budgétaire.</w:t>
      </w:r>
    </w:p>
    <w:p w14:paraId="4B26CC09" w14:textId="77777777" w:rsidR="00B53AD4" w:rsidRPr="00575A30" w:rsidRDefault="00722C31" w:rsidP="002A1589">
      <w:pPr>
        <w:pStyle w:val="Para1"/>
        <w:numPr>
          <w:ilvl w:val="0"/>
          <w:numId w:val="0"/>
        </w:numPr>
        <w:tabs>
          <w:tab w:val="num" w:pos="851"/>
        </w:tabs>
        <w:jc w:val="center"/>
        <w:rPr>
          <w:bCs/>
          <w:i/>
          <w:iCs/>
          <w:kern w:val="22"/>
          <w:szCs w:val="22"/>
          <w:lang w:val="fr-FR"/>
        </w:rPr>
      </w:pPr>
      <w:r w:rsidRPr="00575A30">
        <w:rPr>
          <w:bCs/>
          <w:i/>
          <w:iCs/>
          <w:kern w:val="22"/>
          <w:szCs w:val="22"/>
          <w:lang w:val="fr-FR"/>
        </w:rPr>
        <w:t>3.</w:t>
      </w:r>
      <w:r w:rsidR="005735D0" w:rsidRPr="00575A30">
        <w:rPr>
          <w:bCs/>
          <w:i/>
          <w:iCs/>
          <w:kern w:val="22"/>
          <w:szCs w:val="22"/>
          <w:lang w:val="fr-FR"/>
        </w:rPr>
        <w:tab/>
      </w:r>
      <w:r w:rsidRPr="007E73DC">
        <w:rPr>
          <w:bCs/>
          <w:i/>
          <w:iCs/>
          <w:kern w:val="22"/>
          <w:szCs w:val="22"/>
          <w:lang w:val="fr-FR"/>
        </w:rPr>
        <w:t>Plans</w:t>
      </w:r>
      <w:r w:rsidRPr="00575A30">
        <w:rPr>
          <w:bCs/>
          <w:i/>
          <w:iCs/>
          <w:kern w:val="22"/>
          <w:szCs w:val="22"/>
          <w:lang w:val="fr-FR"/>
        </w:rPr>
        <w:t xml:space="preserve"> de développement durable</w:t>
      </w:r>
    </w:p>
    <w:p w14:paraId="2A6E4153" w14:textId="77777777" w:rsidR="00561456" w:rsidRPr="00575A30" w:rsidRDefault="00722C31" w:rsidP="00F36F85">
      <w:pPr>
        <w:numPr>
          <w:ilvl w:val="0"/>
          <w:numId w:val="11"/>
        </w:numPr>
        <w:tabs>
          <w:tab w:val="clear" w:pos="540"/>
          <w:tab w:val="num" w:pos="851"/>
        </w:tabs>
        <w:ind w:left="0" w:firstLine="0"/>
        <w:rPr>
          <w:kern w:val="22"/>
          <w:lang w:val="fr-FR"/>
        </w:rPr>
      </w:pPr>
      <w:r w:rsidRPr="00575A30">
        <w:rPr>
          <w:kern w:val="22"/>
          <w:szCs w:val="22"/>
          <w:lang w:val="fr-FR"/>
        </w:rPr>
        <w:t>Parmi l</w:t>
      </w:r>
      <w:r w:rsidR="004160A8" w:rsidRPr="00575A30">
        <w:rPr>
          <w:kern w:val="22"/>
          <w:szCs w:val="22"/>
          <w:lang w:val="fr-FR"/>
        </w:rPr>
        <w:t>es</w:t>
      </w:r>
      <w:r w:rsidR="00A85330" w:rsidRPr="00575A30">
        <w:rPr>
          <w:kern w:val="22"/>
          <w:szCs w:val="22"/>
          <w:lang w:val="fr-FR"/>
        </w:rPr>
        <w:t xml:space="preserve"> </w:t>
      </w:r>
      <w:r w:rsidR="005D22F2">
        <w:rPr>
          <w:kern w:val="22"/>
          <w:szCs w:val="22"/>
          <w:lang w:val="fr-FR"/>
        </w:rPr>
        <w:t>167</w:t>
      </w:r>
      <w:r w:rsidR="005735D0" w:rsidRPr="00575A30">
        <w:rPr>
          <w:kern w:val="22"/>
          <w:szCs w:val="22"/>
          <w:lang w:val="fr-FR"/>
        </w:rPr>
        <w:t xml:space="preserve"> </w:t>
      </w:r>
      <w:r w:rsidR="004160A8" w:rsidRPr="00575A30">
        <w:rPr>
          <w:kern w:val="22"/>
          <w:szCs w:val="22"/>
          <w:lang w:val="fr-FR"/>
        </w:rPr>
        <w:t>SPANB examinés</w:t>
      </w:r>
      <w:r w:rsidRPr="00575A30">
        <w:rPr>
          <w:kern w:val="22"/>
          <w:szCs w:val="22"/>
          <w:lang w:val="fr-FR"/>
        </w:rPr>
        <w:t xml:space="preserve">, </w:t>
      </w:r>
      <w:r w:rsidR="00AD254A">
        <w:rPr>
          <w:kern w:val="22"/>
          <w:szCs w:val="22"/>
          <w:lang w:val="fr-FR"/>
        </w:rPr>
        <w:t>2</w:t>
      </w:r>
      <w:r w:rsidR="005D22F2">
        <w:rPr>
          <w:kern w:val="22"/>
          <w:szCs w:val="22"/>
          <w:lang w:val="fr-FR"/>
        </w:rPr>
        <w:t>6</w:t>
      </w:r>
      <w:r w:rsidR="00967873">
        <w:rPr>
          <w:kern w:val="22"/>
          <w:szCs w:val="22"/>
          <w:lang w:val="fr-FR"/>
        </w:rPr>
        <w:t xml:space="preserve"> </w:t>
      </w:r>
      <w:r w:rsidRPr="00575A30">
        <w:rPr>
          <w:kern w:val="22"/>
          <w:szCs w:val="22"/>
          <w:lang w:val="fr-FR"/>
        </w:rPr>
        <w:t>Parties</w:t>
      </w:r>
      <w:r w:rsidRPr="00575A30">
        <w:rPr>
          <w:snapToGrid w:val="0"/>
          <w:kern w:val="22"/>
          <w:szCs w:val="22"/>
          <w:vertAlign w:val="superscript"/>
          <w:lang w:val="fr-FR"/>
        </w:rPr>
        <w:footnoteReference w:id="51"/>
      </w:r>
      <w:r w:rsidR="007533D3">
        <w:rPr>
          <w:kern w:val="22"/>
          <w:szCs w:val="22"/>
          <w:lang w:val="fr-FR"/>
        </w:rPr>
        <w:t xml:space="preserve"> </w:t>
      </w:r>
      <w:r w:rsidR="007533D3" w:rsidRPr="0098791B">
        <w:rPr>
          <w:vertAlign w:val="superscript"/>
        </w:rPr>
        <w:footnoteReference w:id="52"/>
      </w:r>
      <w:r w:rsidRPr="00575A30">
        <w:rPr>
          <w:kern w:val="22"/>
          <w:szCs w:val="22"/>
          <w:lang w:val="fr-FR"/>
        </w:rPr>
        <w:t xml:space="preserve"> </w:t>
      </w:r>
      <w:r w:rsidR="00642862" w:rsidRPr="00575A30">
        <w:rPr>
          <w:kern w:val="22"/>
          <w:szCs w:val="22"/>
          <w:lang w:val="fr-FR"/>
        </w:rPr>
        <w:t xml:space="preserve">ont indiqué qu’elles avaient pris en compte </w:t>
      </w:r>
      <w:r w:rsidR="004160A8" w:rsidRPr="00575A30">
        <w:rPr>
          <w:kern w:val="22"/>
          <w:szCs w:val="22"/>
          <w:lang w:val="fr-FR"/>
        </w:rPr>
        <w:t>leur</w:t>
      </w:r>
      <w:r w:rsidR="00642862" w:rsidRPr="00575A30">
        <w:rPr>
          <w:kern w:val="22"/>
          <w:szCs w:val="22"/>
          <w:lang w:val="fr-FR"/>
        </w:rPr>
        <w:t>s</w:t>
      </w:r>
      <w:r w:rsidR="004160A8" w:rsidRPr="00575A30">
        <w:rPr>
          <w:kern w:val="22"/>
          <w:szCs w:val="22"/>
          <w:lang w:val="fr-FR"/>
        </w:rPr>
        <w:t xml:space="preserve"> SPANB </w:t>
      </w:r>
      <w:r w:rsidR="00642862" w:rsidRPr="00575A30">
        <w:rPr>
          <w:kern w:val="22"/>
          <w:szCs w:val="22"/>
          <w:lang w:val="fr-FR"/>
        </w:rPr>
        <w:t xml:space="preserve">dans </w:t>
      </w:r>
      <w:r w:rsidR="004160A8" w:rsidRPr="00575A30">
        <w:rPr>
          <w:kern w:val="22"/>
          <w:szCs w:val="22"/>
          <w:lang w:val="fr-FR"/>
        </w:rPr>
        <w:t>leur plan de développement durable ou instrument équivalent. Par exemple :</w:t>
      </w:r>
    </w:p>
    <w:p w14:paraId="62CCCEA3" w14:textId="77777777" w:rsidR="00561456" w:rsidRDefault="004160A8" w:rsidP="00AD254A">
      <w:pPr>
        <w:pStyle w:val="TOC9"/>
      </w:pPr>
      <w:r w:rsidRPr="00575A30">
        <w:t xml:space="preserve">Le second plan fédéral de développement durable de la Belgique contient des mesures </w:t>
      </w:r>
      <w:r w:rsidR="005127FE" w:rsidRPr="00575A30">
        <w:t xml:space="preserve">consacrées </w:t>
      </w:r>
      <w:r w:rsidRPr="00575A30">
        <w:t>à la biodiversité, aux forêts et aux eaux marines</w:t>
      </w:r>
      <w:r w:rsidR="00BC6ED9" w:rsidRPr="00575A30">
        <w:t> ;</w:t>
      </w:r>
    </w:p>
    <w:p w14:paraId="662039F9" w14:textId="77777777" w:rsidR="00AD254A" w:rsidRPr="00AD254A" w:rsidRDefault="00AD254A" w:rsidP="00AD254A">
      <w:pPr>
        <w:pStyle w:val="TOC9"/>
      </w:pPr>
      <w:r w:rsidRPr="00AD254A">
        <w:t>La stratégie</w:t>
      </w:r>
      <w:r>
        <w:t xml:space="preserve"> nationale du développement durable du Monténégro contient des mesures pour les aires protégées ;</w:t>
      </w:r>
    </w:p>
    <w:p w14:paraId="7D5D01D6" w14:textId="77777777" w:rsidR="00561456" w:rsidRPr="00575A30" w:rsidRDefault="00A33051" w:rsidP="00AD254A">
      <w:pPr>
        <w:pStyle w:val="TOC9"/>
      </w:pPr>
      <w:r w:rsidRPr="00575A30">
        <w:t xml:space="preserve">L’Union européenne entend utiliser certains de ses indicateurs de développement durable et agroenvironnementaux pour </w:t>
      </w:r>
      <w:r w:rsidR="002B6079" w:rsidRPr="00575A30">
        <w:t xml:space="preserve">suivre </w:t>
      </w:r>
      <w:r w:rsidR="00ED3A5B" w:rsidRPr="00575A30">
        <w:t xml:space="preserve">les progrès </w:t>
      </w:r>
      <w:r w:rsidR="002B6079" w:rsidRPr="00575A30">
        <w:t xml:space="preserve">accomplis dans </w:t>
      </w:r>
      <w:r w:rsidR="00ED3A5B" w:rsidRPr="00575A30">
        <w:t xml:space="preserve">la mise en œuvre de </w:t>
      </w:r>
      <w:r w:rsidR="00560F3F" w:rsidRPr="00575A30">
        <w:t xml:space="preserve">ses </w:t>
      </w:r>
      <w:r w:rsidR="00ED3A5B" w:rsidRPr="00575A30">
        <w:t>SPANB</w:t>
      </w:r>
      <w:r w:rsidRPr="00575A30">
        <w:t xml:space="preserve"> et</w:t>
      </w:r>
      <w:r w:rsidR="00ED3A5B" w:rsidRPr="00575A30">
        <w:t xml:space="preserve"> </w:t>
      </w:r>
      <w:r w:rsidR="002B6079" w:rsidRPr="00575A30">
        <w:t>rendre compte de ces progrès</w:t>
      </w:r>
      <w:r w:rsidR="00BC6ED9" w:rsidRPr="00575A30">
        <w:t> ;</w:t>
      </w:r>
    </w:p>
    <w:p w14:paraId="741C5CA9" w14:textId="77777777" w:rsidR="00561456" w:rsidRDefault="00EF3BF1" w:rsidP="00AD254A">
      <w:pPr>
        <w:pStyle w:val="TOC9"/>
      </w:pPr>
      <w:r w:rsidRPr="00575A30">
        <w:t>La stratégie nationale pour la biodiversité de la France est un élément important de s</w:t>
      </w:r>
      <w:r w:rsidR="00875197" w:rsidRPr="00575A30">
        <w:t>a S</w:t>
      </w:r>
      <w:r w:rsidRPr="00575A30">
        <w:t xml:space="preserve">tratégie nationale </w:t>
      </w:r>
      <w:r w:rsidR="002B6079" w:rsidRPr="00575A30">
        <w:t>de</w:t>
      </w:r>
      <w:r w:rsidRPr="00575A30">
        <w:t xml:space="preserve"> développement durable</w:t>
      </w:r>
      <w:r w:rsidR="00E50086" w:rsidRPr="00575A30">
        <w:t xml:space="preserve"> (SNDD)</w:t>
      </w:r>
      <w:r w:rsidR="00BC6ED9" w:rsidRPr="00575A30">
        <w:t> ;</w:t>
      </w:r>
    </w:p>
    <w:p w14:paraId="7F1BAB36" w14:textId="77777777" w:rsidR="00AD254A" w:rsidRPr="00AD254A" w:rsidRDefault="00AD254A" w:rsidP="00AD254A">
      <w:pPr>
        <w:pStyle w:val="TOC9"/>
      </w:pPr>
      <w:r>
        <w:t>Le SPANB du Luxembourg est un sous-élément du plan national de développement durable ;</w:t>
      </w:r>
    </w:p>
    <w:p w14:paraId="63844581" w14:textId="77777777" w:rsidR="006B65CE" w:rsidRDefault="00EF3BF1" w:rsidP="00AD254A">
      <w:pPr>
        <w:pStyle w:val="TOC9"/>
      </w:pPr>
      <w:r w:rsidRPr="00575A30">
        <w:t>Le</w:t>
      </w:r>
      <w:r w:rsidR="00560F3F" w:rsidRPr="00575A30">
        <w:t>s</w:t>
      </w:r>
      <w:r w:rsidRPr="00575A30">
        <w:t xml:space="preserve"> SPANB du Niger </w:t>
      </w:r>
      <w:r w:rsidR="00560F3F" w:rsidRPr="00575A30">
        <w:t xml:space="preserve">font </w:t>
      </w:r>
      <w:r w:rsidRPr="00575A30">
        <w:t>partie de l’un de</w:t>
      </w:r>
      <w:r w:rsidR="00E75646" w:rsidRPr="00575A30">
        <w:t>s</w:t>
      </w:r>
      <w:r w:rsidRPr="00575A30">
        <w:t xml:space="preserve"> six</w:t>
      </w:r>
      <w:r w:rsidR="00875197" w:rsidRPr="00575A30">
        <w:t xml:space="preserve"> programmes qui constituent le P</w:t>
      </w:r>
      <w:r w:rsidRPr="00575A30">
        <w:t>lan national de l’environnement pour un développement durable</w:t>
      </w:r>
      <w:r w:rsidR="00E50086" w:rsidRPr="00575A30">
        <w:t xml:space="preserve"> (PNEDD)</w:t>
      </w:r>
      <w:r w:rsidR="005D22F2">
        <w:t> ;</w:t>
      </w:r>
    </w:p>
    <w:p w14:paraId="646B4EB0" w14:textId="77777777" w:rsidR="005D22F2" w:rsidRPr="005D22F2" w:rsidRDefault="005D22F2" w:rsidP="005D22F2">
      <w:pPr>
        <w:pStyle w:val="TOC9"/>
      </w:pPr>
      <w:r>
        <w:t xml:space="preserve">Le SPANB de la République de Corée a </w:t>
      </w:r>
      <w:r w:rsidR="00655B6D">
        <w:t>été</w:t>
      </w:r>
      <w:r>
        <w:t xml:space="preserve"> intégré au troisième Plan maître pour le développement durable (2016-2035).</w:t>
      </w:r>
    </w:p>
    <w:p w14:paraId="03B69434" w14:textId="77777777" w:rsidR="00BE15D9" w:rsidRPr="00575A30" w:rsidRDefault="00BE15D9" w:rsidP="00BE15D9">
      <w:pPr>
        <w:rPr>
          <w:lang w:val="fr-FR"/>
        </w:rPr>
      </w:pPr>
    </w:p>
    <w:p w14:paraId="0E602F57" w14:textId="77777777" w:rsidR="00655B6D" w:rsidRDefault="00655B6D">
      <w:pPr>
        <w:jc w:val="left"/>
        <w:rPr>
          <w:bCs/>
          <w:i/>
          <w:iCs/>
          <w:snapToGrid w:val="0"/>
          <w:kern w:val="22"/>
          <w:szCs w:val="18"/>
          <w:lang w:val="fr-FR" w:eastAsia="x-none"/>
        </w:rPr>
      </w:pPr>
      <w:r>
        <w:rPr>
          <w:bCs/>
          <w:i/>
          <w:iCs/>
          <w:snapToGrid w:val="0"/>
          <w:kern w:val="22"/>
          <w:szCs w:val="18"/>
          <w:lang w:val="fr-FR" w:eastAsia="x-none"/>
        </w:rPr>
        <w:br w:type="page"/>
      </w:r>
    </w:p>
    <w:p w14:paraId="1B04C2AC" w14:textId="77777777" w:rsidR="006B65CE" w:rsidRPr="00575A30" w:rsidRDefault="003D0D35" w:rsidP="002A1589">
      <w:pPr>
        <w:tabs>
          <w:tab w:val="num" w:pos="851"/>
        </w:tabs>
        <w:spacing w:before="120" w:after="120"/>
        <w:jc w:val="center"/>
        <w:rPr>
          <w:bCs/>
          <w:i/>
          <w:iCs/>
          <w:snapToGrid w:val="0"/>
          <w:kern w:val="22"/>
          <w:szCs w:val="18"/>
          <w:lang w:val="fr-FR" w:eastAsia="x-none"/>
        </w:rPr>
      </w:pPr>
      <w:r w:rsidRPr="00575A30">
        <w:rPr>
          <w:bCs/>
          <w:i/>
          <w:iCs/>
          <w:snapToGrid w:val="0"/>
          <w:kern w:val="22"/>
          <w:szCs w:val="18"/>
          <w:lang w:val="fr-FR" w:eastAsia="x-none"/>
        </w:rPr>
        <w:lastRenderedPageBreak/>
        <w:t>4.</w:t>
      </w:r>
      <w:r w:rsidR="005735D0" w:rsidRPr="00575A30">
        <w:rPr>
          <w:bCs/>
          <w:i/>
          <w:iCs/>
          <w:snapToGrid w:val="0"/>
          <w:kern w:val="22"/>
          <w:szCs w:val="18"/>
          <w:lang w:val="fr-FR" w:eastAsia="x-none"/>
        </w:rPr>
        <w:tab/>
      </w:r>
      <w:r w:rsidR="00615517" w:rsidRPr="00575A30">
        <w:rPr>
          <w:bCs/>
          <w:i/>
          <w:iCs/>
          <w:snapToGrid w:val="0"/>
          <w:kern w:val="22"/>
          <w:szCs w:val="18"/>
          <w:lang w:val="fr-FR" w:eastAsia="x-none"/>
        </w:rPr>
        <w:t>Éradication de la pauvreté</w:t>
      </w:r>
    </w:p>
    <w:p w14:paraId="20ACFE74" w14:textId="77777777" w:rsidR="006B65CE" w:rsidRPr="00575A30" w:rsidRDefault="00615517" w:rsidP="00F36F85">
      <w:pPr>
        <w:numPr>
          <w:ilvl w:val="0"/>
          <w:numId w:val="11"/>
        </w:numPr>
        <w:tabs>
          <w:tab w:val="clear" w:pos="540"/>
          <w:tab w:val="num" w:pos="851"/>
        </w:tabs>
        <w:ind w:left="0" w:firstLine="0"/>
        <w:rPr>
          <w:kern w:val="22"/>
          <w:lang w:val="fr-FR"/>
        </w:rPr>
      </w:pPr>
      <w:r w:rsidRPr="00575A30">
        <w:rPr>
          <w:kern w:val="22"/>
          <w:lang w:val="fr-FR"/>
        </w:rPr>
        <w:t xml:space="preserve">Au total, </w:t>
      </w:r>
      <w:r w:rsidR="00180300">
        <w:rPr>
          <w:kern w:val="22"/>
          <w:lang w:val="fr-FR"/>
        </w:rPr>
        <w:t>4</w:t>
      </w:r>
      <w:r w:rsidR="00655B6D">
        <w:rPr>
          <w:kern w:val="22"/>
          <w:lang w:val="fr-FR"/>
        </w:rPr>
        <w:t>7</w:t>
      </w:r>
      <w:r w:rsidR="005735D0" w:rsidRPr="00575A30">
        <w:rPr>
          <w:kern w:val="22"/>
          <w:lang w:val="fr-FR"/>
        </w:rPr>
        <w:t xml:space="preserve"> </w:t>
      </w:r>
      <w:r w:rsidRPr="00575A30">
        <w:rPr>
          <w:kern w:val="22"/>
          <w:lang w:val="fr-FR"/>
        </w:rPr>
        <w:t>SPANB</w:t>
      </w:r>
      <w:r w:rsidR="00180300">
        <w:rPr>
          <w:kern w:val="22"/>
          <w:lang w:val="fr-FR"/>
        </w:rPr>
        <w:t xml:space="preserve"> </w:t>
      </w:r>
      <w:r w:rsidR="00180300" w:rsidRPr="00575A30">
        <w:rPr>
          <w:kern w:val="22"/>
          <w:lang w:val="fr-FR"/>
        </w:rPr>
        <w:t xml:space="preserve">de </w:t>
      </w:r>
      <w:r w:rsidR="00180300" w:rsidRPr="00575A30">
        <w:rPr>
          <w:noProof/>
          <w:kern w:val="22"/>
          <w:lang w:val="fr-FR"/>
        </w:rPr>
        <w:t>l’après</w:t>
      </w:r>
      <w:r w:rsidR="00180300" w:rsidRPr="00575A30">
        <w:rPr>
          <w:noProof/>
          <w:kern w:val="22"/>
          <w:lang w:val="fr-FR"/>
        </w:rPr>
        <w:noBreakHyphen/>
        <w:t>Nagoya</w:t>
      </w:r>
      <w:r w:rsidR="008A60AA" w:rsidRPr="00575A30">
        <w:rPr>
          <w:rStyle w:val="FootnoteReference"/>
          <w:snapToGrid w:val="0"/>
          <w:kern w:val="22"/>
          <w:szCs w:val="22"/>
          <w:lang w:val="fr-FR"/>
        </w:rPr>
        <w:footnoteReference w:id="53"/>
      </w:r>
      <w:r w:rsidR="00BC6ED9" w:rsidRPr="00575A30">
        <w:rPr>
          <w:kern w:val="22"/>
          <w:vertAlign w:val="superscript"/>
          <w:lang w:val="fr-FR"/>
        </w:rPr>
        <w:t xml:space="preserve"> </w:t>
      </w:r>
      <w:r w:rsidR="00655B6D" w:rsidRPr="00845882">
        <w:rPr>
          <w:rStyle w:val="FootnoteReference"/>
          <w:snapToGrid w:val="0"/>
          <w:kern w:val="22"/>
          <w:szCs w:val="22"/>
        </w:rPr>
        <w:footnoteReference w:id="54"/>
      </w:r>
      <w:r w:rsidR="00655B6D">
        <w:rPr>
          <w:kern w:val="22"/>
          <w:vertAlign w:val="superscript"/>
          <w:lang w:val="fr-FR"/>
        </w:rPr>
        <w:t xml:space="preserve"> </w:t>
      </w:r>
      <w:r w:rsidRPr="00575A30">
        <w:rPr>
          <w:kern w:val="22"/>
          <w:lang w:val="fr-FR"/>
        </w:rPr>
        <w:t xml:space="preserve">mentionnent des </w:t>
      </w:r>
      <w:r w:rsidR="0032333A" w:rsidRPr="00575A30">
        <w:rPr>
          <w:kern w:val="22"/>
          <w:lang w:val="fr-FR"/>
        </w:rPr>
        <w:t xml:space="preserve">corrélations </w:t>
      </w:r>
      <w:r w:rsidR="004904EF" w:rsidRPr="00575A30">
        <w:rPr>
          <w:kern w:val="22"/>
          <w:lang w:val="fr-FR"/>
        </w:rPr>
        <w:t>avec</w:t>
      </w:r>
      <w:r w:rsidRPr="00575A30">
        <w:rPr>
          <w:kern w:val="22"/>
          <w:lang w:val="fr-FR"/>
        </w:rPr>
        <w:t xml:space="preserve"> l’éradication de la pauvreté et/ou intègrent cet objectif dans leurs principes, objectifs et/ou mesures. Par exemple :</w:t>
      </w:r>
    </w:p>
    <w:p w14:paraId="27AA63EF" w14:textId="77777777" w:rsidR="006B65CE" w:rsidRPr="00575A30" w:rsidRDefault="00615517" w:rsidP="00F36F85">
      <w:pPr>
        <w:numPr>
          <w:ilvl w:val="0"/>
          <w:numId w:val="17"/>
        </w:numPr>
        <w:tabs>
          <w:tab w:val="num" w:pos="851"/>
          <w:tab w:val="left" w:pos="1440"/>
        </w:tabs>
        <w:spacing w:before="240" w:after="120"/>
        <w:ind w:left="0" w:firstLine="720"/>
        <w:rPr>
          <w:kern w:val="22"/>
          <w:lang w:val="fr-FR"/>
        </w:rPr>
      </w:pPr>
      <w:r w:rsidRPr="00575A30">
        <w:rPr>
          <w:noProof/>
          <w:kern w:val="22"/>
          <w:lang w:val="fr-FR"/>
        </w:rPr>
        <w:t>Antigua</w:t>
      </w:r>
      <w:r w:rsidRPr="00575A30">
        <w:rPr>
          <w:noProof/>
          <w:kern w:val="22"/>
          <w:lang w:val="fr-FR"/>
        </w:rPr>
        <w:noBreakHyphen/>
        <w:t>et</w:t>
      </w:r>
      <w:r w:rsidRPr="00575A30">
        <w:rPr>
          <w:noProof/>
          <w:kern w:val="22"/>
          <w:lang w:val="fr-FR"/>
        </w:rPr>
        <w:noBreakHyphen/>
        <w:t>Barbuda</w:t>
      </w:r>
      <w:r w:rsidR="006B65CE" w:rsidRPr="00575A30">
        <w:rPr>
          <w:kern w:val="22"/>
          <w:lang w:val="fr-FR"/>
        </w:rPr>
        <w:t xml:space="preserve">, </w:t>
      </w:r>
      <w:r w:rsidRPr="00575A30">
        <w:rPr>
          <w:kern w:val="22"/>
          <w:lang w:val="fr-FR"/>
        </w:rPr>
        <w:t>l’Inde</w:t>
      </w:r>
      <w:r w:rsidR="00180300">
        <w:rPr>
          <w:kern w:val="22"/>
          <w:lang w:val="fr-FR"/>
        </w:rPr>
        <w:t xml:space="preserve">, </w:t>
      </w:r>
      <w:r w:rsidRPr="00575A30">
        <w:rPr>
          <w:kern w:val="22"/>
          <w:lang w:val="fr-FR"/>
        </w:rPr>
        <w:t>le</w:t>
      </w:r>
      <w:r w:rsidR="006B65CE" w:rsidRPr="00575A30">
        <w:rPr>
          <w:kern w:val="22"/>
          <w:lang w:val="fr-FR"/>
        </w:rPr>
        <w:t xml:space="preserve"> Togo</w:t>
      </w:r>
      <w:r w:rsidR="00180300">
        <w:rPr>
          <w:kern w:val="22"/>
          <w:lang w:val="fr-FR"/>
        </w:rPr>
        <w:t xml:space="preserve"> et le Yémen</w:t>
      </w:r>
      <w:r w:rsidR="006B65CE" w:rsidRPr="00575A30">
        <w:rPr>
          <w:kern w:val="22"/>
          <w:lang w:val="fr-FR"/>
        </w:rPr>
        <w:t>,</w:t>
      </w:r>
      <w:r w:rsidRPr="00575A30">
        <w:rPr>
          <w:kern w:val="22"/>
          <w:lang w:val="fr-FR"/>
        </w:rPr>
        <w:t xml:space="preserve"> entre autres, incluent des stratégies d’éradication de la pauvreté dans leur </w:t>
      </w:r>
      <w:r w:rsidR="00180300">
        <w:rPr>
          <w:kern w:val="22"/>
          <w:lang w:val="fr-FR"/>
        </w:rPr>
        <w:t xml:space="preserve">SPANB ou leur </w:t>
      </w:r>
      <w:r w:rsidR="00797B8A" w:rsidRPr="00575A30">
        <w:rPr>
          <w:kern w:val="22"/>
          <w:lang w:val="fr-FR"/>
        </w:rPr>
        <w:t xml:space="preserve">dispositif </w:t>
      </w:r>
      <w:r w:rsidRPr="00575A30">
        <w:rPr>
          <w:kern w:val="22"/>
          <w:lang w:val="fr-FR"/>
        </w:rPr>
        <w:t>nationa</w:t>
      </w:r>
      <w:r w:rsidR="00797B8A" w:rsidRPr="00575A30">
        <w:rPr>
          <w:kern w:val="22"/>
          <w:lang w:val="fr-FR"/>
        </w:rPr>
        <w:t xml:space="preserve">l correspondant à </w:t>
      </w:r>
      <w:r w:rsidRPr="00575A30">
        <w:rPr>
          <w:kern w:val="22"/>
          <w:lang w:val="fr-FR"/>
        </w:rPr>
        <w:t xml:space="preserve">l’objectif 2 d’Aichi </w:t>
      </w:r>
      <w:r w:rsidR="00797B8A" w:rsidRPr="00575A30">
        <w:rPr>
          <w:kern w:val="22"/>
          <w:lang w:val="fr-FR"/>
        </w:rPr>
        <w:t xml:space="preserve">relatif à </w:t>
      </w:r>
      <w:r w:rsidRPr="00575A30">
        <w:rPr>
          <w:kern w:val="22"/>
          <w:lang w:val="fr-FR"/>
        </w:rPr>
        <w:t>la biodiversité</w:t>
      </w:r>
      <w:r w:rsidR="00BC6ED9" w:rsidRPr="00575A30">
        <w:rPr>
          <w:kern w:val="22"/>
          <w:lang w:val="fr-FR"/>
        </w:rPr>
        <w:t> ;</w:t>
      </w:r>
    </w:p>
    <w:p w14:paraId="4EC89FB7" w14:textId="77777777" w:rsidR="006B65CE" w:rsidRPr="00575A30" w:rsidRDefault="008529B2" w:rsidP="00F36F85">
      <w:pPr>
        <w:numPr>
          <w:ilvl w:val="0"/>
          <w:numId w:val="17"/>
        </w:numPr>
        <w:spacing w:before="240" w:after="120"/>
        <w:ind w:left="0" w:firstLine="720"/>
        <w:rPr>
          <w:kern w:val="22"/>
          <w:lang w:val="fr-FR"/>
        </w:rPr>
      </w:pPr>
      <w:r w:rsidRPr="00575A30">
        <w:rPr>
          <w:kern w:val="22"/>
          <w:lang w:val="fr-FR"/>
        </w:rPr>
        <w:t xml:space="preserve">Les stratégies </w:t>
      </w:r>
      <w:r w:rsidR="007560B4" w:rsidRPr="00575A30">
        <w:rPr>
          <w:kern w:val="22"/>
          <w:lang w:val="fr-FR"/>
        </w:rPr>
        <w:t xml:space="preserve">de réduction </w:t>
      </w:r>
      <w:r w:rsidRPr="00575A30">
        <w:rPr>
          <w:kern w:val="22"/>
          <w:lang w:val="fr-FR"/>
        </w:rPr>
        <w:t>de la pauvreté, ou équivalent, du Burkina </w:t>
      </w:r>
      <w:r w:rsidR="006B65CE" w:rsidRPr="00575A30">
        <w:rPr>
          <w:kern w:val="22"/>
          <w:lang w:val="fr-FR"/>
        </w:rPr>
        <w:t xml:space="preserve">Faso, </w:t>
      </w:r>
      <w:r w:rsidRPr="00575A30">
        <w:rPr>
          <w:kern w:val="22"/>
          <w:lang w:val="fr-FR"/>
        </w:rPr>
        <w:t xml:space="preserve">du </w:t>
      </w:r>
      <w:r w:rsidR="006B65CE" w:rsidRPr="00575A30">
        <w:rPr>
          <w:kern w:val="22"/>
          <w:lang w:val="fr-FR"/>
        </w:rPr>
        <w:t xml:space="preserve">Burundi, </w:t>
      </w:r>
      <w:r w:rsidRPr="00575A30">
        <w:rPr>
          <w:kern w:val="22"/>
          <w:lang w:val="fr-FR"/>
        </w:rPr>
        <w:t xml:space="preserve">du </w:t>
      </w:r>
      <w:r w:rsidR="006B65CE" w:rsidRPr="00575A30">
        <w:rPr>
          <w:kern w:val="22"/>
          <w:lang w:val="fr-FR"/>
        </w:rPr>
        <w:t xml:space="preserve">Congo, </w:t>
      </w:r>
      <w:r w:rsidR="00305B23" w:rsidRPr="00575A30">
        <w:rPr>
          <w:kern w:val="22"/>
          <w:lang w:val="fr-FR"/>
        </w:rPr>
        <w:t xml:space="preserve">de la Gambie, </w:t>
      </w:r>
      <w:r w:rsidRPr="00575A30">
        <w:rPr>
          <w:kern w:val="22"/>
          <w:lang w:val="fr-FR"/>
        </w:rPr>
        <w:t>de la Guinée équatoriale</w:t>
      </w:r>
      <w:r w:rsidR="00305B23" w:rsidRPr="00575A30">
        <w:rPr>
          <w:kern w:val="22"/>
          <w:lang w:val="fr-FR"/>
        </w:rPr>
        <w:t>,</w:t>
      </w:r>
      <w:r w:rsidRPr="00575A30">
        <w:rPr>
          <w:kern w:val="22"/>
          <w:lang w:val="fr-FR"/>
        </w:rPr>
        <w:t xml:space="preserve"> </w:t>
      </w:r>
      <w:r w:rsidR="00305B23" w:rsidRPr="00575A30">
        <w:rPr>
          <w:kern w:val="22"/>
          <w:lang w:val="fr-FR"/>
        </w:rPr>
        <w:t xml:space="preserve">du Niger </w:t>
      </w:r>
      <w:r w:rsidR="007560B4" w:rsidRPr="00575A30">
        <w:rPr>
          <w:kern w:val="22"/>
          <w:lang w:val="fr-FR"/>
        </w:rPr>
        <w:t>et de la</w:t>
      </w:r>
      <w:r w:rsidR="00E31BC1" w:rsidRPr="00575A30">
        <w:rPr>
          <w:kern w:val="22"/>
          <w:lang w:val="fr-FR"/>
        </w:rPr>
        <w:t xml:space="preserve"> République-Unie de</w:t>
      </w:r>
      <w:r w:rsidR="007560B4" w:rsidRPr="00575A30">
        <w:rPr>
          <w:kern w:val="22"/>
          <w:lang w:val="fr-FR"/>
        </w:rPr>
        <w:t xml:space="preserve"> Tanzanie </w:t>
      </w:r>
      <w:r w:rsidR="00E31BC1" w:rsidRPr="00575A30">
        <w:rPr>
          <w:kern w:val="22"/>
          <w:lang w:val="fr-FR"/>
        </w:rPr>
        <w:t xml:space="preserve">comprennent </w:t>
      </w:r>
      <w:r w:rsidR="007560B4" w:rsidRPr="00575A30">
        <w:rPr>
          <w:kern w:val="22"/>
          <w:lang w:val="fr-FR"/>
        </w:rPr>
        <w:t>d</w:t>
      </w:r>
      <w:r w:rsidR="00305B23" w:rsidRPr="00575A30">
        <w:rPr>
          <w:kern w:val="22"/>
          <w:lang w:val="fr-FR"/>
        </w:rPr>
        <w:t xml:space="preserve">es </w:t>
      </w:r>
      <w:r w:rsidR="007560B4" w:rsidRPr="00575A30">
        <w:rPr>
          <w:kern w:val="22"/>
          <w:lang w:val="fr-FR"/>
        </w:rPr>
        <w:t xml:space="preserve">éléments </w:t>
      </w:r>
      <w:r w:rsidR="00E31BC1" w:rsidRPr="00575A30">
        <w:rPr>
          <w:kern w:val="22"/>
          <w:lang w:val="fr-FR"/>
        </w:rPr>
        <w:t xml:space="preserve">relatifs à </w:t>
      </w:r>
      <w:r w:rsidRPr="00575A30">
        <w:rPr>
          <w:kern w:val="22"/>
          <w:lang w:val="fr-FR"/>
        </w:rPr>
        <w:t>la biodiversité</w:t>
      </w:r>
      <w:r w:rsidR="00BC6ED9" w:rsidRPr="00575A30">
        <w:rPr>
          <w:kern w:val="22"/>
          <w:lang w:val="fr-FR"/>
        </w:rPr>
        <w:t> ;</w:t>
      </w:r>
    </w:p>
    <w:p w14:paraId="01A40BCC" w14:textId="77777777" w:rsidR="004B1BBB" w:rsidRPr="00575A30" w:rsidRDefault="008529B2" w:rsidP="00F36F85">
      <w:pPr>
        <w:numPr>
          <w:ilvl w:val="0"/>
          <w:numId w:val="17"/>
        </w:numPr>
        <w:spacing w:before="120" w:after="120"/>
        <w:ind w:left="0" w:firstLine="720"/>
        <w:rPr>
          <w:kern w:val="22"/>
          <w:lang w:val="fr-FR"/>
        </w:rPr>
      </w:pPr>
      <w:r w:rsidRPr="00575A30">
        <w:rPr>
          <w:kern w:val="22"/>
          <w:lang w:val="fr-FR"/>
        </w:rPr>
        <w:t>Les SPANB de l’</w:t>
      </w:r>
      <w:r w:rsidR="006B65CE" w:rsidRPr="00575A30">
        <w:rPr>
          <w:kern w:val="22"/>
          <w:lang w:val="fr-FR"/>
        </w:rPr>
        <w:t>Afghanistan,</w:t>
      </w:r>
      <w:r w:rsidRPr="00575A30">
        <w:rPr>
          <w:kern w:val="22"/>
          <w:lang w:val="fr-FR"/>
        </w:rPr>
        <w:t xml:space="preserve"> de la </w:t>
      </w:r>
      <w:r w:rsidR="00180300">
        <w:rPr>
          <w:kern w:val="22"/>
          <w:lang w:val="fr-FR"/>
        </w:rPr>
        <w:t xml:space="preserve">Moldavie, de la </w:t>
      </w:r>
      <w:r w:rsidRPr="00575A30">
        <w:rPr>
          <w:kern w:val="22"/>
          <w:lang w:val="fr-FR"/>
        </w:rPr>
        <w:t>Namibie</w:t>
      </w:r>
      <w:r w:rsidR="006B65CE" w:rsidRPr="00575A30">
        <w:rPr>
          <w:kern w:val="22"/>
          <w:lang w:val="fr-FR"/>
        </w:rPr>
        <w:t xml:space="preserve">, </w:t>
      </w:r>
      <w:r w:rsidRPr="00575A30">
        <w:rPr>
          <w:kern w:val="22"/>
          <w:lang w:val="fr-FR"/>
        </w:rPr>
        <w:t xml:space="preserve">du </w:t>
      </w:r>
      <w:r w:rsidR="00180300">
        <w:rPr>
          <w:kern w:val="22"/>
          <w:lang w:val="fr-FR"/>
        </w:rPr>
        <w:t xml:space="preserve">Niger et </w:t>
      </w:r>
      <w:r w:rsidRPr="00575A30">
        <w:rPr>
          <w:kern w:val="22"/>
          <w:lang w:val="fr-FR"/>
        </w:rPr>
        <w:t>du Pérou</w:t>
      </w:r>
      <w:r w:rsidR="003E3541" w:rsidRPr="00575A30">
        <w:rPr>
          <w:kern w:val="22"/>
          <w:lang w:val="fr-FR"/>
        </w:rPr>
        <w:t xml:space="preserve"> </w:t>
      </w:r>
      <w:r w:rsidR="00C441BB" w:rsidRPr="00575A30">
        <w:rPr>
          <w:kern w:val="22"/>
          <w:lang w:val="fr-FR"/>
        </w:rPr>
        <w:t xml:space="preserve">ont pour objectif de </w:t>
      </w:r>
      <w:r w:rsidR="00146E2C" w:rsidRPr="00575A30">
        <w:rPr>
          <w:kern w:val="22"/>
          <w:lang w:val="fr-FR"/>
        </w:rPr>
        <w:t xml:space="preserve">mettre </w:t>
      </w:r>
      <w:r w:rsidR="001211E6" w:rsidRPr="00575A30">
        <w:rPr>
          <w:kern w:val="22"/>
          <w:lang w:val="fr-FR"/>
        </w:rPr>
        <w:t>en œuvre</w:t>
      </w:r>
      <w:r w:rsidR="003B74AA" w:rsidRPr="00575A30">
        <w:rPr>
          <w:kern w:val="22"/>
          <w:lang w:val="fr-FR"/>
        </w:rPr>
        <w:t xml:space="preserve"> de</w:t>
      </w:r>
      <w:r w:rsidR="00146E2C" w:rsidRPr="00575A30">
        <w:rPr>
          <w:kern w:val="22"/>
          <w:lang w:val="fr-FR"/>
        </w:rPr>
        <w:t>s</w:t>
      </w:r>
      <w:r w:rsidR="003E3541" w:rsidRPr="00575A30">
        <w:rPr>
          <w:kern w:val="22"/>
          <w:lang w:val="fr-FR"/>
        </w:rPr>
        <w:t xml:space="preserve"> mesures relatives à la biodiversité afin de contribuer à la réduction de la pauvreté. </w:t>
      </w:r>
      <w:r w:rsidR="00180300">
        <w:rPr>
          <w:kern w:val="22"/>
          <w:lang w:val="fr-FR"/>
        </w:rPr>
        <w:t>Le</w:t>
      </w:r>
      <w:r w:rsidR="00E31BC1" w:rsidRPr="00575A30">
        <w:rPr>
          <w:kern w:val="22"/>
          <w:lang w:val="fr-FR"/>
        </w:rPr>
        <w:t xml:space="preserve"> </w:t>
      </w:r>
      <w:r w:rsidR="003E3541" w:rsidRPr="00575A30">
        <w:rPr>
          <w:kern w:val="22"/>
          <w:lang w:val="fr-FR"/>
        </w:rPr>
        <w:t>SPANB</w:t>
      </w:r>
      <w:r w:rsidR="00E31BC1" w:rsidRPr="00575A30">
        <w:rPr>
          <w:kern w:val="22"/>
          <w:lang w:val="fr-FR"/>
        </w:rPr>
        <w:t xml:space="preserve"> de </w:t>
      </w:r>
      <w:r w:rsidR="003E3541" w:rsidRPr="00575A30">
        <w:rPr>
          <w:kern w:val="22"/>
          <w:lang w:val="fr-FR"/>
        </w:rPr>
        <w:t>la Namibie</w:t>
      </w:r>
      <w:r w:rsidR="00C441BB" w:rsidRPr="00575A30">
        <w:rPr>
          <w:kern w:val="22"/>
          <w:lang w:val="fr-FR"/>
        </w:rPr>
        <w:t xml:space="preserve"> </w:t>
      </w:r>
      <w:r w:rsidR="00E31BC1" w:rsidRPr="00575A30">
        <w:rPr>
          <w:kern w:val="22"/>
          <w:lang w:val="fr-FR"/>
        </w:rPr>
        <w:t>permet d’</w:t>
      </w:r>
      <w:r w:rsidR="00C441BB" w:rsidRPr="00575A30">
        <w:rPr>
          <w:kern w:val="22"/>
          <w:lang w:val="fr-FR"/>
        </w:rPr>
        <w:t>observe</w:t>
      </w:r>
      <w:r w:rsidR="00E31BC1" w:rsidRPr="00575A30">
        <w:rPr>
          <w:kern w:val="22"/>
          <w:lang w:val="fr-FR"/>
        </w:rPr>
        <w:t>r</w:t>
      </w:r>
      <w:r w:rsidR="003E3541" w:rsidRPr="00575A30">
        <w:rPr>
          <w:kern w:val="22"/>
          <w:lang w:val="fr-FR"/>
        </w:rPr>
        <w:t xml:space="preserve">, par le biais </w:t>
      </w:r>
      <w:r w:rsidR="00E31BC1" w:rsidRPr="00575A30">
        <w:rPr>
          <w:kern w:val="22"/>
          <w:lang w:val="fr-FR"/>
        </w:rPr>
        <w:t xml:space="preserve">du </w:t>
      </w:r>
      <w:r w:rsidR="003E3541" w:rsidRPr="00FA2C78">
        <w:rPr>
          <w:kern w:val="22"/>
          <w:lang w:val="fr-FR"/>
        </w:rPr>
        <w:t>programme communautaire de ge</w:t>
      </w:r>
      <w:r w:rsidR="00180300" w:rsidRPr="00FA2C78">
        <w:rPr>
          <w:kern w:val="22"/>
          <w:lang w:val="fr-FR"/>
        </w:rPr>
        <w:t>stion des ressources naturelles</w:t>
      </w:r>
      <w:r w:rsidR="003E3541" w:rsidRPr="00575A30">
        <w:rPr>
          <w:kern w:val="22"/>
          <w:lang w:val="fr-FR"/>
        </w:rPr>
        <w:t xml:space="preserve">, </w:t>
      </w:r>
      <w:r w:rsidR="000106C8" w:rsidRPr="00575A30">
        <w:rPr>
          <w:kern w:val="22"/>
          <w:lang w:val="fr-FR"/>
        </w:rPr>
        <w:t xml:space="preserve">le rôle </w:t>
      </w:r>
      <w:r w:rsidR="00CA4209" w:rsidRPr="00575A30">
        <w:rPr>
          <w:kern w:val="22"/>
          <w:lang w:val="fr-FR"/>
        </w:rPr>
        <w:t xml:space="preserve">joué par </w:t>
      </w:r>
      <w:r w:rsidR="000106C8" w:rsidRPr="00575A30">
        <w:rPr>
          <w:kern w:val="22"/>
          <w:lang w:val="fr-FR"/>
        </w:rPr>
        <w:t xml:space="preserve">la biodiversité dans </w:t>
      </w:r>
      <w:r w:rsidR="00CA4209" w:rsidRPr="00575A30">
        <w:rPr>
          <w:kern w:val="22"/>
          <w:lang w:val="fr-FR"/>
        </w:rPr>
        <w:t xml:space="preserve">l’atténuation </w:t>
      </w:r>
      <w:r w:rsidR="000106C8" w:rsidRPr="00575A30">
        <w:rPr>
          <w:kern w:val="22"/>
          <w:lang w:val="fr-FR"/>
        </w:rPr>
        <w:t xml:space="preserve">de la pauvreté </w:t>
      </w:r>
      <w:r w:rsidR="00C441BB" w:rsidRPr="00575A30">
        <w:rPr>
          <w:kern w:val="22"/>
          <w:lang w:val="fr-FR"/>
        </w:rPr>
        <w:t xml:space="preserve">en </w:t>
      </w:r>
      <w:r w:rsidR="000106C8" w:rsidRPr="00575A30">
        <w:rPr>
          <w:kern w:val="22"/>
          <w:lang w:val="fr-FR"/>
        </w:rPr>
        <w:t>zone rurale</w:t>
      </w:r>
      <w:r w:rsidR="002A79D8" w:rsidRPr="00575A30">
        <w:rPr>
          <w:kern w:val="22"/>
          <w:lang w:val="fr-FR"/>
        </w:rPr>
        <w:t> ;</w:t>
      </w:r>
    </w:p>
    <w:p w14:paraId="0D653C32" w14:textId="77777777" w:rsidR="00361A07" w:rsidRPr="00575A30" w:rsidRDefault="00754559" w:rsidP="00F36F85">
      <w:pPr>
        <w:numPr>
          <w:ilvl w:val="0"/>
          <w:numId w:val="17"/>
        </w:numPr>
        <w:spacing w:before="120" w:after="120"/>
        <w:ind w:left="0" w:firstLine="720"/>
        <w:rPr>
          <w:kern w:val="22"/>
          <w:lang w:val="fr-FR"/>
        </w:rPr>
      </w:pPr>
      <w:r w:rsidRPr="00575A30">
        <w:rPr>
          <w:kern w:val="22"/>
          <w:lang w:val="fr-FR"/>
        </w:rPr>
        <w:t xml:space="preserve">Dans le cadre de la mise en œuvre de </w:t>
      </w:r>
      <w:r w:rsidR="00305B23" w:rsidRPr="00575A30">
        <w:rPr>
          <w:kern w:val="22"/>
          <w:lang w:val="fr-FR"/>
        </w:rPr>
        <w:t>s</w:t>
      </w:r>
      <w:r w:rsidRPr="00575A30">
        <w:rPr>
          <w:kern w:val="22"/>
          <w:lang w:val="fr-FR"/>
        </w:rPr>
        <w:t>a politique de développement, la Finlande cherche à soutenir des projets de coopération dans le domaine du développement visant à réduire la pauvreté dans les pays en développement, en s’appuyant sur la conservation et l’utilisation durable de la biodiversité, et dans le but de préserver et de renforcer les services écosystémiques</w:t>
      </w:r>
      <w:r w:rsidR="00BC6ED9" w:rsidRPr="00575A30">
        <w:rPr>
          <w:kern w:val="22"/>
          <w:lang w:val="fr-FR"/>
        </w:rPr>
        <w:t> ;</w:t>
      </w:r>
    </w:p>
    <w:p w14:paraId="7FC30EA5" w14:textId="77777777" w:rsidR="001356E3" w:rsidRDefault="004904EF" w:rsidP="00F36F85">
      <w:pPr>
        <w:numPr>
          <w:ilvl w:val="0"/>
          <w:numId w:val="17"/>
        </w:numPr>
        <w:spacing w:before="120" w:after="120"/>
        <w:ind w:left="0" w:firstLine="720"/>
        <w:rPr>
          <w:kern w:val="22"/>
          <w:lang w:val="fr-FR"/>
        </w:rPr>
      </w:pPr>
      <w:r w:rsidRPr="00575A30">
        <w:rPr>
          <w:kern w:val="22"/>
          <w:lang w:val="fr-FR"/>
        </w:rPr>
        <w:t>Le</w:t>
      </w:r>
      <w:r w:rsidR="00560F3F" w:rsidRPr="00575A30">
        <w:rPr>
          <w:kern w:val="22"/>
          <w:lang w:val="fr-FR"/>
        </w:rPr>
        <w:t>s</w:t>
      </w:r>
      <w:r w:rsidRPr="00575A30">
        <w:rPr>
          <w:kern w:val="22"/>
          <w:lang w:val="fr-FR"/>
        </w:rPr>
        <w:t xml:space="preserve"> SPANB de l’Ouganda </w:t>
      </w:r>
      <w:r w:rsidR="00560F3F" w:rsidRPr="00575A30">
        <w:rPr>
          <w:kern w:val="22"/>
          <w:lang w:val="fr-FR"/>
        </w:rPr>
        <w:t xml:space="preserve">font </w:t>
      </w:r>
      <w:r w:rsidRPr="00575A30">
        <w:rPr>
          <w:kern w:val="22"/>
          <w:lang w:val="fr-FR"/>
        </w:rPr>
        <w:t>ressortir et cherche</w:t>
      </w:r>
      <w:r w:rsidR="00560F3F" w:rsidRPr="00575A30">
        <w:rPr>
          <w:kern w:val="22"/>
          <w:lang w:val="fr-FR"/>
        </w:rPr>
        <w:t>nt</w:t>
      </w:r>
      <w:r w:rsidRPr="00575A30">
        <w:rPr>
          <w:kern w:val="22"/>
          <w:lang w:val="fr-FR"/>
        </w:rPr>
        <w:t xml:space="preserve"> à maintenir</w:t>
      </w:r>
      <w:r w:rsidR="005C4F53" w:rsidRPr="00575A30">
        <w:rPr>
          <w:kern w:val="22"/>
          <w:lang w:val="fr-FR"/>
        </w:rPr>
        <w:t>,</w:t>
      </w:r>
      <w:r w:rsidRPr="00575A30">
        <w:rPr>
          <w:kern w:val="22"/>
          <w:lang w:val="fr-FR"/>
        </w:rPr>
        <w:t xml:space="preserve"> </w:t>
      </w:r>
      <w:r w:rsidR="005C4F53" w:rsidRPr="00575A30">
        <w:rPr>
          <w:kern w:val="22"/>
          <w:lang w:val="fr-FR"/>
        </w:rPr>
        <w:t xml:space="preserve">comme principe directeur, </w:t>
      </w:r>
      <w:r w:rsidRPr="00575A30">
        <w:rPr>
          <w:kern w:val="22"/>
          <w:lang w:val="fr-FR"/>
        </w:rPr>
        <w:t xml:space="preserve">la contribution de la biodiversité et des services </w:t>
      </w:r>
      <w:r w:rsidRPr="00575A30">
        <w:rPr>
          <w:noProof/>
          <w:kern w:val="22"/>
          <w:lang w:val="fr-FR"/>
        </w:rPr>
        <w:t>écosystémiques au bien</w:t>
      </w:r>
      <w:r w:rsidRPr="00575A30">
        <w:rPr>
          <w:noProof/>
          <w:kern w:val="22"/>
          <w:lang w:val="fr-FR"/>
        </w:rPr>
        <w:noBreakHyphen/>
        <w:t>être</w:t>
      </w:r>
      <w:r w:rsidRPr="00575A30">
        <w:rPr>
          <w:kern w:val="22"/>
          <w:lang w:val="fr-FR"/>
        </w:rPr>
        <w:t xml:space="preserve"> humain, à l’éradication de la pauvreté et au développement national</w:t>
      </w:r>
      <w:r w:rsidR="001356E3">
        <w:rPr>
          <w:kern w:val="22"/>
          <w:lang w:val="fr-FR"/>
        </w:rPr>
        <w:t> ;</w:t>
      </w:r>
    </w:p>
    <w:p w14:paraId="7915DC64" w14:textId="77777777" w:rsidR="004B1BBB" w:rsidRPr="00575A30" w:rsidRDefault="001356E3" w:rsidP="00F36F85">
      <w:pPr>
        <w:numPr>
          <w:ilvl w:val="0"/>
          <w:numId w:val="17"/>
        </w:numPr>
        <w:spacing w:before="120" w:after="120"/>
        <w:ind w:left="0" w:firstLine="720"/>
        <w:rPr>
          <w:kern w:val="22"/>
          <w:lang w:val="fr-FR"/>
        </w:rPr>
      </w:pPr>
      <w:r>
        <w:rPr>
          <w:kern w:val="22"/>
          <w:lang w:val="fr-FR"/>
        </w:rPr>
        <w:t>Un des principes directeurs du SPANB du Soudan du Sud précise que la mise en œuvre doit contribuer à l’éradication de la pauvreté et au développement économique</w:t>
      </w:r>
      <w:r w:rsidR="004904EF" w:rsidRPr="00575A30">
        <w:rPr>
          <w:kern w:val="22"/>
          <w:lang w:val="fr-FR"/>
        </w:rPr>
        <w:t>.</w:t>
      </w:r>
    </w:p>
    <w:p w14:paraId="56B4E814" w14:textId="77777777" w:rsidR="009D15C0" w:rsidRPr="00575A30" w:rsidRDefault="003D0D35" w:rsidP="003D0D35">
      <w:pPr>
        <w:pStyle w:val="Para1"/>
        <w:numPr>
          <w:ilvl w:val="0"/>
          <w:numId w:val="0"/>
        </w:numPr>
        <w:jc w:val="center"/>
        <w:rPr>
          <w:bCs/>
          <w:i/>
          <w:iCs/>
          <w:kern w:val="22"/>
          <w:lang w:val="fr-FR"/>
        </w:rPr>
      </w:pPr>
      <w:r w:rsidRPr="00575A30">
        <w:rPr>
          <w:bCs/>
          <w:i/>
          <w:iCs/>
          <w:kern w:val="22"/>
          <w:lang w:val="fr-FR"/>
        </w:rPr>
        <w:t>5.</w:t>
      </w:r>
      <w:r w:rsidR="005735D0" w:rsidRPr="00575A30">
        <w:rPr>
          <w:bCs/>
          <w:i/>
          <w:iCs/>
          <w:kern w:val="22"/>
          <w:lang w:val="fr-FR"/>
        </w:rPr>
        <w:tab/>
      </w:r>
      <w:r w:rsidR="005C4F53" w:rsidRPr="004E1529">
        <w:rPr>
          <w:bCs/>
          <w:i/>
          <w:iCs/>
          <w:kern w:val="22"/>
          <w:lang w:val="fr-FR"/>
        </w:rPr>
        <w:t>Plans</w:t>
      </w:r>
      <w:r w:rsidR="005C4F53" w:rsidRPr="00575A30">
        <w:rPr>
          <w:bCs/>
          <w:i/>
          <w:iCs/>
          <w:kern w:val="22"/>
          <w:lang w:val="fr-FR"/>
        </w:rPr>
        <w:t xml:space="preserve"> infranationaux</w:t>
      </w:r>
    </w:p>
    <w:p w14:paraId="75383BED" w14:textId="77777777" w:rsidR="006B65CE" w:rsidRPr="00575A30" w:rsidRDefault="0065603C" w:rsidP="00F36F85">
      <w:pPr>
        <w:numPr>
          <w:ilvl w:val="0"/>
          <w:numId w:val="11"/>
        </w:numPr>
        <w:tabs>
          <w:tab w:val="clear" w:pos="540"/>
          <w:tab w:val="num" w:pos="709"/>
        </w:tabs>
        <w:ind w:left="0" w:firstLine="0"/>
        <w:rPr>
          <w:kern w:val="22"/>
          <w:lang w:val="fr-FR"/>
        </w:rPr>
      </w:pPr>
      <w:r>
        <w:rPr>
          <w:kern w:val="22"/>
          <w:lang w:val="fr-FR"/>
        </w:rPr>
        <w:t>Dix</w:t>
      </w:r>
      <w:r w:rsidR="00293AAF" w:rsidRPr="00575A30">
        <w:rPr>
          <w:kern w:val="22"/>
          <w:lang w:val="fr-FR"/>
        </w:rPr>
        <w:t xml:space="preserve"> Parties indiquent dans leurs </w:t>
      </w:r>
      <w:r w:rsidR="00D60374" w:rsidRPr="00575A30">
        <w:rPr>
          <w:kern w:val="22"/>
          <w:lang w:val="fr-FR"/>
        </w:rPr>
        <w:t>SPANB</w:t>
      </w:r>
      <w:r w:rsidR="00AC2CC0" w:rsidRPr="00575A30">
        <w:rPr>
          <w:snapToGrid w:val="0"/>
          <w:kern w:val="22"/>
          <w:szCs w:val="22"/>
          <w:vertAlign w:val="superscript"/>
          <w:lang w:val="fr-FR"/>
        </w:rPr>
        <w:footnoteReference w:id="55"/>
      </w:r>
      <w:r w:rsidR="00D60374" w:rsidRPr="00575A30">
        <w:rPr>
          <w:kern w:val="22"/>
          <w:lang w:val="fr-FR"/>
        </w:rPr>
        <w:t xml:space="preserve"> de </w:t>
      </w:r>
      <w:r w:rsidR="00D60374" w:rsidRPr="00575A30">
        <w:rPr>
          <w:noProof/>
          <w:kern w:val="22"/>
          <w:lang w:val="fr-FR"/>
        </w:rPr>
        <w:t>l’après</w:t>
      </w:r>
      <w:r w:rsidR="00D60374" w:rsidRPr="00575A30">
        <w:rPr>
          <w:noProof/>
          <w:kern w:val="22"/>
          <w:lang w:val="fr-FR"/>
        </w:rPr>
        <w:noBreakHyphen/>
        <w:t>Nagoya</w:t>
      </w:r>
      <w:r w:rsidR="00D60374" w:rsidRPr="00575A30">
        <w:rPr>
          <w:kern w:val="22"/>
          <w:lang w:val="fr-FR"/>
        </w:rPr>
        <w:t xml:space="preserve"> soit </w:t>
      </w:r>
      <w:r w:rsidR="00293AAF" w:rsidRPr="00575A30">
        <w:rPr>
          <w:kern w:val="22"/>
          <w:lang w:val="fr-FR"/>
        </w:rPr>
        <w:t xml:space="preserve">qu’elles sont </w:t>
      </w:r>
      <w:r w:rsidR="00D60374" w:rsidRPr="00575A30">
        <w:rPr>
          <w:kern w:val="22"/>
          <w:lang w:val="fr-FR"/>
        </w:rPr>
        <w:t>déjà doté</w:t>
      </w:r>
      <w:r w:rsidR="00293AAF" w:rsidRPr="00575A30">
        <w:rPr>
          <w:kern w:val="22"/>
          <w:lang w:val="fr-FR"/>
        </w:rPr>
        <w:t>es</w:t>
      </w:r>
      <w:r w:rsidR="00D60374" w:rsidRPr="00575A30">
        <w:rPr>
          <w:kern w:val="22"/>
          <w:lang w:val="fr-FR"/>
        </w:rPr>
        <w:t xml:space="preserve"> de plans infranationaux pour la biodiversité</w:t>
      </w:r>
      <w:r w:rsidR="0007318E" w:rsidRPr="00575A30">
        <w:rPr>
          <w:kern w:val="22"/>
          <w:lang w:val="fr-FR"/>
        </w:rPr>
        <w:t>,</w:t>
      </w:r>
      <w:r w:rsidR="00D60374" w:rsidRPr="00575A30">
        <w:rPr>
          <w:kern w:val="22"/>
          <w:lang w:val="fr-FR"/>
        </w:rPr>
        <w:t xml:space="preserve"> soit </w:t>
      </w:r>
      <w:r w:rsidR="00293AAF" w:rsidRPr="00575A30">
        <w:rPr>
          <w:kern w:val="22"/>
          <w:lang w:val="fr-FR"/>
        </w:rPr>
        <w:t>qu’elles ont entrepris de les mettre au point</w:t>
      </w:r>
      <w:r w:rsidR="00090050" w:rsidRPr="00575A30">
        <w:rPr>
          <w:kern w:val="22"/>
          <w:lang w:val="fr-FR"/>
        </w:rPr>
        <w:t xml:space="preserve"> (voir </w:t>
      </w:r>
      <w:r w:rsidR="003A4CC2" w:rsidRPr="00575A30">
        <w:rPr>
          <w:kern w:val="22"/>
          <w:lang w:val="fr-FR"/>
        </w:rPr>
        <w:t>d</w:t>
      </w:r>
      <w:r w:rsidR="00090050" w:rsidRPr="00575A30">
        <w:rPr>
          <w:kern w:val="22"/>
          <w:lang w:val="fr-FR"/>
        </w:rPr>
        <w:t xml:space="preserve">es </w:t>
      </w:r>
      <w:r w:rsidR="00D60374" w:rsidRPr="00575A30">
        <w:rPr>
          <w:kern w:val="22"/>
          <w:lang w:val="fr-FR"/>
        </w:rPr>
        <w:t>exemple</w:t>
      </w:r>
      <w:r w:rsidR="00090050" w:rsidRPr="00575A30">
        <w:rPr>
          <w:kern w:val="22"/>
          <w:lang w:val="fr-FR"/>
        </w:rPr>
        <w:t xml:space="preserve">s ci-après). </w:t>
      </w:r>
      <w:r w:rsidR="005735D0" w:rsidRPr="00575A30">
        <w:rPr>
          <w:kern w:val="22"/>
          <w:lang w:val="fr-FR"/>
        </w:rPr>
        <w:t>L</w:t>
      </w:r>
      <w:r w:rsidR="00090050" w:rsidRPr="00575A30">
        <w:rPr>
          <w:kern w:val="22"/>
          <w:lang w:val="fr-FR"/>
        </w:rPr>
        <w:t xml:space="preserve">e Secrétariat sait que 19 Parties (dont les six </w:t>
      </w:r>
      <w:r w:rsidR="003A4CC2" w:rsidRPr="00575A30">
        <w:rPr>
          <w:kern w:val="22"/>
          <w:lang w:val="fr-FR"/>
        </w:rPr>
        <w:t>sus</w:t>
      </w:r>
      <w:r w:rsidR="00090050" w:rsidRPr="00575A30">
        <w:rPr>
          <w:kern w:val="22"/>
          <w:lang w:val="fr-FR"/>
        </w:rPr>
        <w:t>mentionnées) disposent au moins d’un plan d’action infranational pour la biodiversité</w:t>
      </w:r>
      <w:r w:rsidR="00090050" w:rsidRPr="00575A30">
        <w:rPr>
          <w:snapToGrid w:val="0"/>
          <w:kern w:val="22"/>
          <w:szCs w:val="22"/>
          <w:vertAlign w:val="superscript"/>
          <w:lang w:val="fr-FR"/>
        </w:rPr>
        <w:footnoteReference w:id="56"/>
      </w:r>
      <w:r w:rsidR="000E3AEB">
        <w:rPr>
          <w:kern w:val="22"/>
          <w:lang w:val="fr-FR"/>
        </w:rPr>
        <w:t> ;</w:t>
      </w:r>
      <w:r w:rsidR="00090050" w:rsidRPr="00575A30">
        <w:rPr>
          <w:kern w:val="22"/>
          <w:lang w:val="fr-FR"/>
        </w:rPr>
        <w:t xml:space="preserve"> ils ne figurent néanmoins pas tous dans les SPANB révisés. On peut trouver des informations </w:t>
      </w:r>
      <w:r w:rsidR="00305B23" w:rsidRPr="00575A30">
        <w:rPr>
          <w:kern w:val="22"/>
          <w:lang w:val="fr-FR"/>
        </w:rPr>
        <w:t>à ce sujet</w:t>
      </w:r>
      <w:r w:rsidR="00090050" w:rsidRPr="00575A30">
        <w:rPr>
          <w:kern w:val="22"/>
          <w:lang w:val="fr-FR"/>
        </w:rPr>
        <w:t xml:space="preserve"> sur le site : </w:t>
      </w:r>
      <w:hyperlink r:id="rId21" w:history="1">
        <w:r w:rsidR="00D24B32" w:rsidRPr="00D24B32">
          <w:rPr>
            <w:rStyle w:val="Hyperlink"/>
            <w:szCs w:val="22"/>
            <w:lang w:val="fr-CA"/>
          </w:rPr>
          <w:t>https://www.cbd.int/nbsap/related-info/sbsap/default.shtml</w:t>
        </w:r>
      </w:hyperlink>
      <w:r w:rsidR="00090050" w:rsidRPr="00575A30">
        <w:rPr>
          <w:snapToGrid w:val="0"/>
          <w:kern w:val="22"/>
          <w:szCs w:val="22"/>
          <w:lang w:val="fr-FR"/>
        </w:rPr>
        <w:t xml:space="preserve">. </w:t>
      </w:r>
      <w:r w:rsidR="00B93EA9">
        <w:rPr>
          <w:snapToGrid w:val="0"/>
          <w:kern w:val="22"/>
          <w:szCs w:val="22"/>
          <w:lang w:val="fr-FR"/>
        </w:rPr>
        <w:t>Onze</w:t>
      </w:r>
      <w:r w:rsidR="005735D0" w:rsidRPr="00575A30">
        <w:rPr>
          <w:snapToGrid w:val="0"/>
          <w:kern w:val="22"/>
          <w:szCs w:val="22"/>
          <w:lang w:val="fr-FR"/>
        </w:rPr>
        <w:t xml:space="preserve"> </w:t>
      </w:r>
      <w:r w:rsidR="00090050" w:rsidRPr="00575A30">
        <w:rPr>
          <w:snapToGrid w:val="0"/>
          <w:kern w:val="22"/>
          <w:szCs w:val="22"/>
          <w:lang w:val="fr-FR"/>
        </w:rPr>
        <w:t>autres Parties</w:t>
      </w:r>
      <w:r w:rsidR="00090050" w:rsidRPr="00575A30">
        <w:rPr>
          <w:rStyle w:val="FootnoteReference"/>
          <w:snapToGrid w:val="0"/>
          <w:kern w:val="22"/>
          <w:szCs w:val="22"/>
          <w:lang w:val="fr-FR"/>
        </w:rPr>
        <w:footnoteReference w:id="57"/>
      </w:r>
      <w:r w:rsidR="00090050" w:rsidRPr="00575A30">
        <w:rPr>
          <w:snapToGrid w:val="0"/>
          <w:kern w:val="22"/>
          <w:szCs w:val="22"/>
          <w:lang w:val="fr-FR"/>
        </w:rPr>
        <w:t xml:space="preserve"> indiquent qu’elles entendent élaborer des </w:t>
      </w:r>
      <w:r w:rsidR="00AD35BA" w:rsidRPr="00575A30">
        <w:rPr>
          <w:snapToGrid w:val="0"/>
          <w:kern w:val="22"/>
          <w:szCs w:val="22"/>
          <w:lang w:val="fr-FR"/>
        </w:rPr>
        <w:t>stratégies</w:t>
      </w:r>
      <w:r w:rsidR="00090050" w:rsidRPr="00575A30">
        <w:rPr>
          <w:snapToGrid w:val="0"/>
          <w:kern w:val="22"/>
          <w:szCs w:val="22"/>
          <w:lang w:val="fr-FR"/>
        </w:rPr>
        <w:t xml:space="preserve"> et des plans d’action infranationaux pour la biodiversité. </w:t>
      </w:r>
    </w:p>
    <w:p w14:paraId="095FEC2F" w14:textId="77777777" w:rsidR="00507A17" w:rsidRPr="00575A30" w:rsidRDefault="00B93EA9" w:rsidP="00F36F85">
      <w:pPr>
        <w:pStyle w:val="Para1"/>
        <w:numPr>
          <w:ilvl w:val="1"/>
          <w:numId w:val="14"/>
        </w:numPr>
        <w:tabs>
          <w:tab w:val="num" w:pos="709"/>
        </w:tabs>
        <w:autoSpaceDE w:val="0"/>
        <w:autoSpaceDN w:val="0"/>
        <w:adjustRightInd w:val="0"/>
        <w:ind w:left="0" w:firstLine="630"/>
        <w:rPr>
          <w:kern w:val="22"/>
          <w:lang w:val="fr-FR"/>
        </w:rPr>
      </w:pPr>
      <w:r>
        <w:rPr>
          <w:kern w:val="22"/>
          <w:lang w:val="fr-FR"/>
        </w:rPr>
        <w:t xml:space="preserve">L’Irlande a soit mis au point ou élaboré l’ébauche de 26 plans d’action locaux pour la diversité biologique. Certains de ces plans sont en voie d’être révisés et d’autres plans locaux seront </w:t>
      </w:r>
      <w:r w:rsidR="001F1F47">
        <w:rPr>
          <w:kern w:val="22"/>
          <w:lang w:val="fr-FR"/>
        </w:rPr>
        <w:t>élaborés</w:t>
      </w:r>
      <w:r>
        <w:rPr>
          <w:kern w:val="22"/>
          <w:lang w:val="fr-FR"/>
        </w:rPr>
        <w:t> ;</w:t>
      </w:r>
      <w:r w:rsidR="00507A17" w:rsidRPr="00575A30">
        <w:rPr>
          <w:kern w:val="22"/>
          <w:lang w:val="fr-FR"/>
        </w:rPr>
        <w:t xml:space="preserve"> </w:t>
      </w:r>
    </w:p>
    <w:p w14:paraId="3FF48EEE" w14:textId="77777777" w:rsidR="00B93EA9" w:rsidRDefault="00B93EA9" w:rsidP="00F36F85">
      <w:pPr>
        <w:pStyle w:val="Para1"/>
        <w:numPr>
          <w:ilvl w:val="1"/>
          <w:numId w:val="14"/>
        </w:numPr>
        <w:tabs>
          <w:tab w:val="num" w:pos="709"/>
        </w:tabs>
        <w:autoSpaceDE w:val="0"/>
        <w:autoSpaceDN w:val="0"/>
        <w:adjustRightInd w:val="0"/>
        <w:ind w:left="0" w:firstLine="630"/>
        <w:rPr>
          <w:kern w:val="22"/>
          <w:lang w:val="fr-FR"/>
        </w:rPr>
      </w:pPr>
      <w:r>
        <w:rPr>
          <w:kern w:val="22"/>
          <w:lang w:val="fr-FR"/>
        </w:rPr>
        <w:lastRenderedPageBreak/>
        <w:t xml:space="preserve">Le Mexique </w:t>
      </w:r>
      <w:r w:rsidR="00273F95">
        <w:rPr>
          <w:kern w:val="22"/>
          <w:lang w:val="fr-FR"/>
        </w:rPr>
        <w:t>a encouragé</w:t>
      </w:r>
      <w:r w:rsidR="00A16190">
        <w:rPr>
          <w:kern w:val="22"/>
          <w:lang w:val="fr-FR"/>
        </w:rPr>
        <w:t xml:space="preserve"> la décentralisati</w:t>
      </w:r>
      <w:r>
        <w:rPr>
          <w:kern w:val="22"/>
          <w:lang w:val="fr-FR"/>
        </w:rPr>
        <w:t>on de la planification et de la gestion</w:t>
      </w:r>
      <w:r w:rsidR="00A16190">
        <w:rPr>
          <w:kern w:val="22"/>
          <w:lang w:val="fr-FR"/>
        </w:rPr>
        <w:t xml:space="preserve"> de la diversité biologique </w:t>
      </w:r>
      <w:r w:rsidR="00273F95">
        <w:rPr>
          <w:kern w:val="22"/>
          <w:lang w:val="fr-FR"/>
        </w:rPr>
        <w:t xml:space="preserve">en élaborant et en mettant en œuvre </w:t>
      </w:r>
      <w:r w:rsidR="00A16190">
        <w:rPr>
          <w:kern w:val="22"/>
          <w:lang w:val="fr-FR"/>
        </w:rPr>
        <w:t>12 stratégies d’</w:t>
      </w:r>
      <w:r w:rsidR="00273F95">
        <w:rPr>
          <w:kern w:val="22"/>
          <w:lang w:val="fr-FR"/>
        </w:rPr>
        <w:t>É</w:t>
      </w:r>
      <w:r w:rsidR="00A16190">
        <w:rPr>
          <w:kern w:val="22"/>
          <w:lang w:val="fr-FR"/>
        </w:rPr>
        <w:t xml:space="preserve">tat pour la conservation et </w:t>
      </w:r>
      <w:r w:rsidR="00273F95">
        <w:rPr>
          <w:kern w:val="22"/>
          <w:lang w:val="fr-FR"/>
        </w:rPr>
        <w:t xml:space="preserve">l’utilisation </w:t>
      </w:r>
      <w:r w:rsidR="00A16190">
        <w:rPr>
          <w:kern w:val="22"/>
          <w:lang w:val="fr-FR"/>
        </w:rPr>
        <w:t>durable de</w:t>
      </w:r>
      <w:r w:rsidR="00273F95">
        <w:rPr>
          <w:kern w:val="22"/>
          <w:lang w:val="fr-FR"/>
        </w:rPr>
        <w:t xml:space="preserve"> </w:t>
      </w:r>
      <w:r w:rsidR="00A16190">
        <w:rPr>
          <w:kern w:val="22"/>
          <w:lang w:val="fr-FR"/>
        </w:rPr>
        <w:t>la diversité biologique. D’autres stratégies d’État sont en voie</w:t>
      </w:r>
      <w:r w:rsidR="00273F95">
        <w:rPr>
          <w:kern w:val="22"/>
          <w:lang w:val="fr-FR"/>
        </w:rPr>
        <w:t xml:space="preserve"> d’être préparées ;</w:t>
      </w:r>
    </w:p>
    <w:p w14:paraId="241C21B8" w14:textId="77777777" w:rsidR="00745685" w:rsidRPr="00575A30" w:rsidRDefault="008521AF" w:rsidP="00F36F85">
      <w:pPr>
        <w:pStyle w:val="Para1"/>
        <w:numPr>
          <w:ilvl w:val="1"/>
          <w:numId w:val="14"/>
        </w:numPr>
        <w:tabs>
          <w:tab w:val="num" w:pos="709"/>
        </w:tabs>
        <w:autoSpaceDE w:val="0"/>
        <w:autoSpaceDN w:val="0"/>
        <w:adjustRightInd w:val="0"/>
        <w:ind w:left="0" w:firstLine="630"/>
        <w:rPr>
          <w:kern w:val="22"/>
          <w:lang w:val="fr-FR"/>
        </w:rPr>
      </w:pPr>
      <w:r w:rsidRPr="00575A30">
        <w:rPr>
          <w:kern w:val="22"/>
          <w:lang w:val="fr-FR"/>
        </w:rPr>
        <w:t xml:space="preserve">Au Malawi, le </w:t>
      </w:r>
      <w:r w:rsidR="00305B23" w:rsidRPr="00575A30">
        <w:rPr>
          <w:kern w:val="22"/>
          <w:lang w:val="fr-FR"/>
        </w:rPr>
        <w:t>c</w:t>
      </w:r>
      <w:r w:rsidRPr="00575A30">
        <w:rPr>
          <w:kern w:val="22"/>
          <w:lang w:val="fr-FR"/>
        </w:rPr>
        <w:t>onseil municipal de Lilongwe met en œuvre une stratégie et un plan d’action locaux pour la biodiversité qui mettent en valeur des espèces et des habitats qu’il convient particulièrement de protéger, tout en tenant compte des corrélations possibles entre la biodiversité et le développement et les activités de développement de la ville. L’élaboration de stratégies et plans d’action locaux pour la biodiversité est également un objectif national pour le Malawi.</w:t>
      </w:r>
    </w:p>
    <w:p w14:paraId="664660D7" w14:textId="77777777" w:rsidR="006B65CE" w:rsidRPr="00575A30" w:rsidRDefault="00D82D8D" w:rsidP="00F36F85">
      <w:pPr>
        <w:numPr>
          <w:ilvl w:val="0"/>
          <w:numId w:val="11"/>
        </w:numPr>
        <w:tabs>
          <w:tab w:val="clear" w:pos="540"/>
          <w:tab w:val="num" w:pos="709"/>
        </w:tabs>
        <w:spacing w:before="240" w:after="120"/>
        <w:ind w:left="0" w:firstLine="0"/>
        <w:rPr>
          <w:kern w:val="22"/>
          <w:lang w:val="fr-FR"/>
        </w:rPr>
      </w:pPr>
      <w:r w:rsidRPr="00575A30">
        <w:rPr>
          <w:kern w:val="22"/>
          <w:lang w:val="fr-FR"/>
        </w:rPr>
        <w:t xml:space="preserve">Plusieurs autorités nationales et/ou infranationales ont élaboré des orientations </w:t>
      </w:r>
      <w:r w:rsidR="006C6702" w:rsidRPr="00575A30">
        <w:rPr>
          <w:kern w:val="22"/>
          <w:lang w:val="fr-FR"/>
        </w:rPr>
        <w:t xml:space="preserve">pour aider les </w:t>
      </w:r>
      <w:r w:rsidRPr="00575A30">
        <w:rPr>
          <w:kern w:val="22"/>
          <w:lang w:val="fr-FR"/>
        </w:rPr>
        <w:t xml:space="preserve">autorités infranationales </w:t>
      </w:r>
      <w:r w:rsidR="006C6702" w:rsidRPr="00575A30">
        <w:rPr>
          <w:kern w:val="22"/>
          <w:lang w:val="fr-FR"/>
        </w:rPr>
        <w:t xml:space="preserve">dans </w:t>
      </w:r>
      <w:r w:rsidRPr="00575A30">
        <w:rPr>
          <w:kern w:val="22"/>
          <w:lang w:val="fr-FR"/>
        </w:rPr>
        <w:t>l’élabor</w:t>
      </w:r>
      <w:r w:rsidR="00A07F7D" w:rsidRPr="00575A30">
        <w:rPr>
          <w:kern w:val="22"/>
          <w:lang w:val="fr-FR"/>
        </w:rPr>
        <w:t>ation et/ou la mise en œuvre de</w:t>
      </w:r>
      <w:r w:rsidRPr="00575A30">
        <w:rPr>
          <w:kern w:val="22"/>
          <w:lang w:val="fr-FR"/>
        </w:rPr>
        <w:t xml:space="preserve"> plans pour la biodiversité.</w:t>
      </w:r>
    </w:p>
    <w:p w14:paraId="34FDFF82" w14:textId="77777777" w:rsidR="009D15C0" w:rsidRPr="00575A30" w:rsidRDefault="003A4CC2" w:rsidP="00F36F85">
      <w:pPr>
        <w:numPr>
          <w:ilvl w:val="0"/>
          <w:numId w:val="11"/>
        </w:numPr>
        <w:tabs>
          <w:tab w:val="clear" w:pos="540"/>
          <w:tab w:val="num" w:pos="709"/>
        </w:tabs>
        <w:spacing w:before="240" w:after="120"/>
        <w:ind w:left="0" w:firstLine="0"/>
        <w:rPr>
          <w:kern w:val="22"/>
          <w:lang w:val="fr-FR"/>
        </w:rPr>
      </w:pPr>
      <w:r w:rsidRPr="00575A30">
        <w:rPr>
          <w:kern w:val="22"/>
          <w:lang w:val="fr-FR"/>
        </w:rPr>
        <w:t xml:space="preserve">Au total, </w:t>
      </w:r>
      <w:r w:rsidR="009E6EFC">
        <w:rPr>
          <w:kern w:val="22"/>
          <w:lang w:val="fr-FR"/>
        </w:rPr>
        <w:t>26</w:t>
      </w:r>
      <w:r w:rsidR="005735D0" w:rsidRPr="00575A30">
        <w:rPr>
          <w:kern w:val="22"/>
          <w:lang w:val="fr-FR"/>
        </w:rPr>
        <w:t xml:space="preserve"> </w:t>
      </w:r>
      <w:r w:rsidR="004820B3" w:rsidRPr="00575A30">
        <w:rPr>
          <w:kern w:val="22"/>
          <w:lang w:val="fr-FR"/>
        </w:rPr>
        <w:t>autres SPANB</w:t>
      </w:r>
      <w:r w:rsidR="00A85F8C" w:rsidRPr="00575A30">
        <w:rPr>
          <w:snapToGrid w:val="0"/>
          <w:kern w:val="22"/>
          <w:szCs w:val="22"/>
          <w:vertAlign w:val="superscript"/>
          <w:lang w:val="fr-FR"/>
        </w:rPr>
        <w:footnoteReference w:id="58"/>
      </w:r>
      <w:r w:rsidR="004820B3" w:rsidRPr="00575A30">
        <w:rPr>
          <w:kern w:val="22"/>
          <w:lang w:val="fr-FR"/>
        </w:rPr>
        <w:t xml:space="preserve"> contiennent des éléments</w:t>
      </w:r>
      <w:r w:rsidR="006C6702" w:rsidRPr="00575A30">
        <w:rPr>
          <w:kern w:val="22"/>
          <w:lang w:val="fr-FR"/>
        </w:rPr>
        <w:t xml:space="preserve">, </w:t>
      </w:r>
      <w:r w:rsidR="004820B3" w:rsidRPr="00575A30">
        <w:rPr>
          <w:kern w:val="22"/>
          <w:lang w:val="fr-FR"/>
        </w:rPr>
        <w:t xml:space="preserve">mesures </w:t>
      </w:r>
      <w:r w:rsidR="006C6702" w:rsidRPr="00575A30">
        <w:rPr>
          <w:kern w:val="22"/>
          <w:lang w:val="fr-FR"/>
        </w:rPr>
        <w:t xml:space="preserve">ou cibles </w:t>
      </w:r>
      <w:r w:rsidR="004820B3" w:rsidRPr="00575A30">
        <w:rPr>
          <w:kern w:val="22"/>
          <w:lang w:val="fr-FR"/>
        </w:rPr>
        <w:t xml:space="preserve">qui visent à </w:t>
      </w:r>
      <w:r w:rsidR="006C6702" w:rsidRPr="00575A30">
        <w:rPr>
          <w:kern w:val="22"/>
          <w:lang w:val="fr-FR"/>
        </w:rPr>
        <w:t xml:space="preserve">prendre en compte </w:t>
      </w:r>
      <w:r w:rsidR="004820B3" w:rsidRPr="00575A30">
        <w:rPr>
          <w:kern w:val="22"/>
          <w:lang w:val="fr-FR"/>
        </w:rPr>
        <w:t>la biodiversité dans les plans infranationaux :</w:t>
      </w:r>
    </w:p>
    <w:p w14:paraId="0F3FEB2E" w14:textId="77777777" w:rsidR="006F22EF" w:rsidRPr="00575A30" w:rsidRDefault="004820B3" w:rsidP="00F36F85">
      <w:pPr>
        <w:pStyle w:val="Para1"/>
        <w:numPr>
          <w:ilvl w:val="1"/>
          <w:numId w:val="15"/>
        </w:numPr>
        <w:tabs>
          <w:tab w:val="num" w:pos="709"/>
        </w:tabs>
        <w:autoSpaceDE w:val="0"/>
        <w:autoSpaceDN w:val="0"/>
        <w:adjustRightInd w:val="0"/>
        <w:ind w:left="0" w:firstLine="630"/>
        <w:rPr>
          <w:kern w:val="22"/>
          <w:szCs w:val="22"/>
          <w:lang w:val="fr-FR"/>
        </w:rPr>
      </w:pPr>
      <w:r w:rsidRPr="00575A30">
        <w:rPr>
          <w:kern w:val="22"/>
          <w:lang w:val="fr-FR"/>
        </w:rPr>
        <w:t>En Australie et en Belgique, il est prévu</w:t>
      </w:r>
      <w:r w:rsidR="00826D20" w:rsidRPr="00575A30">
        <w:rPr>
          <w:kern w:val="22"/>
          <w:lang w:val="fr-FR"/>
        </w:rPr>
        <w:t xml:space="preserve"> </w:t>
      </w:r>
      <w:r w:rsidR="009D00BF" w:rsidRPr="00575A30">
        <w:rPr>
          <w:kern w:val="22"/>
          <w:lang w:val="fr-FR"/>
        </w:rPr>
        <w:t xml:space="preserve">d’examiner et de </w:t>
      </w:r>
      <w:r w:rsidR="00826D20" w:rsidRPr="00575A30">
        <w:rPr>
          <w:kern w:val="22"/>
          <w:lang w:val="fr-FR"/>
        </w:rPr>
        <w:t xml:space="preserve">prendre en </w:t>
      </w:r>
      <w:r w:rsidR="009D00BF" w:rsidRPr="00575A30">
        <w:rPr>
          <w:kern w:val="22"/>
          <w:lang w:val="fr-FR"/>
        </w:rPr>
        <w:t xml:space="preserve">compte </w:t>
      </w:r>
      <w:r w:rsidRPr="00575A30">
        <w:rPr>
          <w:kern w:val="22"/>
          <w:lang w:val="fr-FR"/>
        </w:rPr>
        <w:t xml:space="preserve">les mesures </w:t>
      </w:r>
      <w:r w:rsidR="00826D20" w:rsidRPr="00575A30">
        <w:rPr>
          <w:kern w:val="22"/>
          <w:lang w:val="fr-FR"/>
        </w:rPr>
        <w:t xml:space="preserve">des </w:t>
      </w:r>
      <w:r w:rsidRPr="00575A30">
        <w:rPr>
          <w:kern w:val="22"/>
          <w:lang w:val="fr-FR"/>
        </w:rPr>
        <w:t>SPANB conjointement avec les plans</w:t>
      </w:r>
      <w:r w:rsidR="00826D20" w:rsidRPr="00575A30">
        <w:rPr>
          <w:kern w:val="22"/>
          <w:lang w:val="fr-FR"/>
        </w:rPr>
        <w:t xml:space="preserve"> et </w:t>
      </w:r>
      <w:r w:rsidRPr="00575A30">
        <w:rPr>
          <w:kern w:val="22"/>
          <w:lang w:val="fr-FR"/>
        </w:rPr>
        <w:t xml:space="preserve">documents régionaux, </w:t>
      </w:r>
      <w:r w:rsidR="009D00BF" w:rsidRPr="00575A30">
        <w:rPr>
          <w:kern w:val="22"/>
          <w:lang w:val="fr-FR"/>
        </w:rPr>
        <w:t xml:space="preserve">nationaux </w:t>
      </w:r>
      <w:r w:rsidRPr="00575A30">
        <w:rPr>
          <w:kern w:val="22"/>
          <w:lang w:val="fr-FR"/>
        </w:rPr>
        <w:t>et territoriaux</w:t>
      </w:r>
      <w:r w:rsidR="00BC6ED9" w:rsidRPr="00575A30">
        <w:rPr>
          <w:kern w:val="22"/>
          <w:lang w:val="fr-FR"/>
        </w:rPr>
        <w:t> ;</w:t>
      </w:r>
    </w:p>
    <w:p w14:paraId="222E0C18" w14:textId="77777777" w:rsidR="005C6FCC" w:rsidRPr="00575A30" w:rsidRDefault="005C6FCC" w:rsidP="00F36F85">
      <w:pPr>
        <w:pStyle w:val="Para1"/>
        <w:numPr>
          <w:ilvl w:val="1"/>
          <w:numId w:val="15"/>
        </w:numPr>
        <w:tabs>
          <w:tab w:val="num" w:pos="709"/>
        </w:tabs>
        <w:autoSpaceDE w:val="0"/>
        <w:autoSpaceDN w:val="0"/>
        <w:adjustRightInd w:val="0"/>
        <w:ind w:left="0" w:firstLine="630"/>
        <w:rPr>
          <w:kern w:val="22"/>
          <w:lang w:val="fr-FR"/>
        </w:rPr>
      </w:pPr>
      <w:r w:rsidRPr="00575A30">
        <w:rPr>
          <w:kern w:val="22"/>
          <w:lang w:val="fr-FR"/>
        </w:rPr>
        <w:t xml:space="preserve">Burundi – objectif 18, mesure 2 </w:t>
      </w:r>
      <w:r w:rsidR="00A34A4F" w:rsidRPr="00575A30">
        <w:rPr>
          <w:kern w:val="22"/>
          <w:lang w:val="fr-FR"/>
        </w:rPr>
        <w:t xml:space="preserve">: </w:t>
      </w:r>
      <w:r w:rsidRPr="00575A30">
        <w:rPr>
          <w:kern w:val="22"/>
          <w:lang w:val="fr-FR"/>
        </w:rPr>
        <w:t xml:space="preserve">Élaborer des plans </w:t>
      </w:r>
      <w:r w:rsidRPr="00575A30">
        <w:rPr>
          <w:noProof/>
          <w:kern w:val="22"/>
          <w:lang w:val="fr-FR"/>
        </w:rPr>
        <w:t>éco</w:t>
      </w:r>
      <w:r w:rsidRPr="00575A30">
        <w:rPr>
          <w:noProof/>
          <w:kern w:val="22"/>
          <w:lang w:val="fr-FR"/>
        </w:rPr>
        <w:noBreakHyphen/>
        <w:t>régionaux</w:t>
      </w:r>
      <w:r w:rsidRPr="00575A30">
        <w:rPr>
          <w:kern w:val="22"/>
          <w:lang w:val="fr-FR"/>
        </w:rPr>
        <w:t xml:space="preserve"> (locaux) pour la mise en œuvre </w:t>
      </w:r>
      <w:r w:rsidR="00560F3F" w:rsidRPr="00575A30">
        <w:rPr>
          <w:kern w:val="22"/>
          <w:lang w:val="fr-FR"/>
        </w:rPr>
        <w:t xml:space="preserve">de la </w:t>
      </w:r>
      <w:r w:rsidRPr="00575A30">
        <w:rPr>
          <w:kern w:val="22"/>
          <w:lang w:val="fr-FR"/>
        </w:rPr>
        <w:t xml:space="preserve">Stratégie et </w:t>
      </w:r>
      <w:r w:rsidR="00560F3F" w:rsidRPr="00575A30">
        <w:rPr>
          <w:kern w:val="22"/>
          <w:lang w:val="fr-FR"/>
        </w:rPr>
        <w:t xml:space="preserve">du </w:t>
      </w:r>
      <w:r w:rsidRPr="00575A30">
        <w:rPr>
          <w:kern w:val="22"/>
          <w:lang w:val="fr-FR"/>
        </w:rPr>
        <w:t>plan d’action nationa</w:t>
      </w:r>
      <w:r w:rsidR="00884FBC" w:rsidRPr="00575A30">
        <w:rPr>
          <w:kern w:val="22"/>
          <w:lang w:val="fr-FR"/>
        </w:rPr>
        <w:t>ux</w:t>
      </w:r>
      <w:r w:rsidRPr="00575A30">
        <w:rPr>
          <w:kern w:val="22"/>
          <w:lang w:val="fr-FR"/>
        </w:rPr>
        <w:t xml:space="preserve"> pour la </w:t>
      </w:r>
      <w:r w:rsidR="003A4CC2" w:rsidRPr="00575A30">
        <w:rPr>
          <w:kern w:val="22"/>
          <w:lang w:val="fr-FR"/>
        </w:rPr>
        <w:t xml:space="preserve">biodiversité. </w:t>
      </w:r>
      <w:r w:rsidRPr="00575A30">
        <w:rPr>
          <w:kern w:val="22"/>
          <w:lang w:val="fr-FR"/>
        </w:rPr>
        <w:t>Cette mesure propose également que ces plans locaux de mise en œuvre soient intégrés aux plans de développement communautaire</w:t>
      </w:r>
      <w:r w:rsidR="00BC6ED9" w:rsidRPr="00575A30">
        <w:rPr>
          <w:kern w:val="22"/>
          <w:lang w:val="fr-FR"/>
        </w:rPr>
        <w:t xml:space="preserve"> ;</w:t>
      </w:r>
    </w:p>
    <w:p w14:paraId="5B92BA07" w14:textId="77777777" w:rsidR="005C6FCC" w:rsidRPr="00575A30" w:rsidRDefault="005C6FCC" w:rsidP="00F36F85">
      <w:pPr>
        <w:pStyle w:val="Para1"/>
        <w:numPr>
          <w:ilvl w:val="1"/>
          <w:numId w:val="15"/>
        </w:numPr>
        <w:autoSpaceDE w:val="0"/>
        <w:autoSpaceDN w:val="0"/>
        <w:adjustRightInd w:val="0"/>
        <w:ind w:left="0" w:firstLine="630"/>
        <w:rPr>
          <w:kern w:val="22"/>
          <w:szCs w:val="22"/>
          <w:lang w:val="fr-FR"/>
        </w:rPr>
      </w:pPr>
      <w:r w:rsidRPr="00575A30">
        <w:rPr>
          <w:kern w:val="22"/>
          <w:lang w:val="fr-FR"/>
        </w:rPr>
        <w:t xml:space="preserve">Cameroun – objectif 18 </w:t>
      </w:r>
      <w:r w:rsidR="00884FBC" w:rsidRPr="00575A30">
        <w:rPr>
          <w:kern w:val="22"/>
          <w:lang w:val="fr-FR"/>
        </w:rPr>
        <w:t>:</w:t>
      </w:r>
      <w:r w:rsidR="00884FBC" w:rsidRPr="00575A30" w:rsidDel="00884FBC">
        <w:rPr>
          <w:kern w:val="22"/>
          <w:lang w:val="fr-FR"/>
        </w:rPr>
        <w:t xml:space="preserve"> </w:t>
      </w:r>
      <w:r w:rsidR="009E6EFC">
        <w:rPr>
          <w:kern w:val="22"/>
          <w:lang w:val="fr-FR"/>
        </w:rPr>
        <w:t>« </w:t>
      </w:r>
      <w:r w:rsidRPr="00575A30">
        <w:rPr>
          <w:kern w:val="22"/>
          <w:lang w:val="fr-FR"/>
        </w:rPr>
        <w:t>D’ici à 2020, les principaux secteurs de production et les autorités locales décentralisées devraient avoir élaboré des objectifs relatifs à la biodiversité spécifiques pour chaque secteur ou région,</w:t>
      </w:r>
      <w:r w:rsidR="002F6F28" w:rsidRPr="00575A30">
        <w:rPr>
          <w:kern w:val="22"/>
          <w:lang w:val="fr-FR"/>
        </w:rPr>
        <w:t xml:space="preserve"> liés aux objectifs nationaux</w:t>
      </w:r>
      <w:r w:rsidR="009E6EFC">
        <w:rPr>
          <w:kern w:val="22"/>
          <w:lang w:val="fr-FR"/>
        </w:rPr>
        <w:t> »</w:t>
      </w:r>
      <w:r w:rsidR="002F6F28" w:rsidRPr="00575A30">
        <w:rPr>
          <w:kern w:val="22"/>
          <w:lang w:val="fr-FR"/>
        </w:rPr>
        <w:t> </w:t>
      </w:r>
      <w:r w:rsidR="00BC6ED9" w:rsidRPr="00575A30">
        <w:rPr>
          <w:kern w:val="22"/>
          <w:lang w:val="fr-FR"/>
        </w:rPr>
        <w:t>;</w:t>
      </w:r>
    </w:p>
    <w:p w14:paraId="26F7790F" w14:textId="77777777" w:rsidR="009E6EFC" w:rsidRDefault="00DB46DE" w:rsidP="00F36F85">
      <w:pPr>
        <w:pStyle w:val="Para1"/>
        <w:numPr>
          <w:ilvl w:val="1"/>
          <w:numId w:val="15"/>
        </w:numPr>
        <w:autoSpaceDE w:val="0"/>
        <w:autoSpaceDN w:val="0"/>
        <w:adjustRightInd w:val="0"/>
        <w:ind w:left="0" w:firstLine="630"/>
        <w:rPr>
          <w:kern w:val="22"/>
          <w:lang w:val="fr-FR"/>
        </w:rPr>
      </w:pPr>
      <w:r w:rsidRPr="00575A30">
        <w:rPr>
          <w:kern w:val="22"/>
          <w:lang w:val="fr-FR"/>
        </w:rPr>
        <w:t xml:space="preserve">La République de Corée a élaboré des orientations pour la planification de stratégies </w:t>
      </w:r>
      <w:r w:rsidR="002F6F28" w:rsidRPr="00575A30">
        <w:rPr>
          <w:kern w:val="22"/>
          <w:lang w:val="fr-FR"/>
        </w:rPr>
        <w:t xml:space="preserve">locales </w:t>
      </w:r>
      <w:r w:rsidRPr="00575A30">
        <w:rPr>
          <w:kern w:val="22"/>
          <w:lang w:val="fr-FR"/>
        </w:rPr>
        <w:t>pour la biodiversité, et est en train d’établir une base juridique</w:t>
      </w:r>
      <w:r w:rsidR="00C474F6" w:rsidRPr="00575A30">
        <w:rPr>
          <w:kern w:val="22"/>
          <w:lang w:val="fr-FR"/>
        </w:rPr>
        <w:t xml:space="preserve"> pour que les métropoles/provinces </w:t>
      </w:r>
      <w:r w:rsidR="00305B23" w:rsidRPr="00575A30">
        <w:rPr>
          <w:kern w:val="22"/>
          <w:lang w:val="fr-FR"/>
        </w:rPr>
        <w:t>mettent</w:t>
      </w:r>
      <w:r w:rsidR="00C474F6" w:rsidRPr="00575A30">
        <w:rPr>
          <w:kern w:val="22"/>
          <w:lang w:val="fr-FR"/>
        </w:rPr>
        <w:t xml:space="preserve"> en place des stratégies pour la biodiversité dans </w:t>
      </w:r>
      <w:r w:rsidR="00B362AE" w:rsidRPr="00575A30">
        <w:rPr>
          <w:kern w:val="22"/>
          <w:lang w:val="fr-FR"/>
        </w:rPr>
        <w:t xml:space="preserve">le cadre de </w:t>
      </w:r>
      <w:r w:rsidR="00C474F6" w:rsidRPr="00575A30">
        <w:rPr>
          <w:kern w:val="22"/>
          <w:lang w:val="fr-FR"/>
        </w:rPr>
        <w:t xml:space="preserve">la </w:t>
      </w:r>
      <w:r w:rsidR="00C474F6" w:rsidRPr="006333A8">
        <w:rPr>
          <w:kern w:val="22"/>
          <w:lang w:val="fr-FR"/>
        </w:rPr>
        <w:t>Loi sur la conservation et l’utilisation de la diversité biologique</w:t>
      </w:r>
      <w:r w:rsidR="009E6EFC">
        <w:rPr>
          <w:kern w:val="22"/>
          <w:lang w:val="fr-FR"/>
        </w:rPr>
        <w:t> ;</w:t>
      </w:r>
    </w:p>
    <w:p w14:paraId="7EEBF81B" w14:textId="77777777" w:rsidR="009E6EFC" w:rsidRDefault="009E6EFC" w:rsidP="00F36F85">
      <w:pPr>
        <w:pStyle w:val="Para1"/>
        <w:numPr>
          <w:ilvl w:val="1"/>
          <w:numId w:val="15"/>
        </w:numPr>
        <w:autoSpaceDE w:val="0"/>
        <w:autoSpaceDN w:val="0"/>
        <w:adjustRightInd w:val="0"/>
        <w:ind w:left="0" w:firstLine="630"/>
        <w:rPr>
          <w:kern w:val="22"/>
          <w:lang w:val="fr-FR"/>
        </w:rPr>
      </w:pPr>
      <w:r>
        <w:rPr>
          <w:kern w:val="22"/>
          <w:lang w:val="fr-FR"/>
        </w:rPr>
        <w:t>Chaque État des États fédérés de Micronésie a son propre plan stratégique de développement, qui intègre la biodiversité ;</w:t>
      </w:r>
    </w:p>
    <w:p w14:paraId="3D9A24D6" w14:textId="77777777" w:rsidR="00E834D1" w:rsidRDefault="00E834D1" w:rsidP="00F36F85">
      <w:pPr>
        <w:pStyle w:val="Para1"/>
        <w:numPr>
          <w:ilvl w:val="1"/>
          <w:numId w:val="15"/>
        </w:numPr>
        <w:autoSpaceDE w:val="0"/>
        <w:autoSpaceDN w:val="0"/>
        <w:adjustRightInd w:val="0"/>
        <w:ind w:left="0" w:firstLine="630"/>
        <w:rPr>
          <w:kern w:val="22"/>
          <w:lang w:val="fr-FR"/>
        </w:rPr>
      </w:pPr>
      <w:r>
        <w:rPr>
          <w:kern w:val="22"/>
          <w:lang w:val="fr-FR"/>
        </w:rPr>
        <w:t>La Macédoine du Nord prévoit prendre des mesures pour intégrer graduellement les valeurs de la biodiversité aux plans de développement locaux ;</w:t>
      </w:r>
    </w:p>
    <w:p w14:paraId="5D83F77D" w14:textId="77777777" w:rsidR="006F22EF" w:rsidRPr="00575A30" w:rsidRDefault="00E834D1" w:rsidP="00F36F85">
      <w:pPr>
        <w:pStyle w:val="Para1"/>
        <w:numPr>
          <w:ilvl w:val="1"/>
          <w:numId w:val="15"/>
        </w:numPr>
        <w:autoSpaceDE w:val="0"/>
        <w:autoSpaceDN w:val="0"/>
        <w:adjustRightInd w:val="0"/>
        <w:ind w:left="0" w:firstLine="630"/>
        <w:rPr>
          <w:kern w:val="22"/>
          <w:lang w:val="fr-FR"/>
        </w:rPr>
      </w:pPr>
      <w:r>
        <w:rPr>
          <w:kern w:val="22"/>
          <w:lang w:val="fr-FR"/>
        </w:rPr>
        <w:t>Le Soudan du Sud prévoit intégrer les valeurs de la diversité biologique à ses plans de développement des États et des cantons.</w:t>
      </w:r>
      <w:r w:rsidR="00C474F6" w:rsidRPr="00575A30">
        <w:rPr>
          <w:kern w:val="22"/>
          <w:lang w:val="fr-FR"/>
        </w:rPr>
        <w:t xml:space="preserve"> </w:t>
      </w:r>
    </w:p>
    <w:p w14:paraId="2ABA56C5" w14:textId="77777777" w:rsidR="007C139B" w:rsidRPr="00575A30" w:rsidRDefault="003D0D35" w:rsidP="003D0D35">
      <w:pPr>
        <w:pStyle w:val="Para1"/>
        <w:numPr>
          <w:ilvl w:val="0"/>
          <w:numId w:val="0"/>
        </w:numPr>
        <w:jc w:val="center"/>
        <w:rPr>
          <w:b/>
          <w:kern w:val="22"/>
          <w:lang w:val="fr-FR"/>
        </w:rPr>
      </w:pPr>
      <w:r w:rsidRPr="00575A30">
        <w:rPr>
          <w:bCs/>
          <w:i/>
          <w:iCs/>
          <w:kern w:val="22"/>
          <w:lang w:val="fr-FR"/>
        </w:rPr>
        <w:t>6.</w:t>
      </w:r>
      <w:r w:rsidR="005735D0" w:rsidRPr="00575A30">
        <w:rPr>
          <w:bCs/>
          <w:i/>
          <w:iCs/>
          <w:kern w:val="22"/>
          <w:lang w:val="fr-FR"/>
        </w:rPr>
        <w:tab/>
      </w:r>
      <w:r w:rsidR="001C3D87" w:rsidRPr="00B76094">
        <w:rPr>
          <w:bCs/>
          <w:i/>
          <w:iCs/>
          <w:kern w:val="22"/>
          <w:lang w:val="fr-FR"/>
        </w:rPr>
        <w:t>Problématique</w:t>
      </w:r>
      <w:r w:rsidR="001C3D87" w:rsidRPr="00575A30">
        <w:rPr>
          <w:bCs/>
          <w:i/>
          <w:iCs/>
          <w:kern w:val="22"/>
          <w:lang w:val="fr-FR"/>
        </w:rPr>
        <w:t xml:space="preserve"> hommes-femmes</w:t>
      </w:r>
    </w:p>
    <w:p w14:paraId="499F8DAC" w14:textId="77777777" w:rsidR="0020600E" w:rsidRPr="00575A30" w:rsidRDefault="001C3D87" w:rsidP="00F36F85">
      <w:pPr>
        <w:numPr>
          <w:ilvl w:val="0"/>
          <w:numId w:val="11"/>
        </w:numPr>
        <w:tabs>
          <w:tab w:val="clear" w:pos="540"/>
          <w:tab w:val="num" w:pos="567"/>
        </w:tabs>
        <w:ind w:left="0" w:firstLine="0"/>
        <w:rPr>
          <w:kern w:val="22"/>
          <w:lang w:val="fr-FR"/>
        </w:rPr>
      </w:pPr>
      <w:r w:rsidRPr="00575A30">
        <w:rPr>
          <w:kern w:val="22"/>
          <w:lang w:val="fr-FR"/>
        </w:rPr>
        <w:t xml:space="preserve">Au total, </w:t>
      </w:r>
      <w:r w:rsidR="00E834D1">
        <w:rPr>
          <w:kern w:val="22"/>
          <w:lang w:val="fr-FR"/>
        </w:rPr>
        <w:t>76</w:t>
      </w:r>
      <w:r w:rsidR="00A85330" w:rsidRPr="00575A30">
        <w:rPr>
          <w:kern w:val="22"/>
          <w:lang w:val="fr-FR"/>
        </w:rPr>
        <w:t xml:space="preserve"> </w:t>
      </w:r>
      <w:r w:rsidRPr="00575A30">
        <w:rPr>
          <w:kern w:val="22"/>
          <w:lang w:val="fr-FR"/>
        </w:rPr>
        <w:t>Parties</w:t>
      </w:r>
      <w:r w:rsidR="00EB3690" w:rsidRPr="00575A30">
        <w:rPr>
          <w:snapToGrid w:val="0"/>
          <w:kern w:val="22"/>
          <w:szCs w:val="22"/>
          <w:vertAlign w:val="superscript"/>
          <w:lang w:val="fr-FR"/>
        </w:rPr>
        <w:footnoteReference w:id="59"/>
      </w:r>
      <w:r w:rsidR="00A32094" w:rsidRPr="00575A30">
        <w:rPr>
          <w:kern w:val="22"/>
          <w:lang w:val="fr-FR"/>
        </w:rPr>
        <w:t xml:space="preserve"> </w:t>
      </w:r>
      <w:r w:rsidR="003A4CC2" w:rsidRPr="00575A30">
        <w:rPr>
          <w:kern w:val="22"/>
          <w:lang w:val="fr-FR"/>
        </w:rPr>
        <w:t xml:space="preserve">évoquent </w:t>
      </w:r>
      <w:r w:rsidRPr="00575A30">
        <w:rPr>
          <w:kern w:val="22"/>
          <w:lang w:val="fr-FR"/>
        </w:rPr>
        <w:t>la problématique hommes-femmes</w:t>
      </w:r>
      <w:r w:rsidR="00A65AD9" w:rsidRPr="00575A30">
        <w:rPr>
          <w:kern w:val="22"/>
          <w:lang w:val="fr-FR"/>
        </w:rPr>
        <w:t xml:space="preserve"> </w:t>
      </w:r>
      <w:r w:rsidR="00B76094">
        <w:rPr>
          <w:kern w:val="22"/>
          <w:lang w:val="fr-FR"/>
        </w:rPr>
        <w:t>ou le rôle</w:t>
      </w:r>
      <w:r w:rsidR="000308D3" w:rsidRPr="00575A30">
        <w:rPr>
          <w:kern w:val="22"/>
          <w:lang w:val="fr-FR"/>
        </w:rPr>
        <w:t xml:space="preserve"> des femmes </w:t>
      </w:r>
      <w:r w:rsidR="00E834D1">
        <w:rPr>
          <w:kern w:val="22"/>
          <w:lang w:val="fr-FR"/>
        </w:rPr>
        <w:t>dans leur SPANB</w:t>
      </w:r>
      <w:r w:rsidR="00B76094">
        <w:rPr>
          <w:kern w:val="22"/>
          <w:lang w:val="fr-FR"/>
        </w:rPr>
        <w:t xml:space="preserve">. </w:t>
      </w:r>
      <w:r w:rsidR="00E834D1">
        <w:rPr>
          <w:kern w:val="22"/>
          <w:lang w:val="fr-FR"/>
        </w:rPr>
        <w:t>Le document CBD/SBI/3</w:t>
      </w:r>
      <w:r w:rsidR="000B17F5">
        <w:rPr>
          <w:kern w:val="22"/>
          <w:lang w:val="fr-FR"/>
        </w:rPr>
        <w:t>/2/Add.3 propose u</w:t>
      </w:r>
      <w:r w:rsidR="00B76094">
        <w:rPr>
          <w:kern w:val="22"/>
          <w:lang w:val="fr-FR"/>
        </w:rPr>
        <w:t xml:space="preserve">ne analyse </w:t>
      </w:r>
      <w:r w:rsidR="00E834D1">
        <w:rPr>
          <w:kern w:val="22"/>
          <w:lang w:val="fr-FR"/>
        </w:rPr>
        <w:t>de la mise en œuvre du Plan d’action pour l’égalité des sexes</w:t>
      </w:r>
      <w:r w:rsidR="00CE29AF">
        <w:rPr>
          <w:kern w:val="22"/>
          <w:lang w:val="fr-FR"/>
        </w:rPr>
        <w:t>, ciblant notamment l’information contenue dans les sixièmes rapports nationaux et deux études mondiales réalisées par le Secrétariat.</w:t>
      </w:r>
    </w:p>
    <w:p w14:paraId="090ACB9D" w14:textId="77777777" w:rsidR="000650E7" w:rsidRPr="007D2165" w:rsidRDefault="007120C9" w:rsidP="007D2165">
      <w:pPr>
        <w:pStyle w:val="Para1"/>
        <w:numPr>
          <w:ilvl w:val="0"/>
          <w:numId w:val="0"/>
        </w:numPr>
        <w:autoSpaceDE w:val="0"/>
        <w:autoSpaceDN w:val="0"/>
        <w:adjustRightInd w:val="0"/>
        <w:jc w:val="center"/>
        <w:rPr>
          <w:kern w:val="22"/>
          <w:lang w:val="fr-FR"/>
        </w:rPr>
      </w:pPr>
      <w:r w:rsidRPr="00575A30">
        <w:rPr>
          <w:kern w:val="22"/>
          <w:lang w:val="fr-FR"/>
        </w:rPr>
        <w:t>____________</w:t>
      </w:r>
    </w:p>
    <w:sectPr w:rsidR="000650E7" w:rsidRPr="007D2165" w:rsidSect="00C80D58">
      <w:headerReference w:type="even" r:id="rId22"/>
      <w:headerReference w:type="default" r:id="rId23"/>
      <w:type w:val="continuous"/>
      <w:pgSz w:w="12240" w:h="15840" w:code="1"/>
      <w:pgMar w:top="1021" w:right="1440" w:bottom="851"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6A0C3" w14:textId="77777777" w:rsidR="009C2D37" w:rsidRDefault="009C2D37">
      <w:r>
        <w:separator/>
      </w:r>
    </w:p>
  </w:endnote>
  <w:endnote w:type="continuationSeparator" w:id="0">
    <w:p w14:paraId="2F5D63D6" w14:textId="77777777" w:rsidR="009C2D37" w:rsidRDefault="009C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46B36" w14:textId="77777777" w:rsidR="009C2D37" w:rsidRDefault="009C2D37">
      <w:r>
        <w:separator/>
      </w:r>
    </w:p>
  </w:footnote>
  <w:footnote w:type="continuationSeparator" w:id="0">
    <w:p w14:paraId="4F15CC0F" w14:textId="77777777" w:rsidR="009C2D37" w:rsidRDefault="009C2D37">
      <w:r>
        <w:continuationSeparator/>
      </w:r>
    </w:p>
  </w:footnote>
  <w:footnote w:id="1">
    <w:p w14:paraId="093A2F0A" w14:textId="77777777" w:rsidR="004333C9" w:rsidRPr="004333C9" w:rsidRDefault="004333C9" w:rsidP="004333C9">
      <w:pPr>
        <w:pStyle w:val="FootnoteText"/>
        <w:ind w:firstLine="0"/>
        <w:rPr>
          <w:lang w:val="fr-CA"/>
        </w:rPr>
      </w:pPr>
      <w:r w:rsidRPr="004333C9">
        <w:rPr>
          <w:rStyle w:val="FootnoteReference"/>
          <w:lang w:val="fr-CA"/>
        </w:rPr>
        <w:t>*</w:t>
      </w:r>
      <w:r w:rsidRPr="004333C9">
        <w:rPr>
          <w:lang w:val="fr-CA"/>
        </w:rPr>
        <w:t xml:space="preserve"> CBD/SBI/3/1.</w:t>
      </w:r>
    </w:p>
  </w:footnote>
  <w:footnote w:id="2">
    <w:p w14:paraId="182B36E7" w14:textId="77777777" w:rsidR="00C06AC6" w:rsidRPr="00BC6ED9" w:rsidRDefault="00C06AC6" w:rsidP="00820995">
      <w:pPr>
        <w:pStyle w:val="FootnoteText"/>
        <w:keepLines w:val="0"/>
        <w:suppressLineNumbers/>
        <w:suppressAutoHyphens/>
        <w:adjustRightInd w:val="0"/>
        <w:snapToGrid w:val="0"/>
        <w:ind w:firstLine="0"/>
        <w:jc w:val="left"/>
        <w:rPr>
          <w:szCs w:val="18"/>
          <w:lang w:val="fr-FR"/>
        </w:rPr>
      </w:pPr>
      <w:r w:rsidRPr="00BC6ED9">
        <w:rPr>
          <w:rStyle w:val="FootnoteReference"/>
          <w:sz w:val="18"/>
          <w:szCs w:val="18"/>
          <w:lang w:val="fr-FR"/>
        </w:rPr>
        <w:footnoteRef/>
      </w:r>
      <w:r w:rsidRPr="00BC6ED9">
        <w:rPr>
          <w:szCs w:val="18"/>
          <w:lang w:val="fr-FR"/>
        </w:rPr>
        <w:t xml:space="preserve"> </w:t>
      </w:r>
      <w:r w:rsidRPr="00BC6ED9">
        <w:rPr>
          <w:noProof/>
          <w:szCs w:val="18"/>
          <w:lang w:val="fr-FR"/>
        </w:rPr>
        <w:t xml:space="preserve">Afghanistan, Afrique du Sud, Albanie, </w:t>
      </w:r>
      <w:r>
        <w:rPr>
          <w:noProof/>
          <w:szCs w:val="18"/>
          <w:lang w:val="fr-FR"/>
        </w:rPr>
        <w:t xml:space="preserve">Algérie, </w:t>
      </w:r>
      <w:r w:rsidRPr="00BC6ED9">
        <w:rPr>
          <w:noProof/>
          <w:szCs w:val="18"/>
          <w:lang w:val="fr-FR"/>
        </w:rPr>
        <w:t xml:space="preserve">Allemagne, </w:t>
      </w:r>
      <w:r>
        <w:rPr>
          <w:noProof/>
          <w:szCs w:val="18"/>
          <w:lang w:val="fr-FR"/>
        </w:rPr>
        <w:t xml:space="preserve">Andorre, </w:t>
      </w:r>
      <w:r w:rsidR="00E95377">
        <w:rPr>
          <w:noProof/>
          <w:szCs w:val="18"/>
          <w:lang w:val="fr-FR"/>
        </w:rPr>
        <w:t xml:space="preserve">Angola, </w:t>
      </w:r>
      <w:r w:rsidRPr="00BC6ED9">
        <w:rPr>
          <w:noProof/>
          <w:szCs w:val="18"/>
          <w:lang w:val="fr-FR"/>
        </w:rPr>
        <w:t>Antigua</w:t>
      </w:r>
      <w:r w:rsidRPr="00BC6ED9">
        <w:rPr>
          <w:noProof/>
          <w:szCs w:val="18"/>
          <w:lang w:val="fr-FR"/>
        </w:rPr>
        <w:noBreakHyphen/>
        <w:t>et</w:t>
      </w:r>
      <w:r w:rsidRPr="00BC6ED9">
        <w:rPr>
          <w:noProof/>
          <w:szCs w:val="18"/>
          <w:lang w:val="fr-FR"/>
        </w:rPr>
        <w:noBreakHyphen/>
        <w:t xml:space="preserve">Barbuda, </w:t>
      </w:r>
      <w:r>
        <w:rPr>
          <w:noProof/>
          <w:szCs w:val="18"/>
          <w:lang w:val="fr-FR"/>
        </w:rPr>
        <w:t xml:space="preserve">Argentine, </w:t>
      </w:r>
      <w:r w:rsidRPr="00BC6ED9">
        <w:rPr>
          <w:noProof/>
          <w:szCs w:val="18"/>
          <w:lang w:val="fr-FR"/>
        </w:rPr>
        <w:t xml:space="preserve">Arménie, Australie (ce pays a révisé son SPANB à la lumière du cadre préliminaire du Plan stratégique, mais estime qu’il est conforme à la Stratégie définitive adoptée à la dixième réunion de la </w:t>
      </w:r>
      <w:r>
        <w:rPr>
          <w:noProof/>
          <w:szCs w:val="18"/>
          <w:lang w:val="fr-FR"/>
        </w:rPr>
        <w:t>Conférence des Parties</w:t>
      </w:r>
      <w:r w:rsidRPr="00BC6ED9">
        <w:rPr>
          <w:noProof/>
          <w:szCs w:val="18"/>
          <w:lang w:val="fr-FR"/>
        </w:rPr>
        <w:t xml:space="preserve">), Autriche, </w:t>
      </w:r>
      <w:r>
        <w:rPr>
          <w:noProof/>
          <w:szCs w:val="18"/>
          <w:lang w:val="fr-FR"/>
        </w:rPr>
        <w:t xml:space="preserve">Azerbaïdjan, </w:t>
      </w:r>
      <w:r w:rsidRPr="00BC6ED9">
        <w:rPr>
          <w:noProof/>
          <w:szCs w:val="18"/>
          <w:lang w:val="fr-FR"/>
        </w:rPr>
        <w:t>Bahreïn,</w:t>
      </w:r>
      <w:r>
        <w:rPr>
          <w:noProof/>
          <w:szCs w:val="18"/>
          <w:lang w:val="fr-FR"/>
        </w:rPr>
        <w:t xml:space="preserve"> Bangladesh, Bélarus, </w:t>
      </w:r>
      <w:r w:rsidRPr="00BC6ED9">
        <w:rPr>
          <w:noProof/>
          <w:szCs w:val="18"/>
          <w:lang w:val="fr-FR"/>
        </w:rPr>
        <w:t xml:space="preserve">Belgique, </w:t>
      </w:r>
      <w:r>
        <w:rPr>
          <w:noProof/>
          <w:szCs w:val="18"/>
          <w:lang w:val="fr-FR"/>
        </w:rPr>
        <w:t xml:space="preserve">Belize, </w:t>
      </w:r>
      <w:r w:rsidRPr="00BC6ED9">
        <w:rPr>
          <w:noProof/>
          <w:szCs w:val="18"/>
          <w:lang w:val="fr-FR"/>
        </w:rPr>
        <w:t>B</w:t>
      </w:r>
      <w:r>
        <w:rPr>
          <w:noProof/>
          <w:szCs w:val="18"/>
          <w:lang w:val="fr-FR"/>
        </w:rPr>
        <w:t>é</w:t>
      </w:r>
      <w:r w:rsidRPr="00BC6ED9">
        <w:rPr>
          <w:noProof/>
          <w:szCs w:val="18"/>
          <w:lang w:val="fr-FR"/>
        </w:rPr>
        <w:t xml:space="preserve">nin, Bhoutan, Bosnie-Herzégovine, Botswana, </w:t>
      </w:r>
      <w:r>
        <w:rPr>
          <w:noProof/>
          <w:szCs w:val="18"/>
          <w:lang w:val="fr-FR"/>
        </w:rPr>
        <w:t xml:space="preserve">Brésil, </w:t>
      </w:r>
      <w:r w:rsidRPr="00F16451">
        <w:rPr>
          <w:noProof/>
          <w:szCs w:val="18"/>
          <w:lang w:val="fr-FR"/>
        </w:rPr>
        <w:t>Brun</w:t>
      </w:r>
      <w:r>
        <w:rPr>
          <w:noProof/>
          <w:szCs w:val="18"/>
          <w:lang w:val="fr-FR"/>
        </w:rPr>
        <w:t>é</w:t>
      </w:r>
      <w:r w:rsidRPr="00F16451">
        <w:rPr>
          <w:noProof/>
          <w:szCs w:val="18"/>
          <w:lang w:val="fr-FR"/>
        </w:rPr>
        <w:t>i Darussalam</w:t>
      </w:r>
      <w:r>
        <w:rPr>
          <w:noProof/>
          <w:szCs w:val="18"/>
          <w:lang w:val="fr-FR"/>
        </w:rPr>
        <w:t>,</w:t>
      </w:r>
      <w:r w:rsidRPr="00F16451">
        <w:rPr>
          <w:noProof/>
          <w:szCs w:val="18"/>
          <w:lang w:val="fr-FR"/>
        </w:rPr>
        <w:t xml:space="preserve"> </w:t>
      </w:r>
      <w:r w:rsidRPr="00BC6ED9">
        <w:rPr>
          <w:noProof/>
          <w:szCs w:val="18"/>
          <w:lang w:val="fr-FR"/>
        </w:rPr>
        <w:t xml:space="preserve">Burkina Faso, Burundi, </w:t>
      </w:r>
      <w:r>
        <w:rPr>
          <w:noProof/>
          <w:szCs w:val="18"/>
          <w:lang w:val="fr-FR"/>
        </w:rPr>
        <w:t xml:space="preserve">Cabo Verde, </w:t>
      </w:r>
      <w:r w:rsidRPr="00BC6ED9">
        <w:rPr>
          <w:noProof/>
          <w:szCs w:val="18"/>
          <w:lang w:val="fr-FR"/>
        </w:rPr>
        <w:t xml:space="preserve">Cambodge, Cameroun, </w:t>
      </w:r>
      <w:r>
        <w:rPr>
          <w:noProof/>
          <w:szCs w:val="18"/>
          <w:lang w:val="fr-FR"/>
        </w:rPr>
        <w:t xml:space="preserve">Canada, Chili, </w:t>
      </w:r>
      <w:r w:rsidRPr="00BC6ED9">
        <w:rPr>
          <w:noProof/>
          <w:szCs w:val="18"/>
          <w:lang w:val="fr-FR"/>
        </w:rPr>
        <w:t xml:space="preserve">Chine, Colombie, </w:t>
      </w:r>
      <w:r>
        <w:rPr>
          <w:noProof/>
          <w:szCs w:val="18"/>
          <w:lang w:val="fr-FR"/>
        </w:rPr>
        <w:t xml:space="preserve">Comores, </w:t>
      </w:r>
      <w:r w:rsidRPr="00BC6ED9">
        <w:rPr>
          <w:noProof/>
          <w:szCs w:val="18"/>
          <w:lang w:val="fr-FR"/>
        </w:rPr>
        <w:t xml:space="preserve">Congo, </w:t>
      </w:r>
      <w:r>
        <w:rPr>
          <w:noProof/>
          <w:szCs w:val="18"/>
          <w:lang w:val="fr-FR"/>
        </w:rPr>
        <w:t xml:space="preserve">Costa Rica, </w:t>
      </w:r>
      <w:r w:rsidRPr="00BC6ED9">
        <w:rPr>
          <w:noProof/>
          <w:szCs w:val="18"/>
          <w:lang w:val="fr-FR"/>
        </w:rPr>
        <w:t xml:space="preserve">Côte d'Ivoire, </w:t>
      </w:r>
      <w:r>
        <w:rPr>
          <w:noProof/>
          <w:szCs w:val="18"/>
          <w:lang w:val="fr-FR"/>
        </w:rPr>
        <w:t xml:space="preserve">Croatie, Cuba, </w:t>
      </w:r>
      <w:r w:rsidRPr="00BC6ED9">
        <w:rPr>
          <w:noProof/>
          <w:szCs w:val="18"/>
          <w:lang w:val="fr-FR"/>
        </w:rPr>
        <w:t xml:space="preserve">Danemark, </w:t>
      </w:r>
      <w:r>
        <w:rPr>
          <w:noProof/>
          <w:szCs w:val="18"/>
          <w:lang w:val="fr-FR"/>
        </w:rPr>
        <w:t xml:space="preserve">Djibouti, </w:t>
      </w:r>
      <w:r w:rsidRPr="00BC6ED9">
        <w:rPr>
          <w:noProof/>
          <w:szCs w:val="18"/>
          <w:lang w:val="fr-FR"/>
        </w:rPr>
        <w:t xml:space="preserve">Dominique, Egypte, El Salvador, Émirats arabes unis, </w:t>
      </w:r>
      <w:r>
        <w:rPr>
          <w:noProof/>
          <w:szCs w:val="18"/>
          <w:lang w:val="fr-FR"/>
        </w:rPr>
        <w:t xml:space="preserve">Équateur, </w:t>
      </w:r>
      <w:r w:rsidRPr="00BC6ED9">
        <w:rPr>
          <w:noProof/>
          <w:szCs w:val="18"/>
          <w:lang w:val="fr-FR"/>
        </w:rPr>
        <w:t xml:space="preserve">Érythrée, Espagne, Estonie, </w:t>
      </w:r>
      <w:r>
        <w:rPr>
          <w:noProof/>
          <w:szCs w:val="18"/>
          <w:lang w:val="fr-FR"/>
        </w:rPr>
        <w:t>Eswatini, État plurinational de Bolivie, États fédérés de Micronésie, É</w:t>
      </w:r>
      <w:r w:rsidRPr="00BC6ED9">
        <w:rPr>
          <w:noProof/>
          <w:szCs w:val="18"/>
          <w:lang w:val="fr-FR"/>
        </w:rPr>
        <w:t xml:space="preserve">thiopie, </w:t>
      </w:r>
      <w:r>
        <w:rPr>
          <w:noProof/>
          <w:szCs w:val="18"/>
          <w:lang w:val="fr-FR"/>
        </w:rPr>
        <w:t xml:space="preserve">Fédération de Russie, </w:t>
      </w:r>
      <w:r w:rsidRPr="00BC6ED9">
        <w:rPr>
          <w:noProof/>
          <w:szCs w:val="18"/>
          <w:lang w:val="fr-FR"/>
        </w:rPr>
        <w:t xml:space="preserve">Finlande, France, Gambie, Géorgie, </w:t>
      </w:r>
      <w:r>
        <w:rPr>
          <w:noProof/>
          <w:szCs w:val="18"/>
          <w:lang w:val="fr-FR"/>
        </w:rPr>
        <w:t xml:space="preserve">Ghana, </w:t>
      </w:r>
      <w:r w:rsidRPr="00BC6ED9">
        <w:rPr>
          <w:noProof/>
          <w:szCs w:val="18"/>
          <w:lang w:val="fr-FR"/>
        </w:rPr>
        <w:t xml:space="preserve">Grèce, </w:t>
      </w:r>
      <w:r>
        <w:rPr>
          <w:noProof/>
          <w:szCs w:val="18"/>
          <w:lang w:val="fr-FR"/>
        </w:rPr>
        <w:t xml:space="preserve">Grenade, </w:t>
      </w:r>
      <w:r w:rsidRPr="00BC6ED9">
        <w:rPr>
          <w:noProof/>
          <w:szCs w:val="18"/>
          <w:lang w:val="fr-FR"/>
        </w:rPr>
        <w:t xml:space="preserve">Guatemala, </w:t>
      </w:r>
      <w:r>
        <w:rPr>
          <w:noProof/>
          <w:szCs w:val="18"/>
          <w:lang w:val="fr-FR"/>
        </w:rPr>
        <w:t xml:space="preserve">Guinée, </w:t>
      </w:r>
      <w:r w:rsidRPr="00BC6ED9">
        <w:rPr>
          <w:noProof/>
          <w:szCs w:val="18"/>
          <w:lang w:val="fr-FR"/>
        </w:rPr>
        <w:t xml:space="preserve">Guinée-Bissau, Guinée équatoriale, Guyana, </w:t>
      </w:r>
      <w:r>
        <w:rPr>
          <w:noProof/>
          <w:szCs w:val="18"/>
          <w:lang w:val="fr-FR"/>
        </w:rPr>
        <w:t xml:space="preserve">Honduras, </w:t>
      </w:r>
      <w:r w:rsidRPr="00BC6ED9">
        <w:rPr>
          <w:noProof/>
          <w:szCs w:val="18"/>
          <w:lang w:val="fr-FR"/>
        </w:rPr>
        <w:t>Hongrie,</w:t>
      </w:r>
      <w:r>
        <w:rPr>
          <w:noProof/>
          <w:szCs w:val="18"/>
          <w:lang w:val="fr-FR"/>
        </w:rPr>
        <w:t xml:space="preserve"> Iles Salomon,</w:t>
      </w:r>
      <w:r w:rsidRPr="00BC6ED9">
        <w:rPr>
          <w:noProof/>
          <w:szCs w:val="18"/>
          <w:lang w:val="fr-FR"/>
        </w:rPr>
        <w:t xml:space="preserve"> Inde,</w:t>
      </w:r>
      <w:r>
        <w:rPr>
          <w:noProof/>
          <w:szCs w:val="18"/>
          <w:lang w:val="fr-FR"/>
        </w:rPr>
        <w:t xml:space="preserve"> Indonésie,</w:t>
      </w:r>
      <w:r w:rsidRPr="00BC6ED9">
        <w:rPr>
          <w:noProof/>
          <w:szCs w:val="18"/>
          <w:lang w:val="fr-FR"/>
        </w:rPr>
        <w:t xml:space="preserve"> Iraq, Irlande, Italie, </w:t>
      </w:r>
      <w:r>
        <w:rPr>
          <w:noProof/>
          <w:szCs w:val="18"/>
          <w:lang w:val="fr-FR"/>
        </w:rPr>
        <w:t xml:space="preserve">Jamaïque, </w:t>
      </w:r>
      <w:r w:rsidRPr="00BC6ED9">
        <w:rPr>
          <w:noProof/>
          <w:szCs w:val="18"/>
          <w:lang w:val="fr-FR"/>
        </w:rPr>
        <w:t xml:space="preserve">Japon, Jordanie, </w:t>
      </w:r>
      <w:r>
        <w:rPr>
          <w:noProof/>
          <w:szCs w:val="18"/>
          <w:lang w:val="fr-FR"/>
        </w:rPr>
        <w:t xml:space="preserve">Kiribati, </w:t>
      </w:r>
      <w:r w:rsidRPr="00BC6ED9">
        <w:rPr>
          <w:szCs w:val="18"/>
          <w:lang w:val="fr-FR"/>
        </w:rPr>
        <w:t>Kirghizistan,</w:t>
      </w:r>
      <w:r w:rsidRPr="00BC6ED9">
        <w:rPr>
          <w:noProof/>
          <w:szCs w:val="18"/>
          <w:lang w:val="fr-FR"/>
        </w:rPr>
        <w:t xml:space="preserve"> </w:t>
      </w:r>
      <w:r>
        <w:rPr>
          <w:noProof/>
          <w:szCs w:val="18"/>
          <w:lang w:val="fr-FR"/>
        </w:rPr>
        <w:t xml:space="preserve">Koweït, </w:t>
      </w:r>
      <w:r w:rsidRPr="00BC6ED9">
        <w:rPr>
          <w:noProof/>
          <w:szCs w:val="18"/>
          <w:lang w:val="fr-FR"/>
        </w:rPr>
        <w:t>Lettonie, Liban,</w:t>
      </w:r>
      <w:r>
        <w:rPr>
          <w:noProof/>
          <w:szCs w:val="18"/>
          <w:lang w:val="fr-FR"/>
        </w:rPr>
        <w:t xml:space="preserve"> Liberia, </w:t>
      </w:r>
      <w:r w:rsidRPr="00BC6ED9">
        <w:rPr>
          <w:noProof/>
          <w:szCs w:val="18"/>
          <w:lang w:val="fr-FR"/>
        </w:rPr>
        <w:t xml:space="preserve">Liechtenstein, </w:t>
      </w:r>
      <w:r>
        <w:rPr>
          <w:noProof/>
          <w:szCs w:val="18"/>
          <w:lang w:val="fr-FR"/>
        </w:rPr>
        <w:t xml:space="preserve">Lituanie, Luxembourg, Macédoine du Nord, </w:t>
      </w:r>
      <w:r w:rsidRPr="00BC6ED9">
        <w:rPr>
          <w:noProof/>
          <w:szCs w:val="18"/>
          <w:lang w:val="fr-FR"/>
        </w:rPr>
        <w:t xml:space="preserve">Madagascar, Malawi, Malaisie, Maldives, Mali, Malte, Maroc, </w:t>
      </w:r>
      <w:r>
        <w:rPr>
          <w:noProof/>
          <w:szCs w:val="18"/>
          <w:lang w:val="fr-FR"/>
        </w:rPr>
        <w:t xml:space="preserve">Maurice, </w:t>
      </w:r>
      <w:r w:rsidRPr="00BC6ED9">
        <w:rPr>
          <w:noProof/>
          <w:szCs w:val="18"/>
          <w:lang w:val="fr-FR"/>
        </w:rPr>
        <w:t xml:space="preserve">Mauritanie, </w:t>
      </w:r>
      <w:r>
        <w:rPr>
          <w:noProof/>
          <w:szCs w:val="18"/>
          <w:lang w:val="fr-FR"/>
        </w:rPr>
        <w:t xml:space="preserve">Mexique, </w:t>
      </w:r>
      <w:r w:rsidRPr="00BC6ED9">
        <w:rPr>
          <w:noProof/>
          <w:szCs w:val="18"/>
          <w:lang w:val="fr-FR"/>
        </w:rPr>
        <w:t xml:space="preserve">Mongolie, </w:t>
      </w:r>
      <w:r>
        <w:rPr>
          <w:noProof/>
          <w:szCs w:val="18"/>
          <w:lang w:val="fr-FR"/>
        </w:rPr>
        <w:t xml:space="preserve">Monténégro, </w:t>
      </w:r>
      <w:r w:rsidRPr="00BC6ED9">
        <w:rPr>
          <w:noProof/>
          <w:szCs w:val="18"/>
          <w:lang w:val="fr-FR"/>
        </w:rPr>
        <w:t>Mozambique, Myanmar, Namibie,</w:t>
      </w:r>
      <w:r>
        <w:rPr>
          <w:noProof/>
          <w:szCs w:val="18"/>
          <w:lang w:val="fr-FR"/>
        </w:rPr>
        <w:t xml:space="preserve"> Nauru,</w:t>
      </w:r>
      <w:r w:rsidRPr="00BC6ED9">
        <w:rPr>
          <w:noProof/>
          <w:szCs w:val="18"/>
          <w:lang w:val="fr-FR"/>
        </w:rPr>
        <w:t xml:space="preserve"> Népal, Nicaragua, Niger, Nigéria, Nioué, Norvège,</w:t>
      </w:r>
      <w:r>
        <w:rPr>
          <w:noProof/>
          <w:szCs w:val="18"/>
          <w:lang w:val="fr-FR"/>
        </w:rPr>
        <w:t xml:space="preserve"> Nouvelle-Zélande,</w:t>
      </w:r>
      <w:r w:rsidRPr="00BC6ED9">
        <w:rPr>
          <w:noProof/>
          <w:szCs w:val="18"/>
          <w:lang w:val="fr-FR"/>
        </w:rPr>
        <w:t xml:space="preserve"> Ouganda, </w:t>
      </w:r>
      <w:r>
        <w:rPr>
          <w:noProof/>
          <w:szCs w:val="18"/>
          <w:lang w:val="fr-FR"/>
        </w:rPr>
        <w:t xml:space="preserve">Pakistan, Palau, Panama, Paraguay, </w:t>
      </w:r>
      <w:r w:rsidRPr="00BC6ED9">
        <w:rPr>
          <w:noProof/>
          <w:szCs w:val="18"/>
          <w:lang w:val="fr-FR"/>
        </w:rPr>
        <w:t>Pays</w:t>
      </w:r>
      <w:r w:rsidRPr="00BC6ED9">
        <w:rPr>
          <w:noProof/>
          <w:szCs w:val="18"/>
          <w:lang w:val="fr-FR"/>
        </w:rPr>
        <w:noBreakHyphen/>
        <w:t>Bas, Pérou,</w:t>
      </w:r>
      <w:r>
        <w:rPr>
          <w:noProof/>
          <w:szCs w:val="18"/>
          <w:lang w:val="fr-FR"/>
        </w:rPr>
        <w:t xml:space="preserve"> Philippines,</w:t>
      </w:r>
      <w:r w:rsidRPr="00BC6ED9">
        <w:rPr>
          <w:noProof/>
          <w:szCs w:val="18"/>
          <w:lang w:val="fr-FR"/>
        </w:rPr>
        <w:t xml:space="preserve"> Pologne, </w:t>
      </w:r>
      <w:r>
        <w:rPr>
          <w:noProof/>
          <w:szCs w:val="18"/>
          <w:lang w:val="fr-FR"/>
        </w:rPr>
        <w:t xml:space="preserve">Portugal, </w:t>
      </w:r>
      <w:r w:rsidRPr="00BC6ED9">
        <w:rPr>
          <w:noProof/>
          <w:szCs w:val="18"/>
          <w:lang w:val="fr-FR"/>
        </w:rPr>
        <w:t xml:space="preserve">Qatar, </w:t>
      </w:r>
      <w:r>
        <w:rPr>
          <w:noProof/>
          <w:szCs w:val="18"/>
          <w:lang w:val="fr-FR"/>
        </w:rPr>
        <w:t xml:space="preserve">République bolivarienne du Venezuela, </w:t>
      </w:r>
      <w:r w:rsidRPr="00BC6ED9">
        <w:rPr>
          <w:noProof/>
          <w:szCs w:val="18"/>
          <w:lang w:val="fr-FR"/>
        </w:rPr>
        <w:t>République de Corée,</w:t>
      </w:r>
      <w:r>
        <w:rPr>
          <w:noProof/>
          <w:szCs w:val="18"/>
          <w:lang w:val="fr-FR"/>
        </w:rPr>
        <w:t xml:space="preserve"> </w:t>
      </w:r>
      <w:r w:rsidRPr="00BC6ED9">
        <w:rPr>
          <w:noProof/>
          <w:szCs w:val="18"/>
          <w:lang w:val="fr-FR"/>
        </w:rPr>
        <w:t xml:space="preserve">République de Moldova, République démocratique </w:t>
      </w:r>
      <w:r>
        <w:rPr>
          <w:noProof/>
          <w:szCs w:val="18"/>
          <w:lang w:val="fr-FR"/>
        </w:rPr>
        <w:t xml:space="preserve">du Congo, </w:t>
      </w:r>
      <w:r w:rsidRPr="00BC6ED9">
        <w:rPr>
          <w:noProof/>
          <w:szCs w:val="18"/>
          <w:lang w:val="fr-FR"/>
        </w:rPr>
        <w:t xml:space="preserve">République démocratique populaire lao, République dominicaine, République populaire démocratique de Corée, </w:t>
      </w:r>
      <w:r>
        <w:rPr>
          <w:noProof/>
          <w:szCs w:val="18"/>
          <w:lang w:val="fr-FR"/>
        </w:rPr>
        <w:t xml:space="preserve">République islamique d’Iran, </w:t>
      </w:r>
      <w:r w:rsidRPr="00BC6ED9">
        <w:rPr>
          <w:noProof/>
          <w:szCs w:val="18"/>
          <w:lang w:val="fr-FR"/>
        </w:rPr>
        <w:t xml:space="preserve">République-Unie de Tanzanie, </w:t>
      </w:r>
      <w:r>
        <w:rPr>
          <w:noProof/>
          <w:szCs w:val="18"/>
          <w:lang w:val="fr-FR"/>
        </w:rPr>
        <w:t>Roumanie, Royaume-Uni de Grande-Bretagne et d’Irlande du Nord</w:t>
      </w:r>
      <w:r w:rsidRPr="00BC6ED9">
        <w:rPr>
          <w:noProof/>
          <w:szCs w:val="18"/>
          <w:lang w:val="fr-FR"/>
        </w:rPr>
        <w:t xml:space="preserve">, </w:t>
      </w:r>
      <w:r>
        <w:rPr>
          <w:noProof/>
          <w:szCs w:val="18"/>
          <w:lang w:val="fr-FR"/>
        </w:rPr>
        <w:t xml:space="preserve">Rwnada, </w:t>
      </w:r>
      <w:r w:rsidRPr="00BC6ED9">
        <w:rPr>
          <w:noProof/>
          <w:szCs w:val="18"/>
          <w:lang w:val="fr-FR"/>
        </w:rPr>
        <w:t xml:space="preserve">Saint-Kitts-et-Nevis, </w:t>
      </w:r>
      <w:r>
        <w:rPr>
          <w:noProof/>
          <w:szCs w:val="18"/>
          <w:lang w:val="fr-FR"/>
        </w:rPr>
        <w:t xml:space="preserve">Saint-Marin, Saint-Vincent-et-les-Grenadines, Samoa, Sao Tomé-et-Principe </w:t>
      </w:r>
      <w:r w:rsidRPr="00BC6ED9">
        <w:rPr>
          <w:noProof/>
          <w:szCs w:val="18"/>
          <w:lang w:val="fr-FR"/>
        </w:rPr>
        <w:t xml:space="preserve">Sénégal, Serbie, Seychelles, </w:t>
      </w:r>
      <w:r>
        <w:rPr>
          <w:noProof/>
          <w:szCs w:val="18"/>
          <w:lang w:val="fr-FR"/>
        </w:rPr>
        <w:t xml:space="preserve">Sierra Leone, Singapour, </w:t>
      </w:r>
      <w:r w:rsidRPr="00BC6ED9">
        <w:rPr>
          <w:noProof/>
          <w:szCs w:val="18"/>
          <w:lang w:val="fr-FR"/>
        </w:rPr>
        <w:t>Slovaquie,</w:t>
      </w:r>
      <w:r>
        <w:rPr>
          <w:noProof/>
          <w:szCs w:val="18"/>
          <w:lang w:val="fr-FR"/>
        </w:rPr>
        <w:t xml:space="preserve"> Somalie,</w:t>
      </w:r>
      <w:r w:rsidRPr="00BC6ED9">
        <w:rPr>
          <w:noProof/>
          <w:szCs w:val="18"/>
          <w:lang w:val="fr-FR"/>
        </w:rPr>
        <w:t xml:space="preserve"> Soudan, </w:t>
      </w:r>
      <w:r>
        <w:rPr>
          <w:noProof/>
          <w:szCs w:val="18"/>
          <w:lang w:val="fr-FR"/>
        </w:rPr>
        <w:t xml:space="preserve">Soudan du Sud, Sri Lanka, </w:t>
      </w:r>
      <w:r w:rsidRPr="00BC6ED9">
        <w:rPr>
          <w:noProof/>
          <w:szCs w:val="18"/>
          <w:lang w:val="fr-FR"/>
        </w:rPr>
        <w:t xml:space="preserve">Suède, Suisse, Suriname, </w:t>
      </w:r>
      <w:r>
        <w:rPr>
          <w:noProof/>
          <w:szCs w:val="18"/>
          <w:lang w:val="fr-FR"/>
        </w:rPr>
        <w:t xml:space="preserve">Tadjikistan, Thaïlande, </w:t>
      </w:r>
      <w:r w:rsidRPr="00BC6ED9">
        <w:rPr>
          <w:noProof/>
          <w:szCs w:val="18"/>
          <w:lang w:val="fr-FR"/>
        </w:rPr>
        <w:t>Timor</w:t>
      </w:r>
      <w:r w:rsidRPr="00BC6ED9">
        <w:rPr>
          <w:noProof/>
          <w:szCs w:val="18"/>
          <w:lang w:val="fr-FR"/>
        </w:rPr>
        <w:noBreakHyphen/>
        <w:t xml:space="preserve">Leste, Tchad, </w:t>
      </w:r>
      <w:r>
        <w:rPr>
          <w:noProof/>
          <w:szCs w:val="18"/>
          <w:lang w:val="fr-FR"/>
        </w:rPr>
        <w:t xml:space="preserve">Tchéquie, </w:t>
      </w:r>
      <w:r w:rsidRPr="00BC6ED9">
        <w:rPr>
          <w:noProof/>
          <w:szCs w:val="18"/>
          <w:lang w:val="fr-FR"/>
        </w:rPr>
        <w:t xml:space="preserve">Togo, </w:t>
      </w:r>
      <w:r>
        <w:rPr>
          <w:noProof/>
          <w:szCs w:val="18"/>
          <w:lang w:val="fr-FR"/>
        </w:rPr>
        <w:t xml:space="preserve">Trinité-et-Tobago, Tunisie, Turquie, Turkménistan, </w:t>
      </w:r>
      <w:r w:rsidRPr="00BC6ED9">
        <w:rPr>
          <w:noProof/>
          <w:szCs w:val="18"/>
          <w:lang w:val="fr-FR"/>
        </w:rPr>
        <w:t xml:space="preserve">Tuvalu, </w:t>
      </w:r>
      <w:r>
        <w:rPr>
          <w:noProof/>
          <w:szCs w:val="18"/>
          <w:lang w:val="fr-FR"/>
        </w:rPr>
        <w:t xml:space="preserve">Ukraine, </w:t>
      </w:r>
      <w:r w:rsidRPr="00BC6ED9">
        <w:rPr>
          <w:noProof/>
          <w:szCs w:val="18"/>
          <w:lang w:val="fr-FR"/>
        </w:rPr>
        <w:t xml:space="preserve">Union européenne, Uruguay, </w:t>
      </w:r>
      <w:r>
        <w:rPr>
          <w:noProof/>
          <w:szCs w:val="18"/>
          <w:lang w:val="fr-FR"/>
        </w:rPr>
        <w:t xml:space="preserve">Vanuatu, </w:t>
      </w:r>
      <w:r w:rsidRPr="00BC6ED9">
        <w:rPr>
          <w:noProof/>
          <w:szCs w:val="18"/>
          <w:lang w:val="fr-FR"/>
        </w:rPr>
        <w:t xml:space="preserve">Viet Nam, </w:t>
      </w:r>
      <w:r>
        <w:rPr>
          <w:noProof/>
          <w:szCs w:val="18"/>
          <w:lang w:val="fr-FR"/>
        </w:rPr>
        <w:t xml:space="preserve">Yemen, </w:t>
      </w:r>
      <w:r w:rsidRPr="00BC6ED9">
        <w:rPr>
          <w:noProof/>
          <w:szCs w:val="18"/>
          <w:lang w:val="fr-FR"/>
        </w:rPr>
        <w:t>Zambie et Zimbabwe</w:t>
      </w:r>
      <w:r w:rsidRPr="00BC6ED9">
        <w:rPr>
          <w:szCs w:val="18"/>
          <w:lang w:val="fr-FR"/>
        </w:rPr>
        <w:t>.</w:t>
      </w:r>
    </w:p>
  </w:footnote>
  <w:footnote w:id="3">
    <w:p w14:paraId="4CE5EC19" w14:textId="77777777" w:rsidR="00C06AC6" w:rsidRPr="005924DB" w:rsidRDefault="00C06AC6" w:rsidP="0012283B">
      <w:pPr>
        <w:pStyle w:val="FootnoteText"/>
        <w:suppressLineNumbers/>
        <w:suppressAutoHyphens/>
        <w:adjustRightInd w:val="0"/>
        <w:snapToGrid w:val="0"/>
        <w:ind w:firstLine="0"/>
        <w:jc w:val="left"/>
        <w:rPr>
          <w:snapToGrid w:val="0"/>
          <w:kern w:val="18"/>
          <w:szCs w:val="18"/>
          <w:lang w:val="fr-FR"/>
        </w:rPr>
      </w:pPr>
      <w:r w:rsidRPr="00684808">
        <w:rPr>
          <w:rStyle w:val="FootnoteReference"/>
          <w:snapToGrid w:val="0"/>
          <w:kern w:val="18"/>
          <w:sz w:val="18"/>
          <w:szCs w:val="18"/>
        </w:rPr>
        <w:footnoteRef/>
      </w:r>
      <w:r w:rsidRPr="003A4CC2">
        <w:rPr>
          <w:snapToGrid w:val="0"/>
          <w:kern w:val="18"/>
          <w:szCs w:val="18"/>
          <w:lang w:val="fr-FR"/>
        </w:rPr>
        <w:t xml:space="preserve"> </w:t>
      </w:r>
      <w:r>
        <w:rPr>
          <w:snapToGrid w:val="0"/>
          <w:kern w:val="18"/>
          <w:szCs w:val="18"/>
          <w:lang w:val="fr-FR"/>
        </w:rPr>
        <w:t xml:space="preserve">Parmi toutes ces Parties, 2 ont terminé leurs révisions avant la dixième réunion de la Conférence des Parties, </w:t>
      </w:r>
      <w:r w:rsidR="00E95377">
        <w:rPr>
          <w:snapToGrid w:val="0"/>
          <w:kern w:val="18"/>
          <w:szCs w:val="18"/>
          <w:lang w:val="fr-FR"/>
        </w:rPr>
        <w:t>mais ont toutefois tenu compte</w:t>
      </w:r>
      <w:r>
        <w:rPr>
          <w:snapToGrid w:val="0"/>
          <w:kern w:val="18"/>
          <w:szCs w:val="18"/>
          <w:lang w:val="fr-FR"/>
        </w:rPr>
        <w:t xml:space="preserve"> du projet de Plan stratégique 2011-2020 pour la diversité biologique, De plus, 2 Parties ont remis à la fois leur premier SPANB et une version révisée, 3 Parties ont remis deux version révisées, 1 Partie a remis un SPANB révisé constitué des mesures prises pour mettre en œuvre les Objectifs d’Aichi pour la biodiversité ayant été intégrés à p</w:t>
      </w:r>
      <w:r w:rsidR="0061393E">
        <w:rPr>
          <w:snapToGrid w:val="0"/>
          <w:kern w:val="18"/>
          <w:szCs w:val="18"/>
          <w:lang w:val="fr-FR"/>
        </w:rPr>
        <w:t>lusieurs plans de politiques, 1 </w:t>
      </w:r>
      <w:r>
        <w:rPr>
          <w:snapToGrid w:val="0"/>
          <w:kern w:val="18"/>
          <w:szCs w:val="18"/>
          <w:lang w:val="fr-FR"/>
        </w:rPr>
        <w:t>Partie a remis un SPANB constitué de ses objectifs et cibles de 2020 pour la biodiversité mis en rapport avec les Objectifs d’Aichi pour la biodiversité et un cadre des résultats pour la biodiversité préparé avant la dixième réunion de la Conférence des Parties et 1 Partie a remis un SPANB révisé préparé avant la dixième réunion de la Conférence des Parties.</w:t>
      </w:r>
    </w:p>
  </w:footnote>
  <w:footnote w:id="4">
    <w:p w14:paraId="2B9F4D0E" w14:textId="77777777" w:rsidR="00C06AC6" w:rsidRPr="00112A97" w:rsidRDefault="00C06AC6" w:rsidP="00F71500">
      <w:pPr>
        <w:pStyle w:val="FootnoteText"/>
        <w:ind w:firstLine="0"/>
        <w:rPr>
          <w:snapToGrid w:val="0"/>
          <w:kern w:val="22"/>
          <w:szCs w:val="22"/>
          <w:lang w:val="fr-CA"/>
        </w:rPr>
      </w:pPr>
      <w:r w:rsidRPr="008471C3">
        <w:rPr>
          <w:rStyle w:val="FootnoteReference"/>
          <w:snapToGrid w:val="0"/>
          <w:kern w:val="18"/>
          <w:szCs w:val="18"/>
        </w:rPr>
        <w:footnoteRef/>
      </w:r>
      <w:r w:rsidRPr="00893907">
        <w:rPr>
          <w:snapToGrid w:val="0"/>
          <w:kern w:val="18"/>
          <w:szCs w:val="18"/>
          <w:vertAlign w:val="superscript"/>
          <w:lang w:val="fr-CA"/>
        </w:rPr>
        <w:t xml:space="preserve">  </w:t>
      </w:r>
      <w:r w:rsidRPr="00893907">
        <w:rPr>
          <w:snapToGrid w:val="0"/>
          <w:kern w:val="18"/>
          <w:szCs w:val="18"/>
          <w:lang w:val="fr-CA"/>
        </w:rPr>
        <w:t xml:space="preserve">En ce qui concerne les 21 Parties restantes, </w:t>
      </w:r>
      <w:r>
        <w:rPr>
          <w:snapToGrid w:val="0"/>
          <w:kern w:val="18"/>
          <w:szCs w:val="18"/>
          <w:lang w:val="fr-CA"/>
        </w:rPr>
        <w:t>16 Parties ont remis leur premier SPANB, 1 Partie a remis un plan d’action 2020 pour améliorer la mise en œuvre de sa stratégie adoptée avant la dixième réunion de la Conférence des Parties, 1 Partie a remis un plan d’action 2028 en tant qu’ajout à son SPANB préparé avant la dixième réunion de la Conférence des Parties et qui demeure d’actualité, 2 Parties ont remis d</w:t>
      </w:r>
      <w:r w:rsidR="0061393E">
        <w:rPr>
          <w:snapToGrid w:val="0"/>
          <w:kern w:val="18"/>
          <w:szCs w:val="18"/>
          <w:lang w:val="fr-CA"/>
        </w:rPr>
        <w:t>es addenda à leur SPANB préparé</w:t>
      </w:r>
      <w:r>
        <w:rPr>
          <w:snapToGrid w:val="0"/>
          <w:kern w:val="18"/>
          <w:szCs w:val="18"/>
          <w:lang w:val="fr-CA"/>
        </w:rPr>
        <w:t xml:space="preserve"> avant la dixième réunion de la Conférence des Parties constitués des objectifs et cibles nationaux pour la réalisation des Objectifs d’Aichi pour la biodiversité et 1 Partie a remis son premier SPANB élaboré avant la dixième réunion de la Conférence des Parties</w:t>
      </w:r>
      <w:r w:rsidRPr="00893907">
        <w:rPr>
          <w:snapToGrid w:val="0"/>
          <w:kern w:val="22"/>
          <w:szCs w:val="22"/>
          <w:lang w:val="fr-CA"/>
        </w:rPr>
        <w:t>.</w:t>
      </w:r>
    </w:p>
  </w:footnote>
  <w:footnote w:id="5">
    <w:p w14:paraId="195BE0FD" w14:textId="77777777" w:rsidR="00C06AC6" w:rsidRPr="00BC6ED9" w:rsidRDefault="00C06AC6" w:rsidP="00DF06FB">
      <w:pPr>
        <w:pStyle w:val="FootnoteText"/>
        <w:ind w:firstLine="0"/>
        <w:rPr>
          <w:lang w:val="fr-FR"/>
        </w:rPr>
      </w:pPr>
      <w:r w:rsidRPr="00BC6ED9">
        <w:rPr>
          <w:rStyle w:val="FootnoteReference"/>
          <w:lang w:val="fr-FR"/>
        </w:rPr>
        <w:footnoteRef/>
      </w:r>
      <w:r w:rsidRPr="00BC6ED9">
        <w:rPr>
          <w:lang w:val="fr-FR"/>
        </w:rPr>
        <w:t xml:space="preserve"> Pour l’ensemble au complet, consulter la page suivante : </w:t>
      </w:r>
      <w:r w:rsidRPr="00953074">
        <w:rPr>
          <w:lang w:val="fr-FR"/>
        </w:rPr>
        <w:t>https://www.cbd.int/nbsap/targets/default.shtml</w:t>
      </w:r>
      <w:r w:rsidRPr="00BC6ED9">
        <w:rPr>
          <w:lang w:val="fr-FR"/>
        </w:rPr>
        <w:t>. Soulignons que la définition et l’utilisation du terme « objectif » diffère beaucoup d’une Partie à l’autre. Dans la base de données, toutes les mesures « réalisables » d’un SPANB ont été incluses en tant qu’ « objectif », même si le SPANB utilise un terme différent tel que « cible », « action »</w:t>
      </w:r>
      <w:r>
        <w:rPr>
          <w:lang w:val="fr-FR"/>
        </w:rPr>
        <w:t xml:space="preserve"> ou</w:t>
      </w:r>
      <w:r w:rsidRPr="00BC6ED9">
        <w:rPr>
          <w:lang w:val="fr-FR"/>
        </w:rPr>
        <w:t xml:space="preserve"> « domaine de travail ».</w:t>
      </w:r>
    </w:p>
  </w:footnote>
  <w:footnote w:id="6">
    <w:p w14:paraId="74D307A6" w14:textId="77777777" w:rsidR="00C06AC6" w:rsidRPr="00BC6ED9" w:rsidRDefault="00C06AC6" w:rsidP="00DF06FB">
      <w:pPr>
        <w:pStyle w:val="FootnoteText"/>
        <w:keepLines w:val="0"/>
        <w:suppressLineNumbers/>
        <w:suppressAutoHyphens/>
        <w:adjustRightInd w:val="0"/>
        <w:snapToGrid w:val="0"/>
        <w:ind w:firstLine="0"/>
        <w:rPr>
          <w:szCs w:val="18"/>
          <w:lang w:val="fr-FR"/>
        </w:rPr>
      </w:pPr>
      <w:r w:rsidRPr="00BC6ED9">
        <w:rPr>
          <w:rStyle w:val="FootnoteReference"/>
          <w:sz w:val="18"/>
          <w:szCs w:val="18"/>
          <w:lang w:val="fr-FR"/>
        </w:rPr>
        <w:footnoteRef/>
      </w:r>
      <w:r w:rsidRPr="00BC6ED9">
        <w:rPr>
          <w:szCs w:val="18"/>
          <w:lang w:val="fr-FR"/>
        </w:rPr>
        <w:t xml:space="preserve"> </w:t>
      </w:r>
      <w:r w:rsidRPr="00BC6ED9">
        <w:rPr>
          <w:noProof/>
          <w:szCs w:val="18"/>
          <w:lang w:val="fr-FR"/>
        </w:rPr>
        <w:t xml:space="preserve">Afghanistan, Afrique du Sud, Albanie, </w:t>
      </w:r>
      <w:r>
        <w:rPr>
          <w:noProof/>
          <w:szCs w:val="18"/>
          <w:lang w:val="fr-FR"/>
        </w:rPr>
        <w:t xml:space="preserve">Algérie, Andorre, </w:t>
      </w:r>
      <w:r w:rsidRPr="00BC6ED9">
        <w:rPr>
          <w:noProof/>
          <w:szCs w:val="18"/>
          <w:lang w:val="fr-FR"/>
        </w:rPr>
        <w:t>Antigua</w:t>
      </w:r>
      <w:r w:rsidRPr="00BC6ED9">
        <w:rPr>
          <w:noProof/>
          <w:szCs w:val="18"/>
          <w:lang w:val="fr-FR"/>
        </w:rPr>
        <w:noBreakHyphen/>
        <w:t>et</w:t>
      </w:r>
      <w:r w:rsidRPr="00BC6ED9">
        <w:rPr>
          <w:noProof/>
          <w:szCs w:val="18"/>
          <w:lang w:val="fr-FR"/>
        </w:rPr>
        <w:noBreakHyphen/>
        <w:t xml:space="preserve">Barbuda, Bahreïn, Bélarus, Belgique, </w:t>
      </w:r>
      <w:r>
        <w:rPr>
          <w:noProof/>
          <w:szCs w:val="18"/>
          <w:lang w:val="fr-FR"/>
        </w:rPr>
        <w:t xml:space="preserve">Belize, </w:t>
      </w:r>
      <w:r w:rsidRPr="00BC6ED9">
        <w:rPr>
          <w:noProof/>
          <w:szCs w:val="18"/>
          <w:lang w:val="fr-FR"/>
        </w:rPr>
        <w:t xml:space="preserve">Bhoutan, Botswana, Brésil, </w:t>
      </w:r>
      <w:r>
        <w:rPr>
          <w:noProof/>
          <w:szCs w:val="18"/>
          <w:lang w:val="fr-FR"/>
        </w:rPr>
        <w:t xml:space="preserve">Cabo Verde, </w:t>
      </w:r>
      <w:r w:rsidRPr="00BC6ED9">
        <w:rPr>
          <w:noProof/>
          <w:szCs w:val="18"/>
          <w:lang w:val="fr-FR"/>
        </w:rPr>
        <w:t xml:space="preserve">Cambodge, Cameroun, Canada, </w:t>
      </w:r>
      <w:r>
        <w:rPr>
          <w:noProof/>
          <w:szCs w:val="18"/>
          <w:lang w:val="fr-FR"/>
        </w:rPr>
        <w:t xml:space="preserve">Chili, </w:t>
      </w:r>
      <w:r w:rsidRPr="00BC6ED9">
        <w:rPr>
          <w:noProof/>
          <w:szCs w:val="18"/>
          <w:lang w:val="fr-FR"/>
        </w:rPr>
        <w:t xml:space="preserve">Chine, </w:t>
      </w:r>
      <w:r>
        <w:rPr>
          <w:noProof/>
          <w:szCs w:val="18"/>
          <w:lang w:val="fr-FR"/>
        </w:rPr>
        <w:t xml:space="preserve">Comores, </w:t>
      </w:r>
      <w:r w:rsidRPr="00BC6ED9">
        <w:rPr>
          <w:noProof/>
          <w:szCs w:val="18"/>
          <w:lang w:val="fr-FR"/>
        </w:rPr>
        <w:t xml:space="preserve">Côte d'Ivoire, </w:t>
      </w:r>
      <w:r>
        <w:rPr>
          <w:noProof/>
          <w:szCs w:val="18"/>
          <w:lang w:val="fr-FR"/>
        </w:rPr>
        <w:t xml:space="preserve">Croatie, Cuba, </w:t>
      </w:r>
      <w:r w:rsidRPr="00BC6ED9">
        <w:rPr>
          <w:noProof/>
          <w:szCs w:val="18"/>
          <w:lang w:val="fr-FR"/>
        </w:rPr>
        <w:t xml:space="preserve">Danemark, Egypte, </w:t>
      </w:r>
      <w:r>
        <w:rPr>
          <w:noProof/>
          <w:szCs w:val="18"/>
          <w:lang w:val="fr-FR"/>
        </w:rPr>
        <w:t>Équateur, Eswatini, États fédérés de Micronésie, É</w:t>
      </w:r>
      <w:r w:rsidRPr="00BC6ED9">
        <w:rPr>
          <w:noProof/>
          <w:szCs w:val="18"/>
          <w:lang w:val="fr-FR"/>
        </w:rPr>
        <w:t xml:space="preserve">thiopie, </w:t>
      </w:r>
      <w:r>
        <w:rPr>
          <w:noProof/>
          <w:szCs w:val="18"/>
          <w:lang w:val="fr-FR"/>
        </w:rPr>
        <w:t xml:space="preserve">Fédération de Russie, </w:t>
      </w:r>
      <w:r w:rsidRPr="00BC6ED9">
        <w:rPr>
          <w:noProof/>
          <w:szCs w:val="18"/>
          <w:lang w:val="fr-FR"/>
        </w:rPr>
        <w:t xml:space="preserve">France, Gambie, Géorgie, </w:t>
      </w:r>
      <w:r>
        <w:rPr>
          <w:noProof/>
          <w:szCs w:val="18"/>
          <w:lang w:val="fr-FR"/>
        </w:rPr>
        <w:t xml:space="preserve">Ghana, </w:t>
      </w:r>
      <w:r w:rsidRPr="00BC6ED9">
        <w:rPr>
          <w:noProof/>
          <w:szCs w:val="18"/>
          <w:lang w:val="fr-FR"/>
        </w:rPr>
        <w:t xml:space="preserve">Grèce, </w:t>
      </w:r>
      <w:r>
        <w:rPr>
          <w:noProof/>
          <w:szCs w:val="18"/>
          <w:lang w:val="fr-FR"/>
        </w:rPr>
        <w:t xml:space="preserve">Grenade, </w:t>
      </w:r>
      <w:r w:rsidRPr="00BC6ED9">
        <w:rPr>
          <w:noProof/>
          <w:szCs w:val="18"/>
          <w:lang w:val="fr-FR"/>
        </w:rPr>
        <w:t xml:space="preserve">Guatemala, Guinée, Guyana, </w:t>
      </w:r>
      <w:r>
        <w:rPr>
          <w:noProof/>
          <w:szCs w:val="18"/>
          <w:lang w:val="fr-FR"/>
        </w:rPr>
        <w:t xml:space="preserve">Honduras, </w:t>
      </w:r>
      <w:r w:rsidRPr="00BC6ED9">
        <w:rPr>
          <w:noProof/>
          <w:szCs w:val="18"/>
          <w:lang w:val="fr-FR"/>
        </w:rPr>
        <w:t xml:space="preserve">Îles Salomon, Inde, </w:t>
      </w:r>
      <w:r>
        <w:rPr>
          <w:noProof/>
          <w:szCs w:val="18"/>
          <w:lang w:val="fr-FR"/>
        </w:rPr>
        <w:t xml:space="preserve">Indonésie, </w:t>
      </w:r>
      <w:r w:rsidRPr="00BC6ED9">
        <w:rPr>
          <w:noProof/>
          <w:szCs w:val="18"/>
          <w:lang w:val="fr-FR"/>
        </w:rPr>
        <w:t xml:space="preserve">Iraq, Irlande, </w:t>
      </w:r>
      <w:r>
        <w:rPr>
          <w:noProof/>
          <w:szCs w:val="18"/>
          <w:lang w:val="fr-FR"/>
        </w:rPr>
        <w:t xml:space="preserve">Jamaïque, </w:t>
      </w:r>
      <w:r w:rsidRPr="00BC6ED9">
        <w:rPr>
          <w:noProof/>
          <w:szCs w:val="18"/>
          <w:lang w:val="fr-FR"/>
        </w:rPr>
        <w:t xml:space="preserve">Japon, Kiribati, Liban, </w:t>
      </w:r>
      <w:r>
        <w:rPr>
          <w:noProof/>
          <w:szCs w:val="18"/>
          <w:lang w:val="fr-FR"/>
        </w:rPr>
        <w:t xml:space="preserve">Liberia, </w:t>
      </w:r>
      <w:r w:rsidRPr="00BC6ED9">
        <w:rPr>
          <w:noProof/>
          <w:szCs w:val="18"/>
          <w:lang w:val="fr-FR"/>
        </w:rPr>
        <w:t xml:space="preserve">Luxembourg, </w:t>
      </w:r>
      <w:r>
        <w:rPr>
          <w:noProof/>
          <w:szCs w:val="18"/>
          <w:lang w:val="fr-FR"/>
        </w:rPr>
        <w:t xml:space="preserve">Macédoine du Nord, </w:t>
      </w:r>
      <w:r w:rsidRPr="00BC6ED9">
        <w:rPr>
          <w:noProof/>
          <w:szCs w:val="18"/>
          <w:lang w:val="fr-FR"/>
        </w:rPr>
        <w:t xml:space="preserve">Malawi, Maroc, </w:t>
      </w:r>
      <w:r>
        <w:rPr>
          <w:noProof/>
          <w:szCs w:val="18"/>
          <w:lang w:val="fr-FR"/>
        </w:rPr>
        <w:t xml:space="preserve">Maurice, Mexique, </w:t>
      </w:r>
      <w:r w:rsidRPr="00BC6ED9">
        <w:rPr>
          <w:noProof/>
          <w:szCs w:val="18"/>
          <w:lang w:val="fr-FR"/>
        </w:rPr>
        <w:t xml:space="preserve">Mongolie, Myanmar, Namibie, Niger, Nigéria, Norvège, </w:t>
      </w:r>
      <w:r>
        <w:rPr>
          <w:noProof/>
          <w:szCs w:val="18"/>
          <w:lang w:val="fr-FR"/>
        </w:rPr>
        <w:t xml:space="preserve">Nouvelle-Zélande, </w:t>
      </w:r>
      <w:r w:rsidRPr="00BC6ED9">
        <w:rPr>
          <w:noProof/>
          <w:szCs w:val="18"/>
          <w:lang w:val="fr-FR"/>
        </w:rPr>
        <w:t xml:space="preserve">Oman, Ouganda, </w:t>
      </w:r>
      <w:r>
        <w:rPr>
          <w:noProof/>
          <w:szCs w:val="18"/>
          <w:lang w:val="fr-FR"/>
        </w:rPr>
        <w:t xml:space="preserve">Pakistan, Panama, </w:t>
      </w:r>
      <w:r w:rsidRPr="00BC6ED9">
        <w:rPr>
          <w:noProof/>
          <w:szCs w:val="18"/>
          <w:lang w:val="fr-FR"/>
        </w:rPr>
        <w:t xml:space="preserve">Pérou, </w:t>
      </w:r>
      <w:r>
        <w:rPr>
          <w:noProof/>
          <w:szCs w:val="18"/>
          <w:lang w:val="fr-FR"/>
        </w:rPr>
        <w:t xml:space="preserve">Portugal, </w:t>
      </w:r>
      <w:r w:rsidRPr="00BC6ED9">
        <w:rPr>
          <w:noProof/>
          <w:szCs w:val="18"/>
          <w:lang w:val="fr-FR"/>
        </w:rPr>
        <w:t>Qatar, République de Corée,</w:t>
      </w:r>
      <w:r>
        <w:rPr>
          <w:noProof/>
          <w:szCs w:val="18"/>
          <w:lang w:val="fr-FR"/>
        </w:rPr>
        <w:t xml:space="preserve"> </w:t>
      </w:r>
      <w:r w:rsidRPr="00BC6ED9">
        <w:rPr>
          <w:noProof/>
          <w:szCs w:val="18"/>
          <w:lang w:val="fr-FR"/>
        </w:rPr>
        <w:t xml:space="preserve">République démocratique populaire lao, République-Unie de Tanzanie, </w:t>
      </w:r>
      <w:r>
        <w:rPr>
          <w:noProof/>
          <w:szCs w:val="18"/>
          <w:lang w:val="fr-FR"/>
        </w:rPr>
        <w:t>Royaume-Uni</w:t>
      </w:r>
      <w:r w:rsidRPr="00BC6ED9">
        <w:rPr>
          <w:noProof/>
          <w:szCs w:val="18"/>
          <w:lang w:val="fr-FR"/>
        </w:rPr>
        <w:t>,</w:t>
      </w:r>
      <w:r>
        <w:rPr>
          <w:noProof/>
          <w:szCs w:val="18"/>
          <w:lang w:val="fr-FR"/>
        </w:rPr>
        <w:t xml:space="preserve"> </w:t>
      </w:r>
      <w:r w:rsidRPr="00BC6ED9">
        <w:rPr>
          <w:noProof/>
          <w:szCs w:val="18"/>
          <w:lang w:val="fr-FR"/>
        </w:rPr>
        <w:t xml:space="preserve">Rwanda, Saint-Kitts-et-Nevis, Saint-Vincent-et-les Grenadines, </w:t>
      </w:r>
      <w:r>
        <w:rPr>
          <w:noProof/>
          <w:szCs w:val="18"/>
          <w:lang w:val="fr-FR"/>
        </w:rPr>
        <w:t xml:space="preserve">Samoa, </w:t>
      </w:r>
      <w:r w:rsidRPr="00BC6ED9">
        <w:rPr>
          <w:noProof/>
          <w:szCs w:val="18"/>
          <w:lang w:val="fr-FR"/>
        </w:rPr>
        <w:t xml:space="preserve">Seychelles, </w:t>
      </w:r>
      <w:r>
        <w:rPr>
          <w:noProof/>
          <w:szCs w:val="18"/>
          <w:lang w:val="fr-FR"/>
        </w:rPr>
        <w:t xml:space="preserve">Sierra Leone, Singapour, </w:t>
      </w:r>
      <w:r w:rsidRPr="00BC6ED9">
        <w:rPr>
          <w:noProof/>
          <w:szCs w:val="18"/>
          <w:lang w:val="fr-FR"/>
        </w:rPr>
        <w:t xml:space="preserve">Slovaquie, Slovénie, Soudan, </w:t>
      </w:r>
      <w:r>
        <w:rPr>
          <w:noProof/>
          <w:szCs w:val="18"/>
          <w:lang w:val="fr-FR"/>
        </w:rPr>
        <w:t xml:space="preserve">Soudan du Sud, Sri Lanka, </w:t>
      </w:r>
      <w:r w:rsidRPr="00BC6ED9">
        <w:rPr>
          <w:noProof/>
          <w:szCs w:val="18"/>
          <w:lang w:val="fr-FR"/>
        </w:rPr>
        <w:t>Suède, Suisse, Timor</w:t>
      </w:r>
      <w:r w:rsidRPr="00BC6ED9">
        <w:rPr>
          <w:noProof/>
          <w:szCs w:val="18"/>
          <w:lang w:val="fr-FR"/>
        </w:rPr>
        <w:noBreakHyphen/>
        <w:t xml:space="preserve">Leste, Tchéquie, Togo, </w:t>
      </w:r>
      <w:r>
        <w:rPr>
          <w:noProof/>
          <w:szCs w:val="18"/>
          <w:lang w:val="fr-FR"/>
        </w:rPr>
        <w:t xml:space="preserve">Tunisie, Turquie, Ukraine, </w:t>
      </w:r>
      <w:r w:rsidRPr="00BC6ED9">
        <w:rPr>
          <w:noProof/>
          <w:szCs w:val="18"/>
          <w:lang w:val="fr-FR"/>
        </w:rPr>
        <w:t>Uruguay, Viet Nam</w:t>
      </w:r>
      <w:r>
        <w:rPr>
          <w:noProof/>
          <w:szCs w:val="18"/>
          <w:lang w:val="fr-FR"/>
        </w:rPr>
        <w:t>, Yémen</w:t>
      </w:r>
      <w:r w:rsidRPr="00BC6ED9">
        <w:rPr>
          <w:noProof/>
          <w:szCs w:val="18"/>
          <w:lang w:val="fr-FR"/>
        </w:rPr>
        <w:t xml:space="preserve"> et Zimbabwe.</w:t>
      </w:r>
    </w:p>
  </w:footnote>
  <w:footnote w:id="7">
    <w:p w14:paraId="5ED95EEB" w14:textId="77777777" w:rsidR="00C06AC6" w:rsidRPr="00504E72" w:rsidRDefault="00C06AC6" w:rsidP="00DF06FB">
      <w:pPr>
        <w:pStyle w:val="FootnoteText"/>
        <w:ind w:firstLine="0"/>
        <w:rPr>
          <w:lang w:val="fr-FR"/>
        </w:rPr>
      </w:pPr>
      <w:r w:rsidRPr="00BC6ED9">
        <w:rPr>
          <w:rStyle w:val="FootnoteReference"/>
          <w:lang w:val="fr-FR"/>
        </w:rPr>
        <w:footnoteRef/>
      </w:r>
      <w:r w:rsidRPr="00BC6ED9">
        <w:rPr>
          <w:lang w:val="fr-FR"/>
        </w:rPr>
        <w:t xml:space="preserve"> Cette analyse </w:t>
      </w:r>
      <w:r>
        <w:rPr>
          <w:lang w:val="fr-FR"/>
        </w:rPr>
        <w:t xml:space="preserve">est fondée sur l’information contenue dans les SPANB et les commentaires reçus depuis la préparation de la version antérieure (CBD/COP/14/5/Add.1) pour la quatorzième réunion de la Conférence des Parties. Parmi les 170 Parties énumérées dans la note de bas de page ci-dessus, trois parties (Angola, Lettonie et Portugal) n’ont pas soumis une version dans une des langues officielles des Nations Unies et n’ont donc pas été incluses dans cette analyse. </w:t>
      </w:r>
    </w:p>
  </w:footnote>
  <w:footnote w:id="8">
    <w:p w14:paraId="541B41B3" w14:textId="77777777" w:rsidR="00C06AC6" w:rsidRPr="00BC6ED9" w:rsidRDefault="00C06AC6" w:rsidP="00DF06FB">
      <w:pPr>
        <w:pStyle w:val="FootnoteText"/>
        <w:keepLines w:val="0"/>
        <w:suppressLineNumbers/>
        <w:suppressAutoHyphens/>
        <w:adjustRightInd w:val="0"/>
        <w:snapToGrid w:val="0"/>
        <w:ind w:firstLine="0"/>
        <w:rPr>
          <w:noProof/>
          <w:kern w:val="18"/>
          <w:szCs w:val="18"/>
          <w:lang w:val="fr-FR"/>
        </w:rPr>
      </w:pPr>
      <w:r w:rsidRPr="00BC6ED9">
        <w:rPr>
          <w:rStyle w:val="FootnoteReference"/>
          <w:noProof/>
          <w:kern w:val="18"/>
          <w:sz w:val="18"/>
          <w:szCs w:val="18"/>
          <w:lang w:val="fr-FR"/>
        </w:rPr>
        <w:footnoteRef/>
      </w:r>
      <w:r w:rsidRPr="00BC6ED9">
        <w:rPr>
          <w:noProof/>
          <w:kern w:val="18"/>
          <w:szCs w:val="18"/>
          <w:lang w:val="fr-FR"/>
        </w:rPr>
        <w:t xml:space="preserve"> </w:t>
      </w:r>
      <w:r w:rsidRPr="00041BA6">
        <w:rPr>
          <w:noProof/>
          <w:kern w:val="18"/>
          <w:szCs w:val="18"/>
          <w:lang w:val="fr-FR"/>
        </w:rPr>
        <w:t>Afghanistan, Afrique du Sud, Albanie, Algérie, Allemagne, Andorre, Antigua</w:t>
      </w:r>
      <w:r w:rsidRPr="00041BA6">
        <w:rPr>
          <w:noProof/>
          <w:kern w:val="18"/>
          <w:szCs w:val="18"/>
          <w:lang w:val="fr-FR"/>
        </w:rPr>
        <w:noBreakHyphen/>
        <w:t>et</w:t>
      </w:r>
      <w:r w:rsidRPr="00041BA6">
        <w:rPr>
          <w:noProof/>
          <w:kern w:val="18"/>
          <w:szCs w:val="18"/>
          <w:lang w:val="fr-FR"/>
        </w:rPr>
        <w:noBreakHyphen/>
        <w:t xml:space="preserve">Barbuda, Argentine, Arménie, Australie, Autriche, Bahreïn, Bangladesh, Belize, Bénin, Bhoutan, Bosnie-Herzégovine, Botswana, Brésil, Burkina Faso, Burundi, Cabo Verde, Cambodge, Cameroun, Chili, Chine, Comores, Congo, Costa Rica, Côte d'Ivoire, Croatie, Cuba, Djibouti, Dominique, Egypte, Équateur, Érythrée, Espagne, Estonie, Eswatini, États fédérés de Micronésie, Ethiopie, Fédération de Russie, Finlande, Gambie, Géorgie, Ghana, Grèce, Grenade, Guatemala, Guinée-Bissau, Guinée équatoriale, Guyana, Honduras, Îles Salomon, Indonésie, Irlande, Iraq, Italie, Jamaïque, Japon, Jordanie, Kiribati, Koweït, Liban, Liberia, Liechtenstein, Lituanie, Luxembourg, Macédoine du Nord, Madagascar, Malawi, Malaisie, Maldives, Mali, Malte, Maroc, Maurice, Mexique, Mongolie, Monténégro, Mozambique, Myanmar, Namibie, Nauru, Népal, Nicaragua, Niger, Nigéria, Nioué, Norvège, Nouvelle-Zélande, Ouganda, Pakistan, Palau, Panama, Paraguay, Pérou, Philippines, Pologne, Qatar, République de Corée, République démocratique du Congo, République de </w:t>
      </w:r>
      <w:r w:rsidR="006C3C79">
        <w:rPr>
          <w:noProof/>
          <w:kern w:val="18"/>
          <w:szCs w:val="18"/>
          <w:lang w:val="fr-FR"/>
        </w:rPr>
        <w:t>Moldova</w:t>
      </w:r>
      <w:r w:rsidRPr="00041BA6">
        <w:rPr>
          <w:noProof/>
          <w:kern w:val="18"/>
          <w:szCs w:val="18"/>
          <w:lang w:val="fr-FR"/>
        </w:rPr>
        <w:t xml:space="preserve">, République démocratique populaire lao,  République dominicaine, </w:t>
      </w:r>
      <w:r w:rsidRPr="00041BA6">
        <w:rPr>
          <w:szCs w:val="18"/>
          <w:lang w:val="fr-FR"/>
        </w:rPr>
        <w:t>République populaire démocratique de Corée</w:t>
      </w:r>
      <w:r w:rsidRPr="00041BA6">
        <w:rPr>
          <w:noProof/>
          <w:kern w:val="18"/>
          <w:szCs w:val="18"/>
          <w:lang w:val="fr-FR"/>
        </w:rPr>
        <w:t xml:space="preserve">, République islamique d’Iran, </w:t>
      </w:r>
      <w:r w:rsidRPr="00041BA6">
        <w:rPr>
          <w:noProof/>
          <w:szCs w:val="18"/>
          <w:lang w:val="fr-FR"/>
        </w:rPr>
        <w:t>République-Unie de Tanzanie</w:t>
      </w:r>
      <w:r w:rsidRPr="00041BA6">
        <w:rPr>
          <w:noProof/>
          <w:kern w:val="18"/>
          <w:szCs w:val="18"/>
          <w:lang w:val="fr-FR"/>
        </w:rPr>
        <w:t xml:space="preserve">, Roumanie, Rwanda, </w:t>
      </w:r>
      <w:r w:rsidRPr="00041BA6">
        <w:rPr>
          <w:noProof/>
          <w:szCs w:val="18"/>
          <w:lang w:val="fr-FR"/>
        </w:rPr>
        <w:t>Saint-Kitts-et-Nevis</w:t>
      </w:r>
      <w:r w:rsidRPr="00041BA6">
        <w:rPr>
          <w:noProof/>
          <w:kern w:val="18"/>
          <w:szCs w:val="18"/>
          <w:lang w:val="fr-FR"/>
        </w:rPr>
        <w:t>, Saint-Marin, Saint-Vincent-et-les-Grenadines, Samoa, Sao Tomé-et-Principe, Sénégal, Serbie, Seychelles, Somalie, Soudan, Soudan du Sud, Sri Lanka, Sui</w:t>
      </w:r>
      <w:r w:rsidR="008F20F9">
        <w:rPr>
          <w:noProof/>
          <w:kern w:val="18"/>
          <w:szCs w:val="18"/>
          <w:lang w:val="fr-FR"/>
        </w:rPr>
        <w:t>sse, Suriname, Tadjikistan, Thaï</w:t>
      </w:r>
      <w:r w:rsidRPr="00041BA6">
        <w:rPr>
          <w:noProof/>
          <w:kern w:val="18"/>
          <w:szCs w:val="18"/>
          <w:lang w:val="fr-FR"/>
        </w:rPr>
        <w:t>lande, Timor</w:t>
      </w:r>
      <w:r w:rsidRPr="00041BA6">
        <w:rPr>
          <w:noProof/>
          <w:kern w:val="18"/>
          <w:szCs w:val="18"/>
          <w:lang w:val="fr-FR"/>
        </w:rPr>
        <w:noBreakHyphen/>
        <w:t>Leste, Tchad, Togo, Trinité-et-Tobago, Tunisie, Turkménistan, Turquie, Tuvalu, Ukraine, Union européenne, Uruguay, Vanuatu, Yemen, Zambie et Zimbabwe</w:t>
      </w:r>
      <w:r w:rsidRPr="00BC6ED9">
        <w:rPr>
          <w:noProof/>
          <w:kern w:val="18"/>
          <w:szCs w:val="18"/>
          <w:lang w:val="fr-FR"/>
        </w:rPr>
        <w:t>.</w:t>
      </w:r>
    </w:p>
  </w:footnote>
  <w:footnote w:id="9">
    <w:p w14:paraId="34B4522F" w14:textId="77777777" w:rsidR="00C06AC6" w:rsidRPr="00BC6ED9" w:rsidRDefault="00C06AC6" w:rsidP="00FB423D">
      <w:pPr>
        <w:pStyle w:val="FootnoteText"/>
        <w:keepLines w:val="0"/>
        <w:suppressLineNumbers/>
        <w:suppressAutoHyphens/>
        <w:adjustRightInd w:val="0"/>
        <w:snapToGrid w:val="0"/>
        <w:ind w:firstLine="0"/>
        <w:rPr>
          <w:kern w:val="18"/>
          <w:szCs w:val="18"/>
          <w:lang w:val="fr-FR"/>
        </w:rPr>
      </w:pPr>
      <w:r w:rsidRPr="00504E72">
        <w:rPr>
          <w:rStyle w:val="FootnoteReference"/>
          <w:noProof/>
          <w:kern w:val="18"/>
          <w:sz w:val="18"/>
          <w:szCs w:val="18"/>
          <w:lang w:val="fr-FR"/>
        </w:rPr>
        <w:footnoteRef/>
      </w:r>
      <w:r w:rsidRPr="00504E72">
        <w:rPr>
          <w:noProof/>
          <w:kern w:val="18"/>
          <w:szCs w:val="18"/>
          <w:lang w:val="fr-FR"/>
        </w:rPr>
        <w:t xml:space="preserve"> </w:t>
      </w:r>
      <w:r w:rsidRPr="00C1102A">
        <w:rPr>
          <w:noProof/>
          <w:kern w:val="18"/>
          <w:szCs w:val="18"/>
          <w:lang w:val="fr-FR"/>
        </w:rPr>
        <w:t xml:space="preserve">Azerbaïdjan, </w:t>
      </w:r>
      <w:r w:rsidRPr="00C1102A">
        <w:rPr>
          <w:noProof/>
          <w:szCs w:val="18"/>
          <w:lang w:val="fr-FR"/>
        </w:rPr>
        <w:t>Bélarus, Belgique, Brunéi Darussalam, Colombie, Danemark, El Salvador, Émirats arabes unis, État plurinational de Bolivie, France, Guinée, Hongrie, Kirghizistan, Mauritanie, Pays</w:t>
      </w:r>
      <w:r w:rsidRPr="00C1102A">
        <w:rPr>
          <w:noProof/>
          <w:szCs w:val="18"/>
          <w:lang w:val="fr-FR"/>
        </w:rPr>
        <w:noBreakHyphen/>
        <w:t>Bas, République bolivarienne du Venezuela, Royaume-Uni, Sierra Leone, Slovaquie, Suède, Tchéquie et Viet Nam</w:t>
      </w:r>
      <w:r w:rsidRPr="00C1102A">
        <w:rPr>
          <w:noProof/>
          <w:kern w:val="18"/>
          <w:szCs w:val="18"/>
          <w:lang w:val="fr-FR"/>
        </w:rPr>
        <w:t>.</w:t>
      </w:r>
    </w:p>
  </w:footnote>
  <w:footnote w:id="10">
    <w:p w14:paraId="04C1ACF8" w14:textId="77777777" w:rsidR="00C06AC6" w:rsidRPr="00BC6ED9" w:rsidRDefault="00C06AC6" w:rsidP="00DF06FB">
      <w:pPr>
        <w:pStyle w:val="FootnoteText"/>
        <w:keepLines w:val="0"/>
        <w:suppressLineNumbers/>
        <w:suppressAutoHyphens/>
        <w:adjustRightInd w:val="0"/>
        <w:snapToGrid w:val="0"/>
        <w:ind w:firstLine="0"/>
        <w:rPr>
          <w:szCs w:val="18"/>
          <w:lang w:val="fr-FR"/>
        </w:rPr>
      </w:pPr>
      <w:r w:rsidRPr="00BC6ED9">
        <w:rPr>
          <w:rStyle w:val="FootnoteReference"/>
          <w:sz w:val="18"/>
          <w:szCs w:val="18"/>
          <w:lang w:val="fr-FR"/>
        </w:rPr>
        <w:footnoteRef/>
      </w:r>
      <w:r w:rsidRPr="00BC6ED9">
        <w:rPr>
          <w:szCs w:val="18"/>
          <w:lang w:val="fr-FR"/>
        </w:rPr>
        <w:t xml:space="preserve"> </w:t>
      </w:r>
      <w:r w:rsidRPr="006D56D9">
        <w:rPr>
          <w:noProof/>
          <w:szCs w:val="18"/>
          <w:lang w:val="fr-FR"/>
        </w:rPr>
        <w:t>Bélarus, Colombie, El Salvador, République bolivarienne du Venezuela et  Slovaquie</w:t>
      </w:r>
      <w:r w:rsidRPr="006D56D9">
        <w:rPr>
          <w:szCs w:val="18"/>
          <w:lang w:val="fr-FR"/>
        </w:rPr>
        <w:t>.</w:t>
      </w:r>
    </w:p>
  </w:footnote>
  <w:footnote w:id="11">
    <w:p w14:paraId="15155C0C" w14:textId="77777777" w:rsidR="00C06AC6" w:rsidRPr="007501E0" w:rsidRDefault="00C06AC6" w:rsidP="007501E0">
      <w:pPr>
        <w:pStyle w:val="FootnoteText"/>
        <w:suppressLineNumbers/>
        <w:suppressAutoHyphens/>
        <w:kinsoku w:val="0"/>
        <w:overflowPunct w:val="0"/>
        <w:autoSpaceDE w:val="0"/>
        <w:autoSpaceDN w:val="0"/>
        <w:adjustRightInd w:val="0"/>
        <w:snapToGrid w:val="0"/>
        <w:ind w:firstLine="0"/>
        <w:jc w:val="left"/>
        <w:rPr>
          <w:rStyle w:val="FootnoteReference"/>
          <w:snapToGrid w:val="0"/>
          <w:kern w:val="18"/>
          <w:szCs w:val="18"/>
          <w:lang w:val="fr-CA"/>
        </w:rPr>
      </w:pPr>
      <w:r w:rsidRPr="008471C3">
        <w:rPr>
          <w:rStyle w:val="FootnoteReference"/>
          <w:snapToGrid w:val="0"/>
          <w:kern w:val="18"/>
          <w:szCs w:val="18"/>
        </w:rPr>
        <w:footnoteRef/>
      </w:r>
      <w:r w:rsidRPr="007501E0">
        <w:rPr>
          <w:rStyle w:val="FootnoteReference"/>
          <w:snapToGrid w:val="0"/>
          <w:kern w:val="18"/>
          <w:szCs w:val="18"/>
          <w:lang w:val="fr-CA"/>
        </w:rPr>
        <w:t xml:space="preserve"> </w:t>
      </w:r>
      <w:r>
        <w:rPr>
          <w:snapToGrid w:val="0"/>
          <w:kern w:val="18"/>
          <w:szCs w:val="18"/>
          <w:lang w:val="fr-CA"/>
        </w:rPr>
        <w:t>Canada, Inde et Singapour</w:t>
      </w:r>
      <w:r w:rsidRPr="007501E0">
        <w:rPr>
          <w:snapToGrid w:val="0"/>
          <w:kern w:val="18"/>
          <w:szCs w:val="18"/>
          <w:lang w:val="fr-CA"/>
        </w:rPr>
        <w:t>.</w:t>
      </w:r>
    </w:p>
  </w:footnote>
  <w:footnote w:id="12">
    <w:p w14:paraId="6F78E371" w14:textId="77777777" w:rsidR="00C06AC6" w:rsidRPr="00BC6ED9" w:rsidRDefault="00C06AC6" w:rsidP="00DF06FB">
      <w:pPr>
        <w:suppressLineNumbers/>
        <w:suppressAutoHyphens/>
        <w:adjustRightInd w:val="0"/>
        <w:snapToGrid w:val="0"/>
        <w:spacing w:after="60"/>
        <w:rPr>
          <w:noProof/>
          <w:kern w:val="18"/>
          <w:sz w:val="18"/>
          <w:szCs w:val="18"/>
          <w:lang w:val="fr-FR"/>
        </w:rPr>
      </w:pPr>
      <w:r w:rsidRPr="00BC6ED9">
        <w:rPr>
          <w:rStyle w:val="FootnoteReference"/>
          <w:noProof/>
          <w:kern w:val="18"/>
          <w:sz w:val="18"/>
          <w:szCs w:val="18"/>
          <w:lang w:val="fr-FR"/>
        </w:rPr>
        <w:footnoteRef/>
      </w:r>
      <w:r w:rsidRPr="00BC6ED9">
        <w:rPr>
          <w:noProof/>
          <w:kern w:val="18"/>
          <w:sz w:val="18"/>
          <w:szCs w:val="18"/>
          <w:lang w:val="fr-FR"/>
        </w:rPr>
        <w:t xml:space="preserve"> </w:t>
      </w:r>
      <w:r w:rsidRPr="00BC6ED9">
        <w:rPr>
          <w:noProof/>
          <w:sz w:val="18"/>
          <w:szCs w:val="18"/>
          <w:lang w:val="fr-FR"/>
        </w:rPr>
        <w:t>Afghanistan (2014-2017), Burkina Faso (Plan d’action 2015), Espagne (2017), Pérou (2018), Serbie (2018), Suriname (2016) et Tuvalu (2016).</w:t>
      </w:r>
    </w:p>
  </w:footnote>
  <w:footnote w:id="13">
    <w:p w14:paraId="0BBA50E7" w14:textId="77777777" w:rsidR="00C06AC6" w:rsidRPr="00BC6ED9" w:rsidRDefault="00C06AC6" w:rsidP="00DF06FB">
      <w:pPr>
        <w:pStyle w:val="FootnoteText"/>
        <w:keepLines w:val="0"/>
        <w:suppressLineNumbers/>
        <w:suppressAutoHyphens/>
        <w:adjustRightInd w:val="0"/>
        <w:snapToGrid w:val="0"/>
        <w:ind w:firstLine="0"/>
        <w:rPr>
          <w:noProof/>
          <w:kern w:val="18"/>
          <w:szCs w:val="18"/>
          <w:lang w:val="fr-FR"/>
        </w:rPr>
      </w:pPr>
      <w:r w:rsidRPr="00BC6ED9">
        <w:rPr>
          <w:rStyle w:val="FootnoteReference"/>
          <w:noProof/>
          <w:kern w:val="18"/>
          <w:sz w:val="18"/>
          <w:szCs w:val="18"/>
          <w:lang w:val="fr-FR"/>
        </w:rPr>
        <w:footnoteRef/>
      </w:r>
      <w:r w:rsidRPr="00BC6ED9">
        <w:rPr>
          <w:noProof/>
          <w:kern w:val="18"/>
          <w:szCs w:val="18"/>
          <w:lang w:val="fr-FR"/>
        </w:rPr>
        <w:t xml:space="preserve"> Allemagne, A</w:t>
      </w:r>
      <w:r w:rsidRPr="00BC6ED9">
        <w:rPr>
          <w:noProof/>
          <w:szCs w:val="18"/>
          <w:lang w:val="fr-FR"/>
        </w:rPr>
        <w:t>ntigua</w:t>
      </w:r>
      <w:r w:rsidRPr="00BC6ED9">
        <w:rPr>
          <w:noProof/>
          <w:szCs w:val="18"/>
          <w:lang w:val="fr-FR"/>
        </w:rPr>
        <w:noBreakHyphen/>
        <w:t>et</w:t>
      </w:r>
      <w:r w:rsidRPr="00BC6ED9">
        <w:rPr>
          <w:noProof/>
          <w:szCs w:val="18"/>
          <w:lang w:val="fr-FR"/>
        </w:rPr>
        <w:noBreakHyphen/>
        <w:t xml:space="preserve">Barbuda, </w:t>
      </w:r>
      <w:r>
        <w:rPr>
          <w:noProof/>
          <w:szCs w:val="18"/>
          <w:lang w:val="fr-FR"/>
        </w:rPr>
        <w:t xml:space="preserve">Argentine, </w:t>
      </w:r>
      <w:r w:rsidRPr="00BC6ED9">
        <w:rPr>
          <w:noProof/>
          <w:szCs w:val="18"/>
          <w:lang w:val="fr-FR"/>
        </w:rPr>
        <w:t xml:space="preserve">Autriche, </w:t>
      </w:r>
      <w:r>
        <w:rPr>
          <w:noProof/>
          <w:szCs w:val="18"/>
          <w:lang w:val="fr-FR"/>
        </w:rPr>
        <w:t xml:space="preserve">Azerbaïdjan, </w:t>
      </w:r>
      <w:r w:rsidRPr="00BC6ED9">
        <w:rPr>
          <w:noProof/>
          <w:szCs w:val="18"/>
          <w:lang w:val="fr-FR"/>
        </w:rPr>
        <w:t xml:space="preserve">Bélarus, Belgique, </w:t>
      </w:r>
      <w:r>
        <w:rPr>
          <w:noProof/>
          <w:szCs w:val="18"/>
          <w:lang w:val="fr-FR"/>
        </w:rPr>
        <w:t xml:space="preserve">Belize, </w:t>
      </w:r>
      <w:r w:rsidRPr="00BC6ED9">
        <w:rPr>
          <w:noProof/>
          <w:szCs w:val="18"/>
          <w:lang w:val="fr-FR"/>
        </w:rPr>
        <w:t xml:space="preserve">Bénin, </w:t>
      </w:r>
      <w:r w:rsidRPr="00BC6ED9">
        <w:rPr>
          <w:noProof/>
          <w:kern w:val="18"/>
          <w:szCs w:val="18"/>
          <w:lang w:val="fr-FR"/>
        </w:rPr>
        <w:t>Bosnie-Herzégovine,</w:t>
      </w:r>
      <w:r w:rsidRPr="00BC6ED9">
        <w:rPr>
          <w:noProof/>
          <w:szCs w:val="18"/>
          <w:lang w:val="fr-FR"/>
        </w:rPr>
        <w:t xml:space="preserve"> Burundi, Cambodge, Cameroun, </w:t>
      </w:r>
      <w:r>
        <w:rPr>
          <w:noProof/>
          <w:szCs w:val="18"/>
          <w:lang w:val="fr-FR"/>
        </w:rPr>
        <w:t xml:space="preserve">Canada, Comores, </w:t>
      </w:r>
      <w:r w:rsidRPr="00BC6ED9">
        <w:rPr>
          <w:noProof/>
          <w:szCs w:val="18"/>
          <w:lang w:val="fr-FR"/>
        </w:rPr>
        <w:t xml:space="preserve">Côte d'Ivoire, </w:t>
      </w:r>
      <w:r>
        <w:rPr>
          <w:noProof/>
          <w:szCs w:val="18"/>
          <w:lang w:val="fr-FR"/>
        </w:rPr>
        <w:t xml:space="preserve">Cuba, Djibouti, </w:t>
      </w:r>
      <w:r w:rsidRPr="00BC6ED9">
        <w:rPr>
          <w:noProof/>
          <w:szCs w:val="18"/>
          <w:lang w:val="fr-FR"/>
        </w:rPr>
        <w:t>Dominique, Érythrée, Estonie, Ethiopie,</w:t>
      </w:r>
      <w:r>
        <w:rPr>
          <w:noProof/>
          <w:szCs w:val="18"/>
          <w:lang w:val="fr-FR"/>
        </w:rPr>
        <w:t xml:space="preserve"> Fédération de Russie,</w:t>
      </w:r>
      <w:r w:rsidRPr="00BC6ED9">
        <w:rPr>
          <w:noProof/>
          <w:szCs w:val="18"/>
          <w:lang w:val="fr-FR"/>
        </w:rPr>
        <w:t xml:space="preserve"> Finlande, France, Gambie, Géorgie, </w:t>
      </w:r>
      <w:r>
        <w:rPr>
          <w:noProof/>
          <w:szCs w:val="18"/>
          <w:lang w:val="fr-FR"/>
        </w:rPr>
        <w:t xml:space="preserve">Grenade, Guinée, </w:t>
      </w:r>
      <w:r w:rsidRPr="00BC6ED9">
        <w:rPr>
          <w:noProof/>
          <w:szCs w:val="18"/>
          <w:lang w:val="fr-FR"/>
        </w:rPr>
        <w:t xml:space="preserve">Guinée-Bissau, Guyana, </w:t>
      </w:r>
      <w:r>
        <w:rPr>
          <w:noProof/>
          <w:szCs w:val="18"/>
          <w:lang w:val="fr-FR"/>
        </w:rPr>
        <w:t xml:space="preserve">Îles Salomon, </w:t>
      </w:r>
      <w:r w:rsidRPr="00BC6ED9">
        <w:rPr>
          <w:noProof/>
          <w:szCs w:val="18"/>
          <w:lang w:val="fr-FR"/>
        </w:rPr>
        <w:t>Inde,</w:t>
      </w:r>
      <w:r>
        <w:rPr>
          <w:noProof/>
          <w:szCs w:val="18"/>
          <w:lang w:val="fr-FR"/>
        </w:rPr>
        <w:t xml:space="preserve"> Indonésie,</w:t>
      </w:r>
      <w:r w:rsidRPr="00BC6ED9">
        <w:rPr>
          <w:noProof/>
          <w:szCs w:val="18"/>
          <w:lang w:val="fr-FR"/>
        </w:rPr>
        <w:t xml:space="preserve"> Iraq, Italie, Japon, Jordanie, Kirghizistan, </w:t>
      </w:r>
      <w:r>
        <w:rPr>
          <w:noProof/>
          <w:szCs w:val="18"/>
          <w:lang w:val="fr-FR"/>
        </w:rPr>
        <w:t xml:space="preserve">Kiribati, Koweït, </w:t>
      </w:r>
      <w:r w:rsidRPr="00BC6ED9">
        <w:rPr>
          <w:noProof/>
          <w:szCs w:val="18"/>
          <w:lang w:val="fr-FR"/>
        </w:rPr>
        <w:t xml:space="preserve">Liechtenstein, </w:t>
      </w:r>
      <w:r>
        <w:rPr>
          <w:noProof/>
          <w:szCs w:val="18"/>
          <w:lang w:val="fr-FR"/>
        </w:rPr>
        <w:t xml:space="preserve">Lituanie, </w:t>
      </w:r>
      <w:r w:rsidRPr="00BC6ED9">
        <w:rPr>
          <w:noProof/>
          <w:szCs w:val="18"/>
          <w:lang w:val="fr-FR"/>
        </w:rPr>
        <w:t xml:space="preserve">Mali, Malte, Maroc, Mauritanie, </w:t>
      </w:r>
      <w:r>
        <w:rPr>
          <w:noProof/>
          <w:szCs w:val="18"/>
          <w:lang w:val="fr-FR"/>
        </w:rPr>
        <w:t xml:space="preserve">Monténégro, </w:t>
      </w:r>
      <w:r w:rsidRPr="00BC6ED9">
        <w:rPr>
          <w:noProof/>
          <w:szCs w:val="18"/>
          <w:lang w:val="fr-FR"/>
        </w:rPr>
        <w:t xml:space="preserve">Népal, Nicaragua, Niger, Nigéria, </w:t>
      </w:r>
      <w:r>
        <w:rPr>
          <w:noProof/>
          <w:szCs w:val="18"/>
          <w:lang w:val="fr-FR"/>
        </w:rPr>
        <w:t xml:space="preserve">Nouvelle-Zélande, Paraguay, </w:t>
      </w:r>
      <w:r w:rsidRPr="00BC6ED9">
        <w:rPr>
          <w:noProof/>
          <w:szCs w:val="18"/>
          <w:lang w:val="fr-FR"/>
        </w:rPr>
        <w:t>Pays</w:t>
      </w:r>
      <w:r w:rsidRPr="00BC6ED9">
        <w:rPr>
          <w:noProof/>
          <w:szCs w:val="18"/>
          <w:lang w:val="fr-FR"/>
        </w:rPr>
        <w:noBreakHyphen/>
        <w:t xml:space="preserve">Bas, Pologne, </w:t>
      </w:r>
      <w:r>
        <w:rPr>
          <w:noProof/>
          <w:szCs w:val="18"/>
          <w:lang w:val="fr-FR"/>
        </w:rPr>
        <w:t xml:space="preserve">République bolivarienne du Venezuela, République démocratique du Congo, </w:t>
      </w:r>
      <w:r w:rsidRPr="00BC6ED9">
        <w:rPr>
          <w:noProof/>
          <w:szCs w:val="18"/>
          <w:lang w:val="fr-FR"/>
        </w:rPr>
        <w:t>République de Moldova,</w:t>
      </w:r>
      <w:r w:rsidRPr="00BC6ED9">
        <w:rPr>
          <w:noProof/>
          <w:kern w:val="18"/>
          <w:szCs w:val="18"/>
          <w:lang w:val="fr-FR"/>
        </w:rPr>
        <w:t xml:space="preserve"> </w:t>
      </w:r>
      <w:r w:rsidRPr="00BC6ED9">
        <w:rPr>
          <w:noProof/>
          <w:szCs w:val="18"/>
          <w:lang w:val="fr-FR"/>
        </w:rPr>
        <w:t xml:space="preserve">République dominicaine, République-Unie de Tanzanie, </w:t>
      </w:r>
      <w:r>
        <w:rPr>
          <w:noProof/>
          <w:szCs w:val="18"/>
          <w:lang w:val="fr-FR"/>
        </w:rPr>
        <w:t xml:space="preserve">Roumanie, </w:t>
      </w:r>
      <w:r w:rsidRPr="00BC6ED9">
        <w:rPr>
          <w:noProof/>
          <w:szCs w:val="18"/>
          <w:lang w:val="fr-FR"/>
        </w:rPr>
        <w:t>Royaume</w:t>
      </w:r>
      <w:r w:rsidRPr="00BC6ED9">
        <w:rPr>
          <w:noProof/>
          <w:szCs w:val="18"/>
          <w:lang w:val="fr-FR"/>
        </w:rPr>
        <w:noBreakHyphen/>
        <w:t>Uni, Saint-Kitts-et-Nevis,</w:t>
      </w:r>
      <w:r>
        <w:rPr>
          <w:noProof/>
          <w:szCs w:val="18"/>
          <w:lang w:val="fr-FR"/>
        </w:rPr>
        <w:t xml:space="preserve"> Saint-Vincent-et-les-GrenadinesSamoa,</w:t>
      </w:r>
      <w:r w:rsidRPr="00BC6ED9">
        <w:rPr>
          <w:noProof/>
          <w:szCs w:val="18"/>
          <w:lang w:val="fr-FR"/>
        </w:rPr>
        <w:t xml:space="preserve"> </w:t>
      </w:r>
      <w:r>
        <w:rPr>
          <w:noProof/>
          <w:szCs w:val="18"/>
          <w:lang w:val="fr-FR"/>
        </w:rPr>
        <w:t xml:space="preserve">Sao Tomé-et-Principe, </w:t>
      </w:r>
      <w:r w:rsidRPr="00BC6ED9">
        <w:rPr>
          <w:noProof/>
          <w:szCs w:val="18"/>
          <w:lang w:val="fr-FR"/>
        </w:rPr>
        <w:t xml:space="preserve">Sénégal, Seychelles, </w:t>
      </w:r>
      <w:r>
        <w:rPr>
          <w:noProof/>
          <w:szCs w:val="18"/>
          <w:lang w:val="fr-FR"/>
        </w:rPr>
        <w:t xml:space="preserve">Singapour, </w:t>
      </w:r>
      <w:r w:rsidRPr="00BC6ED9">
        <w:rPr>
          <w:noProof/>
          <w:szCs w:val="18"/>
          <w:lang w:val="fr-FR"/>
        </w:rPr>
        <w:t>Slovaquie, Soudan,</w:t>
      </w:r>
      <w:r>
        <w:rPr>
          <w:noProof/>
          <w:szCs w:val="18"/>
          <w:lang w:val="fr-FR"/>
        </w:rPr>
        <w:t xml:space="preserve"> Suède,</w:t>
      </w:r>
      <w:r w:rsidRPr="00BC6ED9">
        <w:rPr>
          <w:noProof/>
          <w:szCs w:val="18"/>
          <w:lang w:val="fr-FR"/>
        </w:rPr>
        <w:t xml:space="preserve"> Suisse, </w:t>
      </w:r>
      <w:r>
        <w:rPr>
          <w:noProof/>
          <w:szCs w:val="18"/>
          <w:lang w:val="fr-FR"/>
        </w:rPr>
        <w:t xml:space="preserve">Taïjikistan, </w:t>
      </w:r>
      <w:r w:rsidRPr="00BC6ED9">
        <w:rPr>
          <w:noProof/>
          <w:szCs w:val="18"/>
          <w:lang w:val="fr-FR"/>
        </w:rPr>
        <w:t>Tchad, Timor</w:t>
      </w:r>
      <w:r w:rsidRPr="00BC6ED9">
        <w:rPr>
          <w:noProof/>
          <w:szCs w:val="18"/>
          <w:lang w:val="fr-FR"/>
        </w:rPr>
        <w:noBreakHyphen/>
        <w:t>Leste, Togo, Union européenne, Uruguay, Viet Nam et Zimbabwe</w:t>
      </w:r>
      <w:r w:rsidRPr="00BC6ED9">
        <w:rPr>
          <w:noProof/>
          <w:kern w:val="18"/>
          <w:szCs w:val="18"/>
          <w:lang w:val="fr-FR"/>
        </w:rPr>
        <w:t>.</w:t>
      </w:r>
    </w:p>
  </w:footnote>
  <w:footnote w:id="14">
    <w:p w14:paraId="05BE624C" w14:textId="77777777" w:rsidR="00C06AC6" w:rsidRPr="00BC6ED9" w:rsidRDefault="00C06AC6" w:rsidP="00DF06FB">
      <w:pPr>
        <w:pStyle w:val="FootnoteText"/>
        <w:keepLines w:val="0"/>
        <w:suppressLineNumbers/>
        <w:suppressAutoHyphens/>
        <w:adjustRightInd w:val="0"/>
        <w:snapToGrid w:val="0"/>
        <w:ind w:firstLine="0"/>
        <w:rPr>
          <w:noProof/>
          <w:szCs w:val="18"/>
          <w:lang w:val="fr-FR"/>
        </w:rPr>
      </w:pPr>
      <w:r w:rsidRPr="00BC6ED9">
        <w:rPr>
          <w:rStyle w:val="FootnoteReference"/>
          <w:sz w:val="18"/>
          <w:szCs w:val="18"/>
          <w:lang w:val="fr-FR"/>
        </w:rPr>
        <w:footnoteRef/>
      </w:r>
      <w:r w:rsidRPr="00BC6ED9">
        <w:rPr>
          <w:szCs w:val="18"/>
          <w:lang w:val="fr-FR"/>
        </w:rPr>
        <w:t xml:space="preserve"> Afrique du Sud (2025), </w:t>
      </w:r>
      <w:r>
        <w:rPr>
          <w:szCs w:val="18"/>
          <w:lang w:val="fr-FR"/>
        </w:rPr>
        <w:t xml:space="preserve">Algérie (2030), Andorre (2024), </w:t>
      </w:r>
      <w:r w:rsidRPr="00BC6ED9">
        <w:rPr>
          <w:noProof/>
          <w:szCs w:val="18"/>
          <w:lang w:val="fr-FR"/>
        </w:rPr>
        <w:t xml:space="preserve">Australie (2030), Bahreïn (2021), </w:t>
      </w:r>
      <w:r>
        <w:rPr>
          <w:noProof/>
          <w:szCs w:val="18"/>
          <w:lang w:val="fr-FR"/>
        </w:rPr>
        <w:t xml:space="preserve">Bangladesh (2021), Bolivie (2030), </w:t>
      </w:r>
      <w:r w:rsidRPr="00BC6ED9">
        <w:rPr>
          <w:noProof/>
          <w:szCs w:val="18"/>
          <w:lang w:val="fr-FR"/>
        </w:rPr>
        <w:t xml:space="preserve">Botswana (2025), </w:t>
      </w:r>
      <w:r>
        <w:rPr>
          <w:noProof/>
          <w:szCs w:val="18"/>
          <w:lang w:val="fr-FR"/>
        </w:rPr>
        <w:t>Bruné</w:t>
      </w:r>
      <w:r w:rsidRPr="008C03BA">
        <w:rPr>
          <w:noProof/>
          <w:szCs w:val="18"/>
          <w:lang w:val="fr-FR"/>
        </w:rPr>
        <w:t xml:space="preserve">i Darussalam (2035), </w:t>
      </w:r>
      <w:r>
        <w:rPr>
          <w:noProof/>
          <w:szCs w:val="18"/>
          <w:lang w:val="fr-FR"/>
        </w:rPr>
        <w:t xml:space="preserve">Cabo Verde (2030), Chili (2030), </w:t>
      </w:r>
      <w:r w:rsidRPr="00BC6ED9">
        <w:rPr>
          <w:noProof/>
          <w:szCs w:val="18"/>
          <w:lang w:val="fr-FR"/>
        </w:rPr>
        <w:t xml:space="preserve">Chine (2030), Congo (2030), </w:t>
      </w:r>
      <w:r>
        <w:rPr>
          <w:noProof/>
          <w:szCs w:val="18"/>
          <w:lang w:val="fr-FR"/>
        </w:rPr>
        <w:t xml:space="preserve">Costa Rica (2025), Croatie (2025), </w:t>
      </w:r>
      <w:r w:rsidRPr="00BC6ED9">
        <w:rPr>
          <w:noProof/>
          <w:szCs w:val="18"/>
          <w:lang w:val="fr-FR"/>
        </w:rPr>
        <w:t xml:space="preserve">Egypte (2030), Émirats arabes unis (2021), </w:t>
      </w:r>
      <w:r>
        <w:rPr>
          <w:noProof/>
          <w:szCs w:val="18"/>
          <w:lang w:val="fr-FR"/>
        </w:rPr>
        <w:t xml:space="preserve">Équateur (2030), Eswatini (2022), États fédérés de Micronésie (2023), Ghana (2040), </w:t>
      </w:r>
      <w:r w:rsidRPr="00BC6ED9">
        <w:rPr>
          <w:noProof/>
          <w:szCs w:val="18"/>
          <w:lang w:val="fr-FR"/>
        </w:rPr>
        <w:t xml:space="preserve">Grèce (2029), Guatemala (2022), </w:t>
      </w:r>
      <w:r>
        <w:rPr>
          <w:noProof/>
          <w:szCs w:val="18"/>
          <w:lang w:val="fr-FR"/>
        </w:rPr>
        <w:t xml:space="preserve">Guinée (2025), Honduras (2022), Irlande (2021), Jamaïque (2021), </w:t>
      </w:r>
      <w:r w:rsidRPr="00BC6ED9">
        <w:rPr>
          <w:noProof/>
          <w:szCs w:val="18"/>
          <w:lang w:val="fr-FR"/>
        </w:rPr>
        <w:t xml:space="preserve">Kirghizistan (2024), Liban (2030), </w:t>
      </w:r>
      <w:r>
        <w:rPr>
          <w:noProof/>
          <w:szCs w:val="18"/>
          <w:lang w:val="fr-FR"/>
        </w:rPr>
        <w:t xml:space="preserve">Liberia (2025), Luxembourg (2021), Macédoine du Nord (2023), </w:t>
      </w:r>
      <w:r w:rsidRPr="00BC6ED9">
        <w:rPr>
          <w:noProof/>
          <w:szCs w:val="18"/>
          <w:lang w:val="fr-FR"/>
        </w:rPr>
        <w:t xml:space="preserve">Madagascar (2025), Malawi (2025), Malaisie (2025), Maldives (2025), </w:t>
      </w:r>
      <w:r>
        <w:rPr>
          <w:noProof/>
          <w:szCs w:val="18"/>
          <w:lang w:val="fr-FR"/>
        </w:rPr>
        <w:t xml:space="preserve">Maurice (2025), Mexique (2030), </w:t>
      </w:r>
      <w:r w:rsidRPr="00BC6ED9">
        <w:rPr>
          <w:noProof/>
          <w:szCs w:val="18"/>
          <w:lang w:val="fr-FR"/>
        </w:rPr>
        <w:t xml:space="preserve">Mongolie (2025), Mozambique (2035), Namibie (2022), Ouganda (2025), </w:t>
      </w:r>
      <w:r>
        <w:rPr>
          <w:noProof/>
          <w:szCs w:val="18"/>
          <w:lang w:val="fr-FR"/>
        </w:rPr>
        <w:t xml:space="preserve">Pakistan (2030), </w:t>
      </w:r>
      <w:r w:rsidR="007B0965">
        <w:rPr>
          <w:noProof/>
          <w:szCs w:val="18"/>
          <w:lang w:val="fr-FR"/>
        </w:rPr>
        <w:t>Palau</w:t>
      </w:r>
      <w:r>
        <w:rPr>
          <w:noProof/>
          <w:szCs w:val="18"/>
          <w:lang w:val="fr-FR"/>
        </w:rPr>
        <w:t xml:space="preserve"> (2025), Philippines (2028), </w:t>
      </w:r>
      <w:r w:rsidRPr="00BC6ED9">
        <w:rPr>
          <w:noProof/>
          <w:szCs w:val="18"/>
          <w:lang w:val="fr-FR"/>
        </w:rPr>
        <w:t xml:space="preserve">Qatar (2025), </w:t>
      </w:r>
      <w:r>
        <w:rPr>
          <w:noProof/>
          <w:szCs w:val="18"/>
          <w:lang w:val="fr-FR"/>
        </w:rPr>
        <w:t xml:space="preserve">République de Corée (2023), </w:t>
      </w:r>
      <w:r w:rsidRPr="00BC6ED9">
        <w:rPr>
          <w:noProof/>
          <w:kern w:val="18"/>
          <w:szCs w:val="18"/>
          <w:lang w:val="fr-FR"/>
        </w:rPr>
        <w:t>République démocratique populaire lao (2025)</w:t>
      </w:r>
      <w:r>
        <w:rPr>
          <w:noProof/>
          <w:kern w:val="18"/>
          <w:szCs w:val="18"/>
          <w:lang w:val="fr-FR"/>
        </w:rPr>
        <w:t xml:space="preserve">, République islamique d’Iran (2030), </w:t>
      </w:r>
      <w:r>
        <w:rPr>
          <w:noProof/>
          <w:szCs w:val="18"/>
          <w:lang w:val="fr-FR"/>
        </w:rPr>
        <w:t xml:space="preserve">Saint-Marin (2025), Sénégal (2030), Sierra Leone (2026), Somalie (2030), Soudan du Sud (2027), Sri Lanka (2022), </w:t>
      </w:r>
      <w:r>
        <w:rPr>
          <w:noProof/>
          <w:kern w:val="18"/>
          <w:szCs w:val="18"/>
          <w:lang w:val="fr-FR"/>
        </w:rPr>
        <w:t xml:space="preserve">Tchéquie (2025), Thaïlande (2021), Trinité-et-Tobago (2022), Tunisie (2030), Turkménistan (2023), Turquie (2028), Vanuatu (2030), Yémen (2025) </w:t>
      </w:r>
      <w:r w:rsidRPr="00BC6ED9">
        <w:rPr>
          <w:noProof/>
          <w:szCs w:val="18"/>
          <w:lang w:val="fr-FR"/>
        </w:rPr>
        <w:t>et Zambie (2025).</w:t>
      </w:r>
    </w:p>
  </w:footnote>
  <w:footnote w:id="15">
    <w:p w14:paraId="73CDAFCF" w14:textId="77777777" w:rsidR="00C06AC6" w:rsidRPr="00FB6DF4" w:rsidRDefault="00C06AC6" w:rsidP="00FB6DF4">
      <w:pPr>
        <w:pStyle w:val="FootnoteText"/>
        <w:ind w:firstLine="0"/>
        <w:rPr>
          <w:lang w:val="fr-CA"/>
        </w:rPr>
      </w:pPr>
      <w:r w:rsidRPr="008471C3">
        <w:rPr>
          <w:rStyle w:val="FootnoteReference"/>
        </w:rPr>
        <w:footnoteRef/>
      </w:r>
      <w:r w:rsidRPr="00FB6DF4">
        <w:rPr>
          <w:lang w:val="fr-CA"/>
        </w:rPr>
        <w:t xml:space="preserve"> Albanie, Arménie, </w:t>
      </w:r>
      <w:r>
        <w:rPr>
          <w:lang w:val="fr-CA"/>
        </w:rPr>
        <w:t xml:space="preserve">Bhoutan, </w:t>
      </w:r>
      <w:r w:rsidRPr="00FB6DF4">
        <w:rPr>
          <w:lang w:val="fr-CA"/>
        </w:rPr>
        <w:t xml:space="preserve">Brésil, Colombie, </w:t>
      </w:r>
      <w:r>
        <w:rPr>
          <w:lang w:val="fr-CA"/>
        </w:rPr>
        <w:t xml:space="preserve">Danemark, El Salvador, Guinée équatoriale, Myanmar, Nauru, Nioué, Norvège, </w:t>
      </w:r>
      <w:r w:rsidRPr="00FB6DF4">
        <w:rPr>
          <w:lang w:val="fr-CA"/>
        </w:rPr>
        <w:t xml:space="preserve">République </w:t>
      </w:r>
      <w:r>
        <w:rPr>
          <w:lang w:val="fr-CA"/>
        </w:rPr>
        <w:t>populaire démocratique de Corée et Rwanda</w:t>
      </w:r>
      <w:r w:rsidRPr="00FB6DF4">
        <w:rPr>
          <w:lang w:val="fr-CA"/>
        </w:rPr>
        <w:t>.</w:t>
      </w:r>
    </w:p>
  </w:footnote>
  <w:footnote w:id="16">
    <w:p w14:paraId="34DE8CDD" w14:textId="77777777" w:rsidR="00C06AC6" w:rsidRPr="008D4D8C" w:rsidRDefault="00C06AC6" w:rsidP="00D77D96">
      <w:pPr>
        <w:pStyle w:val="FootnoteText"/>
        <w:ind w:firstLine="0"/>
        <w:rPr>
          <w:lang w:val="fr-CA"/>
        </w:rPr>
      </w:pPr>
      <w:r w:rsidRPr="008471C3">
        <w:rPr>
          <w:rStyle w:val="FootnoteReference"/>
          <w:snapToGrid w:val="0"/>
          <w:kern w:val="18"/>
          <w:szCs w:val="18"/>
        </w:rPr>
        <w:footnoteRef/>
      </w:r>
      <w:r w:rsidRPr="00D77D96">
        <w:rPr>
          <w:rStyle w:val="FootnoteReference"/>
          <w:snapToGrid w:val="0"/>
          <w:kern w:val="18"/>
          <w:szCs w:val="18"/>
          <w:lang w:val="fr-CA"/>
        </w:rPr>
        <w:t xml:space="preserve"> </w:t>
      </w:r>
      <w:r w:rsidRPr="00D77D96">
        <w:rPr>
          <w:snapToGrid w:val="0"/>
          <w:kern w:val="18"/>
          <w:szCs w:val="18"/>
          <w:vertAlign w:val="superscript"/>
          <w:lang w:val="fr-CA"/>
        </w:rPr>
        <w:t xml:space="preserve"> </w:t>
      </w:r>
      <w:r w:rsidRPr="00D77D96">
        <w:rPr>
          <w:snapToGrid w:val="0"/>
          <w:kern w:val="18"/>
          <w:szCs w:val="18"/>
          <w:lang w:val="fr-CA"/>
        </w:rPr>
        <w:t xml:space="preserve"> </w:t>
      </w:r>
      <w:r w:rsidRPr="008D4D8C">
        <w:rPr>
          <w:snapToGrid w:val="0"/>
          <w:kern w:val="18"/>
          <w:szCs w:val="18"/>
          <w:lang w:val="fr-CA"/>
        </w:rPr>
        <w:t xml:space="preserve">L’information sur l’état de l’adoption des SPANB tient compte de </w:t>
      </w:r>
      <w:r w:rsidR="001A64CD" w:rsidRPr="008D4D8C">
        <w:rPr>
          <w:snapToGrid w:val="0"/>
          <w:kern w:val="18"/>
          <w:szCs w:val="18"/>
          <w:lang w:val="fr-CA"/>
        </w:rPr>
        <w:t>l’</w:t>
      </w:r>
      <w:r w:rsidR="001A64CD">
        <w:rPr>
          <w:snapToGrid w:val="0"/>
          <w:kern w:val="18"/>
          <w:szCs w:val="18"/>
          <w:lang w:val="fr-CA"/>
        </w:rPr>
        <w:t>informati</w:t>
      </w:r>
      <w:r w:rsidR="001A64CD" w:rsidRPr="008D4D8C">
        <w:rPr>
          <w:snapToGrid w:val="0"/>
          <w:kern w:val="18"/>
          <w:szCs w:val="18"/>
          <w:lang w:val="fr-CA"/>
        </w:rPr>
        <w:t>on reçue des Parties depuis la quatorzième réuni</w:t>
      </w:r>
      <w:r w:rsidR="001A64CD">
        <w:rPr>
          <w:snapToGrid w:val="0"/>
          <w:kern w:val="18"/>
          <w:szCs w:val="18"/>
          <w:lang w:val="fr-CA"/>
        </w:rPr>
        <w:t>on de la Conférence des Parties</w:t>
      </w:r>
      <w:r w:rsidR="001A64CD" w:rsidRPr="008D4D8C">
        <w:rPr>
          <w:snapToGrid w:val="0"/>
          <w:kern w:val="18"/>
          <w:szCs w:val="18"/>
          <w:lang w:val="fr-CA"/>
        </w:rPr>
        <w:t xml:space="preserve"> en réponse aux demandes faites par courriel par le Secrétariat (paragraphe 22 de la décision 14/1), </w:t>
      </w:r>
      <w:r w:rsidR="001A64CD">
        <w:rPr>
          <w:snapToGrid w:val="0"/>
          <w:kern w:val="18"/>
          <w:szCs w:val="18"/>
          <w:lang w:val="fr-CA"/>
        </w:rPr>
        <w:t>ainsi</w:t>
      </w:r>
      <w:r w:rsidR="001A64CD" w:rsidRPr="008D4D8C">
        <w:rPr>
          <w:snapToGrid w:val="0"/>
          <w:kern w:val="18"/>
          <w:szCs w:val="18"/>
          <w:lang w:val="fr-CA"/>
        </w:rPr>
        <w:t xml:space="preserve"> qu’en réponse à la notification 2020-019 du 14 février 2020, qui informe les correspondants </w:t>
      </w:r>
      <w:r w:rsidR="001A64CD">
        <w:rPr>
          <w:snapToGrid w:val="0"/>
          <w:kern w:val="18"/>
          <w:szCs w:val="18"/>
          <w:lang w:val="fr-CA"/>
        </w:rPr>
        <w:t>nationaux</w:t>
      </w:r>
      <w:r w:rsidR="001A64CD" w:rsidRPr="008D4D8C">
        <w:rPr>
          <w:snapToGrid w:val="0"/>
          <w:kern w:val="18"/>
          <w:szCs w:val="18"/>
          <w:lang w:val="fr-CA"/>
        </w:rPr>
        <w:t xml:space="preserve"> de la CDB, les correspondants nationaux du Protocole de Cartagena, les correspondants nationaux de l’accès et du partage des avantages, les correspondants </w:t>
      </w:r>
      <w:r w:rsidR="001A64CD">
        <w:rPr>
          <w:snapToGrid w:val="0"/>
          <w:kern w:val="18"/>
          <w:szCs w:val="18"/>
          <w:lang w:val="fr-CA"/>
        </w:rPr>
        <w:t>nationaux</w:t>
      </w:r>
      <w:r w:rsidR="001A64CD" w:rsidRPr="008D4D8C">
        <w:rPr>
          <w:snapToGrid w:val="0"/>
          <w:kern w:val="18"/>
          <w:szCs w:val="18"/>
          <w:lang w:val="fr-CA"/>
        </w:rPr>
        <w:t xml:space="preserve"> de l’Organe subsidiaire chargé de fournir des avis scientifiques, techniques et technologiques, les peuples autochtones et des communautés locales,</w:t>
      </w:r>
      <w:r w:rsidR="001A64CD">
        <w:rPr>
          <w:snapToGrid w:val="0"/>
          <w:kern w:val="18"/>
          <w:szCs w:val="18"/>
          <w:lang w:val="fr-CA"/>
        </w:rPr>
        <w:t xml:space="preserve"> et les organisations compétent</w:t>
      </w:r>
      <w:r w:rsidR="001A64CD" w:rsidRPr="008D4D8C">
        <w:rPr>
          <w:snapToGrid w:val="0"/>
          <w:kern w:val="18"/>
          <w:szCs w:val="18"/>
          <w:lang w:val="fr-CA"/>
        </w:rPr>
        <w:t>es que la version prélimi</w:t>
      </w:r>
      <w:r w:rsidR="001A64CD">
        <w:rPr>
          <w:snapToGrid w:val="0"/>
          <w:kern w:val="18"/>
          <w:szCs w:val="18"/>
          <w:lang w:val="fr-CA"/>
        </w:rPr>
        <w:t>naire du document sera dispo</w:t>
      </w:r>
      <w:r w:rsidR="001A64CD" w:rsidRPr="008D4D8C">
        <w:rPr>
          <w:snapToGrid w:val="0"/>
          <w:kern w:val="18"/>
          <w:szCs w:val="18"/>
          <w:lang w:val="fr-CA"/>
        </w:rPr>
        <w:t xml:space="preserve">nible </w:t>
      </w:r>
      <w:r w:rsidR="001A64CD">
        <w:rPr>
          <w:snapToGrid w:val="0"/>
          <w:kern w:val="18"/>
          <w:szCs w:val="18"/>
          <w:lang w:val="fr-CA"/>
        </w:rPr>
        <w:t xml:space="preserve">pour examen par les pairs </w:t>
      </w:r>
      <w:r w:rsidR="001A64CD" w:rsidRPr="008D4D8C">
        <w:rPr>
          <w:snapToGrid w:val="0"/>
          <w:kern w:val="18"/>
          <w:szCs w:val="18"/>
          <w:lang w:val="fr-CA"/>
        </w:rPr>
        <w:t xml:space="preserve">sur le site </w:t>
      </w:r>
      <w:r w:rsidR="001A64CD">
        <w:rPr>
          <w:snapToGrid w:val="0"/>
          <w:kern w:val="18"/>
          <w:szCs w:val="18"/>
          <w:lang w:val="fr-CA"/>
        </w:rPr>
        <w:t>Web de la Convention jusqu’au 6 </w:t>
      </w:r>
      <w:r w:rsidR="001A64CD" w:rsidRPr="008D4D8C">
        <w:rPr>
          <w:snapToGrid w:val="0"/>
          <w:kern w:val="18"/>
          <w:szCs w:val="18"/>
          <w:lang w:val="fr-CA"/>
        </w:rPr>
        <w:t>mars 2020</w:t>
      </w:r>
      <w:r w:rsidRPr="008D4D8C">
        <w:rPr>
          <w:snapToGrid w:val="0"/>
          <w:kern w:val="18"/>
          <w:szCs w:val="18"/>
          <w:lang w:val="fr-CA"/>
        </w:rPr>
        <w:t>.</w:t>
      </w:r>
    </w:p>
  </w:footnote>
  <w:footnote w:id="17">
    <w:p w14:paraId="58CECD14" w14:textId="77777777" w:rsidR="00C06AC6" w:rsidRPr="00BC6ED9" w:rsidRDefault="00C06AC6" w:rsidP="00DF06FB">
      <w:pPr>
        <w:pStyle w:val="FootnoteText"/>
        <w:keepLines w:val="0"/>
        <w:suppressLineNumbers/>
        <w:suppressAutoHyphens/>
        <w:adjustRightInd w:val="0"/>
        <w:snapToGrid w:val="0"/>
        <w:ind w:firstLine="0"/>
        <w:rPr>
          <w:noProof/>
          <w:kern w:val="18"/>
          <w:szCs w:val="18"/>
          <w:lang w:val="fr-FR"/>
        </w:rPr>
      </w:pPr>
      <w:r w:rsidRPr="00BC6ED9">
        <w:rPr>
          <w:rStyle w:val="FootnoteReference"/>
          <w:noProof/>
          <w:kern w:val="18"/>
          <w:sz w:val="18"/>
          <w:szCs w:val="18"/>
          <w:lang w:val="fr-FR"/>
        </w:rPr>
        <w:footnoteRef/>
      </w:r>
      <w:r>
        <w:rPr>
          <w:noProof/>
          <w:kern w:val="18"/>
          <w:szCs w:val="18"/>
          <w:lang w:val="fr-FR"/>
        </w:rPr>
        <w:t xml:space="preserve"> Albanie, </w:t>
      </w:r>
      <w:r w:rsidRPr="00BC6ED9">
        <w:rPr>
          <w:noProof/>
          <w:kern w:val="18"/>
          <w:szCs w:val="18"/>
          <w:lang w:val="fr-FR"/>
        </w:rPr>
        <w:t xml:space="preserve">Allemagne, </w:t>
      </w:r>
      <w:r>
        <w:rPr>
          <w:noProof/>
          <w:kern w:val="18"/>
          <w:szCs w:val="18"/>
          <w:lang w:val="fr-FR"/>
        </w:rPr>
        <w:t xml:space="preserve">Andorre, Argentine, </w:t>
      </w:r>
      <w:r w:rsidRPr="00BC6ED9">
        <w:rPr>
          <w:noProof/>
          <w:kern w:val="18"/>
          <w:szCs w:val="18"/>
          <w:lang w:val="fr-FR"/>
        </w:rPr>
        <w:t xml:space="preserve">Arménie, </w:t>
      </w:r>
      <w:r>
        <w:rPr>
          <w:noProof/>
          <w:kern w:val="18"/>
          <w:szCs w:val="18"/>
          <w:lang w:val="fr-FR"/>
        </w:rPr>
        <w:t xml:space="preserve">Azerbaïdjan, </w:t>
      </w:r>
      <w:r w:rsidRPr="00BC6ED9">
        <w:rPr>
          <w:noProof/>
          <w:szCs w:val="18"/>
          <w:lang w:val="fr-FR"/>
        </w:rPr>
        <w:t xml:space="preserve">Bélarus, </w:t>
      </w:r>
      <w:r>
        <w:rPr>
          <w:noProof/>
          <w:szCs w:val="18"/>
          <w:lang w:val="fr-FR"/>
        </w:rPr>
        <w:t xml:space="preserve">Belize, </w:t>
      </w:r>
      <w:r w:rsidRPr="00BC6ED9">
        <w:rPr>
          <w:noProof/>
          <w:szCs w:val="18"/>
          <w:lang w:val="fr-FR"/>
        </w:rPr>
        <w:t xml:space="preserve">Bénin, </w:t>
      </w:r>
      <w:r>
        <w:rPr>
          <w:noProof/>
          <w:szCs w:val="18"/>
          <w:lang w:val="fr-FR"/>
        </w:rPr>
        <w:t xml:space="preserve">Bolivie, Bosnie-Herzégovine, Cambodge, Chili, Chine, </w:t>
      </w:r>
      <w:r w:rsidRPr="00BC6ED9">
        <w:rPr>
          <w:noProof/>
          <w:szCs w:val="18"/>
          <w:lang w:val="fr-FR"/>
        </w:rPr>
        <w:t xml:space="preserve">Colombie, </w:t>
      </w:r>
      <w:r>
        <w:rPr>
          <w:noProof/>
          <w:szCs w:val="18"/>
          <w:lang w:val="fr-FR"/>
        </w:rPr>
        <w:t xml:space="preserve">Costa Rica, Côte d’Ivoire, Croatie, </w:t>
      </w:r>
      <w:r w:rsidRPr="00BC6ED9">
        <w:rPr>
          <w:noProof/>
          <w:szCs w:val="18"/>
          <w:lang w:val="fr-FR"/>
        </w:rPr>
        <w:t xml:space="preserve">Danemark, Espagne, Estonie, Finlande, France, Géorgie, Grèce, </w:t>
      </w:r>
      <w:r>
        <w:rPr>
          <w:noProof/>
          <w:szCs w:val="18"/>
          <w:lang w:val="fr-FR"/>
        </w:rPr>
        <w:t xml:space="preserve">Grenade, </w:t>
      </w:r>
      <w:r w:rsidRPr="00BC6ED9">
        <w:rPr>
          <w:noProof/>
          <w:szCs w:val="18"/>
          <w:lang w:val="fr-FR"/>
        </w:rPr>
        <w:t xml:space="preserve">Guyana, Hongrie, Inde, Japon, Kirghizistan, </w:t>
      </w:r>
      <w:r>
        <w:rPr>
          <w:noProof/>
          <w:szCs w:val="18"/>
          <w:lang w:val="fr-FR"/>
        </w:rPr>
        <w:t xml:space="preserve">Liban, Libéria, Luxembourg, Macédoine du Nord, </w:t>
      </w:r>
      <w:r w:rsidRPr="00BC6ED9">
        <w:rPr>
          <w:noProof/>
          <w:szCs w:val="18"/>
          <w:lang w:val="fr-FR"/>
        </w:rPr>
        <w:t xml:space="preserve">Madagascar, Malte, </w:t>
      </w:r>
      <w:r>
        <w:rPr>
          <w:noProof/>
          <w:szCs w:val="18"/>
          <w:lang w:val="fr-FR"/>
        </w:rPr>
        <w:t xml:space="preserve">Maroc, </w:t>
      </w:r>
      <w:r w:rsidRPr="00BC6ED9">
        <w:rPr>
          <w:noProof/>
          <w:szCs w:val="18"/>
          <w:lang w:val="fr-FR"/>
        </w:rPr>
        <w:t>Mongolie, Myanmar,</w:t>
      </w:r>
      <w:r>
        <w:rPr>
          <w:noProof/>
          <w:szCs w:val="18"/>
          <w:lang w:val="fr-FR"/>
        </w:rPr>
        <w:t xml:space="preserve"> Namibie, Nauru,</w:t>
      </w:r>
      <w:r w:rsidRPr="00BC6ED9">
        <w:rPr>
          <w:noProof/>
          <w:szCs w:val="18"/>
          <w:lang w:val="fr-FR"/>
        </w:rPr>
        <w:t xml:space="preserve"> Népal,</w:t>
      </w:r>
      <w:r>
        <w:rPr>
          <w:noProof/>
          <w:szCs w:val="18"/>
          <w:lang w:val="fr-FR"/>
        </w:rPr>
        <w:t xml:space="preserve"> Norvège,</w:t>
      </w:r>
      <w:r w:rsidRPr="00BC6ED9">
        <w:rPr>
          <w:noProof/>
          <w:szCs w:val="18"/>
          <w:lang w:val="fr-FR"/>
        </w:rPr>
        <w:t xml:space="preserve"> </w:t>
      </w:r>
      <w:r>
        <w:rPr>
          <w:noProof/>
          <w:szCs w:val="18"/>
          <w:lang w:val="fr-FR"/>
        </w:rPr>
        <w:t xml:space="preserve">Nouvelle-Zélande, Pakistan, Palau, Panama, </w:t>
      </w:r>
      <w:r w:rsidRPr="00BC6ED9">
        <w:rPr>
          <w:noProof/>
          <w:szCs w:val="18"/>
          <w:lang w:val="fr-FR"/>
        </w:rPr>
        <w:t>Pays</w:t>
      </w:r>
      <w:r w:rsidRPr="00BC6ED9">
        <w:rPr>
          <w:noProof/>
          <w:szCs w:val="18"/>
          <w:lang w:val="fr-FR"/>
        </w:rPr>
        <w:noBreakHyphen/>
        <w:t xml:space="preserve">Bas, Pérou, </w:t>
      </w:r>
      <w:r>
        <w:rPr>
          <w:noProof/>
          <w:szCs w:val="18"/>
          <w:lang w:val="fr-FR"/>
        </w:rPr>
        <w:t xml:space="preserve">Philippines, </w:t>
      </w:r>
      <w:r w:rsidRPr="00BC6ED9">
        <w:rPr>
          <w:noProof/>
          <w:szCs w:val="18"/>
          <w:lang w:val="fr-FR"/>
        </w:rPr>
        <w:t xml:space="preserve">Pologne, </w:t>
      </w:r>
      <w:r>
        <w:rPr>
          <w:noProof/>
          <w:szCs w:val="18"/>
          <w:lang w:val="fr-FR"/>
        </w:rPr>
        <w:t xml:space="preserve">République de Corée, </w:t>
      </w:r>
      <w:r w:rsidRPr="00BC6ED9">
        <w:rPr>
          <w:noProof/>
          <w:szCs w:val="18"/>
          <w:lang w:val="fr-FR"/>
        </w:rPr>
        <w:t xml:space="preserve">République de </w:t>
      </w:r>
      <w:r w:rsidR="006C3C79">
        <w:rPr>
          <w:noProof/>
          <w:szCs w:val="18"/>
          <w:lang w:val="fr-FR"/>
        </w:rPr>
        <w:t>Moldova</w:t>
      </w:r>
      <w:r w:rsidRPr="00BC6ED9">
        <w:rPr>
          <w:noProof/>
          <w:szCs w:val="18"/>
          <w:lang w:val="fr-FR"/>
        </w:rPr>
        <w:t xml:space="preserve">, </w:t>
      </w:r>
      <w:r>
        <w:rPr>
          <w:noProof/>
          <w:szCs w:val="18"/>
          <w:lang w:val="fr-FR"/>
        </w:rPr>
        <w:t xml:space="preserve">Rwanda, </w:t>
      </w:r>
      <w:r w:rsidRPr="00BC6ED9">
        <w:rPr>
          <w:noProof/>
          <w:szCs w:val="18"/>
          <w:lang w:val="fr-FR"/>
        </w:rPr>
        <w:t xml:space="preserve">Serbie, Seychelles, </w:t>
      </w:r>
      <w:r>
        <w:rPr>
          <w:noProof/>
          <w:szCs w:val="18"/>
          <w:lang w:val="fr-FR"/>
        </w:rPr>
        <w:t xml:space="preserve">Singapour, Sri Lanka, </w:t>
      </w:r>
      <w:r w:rsidRPr="00BC6ED9">
        <w:rPr>
          <w:noProof/>
          <w:szCs w:val="18"/>
          <w:lang w:val="fr-FR"/>
        </w:rPr>
        <w:t xml:space="preserve">Soudan, </w:t>
      </w:r>
      <w:r>
        <w:rPr>
          <w:noProof/>
          <w:szCs w:val="18"/>
          <w:lang w:val="fr-FR"/>
        </w:rPr>
        <w:t xml:space="preserve">Suède, </w:t>
      </w:r>
      <w:r w:rsidRPr="00BC6ED9">
        <w:rPr>
          <w:noProof/>
          <w:szCs w:val="18"/>
          <w:lang w:val="fr-FR"/>
        </w:rPr>
        <w:t xml:space="preserve">Suisse, </w:t>
      </w:r>
      <w:r>
        <w:rPr>
          <w:noProof/>
          <w:szCs w:val="18"/>
          <w:lang w:val="fr-FR"/>
        </w:rPr>
        <w:t xml:space="preserve">Thaïlande, Trinité-et-Tobago, Turquie, Tuvalu, </w:t>
      </w:r>
      <w:r w:rsidRPr="00BC6ED9">
        <w:rPr>
          <w:noProof/>
          <w:szCs w:val="18"/>
          <w:lang w:val="fr-FR"/>
        </w:rPr>
        <w:t>Union européenne</w:t>
      </w:r>
      <w:r>
        <w:rPr>
          <w:noProof/>
          <w:szCs w:val="18"/>
          <w:lang w:val="fr-FR"/>
        </w:rPr>
        <w:t>, Ukraine et Zimbabwe.</w:t>
      </w:r>
    </w:p>
  </w:footnote>
  <w:footnote w:id="18">
    <w:p w14:paraId="109E6D75" w14:textId="77777777" w:rsidR="00C06AC6" w:rsidRPr="008B663D" w:rsidRDefault="00C06AC6" w:rsidP="008B663D">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8471C3">
        <w:rPr>
          <w:rStyle w:val="FootnoteReference"/>
          <w:snapToGrid w:val="0"/>
          <w:kern w:val="18"/>
          <w:szCs w:val="18"/>
        </w:rPr>
        <w:footnoteRef/>
      </w:r>
      <w:r w:rsidRPr="008B663D">
        <w:rPr>
          <w:snapToGrid w:val="0"/>
          <w:kern w:val="18"/>
          <w:szCs w:val="18"/>
          <w:lang w:val="fr-CA"/>
        </w:rPr>
        <w:t xml:space="preserve"> Afghanistan, </w:t>
      </w:r>
      <w:r>
        <w:rPr>
          <w:snapToGrid w:val="0"/>
          <w:kern w:val="18"/>
          <w:szCs w:val="18"/>
          <w:lang w:val="fr-CA"/>
        </w:rPr>
        <w:t>Antigua-et-Barbuda, Burundi, Eswatini, Guinée, Jordanie, Îles Salomon, Kiribati (en cours), Liban, Mauritanie, Maurice, Ouganda, Pakistan, Philippines, Roumanie, Samoa, Soudan du Sud et Vanuatu</w:t>
      </w:r>
      <w:r w:rsidRPr="008B663D">
        <w:rPr>
          <w:snapToGrid w:val="0"/>
          <w:kern w:val="18"/>
          <w:szCs w:val="18"/>
          <w:lang w:val="fr-CA"/>
        </w:rPr>
        <w:t>.</w:t>
      </w:r>
    </w:p>
  </w:footnote>
  <w:footnote w:id="19">
    <w:p w14:paraId="28D9D847" w14:textId="77777777" w:rsidR="00C06AC6" w:rsidRPr="00BC6ED9" w:rsidRDefault="00C06AC6" w:rsidP="00DF06FB">
      <w:pPr>
        <w:pStyle w:val="FootnoteText"/>
        <w:keepLines w:val="0"/>
        <w:suppressLineNumbers/>
        <w:suppressAutoHyphens/>
        <w:adjustRightInd w:val="0"/>
        <w:snapToGrid w:val="0"/>
        <w:ind w:firstLine="0"/>
        <w:rPr>
          <w:noProof/>
          <w:kern w:val="18"/>
          <w:szCs w:val="18"/>
          <w:lang w:val="fr-FR"/>
        </w:rPr>
      </w:pPr>
      <w:r w:rsidRPr="00BC6ED9">
        <w:rPr>
          <w:rStyle w:val="FootnoteReference"/>
          <w:noProof/>
          <w:kern w:val="18"/>
          <w:sz w:val="18"/>
          <w:szCs w:val="18"/>
          <w:lang w:val="fr-FR"/>
        </w:rPr>
        <w:footnoteRef/>
      </w:r>
      <w:r w:rsidRPr="00BC6ED9">
        <w:rPr>
          <w:noProof/>
          <w:kern w:val="18"/>
          <w:szCs w:val="18"/>
          <w:lang w:val="fr-FR"/>
        </w:rPr>
        <w:t xml:space="preserve"> </w:t>
      </w:r>
      <w:r w:rsidRPr="00BC6ED9">
        <w:rPr>
          <w:noProof/>
          <w:szCs w:val="18"/>
          <w:lang w:val="fr-FR"/>
        </w:rPr>
        <w:t xml:space="preserve">Australie, Bhoutan, </w:t>
      </w:r>
      <w:r>
        <w:rPr>
          <w:noProof/>
          <w:szCs w:val="18"/>
          <w:lang w:val="fr-FR"/>
        </w:rPr>
        <w:t xml:space="preserve">Éthiopie, </w:t>
      </w:r>
      <w:r w:rsidRPr="00BC6ED9">
        <w:rPr>
          <w:noProof/>
          <w:szCs w:val="18"/>
          <w:lang w:val="fr-FR"/>
        </w:rPr>
        <w:t>Guatemala</w:t>
      </w:r>
      <w:r>
        <w:rPr>
          <w:noProof/>
          <w:szCs w:val="18"/>
          <w:lang w:val="fr-FR"/>
        </w:rPr>
        <w:t xml:space="preserve">, Lituanie, </w:t>
      </w:r>
      <w:r w:rsidRPr="00BC6ED9">
        <w:rPr>
          <w:noProof/>
          <w:szCs w:val="18"/>
          <w:lang w:val="fr-FR"/>
        </w:rPr>
        <w:t>République dominicaine</w:t>
      </w:r>
      <w:r>
        <w:rPr>
          <w:noProof/>
          <w:szCs w:val="18"/>
          <w:lang w:val="fr-FR"/>
        </w:rPr>
        <w:t>, Saint-Vincent-et-les-Grenadines</w:t>
      </w:r>
      <w:r>
        <w:rPr>
          <w:noProof/>
          <w:kern w:val="18"/>
          <w:szCs w:val="18"/>
          <w:lang w:val="fr-FR"/>
        </w:rPr>
        <w:t xml:space="preserve"> et Tadjikistan.</w:t>
      </w:r>
    </w:p>
  </w:footnote>
  <w:footnote w:id="20">
    <w:p w14:paraId="484AED2A" w14:textId="77777777" w:rsidR="00C06AC6" w:rsidRPr="00BC6ED9" w:rsidRDefault="00C06AC6" w:rsidP="00DF06FB">
      <w:pPr>
        <w:pStyle w:val="FootnoteText"/>
        <w:keepLines w:val="0"/>
        <w:suppressLineNumbers/>
        <w:suppressAutoHyphens/>
        <w:adjustRightInd w:val="0"/>
        <w:snapToGrid w:val="0"/>
        <w:ind w:firstLine="0"/>
        <w:rPr>
          <w:noProof/>
          <w:kern w:val="18"/>
          <w:szCs w:val="18"/>
          <w:lang w:val="fr-FR"/>
        </w:rPr>
      </w:pPr>
      <w:r w:rsidRPr="00BC6ED9">
        <w:rPr>
          <w:rStyle w:val="FootnoteReference"/>
          <w:noProof/>
          <w:kern w:val="18"/>
          <w:sz w:val="18"/>
          <w:szCs w:val="18"/>
          <w:lang w:val="fr-FR"/>
        </w:rPr>
        <w:footnoteRef/>
      </w:r>
      <w:r w:rsidRPr="00BC6ED9">
        <w:rPr>
          <w:noProof/>
          <w:kern w:val="18"/>
          <w:szCs w:val="18"/>
          <w:lang w:val="fr-FR"/>
        </w:rPr>
        <w:t xml:space="preserve"> Afrique du Sud, Albanie,</w:t>
      </w:r>
      <w:r>
        <w:rPr>
          <w:noProof/>
          <w:kern w:val="18"/>
          <w:szCs w:val="18"/>
          <w:lang w:val="fr-FR"/>
        </w:rPr>
        <w:t xml:space="preserve"> Algérie,</w:t>
      </w:r>
      <w:r w:rsidRPr="00BC6ED9">
        <w:rPr>
          <w:noProof/>
          <w:kern w:val="18"/>
          <w:szCs w:val="18"/>
          <w:lang w:val="fr-FR"/>
        </w:rPr>
        <w:t xml:space="preserve"> Allemagne, </w:t>
      </w:r>
      <w:r w:rsidRPr="00BC6ED9">
        <w:rPr>
          <w:noProof/>
          <w:szCs w:val="18"/>
          <w:lang w:val="fr-FR"/>
        </w:rPr>
        <w:t>Antigua</w:t>
      </w:r>
      <w:r w:rsidRPr="00BC6ED9">
        <w:rPr>
          <w:noProof/>
          <w:szCs w:val="18"/>
          <w:lang w:val="fr-FR"/>
        </w:rPr>
        <w:noBreakHyphen/>
        <w:t>et</w:t>
      </w:r>
      <w:r w:rsidRPr="00BC6ED9">
        <w:rPr>
          <w:noProof/>
          <w:szCs w:val="18"/>
          <w:lang w:val="fr-FR"/>
        </w:rPr>
        <w:noBreakHyphen/>
        <w:t>Barbuda,</w:t>
      </w:r>
      <w:r>
        <w:rPr>
          <w:noProof/>
          <w:szCs w:val="18"/>
          <w:lang w:val="fr-FR"/>
        </w:rPr>
        <w:t xml:space="preserve"> Argentine, </w:t>
      </w:r>
      <w:r w:rsidRPr="00BC6ED9">
        <w:rPr>
          <w:noProof/>
          <w:szCs w:val="18"/>
          <w:lang w:val="fr-FR"/>
        </w:rPr>
        <w:t xml:space="preserve"> Arménie, Australie, </w:t>
      </w:r>
      <w:r>
        <w:rPr>
          <w:noProof/>
          <w:szCs w:val="18"/>
          <w:lang w:val="fr-FR"/>
        </w:rPr>
        <w:t xml:space="preserve">Alzerbaïdjan, </w:t>
      </w:r>
      <w:r w:rsidRPr="00BC6ED9">
        <w:rPr>
          <w:noProof/>
          <w:szCs w:val="18"/>
          <w:lang w:val="fr-FR"/>
        </w:rPr>
        <w:t xml:space="preserve">Bahreïn, </w:t>
      </w:r>
      <w:r>
        <w:rPr>
          <w:noProof/>
          <w:szCs w:val="18"/>
          <w:lang w:val="fr-FR"/>
        </w:rPr>
        <w:t xml:space="preserve">Bangladesh, </w:t>
      </w:r>
      <w:r w:rsidRPr="00BC6ED9">
        <w:rPr>
          <w:noProof/>
          <w:szCs w:val="18"/>
          <w:lang w:val="fr-FR"/>
        </w:rPr>
        <w:t xml:space="preserve">Belgique, </w:t>
      </w:r>
      <w:r>
        <w:rPr>
          <w:noProof/>
          <w:szCs w:val="18"/>
          <w:lang w:val="fr-FR"/>
        </w:rPr>
        <w:t xml:space="preserve">Belize, </w:t>
      </w:r>
      <w:r w:rsidRPr="00BC6ED9">
        <w:rPr>
          <w:noProof/>
          <w:szCs w:val="18"/>
          <w:lang w:val="fr-FR"/>
        </w:rPr>
        <w:t xml:space="preserve">Bénin, Bhoutan, </w:t>
      </w:r>
      <w:r w:rsidRPr="00BC6ED9">
        <w:rPr>
          <w:noProof/>
          <w:kern w:val="18"/>
          <w:szCs w:val="18"/>
          <w:lang w:val="fr-FR"/>
        </w:rPr>
        <w:t>Bosnie-Herzégovine</w:t>
      </w:r>
      <w:r w:rsidRPr="00BC6ED9">
        <w:rPr>
          <w:noProof/>
          <w:szCs w:val="18"/>
          <w:lang w:val="fr-FR"/>
        </w:rPr>
        <w:t xml:space="preserve">, Botswana, </w:t>
      </w:r>
      <w:r>
        <w:rPr>
          <w:noProof/>
          <w:szCs w:val="18"/>
          <w:lang w:val="fr-FR"/>
        </w:rPr>
        <w:t xml:space="preserve">Brésil, </w:t>
      </w:r>
      <w:r w:rsidRPr="00BC6ED9">
        <w:rPr>
          <w:noProof/>
          <w:szCs w:val="18"/>
          <w:lang w:val="fr-FR"/>
        </w:rPr>
        <w:t>Burundi,</w:t>
      </w:r>
      <w:r>
        <w:rPr>
          <w:noProof/>
          <w:szCs w:val="18"/>
          <w:lang w:val="fr-FR"/>
        </w:rPr>
        <w:t xml:space="preserve"> Cabo Verde, </w:t>
      </w:r>
      <w:r w:rsidRPr="00BC6ED9">
        <w:rPr>
          <w:noProof/>
          <w:szCs w:val="18"/>
          <w:lang w:val="fr-FR"/>
        </w:rPr>
        <w:t xml:space="preserve">Cambodge, Cameroun, </w:t>
      </w:r>
      <w:r>
        <w:rPr>
          <w:noProof/>
          <w:szCs w:val="18"/>
          <w:lang w:val="fr-FR"/>
        </w:rPr>
        <w:t xml:space="preserve">Chili, </w:t>
      </w:r>
      <w:r w:rsidRPr="00BC6ED9">
        <w:rPr>
          <w:noProof/>
          <w:szCs w:val="18"/>
          <w:lang w:val="fr-FR"/>
        </w:rPr>
        <w:t xml:space="preserve">Chine, Colombie, </w:t>
      </w:r>
      <w:r>
        <w:rPr>
          <w:noProof/>
          <w:szCs w:val="18"/>
          <w:lang w:val="fr-FR"/>
        </w:rPr>
        <w:t xml:space="preserve">Comores, </w:t>
      </w:r>
      <w:r w:rsidRPr="00BC6ED9">
        <w:rPr>
          <w:noProof/>
          <w:szCs w:val="18"/>
          <w:lang w:val="fr-FR"/>
        </w:rPr>
        <w:t xml:space="preserve">Congo, </w:t>
      </w:r>
      <w:r>
        <w:rPr>
          <w:noProof/>
          <w:szCs w:val="18"/>
          <w:lang w:val="fr-FR"/>
        </w:rPr>
        <w:t xml:space="preserve">Costa Rica, Croatie, Cuba, Djibouti, </w:t>
      </w:r>
      <w:r w:rsidRPr="00BC6ED9">
        <w:rPr>
          <w:noProof/>
          <w:szCs w:val="18"/>
          <w:lang w:val="fr-FR"/>
        </w:rPr>
        <w:t xml:space="preserve">Dominique, Egypte, </w:t>
      </w:r>
      <w:r>
        <w:rPr>
          <w:noProof/>
          <w:szCs w:val="18"/>
          <w:lang w:val="fr-FR"/>
        </w:rPr>
        <w:t xml:space="preserve">Équateur, Eswatini, États fédérés de Micronésie, </w:t>
      </w:r>
      <w:r w:rsidRPr="00BC6ED9">
        <w:rPr>
          <w:noProof/>
          <w:szCs w:val="18"/>
          <w:lang w:val="fr-FR"/>
        </w:rPr>
        <w:t xml:space="preserve">Ethiopie, </w:t>
      </w:r>
      <w:r>
        <w:rPr>
          <w:noProof/>
          <w:szCs w:val="18"/>
          <w:lang w:val="fr-FR"/>
        </w:rPr>
        <w:t xml:space="preserve">Fédération de Russie, </w:t>
      </w:r>
      <w:r w:rsidRPr="00BC6ED9">
        <w:rPr>
          <w:noProof/>
          <w:szCs w:val="18"/>
          <w:lang w:val="fr-FR"/>
        </w:rPr>
        <w:t xml:space="preserve">Finlande, France, Gambie, Géorgie, </w:t>
      </w:r>
      <w:r>
        <w:rPr>
          <w:noProof/>
          <w:szCs w:val="18"/>
          <w:lang w:val="fr-FR"/>
        </w:rPr>
        <w:t xml:space="preserve">Ghana, Grenade, Guinée, </w:t>
      </w:r>
      <w:r w:rsidRPr="00BC6ED9">
        <w:rPr>
          <w:noProof/>
          <w:szCs w:val="18"/>
          <w:lang w:val="fr-FR"/>
        </w:rPr>
        <w:t xml:space="preserve">Guinée équatoriale, </w:t>
      </w:r>
      <w:r>
        <w:rPr>
          <w:noProof/>
          <w:szCs w:val="18"/>
          <w:lang w:val="fr-FR"/>
        </w:rPr>
        <w:t xml:space="preserve">Honduras, Indonésie, </w:t>
      </w:r>
      <w:r w:rsidRPr="00BC6ED9">
        <w:rPr>
          <w:noProof/>
          <w:szCs w:val="18"/>
          <w:lang w:val="fr-FR"/>
        </w:rPr>
        <w:t xml:space="preserve">Inde, Irlande, Japon, Jordanie, Kirghizistan, Liban, </w:t>
      </w:r>
      <w:r>
        <w:rPr>
          <w:noProof/>
          <w:szCs w:val="18"/>
          <w:lang w:val="fr-FR"/>
        </w:rPr>
        <w:t xml:space="preserve">Liberia, Luxembourg, Macédoine du Nord, </w:t>
      </w:r>
      <w:r w:rsidRPr="00BC6ED9">
        <w:rPr>
          <w:noProof/>
          <w:szCs w:val="18"/>
          <w:lang w:val="fr-FR"/>
        </w:rPr>
        <w:t xml:space="preserve">Madagascar, Malawi, Maroc, </w:t>
      </w:r>
      <w:r>
        <w:rPr>
          <w:noProof/>
          <w:szCs w:val="18"/>
          <w:lang w:val="fr-FR"/>
        </w:rPr>
        <w:t xml:space="preserve">Maurice, </w:t>
      </w:r>
      <w:r w:rsidRPr="00BC6ED9">
        <w:rPr>
          <w:noProof/>
          <w:szCs w:val="18"/>
          <w:lang w:val="fr-FR"/>
        </w:rPr>
        <w:t xml:space="preserve">Mauritanie, </w:t>
      </w:r>
      <w:r>
        <w:rPr>
          <w:noProof/>
          <w:szCs w:val="18"/>
          <w:lang w:val="fr-FR"/>
        </w:rPr>
        <w:t xml:space="preserve">Mexique, </w:t>
      </w:r>
      <w:r w:rsidRPr="00BC6ED9">
        <w:rPr>
          <w:noProof/>
          <w:szCs w:val="18"/>
          <w:lang w:val="fr-FR"/>
        </w:rPr>
        <w:t xml:space="preserve">Mongolie, </w:t>
      </w:r>
      <w:r>
        <w:rPr>
          <w:noProof/>
          <w:szCs w:val="18"/>
          <w:lang w:val="fr-FR"/>
        </w:rPr>
        <w:t xml:space="preserve">Monténégro, </w:t>
      </w:r>
      <w:r w:rsidRPr="00BC6ED9">
        <w:rPr>
          <w:noProof/>
          <w:szCs w:val="18"/>
          <w:lang w:val="fr-FR"/>
        </w:rPr>
        <w:t xml:space="preserve">Mozambique, Namibie, Népal, Nigéria, Nioué, Ouganda, </w:t>
      </w:r>
      <w:r>
        <w:rPr>
          <w:noProof/>
          <w:szCs w:val="18"/>
          <w:lang w:val="fr-FR"/>
        </w:rPr>
        <w:t xml:space="preserve">Pakistan, Palau, Paraguay, Philippines, </w:t>
      </w:r>
      <w:r w:rsidRPr="00BC6ED9">
        <w:rPr>
          <w:noProof/>
          <w:szCs w:val="18"/>
          <w:lang w:val="fr-FR"/>
        </w:rPr>
        <w:t xml:space="preserve">Pologne, Qatar, République de Corée, </w:t>
      </w:r>
      <w:r>
        <w:rPr>
          <w:noProof/>
          <w:szCs w:val="18"/>
          <w:lang w:val="fr-FR"/>
        </w:rPr>
        <w:t xml:space="preserve">République démocratique du Congo, </w:t>
      </w:r>
      <w:r w:rsidRPr="00BC6ED9">
        <w:rPr>
          <w:noProof/>
          <w:szCs w:val="18"/>
          <w:lang w:val="fr-FR"/>
        </w:rPr>
        <w:t xml:space="preserve">République de Moldova, </w:t>
      </w:r>
      <w:r w:rsidRPr="00BC6ED9">
        <w:rPr>
          <w:noProof/>
          <w:kern w:val="18"/>
          <w:szCs w:val="18"/>
          <w:lang w:val="fr-FR"/>
        </w:rPr>
        <w:t>République démocratique populaire lao</w:t>
      </w:r>
      <w:r w:rsidRPr="00BC6ED9">
        <w:rPr>
          <w:noProof/>
          <w:szCs w:val="18"/>
          <w:lang w:val="fr-FR"/>
        </w:rPr>
        <w:t xml:space="preserve">, </w:t>
      </w:r>
      <w:r>
        <w:rPr>
          <w:noProof/>
          <w:szCs w:val="18"/>
          <w:lang w:val="fr-FR"/>
        </w:rPr>
        <w:t xml:space="preserve">République islamique d’Iran, </w:t>
      </w:r>
      <w:r w:rsidRPr="00BC6ED9">
        <w:rPr>
          <w:noProof/>
          <w:szCs w:val="18"/>
          <w:lang w:val="fr-FR"/>
        </w:rPr>
        <w:t>République populaire démocratique de Corée, République-Unie de Tanzanie, Royaume</w:t>
      </w:r>
      <w:r w:rsidRPr="00BC6ED9">
        <w:rPr>
          <w:noProof/>
          <w:szCs w:val="18"/>
          <w:lang w:val="fr-FR"/>
        </w:rPr>
        <w:noBreakHyphen/>
        <w:t xml:space="preserve">Uni, </w:t>
      </w:r>
      <w:r>
        <w:rPr>
          <w:noProof/>
          <w:szCs w:val="18"/>
          <w:lang w:val="fr-FR"/>
        </w:rPr>
        <w:t xml:space="preserve">Rwanda, </w:t>
      </w:r>
      <w:r w:rsidRPr="00BC6ED9">
        <w:rPr>
          <w:noProof/>
          <w:szCs w:val="18"/>
          <w:lang w:val="fr-FR"/>
        </w:rPr>
        <w:t xml:space="preserve">Saint-Kitts-et-Nevis, </w:t>
      </w:r>
      <w:r>
        <w:rPr>
          <w:noProof/>
          <w:szCs w:val="18"/>
          <w:lang w:val="fr-FR"/>
        </w:rPr>
        <w:t xml:space="preserve">Saint-Vincent-et-les-Grenadines, Samoa, Sao Tomé-et-Principe, </w:t>
      </w:r>
      <w:r w:rsidRPr="00BC6ED9">
        <w:rPr>
          <w:noProof/>
          <w:szCs w:val="18"/>
          <w:lang w:val="fr-FR"/>
        </w:rPr>
        <w:t xml:space="preserve">Sénégal, Seychelles, </w:t>
      </w:r>
      <w:r>
        <w:rPr>
          <w:noProof/>
          <w:szCs w:val="18"/>
          <w:lang w:val="fr-FR"/>
        </w:rPr>
        <w:t xml:space="preserve">Sierra Leone, </w:t>
      </w:r>
      <w:r w:rsidRPr="00BC6ED9">
        <w:rPr>
          <w:noProof/>
          <w:szCs w:val="18"/>
          <w:lang w:val="fr-FR"/>
        </w:rPr>
        <w:t xml:space="preserve">Slovaquie, </w:t>
      </w:r>
      <w:r>
        <w:rPr>
          <w:noProof/>
          <w:szCs w:val="18"/>
          <w:lang w:val="fr-FR"/>
        </w:rPr>
        <w:t xml:space="preserve">Sri Lanka, </w:t>
      </w:r>
      <w:r w:rsidRPr="00BC6ED9">
        <w:rPr>
          <w:noProof/>
          <w:szCs w:val="18"/>
          <w:lang w:val="fr-FR"/>
        </w:rPr>
        <w:t xml:space="preserve">Suriname, </w:t>
      </w:r>
      <w:r>
        <w:rPr>
          <w:noProof/>
          <w:szCs w:val="18"/>
          <w:lang w:val="fr-FR"/>
        </w:rPr>
        <w:t xml:space="preserve">Tadjikistan, </w:t>
      </w:r>
      <w:r w:rsidRPr="00BC6ED9">
        <w:rPr>
          <w:noProof/>
          <w:szCs w:val="18"/>
          <w:lang w:val="fr-FR"/>
        </w:rPr>
        <w:t xml:space="preserve">Tchad, </w:t>
      </w:r>
      <w:r>
        <w:rPr>
          <w:noProof/>
          <w:szCs w:val="18"/>
          <w:lang w:val="fr-FR"/>
        </w:rPr>
        <w:t xml:space="preserve">Tchéquie, Thaïlande, </w:t>
      </w:r>
      <w:r w:rsidRPr="00BC6ED9">
        <w:rPr>
          <w:noProof/>
          <w:szCs w:val="18"/>
          <w:lang w:val="fr-FR"/>
        </w:rPr>
        <w:t xml:space="preserve">Togo, </w:t>
      </w:r>
      <w:r>
        <w:rPr>
          <w:noProof/>
          <w:szCs w:val="18"/>
          <w:lang w:val="fr-FR"/>
        </w:rPr>
        <w:t xml:space="preserve">Trinité-et-Tobago, Tunisie, Turquie, </w:t>
      </w:r>
      <w:r w:rsidRPr="00BC6ED9">
        <w:rPr>
          <w:noProof/>
          <w:szCs w:val="18"/>
          <w:lang w:val="fr-FR"/>
        </w:rPr>
        <w:t xml:space="preserve">Union européenne, Uruguay, </w:t>
      </w:r>
      <w:r>
        <w:rPr>
          <w:noProof/>
          <w:szCs w:val="18"/>
          <w:lang w:val="fr-FR"/>
        </w:rPr>
        <w:t xml:space="preserve">Vanuatu, </w:t>
      </w:r>
      <w:r w:rsidRPr="00BC6ED9">
        <w:rPr>
          <w:noProof/>
          <w:szCs w:val="18"/>
          <w:lang w:val="fr-FR"/>
        </w:rPr>
        <w:t>Viet Nam,</w:t>
      </w:r>
      <w:r>
        <w:rPr>
          <w:noProof/>
          <w:szCs w:val="18"/>
          <w:lang w:val="fr-FR"/>
        </w:rPr>
        <w:t xml:space="preserve"> Yemen,</w:t>
      </w:r>
      <w:r w:rsidRPr="00BC6ED9">
        <w:rPr>
          <w:noProof/>
          <w:szCs w:val="18"/>
          <w:lang w:val="fr-FR"/>
        </w:rPr>
        <w:t xml:space="preserve"> Zambie et Zimbabwe</w:t>
      </w:r>
      <w:r w:rsidRPr="00BC6ED9">
        <w:rPr>
          <w:noProof/>
          <w:kern w:val="18"/>
          <w:szCs w:val="18"/>
          <w:lang w:val="fr-FR"/>
        </w:rPr>
        <w:t>.</w:t>
      </w:r>
    </w:p>
  </w:footnote>
  <w:footnote w:id="21">
    <w:p w14:paraId="7D794822" w14:textId="77777777" w:rsidR="00C06AC6" w:rsidRPr="00BC6ED9" w:rsidRDefault="00C06AC6" w:rsidP="00DF06FB">
      <w:pPr>
        <w:pStyle w:val="FootnoteText"/>
        <w:spacing w:after="80"/>
        <w:ind w:firstLine="0"/>
        <w:rPr>
          <w:szCs w:val="18"/>
          <w:lang w:val="fr-FR"/>
        </w:rPr>
      </w:pPr>
      <w:r w:rsidRPr="00BC6ED9">
        <w:rPr>
          <w:rStyle w:val="FootnoteReference"/>
          <w:sz w:val="18"/>
          <w:szCs w:val="18"/>
          <w:lang w:val="fr-FR"/>
        </w:rPr>
        <w:footnoteRef/>
      </w:r>
      <w:r w:rsidRPr="00BC6ED9">
        <w:rPr>
          <w:szCs w:val="18"/>
          <w:lang w:val="fr-FR"/>
        </w:rPr>
        <w:t xml:space="preserve"> Cela comprend des évaluations de la mise en œuvre importantes pour le Plan stratégique 2011-2020 pour la diversité biologique, entre autres.</w:t>
      </w:r>
    </w:p>
  </w:footnote>
  <w:footnote w:id="22">
    <w:p w14:paraId="30D1456D" w14:textId="77777777" w:rsidR="00C06AC6" w:rsidRPr="00BC6ED9" w:rsidRDefault="00C06AC6" w:rsidP="00836592">
      <w:pPr>
        <w:pStyle w:val="FootnoteText"/>
        <w:keepLines w:val="0"/>
        <w:suppressLineNumbers/>
        <w:suppressAutoHyphens/>
        <w:adjustRightInd w:val="0"/>
        <w:snapToGrid w:val="0"/>
        <w:ind w:firstLine="0"/>
        <w:rPr>
          <w:lang w:val="fr-FR"/>
        </w:rPr>
      </w:pPr>
      <w:r w:rsidRPr="00BC6ED9">
        <w:rPr>
          <w:rStyle w:val="FootnoteReference"/>
          <w:lang w:val="fr-FR"/>
        </w:rPr>
        <w:footnoteRef/>
      </w:r>
      <w:r w:rsidRPr="00BC6ED9">
        <w:rPr>
          <w:lang w:val="fr-FR"/>
        </w:rPr>
        <w:t xml:space="preserve"> </w:t>
      </w:r>
      <w:r w:rsidRPr="00BC6ED9">
        <w:rPr>
          <w:noProof/>
          <w:szCs w:val="18"/>
          <w:lang w:val="fr-FR"/>
        </w:rPr>
        <w:t>Afrique</w:t>
      </w:r>
      <w:r w:rsidRPr="00BC6ED9">
        <w:rPr>
          <w:lang w:val="fr-FR"/>
        </w:rPr>
        <w:t xml:space="preserve"> du Sud, </w:t>
      </w:r>
      <w:r>
        <w:rPr>
          <w:lang w:val="fr-FR"/>
        </w:rPr>
        <w:t xml:space="preserve">Croatie, </w:t>
      </w:r>
      <w:r w:rsidRPr="00BC6ED9">
        <w:rPr>
          <w:lang w:val="fr-FR"/>
        </w:rPr>
        <w:t xml:space="preserve">Dominique, </w:t>
      </w:r>
      <w:r>
        <w:rPr>
          <w:lang w:val="fr-FR"/>
        </w:rPr>
        <w:t xml:space="preserve">Honduras, Irlande, Jordanie, </w:t>
      </w:r>
      <w:r w:rsidRPr="00BC6ED9">
        <w:rPr>
          <w:lang w:val="fr-FR"/>
        </w:rPr>
        <w:t xml:space="preserve">Mongolie, </w:t>
      </w:r>
      <w:r>
        <w:rPr>
          <w:lang w:val="fr-FR"/>
        </w:rPr>
        <w:t xml:space="preserve">Monténégro, </w:t>
      </w:r>
      <w:r w:rsidRPr="00BC6ED9">
        <w:rPr>
          <w:lang w:val="fr-FR"/>
        </w:rPr>
        <w:t xml:space="preserve">Namibie, Pologne, République de Corée, </w:t>
      </w:r>
      <w:r>
        <w:rPr>
          <w:lang w:val="fr-FR"/>
        </w:rPr>
        <w:t xml:space="preserve">République islamique d’Iran, </w:t>
      </w:r>
      <w:r w:rsidRPr="00BC6ED9">
        <w:rPr>
          <w:lang w:val="fr-FR"/>
        </w:rPr>
        <w:t>République-Unie de Tanzanie, Saint-Kitts-et-Nevis</w:t>
      </w:r>
      <w:r>
        <w:rPr>
          <w:lang w:val="fr-FR"/>
        </w:rPr>
        <w:t>, Sierra Leone, Sri Lanka, Tadjikistan, Thaïlande</w:t>
      </w:r>
      <w:r w:rsidRPr="00BC6ED9">
        <w:rPr>
          <w:lang w:val="fr-FR"/>
        </w:rPr>
        <w:t xml:space="preserve"> et Viet Nam.</w:t>
      </w:r>
    </w:p>
  </w:footnote>
  <w:footnote w:id="23">
    <w:p w14:paraId="676130D9" w14:textId="77777777" w:rsidR="00C06AC6" w:rsidRPr="00BC6ED9" w:rsidRDefault="00C06AC6" w:rsidP="00DF06FB">
      <w:pPr>
        <w:pStyle w:val="FootnoteText"/>
        <w:keepLines w:val="0"/>
        <w:suppressLineNumbers/>
        <w:suppressAutoHyphens/>
        <w:adjustRightInd w:val="0"/>
        <w:snapToGrid w:val="0"/>
        <w:ind w:firstLine="0"/>
        <w:rPr>
          <w:lang w:val="fr-FR"/>
        </w:rPr>
      </w:pPr>
      <w:r w:rsidRPr="00BC6ED9">
        <w:rPr>
          <w:rStyle w:val="FootnoteReference"/>
          <w:lang w:val="fr-FR"/>
        </w:rPr>
        <w:footnoteRef/>
      </w:r>
      <w:r w:rsidRPr="00BC6ED9">
        <w:rPr>
          <w:lang w:val="fr-FR"/>
        </w:rPr>
        <w:t xml:space="preserve"> </w:t>
      </w:r>
      <w:r w:rsidRPr="00BC6ED9">
        <w:rPr>
          <w:noProof/>
          <w:szCs w:val="18"/>
          <w:lang w:val="fr-FR"/>
        </w:rPr>
        <w:t>Afrique</w:t>
      </w:r>
      <w:r w:rsidRPr="00BC6ED9">
        <w:rPr>
          <w:lang w:val="fr-FR"/>
        </w:rPr>
        <w:t xml:space="preserve"> du Sud, Albanie, </w:t>
      </w:r>
      <w:r>
        <w:rPr>
          <w:lang w:val="fr-FR"/>
        </w:rPr>
        <w:t xml:space="preserve">Algérie, </w:t>
      </w:r>
      <w:r w:rsidRPr="00BC6ED9">
        <w:rPr>
          <w:lang w:val="fr-FR"/>
        </w:rPr>
        <w:t xml:space="preserve">Arménie, Australie, Bahreïn, </w:t>
      </w:r>
      <w:r>
        <w:rPr>
          <w:lang w:val="fr-FR"/>
        </w:rPr>
        <w:t xml:space="preserve">Bangladesh, Belize, </w:t>
      </w:r>
      <w:r w:rsidRPr="00BC6ED9">
        <w:rPr>
          <w:lang w:val="fr-FR"/>
        </w:rPr>
        <w:t xml:space="preserve">Bhoutan, </w:t>
      </w:r>
      <w:r>
        <w:rPr>
          <w:lang w:val="fr-FR"/>
        </w:rPr>
        <w:t xml:space="preserve">Cabo Verde, Chili, </w:t>
      </w:r>
      <w:r w:rsidRPr="00BC6ED9">
        <w:rPr>
          <w:lang w:val="fr-FR"/>
        </w:rPr>
        <w:t>Chine,</w:t>
      </w:r>
      <w:r>
        <w:rPr>
          <w:lang w:val="fr-FR"/>
        </w:rPr>
        <w:t xml:space="preserve"> Comores,</w:t>
      </w:r>
      <w:r w:rsidRPr="00BC6ED9">
        <w:rPr>
          <w:lang w:val="fr-FR"/>
        </w:rPr>
        <w:t xml:space="preserve"> Égypte, </w:t>
      </w:r>
      <w:r>
        <w:rPr>
          <w:lang w:val="fr-FR"/>
        </w:rPr>
        <w:t xml:space="preserve">Équateur, États fédérés de Micronésie, </w:t>
      </w:r>
      <w:r w:rsidRPr="00BC6ED9">
        <w:rPr>
          <w:lang w:val="fr-FR"/>
        </w:rPr>
        <w:t>Gambie, Géorgie,</w:t>
      </w:r>
      <w:r>
        <w:rPr>
          <w:lang w:val="fr-FR"/>
        </w:rPr>
        <w:t xml:space="preserve"> Grenade, Guinée,</w:t>
      </w:r>
      <w:r w:rsidRPr="00BC6ED9">
        <w:rPr>
          <w:lang w:val="fr-FR"/>
        </w:rPr>
        <w:t xml:space="preserve"> </w:t>
      </w:r>
      <w:r>
        <w:rPr>
          <w:lang w:val="fr-FR"/>
        </w:rPr>
        <w:t xml:space="preserve">Irlande, </w:t>
      </w:r>
      <w:r w:rsidRPr="00BC6ED9">
        <w:rPr>
          <w:lang w:val="fr-FR"/>
        </w:rPr>
        <w:t xml:space="preserve">Kirghizistan, </w:t>
      </w:r>
      <w:r>
        <w:rPr>
          <w:lang w:val="fr-FR"/>
        </w:rPr>
        <w:t xml:space="preserve">Kiribati, Luxembourg, Macédoine du Nord, </w:t>
      </w:r>
      <w:r w:rsidRPr="00BC6ED9">
        <w:rPr>
          <w:lang w:val="fr-FR"/>
        </w:rPr>
        <w:t xml:space="preserve">Madagascar, Malawi, </w:t>
      </w:r>
      <w:r>
        <w:rPr>
          <w:lang w:val="fr-FR"/>
        </w:rPr>
        <w:t xml:space="preserve">Maurice, Namibie, </w:t>
      </w:r>
      <w:r w:rsidRPr="00BC6ED9">
        <w:rPr>
          <w:lang w:val="fr-FR"/>
        </w:rPr>
        <w:t xml:space="preserve">Ouganda, </w:t>
      </w:r>
      <w:r>
        <w:rPr>
          <w:lang w:val="fr-FR"/>
        </w:rPr>
        <w:t xml:space="preserve">Pakistan, </w:t>
      </w:r>
      <w:r w:rsidRPr="00BC6ED9">
        <w:rPr>
          <w:lang w:val="fr-FR"/>
        </w:rPr>
        <w:t xml:space="preserve">République de Corée, République démocratique populaire lao, </w:t>
      </w:r>
      <w:r>
        <w:rPr>
          <w:lang w:val="fr-FR"/>
        </w:rPr>
        <w:t xml:space="preserve">Royaume-Uni, Rwanda, Samoa, Sao Tomé-et-Principe, </w:t>
      </w:r>
      <w:r w:rsidRPr="00BC6ED9">
        <w:rPr>
          <w:lang w:val="fr-FR"/>
        </w:rPr>
        <w:t xml:space="preserve">Sénégal, Seychelles, </w:t>
      </w:r>
      <w:r>
        <w:rPr>
          <w:lang w:val="fr-FR"/>
        </w:rPr>
        <w:t xml:space="preserve">Sierra Leone, Tadjikistan, </w:t>
      </w:r>
      <w:r w:rsidRPr="00BC6ED9">
        <w:rPr>
          <w:lang w:val="fr-FR"/>
        </w:rPr>
        <w:t>Tchad</w:t>
      </w:r>
      <w:r>
        <w:rPr>
          <w:lang w:val="fr-FR"/>
        </w:rPr>
        <w:t xml:space="preserve">, Trinité-et-Tobago, Tunisie, Turquie </w:t>
      </w:r>
      <w:r w:rsidRPr="00BC6ED9">
        <w:rPr>
          <w:lang w:val="fr-FR"/>
        </w:rPr>
        <w:t>et Uruguay.</w:t>
      </w:r>
    </w:p>
  </w:footnote>
  <w:footnote w:id="24">
    <w:p w14:paraId="169BF543" w14:textId="77777777" w:rsidR="00C06AC6" w:rsidRPr="00BC6ED9" w:rsidRDefault="00C06AC6" w:rsidP="00DF06FB">
      <w:pPr>
        <w:pStyle w:val="FootnoteText"/>
        <w:keepLines w:val="0"/>
        <w:suppressLineNumbers/>
        <w:suppressAutoHyphens/>
        <w:adjustRightInd w:val="0"/>
        <w:snapToGrid w:val="0"/>
        <w:ind w:firstLine="0"/>
        <w:rPr>
          <w:lang w:val="fr-FR"/>
        </w:rPr>
      </w:pPr>
      <w:r w:rsidRPr="00BC6ED9">
        <w:rPr>
          <w:rStyle w:val="FootnoteReference"/>
          <w:lang w:val="fr-FR"/>
        </w:rPr>
        <w:footnoteRef/>
      </w:r>
      <w:r w:rsidRPr="00BC6ED9">
        <w:rPr>
          <w:lang w:val="fr-FR"/>
        </w:rPr>
        <w:t xml:space="preserve"> </w:t>
      </w:r>
      <w:r>
        <w:rPr>
          <w:lang w:val="fr-FR"/>
        </w:rPr>
        <w:t xml:space="preserve">Algérie, </w:t>
      </w:r>
      <w:r w:rsidRPr="00BC6ED9">
        <w:rPr>
          <w:noProof/>
          <w:szCs w:val="18"/>
          <w:lang w:val="fr-FR"/>
        </w:rPr>
        <w:t xml:space="preserve">Arménie, Australie, Bahreïn, </w:t>
      </w:r>
      <w:r>
        <w:rPr>
          <w:noProof/>
          <w:szCs w:val="18"/>
          <w:lang w:val="fr-FR"/>
        </w:rPr>
        <w:t xml:space="preserve">Bangladesh, Belize, </w:t>
      </w:r>
      <w:r w:rsidRPr="00BC6ED9">
        <w:rPr>
          <w:noProof/>
          <w:szCs w:val="18"/>
          <w:lang w:val="fr-FR"/>
        </w:rPr>
        <w:t xml:space="preserve">Botswana, Cambodge, Cameroun, </w:t>
      </w:r>
      <w:r>
        <w:rPr>
          <w:noProof/>
          <w:szCs w:val="18"/>
          <w:lang w:val="fr-FR"/>
        </w:rPr>
        <w:t xml:space="preserve">Chili, </w:t>
      </w:r>
      <w:r w:rsidRPr="00BC6ED9">
        <w:rPr>
          <w:noProof/>
          <w:szCs w:val="18"/>
          <w:lang w:val="fr-FR"/>
        </w:rPr>
        <w:t xml:space="preserve">Chine, </w:t>
      </w:r>
      <w:r>
        <w:rPr>
          <w:noProof/>
          <w:szCs w:val="18"/>
          <w:lang w:val="fr-FR"/>
        </w:rPr>
        <w:t xml:space="preserve">Comores, Croatie, Djibouti, </w:t>
      </w:r>
      <w:r w:rsidRPr="00BC6ED9">
        <w:rPr>
          <w:noProof/>
          <w:szCs w:val="18"/>
          <w:lang w:val="fr-FR"/>
        </w:rPr>
        <w:t xml:space="preserve">Egypte, </w:t>
      </w:r>
      <w:r>
        <w:rPr>
          <w:noProof/>
          <w:szCs w:val="18"/>
          <w:lang w:val="fr-FR"/>
        </w:rPr>
        <w:t xml:space="preserve">Eswatini, États fédérés de Micronésie, </w:t>
      </w:r>
      <w:r w:rsidRPr="00BC6ED9">
        <w:rPr>
          <w:noProof/>
          <w:szCs w:val="18"/>
          <w:lang w:val="fr-FR"/>
        </w:rPr>
        <w:t>Ethiopie,</w:t>
      </w:r>
      <w:r>
        <w:rPr>
          <w:noProof/>
          <w:szCs w:val="18"/>
          <w:lang w:val="fr-FR"/>
        </w:rPr>
        <w:t xml:space="preserve"> Fédération de Russie, </w:t>
      </w:r>
      <w:r w:rsidRPr="00BC6ED9">
        <w:rPr>
          <w:noProof/>
          <w:szCs w:val="18"/>
          <w:lang w:val="fr-FR"/>
        </w:rPr>
        <w:t xml:space="preserve">France, Gambie, </w:t>
      </w:r>
      <w:r>
        <w:rPr>
          <w:noProof/>
          <w:szCs w:val="18"/>
          <w:lang w:val="fr-FR"/>
        </w:rPr>
        <w:t xml:space="preserve">Grenade, Guinée, </w:t>
      </w:r>
      <w:r w:rsidRPr="00BC6ED9">
        <w:rPr>
          <w:noProof/>
          <w:szCs w:val="18"/>
          <w:lang w:val="fr-FR"/>
        </w:rPr>
        <w:t xml:space="preserve">Guinée équatoriale, </w:t>
      </w:r>
      <w:r>
        <w:rPr>
          <w:noProof/>
          <w:szCs w:val="18"/>
          <w:lang w:val="fr-FR"/>
        </w:rPr>
        <w:t xml:space="preserve">Indonésie, </w:t>
      </w:r>
      <w:r w:rsidRPr="00BC6ED9">
        <w:rPr>
          <w:noProof/>
          <w:szCs w:val="18"/>
          <w:lang w:val="fr-FR"/>
        </w:rPr>
        <w:t>Jordanie,</w:t>
      </w:r>
      <w:r>
        <w:rPr>
          <w:noProof/>
          <w:szCs w:val="18"/>
          <w:lang w:val="fr-FR"/>
        </w:rPr>
        <w:t xml:space="preserve"> Kiribatri, Liberia, Luxembourg, Macédoine du Nord, </w:t>
      </w:r>
      <w:r w:rsidRPr="00BC6ED9">
        <w:rPr>
          <w:noProof/>
          <w:szCs w:val="18"/>
          <w:lang w:val="fr-FR"/>
        </w:rPr>
        <w:t xml:space="preserve">Maldives, </w:t>
      </w:r>
      <w:r>
        <w:rPr>
          <w:noProof/>
          <w:szCs w:val="18"/>
          <w:lang w:val="fr-FR"/>
        </w:rPr>
        <w:t xml:space="preserve">Maurice, </w:t>
      </w:r>
      <w:r w:rsidRPr="00BC6ED9">
        <w:rPr>
          <w:noProof/>
          <w:szCs w:val="18"/>
          <w:lang w:val="fr-FR"/>
        </w:rPr>
        <w:t xml:space="preserve">Mozambique, Namibie, Nigéria, Ouganda, </w:t>
      </w:r>
      <w:r w:rsidR="005F2A31">
        <w:rPr>
          <w:noProof/>
          <w:szCs w:val="18"/>
          <w:lang w:val="fr-FR"/>
        </w:rPr>
        <w:t xml:space="preserve">Pakistan, </w:t>
      </w:r>
      <w:r>
        <w:rPr>
          <w:noProof/>
          <w:szCs w:val="18"/>
          <w:lang w:val="fr-FR"/>
        </w:rPr>
        <w:t xml:space="preserve">Philippines, </w:t>
      </w:r>
      <w:r w:rsidRPr="00BC6ED9">
        <w:rPr>
          <w:noProof/>
          <w:szCs w:val="18"/>
          <w:lang w:val="fr-FR"/>
        </w:rPr>
        <w:t xml:space="preserve">Pologne, </w:t>
      </w:r>
      <w:r w:rsidR="005F2A31">
        <w:rPr>
          <w:noProof/>
          <w:szCs w:val="18"/>
          <w:lang w:val="fr-FR"/>
        </w:rPr>
        <w:t xml:space="preserve">République de Corée, </w:t>
      </w:r>
      <w:r>
        <w:rPr>
          <w:noProof/>
          <w:szCs w:val="18"/>
          <w:lang w:val="fr-FR"/>
        </w:rPr>
        <w:t xml:space="preserve">République démocratique du Congo, </w:t>
      </w:r>
      <w:r w:rsidRPr="00BC6ED9">
        <w:rPr>
          <w:noProof/>
          <w:kern w:val="18"/>
          <w:szCs w:val="18"/>
          <w:lang w:val="fr-FR"/>
        </w:rPr>
        <w:t>République démocratique populaire lao</w:t>
      </w:r>
      <w:r w:rsidRPr="00BC6ED9">
        <w:rPr>
          <w:noProof/>
          <w:szCs w:val="18"/>
          <w:lang w:val="fr-FR"/>
        </w:rPr>
        <w:t xml:space="preserve">, </w:t>
      </w:r>
      <w:r>
        <w:rPr>
          <w:noProof/>
          <w:szCs w:val="18"/>
          <w:lang w:val="fr-FR"/>
        </w:rPr>
        <w:t xml:space="preserve">République islamique d’Iran, </w:t>
      </w:r>
      <w:r w:rsidRPr="00BC6ED9">
        <w:rPr>
          <w:noProof/>
          <w:szCs w:val="18"/>
          <w:lang w:val="fr-FR"/>
        </w:rPr>
        <w:t>République-Unie de Tanzanie,</w:t>
      </w:r>
      <w:r>
        <w:rPr>
          <w:noProof/>
          <w:szCs w:val="18"/>
          <w:lang w:val="fr-FR"/>
        </w:rPr>
        <w:t xml:space="preserve"> Royaume-Uni, Rwanda, </w:t>
      </w:r>
      <w:r w:rsidRPr="00BC6ED9">
        <w:rPr>
          <w:noProof/>
          <w:szCs w:val="18"/>
          <w:lang w:val="fr-FR"/>
        </w:rPr>
        <w:t xml:space="preserve">Saint-Kitts-et-Nevis, </w:t>
      </w:r>
      <w:r w:rsidR="005F2A31">
        <w:rPr>
          <w:noProof/>
          <w:szCs w:val="18"/>
          <w:lang w:val="fr-FR"/>
        </w:rPr>
        <w:t xml:space="preserve">Saint-Vincent-et-les-Grenadines, </w:t>
      </w:r>
      <w:r>
        <w:rPr>
          <w:noProof/>
          <w:szCs w:val="18"/>
          <w:lang w:val="fr-FR"/>
        </w:rPr>
        <w:t>Samoa,</w:t>
      </w:r>
      <w:r w:rsidRPr="00BC6ED9">
        <w:rPr>
          <w:noProof/>
          <w:szCs w:val="18"/>
          <w:lang w:val="fr-FR"/>
        </w:rPr>
        <w:t xml:space="preserve"> Sénégal,</w:t>
      </w:r>
      <w:r>
        <w:rPr>
          <w:noProof/>
          <w:szCs w:val="18"/>
          <w:lang w:val="fr-FR"/>
        </w:rPr>
        <w:t xml:space="preserve"> Sierra Leone, Sri Lnaka, Tadjikistan, Tchéquie,</w:t>
      </w:r>
      <w:r w:rsidRPr="00BC6ED9">
        <w:rPr>
          <w:noProof/>
          <w:szCs w:val="18"/>
          <w:lang w:val="fr-FR"/>
        </w:rPr>
        <w:t xml:space="preserve"> </w:t>
      </w:r>
      <w:r>
        <w:rPr>
          <w:noProof/>
          <w:szCs w:val="18"/>
          <w:lang w:val="fr-FR"/>
        </w:rPr>
        <w:t xml:space="preserve">Thaïlande, </w:t>
      </w:r>
      <w:r w:rsidR="005F2A31">
        <w:rPr>
          <w:noProof/>
          <w:szCs w:val="18"/>
          <w:lang w:val="fr-FR"/>
        </w:rPr>
        <w:t xml:space="preserve">Trinité-et-Tobago, </w:t>
      </w:r>
      <w:r>
        <w:rPr>
          <w:noProof/>
          <w:szCs w:val="18"/>
          <w:lang w:val="fr-FR"/>
        </w:rPr>
        <w:t xml:space="preserve">Tunisie, Yemen, </w:t>
      </w:r>
      <w:r w:rsidRPr="00BC6ED9">
        <w:rPr>
          <w:noProof/>
          <w:szCs w:val="18"/>
          <w:lang w:val="fr-FR"/>
        </w:rPr>
        <w:t>Zambie et Zimbabwe.</w:t>
      </w:r>
    </w:p>
  </w:footnote>
  <w:footnote w:id="25">
    <w:p w14:paraId="781CCB8D" w14:textId="77777777" w:rsidR="00C06AC6" w:rsidRPr="00BC6ED9" w:rsidRDefault="00C06AC6" w:rsidP="00DF06FB">
      <w:pPr>
        <w:pStyle w:val="FootnoteText"/>
        <w:keepLines w:val="0"/>
        <w:suppressLineNumbers/>
        <w:suppressAutoHyphens/>
        <w:adjustRightInd w:val="0"/>
        <w:snapToGrid w:val="0"/>
        <w:ind w:firstLine="0"/>
        <w:rPr>
          <w:noProof/>
          <w:kern w:val="18"/>
          <w:szCs w:val="18"/>
          <w:lang w:val="fr-FR"/>
        </w:rPr>
      </w:pPr>
      <w:r w:rsidRPr="00BC6ED9">
        <w:rPr>
          <w:rStyle w:val="FootnoteReference"/>
          <w:noProof/>
          <w:kern w:val="18"/>
          <w:sz w:val="18"/>
          <w:szCs w:val="18"/>
          <w:lang w:val="fr-FR"/>
        </w:rPr>
        <w:footnoteRef/>
      </w:r>
      <w:r w:rsidRPr="00BC6ED9">
        <w:rPr>
          <w:noProof/>
          <w:kern w:val="18"/>
          <w:szCs w:val="18"/>
          <w:lang w:val="fr-FR"/>
        </w:rPr>
        <w:t xml:space="preserve"> Afrique du Sud, </w:t>
      </w:r>
      <w:r>
        <w:rPr>
          <w:noProof/>
          <w:kern w:val="18"/>
          <w:szCs w:val="18"/>
          <w:lang w:val="fr-FR"/>
        </w:rPr>
        <w:t xml:space="preserve">Algérie, Argentine, </w:t>
      </w:r>
      <w:r w:rsidR="00FD21F1">
        <w:rPr>
          <w:noProof/>
          <w:kern w:val="18"/>
          <w:szCs w:val="18"/>
          <w:lang w:val="fr-FR"/>
        </w:rPr>
        <w:t xml:space="preserve">Bolivie, </w:t>
      </w:r>
      <w:r>
        <w:rPr>
          <w:noProof/>
          <w:kern w:val="18"/>
          <w:szCs w:val="18"/>
          <w:lang w:val="fr-FR"/>
        </w:rPr>
        <w:t xml:space="preserve">Brésil, </w:t>
      </w:r>
      <w:r w:rsidRPr="00BC6ED9">
        <w:rPr>
          <w:noProof/>
          <w:szCs w:val="18"/>
          <w:lang w:val="fr-FR"/>
        </w:rPr>
        <w:t xml:space="preserve">Burundi, Cameroun, Colombie, </w:t>
      </w:r>
      <w:r>
        <w:rPr>
          <w:noProof/>
          <w:szCs w:val="18"/>
          <w:lang w:val="fr-FR"/>
        </w:rPr>
        <w:t xml:space="preserve">Costa Rica, </w:t>
      </w:r>
      <w:r w:rsidR="008979CC">
        <w:rPr>
          <w:noProof/>
          <w:szCs w:val="18"/>
          <w:lang w:val="fr-FR"/>
        </w:rPr>
        <w:t>É</w:t>
      </w:r>
      <w:r w:rsidR="00FD21F1">
        <w:rPr>
          <w:noProof/>
          <w:szCs w:val="18"/>
          <w:lang w:val="fr-FR"/>
        </w:rPr>
        <w:t xml:space="preserve">tats fédérés de Micronésie, </w:t>
      </w:r>
      <w:r w:rsidRPr="00BC6ED9">
        <w:rPr>
          <w:noProof/>
          <w:szCs w:val="18"/>
          <w:lang w:val="fr-FR"/>
        </w:rPr>
        <w:t xml:space="preserve">Ethiopie, Finlande, Gambie, </w:t>
      </w:r>
      <w:r>
        <w:rPr>
          <w:noProof/>
          <w:szCs w:val="18"/>
          <w:lang w:val="fr-FR"/>
        </w:rPr>
        <w:t xml:space="preserve">Ghana, Grenade, </w:t>
      </w:r>
      <w:r w:rsidRPr="00BC6ED9">
        <w:rPr>
          <w:noProof/>
          <w:szCs w:val="18"/>
          <w:lang w:val="fr-FR"/>
        </w:rPr>
        <w:t xml:space="preserve">Guatemala, Guyana, </w:t>
      </w:r>
      <w:r>
        <w:rPr>
          <w:noProof/>
          <w:szCs w:val="18"/>
          <w:lang w:val="fr-FR"/>
        </w:rPr>
        <w:t xml:space="preserve">Honduras, Îles Salomon, Indonésie, </w:t>
      </w:r>
      <w:r w:rsidRPr="00BC6ED9">
        <w:rPr>
          <w:noProof/>
          <w:szCs w:val="18"/>
          <w:lang w:val="fr-FR"/>
        </w:rPr>
        <w:t xml:space="preserve">Japon, Malawi, </w:t>
      </w:r>
      <w:r>
        <w:rPr>
          <w:noProof/>
          <w:szCs w:val="18"/>
          <w:lang w:val="fr-FR"/>
        </w:rPr>
        <w:t xml:space="preserve">Mexique, </w:t>
      </w:r>
      <w:r w:rsidRPr="00BC6ED9">
        <w:rPr>
          <w:noProof/>
          <w:szCs w:val="18"/>
          <w:lang w:val="fr-FR"/>
        </w:rPr>
        <w:t xml:space="preserve">Namibie, Ouganda, </w:t>
      </w:r>
      <w:r w:rsidR="00FD21F1">
        <w:rPr>
          <w:noProof/>
          <w:szCs w:val="18"/>
          <w:lang w:val="fr-FR"/>
        </w:rPr>
        <w:t xml:space="preserve">Panama, </w:t>
      </w:r>
      <w:r>
        <w:rPr>
          <w:noProof/>
          <w:szCs w:val="18"/>
          <w:lang w:val="fr-FR"/>
        </w:rPr>
        <w:t xml:space="preserve">Paraguay, </w:t>
      </w:r>
      <w:r w:rsidRPr="00BC6ED9">
        <w:rPr>
          <w:noProof/>
          <w:szCs w:val="18"/>
          <w:lang w:val="fr-FR"/>
        </w:rPr>
        <w:t xml:space="preserve">Pérou, </w:t>
      </w:r>
      <w:r>
        <w:rPr>
          <w:noProof/>
          <w:szCs w:val="18"/>
          <w:lang w:val="fr-FR"/>
        </w:rPr>
        <w:t xml:space="preserve">Philippines, République bolivarienne du Venezuela, République démocratique du Congo, </w:t>
      </w:r>
      <w:r w:rsidRPr="00BC6ED9">
        <w:rPr>
          <w:noProof/>
          <w:szCs w:val="18"/>
          <w:lang w:val="fr-FR"/>
        </w:rPr>
        <w:t xml:space="preserve">Sénégal, </w:t>
      </w:r>
      <w:r>
        <w:rPr>
          <w:noProof/>
          <w:szCs w:val="18"/>
          <w:lang w:val="fr-FR"/>
        </w:rPr>
        <w:t xml:space="preserve">Sierra Leone, Sri Lanka, </w:t>
      </w:r>
      <w:r w:rsidRPr="00BC6ED9">
        <w:rPr>
          <w:noProof/>
          <w:szCs w:val="18"/>
          <w:lang w:val="fr-FR"/>
        </w:rPr>
        <w:t xml:space="preserve">Suriname, </w:t>
      </w:r>
      <w:r>
        <w:rPr>
          <w:noProof/>
          <w:szCs w:val="18"/>
          <w:lang w:val="fr-FR"/>
        </w:rPr>
        <w:t xml:space="preserve">Thaïlande, Togo, </w:t>
      </w:r>
      <w:r w:rsidR="00FD21F1">
        <w:rPr>
          <w:noProof/>
          <w:szCs w:val="18"/>
          <w:lang w:val="fr-FR"/>
        </w:rPr>
        <w:t xml:space="preserve">Vanuatu, </w:t>
      </w:r>
      <w:r>
        <w:rPr>
          <w:noProof/>
          <w:szCs w:val="18"/>
          <w:lang w:val="fr-FR"/>
        </w:rPr>
        <w:t xml:space="preserve">Yémen </w:t>
      </w:r>
      <w:r w:rsidRPr="00BC6ED9">
        <w:rPr>
          <w:noProof/>
          <w:szCs w:val="18"/>
          <w:lang w:val="fr-FR"/>
        </w:rPr>
        <w:t>et Zambie</w:t>
      </w:r>
      <w:r w:rsidRPr="00BC6ED9">
        <w:rPr>
          <w:noProof/>
          <w:kern w:val="18"/>
          <w:szCs w:val="18"/>
          <w:lang w:val="fr-FR"/>
        </w:rPr>
        <w:t>.</w:t>
      </w:r>
    </w:p>
  </w:footnote>
  <w:footnote w:id="26">
    <w:p w14:paraId="03B9D39E" w14:textId="77777777" w:rsidR="00C06AC6" w:rsidRPr="00BC6ED9" w:rsidRDefault="00C06AC6" w:rsidP="00DF06FB">
      <w:pPr>
        <w:pStyle w:val="FootnoteText"/>
        <w:keepLines w:val="0"/>
        <w:suppressLineNumbers/>
        <w:suppressAutoHyphens/>
        <w:adjustRightInd w:val="0"/>
        <w:snapToGrid w:val="0"/>
        <w:ind w:firstLine="0"/>
        <w:rPr>
          <w:noProof/>
          <w:kern w:val="18"/>
          <w:szCs w:val="18"/>
          <w:lang w:val="fr-FR"/>
        </w:rPr>
      </w:pPr>
      <w:r w:rsidRPr="00BC6ED9">
        <w:rPr>
          <w:rStyle w:val="FootnoteReference"/>
          <w:noProof/>
          <w:kern w:val="18"/>
          <w:sz w:val="18"/>
          <w:szCs w:val="18"/>
          <w:lang w:val="fr-FR"/>
        </w:rPr>
        <w:footnoteRef/>
      </w:r>
      <w:r w:rsidRPr="00BC6ED9">
        <w:rPr>
          <w:noProof/>
          <w:kern w:val="18"/>
          <w:szCs w:val="18"/>
          <w:lang w:val="fr-FR"/>
        </w:rPr>
        <w:t xml:space="preserve"> </w:t>
      </w:r>
      <w:r w:rsidRPr="00BC6ED9">
        <w:rPr>
          <w:noProof/>
          <w:szCs w:val="18"/>
          <w:lang w:val="fr-FR"/>
        </w:rPr>
        <w:t xml:space="preserve">Afghanistan, Afrique du Sud, </w:t>
      </w:r>
      <w:r>
        <w:rPr>
          <w:noProof/>
          <w:szCs w:val="18"/>
          <w:lang w:val="fr-FR"/>
        </w:rPr>
        <w:t xml:space="preserve">Algérie, Andorre, </w:t>
      </w:r>
      <w:r w:rsidRPr="00BC6ED9">
        <w:rPr>
          <w:noProof/>
          <w:szCs w:val="18"/>
          <w:lang w:val="fr-FR"/>
        </w:rPr>
        <w:t>Antigua</w:t>
      </w:r>
      <w:r w:rsidRPr="00BC6ED9">
        <w:rPr>
          <w:noProof/>
          <w:szCs w:val="18"/>
          <w:lang w:val="fr-FR"/>
        </w:rPr>
        <w:noBreakHyphen/>
        <w:t>et</w:t>
      </w:r>
      <w:r w:rsidRPr="00BC6ED9">
        <w:rPr>
          <w:noProof/>
          <w:szCs w:val="18"/>
          <w:lang w:val="fr-FR"/>
        </w:rPr>
        <w:noBreakHyphen/>
        <w:t xml:space="preserve">Barbuda, </w:t>
      </w:r>
      <w:r>
        <w:rPr>
          <w:noProof/>
          <w:szCs w:val="18"/>
          <w:lang w:val="fr-FR"/>
        </w:rPr>
        <w:t xml:space="preserve">Argentine, </w:t>
      </w:r>
      <w:r w:rsidRPr="00BC6ED9">
        <w:rPr>
          <w:noProof/>
          <w:szCs w:val="18"/>
          <w:lang w:val="fr-FR"/>
        </w:rPr>
        <w:t xml:space="preserve">Bahreïn, </w:t>
      </w:r>
      <w:r>
        <w:rPr>
          <w:noProof/>
          <w:szCs w:val="18"/>
          <w:lang w:val="fr-FR"/>
        </w:rPr>
        <w:t xml:space="preserve">Bangladesh, </w:t>
      </w:r>
      <w:r w:rsidRPr="00BC6ED9">
        <w:rPr>
          <w:noProof/>
          <w:szCs w:val="18"/>
          <w:lang w:val="fr-FR"/>
        </w:rPr>
        <w:t xml:space="preserve">Bélarus, Belgique, </w:t>
      </w:r>
      <w:r>
        <w:rPr>
          <w:noProof/>
          <w:szCs w:val="18"/>
          <w:lang w:val="fr-FR"/>
        </w:rPr>
        <w:t xml:space="preserve">Belize, </w:t>
      </w:r>
      <w:r w:rsidRPr="00BC6ED9">
        <w:rPr>
          <w:noProof/>
          <w:szCs w:val="18"/>
          <w:lang w:val="fr-FR"/>
        </w:rPr>
        <w:t xml:space="preserve">Bhoutan, </w:t>
      </w:r>
      <w:r w:rsidR="00FD21F1">
        <w:rPr>
          <w:noProof/>
          <w:szCs w:val="18"/>
          <w:lang w:val="fr-FR"/>
        </w:rPr>
        <w:t xml:space="preserve">Bolivie, </w:t>
      </w:r>
      <w:r w:rsidRPr="00BC6ED9">
        <w:rPr>
          <w:noProof/>
          <w:szCs w:val="18"/>
          <w:lang w:val="fr-FR"/>
        </w:rPr>
        <w:t xml:space="preserve">Bosnie-Herzégovine, </w:t>
      </w:r>
      <w:r>
        <w:rPr>
          <w:noProof/>
          <w:szCs w:val="18"/>
          <w:lang w:val="fr-FR"/>
        </w:rPr>
        <w:t xml:space="preserve">Brésil, Burundi, Cabo Verde, </w:t>
      </w:r>
      <w:r w:rsidRPr="00BC6ED9">
        <w:rPr>
          <w:noProof/>
          <w:szCs w:val="18"/>
          <w:lang w:val="fr-FR"/>
        </w:rPr>
        <w:t>Cameroun,</w:t>
      </w:r>
      <w:r>
        <w:rPr>
          <w:noProof/>
          <w:szCs w:val="18"/>
          <w:lang w:val="fr-FR"/>
        </w:rPr>
        <w:t xml:space="preserve"> Chili, </w:t>
      </w:r>
      <w:r w:rsidRPr="00BC6ED9">
        <w:rPr>
          <w:noProof/>
          <w:szCs w:val="18"/>
          <w:lang w:val="fr-FR"/>
        </w:rPr>
        <w:t xml:space="preserve">Colombie, Congo, </w:t>
      </w:r>
      <w:r>
        <w:rPr>
          <w:noProof/>
          <w:szCs w:val="18"/>
          <w:lang w:val="fr-FR"/>
        </w:rPr>
        <w:t xml:space="preserve">Costa Rica, </w:t>
      </w:r>
      <w:r w:rsidRPr="00BC6ED9">
        <w:rPr>
          <w:noProof/>
          <w:szCs w:val="18"/>
          <w:lang w:val="fr-FR"/>
        </w:rPr>
        <w:t xml:space="preserve">Côte d'Ivoire, </w:t>
      </w:r>
      <w:r>
        <w:rPr>
          <w:noProof/>
          <w:szCs w:val="18"/>
          <w:lang w:val="fr-FR"/>
        </w:rPr>
        <w:t xml:space="preserve">Croatie, Djibouti, </w:t>
      </w:r>
      <w:r w:rsidRPr="00BC6ED9">
        <w:rPr>
          <w:noProof/>
          <w:szCs w:val="18"/>
          <w:lang w:val="fr-FR"/>
        </w:rPr>
        <w:t xml:space="preserve">Dominique, Érythrée, Espagne, Estonie, </w:t>
      </w:r>
      <w:r w:rsidR="00FD21F1">
        <w:rPr>
          <w:noProof/>
          <w:szCs w:val="18"/>
          <w:lang w:val="fr-FR"/>
        </w:rPr>
        <w:t xml:space="preserve">Eswatini, États fédérés de Micronésie, </w:t>
      </w:r>
      <w:r w:rsidRPr="00BC6ED9">
        <w:rPr>
          <w:noProof/>
          <w:szCs w:val="18"/>
          <w:lang w:val="fr-FR"/>
        </w:rPr>
        <w:t xml:space="preserve">Ethiopie, Finlande, France, Gambie, Géorgie, </w:t>
      </w:r>
      <w:r>
        <w:rPr>
          <w:noProof/>
          <w:szCs w:val="18"/>
          <w:lang w:val="fr-FR"/>
        </w:rPr>
        <w:t xml:space="preserve">Ghana, </w:t>
      </w:r>
      <w:r w:rsidRPr="00BC6ED9">
        <w:rPr>
          <w:noProof/>
          <w:szCs w:val="18"/>
          <w:lang w:val="fr-FR"/>
        </w:rPr>
        <w:t xml:space="preserve">Grèce, </w:t>
      </w:r>
      <w:r>
        <w:rPr>
          <w:noProof/>
          <w:szCs w:val="18"/>
          <w:lang w:val="fr-FR"/>
        </w:rPr>
        <w:t xml:space="preserve">Grenade, </w:t>
      </w:r>
      <w:r w:rsidRPr="00BC6ED9">
        <w:rPr>
          <w:noProof/>
          <w:szCs w:val="18"/>
          <w:lang w:val="fr-FR"/>
        </w:rPr>
        <w:t xml:space="preserve">Guatemala, </w:t>
      </w:r>
      <w:r>
        <w:rPr>
          <w:noProof/>
          <w:szCs w:val="18"/>
          <w:lang w:val="fr-FR"/>
        </w:rPr>
        <w:t xml:space="preserve">Guinée, </w:t>
      </w:r>
      <w:r w:rsidRPr="00BC6ED9">
        <w:rPr>
          <w:noProof/>
          <w:szCs w:val="18"/>
          <w:lang w:val="fr-FR"/>
        </w:rPr>
        <w:t xml:space="preserve">Guinée équatoriale, Guyana, </w:t>
      </w:r>
      <w:r>
        <w:rPr>
          <w:noProof/>
          <w:szCs w:val="18"/>
          <w:lang w:val="fr-FR"/>
        </w:rPr>
        <w:t xml:space="preserve">Honduras, </w:t>
      </w:r>
      <w:r w:rsidRPr="00BC6ED9">
        <w:rPr>
          <w:noProof/>
          <w:szCs w:val="18"/>
          <w:lang w:val="fr-FR"/>
        </w:rPr>
        <w:t xml:space="preserve">Hongrie, </w:t>
      </w:r>
      <w:r>
        <w:rPr>
          <w:noProof/>
          <w:szCs w:val="18"/>
          <w:lang w:val="fr-FR"/>
        </w:rPr>
        <w:t xml:space="preserve">Îles Salomon, Indonésie, </w:t>
      </w:r>
      <w:r w:rsidRPr="00BC6ED9">
        <w:rPr>
          <w:noProof/>
          <w:szCs w:val="18"/>
          <w:lang w:val="fr-FR"/>
        </w:rPr>
        <w:t xml:space="preserve">Iraq, </w:t>
      </w:r>
      <w:r>
        <w:rPr>
          <w:noProof/>
          <w:szCs w:val="18"/>
          <w:lang w:val="fr-FR"/>
        </w:rPr>
        <w:t xml:space="preserve">Irlande, Jamaïque, </w:t>
      </w:r>
      <w:r w:rsidRPr="00BC6ED9">
        <w:rPr>
          <w:noProof/>
          <w:szCs w:val="18"/>
          <w:lang w:val="fr-FR"/>
        </w:rPr>
        <w:t xml:space="preserve">Japon, </w:t>
      </w:r>
      <w:r>
        <w:rPr>
          <w:noProof/>
          <w:szCs w:val="18"/>
          <w:lang w:val="fr-FR"/>
        </w:rPr>
        <w:t xml:space="preserve">Kiribati, </w:t>
      </w:r>
      <w:r w:rsidRPr="00BC6ED9">
        <w:rPr>
          <w:noProof/>
          <w:szCs w:val="18"/>
          <w:lang w:val="fr-FR"/>
        </w:rPr>
        <w:t xml:space="preserve">Liban, </w:t>
      </w:r>
      <w:r>
        <w:rPr>
          <w:noProof/>
          <w:szCs w:val="18"/>
          <w:lang w:val="fr-FR"/>
        </w:rPr>
        <w:t xml:space="preserve">Liberia, </w:t>
      </w:r>
      <w:r w:rsidRPr="00BC6ED9">
        <w:rPr>
          <w:noProof/>
          <w:szCs w:val="18"/>
          <w:lang w:val="fr-FR"/>
        </w:rPr>
        <w:t xml:space="preserve">Liechtenstein, </w:t>
      </w:r>
      <w:r>
        <w:rPr>
          <w:noProof/>
          <w:szCs w:val="18"/>
          <w:lang w:val="fr-FR"/>
        </w:rPr>
        <w:t xml:space="preserve">Lituanie, </w:t>
      </w:r>
      <w:r w:rsidR="00FD21F1">
        <w:rPr>
          <w:noProof/>
          <w:szCs w:val="18"/>
          <w:lang w:val="fr-FR"/>
        </w:rPr>
        <w:t xml:space="preserve">Macédoine du Nord, </w:t>
      </w:r>
      <w:r w:rsidRPr="00BC6ED9">
        <w:rPr>
          <w:noProof/>
          <w:szCs w:val="18"/>
          <w:lang w:val="fr-FR"/>
        </w:rPr>
        <w:t xml:space="preserve">Malawi, Maldives, </w:t>
      </w:r>
      <w:r>
        <w:rPr>
          <w:noProof/>
          <w:szCs w:val="18"/>
          <w:lang w:val="fr-FR"/>
        </w:rPr>
        <w:t xml:space="preserve">Maurice, Mexique, </w:t>
      </w:r>
      <w:r w:rsidRPr="00BC6ED9">
        <w:rPr>
          <w:noProof/>
          <w:szCs w:val="18"/>
          <w:lang w:val="fr-FR"/>
        </w:rPr>
        <w:t xml:space="preserve">Mongolie, Mozambique, Myanmar, Namibie, </w:t>
      </w:r>
      <w:r>
        <w:rPr>
          <w:noProof/>
          <w:szCs w:val="18"/>
          <w:lang w:val="fr-FR"/>
        </w:rPr>
        <w:t xml:space="preserve">Nauru, </w:t>
      </w:r>
      <w:r w:rsidRPr="00BC6ED9">
        <w:rPr>
          <w:noProof/>
          <w:szCs w:val="18"/>
          <w:lang w:val="fr-FR"/>
        </w:rPr>
        <w:t>Nigéria,</w:t>
      </w:r>
      <w:r>
        <w:rPr>
          <w:noProof/>
          <w:szCs w:val="18"/>
          <w:lang w:val="fr-FR"/>
        </w:rPr>
        <w:t xml:space="preserve"> </w:t>
      </w:r>
      <w:r w:rsidRPr="00BC6ED9">
        <w:rPr>
          <w:noProof/>
          <w:szCs w:val="18"/>
          <w:lang w:val="fr-FR"/>
        </w:rPr>
        <w:t xml:space="preserve">Ouganda, </w:t>
      </w:r>
      <w:r w:rsidR="00FD21F1">
        <w:rPr>
          <w:noProof/>
          <w:szCs w:val="18"/>
          <w:lang w:val="fr-FR"/>
        </w:rPr>
        <w:t xml:space="preserve">Palau, Panama, </w:t>
      </w:r>
      <w:r>
        <w:rPr>
          <w:noProof/>
          <w:szCs w:val="18"/>
          <w:lang w:val="fr-FR"/>
        </w:rPr>
        <w:t xml:space="preserve">Paraguay, </w:t>
      </w:r>
      <w:r w:rsidRPr="00BC6ED9">
        <w:rPr>
          <w:noProof/>
          <w:szCs w:val="18"/>
          <w:lang w:val="fr-FR"/>
        </w:rPr>
        <w:t xml:space="preserve">Pérou, </w:t>
      </w:r>
      <w:r>
        <w:rPr>
          <w:noProof/>
          <w:szCs w:val="18"/>
          <w:lang w:val="fr-FR"/>
        </w:rPr>
        <w:t xml:space="preserve">Philippines, République démocratique du Congo, </w:t>
      </w:r>
      <w:r w:rsidRPr="00BC6ED9">
        <w:rPr>
          <w:noProof/>
          <w:kern w:val="18"/>
          <w:szCs w:val="18"/>
          <w:lang w:val="fr-FR"/>
        </w:rPr>
        <w:t>République démocratique populaire lao</w:t>
      </w:r>
      <w:r w:rsidRPr="00BC6ED9">
        <w:rPr>
          <w:noProof/>
          <w:szCs w:val="18"/>
          <w:lang w:val="fr-FR"/>
        </w:rPr>
        <w:t xml:space="preserve">, République dominicaine, République-Unie de Tanzanie, </w:t>
      </w:r>
      <w:r>
        <w:rPr>
          <w:noProof/>
          <w:szCs w:val="18"/>
          <w:lang w:val="fr-FR"/>
        </w:rPr>
        <w:t xml:space="preserve">Rwanda, Samoa, </w:t>
      </w:r>
      <w:r w:rsidRPr="00BC6ED9">
        <w:rPr>
          <w:noProof/>
          <w:szCs w:val="18"/>
          <w:lang w:val="fr-FR"/>
        </w:rPr>
        <w:t xml:space="preserve">Saint-Kitts-et-Nevis, Sénégal, Serbie, Seychelles, </w:t>
      </w:r>
      <w:r>
        <w:rPr>
          <w:noProof/>
          <w:szCs w:val="18"/>
          <w:lang w:val="fr-FR"/>
        </w:rPr>
        <w:t xml:space="preserve">Sierra Leone, Somallie, </w:t>
      </w:r>
      <w:r w:rsidRPr="00BC6ED9">
        <w:rPr>
          <w:noProof/>
          <w:szCs w:val="18"/>
          <w:lang w:val="fr-FR"/>
        </w:rPr>
        <w:t>Soudan,</w:t>
      </w:r>
      <w:r w:rsidR="00011E4E">
        <w:rPr>
          <w:noProof/>
          <w:szCs w:val="18"/>
          <w:lang w:val="fr-FR"/>
        </w:rPr>
        <w:t xml:space="preserve"> Soudan du Sud, </w:t>
      </w:r>
      <w:r w:rsidRPr="00BC6ED9">
        <w:rPr>
          <w:noProof/>
          <w:szCs w:val="18"/>
          <w:lang w:val="fr-FR"/>
        </w:rPr>
        <w:t xml:space="preserve"> </w:t>
      </w:r>
      <w:r>
        <w:rPr>
          <w:noProof/>
          <w:szCs w:val="18"/>
          <w:lang w:val="fr-FR"/>
        </w:rPr>
        <w:t xml:space="preserve">Sri Lanka, </w:t>
      </w:r>
      <w:r w:rsidR="00011E4E">
        <w:rPr>
          <w:noProof/>
          <w:szCs w:val="18"/>
          <w:lang w:val="fr-FR"/>
        </w:rPr>
        <w:t xml:space="preserve">Suisse, </w:t>
      </w:r>
      <w:r>
        <w:rPr>
          <w:noProof/>
          <w:szCs w:val="18"/>
          <w:lang w:val="fr-FR"/>
        </w:rPr>
        <w:t xml:space="preserve">Tadjikistan, Thaïlande, </w:t>
      </w:r>
      <w:r w:rsidRPr="00BC6ED9">
        <w:rPr>
          <w:noProof/>
          <w:szCs w:val="18"/>
          <w:lang w:val="fr-FR"/>
        </w:rPr>
        <w:t>Timor</w:t>
      </w:r>
      <w:r w:rsidRPr="00BC6ED9">
        <w:rPr>
          <w:noProof/>
          <w:szCs w:val="18"/>
          <w:lang w:val="fr-FR"/>
        </w:rPr>
        <w:noBreakHyphen/>
        <w:t xml:space="preserve">Leste, Togo, </w:t>
      </w:r>
      <w:r w:rsidR="00011E4E">
        <w:rPr>
          <w:noProof/>
          <w:szCs w:val="18"/>
          <w:lang w:val="fr-FR"/>
        </w:rPr>
        <w:t xml:space="preserve">Trinité-et-Tobago, </w:t>
      </w:r>
      <w:r w:rsidRPr="00BC6ED9">
        <w:rPr>
          <w:noProof/>
          <w:szCs w:val="18"/>
          <w:lang w:val="fr-FR"/>
        </w:rPr>
        <w:t xml:space="preserve">Uruguay, </w:t>
      </w:r>
      <w:r w:rsidR="00011E4E">
        <w:rPr>
          <w:noProof/>
          <w:szCs w:val="18"/>
          <w:lang w:val="fr-FR"/>
        </w:rPr>
        <w:t xml:space="preserve">Vanuatu, </w:t>
      </w:r>
      <w:r>
        <w:rPr>
          <w:noProof/>
          <w:szCs w:val="18"/>
          <w:lang w:val="fr-FR"/>
        </w:rPr>
        <w:t xml:space="preserve">Yemen, </w:t>
      </w:r>
      <w:r w:rsidRPr="00BC6ED9">
        <w:rPr>
          <w:noProof/>
          <w:szCs w:val="18"/>
          <w:lang w:val="fr-FR"/>
        </w:rPr>
        <w:t>Zambie et Zimbabwe</w:t>
      </w:r>
      <w:r w:rsidRPr="00BC6ED9">
        <w:rPr>
          <w:noProof/>
          <w:kern w:val="18"/>
          <w:szCs w:val="18"/>
          <w:lang w:val="fr-FR"/>
        </w:rPr>
        <w:t>.</w:t>
      </w:r>
    </w:p>
  </w:footnote>
  <w:footnote w:id="27">
    <w:p w14:paraId="0AF7FD63" w14:textId="77777777" w:rsidR="00C06AC6" w:rsidRPr="00BC6ED9" w:rsidRDefault="00C06AC6" w:rsidP="00DF06FB">
      <w:pPr>
        <w:pStyle w:val="FootnoteText"/>
        <w:keepLines w:val="0"/>
        <w:suppressLineNumbers/>
        <w:suppressAutoHyphens/>
        <w:adjustRightInd w:val="0"/>
        <w:snapToGrid w:val="0"/>
        <w:ind w:firstLine="0"/>
        <w:rPr>
          <w:noProof/>
          <w:kern w:val="18"/>
          <w:szCs w:val="18"/>
          <w:lang w:val="fr-FR"/>
        </w:rPr>
      </w:pPr>
      <w:r w:rsidRPr="00BC6ED9">
        <w:rPr>
          <w:rStyle w:val="FootnoteReference"/>
          <w:noProof/>
          <w:kern w:val="18"/>
          <w:sz w:val="18"/>
          <w:szCs w:val="18"/>
          <w:lang w:val="fr-FR"/>
        </w:rPr>
        <w:footnoteRef/>
      </w:r>
      <w:r w:rsidRPr="00BC6ED9">
        <w:rPr>
          <w:noProof/>
          <w:kern w:val="18"/>
          <w:szCs w:val="18"/>
          <w:lang w:val="fr-FR"/>
        </w:rPr>
        <w:t xml:space="preserve"> </w:t>
      </w:r>
      <w:r>
        <w:rPr>
          <w:noProof/>
          <w:kern w:val="18"/>
          <w:szCs w:val="18"/>
          <w:lang w:val="fr-FR"/>
        </w:rPr>
        <w:t xml:space="preserve">Algérie, </w:t>
      </w:r>
      <w:r w:rsidRPr="00A235F2">
        <w:rPr>
          <w:noProof/>
          <w:kern w:val="18"/>
          <w:szCs w:val="18"/>
          <w:lang w:val="fr-FR"/>
        </w:rPr>
        <w:t xml:space="preserve">Bahreïn, </w:t>
      </w:r>
      <w:r>
        <w:rPr>
          <w:noProof/>
          <w:kern w:val="18"/>
          <w:szCs w:val="18"/>
          <w:lang w:val="fr-FR"/>
        </w:rPr>
        <w:t xml:space="preserve">Belize, </w:t>
      </w:r>
      <w:r w:rsidR="00011E4E">
        <w:rPr>
          <w:noProof/>
          <w:kern w:val="18"/>
          <w:szCs w:val="18"/>
          <w:lang w:val="fr-FR"/>
        </w:rPr>
        <w:t xml:space="preserve">Bolivie, </w:t>
      </w:r>
      <w:r>
        <w:rPr>
          <w:noProof/>
          <w:kern w:val="18"/>
          <w:szCs w:val="18"/>
          <w:lang w:val="fr-FR"/>
        </w:rPr>
        <w:t>Brésil, Cabo Verde, C</w:t>
      </w:r>
      <w:r w:rsidRPr="00A235F2">
        <w:rPr>
          <w:noProof/>
          <w:szCs w:val="18"/>
          <w:lang w:val="fr-FR"/>
        </w:rPr>
        <w:t xml:space="preserve">ameroun, </w:t>
      </w:r>
      <w:r>
        <w:rPr>
          <w:noProof/>
          <w:szCs w:val="18"/>
          <w:lang w:val="fr-FR"/>
        </w:rPr>
        <w:t xml:space="preserve">Chili, </w:t>
      </w:r>
      <w:r w:rsidRPr="00A235F2">
        <w:rPr>
          <w:noProof/>
          <w:szCs w:val="18"/>
          <w:lang w:val="fr-FR"/>
        </w:rPr>
        <w:t xml:space="preserve">Colombie, Congo, </w:t>
      </w:r>
      <w:r>
        <w:rPr>
          <w:noProof/>
          <w:szCs w:val="18"/>
          <w:lang w:val="fr-FR"/>
        </w:rPr>
        <w:t xml:space="preserve">Croatie, </w:t>
      </w:r>
      <w:r w:rsidRPr="00A235F2">
        <w:rPr>
          <w:noProof/>
          <w:szCs w:val="18"/>
          <w:lang w:val="fr-FR"/>
        </w:rPr>
        <w:t xml:space="preserve">Dominique, Espagne, Estonie, </w:t>
      </w:r>
      <w:r w:rsidR="00011E4E">
        <w:rPr>
          <w:noProof/>
          <w:szCs w:val="18"/>
          <w:lang w:val="fr-FR"/>
        </w:rPr>
        <w:t xml:space="preserve">Eswatini, </w:t>
      </w:r>
      <w:r w:rsidRPr="00A235F2">
        <w:rPr>
          <w:noProof/>
          <w:szCs w:val="18"/>
          <w:lang w:val="fr-FR"/>
        </w:rPr>
        <w:t>Finlande, France, Gambie, Géorgie, Guatemala,</w:t>
      </w:r>
      <w:r w:rsidRPr="00BC6ED9">
        <w:rPr>
          <w:noProof/>
          <w:szCs w:val="18"/>
          <w:lang w:val="fr-FR"/>
        </w:rPr>
        <w:t xml:space="preserve"> </w:t>
      </w:r>
      <w:r>
        <w:rPr>
          <w:noProof/>
          <w:szCs w:val="18"/>
          <w:lang w:val="fr-FR"/>
        </w:rPr>
        <w:t xml:space="preserve">Guinée, </w:t>
      </w:r>
      <w:r w:rsidRPr="00BC6ED9">
        <w:rPr>
          <w:noProof/>
          <w:szCs w:val="18"/>
          <w:lang w:val="fr-FR"/>
        </w:rPr>
        <w:t xml:space="preserve">Guyana, </w:t>
      </w:r>
      <w:r>
        <w:rPr>
          <w:noProof/>
          <w:szCs w:val="18"/>
          <w:lang w:val="fr-FR"/>
        </w:rPr>
        <w:t xml:space="preserve">Îles Salomon, </w:t>
      </w:r>
      <w:r w:rsidRPr="00BC6ED9">
        <w:rPr>
          <w:noProof/>
          <w:szCs w:val="18"/>
          <w:lang w:val="fr-FR"/>
        </w:rPr>
        <w:t xml:space="preserve">Iraq, </w:t>
      </w:r>
      <w:r>
        <w:rPr>
          <w:noProof/>
          <w:szCs w:val="18"/>
          <w:lang w:val="fr-FR"/>
        </w:rPr>
        <w:t xml:space="preserve">Jamaïque, </w:t>
      </w:r>
      <w:r w:rsidRPr="00BC6ED9">
        <w:rPr>
          <w:noProof/>
          <w:szCs w:val="18"/>
          <w:lang w:val="fr-FR"/>
        </w:rPr>
        <w:t xml:space="preserve">Japon, </w:t>
      </w:r>
      <w:r>
        <w:rPr>
          <w:noProof/>
          <w:szCs w:val="18"/>
          <w:lang w:val="fr-FR"/>
        </w:rPr>
        <w:t xml:space="preserve">Kiribati, </w:t>
      </w:r>
      <w:r w:rsidR="00011E4E">
        <w:rPr>
          <w:noProof/>
          <w:szCs w:val="18"/>
          <w:lang w:val="fr-FR"/>
        </w:rPr>
        <w:t xml:space="preserve">Macédoine du Nord, </w:t>
      </w:r>
      <w:r w:rsidRPr="00BC6ED9">
        <w:rPr>
          <w:noProof/>
          <w:szCs w:val="18"/>
          <w:lang w:val="fr-FR"/>
        </w:rPr>
        <w:t xml:space="preserve">Malawi, Maldives, </w:t>
      </w:r>
      <w:r>
        <w:rPr>
          <w:noProof/>
          <w:szCs w:val="18"/>
          <w:lang w:val="fr-FR"/>
        </w:rPr>
        <w:t xml:space="preserve">Maurice, </w:t>
      </w:r>
      <w:r w:rsidRPr="00BC6ED9">
        <w:rPr>
          <w:noProof/>
          <w:szCs w:val="18"/>
          <w:lang w:val="fr-FR"/>
        </w:rPr>
        <w:t xml:space="preserve">Mozambique, Namibie, Ouganda, </w:t>
      </w:r>
      <w:r w:rsidR="00011E4E">
        <w:rPr>
          <w:noProof/>
          <w:szCs w:val="18"/>
          <w:lang w:val="fr-FR"/>
        </w:rPr>
        <w:t xml:space="preserve">Panama, </w:t>
      </w:r>
      <w:r>
        <w:rPr>
          <w:noProof/>
          <w:szCs w:val="18"/>
          <w:lang w:val="fr-FR"/>
        </w:rPr>
        <w:t xml:space="preserve">Paraguay, </w:t>
      </w:r>
      <w:r w:rsidRPr="00BC6ED9">
        <w:rPr>
          <w:noProof/>
          <w:szCs w:val="18"/>
          <w:lang w:val="fr-FR"/>
        </w:rPr>
        <w:t xml:space="preserve">Pérou, </w:t>
      </w:r>
      <w:r>
        <w:rPr>
          <w:noProof/>
          <w:szCs w:val="18"/>
          <w:lang w:val="fr-FR"/>
        </w:rPr>
        <w:t xml:space="preserve">Philippines, </w:t>
      </w:r>
      <w:r w:rsidR="00011E4E">
        <w:rPr>
          <w:noProof/>
          <w:szCs w:val="18"/>
          <w:lang w:val="fr-FR"/>
        </w:rPr>
        <w:t xml:space="preserve">République de Corée, </w:t>
      </w:r>
      <w:r w:rsidRPr="00BC6ED9">
        <w:rPr>
          <w:noProof/>
          <w:kern w:val="18"/>
          <w:szCs w:val="18"/>
          <w:lang w:val="fr-FR"/>
        </w:rPr>
        <w:t>République démocratique populaire lao</w:t>
      </w:r>
      <w:r w:rsidRPr="00BC6ED9">
        <w:rPr>
          <w:noProof/>
          <w:szCs w:val="18"/>
          <w:lang w:val="fr-FR"/>
        </w:rPr>
        <w:t xml:space="preserve">, République dominicaine, République-Unie de Tanzanie, </w:t>
      </w:r>
      <w:r>
        <w:rPr>
          <w:noProof/>
          <w:szCs w:val="18"/>
          <w:lang w:val="fr-FR"/>
        </w:rPr>
        <w:t xml:space="preserve">Rwanda, Somalie, </w:t>
      </w:r>
      <w:r w:rsidRPr="00BC6ED9">
        <w:rPr>
          <w:noProof/>
          <w:szCs w:val="18"/>
          <w:lang w:val="fr-FR"/>
        </w:rPr>
        <w:t xml:space="preserve">Soudan, </w:t>
      </w:r>
      <w:r>
        <w:rPr>
          <w:noProof/>
          <w:szCs w:val="18"/>
          <w:lang w:val="fr-FR"/>
        </w:rPr>
        <w:t xml:space="preserve">Sri Lanka, </w:t>
      </w:r>
      <w:r w:rsidRPr="00BC6ED9">
        <w:rPr>
          <w:noProof/>
          <w:szCs w:val="18"/>
          <w:lang w:val="fr-FR"/>
        </w:rPr>
        <w:t>Suisse,</w:t>
      </w:r>
      <w:r>
        <w:rPr>
          <w:noProof/>
          <w:szCs w:val="18"/>
          <w:lang w:val="fr-FR"/>
        </w:rPr>
        <w:t xml:space="preserve"> </w:t>
      </w:r>
      <w:r w:rsidR="00011E4E">
        <w:rPr>
          <w:noProof/>
          <w:szCs w:val="18"/>
          <w:lang w:val="fr-FR"/>
        </w:rPr>
        <w:t>T</w:t>
      </w:r>
      <w:r>
        <w:rPr>
          <w:noProof/>
          <w:szCs w:val="18"/>
          <w:lang w:val="fr-FR"/>
        </w:rPr>
        <w:t xml:space="preserve">haïlande, </w:t>
      </w:r>
      <w:r w:rsidRPr="00BC6ED9">
        <w:rPr>
          <w:noProof/>
          <w:szCs w:val="18"/>
          <w:lang w:val="fr-FR"/>
        </w:rPr>
        <w:t xml:space="preserve"> Togo</w:t>
      </w:r>
      <w:r>
        <w:rPr>
          <w:noProof/>
          <w:szCs w:val="18"/>
          <w:lang w:val="fr-FR"/>
        </w:rPr>
        <w:t>,</w:t>
      </w:r>
      <w:r w:rsidRPr="00BC6ED9">
        <w:rPr>
          <w:noProof/>
          <w:szCs w:val="18"/>
          <w:lang w:val="fr-FR"/>
        </w:rPr>
        <w:t xml:space="preserve"> Uruguay</w:t>
      </w:r>
      <w:r>
        <w:rPr>
          <w:noProof/>
          <w:szCs w:val="18"/>
          <w:lang w:val="fr-FR"/>
        </w:rPr>
        <w:t xml:space="preserve"> et Yemen</w:t>
      </w:r>
      <w:r w:rsidRPr="00BC6ED9">
        <w:rPr>
          <w:noProof/>
          <w:kern w:val="18"/>
          <w:szCs w:val="18"/>
          <w:lang w:val="fr-FR"/>
        </w:rPr>
        <w:t>.</w:t>
      </w:r>
    </w:p>
  </w:footnote>
  <w:footnote w:id="28">
    <w:p w14:paraId="66C08027" w14:textId="77777777" w:rsidR="00C06AC6" w:rsidRPr="00BC6ED9" w:rsidRDefault="00C06AC6" w:rsidP="00DF06FB">
      <w:pPr>
        <w:pStyle w:val="FootnoteText"/>
        <w:keepLines w:val="0"/>
        <w:suppressLineNumbers/>
        <w:suppressAutoHyphens/>
        <w:adjustRightInd w:val="0"/>
        <w:snapToGrid w:val="0"/>
        <w:ind w:firstLine="0"/>
        <w:rPr>
          <w:noProof/>
          <w:kern w:val="18"/>
          <w:szCs w:val="18"/>
          <w:lang w:val="fr-FR"/>
        </w:rPr>
      </w:pPr>
      <w:r w:rsidRPr="00BC6ED9">
        <w:rPr>
          <w:rStyle w:val="FootnoteReference"/>
          <w:noProof/>
          <w:kern w:val="18"/>
          <w:sz w:val="18"/>
          <w:szCs w:val="18"/>
          <w:lang w:val="fr-FR"/>
        </w:rPr>
        <w:footnoteRef/>
      </w:r>
      <w:r w:rsidRPr="00BC6ED9">
        <w:rPr>
          <w:noProof/>
          <w:kern w:val="18"/>
          <w:szCs w:val="18"/>
          <w:lang w:val="fr-FR"/>
        </w:rPr>
        <w:t xml:space="preserve"> </w:t>
      </w:r>
      <w:r w:rsidRPr="00BC6ED9">
        <w:rPr>
          <w:noProof/>
          <w:szCs w:val="18"/>
          <w:lang w:val="fr-FR"/>
        </w:rPr>
        <w:t xml:space="preserve">Afghanistan, </w:t>
      </w:r>
      <w:r>
        <w:rPr>
          <w:noProof/>
          <w:szCs w:val="18"/>
          <w:lang w:val="fr-FR"/>
        </w:rPr>
        <w:t xml:space="preserve">Algérie, Argentine, </w:t>
      </w:r>
      <w:r w:rsidRPr="00BC6ED9">
        <w:rPr>
          <w:noProof/>
          <w:szCs w:val="18"/>
          <w:lang w:val="fr-FR"/>
        </w:rPr>
        <w:t xml:space="preserve">Bahreïn, </w:t>
      </w:r>
      <w:r>
        <w:rPr>
          <w:noProof/>
          <w:szCs w:val="18"/>
          <w:lang w:val="fr-FR"/>
        </w:rPr>
        <w:t xml:space="preserve">Bangladesh, Belize, </w:t>
      </w:r>
      <w:r w:rsidR="00011E4E">
        <w:rPr>
          <w:noProof/>
          <w:szCs w:val="18"/>
          <w:lang w:val="fr-FR"/>
        </w:rPr>
        <w:t xml:space="preserve">Bolivie, </w:t>
      </w:r>
      <w:r w:rsidRPr="00BC6ED9">
        <w:rPr>
          <w:noProof/>
          <w:szCs w:val="18"/>
          <w:lang w:val="fr-FR"/>
        </w:rPr>
        <w:t xml:space="preserve">Bosnie-Herzégovine, </w:t>
      </w:r>
      <w:r>
        <w:rPr>
          <w:noProof/>
          <w:szCs w:val="18"/>
          <w:lang w:val="fr-FR"/>
        </w:rPr>
        <w:t xml:space="preserve">Brésil, </w:t>
      </w:r>
      <w:r w:rsidRPr="00BC6ED9">
        <w:rPr>
          <w:noProof/>
          <w:szCs w:val="18"/>
          <w:lang w:val="fr-FR"/>
        </w:rPr>
        <w:t xml:space="preserve">Cambodge, </w:t>
      </w:r>
      <w:r>
        <w:rPr>
          <w:noProof/>
          <w:szCs w:val="18"/>
          <w:lang w:val="fr-FR"/>
        </w:rPr>
        <w:t xml:space="preserve">Chili, Cabo Verde, </w:t>
      </w:r>
      <w:r w:rsidRPr="00BC6ED9">
        <w:rPr>
          <w:noProof/>
          <w:szCs w:val="18"/>
          <w:lang w:val="fr-FR"/>
        </w:rPr>
        <w:t xml:space="preserve">Colombie, Côte d'Ivoire, Érythrée, Espagne, Estonie, </w:t>
      </w:r>
      <w:r w:rsidR="00011E4E">
        <w:rPr>
          <w:noProof/>
          <w:szCs w:val="18"/>
          <w:lang w:val="fr-FR"/>
        </w:rPr>
        <w:t xml:space="preserve">Eswatini, États fédérés de Micronésie, </w:t>
      </w:r>
      <w:r w:rsidRPr="00BC6ED9">
        <w:rPr>
          <w:noProof/>
          <w:szCs w:val="18"/>
          <w:lang w:val="fr-FR"/>
        </w:rPr>
        <w:t xml:space="preserve">Ethiopie, Finlande, France, Gambie, Géorgie, </w:t>
      </w:r>
      <w:r>
        <w:rPr>
          <w:noProof/>
          <w:szCs w:val="18"/>
          <w:lang w:val="fr-FR"/>
        </w:rPr>
        <w:t xml:space="preserve">Ghana, </w:t>
      </w:r>
      <w:r w:rsidRPr="00BC6ED9">
        <w:rPr>
          <w:noProof/>
          <w:szCs w:val="18"/>
          <w:lang w:val="fr-FR"/>
        </w:rPr>
        <w:t xml:space="preserve">Guatemala, Guinée équatoriale, </w:t>
      </w:r>
      <w:r>
        <w:rPr>
          <w:noProof/>
          <w:szCs w:val="18"/>
          <w:lang w:val="fr-FR"/>
        </w:rPr>
        <w:t xml:space="preserve">Honduras, </w:t>
      </w:r>
      <w:r w:rsidRPr="00BC6ED9">
        <w:rPr>
          <w:noProof/>
          <w:szCs w:val="18"/>
          <w:lang w:val="fr-FR"/>
        </w:rPr>
        <w:t xml:space="preserve">Iraq, </w:t>
      </w:r>
      <w:r>
        <w:rPr>
          <w:noProof/>
          <w:szCs w:val="18"/>
          <w:lang w:val="fr-FR"/>
        </w:rPr>
        <w:t xml:space="preserve">Irlande, Jamaïque, </w:t>
      </w:r>
      <w:r w:rsidRPr="00BC6ED9">
        <w:rPr>
          <w:noProof/>
          <w:szCs w:val="18"/>
          <w:lang w:val="fr-FR"/>
        </w:rPr>
        <w:t xml:space="preserve">Japon, Jordanie, Kirghizistan, Liban, </w:t>
      </w:r>
      <w:r w:rsidR="000C77BC">
        <w:rPr>
          <w:noProof/>
          <w:szCs w:val="18"/>
          <w:lang w:val="fr-FR"/>
        </w:rPr>
        <w:t xml:space="preserve">Macédoine du Nord, </w:t>
      </w:r>
      <w:r w:rsidRPr="00BC6ED9">
        <w:rPr>
          <w:noProof/>
          <w:szCs w:val="18"/>
          <w:lang w:val="fr-FR"/>
        </w:rPr>
        <w:t xml:space="preserve">Malawi, Maroc, </w:t>
      </w:r>
      <w:r>
        <w:rPr>
          <w:noProof/>
          <w:szCs w:val="18"/>
          <w:lang w:val="fr-FR"/>
        </w:rPr>
        <w:t xml:space="preserve">Maurice, Mexique, </w:t>
      </w:r>
      <w:r w:rsidRPr="00BC6ED9">
        <w:rPr>
          <w:noProof/>
          <w:szCs w:val="18"/>
          <w:lang w:val="fr-FR"/>
        </w:rPr>
        <w:t xml:space="preserve">Mongolie, Mozambique, Myanmar, Namibie, Nigéria, </w:t>
      </w:r>
      <w:r w:rsidR="000C77BC">
        <w:rPr>
          <w:noProof/>
          <w:szCs w:val="18"/>
          <w:lang w:val="fr-FR"/>
        </w:rPr>
        <w:t xml:space="preserve">Panama, </w:t>
      </w:r>
      <w:r w:rsidRPr="00BC6ED9">
        <w:rPr>
          <w:noProof/>
          <w:szCs w:val="18"/>
          <w:lang w:val="fr-FR"/>
        </w:rPr>
        <w:t xml:space="preserve">Ouganda, </w:t>
      </w:r>
      <w:r>
        <w:rPr>
          <w:noProof/>
          <w:szCs w:val="18"/>
          <w:lang w:val="fr-FR"/>
        </w:rPr>
        <w:t xml:space="preserve">Paraguay, Philippines, </w:t>
      </w:r>
      <w:r w:rsidRPr="00BC6ED9">
        <w:rPr>
          <w:noProof/>
          <w:kern w:val="18"/>
          <w:szCs w:val="18"/>
          <w:lang w:val="fr-FR"/>
        </w:rPr>
        <w:t>République démocratique populaire lao</w:t>
      </w:r>
      <w:r w:rsidRPr="00BC6ED9">
        <w:rPr>
          <w:noProof/>
          <w:szCs w:val="18"/>
          <w:lang w:val="fr-FR"/>
        </w:rPr>
        <w:t xml:space="preserve">, République dominicaine, </w:t>
      </w:r>
      <w:r>
        <w:rPr>
          <w:noProof/>
          <w:szCs w:val="18"/>
          <w:lang w:val="fr-FR"/>
        </w:rPr>
        <w:t xml:space="preserve">République islamique d’Iran, </w:t>
      </w:r>
      <w:r w:rsidRPr="00BC6ED9">
        <w:rPr>
          <w:noProof/>
          <w:szCs w:val="18"/>
          <w:lang w:val="fr-FR"/>
        </w:rPr>
        <w:t xml:space="preserve">République-Unie de Tanzanie, </w:t>
      </w:r>
      <w:r>
        <w:rPr>
          <w:noProof/>
          <w:szCs w:val="18"/>
          <w:lang w:val="fr-FR"/>
        </w:rPr>
        <w:t xml:space="preserve">Samoa, </w:t>
      </w:r>
      <w:r w:rsidRPr="00BC6ED9">
        <w:rPr>
          <w:noProof/>
          <w:szCs w:val="18"/>
          <w:lang w:val="fr-FR"/>
        </w:rPr>
        <w:t xml:space="preserve">Sénégal, Serbie, Seychelles, </w:t>
      </w:r>
      <w:r>
        <w:rPr>
          <w:noProof/>
          <w:szCs w:val="18"/>
          <w:lang w:val="fr-FR"/>
        </w:rPr>
        <w:t xml:space="preserve">Sierra Leone, Somalie, </w:t>
      </w:r>
      <w:r w:rsidR="000C77BC">
        <w:rPr>
          <w:noProof/>
          <w:szCs w:val="18"/>
          <w:lang w:val="fr-FR"/>
        </w:rPr>
        <w:t xml:space="preserve">Soudan du Sud, </w:t>
      </w:r>
      <w:r>
        <w:rPr>
          <w:noProof/>
          <w:szCs w:val="18"/>
          <w:lang w:val="fr-FR"/>
        </w:rPr>
        <w:t xml:space="preserve">Sri Lanka, </w:t>
      </w:r>
      <w:r w:rsidR="000C77BC">
        <w:rPr>
          <w:noProof/>
          <w:szCs w:val="18"/>
          <w:lang w:val="fr-FR"/>
        </w:rPr>
        <w:t>Suisse</w:t>
      </w:r>
      <w:r>
        <w:rPr>
          <w:noProof/>
          <w:szCs w:val="18"/>
          <w:lang w:val="fr-FR"/>
        </w:rPr>
        <w:t xml:space="preserve">, Tadjiklistan, Thaïlande, </w:t>
      </w:r>
      <w:r w:rsidRPr="00BC6ED9">
        <w:rPr>
          <w:noProof/>
          <w:szCs w:val="18"/>
          <w:lang w:val="fr-FR"/>
        </w:rPr>
        <w:t>Timor</w:t>
      </w:r>
      <w:r w:rsidRPr="00BC6ED9">
        <w:rPr>
          <w:noProof/>
          <w:szCs w:val="18"/>
          <w:lang w:val="fr-FR"/>
        </w:rPr>
        <w:noBreakHyphen/>
        <w:t xml:space="preserve">Leste, Togo, Uruguay, </w:t>
      </w:r>
      <w:r>
        <w:rPr>
          <w:noProof/>
          <w:szCs w:val="18"/>
          <w:lang w:val="fr-FR"/>
        </w:rPr>
        <w:t xml:space="preserve">Yemen, </w:t>
      </w:r>
      <w:r w:rsidRPr="00BC6ED9">
        <w:rPr>
          <w:noProof/>
          <w:szCs w:val="18"/>
          <w:lang w:val="fr-FR"/>
        </w:rPr>
        <w:t>Zambie et Zimbabwe</w:t>
      </w:r>
      <w:r w:rsidRPr="00BC6ED9">
        <w:rPr>
          <w:noProof/>
          <w:kern w:val="18"/>
          <w:szCs w:val="18"/>
          <w:lang w:val="fr-FR"/>
        </w:rPr>
        <w:t>.</w:t>
      </w:r>
    </w:p>
  </w:footnote>
  <w:footnote w:id="29">
    <w:p w14:paraId="0201330F" w14:textId="77777777" w:rsidR="00C06AC6" w:rsidRPr="00BC6ED9" w:rsidRDefault="00C06AC6" w:rsidP="00DF06FB">
      <w:pPr>
        <w:pStyle w:val="FootnoteText"/>
        <w:keepLines w:val="0"/>
        <w:suppressLineNumbers/>
        <w:suppressAutoHyphens/>
        <w:adjustRightInd w:val="0"/>
        <w:snapToGrid w:val="0"/>
        <w:ind w:firstLine="0"/>
        <w:rPr>
          <w:noProof/>
          <w:kern w:val="18"/>
          <w:szCs w:val="18"/>
          <w:lang w:val="fr-FR"/>
        </w:rPr>
      </w:pPr>
      <w:r w:rsidRPr="00BC6ED9">
        <w:rPr>
          <w:rStyle w:val="FootnoteReference"/>
          <w:noProof/>
          <w:kern w:val="18"/>
          <w:sz w:val="18"/>
          <w:szCs w:val="18"/>
          <w:lang w:val="fr-FR"/>
        </w:rPr>
        <w:footnoteRef/>
      </w:r>
      <w:r w:rsidRPr="00BC6ED9">
        <w:rPr>
          <w:noProof/>
          <w:kern w:val="18"/>
          <w:szCs w:val="18"/>
          <w:lang w:val="fr-FR"/>
        </w:rPr>
        <w:t xml:space="preserve"> </w:t>
      </w:r>
      <w:r w:rsidRPr="00BC6ED9">
        <w:rPr>
          <w:noProof/>
          <w:szCs w:val="18"/>
          <w:lang w:val="fr-FR"/>
        </w:rPr>
        <w:t xml:space="preserve">Afghanistan, Afrique du Sud, </w:t>
      </w:r>
      <w:r>
        <w:rPr>
          <w:noProof/>
          <w:szCs w:val="18"/>
          <w:lang w:val="fr-FR"/>
        </w:rPr>
        <w:t xml:space="preserve">Algérie, Andorre, </w:t>
      </w:r>
      <w:r w:rsidRPr="00BC6ED9">
        <w:rPr>
          <w:noProof/>
          <w:szCs w:val="18"/>
          <w:lang w:val="fr-FR"/>
        </w:rPr>
        <w:t>Antigua</w:t>
      </w:r>
      <w:r w:rsidRPr="00BC6ED9">
        <w:rPr>
          <w:noProof/>
          <w:szCs w:val="18"/>
          <w:lang w:val="fr-FR"/>
        </w:rPr>
        <w:noBreakHyphen/>
        <w:t>et</w:t>
      </w:r>
      <w:r w:rsidRPr="00BC6ED9">
        <w:rPr>
          <w:noProof/>
          <w:szCs w:val="18"/>
          <w:lang w:val="fr-FR"/>
        </w:rPr>
        <w:noBreakHyphen/>
        <w:t xml:space="preserve">Barbuda, </w:t>
      </w:r>
      <w:r>
        <w:rPr>
          <w:noProof/>
          <w:szCs w:val="18"/>
          <w:lang w:val="fr-FR"/>
        </w:rPr>
        <w:t xml:space="preserve">Argentine, </w:t>
      </w:r>
      <w:r w:rsidRPr="00BC6ED9">
        <w:rPr>
          <w:noProof/>
          <w:szCs w:val="18"/>
          <w:lang w:val="fr-FR"/>
        </w:rPr>
        <w:t xml:space="preserve">Australie, Autriche, Bahreïn, </w:t>
      </w:r>
      <w:r>
        <w:rPr>
          <w:noProof/>
          <w:szCs w:val="18"/>
          <w:lang w:val="fr-FR"/>
        </w:rPr>
        <w:t xml:space="preserve">Bangladesh, </w:t>
      </w:r>
      <w:r w:rsidRPr="00BC6ED9">
        <w:rPr>
          <w:noProof/>
          <w:szCs w:val="18"/>
          <w:lang w:val="fr-FR"/>
        </w:rPr>
        <w:t xml:space="preserve">Bélarus, Belgique, Bhoutan, Bosnie-Herzégovine, Botswana, </w:t>
      </w:r>
      <w:r>
        <w:rPr>
          <w:noProof/>
          <w:szCs w:val="18"/>
          <w:lang w:val="fr-FR"/>
        </w:rPr>
        <w:t xml:space="preserve">Brésil, </w:t>
      </w:r>
      <w:r w:rsidRPr="00BC6ED9">
        <w:rPr>
          <w:noProof/>
          <w:szCs w:val="18"/>
          <w:lang w:val="fr-FR"/>
        </w:rPr>
        <w:t xml:space="preserve">Burkina Faso (selon une étude de l'UICN), </w:t>
      </w:r>
      <w:r>
        <w:rPr>
          <w:noProof/>
          <w:szCs w:val="18"/>
          <w:lang w:val="fr-FR"/>
        </w:rPr>
        <w:t xml:space="preserve">Cabo Verde, </w:t>
      </w:r>
      <w:r w:rsidRPr="00BC6ED9">
        <w:rPr>
          <w:noProof/>
          <w:szCs w:val="18"/>
          <w:lang w:val="fr-FR"/>
        </w:rPr>
        <w:t xml:space="preserve">Cambodge, Cameroun, </w:t>
      </w:r>
      <w:r w:rsidR="000C77BC">
        <w:rPr>
          <w:noProof/>
          <w:szCs w:val="18"/>
          <w:lang w:val="fr-FR"/>
        </w:rPr>
        <w:t xml:space="preserve">Chine, </w:t>
      </w:r>
      <w:r w:rsidRPr="00BC6ED9">
        <w:rPr>
          <w:noProof/>
          <w:szCs w:val="18"/>
          <w:lang w:val="fr-FR"/>
        </w:rPr>
        <w:t xml:space="preserve">Colombie (selon une étude de l'UICN), Congo, </w:t>
      </w:r>
      <w:r>
        <w:rPr>
          <w:noProof/>
          <w:szCs w:val="18"/>
          <w:lang w:val="fr-FR"/>
        </w:rPr>
        <w:t xml:space="preserve">Costa Rica, </w:t>
      </w:r>
      <w:r w:rsidRPr="00BC6ED9">
        <w:rPr>
          <w:noProof/>
          <w:szCs w:val="18"/>
          <w:lang w:val="fr-FR"/>
        </w:rPr>
        <w:t xml:space="preserve">Egypte, Érythrée, Estonie, </w:t>
      </w:r>
      <w:r w:rsidR="008979CC">
        <w:rPr>
          <w:noProof/>
          <w:szCs w:val="18"/>
          <w:lang w:val="fr-FR"/>
        </w:rPr>
        <w:t xml:space="preserve">Eswatini, </w:t>
      </w:r>
      <w:r w:rsidRPr="00BC6ED9">
        <w:rPr>
          <w:noProof/>
          <w:szCs w:val="18"/>
          <w:lang w:val="fr-FR"/>
        </w:rPr>
        <w:t xml:space="preserve">Ethiopie, </w:t>
      </w:r>
      <w:r w:rsidR="000C77BC">
        <w:rPr>
          <w:noProof/>
          <w:szCs w:val="18"/>
          <w:lang w:val="fr-FR"/>
        </w:rPr>
        <w:t xml:space="preserve">États fédérés de Micronésie, </w:t>
      </w:r>
      <w:r w:rsidRPr="00BC6ED9">
        <w:rPr>
          <w:noProof/>
          <w:szCs w:val="18"/>
          <w:lang w:val="fr-FR"/>
        </w:rPr>
        <w:t xml:space="preserve">Finlande, France, Gambie, Géorgie, Grèce, Guatemala (selon une étude de l'UICN), </w:t>
      </w:r>
      <w:r>
        <w:rPr>
          <w:noProof/>
          <w:szCs w:val="18"/>
          <w:lang w:val="fr-FR"/>
        </w:rPr>
        <w:t>Guinée, Guyana</w:t>
      </w:r>
      <w:r w:rsidRPr="00BC6ED9">
        <w:rPr>
          <w:noProof/>
          <w:szCs w:val="18"/>
          <w:lang w:val="fr-FR"/>
        </w:rPr>
        <w:t xml:space="preserve">, </w:t>
      </w:r>
      <w:r>
        <w:rPr>
          <w:noProof/>
          <w:szCs w:val="18"/>
          <w:lang w:val="fr-FR"/>
        </w:rPr>
        <w:t xml:space="preserve">Honduras, </w:t>
      </w:r>
      <w:r w:rsidRPr="00BC6ED9">
        <w:rPr>
          <w:noProof/>
          <w:szCs w:val="18"/>
          <w:lang w:val="fr-FR"/>
        </w:rPr>
        <w:t xml:space="preserve">Inde, </w:t>
      </w:r>
      <w:r>
        <w:rPr>
          <w:noProof/>
          <w:szCs w:val="18"/>
          <w:lang w:val="fr-FR"/>
        </w:rPr>
        <w:t xml:space="preserve">Indonésie, </w:t>
      </w:r>
      <w:r w:rsidRPr="00BC6ED9">
        <w:rPr>
          <w:noProof/>
          <w:szCs w:val="18"/>
          <w:lang w:val="fr-FR"/>
        </w:rPr>
        <w:t xml:space="preserve">Iraq, Irlande, </w:t>
      </w:r>
      <w:r>
        <w:rPr>
          <w:noProof/>
          <w:szCs w:val="18"/>
          <w:lang w:val="fr-FR"/>
        </w:rPr>
        <w:t xml:space="preserve">Jamaïque, </w:t>
      </w:r>
      <w:r w:rsidRPr="00BC6ED9">
        <w:rPr>
          <w:noProof/>
          <w:szCs w:val="18"/>
          <w:lang w:val="fr-FR"/>
        </w:rPr>
        <w:t xml:space="preserve">Japon, Jordanie, Liban, </w:t>
      </w:r>
      <w:r>
        <w:rPr>
          <w:noProof/>
          <w:szCs w:val="18"/>
          <w:lang w:val="fr-FR"/>
        </w:rPr>
        <w:t xml:space="preserve">Liberia, Luxembourg, </w:t>
      </w:r>
      <w:r w:rsidR="000C77BC">
        <w:rPr>
          <w:noProof/>
          <w:szCs w:val="18"/>
          <w:lang w:val="fr-FR"/>
        </w:rPr>
        <w:t xml:space="preserve">Macédoine du Nord, </w:t>
      </w:r>
      <w:r w:rsidRPr="00BC6ED9">
        <w:rPr>
          <w:noProof/>
          <w:szCs w:val="18"/>
          <w:lang w:val="fr-FR"/>
        </w:rPr>
        <w:t xml:space="preserve">Madagascar, Maldives, Maroc, Mali, </w:t>
      </w:r>
      <w:r>
        <w:rPr>
          <w:noProof/>
          <w:szCs w:val="18"/>
          <w:lang w:val="fr-FR"/>
        </w:rPr>
        <w:t xml:space="preserve">Mexique, </w:t>
      </w:r>
      <w:r w:rsidRPr="00BC6ED9">
        <w:rPr>
          <w:noProof/>
          <w:szCs w:val="18"/>
          <w:lang w:val="fr-FR"/>
        </w:rPr>
        <w:t xml:space="preserve">Mozambique, Myanmar, Namibie, </w:t>
      </w:r>
      <w:r>
        <w:rPr>
          <w:noProof/>
          <w:szCs w:val="18"/>
          <w:lang w:val="fr-FR"/>
        </w:rPr>
        <w:t xml:space="preserve">Nauru, </w:t>
      </w:r>
      <w:r w:rsidRPr="00BC6ED9">
        <w:rPr>
          <w:noProof/>
          <w:szCs w:val="18"/>
          <w:lang w:val="fr-FR"/>
        </w:rPr>
        <w:t xml:space="preserve">Népal, Nigéria, Nioué, Ouganda, </w:t>
      </w:r>
      <w:r w:rsidR="000C77BC">
        <w:rPr>
          <w:noProof/>
          <w:szCs w:val="18"/>
          <w:lang w:val="fr-FR"/>
        </w:rPr>
        <w:t xml:space="preserve">Pakistan, Palau, Panama, </w:t>
      </w:r>
      <w:r>
        <w:rPr>
          <w:noProof/>
          <w:szCs w:val="18"/>
          <w:lang w:val="fr-FR"/>
        </w:rPr>
        <w:t xml:space="preserve">Paraguay, </w:t>
      </w:r>
      <w:r w:rsidRPr="00BC6ED9">
        <w:rPr>
          <w:noProof/>
          <w:szCs w:val="18"/>
          <w:lang w:val="fr-FR"/>
        </w:rPr>
        <w:t>Pays</w:t>
      </w:r>
      <w:r w:rsidRPr="00BC6ED9">
        <w:rPr>
          <w:noProof/>
          <w:szCs w:val="18"/>
          <w:lang w:val="fr-FR"/>
        </w:rPr>
        <w:noBreakHyphen/>
        <w:t>Bas, Pérou,</w:t>
      </w:r>
      <w:r>
        <w:rPr>
          <w:noProof/>
          <w:szCs w:val="18"/>
          <w:lang w:val="fr-FR"/>
        </w:rPr>
        <w:t xml:space="preserve"> Philippines,</w:t>
      </w:r>
      <w:r w:rsidRPr="00BC6ED9">
        <w:rPr>
          <w:noProof/>
          <w:szCs w:val="18"/>
          <w:lang w:val="fr-FR"/>
        </w:rPr>
        <w:t xml:space="preserve"> </w:t>
      </w:r>
      <w:r w:rsidR="000C77BC">
        <w:rPr>
          <w:noProof/>
          <w:szCs w:val="18"/>
          <w:lang w:val="fr-FR"/>
        </w:rPr>
        <w:t xml:space="preserve">République de Corée, </w:t>
      </w:r>
      <w:r w:rsidRPr="00BC6ED9">
        <w:rPr>
          <w:noProof/>
          <w:kern w:val="18"/>
          <w:szCs w:val="18"/>
          <w:lang w:val="fr-FR"/>
        </w:rPr>
        <w:t>République démocratique populaire lao</w:t>
      </w:r>
      <w:r w:rsidRPr="00BC6ED9">
        <w:rPr>
          <w:noProof/>
          <w:szCs w:val="18"/>
          <w:lang w:val="fr-FR"/>
        </w:rPr>
        <w:t xml:space="preserve">, République dominicaine, </w:t>
      </w:r>
      <w:r>
        <w:rPr>
          <w:noProof/>
          <w:szCs w:val="18"/>
          <w:lang w:val="fr-FR"/>
        </w:rPr>
        <w:t xml:space="preserve">République islamique d’Iran, </w:t>
      </w:r>
      <w:r w:rsidRPr="00BC6ED9">
        <w:rPr>
          <w:noProof/>
          <w:szCs w:val="18"/>
          <w:lang w:val="fr-FR"/>
        </w:rPr>
        <w:t xml:space="preserve">République populaire démocratique de Corée, République-Unie de Tanzanie, </w:t>
      </w:r>
      <w:r>
        <w:rPr>
          <w:noProof/>
          <w:szCs w:val="18"/>
          <w:lang w:val="fr-FR"/>
        </w:rPr>
        <w:t xml:space="preserve">Roumanie, </w:t>
      </w:r>
      <w:r w:rsidR="005B3B5C">
        <w:rPr>
          <w:noProof/>
          <w:szCs w:val="18"/>
          <w:lang w:val="fr-FR"/>
        </w:rPr>
        <w:t>Saint-Vi</w:t>
      </w:r>
      <w:r w:rsidR="000C77BC">
        <w:rPr>
          <w:noProof/>
          <w:szCs w:val="18"/>
          <w:lang w:val="fr-FR"/>
        </w:rPr>
        <w:t xml:space="preserve">ncent-et-les-Grenadines, </w:t>
      </w:r>
      <w:r>
        <w:rPr>
          <w:noProof/>
          <w:szCs w:val="18"/>
          <w:lang w:val="fr-FR"/>
        </w:rPr>
        <w:t xml:space="preserve">Samoa, </w:t>
      </w:r>
      <w:r w:rsidRPr="00BC6ED9">
        <w:rPr>
          <w:noProof/>
          <w:szCs w:val="18"/>
          <w:lang w:val="fr-FR"/>
        </w:rPr>
        <w:t xml:space="preserve">Sénégal, Serbie, Seychelles, </w:t>
      </w:r>
      <w:r>
        <w:rPr>
          <w:noProof/>
          <w:szCs w:val="18"/>
          <w:lang w:val="fr-FR"/>
        </w:rPr>
        <w:t xml:space="preserve">Sierra Leone, Somalie, </w:t>
      </w:r>
      <w:r w:rsidRPr="00BC6ED9">
        <w:rPr>
          <w:noProof/>
          <w:szCs w:val="18"/>
          <w:lang w:val="fr-FR"/>
        </w:rPr>
        <w:t xml:space="preserve">Soudan, </w:t>
      </w:r>
      <w:r>
        <w:rPr>
          <w:noProof/>
          <w:szCs w:val="18"/>
          <w:lang w:val="fr-FR"/>
        </w:rPr>
        <w:t xml:space="preserve">Tadjikistan, </w:t>
      </w:r>
      <w:r w:rsidRPr="00BC6ED9">
        <w:rPr>
          <w:noProof/>
          <w:szCs w:val="18"/>
          <w:lang w:val="fr-FR"/>
        </w:rPr>
        <w:t xml:space="preserve">Tchad, </w:t>
      </w:r>
      <w:r>
        <w:rPr>
          <w:noProof/>
          <w:szCs w:val="18"/>
          <w:lang w:val="fr-FR"/>
        </w:rPr>
        <w:t xml:space="preserve">Tchéquie, </w:t>
      </w:r>
      <w:r w:rsidRPr="00BC6ED9">
        <w:rPr>
          <w:noProof/>
          <w:szCs w:val="18"/>
          <w:lang w:val="fr-FR"/>
        </w:rPr>
        <w:t>Timor</w:t>
      </w:r>
      <w:r w:rsidRPr="00BC6ED9">
        <w:rPr>
          <w:noProof/>
          <w:szCs w:val="18"/>
          <w:lang w:val="fr-FR"/>
        </w:rPr>
        <w:noBreakHyphen/>
        <w:t>Leste, Togo,</w:t>
      </w:r>
      <w:r w:rsidR="00024999">
        <w:rPr>
          <w:noProof/>
          <w:szCs w:val="18"/>
          <w:lang w:val="fr-FR"/>
        </w:rPr>
        <w:t xml:space="preserve"> Trinité-et-Tobago, Turquie,</w:t>
      </w:r>
      <w:r w:rsidRPr="00BC6ED9">
        <w:rPr>
          <w:noProof/>
          <w:szCs w:val="18"/>
          <w:lang w:val="fr-FR"/>
        </w:rPr>
        <w:t xml:space="preserve"> Union européenne, Viet Nam, </w:t>
      </w:r>
      <w:r>
        <w:rPr>
          <w:noProof/>
          <w:szCs w:val="18"/>
          <w:lang w:val="fr-FR"/>
        </w:rPr>
        <w:t xml:space="preserve">Yemen, </w:t>
      </w:r>
      <w:r w:rsidRPr="00BC6ED9">
        <w:rPr>
          <w:noProof/>
          <w:szCs w:val="18"/>
          <w:lang w:val="fr-FR"/>
        </w:rPr>
        <w:t>Zambie et Zimbabwe</w:t>
      </w:r>
      <w:r w:rsidRPr="00BC6ED9">
        <w:rPr>
          <w:noProof/>
          <w:kern w:val="18"/>
          <w:szCs w:val="18"/>
          <w:lang w:val="fr-FR"/>
        </w:rPr>
        <w:t>.</w:t>
      </w:r>
    </w:p>
  </w:footnote>
  <w:footnote w:id="30">
    <w:p w14:paraId="03108698" w14:textId="77777777" w:rsidR="00C06AC6" w:rsidRPr="00BC6ED9" w:rsidRDefault="00C06AC6" w:rsidP="00DF06FB">
      <w:pPr>
        <w:pStyle w:val="FootnoteText"/>
        <w:ind w:firstLine="0"/>
        <w:rPr>
          <w:lang w:val="fr-FR"/>
        </w:rPr>
      </w:pPr>
      <w:r w:rsidRPr="00BC6ED9">
        <w:rPr>
          <w:rStyle w:val="FootnoteReference"/>
          <w:lang w:val="fr-FR"/>
        </w:rPr>
        <w:footnoteRef/>
      </w:r>
      <w:r>
        <w:rPr>
          <w:noProof/>
          <w:kern w:val="18"/>
          <w:szCs w:val="18"/>
          <w:lang w:val="fr-FR"/>
        </w:rPr>
        <w:t xml:space="preserve"> Belgique, France, Japon, Niger et Union européenne</w:t>
      </w:r>
      <w:r w:rsidRPr="00BC6ED9">
        <w:rPr>
          <w:noProof/>
          <w:szCs w:val="18"/>
          <w:lang w:val="fr-FR"/>
        </w:rPr>
        <w:t>.</w:t>
      </w:r>
    </w:p>
  </w:footnote>
  <w:footnote w:id="31">
    <w:p w14:paraId="2C0814EB" w14:textId="77777777" w:rsidR="00C06AC6" w:rsidRPr="00504E72" w:rsidRDefault="00C06AC6" w:rsidP="00504E72">
      <w:pPr>
        <w:pStyle w:val="FootnoteText"/>
        <w:ind w:firstLine="0"/>
        <w:rPr>
          <w:lang w:val="fr-FR"/>
        </w:rPr>
      </w:pPr>
      <w:r w:rsidRPr="00792D84">
        <w:rPr>
          <w:rStyle w:val="FootnoteReference"/>
        </w:rPr>
        <w:footnoteRef/>
      </w:r>
      <w:r w:rsidRPr="00792D84">
        <w:rPr>
          <w:lang w:val="fr-FR"/>
        </w:rPr>
        <w:t xml:space="preserve"> Afrique du Sud, </w:t>
      </w:r>
      <w:r w:rsidRPr="00792D84">
        <w:rPr>
          <w:noProof/>
          <w:szCs w:val="18"/>
          <w:lang w:val="fr-FR"/>
        </w:rPr>
        <w:t>Antigua</w:t>
      </w:r>
      <w:r w:rsidRPr="00792D84">
        <w:rPr>
          <w:noProof/>
          <w:szCs w:val="18"/>
          <w:lang w:val="fr-FR"/>
        </w:rPr>
        <w:noBreakHyphen/>
        <w:t>et</w:t>
      </w:r>
      <w:r w:rsidRPr="00792D84">
        <w:rPr>
          <w:noProof/>
          <w:szCs w:val="18"/>
          <w:lang w:val="fr-FR"/>
        </w:rPr>
        <w:noBreakHyphen/>
        <w:t xml:space="preserve">Barbuda, </w:t>
      </w:r>
      <w:r>
        <w:rPr>
          <w:noProof/>
          <w:szCs w:val="18"/>
          <w:lang w:val="fr-FR"/>
        </w:rPr>
        <w:t xml:space="preserve">Argentine, Bangladesh, Belize, </w:t>
      </w:r>
      <w:r w:rsidR="001D302E">
        <w:rPr>
          <w:noProof/>
          <w:szCs w:val="18"/>
          <w:lang w:val="fr-FR"/>
        </w:rPr>
        <w:t xml:space="preserve">Bolivie, </w:t>
      </w:r>
      <w:r>
        <w:rPr>
          <w:noProof/>
          <w:szCs w:val="18"/>
          <w:lang w:val="fr-FR"/>
        </w:rPr>
        <w:t xml:space="preserve">Costa Rica, </w:t>
      </w:r>
      <w:r w:rsidRPr="00792D84">
        <w:rPr>
          <w:noProof/>
          <w:szCs w:val="18"/>
          <w:lang w:val="fr-FR"/>
        </w:rPr>
        <w:t xml:space="preserve">Dominique, Émirats arabes unis, </w:t>
      </w:r>
      <w:r w:rsidR="001D302E">
        <w:rPr>
          <w:noProof/>
          <w:szCs w:val="18"/>
          <w:lang w:val="fr-FR"/>
        </w:rPr>
        <w:t xml:space="preserve">Eswatini, </w:t>
      </w:r>
      <w:r w:rsidRPr="00792D84">
        <w:rPr>
          <w:noProof/>
          <w:szCs w:val="18"/>
          <w:lang w:val="fr-FR"/>
        </w:rPr>
        <w:t xml:space="preserve">Gambie, Guinée-Bissau, Guinée équatoriale, Guyana, Iraq, Jordanie, </w:t>
      </w:r>
      <w:r>
        <w:rPr>
          <w:noProof/>
          <w:szCs w:val="18"/>
          <w:lang w:val="fr-FR"/>
        </w:rPr>
        <w:t xml:space="preserve">Kiribati, Liberia, </w:t>
      </w:r>
      <w:r w:rsidR="001D302E">
        <w:rPr>
          <w:noProof/>
          <w:szCs w:val="18"/>
          <w:lang w:val="fr-FR"/>
        </w:rPr>
        <w:t xml:space="preserve">Macédoine du Nord, </w:t>
      </w:r>
      <w:r w:rsidRPr="00792D84">
        <w:rPr>
          <w:noProof/>
          <w:szCs w:val="18"/>
          <w:lang w:val="fr-FR"/>
        </w:rPr>
        <w:t xml:space="preserve">Malawi, Mongolie, Myanmar, </w:t>
      </w:r>
      <w:r w:rsidR="001D302E">
        <w:rPr>
          <w:noProof/>
          <w:szCs w:val="18"/>
          <w:lang w:val="fr-FR"/>
        </w:rPr>
        <w:t xml:space="preserve">Nauru, </w:t>
      </w:r>
      <w:r w:rsidRPr="00792D84">
        <w:rPr>
          <w:noProof/>
          <w:szCs w:val="18"/>
          <w:lang w:val="fr-FR"/>
        </w:rPr>
        <w:t xml:space="preserve">Népal, Nioué, Pérou, </w:t>
      </w:r>
      <w:r w:rsidR="001D302E">
        <w:rPr>
          <w:noProof/>
          <w:szCs w:val="18"/>
          <w:lang w:val="fr-FR"/>
        </w:rPr>
        <w:t xml:space="preserve">République de Corée, </w:t>
      </w:r>
      <w:r w:rsidRPr="00792D84">
        <w:rPr>
          <w:noProof/>
          <w:szCs w:val="18"/>
          <w:lang w:val="fr-FR"/>
        </w:rPr>
        <w:t xml:space="preserve">République populaire démocratique de Corée, République-Unie de Tanzanie, </w:t>
      </w:r>
      <w:r>
        <w:rPr>
          <w:noProof/>
          <w:szCs w:val="18"/>
          <w:lang w:val="fr-FR"/>
        </w:rPr>
        <w:t xml:space="preserve">Saint-Marin, </w:t>
      </w:r>
      <w:r w:rsidR="001D302E">
        <w:rPr>
          <w:noProof/>
          <w:szCs w:val="18"/>
          <w:lang w:val="fr-FR"/>
        </w:rPr>
        <w:t xml:space="preserve">Saint-Vincent-et-les-Grenadines, </w:t>
      </w:r>
      <w:r>
        <w:rPr>
          <w:noProof/>
          <w:szCs w:val="18"/>
          <w:lang w:val="fr-FR"/>
        </w:rPr>
        <w:t xml:space="preserve">Sierra Leone, Sri Lanka, </w:t>
      </w:r>
      <w:r w:rsidRPr="00792D84">
        <w:rPr>
          <w:noProof/>
          <w:szCs w:val="18"/>
          <w:lang w:val="fr-FR"/>
        </w:rPr>
        <w:t>Soudan</w:t>
      </w:r>
      <w:r>
        <w:rPr>
          <w:noProof/>
          <w:szCs w:val="18"/>
          <w:lang w:val="fr-FR"/>
        </w:rPr>
        <w:t xml:space="preserve">, </w:t>
      </w:r>
      <w:r w:rsidR="001D302E">
        <w:rPr>
          <w:noProof/>
          <w:szCs w:val="18"/>
          <w:lang w:val="fr-FR"/>
        </w:rPr>
        <w:t>Soudan du Sud et</w:t>
      </w:r>
      <w:r w:rsidRPr="00792D84">
        <w:rPr>
          <w:noProof/>
          <w:szCs w:val="18"/>
          <w:lang w:val="fr-FR"/>
        </w:rPr>
        <w:t xml:space="preserve"> Timor</w:t>
      </w:r>
      <w:r w:rsidRPr="00792D84">
        <w:rPr>
          <w:noProof/>
          <w:szCs w:val="18"/>
          <w:lang w:val="fr-FR"/>
        </w:rPr>
        <w:noBreakHyphen/>
        <w:t>Leste</w:t>
      </w:r>
      <w:r w:rsidRPr="00792D84">
        <w:rPr>
          <w:lang w:val="fr-FR"/>
        </w:rPr>
        <w:t>.</w:t>
      </w:r>
    </w:p>
  </w:footnote>
  <w:footnote w:id="32">
    <w:p w14:paraId="4D173F7A" w14:textId="77777777" w:rsidR="00C06AC6" w:rsidRPr="00BC6ED9" w:rsidRDefault="00C06AC6" w:rsidP="00DF06FB">
      <w:pPr>
        <w:pStyle w:val="FootnoteText"/>
        <w:ind w:firstLine="0"/>
        <w:rPr>
          <w:lang w:val="fr-FR"/>
        </w:rPr>
      </w:pPr>
      <w:r w:rsidRPr="00BC6ED9">
        <w:rPr>
          <w:rStyle w:val="FootnoteReference"/>
          <w:lang w:val="fr-FR"/>
        </w:rPr>
        <w:footnoteRef/>
      </w:r>
      <w:r w:rsidRPr="00BC6ED9">
        <w:rPr>
          <w:lang w:val="fr-FR"/>
        </w:rPr>
        <w:t xml:space="preserve"> </w:t>
      </w:r>
      <w:r w:rsidRPr="00BC6ED9">
        <w:rPr>
          <w:noProof/>
          <w:kern w:val="18"/>
          <w:szCs w:val="18"/>
          <w:lang w:val="fr-FR"/>
        </w:rPr>
        <w:t xml:space="preserve">Albanie, Allemagne, </w:t>
      </w:r>
      <w:r>
        <w:rPr>
          <w:noProof/>
          <w:kern w:val="18"/>
          <w:szCs w:val="18"/>
          <w:lang w:val="fr-FR"/>
        </w:rPr>
        <w:t xml:space="preserve">Algérie, </w:t>
      </w:r>
      <w:r w:rsidRPr="00BC6ED9">
        <w:rPr>
          <w:noProof/>
          <w:szCs w:val="18"/>
          <w:lang w:val="fr-FR"/>
        </w:rPr>
        <w:t xml:space="preserve">Australie, Belgique, Burundi, Cambodge, Cameroun, Chine, Colombie, Egypte, </w:t>
      </w:r>
      <w:r w:rsidR="00AF4E79">
        <w:rPr>
          <w:noProof/>
          <w:szCs w:val="18"/>
          <w:lang w:val="fr-FR"/>
        </w:rPr>
        <w:t xml:space="preserve">États fédérés de Micronésie, </w:t>
      </w:r>
      <w:r w:rsidRPr="00BC6ED9">
        <w:rPr>
          <w:noProof/>
          <w:szCs w:val="18"/>
          <w:lang w:val="fr-FR"/>
        </w:rPr>
        <w:t xml:space="preserve">Ethiopie, Finlande, </w:t>
      </w:r>
      <w:r w:rsidRPr="00BC6ED9">
        <w:rPr>
          <w:noProof/>
          <w:kern w:val="18"/>
          <w:szCs w:val="18"/>
          <w:lang w:val="fr-FR"/>
        </w:rPr>
        <w:t>Géorgie</w:t>
      </w:r>
      <w:r w:rsidRPr="00BC6ED9">
        <w:rPr>
          <w:noProof/>
          <w:szCs w:val="18"/>
          <w:lang w:val="fr-FR"/>
        </w:rPr>
        <w:t xml:space="preserve">, Guatemala, </w:t>
      </w:r>
      <w:r>
        <w:rPr>
          <w:noProof/>
          <w:szCs w:val="18"/>
          <w:lang w:val="fr-FR"/>
        </w:rPr>
        <w:t xml:space="preserve">Indonésie, </w:t>
      </w:r>
      <w:r w:rsidRPr="00BC6ED9">
        <w:rPr>
          <w:noProof/>
          <w:szCs w:val="18"/>
          <w:lang w:val="fr-FR"/>
        </w:rPr>
        <w:t xml:space="preserve">Italie, Japon, Liban, </w:t>
      </w:r>
      <w:r>
        <w:rPr>
          <w:noProof/>
          <w:szCs w:val="18"/>
          <w:lang w:val="fr-FR"/>
        </w:rPr>
        <w:t xml:space="preserve">Luxembourg, </w:t>
      </w:r>
      <w:r w:rsidRPr="00BC6ED9">
        <w:rPr>
          <w:noProof/>
          <w:szCs w:val="18"/>
          <w:lang w:val="fr-FR"/>
        </w:rPr>
        <w:t xml:space="preserve">Madagascar, Malaisie, Maldives, Mali, Malte, Maroc, </w:t>
      </w:r>
      <w:r>
        <w:rPr>
          <w:noProof/>
          <w:szCs w:val="18"/>
          <w:lang w:val="fr-FR"/>
        </w:rPr>
        <w:t xml:space="preserve">Mexique, </w:t>
      </w:r>
      <w:r w:rsidRPr="00BC6ED9">
        <w:rPr>
          <w:noProof/>
          <w:szCs w:val="18"/>
          <w:lang w:val="fr-FR"/>
        </w:rPr>
        <w:t xml:space="preserve">Mozambique, </w:t>
      </w:r>
      <w:r>
        <w:rPr>
          <w:noProof/>
          <w:szCs w:val="18"/>
          <w:lang w:val="fr-FR"/>
        </w:rPr>
        <w:t xml:space="preserve">Norvège, Philippines, </w:t>
      </w:r>
      <w:r w:rsidRPr="00BC6ED9">
        <w:rPr>
          <w:noProof/>
          <w:szCs w:val="18"/>
          <w:lang w:val="fr-FR"/>
        </w:rPr>
        <w:t xml:space="preserve">Qatar, </w:t>
      </w:r>
      <w:r>
        <w:rPr>
          <w:noProof/>
          <w:szCs w:val="18"/>
          <w:lang w:val="fr-FR"/>
        </w:rPr>
        <w:t xml:space="preserve">République bolivarienne du Venezuela, </w:t>
      </w:r>
      <w:r w:rsidRPr="00BC6ED9">
        <w:rPr>
          <w:noProof/>
          <w:szCs w:val="18"/>
          <w:lang w:val="fr-FR"/>
        </w:rPr>
        <w:t xml:space="preserve">République de Corée, République de Moldova, </w:t>
      </w:r>
      <w:r>
        <w:rPr>
          <w:noProof/>
          <w:szCs w:val="18"/>
          <w:lang w:val="fr-FR"/>
        </w:rPr>
        <w:t xml:space="preserve">République démocratique du Congo, </w:t>
      </w:r>
      <w:r w:rsidRPr="00BC6ED9">
        <w:rPr>
          <w:noProof/>
          <w:kern w:val="18"/>
          <w:szCs w:val="18"/>
          <w:lang w:val="fr-FR"/>
        </w:rPr>
        <w:t>République démocratique populaire lao</w:t>
      </w:r>
      <w:r w:rsidRPr="00BC6ED9">
        <w:rPr>
          <w:noProof/>
          <w:szCs w:val="18"/>
          <w:lang w:val="fr-FR"/>
        </w:rPr>
        <w:t>,</w:t>
      </w:r>
      <w:r>
        <w:rPr>
          <w:noProof/>
          <w:szCs w:val="18"/>
          <w:lang w:val="fr-FR"/>
        </w:rPr>
        <w:t xml:space="preserve"> République islamique d’Iran, Roumanie, </w:t>
      </w:r>
      <w:r w:rsidRPr="00BC6ED9">
        <w:rPr>
          <w:noProof/>
          <w:szCs w:val="18"/>
          <w:lang w:val="fr-FR"/>
        </w:rPr>
        <w:t>Royaume</w:t>
      </w:r>
      <w:r w:rsidRPr="00BC6ED9">
        <w:rPr>
          <w:noProof/>
          <w:szCs w:val="18"/>
          <w:lang w:val="fr-FR"/>
        </w:rPr>
        <w:noBreakHyphen/>
        <w:t xml:space="preserve">Uni, </w:t>
      </w:r>
      <w:r>
        <w:rPr>
          <w:noProof/>
          <w:szCs w:val="18"/>
          <w:lang w:val="fr-FR"/>
        </w:rPr>
        <w:t xml:space="preserve">Samoa, </w:t>
      </w:r>
      <w:r w:rsidRPr="00BC6ED9">
        <w:rPr>
          <w:noProof/>
          <w:szCs w:val="18"/>
          <w:lang w:val="fr-FR"/>
        </w:rPr>
        <w:t>Tchad, Togo, Union européenne</w:t>
      </w:r>
      <w:r>
        <w:rPr>
          <w:noProof/>
          <w:szCs w:val="18"/>
          <w:lang w:val="fr-FR"/>
        </w:rPr>
        <w:t xml:space="preserve"> et Yemen</w:t>
      </w:r>
      <w:r w:rsidRPr="00BC6ED9">
        <w:rPr>
          <w:noProof/>
          <w:szCs w:val="18"/>
          <w:lang w:val="fr-FR"/>
        </w:rPr>
        <w:t>.</w:t>
      </w:r>
    </w:p>
  </w:footnote>
  <w:footnote w:id="33">
    <w:p w14:paraId="0FEB01CA" w14:textId="77777777" w:rsidR="00C06AC6" w:rsidRPr="00BC6ED9" w:rsidRDefault="00C06AC6" w:rsidP="00DF06FB">
      <w:pPr>
        <w:pStyle w:val="FootnoteText"/>
        <w:ind w:firstLine="0"/>
        <w:rPr>
          <w:szCs w:val="18"/>
          <w:lang w:val="fr-FR"/>
        </w:rPr>
      </w:pPr>
      <w:r w:rsidRPr="00BC6ED9">
        <w:rPr>
          <w:rStyle w:val="FootnoteReference"/>
          <w:sz w:val="18"/>
          <w:szCs w:val="18"/>
          <w:lang w:val="fr-FR"/>
        </w:rPr>
        <w:footnoteRef/>
      </w:r>
      <w:r w:rsidRPr="00BC6ED9">
        <w:rPr>
          <w:szCs w:val="18"/>
          <w:lang w:val="fr-FR"/>
        </w:rPr>
        <w:t xml:space="preserve"> Belgique, Bénin, Bosnie-Herzégovine</w:t>
      </w:r>
      <w:r>
        <w:rPr>
          <w:szCs w:val="18"/>
          <w:lang w:val="fr-FR"/>
        </w:rPr>
        <w:t>,</w:t>
      </w:r>
      <w:r w:rsidRPr="00BC6ED9">
        <w:rPr>
          <w:szCs w:val="18"/>
          <w:lang w:val="fr-FR"/>
        </w:rPr>
        <w:t xml:space="preserve"> Botswana, Burundi,</w:t>
      </w:r>
      <w:r>
        <w:rPr>
          <w:szCs w:val="18"/>
          <w:lang w:val="fr-FR"/>
        </w:rPr>
        <w:t xml:space="preserve"> Comores,</w:t>
      </w:r>
      <w:r w:rsidRPr="00BC6ED9">
        <w:rPr>
          <w:szCs w:val="18"/>
          <w:lang w:val="fr-FR"/>
        </w:rPr>
        <w:t xml:space="preserve"> </w:t>
      </w:r>
      <w:r>
        <w:rPr>
          <w:szCs w:val="18"/>
          <w:lang w:val="fr-FR"/>
        </w:rPr>
        <w:t xml:space="preserve">Costa Rica, </w:t>
      </w:r>
      <w:r w:rsidRPr="00BC6ED9">
        <w:rPr>
          <w:szCs w:val="18"/>
          <w:lang w:val="fr-FR"/>
        </w:rPr>
        <w:t xml:space="preserve">Côte d’Ivoire, </w:t>
      </w:r>
      <w:r w:rsidR="00AF4E79">
        <w:rPr>
          <w:szCs w:val="18"/>
          <w:lang w:val="fr-FR"/>
        </w:rPr>
        <w:t xml:space="preserve">États fédérés de Micronésie, </w:t>
      </w:r>
      <w:r>
        <w:rPr>
          <w:szCs w:val="18"/>
          <w:lang w:val="fr-FR"/>
        </w:rPr>
        <w:t xml:space="preserve">Guinée, </w:t>
      </w:r>
      <w:r w:rsidRPr="00BC6ED9">
        <w:rPr>
          <w:szCs w:val="18"/>
          <w:lang w:val="fr-FR"/>
        </w:rPr>
        <w:t xml:space="preserve">Guyana, </w:t>
      </w:r>
      <w:r>
        <w:rPr>
          <w:szCs w:val="18"/>
          <w:lang w:val="fr-FR"/>
        </w:rPr>
        <w:t xml:space="preserve">Liberia, </w:t>
      </w:r>
      <w:r w:rsidRPr="00BC6ED9">
        <w:rPr>
          <w:szCs w:val="18"/>
          <w:lang w:val="fr-FR"/>
        </w:rPr>
        <w:t>Malawi, Maldives, Mali, Maroc, Mauritanie, Niger, Nigéria, Nioué</w:t>
      </w:r>
      <w:r>
        <w:rPr>
          <w:szCs w:val="18"/>
          <w:lang w:val="fr-FR"/>
        </w:rPr>
        <w:t xml:space="preserve">, </w:t>
      </w:r>
      <w:r w:rsidR="00AF4E79">
        <w:rPr>
          <w:szCs w:val="18"/>
          <w:lang w:val="fr-FR"/>
        </w:rPr>
        <w:t xml:space="preserve">Palau, </w:t>
      </w:r>
      <w:r>
        <w:rPr>
          <w:szCs w:val="18"/>
          <w:lang w:val="fr-FR"/>
        </w:rPr>
        <w:t>République démocratique du Congo, Rwanda, Timor Leste et Yémen</w:t>
      </w:r>
      <w:r w:rsidRPr="00BC6ED9">
        <w:rPr>
          <w:szCs w:val="18"/>
          <w:lang w:val="fr-FR"/>
        </w:rPr>
        <w:t>.</w:t>
      </w:r>
    </w:p>
  </w:footnote>
  <w:footnote w:id="34">
    <w:p w14:paraId="45B06D63" w14:textId="77777777" w:rsidR="00C06AC6" w:rsidRPr="00BC6ED9" w:rsidRDefault="00C06AC6" w:rsidP="00DF06FB">
      <w:pPr>
        <w:pStyle w:val="FootnoteText"/>
        <w:ind w:firstLine="0"/>
        <w:rPr>
          <w:lang w:val="fr-FR"/>
        </w:rPr>
      </w:pPr>
      <w:r w:rsidRPr="00BC6ED9">
        <w:rPr>
          <w:rStyle w:val="FootnoteReference"/>
          <w:lang w:val="fr-FR"/>
        </w:rPr>
        <w:footnoteRef/>
      </w:r>
      <w:r w:rsidRPr="00BC6ED9">
        <w:rPr>
          <w:lang w:val="fr-FR"/>
        </w:rPr>
        <w:t xml:space="preserve"> Certaines Parties ont peut-être présenté des stratégies de mobilisation des ressources ou certains de leurs éléments, pas dans leurs SPANB mais dans leurs rapports financiers relatifs à la Convention et/ou dans leur cinquième rapport national ou dans d'autres documents. Ils ne sont pas pris en compte dans le présent document.</w:t>
      </w:r>
    </w:p>
  </w:footnote>
  <w:footnote w:id="35">
    <w:p w14:paraId="1C6141FD" w14:textId="77777777" w:rsidR="00C06AC6" w:rsidRPr="00C86C2E" w:rsidRDefault="00C06AC6" w:rsidP="00765F7A">
      <w:pPr>
        <w:pStyle w:val="FootnoteText"/>
        <w:ind w:firstLine="0"/>
        <w:rPr>
          <w:lang w:val="fr-FR"/>
        </w:rPr>
      </w:pPr>
      <w:r>
        <w:rPr>
          <w:rStyle w:val="FootnoteReference"/>
        </w:rPr>
        <w:footnoteRef/>
      </w:r>
      <w:r w:rsidRPr="00C86C2E">
        <w:rPr>
          <w:lang w:val="fr-FR"/>
        </w:rPr>
        <w:t xml:space="preserve"> </w:t>
      </w:r>
      <w:r w:rsidRPr="00D708FA">
        <w:rPr>
          <w:szCs w:val="18"/>
          <w:lang w:val="fr-FR"/>
        </w:rPr>
        <w:t>Albanie</w:t>
      </w:r>
      <w:r w:rsidRPr="00BC6ED9">
        <w:rPr>
          <w:szCs w:val="18"/>
          <w:lang w:val="fr-FR"/>
        </w:rPr>
        <w:t xml:space="preserve">, </w:t>
      </w:r>
      <w:r>
        <w:rPr>
          <w:szCs w:val="18"/>
          <w:lang w:val="fr-FR"/>
        </w:rPr>
        <w:t xml:space="preserve">Algérie, </w:t>
      </w:r>
      <w:r w:rsidRPr="00BC6ED9">
        <w:rPr>
          <w:szCs w:val="18"/>
          <w:lang w:val="fr-FR"/>
        </w:rPr>
        <w:t xml:space="preserve">Bahreïn, </w:t>
      </w:r>
      <w:r>
        <w:rPr>
          <w:szCs w:val="18"/>
          <w:lang w:val="fr-FR"/>
        </w:rPr>
        <w:t xml:space="preserve">Bangladesh, </w:t>
      </w:r>
      <w:r w:rsidRPr="00BC6ED9">
        <w:rPr>
          <w:szCs w:val="18"/>
          <w:lang w:val="fr-FR"/>
        </w:rPr>
        <w:t xml:space="preserve">Bénin, Bhoutan, Botswana, </w:t>
      </w:r>
      <w:r w:rsidRPr="00BF00BD">
        <w:rPr>
          <w:szCs w:val="18"/>
          <w:lang w:val="fr-FR"/>
        </w:rPr>
        <w:t>Brun</w:t>
      </w:r>
      <w:r>
        <w:rPr>
          <w:szCs w:val="18"/>
          <w:lang w:val="fr-FR"/>
        </w:rPr>
        <w:t>e</w:t>
      </w:r>
      <w:r w:rsidRPr="00BF00BD">
        <w:rPr>
          <w:szCs w:val="18"/>
          <w:lang w:val="fr-FR"/>
        </w:rPr>
        <w:t>i Darussalam</w:t>
      </w:r>
      <w:r>
        <w:rPr>
          <w:szCs w:val="18"/>
          <w:lang w:val="fr-FR"/>
        </w:rPr>
        <w:t>,</w:t>
      </w:r>
      <w:r w:rsidRPr="00BF00BD">
        <w:rPr>
          <w:szCs w:val="18"/>
          <w:lang w:val="fr-FR"/>
        </w:rPr>
        <w:t xml:space="preserve"> </w:t>
      </w:r>
      <w:r w:rsidRPr="00BC6ED9">
        <w:rPr>
          <w:szCs w:val="18"/>
          <w:lang w:val="fr-FR"/>
        </w:rPr>
        <w:t>Burkina Faso, Burundi,</w:t>
      </w:r>
      <w:r>
        <w:rPr>
          <w:szCs w:val="18"/>
          <w:lang w:val="fr-FR"/>
        </w:rPr>
        <w:t xml:space="preserve"> Costa Rica,</w:t>
      </w:r>
      <w:r w:rsidRPr="00BC6ED9">
        <w:rPr>
          <w:szCs w:val="18"/>
          <w:lang w:val="fr-FR"/>
        </w:rPr>
        <w:t xml:space="preserve"> Dominique, Égypte, Érythrée, Espagne, Estonie, </w:t>
      </w:r>
      <w:r w:rsidR="0029154E">
        <w:rPr>
          <w:szCs w:val="18"/>
          <w:lang w:val="fr-FR"/>
        </w:rPr>
        <w:t xml:space="preserve">Eswatini, </w:t>
      </w:r>
      <w:r w:rsidRPr="00BC6ED9">
        <w:rPr>
          <w:szCs w:val="18"/>
          <w:lang w:val="fr-FR"/>
        </w:rPr>
        <w:t xml:space="preserve">Finlande, </w:t>
      </w:r>
      <w:r>
        <w:rPr>
          <w:szCs w:val="18"/>
          <w:lang w:val="fr-FR"/>
        </w:rPr>
        <w:t xml:space="preserve">Ghana, </w:t>
      </w:r>
      <w:r w:rsidRPr="00BC6ED9">
        <w:rPr>
          <w:szCs w:val="18"/>
          <w:lang w:val="fr-FR"/>
        </w:rPr>
        <w:t xml:space="preserve">Guatemala, </w:t>
      </w:r>
      <w:r>
        <w:rPr>
          <w:szCs w:val="18"/>
          <w:lang w:val="fr-FR"/>
        </w:rPr>
        <w:t xml:space="preserve">Guinée, </w:t>
      </w:r>
      <w:r w:rsidRPr="00BC6ED9">
        <w:rPr>
          <w:szCs w:val="18"/>
          <w:lang w:val="fr-FR"/>
        </w:rPr>
        <w:t xml:space="preserve">Guinée-Bissau, Inde, </w:t>
      </w:r>
      <w:r>
        <w:rPr>
          <w:szCs w:val="18"/>
          <w:lang w:val="fr-FR"/>
        </w:rPr>
        <w:t xml:space="preserve">Jamaïque, </w:t>
      </w:r>
      <w:r w:rsidRPr="00BC6ED9">
        <w:rPr>
          <w:szCs w:val="18"/>
          <w:lang w:val="fr-FR"/>
        </w:rPr>
        <w:t xml:space="preserve">Kirghizistan, </w:t>
      </w:r>
      <w:r>
        <w:rPr>
          <w:szCs w:val="18"/>
          <w:lang w:val="fr-FR"/>
        </w:rPr>
        <w:t xml:space="preserve">Kiribati, </w:t>
      </w:r>
      <w:r w:rsidRPr="00BC6ED9">
        <w:rPr>
          <w:szCs w:val="18"/>
          <w:lang w:val="fr-FR"/>
        </w:rPr>
        <w:t xml:space="preserve">Liban, </w:t>
      </w:r>
      <w:r>
        <w:rPr>
          <w:szCs w:val="18"/>
          <w:lang w:val="fr-FR"/>
        </w:rPr>
        <w:t xml:space="preserve">Liberia, Luxembourg, </w:t>
      </w:r>
      <w:r w:rsidR="009210AC">
        <w:rPr>
          <w:szCs w:val="18"/>
          <w:lang w:val="fr-FR"/>
        </w:rPr>
        <w:t xml:space="preserve">Macédoine du Nord, </w:t>
      </w:r>
      <w:r w:rsidRPr="00BC6ED9">
        <w:rPr>
          <w:szCs w:val="18"/>
          <w:lang w:val="fr-FR"/>
        </w:rPr>
        <w:t xml:space="preserve">Madagascar, Malawi, Maldives, Mali, </w:t>
      </w:r>
      <w:r>
        <w:rPr>
          <w:szCs w:val="18"/>
          <w:lang w:val="fr-FR"/>
        </w:rPr>
        <w:t xml:space="preserve">Maurice, </w:t>
      </w:r>
      <w:r w:rsidRPr="00BC6ED9">
        <w:rPr>
          <w:szCs w:val="18"/>
          <w:lang w:val="fr-FR"/>
        </w:rPr>
        <w:t>Mauritanie, Mozambique, Namibie, Népal, Nicaragua, Niger, Ouganda,</w:t>
      </w:r>
      <w:r>
        <w:rPr>
          <w:szCs w:val="18"/>
          <w:lang w:val="fr-FR"/>
        </w:rPr>
        <w:t xml:space="preserve"> </w:t>
      </w:r>
      <w:r w:rsidR="009210AC">
        <w:rPr>
          <w:szCs w:val="18"/>
          <w:lang w:val="fr-FR"/>
        </w:rPr>
        <w:t xml:space="preserve">Pakistan, Panama, </w:t>
      </w:r>
      <w:r>
        <w:rPr>
          <w:szCs w:val="18"/>
          <w:lang w:val="fr-FR"/>
        </w:rPr>
        <w:t>Paraguay, Philippines,</w:t>
      </w:r>
      <w:r w:rsidRPr="00BC6ED9">
        <w:rPr>
          <w:szCs w:val="18"/>
          <w:lang w:val="fr-FR"/>
        </w:rPr>
        <w:t xml:space="preserve"> République de Moldova, </w:t>
      </w:r>
      <w:r>
        <w:rPr>
          <w:szCs w:val="18"/>
          <w:lang w:val="fr-FR"/>
        </w:rPr>
        <w:t xml:space="preserve">Roumanie, Rwanda (certaines parties), </w:t>
      </w:r>
      <w:r w:rsidRPr="00BC6ED9">
        <w:rPr>
          <w:szCs w:val="18"/>
          <w:lang w:val="fr-FR"/>
        </w:rPr>
        <w:t xml:space="preserve">Saint-Kitts-et-Nevis, </w:t>
      </w:r>
      <w:r w:rsidR="009210AC">
        <w:rPr>
          <w:szCs w:val="18"/>
          <w:lang w:val="fr-FR"/>
        </w:rPr>
        <w:t xml:space="preserve">Saint-Vincent-et-les Grenadines, </w:t>
      </w:r>
      <w:r>
        <w:rPr>
          <w:szCs w:val="18"/>
          <w:lang w:val="fr-FR"/>
        </w:rPr>
        <w:t xml:space="preserve">Sao Tomé-et-Principe, Sierra Leone, </w:t>
      </w:r>
      <w:r w:rsidRPr="00BC6ED9">
        <w:rPr>
          <w:szCs w:val="18"/>
          <w:lang w:val="fr-FR"/>
        </w:rPr>
        <w:t xml:space="preserve">Sénégal, </w:t>
      </w:r>
      <w:r>
        <w:rPr>
          <w:szCs w:val="18"/>
          <w:lang w:val="fr-FR"/>
        </w:rPr>
        <w:t xml:space="preserve">Somalie, </w:t>
      </w:r>
      <w:r w:rsidRPr="00BC6ED9">
        <w:rPr>
          <w:szCs w:val="18"/>
          <w:lang w:val="fr-FR"/>
        </w:rPr>
        <w:t>Soudan,</w:t>
      </w:r>
      <w:r>
        <w:rPr>
          <w:szCs w:val="18"/>
          <w:lang w:val="fr-FR"/>
        </w:rPr>
        <w:t xml:space="preserve"> </w:t>
      </w:r>
      <w:r w:rsidR="009210AC">
        <w:rPr>
          <w:szCs w:val="18"/>
          <w:lang w:val="fr-FR"/>
        </w:rPr>
        <w:t xml:space="preserve">Soudan du Sud, </w:t>
      </w:r>
      <w:r>
        <w:rPr>
          <w:szCs w:val="18"/>
          <w:lang w:val="fr-FR"/>
        </w:rPr>
        <w:t xml:space="preserve">Sri Lanka, </w:t>
      </w:r>
      <w:r w:rsidRPr="00BC6ED9">
        <w:rPr>
          <w:szCs w:val="18"/>
          <w:lang w:val="fr-FR"/>
        </w:rPr>
        <w:t>Suriname, Tchad,</w:t>
      </w:r>
      <w:r>
        <w:rPr>
          <w:szCs w:val="18"/>
          <w:lang w:val="fr-FR"/>
        </w:rPr>
        <w:t xml:space="preserve"> </w:t>
      </w:r>
      <w:r w:rsidRPr="00BC6ED9">
        <w:rPr>
          <w:szCs w:val="18"/>
          <w:lang w:val="fr-FR"/>
        </w:rPr>
        <w:t>Togo</w:t>
      </w:r>
      <w:r>
        <w:rPr>
          <w:szCs w:val="18"/>
          <w:lang w:val="fr-FR"/>
        </w:rPr>
        <w:t>, Tunisie, Yémen</w:t>
      </w:r>
      <w:r w:rsidRPr="00BC6ED9">
        <w:rPr>
          <w:szCs w:val="18"/>
          <w:lang w:val="fr-FR"/>
        </w:rPr>
        <w:t xml:space="preserve"> et Zimbabwe</w:t>
      </w:r>
    </w:p>
  </w:footnote>
  <w:footnote w:id="36">
    <w:p w14:paraId="5A2D4446" w14:textId="77777777" w:rsidR="00C06AC6" w:rsidRPr="00BC6ED9" w:rsidRDefault="00C06AC6" w:rsidP="00494678">
      <w:pPr>
        <w:pStyle w:val="FootnoteText"/>
        <w:keepLines w:val="0"/>
        <w:suppressLineNumbers/>
        <w:suppressAutoHyphens/>
        <w:adjustRightInd w:val="0"/>
        <w:snapToGrid w:val="0"/>
        <w:ind w:firstLine="0"/>
        <w:rPr>
          <w:noProof/>
          <w:kern w:val="18"/>
          <w:szCs w:val="18"/>
          <w:lang w:val="fr-FR"/>
        </w:rPr>
      </w:pPr>
      <w:r w:rsidRPr="00BC6ED9">
        <w:rPr>
          <w:rStyle w:val="FootnoteReference"/>
          <w:noProof/>
          <w:kern w:val="18"/>
          <w:sz w:val="18"/>
          <w:szCs w:val="18"/>
          <w:lang w:val="fr-FR"/>
        </w:rPr>
        <w:footnoteRef/>
      </w:r>
      <w:r w:rsidRPr="00BC6ED9">
        <w:rPr>
          <w:noProof/>
          <w:kern w:val="18"/>
          <w:szCs w:val="18"/>
          <w:lang w:val="fr-FR"/>
        </w:rPr>
        <w:t xml:space="preserve"> Afghanistan, Albanie, </w:t>
      </w:r>
      <w:r>
        <w:rPr>
          <w:noProof/>
          <w:kern w:val="18"/>
          <w:szCs w:val="18"/>
          <w:lang w:val="fr-FR"/>
        </w:rPr>
        <w:t xml:space="preserve">Algérie, </w:t>
      </w:r>
      <w:r w:rsidRPr="00BC6ED9">
        <w:rPr>
          <w:noProof/>
          <w:kern w:val="18"/>
          <w:szCs w:val="18"/>
          <w:lang w:val="fr-FR"/>
        </w:rPr>
        <w:t xml:space="preserve">Allemagne, Antigua-et-Barbuda, </w:t>
      </w:r>
      <w:r>
        <w:rPr>
          <w:noProof/>
          <w:kern w:val="18"/>
          <w:szCs w:val="18"/>
          <w:lang w:val="fr-FR"/>
        </w:rPr>
        <w:t xml:space="preserve">Argentine, Bangladesh, </w:t>
      </w:r>
      <w:r w:rsidRPr="00BC6ED9">
        <w:rPr>
          <w:noProof/>
          <w:kern w:val="18"/>
          <w:szCs w:val="18"/>
          <w:lang w:val="fr-FR"/>
        </w:rPr>
        <w:t xml:space="preserve">Bélarus, Belgique, Bénin, Bhoutan, Bosnie-Herzégovine, Botswana, </w:t>
      </w:r>
      <w:r>
        <w:rPr>
          <w:noProof/>
          <w:kern w:val="18"/>
          <w:szCs w:val="18"/>
          <w:lang w:val="fr-FR"/>
        </w:rPr>
        <w:t xml:space="preserve">Brésil, </w:t>
      </w:r>
      <w:r w:rsidRPr="00BC6ED9">
        <w:rPr>
          <w:noProof/>
          <w:kern w:val="18"/>
          <w:szCs w:val="18"/>
          <w:lang w:val="fr-FR"/>
        </w:rPr>
        <w:t xml:space="preserve">Burundi, </w:t>
      </w:r>
      <w:r>
        <w:rPr>
          <w:noProof/>
          <w:kern w:val="18"/>
          <w:szCs w:val="18"/>
          <w:lang w:val="fr-FR"/>
        </w:rPr>
        <w:t xml:space="preserve">Cabo Verde, </w:t>
      </w:r>
      <w:r w:rsidRPr="00BC6ED9">
        <w:rPr>
          <w:noProof/>
          <w:kern w:val="18"/>
          <w:szCs w:val="18"/>
          <w:lang w:val="fr-FR"/>
        </w:rPr>
        <w:t>Cambodge,</w:t>
      </w:r>
      <w:r>
        <w:rPr>
          <w:noProof/>
          <w:kern w:val="18"/>
          <w:szCs w:val="18"/>
          <w:lang w:val="fr-FR"/>
        </w:rPr>
        <w:t xml:space="preserve"> </w:t>
      </w:r>
      <w:r w:rsidRPr="00BC6ED9">
        <w:rPr>
          <w:noProof/>
          <w:kern w:val="18"/>
          <w:szCs w:val="18"/>
          <w:lang w:val="fr-FR"/>
        </w:rPr>
        <w:t xml:space="preserve">Cameroun, Chine, </w:t>
      </w:r>
      <w:r>
        <w:rPr>
          <w:noProof/>
          <w:kern w:val="18"/>
          <w:szCs w:val="18"/>
          <w:lang w:val="fr-FR"/>
        </w:rPr>
        <w:t xml:space="preserve">Chili, Comores, </w:t>
      </w:r>
      <w:r w:rsidRPr="00BC6ED9">
        <w:rPr>
          <w:noProof/>
          <w:kern w:val="18"/>
          <w:szCs w:val="18"/>
          <w:lang w:val="fr-FR"/>
        </w:rPr>
        <w:t xml:space="preserve">Congo, </w:t>
      </w:r>
      <w:r>
        <w:rPr>
          <w:noProof/>
          <w:kern w:val="18"/>
          <w:szCs w:val="18"/>
          <w:lang w:val="fr-FR"/>
        </w:rPr>
        <w:t xml:space="preserve">Costa Rica, Cuba, Djibouti, </w:t>
      </w:r>
      <w:r w:rsidRPr="00BC6ED9">
        <w:rPr>
          <w:noProof/>
          <w:kern w:val="18"/>
          <w:szCs w:val="18"/>
          <w:lang w:val="fr-FR"/>
        </w:rPr>
        <w:t xml:space="preserve">Egypte, Emirats arabes unis, </w:t>
      </w:r>
      <w:r>
        <w:rPr>
          <w:noProof/>
          <w:kern w:val="18"/>
          <w:szCs w:val="18"/>
          <w:lang w:val="fr-FR"/>
        </w:rPr>
        <w:t xml:space="preserve">Équateur, </w:t>
      </w:r>
      <w:r w:rsidRPr="00BC6ED9">
        <w:rPr>
          <w:noProof/>
          <w:kern w:val="18"/>
          <w:szCs w:val="18"/>
          <w:lang w:val="fr-FR"/>
        </w:rPr>
        <w:t xml:space="preserve">Erythrée, </w:t>
      </w:r>
      <w:r w:rsidR="009210AC">
        <w:rPr>
          <w:noProof/>
          <w:kern w:val="18"/>
          <w:szCs w:val="18"/>
          <w:lang w:val="fr-FR"/>
        </w:rPr>
        <w:t xml:space="preserve">Eswatini, États fédérés de Micronésie, </w:t>
      </w:r>
      <w:r w:rsidRPr="00BC6ED9">
        <w:rPr>
          <w:noProof/>
          <w:kern w:val="18"/>
          <w:szCs w:val="18"/>
          <w:lang w:val="fr-FR"/>
        </w:rPr>
        <w:t xml:space="preserve">Ethiopie, Finlande, Gambie, Géorgie, </w:t>
      </w:r>
      <w:r>
        <w:rPr>
          <w:noProof/>
          <w:kern w:val="18"/>
          <w:szCs w:val="18"/>
          <w:lang w:val="fr-FR"/>
        </w:rPr>
        <w:t xml:space="preserve">Ghana, </w:t>
      </w:r>
      <w:r w:rsidRPr="00BC6ED9">
        <w:rPr>
          <w:noProof/>
          <w:kern w:val="18"/>
          <w:szCs w:val="18"/>
          <w:lang w:val="fr-FR"/>
        </w:rPr>
        <w:t xml:space="preserve">Grèce, </w:t>
      </w:r>
      <w:r>
        <w:rPr>
          <w:noProof/>
          <w:kern w:val="18"/>
          <w:szCs w:val="18"/>
          <w:lang w:val="fr-FR"/>
        </w:rPr>
        <w:t xml:space="preserve">Grenade, Guinée, </w:t>
      </w:r>
      <w:r w:rsidRPr="00BC6ED9">
        <w:rPr>
          <w:noProof/>
          <w:kern w:val="18"/>
          <w:szCs w:val="18"/>
          <w:lang w:val="fr-FR"/>
        </w:rPr>
        <w:t xml:space="preserve">Guinée-Bissau, Guinée équatoriale, Guyana, Hongrie, </w:t>
      </w:r>
      <w:r>
        <w:rPr>
          <w:noProof/>
          <w:kern w:val="18"/>
          <w:szCs w:val="18"/>
          <w:lang w:val="fr-FR"/>
        </w:rPr>
        <w:t xml:space="preserve">Îles Salomon, </w:t>
      </w:r>
      <w:r w:rsidRPr="00BC6ED9">
        <w:rPr>
          <w:noProof/>
          <w:kern w:val="18"/>
          <w:szCs w:val="18"/>
          <w:lang w:val="fr-FR"/>
        </w:rPr>
        <w:t xml:space="preserve">Inde, </w:t>
      </w:r>
      <w:r>
        <w:rPr>
          <w:noProof/>
          <w:kern w:val="18"/>
          <w:szCs w:val="18"/>
          <w:lang w:val="fr-FR"/>
        </w:rPr>
        <w:t xml:space="preserve">Indonésie, </w:t>
      </w:r>
      <w:r w:rsidRPr="00BC6ED9">
        <w:rPr>
          <w:noProof/>
          <w:kern w:val="18"/>
          <w:szCs w:val="18"/>
          <w:lang w:val="fr-FR"/>
        </w:rPr>
        <w:t xml:space="preserve">Iraq, </w:t>
      </w:r>
      <w:r>
        <w:rPr>
          <w:noProof/>
          <w:kern w:val="18"/>
          <w:szCs w:val="18"/>
          <w:lang w:val="fr-FR"/>
        </w:rPr>
        <w:t xml:space="preserve">Jamaïque, </w:t>
      </w:r>
      <w:r w:rsidRPr="00BC6ED9">
        <w:rPr>
          <w:noProof/>
          <w:kern w:val="18"/>
          <w:szCs w:val="18"/>
          <w:lang w:val="fr-FR"/>
        </w:rPr>
        <w:t xml:space="preserve">Jordanie, Japon, </w:t>
      </w:r>
      <w:r w:rsidR="00CF3893">
        <w:rPr>
          <w:noProof/>
          <w:kern w:val="18"/>
          <w:szCs w:val="18"/>
          <w:lang w:val="fr-FR"/>
        </w:rPr>
        <w:t>K</w:t>
      </w:r>
      <w:r w:rsidR="009210AC">
        <w:rPr>
          <w:noProof/>
          <w:kern w:val="18"/>
          <w:szCs w:val="18"/>
          <w:lang w:val="fr-FR"/>
        </w:rPr>
        <w:t xml:space="preserve">oweït, </w:t>
      </w:r>
      <w:r w:rsidRPr="00BC6ED9">
        <w:rPr>
          <w:noProof/>
          <w:kern w:val="18"/>
          <w:szCs w:val="18"/>
          <w:lang w:val="fr-FR"/>
        </w:rPr>
        <w:t>Liban,</w:t>
      </w:r>
      <w:r>
        <w:rPr>
          <w:noProof/>
          <w:kern w:val="18"/>
          <w:szCs w:val="18"/>
          <w:lang w:val="fr-FR"/>
        </w:rPr>
        <w:t xml:space="preserve"> Liberia, </w:t>
      </w:r>
      <w:r w:rsidRPr="00BC6ED9">
        <w:rPr>
          <w:noProof/>
          <w:kern w:val="18"/>
          <w:szCs w:val="18"/>
          <w:lang w:val="fr-FR"/>
        </w:rPr>
        <w:t xml:space="preserve"> </w:t>
      </w:r>
      <w:r>
        <w:rPr>
          <w:noProof/>
          <w:kern w:val="18"/>
          <w:szCs w:val="18"/>
          <w:lang w:val="fr-FR"/>
        </w:rPr>
        <w:t xml:space="preserve">Luxembourg, </w:t>
      </w:r>
      <w:r w:rsidR="009210AC">
        <w:rPr>
          <w:noProof/>
          <w:kern w:val="18"/>
          <w:szCs w:val="18"/>
          <w:lang w:val="fr-FR"/>
        </w:rPr>
        <w:t xml:space="preserve">Macédoine du Nord, </w:t>
      </w:r>
      <w:r w:rsidRPr="00BC6ED9">
        <w:rPr>
          <w:noProof/>
          <w:kern w:val="18"/>
          <w:szCs w:val="18"/>
          <w:lang w:val="fr-FR"/>
        </w:rPr>
        <w:t>Madagascar, Malawi, Malaisie, Maldives, Mali, Maroc,</w:t>
      </w:r>
      <w:r>
        <w:rPr>
          <w:noProof/>
          <w:kern w:val="18"/>
          <w:szCs w:val="18"/>
          <w:lang w:val="fr-FR"/>
        </w:rPr>
        <w:t xml:space="preserve"> Maurice,</w:t>
      </w:r>
      <w:r w:rsidRPr="00BC6ED9">
        <w:rPr>
          <w:noProof/>
          <w:kern w:val="18"/>
          <w:szCs w:val="18"/>
          <w:lang w:val="fr-FR"/>
        </w:rPr>
        <w:t xml:space="preserve"> Mauritanie, </w:t>
      </w:r>
      <w:r>
        <w:rPr>
          <w:noProof/>
          <w:kern w:val="18"/>
          <w:szCs w:val="18"/>
          <w:lang w:val="fr-FR"/>
        </w:rPr>
        <w:t xml:space="preserve">Mexique, </w:t>
      </w:r>
      <w:r w:rsidRPr="00BC6ED9">
        <w:rPr>
          <w:noProof/>
          <w:kern w:val="18"/>
          <w:szCs w:val="18"/>
          <w:lang w:val="fr-FR"/>
        </w:rPr>
        <w:t>Mongolie,</w:t>
      </w:r>
      <w:r>
        <w:rPr>
          <w:noProof/>
          <w:kern w:val="18"/>
          <w:szCs w:val="18"/>
          <w:lang w:val="fr-FR"/>
        </w:rPr>
        <w:t xml:space="preserve"> Montégégro, </w:t>
      </w:r>
      <w:r w:rsidRPr="00BC6ED9">
        <w:rPr>
          <w:noProof/>
          <w:kern w:val="18"/>
          <w:szCs w:val="18"/>
          <w:lang w:val="fr-FR"/>
        </w:rPr>
        <w:t xml:space="preserve">Mozambique, Myanmar, Namibie, Nigéria, Nioué, Ouganda, </w:t>
      </w:r>
      <w:r w:rsidR="009210AC">
        <w:rPr>
          <w:noProof/>
          <w:kern w:val="18"/>
          <w:szCs w:val="18"/>
          <w:lang w:val="fr-FR"/>
        </w:rPr>
        <w:t xml:space="preserve">Pakistan, Palau, Panama, </w:t>
      </w:r>
      <w:r w:rsidRPr="00BC6ED9">
        <w:rPr>
          <w:noProof/>
          <w:kern w:val="18"/>
          <w:szCs w:val="18"/>
          <w:lang w:val="fr-FR"/>
        </w:rPr>
        <w:t>République de Corée, République démocratique populaire lao,</w:t>
      </w:r>
      <w:r>
        <w:rPr>
          <w:noProof/>
          <w:kern w:val="18"/>
          <w:szCs w:val="18"/>
          <w:lang w:val="fr-FR"/>
        </w:rPr>
        <w:t xml:space="preserve"> République démocratique du Congo, </w:t>
      </w:r>
      <w:r w:rsidRPr="00BC6ED9">
        <w:rPr>
          <w:noProof/>
          <w:kern w:val="18"/>
          <w:szCs w:val="18"/>
          <w:lang w:val="fr-FR"/>
        </w:rPr>
        <w:t xml:space="preserve"> République dominicaine, </w:t>
      </w:r>
      <w:r>
        <w:rPr>
          <w:noProof/>
          <w:kern w:val="18"/>
          <w:szCs w:val="18"/>
          <w:lang w:val="fr-FR"/>
        </w:rPr>
        <w:t xml:space="preserve">République islamique d’Iran, </w:t>
      </w:r>
      <w:r w:rsidRPr="00BC6ED9">
        <w:rPr>
          <w:noProof/>
          <w:kern w:val="18"/>
          <w:szCs w:val="18"/>
          <w:lang w:val="fr-FR"/>
        </w:rPr>
        <w:t xml:space="preserve">République-Unie de Tanzanie, </w:t>
      </w:r>
      <w:r>
        <w:rPr>
          <w:noProof/>
          <w:kern w:val="18"/>
          <w:szCs w:val="18"/>
          <w:lang w:val="fr-FR"/>
        </w:rPr>
        <w:t xml:space="preserve">Rwanda, </w:t>
      </w:r>
      <w:r w:rsidRPr="00BC6ED9">
        <w:rPr>
          <w:noProof/>
          <w:kern w:val="18"/>
          <w:szCs w:val="18"/>
          <w:lang w:val="fr-FR"/>
        </w:rPr>
        <w:t>Saint-Kitts-et-Nevis,</w:t>
      </w:r>
      <w:r>
        <w:rPr>
          <w:noProof/>
          <w:kern w:val="18"/>
          <w:szCs w:val="18"/>
          <w:lang w:val="fr-FR"/>
        </w:rPr>
        <w:t xml:space="preserve"> Samoa,</w:t>
      </w:r>
      <w:r w:rsidRPr="00BC6ED9">
        <w:rPr>
          <w:noProof/>
          <w:kern w:val="18"/>
          <w:szCs w:val="18"/>
          <w:lang w:val="fr-FR"/>
        </w:rPr>
        <w:t xml:space="preserve"> Serbi</w:t>
      </w:r>
      <w:r>
        <w:rPr>
          <w:noProof/>
          <w:kern w:val="18"/>
          <w:szCs w:val="18"/>
          <w:lang w:val="fr-FR"/>
        </w:rPr>
        <w:t>e</w:t>
      </w:r>
      <w:r w:rsidRPr="00BC6ED9">
        <w:rPr>
          <w:noProof/>
          <w:kern w:val="18"/>
          <w:szCs w:val="18"/>
          <w:lang w:val="fr-FR"/>
        </w:rPr>
        <w:t xml:space="preserve">, </w:t>
      </w:r>
      <w:r>
        <w:rPr>
          <w:noProof/>
          <w:kern w:val="18"/>
          <w:szCs w:val="18"/>
          <w:lang w:val="fr-FR"/>
        </w:rPr>
        <w:t xml:space="preserve">Sierra Leone, Somalie, </w:t>
      </w:r>
      <w:r w:rsidR="000A55F8">
        <w:rPr>
          <w:noProof/>
          <w:kern w:val="18"/>
          <w:szCs w:val="18"/>
          <w:lang w:val="fr-FR"/>
        </w:rPr>
        <w:t>Soudan du Sud,</w:t>
      </w:r>
      <w:r>
        <w:rPr>
          <w:noProof/>
          <w:kern w:val="18"/>
          <w:szCs w:val="18"/>
          <w:lang w:val="fr-FR"/>
        </w:rPr>
        <w:t xml:space="preserve"> Tadjikkistan, Thaïlande, </w:t>
      </w:r>
      <w:r w:rsidR="000A55F8">
        <w:rPr>
          <w:noProof/>
          <w:kern w:val="18"/>
          <w:szCs w:val="18"/>
          <w:lang w:val="fr-FR"/>
        </w:rPr>
        <w:t xml:space="preserve">Trinité-et-Tobago, </w:t>
      </w:r>
      <w:r>
        <w:rPr>
          <w:noProof/>
          <w:kern w:val="18"/>
          <w:szCs w:val="18"/>
          <w:lang w:val="fr-FR"/>
        </w:rPr>
        <w:t xml:space="preserve">Tunisie, </w:t>
      </w:r>
      <w:r w:rsidR="000A55F8">
        <w:rPr>
          <w:noProof/>
          <w:kern w:val="18"/>
          <w:szCs w:val="18"/>
          <w:lang w:val="fr-FR"/>
        </w:rPr>
        <w:t xml:space="preserve">Turkménistan, Turquie, </w:t>
      </w:r>
      <w:r w:rsidRPr="00BC6ED9">
        <w:rPr>
          <w:noProof/>
          <w:kern w:val="18"/>
          <w:szCs w:val="18"/>
          <w:lang w:val="fr-FR"/>
        </w:rPr>
        <w:t xml:space="preserve">Union européenne, Uruguay, </w:t>
      </w:r>
      <w:r w:rsidR="000A55F8">
        <w:rPr>
          <w:noProof/>
          <w:kern w:val="18"/>
          <w:szCs w:val="18"/>
          <w:lang w:val="fr-FR"/>
        </w:rPr>
        <w:t xml:space="preserve">Vanuatu, </w:t>
      </w:r>
      <w:r w:rsidRPr="00BC6ED9">
        <w:rPr>
          <w:noProof/>
          <w:kern w:val="18"/>
          <w:szCs w:val="18"/>
          <w:lang w:val="fr-FR"/>
        </w:rPr>
        <w:t>Zambie et Zimbabwe.</w:t>
      </w:r>
    </w:p>
  </w:footnote>
  <w:footnote w:id="37">
    <w:p w14:paraId="15A12892" w14:textId="77777777" w:rsidR="00C06AC6" w:rsidRPr="00BC6ED9" w:rsidRDefault="00C06AC6" w:rsidP="00DF06FB">
      <w:pPr>
        <w:pStyle w:val="FootnoteText"/>
        <w:keepLines w:val="0"/>
        <w:suppressLineNumbers/>
        <w:suppressAutoHyphens/>
        <w:adjustRightInd w:val="0"/>
        <w:snapToGrid w:val="0"/>
        <w:ind w:firstLine="0"/>
        <w:rPr>
          <w:szCs w:val="18"/>
          <w:lang w:val="fr-FR"/>
        </w:rPr>
      </w:pPr>
      <w:r w:rsidRPr="00BC6ED9">
        <w:rPr>
          <w:rStyle w:val="FootnoteReference"/>
          <w:sz w:val="18"/>
          <w:szCs w:val="18"/>
          <w:lang w:val="fr-FR"/>
        </w:rPr>
        <w:footnoteRef/>
      </w:r>
      <w:r w:rsidRPr="00BC6ED9">
        <w:rPr>
          <w:szCs w:val="18"/>
          <w:lang w:val="fr-FR"/>
        </w:rPr>
        <w:t xml:space="preserve"> </w:t>
      </w:r>
      <w:r>
        <w:rPr>
          <w:szCs w:val="18"/>
          <w:lang w:val="fr-FR"/>
        </w:rPr>
        <w:t xml:space="preserve">Bangladesh, Belize, </w:t>
      </w:r>
      <w:r w:rsidRPr="00BC6ED9">
        <w:rPr>
          <w:szCs w:val="18"/>
          <w:lang w:val="fr-FR"/>
        </w:rPr>
        <w:t xml:space="preserve">Bénin, Bosnie-Herzégovine, Botswana, </w:t>
      </w:r>
      <w:r w:rsidRPr="00BC6ED9">
        <w:rPr>
          <w:noProof/>
          <w:szCs w:val="18"/>
          <w:lang w:val="fr-FR"/>
        </w:rPr>
        <w:t xml:space="preserve">Burundi, </w:t>
      </w:r>
      <w:r>
        <w:rPr>
          <w:noProof/>
          <w:szCs w:val="18"/>
          <w:lang w:val="fr-FR"/>
        </w:rPr>
        <w:t xml:space="preserve">Comores, Costa Rica, </w:t>
      </w:r>
      <w:r w:rsidRPr="00BC6ED9">
        <w:rPr>
          <w:noProof/>
          <w:szCs w:val="18"/>
          <w:lang w:val="fr-FR"/>
        </w:rPr>
        <w:t xml:space="preserve">Côte d'Ivoire, </w:t>
      </w:r>
      <w:r w:rsidR="008A69BD">
        <w:rPr>
          <w:noProof/>
          <w:szCs w:val="18"/>
          <w:lang w:val="fr-FR"/>
        </w:rPr>
        <w:t xml:space="preserve">Eswatini, États fédérés de Micronésie, </w:t>
      </w:r>
      <w:r w:rsidRPr="00BC6ED9">
        <w:rPr>
          <w:noProof/>
          <w:szCs w:val="18"/>
          <w:lang w:val="fr-FR"/>
        </w:rPr>
        <w:t xml:space="preserve">Finlande, France, </w:t>
      </w:r>
      <w:r>
        <w:rPr>
          <w:noProof/>
          <w:szCs w:val="18"/>
          <w:lang w:val="fr-FR"/>
        </w:rPr>
        <w:t xml:space="preserve">Ghana, </w:t>
      </w:r>
      <w:r w:rsidRPr="00BC6ED9">
        <w:rPr>
          <w:noProof/>
          <w:szCs w:val="18"/>
          <w:lang w:val="fr-FR"/>
        </w:rPr>
        <w:t xml:space="preserve">Guatemala, Guyana, Liban, </w:t>
      </w:r>
      <w:r>
        <w:rPr>
          <w:noProof/>
          <w:szCs w:val="18"/>
          <w:lang w:val="fr-FR"/>
        </w:rPr>
        <w:t xml:space="preserve">Liberia, </w:t>
      </w:r>
      <w:r w:rsidRPr="00BC6ED9">
        <w:rPr>
          <w:noProof/>
          <w:szCs w:val="18"/>
          <w:lang w:val="fr-FR"/>
        </w:rPr>
        <w:t xml:space="preserve">Malawi, Maldives, Mauritanie, </w:t>
      </w:r>
      <w:r>
        <w:rPr>
          <w:noProof/>
          <w:szCs w:val="18"/>
          <w:lang w:val="fr-FR"/>
        </w:rPr>
        <w:t xml:space="preserve">Mexique, </w:t>
      </w:r>
      <w:r w:rsidRPr="00BC6ED9">
        <w:rPr>
          <w:noProof/>
          <w:szCs w:val="18"/>
          <w:lang w:val="fr-FR"/>
        </w:rPr>
        <w:t xml:space="preserve">Namibie, Népal, Niger, Nigéria, Nioué, </w:t>
      </w:r>
      <w:r w:rsidR="008A69BD">
        <w:rPr>
          <w:noProof/>
          <w:szCs w:val="18"/>
          <w:lang w:val="fr-FR"/>
        </w:rPr>
        <w:t xml:space="preserve">Palau, Panama, </w:t>
      </w:r>
      <w:r>
        <w:rPr>
          <w:noProof/>
          <w:szCs w:val="18"/>
          <w:lang w:val="fr-FR"/>
        </w:rPr>
        <w:t xml:space="preserve">Philippines, </w:t>
      </w:r>
      <w:r w:rsidR="008A69BD">
        <w:rPr>
          <w:noProof/>
          <w:szCs w:val="18"/>
          <w:lang w:val="fr-FR"/>
        </w:rPr>
        <w:t xml:space="preserve">Républiue de Corée, </w:t>
      </w:r>
      <w:r>
        <w:rPr>
          <w:noProof/>
          <w:szCs w:val="18"/>
          <w:lang w:val="fr-FR"/>
        </w:rPr>
        <w:t xml:space="preserve">République démocratique du Congo, Rwanda, </w:t>
      </w:r>
      <w:r w:rsidR="008A69BD">
        <w:rPr>
          <w:noProof/>
          <w:szCs w:val="18"/>
          <w:lang w:val="fr-FR"/>
        </w:rPr>
        <w:t xml:space="preserve">Saint-Vincent-et-les-Grenadines, </w:t>
      </w:r>
      <w:r w:rsidRPr="00BC6ED9">
        <w:rPr>
          <w:noProof/>
          <w:szCs w:val="18"/>
          <w:lang w:val="fr-FR"/>
        </w:rPr>
        <w:t>Sénégal, Soudan</w:t>
      </w:r>
      <w:r w:rsidR="008A69BD">
        <w:rPr>
          <w:noProof/>
          <w:szCs w:val="18"/>
          <w:lang w:val="fr-FR"/>
        </w:rPr>
        <w:t>,</w:t>
      </w:r>
      <w:r w:rsidRPr="00BC6ED9">
        <w:rPr>
          <w:noProof/>
          <w:szCs w:val="18"/>
          <w:lang w:val="fr-FR"/>
        </w:rPr>
        <w:t xml:space="preserve"> Timor</w:t>
      </w:r>
      <w:r w:rsidRPr="00BC6ED9">
        <w:rPr>
          <w:noProof/>
          <w:szCs w:val="18"/>
          <w:lang w:val="fr-FR"/>
        </w:rPr>
        <w:noBreakHyphen/>
        <w:t>Leste</w:t>
      </w:r>
      <w:r w:rsidR="008A69BD">
        <w:rPr>
          <w:noProof/>
          <w:szCs w:val="18"/>
          <w:lang w:val="fr-FR"/>
        </w:rPr>
        <w:t xml:space="preserve"> et Trinité-et-Tobago.</w:t>
      </w:r>
    </w:p>
  </w:footnote>
  <w:footnote w:id="38">
    <w:p w14:paraId="629E152C" w14:textId="77777777" w:rsidR="00C06AC6" w:rsidRPr="00BC6ED9" w:rsidRDefault="00C06AC6" w:rsidP="00DF06FB">
      <w:pPr>
        <w:pStyle w:val="FootnoteText"/>
        <w:keepLines w:val="0"/>
        <w:suppressLineNumbers/>
        <w:suppressAutoHyphens/>
        <w:adjustRightInd w:val="0"/>
        <w:snapToGrid w:val="0"/>
        <w:ind w:firstLine="0"/>
        <w:rPr>
          <w:noProof/>
          <w:kern w:val="18"/>
          <w:szCs w:val="18"/>
          <w:lang w:val="fr-FR"/>
        </w:rPr>
      </w:pPr>
      <w:r w:rsidRPr="00BC6ED9">
        <w:rPr>
          <w:rStyle w:val="FootnoteReference"/>
          <w:noProof/>
          <w:kern w:val="18"/>
          <w:sz w:val="18"/>
          <w:szCs w:val="18"/>
          <w:lang w:val="fr-FR"/>
        </w:rPr>
        <w:footnoteRef/>
      </w:r>
      <w:r w:rsidRPr="00BC6ED9">
        <w:rPr>
          <w:noProof/>
          <w:kern w:val="18"/>
          <w:szCs w:val="18"/>
          <w:lang w:val="fr-FR"/>
        </w:rPr>
        <w:t xml:space="preserve"> Afrique du Sud, Albanie, </w:t>
      </w:r>
      <w:r>
        <w:rPr>
          <w:noProof/>
          <w:kern w:val="18"/>
          <w:szCs w:val="18"/>
          <w:lang w:val="fr-FR"/>
        </w:rPr>
        <w:t xml:space="preserve">Algérie, </w:t>
      </w:r>
      <w:r w:rsidRPr="00BC6ED9">
        <w:rPr>
          <w:noProof/>
          <w:kern w:val="18"/>
          <w:szCs w:val="18"/>
          <w:lang w:val="fr-FR"/>
        </w:rPr>
        <w:t xml:space="preserve">Allemagne, </w:t>
      </w:r>
      <w:r>
        <w:rPr>
          <w:noProof/>
          <w:kern w:val="18"/>
          <w:szCs w:val="18"/>
          <w:lang w:val="fr-FR"/>
        </w:rPr>
        <w:t xml:space="preserve">Andorre, </w:t>
      </w:r>
      <w:r w:rsidRPr="00BC6ED9">
        <w:rPr>
          <w:noProof/>
          <w:szCs w:val="18"/>
          <w:lang w:val="fr-FR"/>
        </w:rPr>
        <w:t>Antigua</w:t>
      </w:r>
      <w:r w:rsidRPr="00BC6ED9">
        <w:rPr>
          <w:noProof/>
          <w:szCs w:val="18"/>
          <w:lang w:val="fr-FR"/>
        </w:rPr>
        <w:noBreakHyphen/>
        <w:t>et</w:t>
      </w:r>
      <w:r w:rsidRPr="00BC6ED9">
        <w:rPr>
          <w:noProof/>
          <w:szCs w:val="18"/>
          <w:lang w:val="fr-FR"/>
        </w:rPr>
        <w:noBreakHyphen/>
        <w:t xml:space="preserve">Barbuda, </w:t>
      </w:r>
      <w:r>
        <w:rPr>
          <w:noProof/>
          <w:szCs w:val="18"/>
          <w:lang w:val="fr-FR"/>
        </w:rPr>
        <w:t xml:space="preserve">Argentine, </w:t>
      </w:r>
      <w:r w:rsidRPr="00BC6ED9">
        <w:rPr>
          <w:noProof/>
          <w:szCs w:val="18"/>
          <w:lang w:val="fr-FR"/>
        </w:rPr>
        <w:t xml:space="preserve">Arménie, Autriche, </w:t>
      </w:r>
      <w:r>
        <w:rPr>
          <w:noProof/>
          <w:szCs w:val="18"/>
          <w:lang w:val="fr-FR"/>
        </w:rPr>
        <w:t xml:space="preserve">Azerbaïdjan, </w:t>
      </w:r>
      <w:r w:rsidRPr="00BC6ED9">
        <w:rPr>
          <w:noProof/>
          <w:szCs w:val="18"/>
          <w:lang w:val="fr-FR"/>
        </w:rPr>
        <w:t xml:space="preserve">Bahreïn, Bélarus, Belgique, Bhoutan, </w:t>
      </w:r>
      <w:r w:rsidR="008A69BD">
        <w:rPr>
          <w:noProof/>
          <w:szCs w:val="18"/>
          <w:lang w:val="fr-FR"/>
        </w:rPr>
        <w:t xml:space="preserve">Bolivie, </w:t>
      </w:r>
      <w:r>
        <w:rPr>
          <w:noProof/>
          <w:szCs w:val="18"/>
          <w:lang w:val="fr-FR"/>
        </w:rPr>
        <w:t xml:space="preserve">Brésil, </w:t>
      </w:r>
      <w:r w:rsidRPr="000E2DA1">
        <w:rPr>
          <w:noProof/>
          <w:szCs w:val="18"/>
          <w:lang w:val="fr-FR"/>
        </w:rPr>
        <w:t>Brunéi Darussalam</w:t>
      </w:r>
      <w:r>
        <w:rPr>
          <w:noProof/>
          <w:szCs w:val="18"/>
          <w:lang w:val="fr-FR"/>
        </w:rPr>
        <w:t xml:space="preserve">, Cabo Verde, Canada, </w:t>
      </w:r>
      <w:r w:rsidRPr="00BC6ED9">
        <w:rPr>
          <w:noProof/>
          <w:szCs w:val="18"/>
          <w:lang w:val="fr-FR"/>
        </w:rPr>
        <w:t xml:space="preserve">Cambodge, </w:t>
      </w:r>
      <w:r>
        <w:rPr>
          <w:noProof/>
          <w:szCs w:val="18"/>
          <w:lang w:val="fr-FR"/>
        </w:rPr>
        <w:t xml:space="preserve">Chili, </w:t>
      </w:r>
      <w:r w:rsidRPr="00BC6ED9">
        <w:rPr>
          <w:noProof/>
          <w:szCs w:val="18"/>
          <w:lang w:val="fr-FR"/>
        </w:rPr>
        <w:t>Chine, Congo,</w:t>
      </w:r>
      <w:r>
        <w:rPr>
          <w:noProof/>
          <w:szCs w:val="18"/>
          <w:lang w:val="fr-FR"/>
        </w:rPr>
        <w:t xml:space="preserve"> Cuba,  Croatie, </w:t>
      </w:r>
      <w:r w:rsidRPr="00BC6ED9">
        <w:rPr>
          <w:noProof/>
          <w:szCs w:val="18"/>
          <w:lang w:val="fr-FR"/>
        </w:rPr>
        <w:t xml:space="preserve"> Danemark, Egypte, Émirats arabes unis, </w:t>
      </w:r>
      <w:r>
        <w:rPr>
          <w:noProof/>
          <w:szCs w:val="18"/>
          <w:lang w:val="fr-FR"/>
        </w:rPr>
        <w:t xml:space="preserve">Équateur, </w:t>
      </w:r>
      <w:r w:rsidRPr="00BC6ED9">
        <w:rPr>
          <w:noProof/>
          <w:szCs w:val="18"/>
          <w:lang w:val="fr-FR"/>
        </w:rPr>
        <w:t xml:space="preserve">Érythrée, Espagne, Estonie, Ethiopie, </w:t>
      </w:r>
      <w:r>
        <w:rPr>
          <w:noProof/>
          <w:szCs w:val="18"/>
          <w:lang w:val="fr-FR"/>
        </w:rPr>
        <w:t xml:space="preserve">Fédération de Russie, Finlande, </w:t>
      </w:r>
      <w:r w:rsidRPr="00BC6ED9">
        <w:rPr>
          <w:noProof/>
          <w:szCs w:val="18"/>
          <w:lang w:val="fr-FR"/>
        </w:rPr>
        <w:t xml:space="preserve">Gambie, Géorgie, </w:t>
      </w:r>
      <w:r>
        <w:rPr>
          <w:noProof/>
          <w:szCs w:val="18"/>
          <w:lang w:val="fr-FR"/>
        </w:rPr>
        <w:t xml:space="preserve">Ghana, </w:t>
      </w:r>
      <w:r w:rsidRPr="00BC6ED9">
        <w:rPr>
          <w:noProof/>
          <w:szCs w:val="18"/>
          <w:lang w:val="fr-FR"/>
        </w:rPr>
        <w:t xml:space="preserve">Grèce, </w:t>
      </w:r>
      <w:r>
        <w:rPr>
          <w:noProof/>
          <w:szCs w:val="18"/>
          <w:lang w:val="fr-FR"/>
        </w:rPr>
        <w:t xml:space="preserve">Grenade, Guinée, </w:t>
      </w:r>
      <w:r w:rsidRPr="00BC6ED9">
        <w:rPr>
          <w:noProof/>
          <w:szCs w:val="18"/>
          <w:lang w:val="fr-FR"/>
        </w:rPr>
        <w:t xml:space="preserve">Guinée-Bissau, Guinée équatoriale, </w:t>
      </w:r>
      <w:r>
        <w:rPr>
          <w:noProof/>
          <w:szCs w:val="18"/>
          <w:lang w:val="fr-FR"/>
        </w:rPr>
        <w:t xml:space="preserve">Honduras, </w:t>
      </w:r>
      <w:r w:rsidRPr="00BC6ED9">
        <w:rPr>
          <w:noProof/>
          <w:szCs w:val="18"/>
          <w:lang w:val="fr-FR"/>
        </w:rPr>
        <w:t>Hongrie,</w:t>
      </w:r>
      <w:r>
        <w:rPr>
          <w:noProof/>
          <w:szCs w:val="18"/>
          <w:lang w:val="fr-FR"/>
        </w:rPr>
        <w:t xml:space="preserve"> Îles Salomon, </w:t>
      </w:r>
      <w:r w:rsidRPr="00BC6ED9">
        <w:rPr>
          <w:noProof/>
          <w:szCs w:val="18"/>
          <w:lang w:val="fr-FR"/>
        </w:rPr>
        <w:t xml:space="preserve">Inde, Iraq, Irlande, Italie, Japon, Jordanie, Kirghizistan, </w:t>
      </w:r>
      <w:r>
        <w:rPr>
          <w:noProof/>
          <w:szCs w:val="18"/>
          <w:lang w:val="fr-FR"/>
        </w:rPr>
        <w:t xml:space="preserve">Kiribati, Luxembourg, </w:t>
      </w:r>
      <w:r w:rsidRPr="00BC6ED9">
        <w:rPr>
          <w:noProof/>
          <w:szCs w:val="18"/>
          <w:lang w:val="fr-FR"/>
        </w:rPr>
        <w:t xml:space="preserve">Madagascar, Malaisie, Mali, Malte, </w:t>
      </w:r>
      <w:r>
        <w:rPr>
          <w:noProof/>
          <w:szCs w:val="18"/>
          <w:lang w:val="fr-FR"/>
        </w:rPr>
        <w:t xml:space="preserve">Monténégro, </w:t>
      </w:r>
      <w:r w:rsidRPr="00BC6ED9">
        <w:rPr>
          <w:noProof/>
          <w:szCs w:val="18"/>
          <w:lang w:val="fr-FR"/>
        </w:rPr>
        <w:t xml:space="preserve">Mozambique, Nicaragua, </w:t>
      </w:r>
      <w:r>
        <w:rPr>
          <w:noProof/>
          <w:szCs w:val="18"/>
          <w:lang w:val="fr-FR"/>
        </w:rPr>
        <w:t xml:space="preserve">Norvège, Nauru, Nouvelle-Zélande, </w:t>
      </w:r>
      <w:r w:rsidRPr="00BC6ED9">
        <w:rPr>
          <w:noProof/>
          <w:szCs w:val="18"/>
          <w:lang w:val="fr-FR"/>
        </w:rPr>
        <w:t xml:space="preserve">Ouganda, </w:t>
      </w:r>
      <w:r w:rsidR="00880B41">
        <w:rPr>
          <w:noProof/>
          <w:szCs w:val="18"/>
          <w:lang w:val="fr-FR"/>
        </w:rPr>
        <w:t xml:space="preserve">Pakistan, </w:t>
      </w:r>
      <w:r>
        <w:rPr>
          <w:noProof/>
          <w:szCs w:val="18"/>
          <w:lang w:val="fr-FR"/>
        </w:rPr>
        <w:t xml:space="preserve">Paraguay, </w:t>
      </w:r>
      <w:r w:rsidRPr="00BC6ED9">
        <w:rPr>
          <w:noProof/>
          <w:szCs w:val="18"/>
          <w:lang w:val="fr-FR"/>
        </w:rPr>
        <w:t xml:space="preserve">Pologne, Pérou, Qatar, </w:t>
      </w:r>
      <w:r>
        <w:rPr>
          <w:noProof/>
          <w:szCs w:val="18"/>
          <w:lang w:val="fr-FR"/>
        </w:rPr>
        <w:t xml:space="preserve">République bolivarienne du Venezuela, </w:t>
      </w:r>
      <w:r w:rsidRPr="00BC6ED9">
        <w:rPr>
          <w:noProof/>
          <w:szCs w:val="18"/>
          <w:lang w:val="fr-FR"/>
        </w:rPr>
        <w:t xml:space="preserve">République de </w:t>
      </w:r>
      <w:r w:rsidR="006C3C79">
        <w:rPr>
          <w:noProof/>
          <w:szCs w:val="18"/>
          <w:lang w:val="fr-FR"/>
        </w:rPr>
        <w:t>Moldova</w:t>
      </w:r>
      <w:r w:rsidRPr="00BC6ED9">
        <w:rPr>
          <w:noProof/>
          <w:szCs w:val="18"/>
          <w:lang w:val="fr-FR"/>
        </w:rPr>
        <w:t xml:space="preserve">, République démocratique populaire lao, République dominicaine, </w:t>
      </w:r>
      <w:r>
        <w:rPr>
          <w:noProof/>
          <w:szCs w:val="18"/>
          <w:lang w:val="fr-FR"/>
        </w:rPr>
        <w:t xml:space="preserve">République islamique d’Iran, </w:t>
      </w:r>
      <w:r w:rsidRPr="00BC6ED9">
        <w:rPr>
          <w:noProof/>
          <w:szCs w:val="18"/>
          <w:lang w:val="fr-FR"/>
        </w:rPr>
        <w:t xml:space="preserve">République-Unie de Tanzanie, </w:t>
      </w:r>
      <w:r>
        <w:rPr>
          <w:noProof/>
          <w:szCs w:val="18"/>
          <w:lang w:val="fr-FR"/>
        </w:rPr>
        <w:t xml:space="preserve">Roumanie, </w:t>
      </w:r>
      <w:r w:rsidRPr="00BC6ED9">
        <w:rPr>
          <w:noProof/>
          <w:szCs w:val="18"/>
          <w:lang w:val="fr-FR"/>
        </w:rPr>
        <w:t>Royaume</w:t>
      </w:r>
      <w:r w:rsidRPr="00BC6ED9">
        <w:rPr>
          <w:noProof/>
          <w:szCs w:val="18"/>
          <w:lang w:val="fr-FR"/>
        </w:rPr>
        <w:noBreakHyphen/>
        <w:t xml:space="preserve">Uni, Saint-Kitts-et-Nevis, </w:t>
      </w:r>
      <w:r>
        <w:rPr>
          <w:noProof/>
          <w:szCs w:val="18"/>
          <w:lang w:val="fr-FR"/>
        </w:rPr>
        <w:t xml:space="preserve">Saint-Marin, Samoa, Sao Tomé-et-Principe, </w:t>
      </w:r>
      <w:r w:rsidRPr="00BC6ED9">
        <w:rPr>
          <w:noProof/>
          <w:szCs w:val="18"/>
          <w:lang w:val="fr-FR"/>
        </w:rPr>
        <w:t xml:space="preserve">Serbie, </w:t>
      </w:r>
      <w:r>
        <w:rPr>
          <w:noProof/>
          <w:szCs w:val="18"/>
          <w:lang w:val="fr-FR"/>
        </w:rPr>
        <w:t xml:space="preserve">Sierra Leone, </w:t>
      </w:r>
      <w:r w:rsidRPr="00BC6ED9">
        <w:rPr>
          <w:noProof/>
          <w:szCs w:val="18"/>
          <w:lang w:val="fr-FR"/>
        </w:rPr>
        <w:t>Slovaquie,</w:t>
      </w:r>
      <w:r>
        <w:rPr>
          <w:noProof/>
          <w:szCs w:val="18"/>
          <w:lang w:val="fr-FR"/>
        </w:rPr>
        <w:t xml:space="preserve"> Suède, </w:t>
      </w:r>
      <w:r w:rsidR="00880B41">
        <w:rPr>
          <w:noProof/>
          <w:szCs w:val="18"/>
          <w:lang w:val="fr-FR"/>
        </w:rPr>
        <w:t xml:space="preserve">Suisse, </w:t>
      </w:r>
      <w:r>
        <w:rPr>
          <w:noProof/>
          <w:szCs w:val="18"/>
          <w:lang w:val="fr-FR"/>
        </w:rPr>
        <w:t xml:space="preserve">Tadjikistan, Tchad, Tchéquie, Thaïlande, </w:t>
      </w:r>
      <w:r w:rsidRPr="00BC6ED9">
        <w:rPr>
          <w:noProof/>
          <w:szCs w:val="18"/>
          <w:lang w:val="fr-FR"/>
        </w:rPr>
        <w:t xml:space="preserve">Togo, </w:t>
      </w:r>
      <w:r w:rsidR="00880B41">
        <w:rPr>
          <w:noProof/>
          <w:szCs w:val="18"/>
          <w:lang w:val="fr-FR"/>
        </w:rPr>
        <w:t xml:space="preserve">Turkménistan, </w:t>
      </w:r>
      <w:r>
        <w:rPr>
          <w:noProof/>
          <w:szCs w:val="18"/>
          <w:lang w:val="fr-FR"/>
        </w:rPr>
        <w:t xml:space="preserve">Ukraine, </w:t>
      </w:r>
      <w:r w:rsidRPr="00BC6ED9">
        <w:rPr>
          <w:noProof/>
          <w:szCs w:val="18"/>
          <w:lang w:val="fr-FR"/>
        </w:rPr>
        <w:t xml:space="preserve">Union européenne, Uruguay, </w:t>
      </w:r>
      <w:r w:rsidR="00880B41">
        <w:rPr>
          <w:noProof/>
          <w:szCs w:val="18"/>
          <w:lang w:val="fr-FR"/>
        </w:rPr>
        <w:t>Vanuatu,</w:t>
      </w:r>
      <w:r w:rsidRPr="00BC6ED9">
        <w:rPr>
          <w:noProof/>
          <w:szCs w:val="18"/>
          <w:lang w:val="fr-FR"/>
        </w:rPr>
        <w:t xml:space="preserve"> Viet Nam, Zambie et Zimbabwe</w:t>
      </w:r>
      <w:r w:rsidRPr="00BC6ED9">
        <w:rPr>
          <w:noProof/>
          <w:kern w:val="18"/>
          <w:szCs w:val="18"/>
          <w:lang w:val="fr-FR"/>
        </w:rPr>
        <w:t>.</w:t>
      </w:r>
    </w:p>
  </w:footnote>
  <w:footnote w:id="39">
    <w:p w14:paraId="659F124C" w14:textId="77777777" w:rsidR="00C06AC6" w:rsidRPr="00263C84" w:rsidRDefault="00C06AC6" w:rsidP="00DF06FB">
      <w:pPr>
        <w:pStyle w:val="FootnoteText"/>
        <w:ind w:firstLine="0"/>
        <w:rPr>
          <w:lang w:val="fr-CA"/>
        </w:rPr>
      </w:pPr>
      <w:r w:rsidRPr="00BC6ED9">
        <w:rPr>
          <w:rStyle w:val="FootnoteReference"/>
          <w:lang w:val="fr-FR"/>
        </w:rPr>
        <w:footnoteRef/>
      </w:r>
      <w:r w:rsidRPr="00BC6ED9">
        <w:rPr>
          <w:lang w:val="fr-FR"/>
        </w:rPr>
        <w:t xml:space="preserve"> </w:t>
      </w:r>
      <w:r w:rsidRPr="00BC6ED9">
        <w:rPr>
          <w:noProof/>
          <w:kern w:val="18"/>
          <w:szCs w:val="18"/>
          <w:lang w:val="fr-FR"/>
        </w:rPr>
        <w:t xml:space="preserve">Afrique du Sud, Albanie, </w:t>
      </w:r>
      <w:r>
        <w:rPr>
          <w:noProof/>
          <w:kern w:val="18"/>
          <w:szCs w:val="18"/>
          <w:lang w:val="fr-FR"/>
        </w:rPr>
        <w:t xml:space="preserve">Algérie, </w:t>
      </w:r>
      <w:r w:rsidRPr="00BC6ED9">
        <w:rPr>
          <w:noProof/>
          <w:kern w:val="18"/>
          <w:szCs w:val="18"/>
          <w:lang w:val="fr-FR"/>
        </w:rPr>
        <w:t xml:space="preserve">Allemagne, </w:t>
      </w:r>
      <w:r>
        <w:rPr>
          <w:noProof/>
          <w:kern w:val="18"/>
          <w:szCs w:val="18"/>
          <w:lang w:val="fr-FR"/>
        </w:rPr>
        <w:t xml:space="preserve">Andorre, </w:t>
      </w:r>
      <w:r w:rsidRPr="00BC6ED9">
        <w:rPr>
          <w:noProof/>
          <w:szCs w:val="18"/>
          <w:lang w:val="fr-FR"/>
        </w:rPr>
        <w:t>Antigua</w:t>
      </w:r>
      <w:r w:rsidRPr="00BC6ED9">
        <w:rPr>
          <w:noProof/>
          <w:szCs w:val="18"/>
          <w:lang w:val="fr-FR"/>
        </w:rPr>
        <w:noBreakHyphen/>
        <w:t>et</w:t>
      </w:r>
      <w:r w:rsidRPr="00BC6ED9">
        <w:rPr>
          <w:noProof/>
          <w:szCs w:val="18"/>
          <w:lang w:val="fr-FR"/>
        </w:rPr>
        <w:noBreakHyphen/>
        <w:t xml:space="preserve">Barbuda, Arménie, Autriche, </w:t>
      </w:r>
      <w:r>
        <w:rPr>
          <w:noProof/>
          <w:szCs w:val="18"/>
          <w:lang w:val="fr-FR"/>
        </w:rPr>
        <w:t xml:space="preserve">Azerbaïdjan, </w:t>
      </w:r>
      <w:r w:rsidRPr="00BC6ED9">
        <w:rPr>
          <w:noProof/>
          <w:szCs w:val="18"/>
          <w:lang w:val="fr-FR"/>
        </w:rPr>
        <w:t xml:space="preserve">Bahreïn, </w:t>
      </w:r>
      <w:r>
        <w:rPr>
          <w:noProof/>
          <w:szCs w:val="18"/>
          <w:lang w:val="fr-FR"/>
        </w:rPr>
        <w:t xml:space="preserve">Bangladesh, </w:t>
      </w:r>
      <w:r w:rsidRPr="00BC6ED9">
        <w:rPr>
          <w:noProof/>
          <w:szCs w:val="18"/>
          <w:lang w:val="fr-FR"/>
        </w:rPr>
        <w:t xml:space="preserve">Bélarus, Belgique, </w:t>
      </w:r>
      <w:r>
        <w:rPr>
          <w:noProof/>
          <w:szCs w:val="18"/>
          <w:lang w:val="fr-FR"/>
        </w:rPr>
        <w:t xml:space="preserve">Belize, </w:t>
      </w:r>
      <w:r w:rsidRPr="00BC6ED9">
        <w:rPr>
          <w:noProof/>
          <w:szCs w:val="18"/>
          <w:lang w:val="fr-FR"/>
        </w:rPr>
        <w:t xml:space="preserve">Bénin, Bhoutan, Bosnie-Herzégovine, Botswana, </w:t>
      </w:r>
      <w:r>
        <w:rPr>
          <w:noProof/>
          <w:szCs w:val="18"/>
          <w:lang w:val="fr-FR"/>
        </w:rPr>
        <w:t xml:space="preserve">Brésil, </w:t>
      </w:r>
      <w:r w:rsidRPr="00BC6ED9">
        <w:rPr>
          <w:noProof/>
          <w:szCs w:val="18"/>
          <w:lang w:val="fr-FR"/>
        </w:rPr>
        <w:t xml:space="preserve">Burundi, </w:t>
      </w:r>
      <w:r>
        <w:rPr>
          <w:noProof/>
          <w:szCs w:val="18"/>
          <w:lang w:val="fr-FR"/>
        </w:rPr>
        <w:t xml:space="preserve">Cabo Verde, </w:t>
      </w:r>
      <w:r w:rsidRPr="00BC6ED9">
        <w:rPr>
          <w:noProof/>
          <w:szCs w:val="18"/>
          <w:lang w:val="fr-FR"/>
        </w:rPr>
        <w:t xml:space="preserve">Cambodge, </w:t>
      </w:r>
      <w:r>
        <w:rPr>
          <w:noProof/>
          <w:szCs w:val="18"/>
          <w:lang w:val="fr-FR"/>
        </w:rPr>
        <w:t xml:space="preserve">Canada, Chili, </w:t>
      </w:r>
      <w:r w:rsidRPr="00BC6ED9">
        <w:rPr>
          <w:noProof/>
          <w:szCs w:val="18"/>
          <w:lang w:val="fr-FR"/>
        </w:rPr>
        <w:t xml:space="preserve">Chine, </w:t>
      </w:r>
      <w:r>
        <w:rPr>
          <w:noProof/>
          <w:szCs w:val="18"/>
          <w:lang w:val="fr-FR"/>
        </w:rPr>
        <w:t xml:space="preserve">Comores, </w:t>
      </w:r>
      <w:r w:rsidRPr="00BC6ED9">
        <w:rPr>
          <w:noProof/>
          <w:szCs w:val="18"/>
          <w:lang w:val="fr-FR"/>
        </w:rPr>
        <w:t xml:space="preserve">Congo, </w:t>
      </w:r>
      <w:r>
        <w:rPr>
          <w:noProof/>
          <w:szCs w:val="18"/>
          <w:lang w:val="fr-FR"/>
        </w:rPr>
        <w:t xml:space="preserve">Costa Rica, </w:t>
      </w:r>
      <w:r w:rsidRPr="00BC6ED9">
        <w:rPr>
          <w:noProof/>
          <w:szCs w:val="18"/>
          <w:lang w:val="fr-FR"/>
        </w:rPr>
        <w:t xml:space="preserve">Côte d'Ivoire, </w:t>
      </w:r>
      <w:r>
        <w:rPr>
          <w:noProof/>
          <w:szCs w:val="18"/>
          <w:lang w:val="fr-FR"/>
        </w:rPr>
        <w:t xml:space="preserve">Cuba, </w:t>
      </w:r>
      <w:r w:rsidRPr="00BC6ED9">
        <w:rPr>
          <w:noProof/>
          <w:szCs w:val="18"/>
          <w:lang w:val="fr-FR"/>
        </w:rPr>
        <w:t xml:space="preserve">Danemark, </w:t>
      </w:r>
      <w:r>
        <w:rPr>
          <w:noProof/>
          <w:szCs w:val="18"/>
          <w:lang w:val="fr-FR"/>
        </w:rPr>
        <w:t xml:space="preserve">Djibouti, </w:t>
      </w:r>
      <w:r w:rsidRPr="00BC6ED9">
        <w:rPr>
          <w:noProof/>
          <w:szCs w:val="18"/>
          <w:lang w:val="fr-FR"/>
        </w:rPr>
        <w:t xml:space="preserve">Egypte, Émirats arabes unis, </w:t>
      </w:r>
      <w:r>
        <w:rPr>
          <w:noProof/>
          <w:szCs w:val="18"/>
          <w:lang w:val="fr-FR"/>
        </w:rPr>
        <w:t xml:space="preserve">Équateur, </w:t>
      </w:r>
      <w:r w:rsidRPr="00BC6ED9">
        <w:rPr>
          <w:noProof/>
          <w:szCs w:val="18"/>
          <w:lang w:val="fr-FR"/>
        </w:rPr>
        <w:t xml:space="preserve">Érythrée, Espagne, Estonie, </w:t>
      </w:r>
      <w:r w:rsidR="00C13616">
        <w:rPr>
          <w:noProof/>
          <w:szCs w:val="18"/>
          <w:lang w:val="fr-FR"/>
        </w:rPr>
        <w:t xml:space="preserve">Eswatini, États fédérés de Micronésie, </w:t>
      </w:r>
      <w:r w:rsidRPr="00BC6ED9">
        <w:rPr>
          <w:noProof/>
          <w:szCs w:val="18"/>
          <w:lang w:val="fr-FR"/>
        </w:rPr>
        <w:t xml:space="preserve">Ethiopie, </w:t>
      </w:r>
      <w:r>
        <w:rPr>
          <w:noProof/>
          <w:szCs w:val="18"/>
          <w:lang w:val="fr-FR"/>
        </w:rPr>
        <w:t xml:space="preserve">Fédération de Russie, </w:t>
      </w:r>
      <w:r w:rsidRPr="00BC6ED9">
        <w:rPr>
          <w:noProof/>
          <w:szCs w:val="18"/>
          <w:lang w:val="fr-FR"/>
        </w:rPr>
        <w:t xml:space="preserve">Gambie, Géorgie, </w:t>
      </w:r>
      <w:r>
        <w:rPr>
          <w:noProof/>
          <w:szCs w:val="18"/>
          <w:lang w:val="fr-FR"/>
        </w:rPr>
        <w:t xml:space="preserve">Ghana, </w:t>
      </w:r>
      <w:r w:rsidRPr="00BC6ED9">
        <w:rPr>
          <w:noProof/>
          <w:szCs w:val="18"/>
          <w:lang w:val="fr-FR"/>
        </w:rPr>
        <w:t xml:space="preserve">Grèce, </w:t>
      </w:r>
      <w:r>
        <w:rPr>
          <w:noProof/>
          <w:szCs w:val="18"/>
          <w:lang w:val="fr-FR"/>
        </w:rPr>
        <w:t xml:space="preserve">Grenade, Guinée, </w:t>
      </w:r>
      <w:r w:rsidRPr="00BC6ED9">
        <w:rPr>
          <w:noProof/>
          <w:szCs w:val="18"/>
          <w:lang w:val="fr-FR"/>
        </w:rPr>
        <w:t xml:space="preserve">Guinée-Bissau, Guinée équatoriale, Guyana, Hongrie, </w:t>
      </w:r>
      <w:r>
        <w:rPr>
          <w:noProof/>
          <w:szCs w:val="18"/>
          <w:lang w:val="fr-FR"/>
        </w:rPr>
        <w:t xml:space="preserve">Îles Salomon, </w:t>
      </w:r>
      <w:r w:rsidRPr="00BC6ED9">
        <w:rPr>
          <w:noProof/>
          <w:szCs w:val="18"/>
          <w:lang w:val="fr-FR"/>
        </w:rPr>
        <w:t xml:space="preserve">Inde, </w:t>
      </w:r>
      <w:r>
        <w:rPr>
          <w:noProof/>
          <w:szCs w:val="18"/>
          <w:lang w:val="fr-FR"/>
        </w:rPr>
        <w:t xml:space="preserve">Indonésie, </w:t>
      </w:r>
      <w:r w:rsidRPr="00BC6ED9">
        <w:rPr>
          <w:noProof/>
          <w:szCs w:val="18"/>
          <w:lang w:val="fr-FR"/>
        </w:rPr>
        <w:t xml:space="preserve">Iraq, Irlande, Italie, </w:t>
      </w:r>
      <w:r>
        <w:rPr>
          <w:noProof/>
          <w:szCs w:val="18"/>
          <w:lang w:val="fr-FR"/>
        </w:rPr>
        <w:t>Jamaïque,</w:t>
      </w:r>
      <w:r w:rsidR="00C13616">
        <w:rPr>
          <w:noProof/>
          <w:szCs w:val="18"/>
          <w:lang w:val="fr-FR"/>
        </w:rPr>
        <w:t xml:space="preserve"> Japon,</w:t>
      </w:r>
      <w:r>
        <w:rPr>
          <w:noProof/>
          <w:szCs w:val="18"/>
          <w:lang w:val="fr-FR"/>
        </w:rPr>
        <w:t xml:space="preserve"> </w:t>
      </w:r>
      <w:r w:rsidRPr="00BC6ED9">
        <w:rPr>
          <w:noProof/>
          <w:szCs w:val="18"/>
          <w:lang w:val="fr-FR"/>
        </w:rPr>
        <w:t>Jordanie, Kirghizistan,</w:t>
      </w:r>
      <w:r w:rsidR="00C13616">
        <w:rPr>
          <w:noProof/>
          <w:szCs w:val="18"/>
          <w:lang w:val="fr-FR"/>
        </w:rPr>
        <w:t xml:space="preserve"> Koweït,</w:t>
      </w:r>
      <w:r w:rsidRPr="00BC6ED9">
        <w:rPr>
          <w:noProof/>
          <w:szCs w:val="18"/>
          <w:lang w:val="fr-FR"/>
        </w:rPr>
        <w:t xml:space="preserve"> Liban, </w:t>
      </w:r>
      <w:r>
        <w:rPr>
          <w:noProof/>
          <w:szCs w:val="18"/>
          <w:lang w:val="fr-FR"/>
        </w:rPr>
        <w:t xml:space="preserve">Liberia, </w:t>
      </w:r>
      <w:r w:rsidR="00C13616">
        <w:rPr>
          <w:noProof/>
          <w:szCs w:val="18"/>
          <w:lang w:val="fr-FR"/>
        </w:rPr>
        <w:t xml:space="preserve">Macédoine du Nord, </w:t>
      </w:r>
      <w:r w:rsidRPr="00BC6ED9">
        <w:rPr>
          <w:noProof/>
          <w:szCs w:val="18"/>
          <w:lang w:val="fr-FR"/>
        </w:rPr>
        <w:t xml:space="preserve">Madagascar, Malawi, Malaisie, Maldives, Mali, Malte, Maroc, Mauritanie, </w:t>
      </w:r>
      <w:r>
        <w:rPr>
          <w:noProof/>
          <w:szCs w:val="18"/>
          <w:lang w:val="fr-FR"/>
        </w:rPr>
        <w:t xml:space="preserve">Mexique, </w:t>
      </w:r>
      <w:r w:rsidRPr="00BC6ED9">
        <w:rPr>
          <w:noProof/>
          <w:szCs w:val="18"/>
          <w:lang w:val="fr-FR"/>
        </w:rPr>
        <w:t xml:space="preserve">Mongolie, </w:t>
      </w:r>
      <w:r>
        <w:rPr>
          <w:noProof/>
          <w:szCs w:val="18"/>
          <w:lang w:val="fr-FR"/>
        </w:rPr>
        <w:t xml:space="preserve">Monténégro, </w:t>
      </w:r>
      <w:r w:rsidRPr="00BC6ED9">
        <w:rPr>
          <w:noProof/>
          <w:szCs w:val="18"/>
          <w:lang w:val="fr-FR"/>
        </w:rPr>
        <w:t xml:space="preserve">Mozambique, Myanmar, Namibie, Nicaragua, Nigéria, Nioué, </w:t>
      </w:r>
      <w:r>
        <w:rPr>
          <w:noProof/>
          <w:szCs w:val="18"/>
          <w:lang w:val="fr-FR"/>
        </w:rPr>
        <w:t xml:space="preserve">Nouvelle-Zélande, </w:t>
      </w:r>
      <w:r w:rsidRPr="00BC6ED9">
        <w:rPr>
          <w:noProof/>
          <w:szCs w:val="18"/>
          <w:lang w:val="fr-FR"/>
        </w:rPr>
        <w:t xml:space="preserve">Ouganda, </w:t>
      </w:r>
      <w:r w:rsidR="00C13616">
        <w:rPr>
          <w:noProof/>
          <w:szCs w:val="18"/>
          <w:lang w:val="fr-FR"/>
        </w:rPr>
        <w:t xml:space="preserve">Pakistan, Palau, Panama, </w:t>
      </w:r>
      <w:r>
        <w:rPr>
          <w:noProof/>
          <w:szCs w:val="18"/>
          <w:lang w:val="fr-FR"/>
        </w:rPr>
        <w:t xml:space="preserve">Paraguay, </w:t>
      </w:r>
      <w:r w:rsidRPr="00BC6ED9">
        <w:rPr>
          <w:noProof/>
          <w:szCs w:val="18"/>
          <w:lang w:val="fr-FR"/>
        </w:rPr>
        <w:t xml:space="preserve">Pérou, </w:t>
      </w:r>
      <w:r>
        <w:rPr>
          <w:noProof/>
          <w:szCs w:val="18"/>
          <w:lang w:val="fr-FR"/>
        </w:rPr>
        <w:t xml:space="preserve">Philippines, </w:t>
      </w:r>
      <w:r w:rsidRPr="00BC6ED9">
        <w:rPr>
          <w:noProof/>
          <w:szCs w:val="18"/>
          <w:lang w:val="fr-FR"/>
        </w:rPr>
        <w:t xml:space="preserve">Qatar, </w:t>
      </w:r>
      <w:r>
        <w:rPr>
          <w:noProof/>
          <w:szCs w:val="18"/>
          <w:lang w:val="fr-FR"/>
        </w:rPr>
        <w:t xml:space="preserve">République bolivarienne du Venezuela, </w:t>
      </w:r>
      <w:r w:rsidRPr="00BC6ED9">
        <w:rPr>
          <w:noProof/>
          <w:szCs w:val="18"/>
          <w:lang w:val="fr-FR"/>
        </w:rPr>
        <w:t xml:space="preserve">République de Corée, République de Moldova, République démocratique populaire lao, République dominicaine, </w:t>
      </w:r>
      <w:r>
        <w:rPr>
          <w:noProof/>
          <w:szCs w:val="18"/>
          <w:lang w:val="fr-FR"/>
        </w:rPr>
        <w:t xml:space="preserve">République islamique d’Iran, </w:t>
      </w:r>
      <w:r w:rsidRPr="00BC6ED9">
        <w:rPr>
          <w:noProof/>
          <w:szCs w:val="18"/>
          <w:lang w:val="fr-FR"/>
        </w:rPr>
        <w:t xml:space="preserve">République-Unie de Tanzanie, </w:t>
      </w:r>
      <w:r>
        <w:rPr>
          <w:noProof/>
          <w:szCs w:val="18"/>
          <w:lang w:val="fr-FR"/>
        </w:rPr>
        <w:t xml:space="preserve">Roumanie, </w:t>
      </w:r>
      <w:r w:rsidRPr="00BC6ED9">
        <w:rPr>
          <w:noProof/>
          <w:szCs w:val="18"/>
          <w:lang w:val="fr-FR"/>
        </w:rPr>
        <w:t>Royaume</w:t>
      </w:r>
      <w:r w:rsidRPr="00BC6ED9">
        <w:rPr>
          <w:noProof/>
          <w:szCs w:val="18"/>
          <w:lang w:val="fr-FR"/>
        </w:rPr>
        <w:noBreakHyphen/>
        <w:t xml:space="preserve">Uni, </w:t>
      </w:r>
      <w:r>
        <w:rPr>
          <w:noProof/>
          <w:szCs w:val="18"/>
          <w:lang w:val="fr-FR"/>
        </w:rPr>
        <w:t xml:space="preserve">Rwanda, </w:t>
      </w:r>
      <w:r w:rsidRPr="00BC6ED9">
        <w:rPr>
          <w:noProof/>
          <w:szCs w:val="18"/>
          <w:lang w:val="fr-FR"/>
        </w:rPr>
        <w:t xml:space="preserve">Saint-Kitts-et-Nevis, </w:t>
      </w:r>
      <w:r>
        <w:rPr>
          <w:noProof/>
          <w:szCs w:val="18"/>
          <w:lang w:val="fr-FR"/>
        </w:rPr>
        <w:t xml:space="preserve">Saint-Marin, </w:t>
      </w:r>
      <w:r w:rsidR="00C13616">
        <w:rPr>
          <w:noProof/>
          <w:szCs w:val="18"/>
          <w:lang w:val="fr-FR"/>
        </w:rPr>
        <w:t xml:space="preserve">Saint-Vincent-et-les-Grenadines, </w:t>
      </w:r>
      <w:r>
        <w:rPr>
          <w:noProof/>
          <w:szCs w:val="18"/>
          <w:lang w:val="fr-FR"/>
        </w:rPr>
        <w:t xml:space="preserve">Samoa, </w:t>
      </w:r>
      <w:r w:rsidRPr="00BC6ED9">
        <w:rPr>
          <w:noProof/>
          <w:szCs w:val="18"/>
          <w:lang w:val="fr-FR"/>
        </w:rPr>
        <w:t xml:space="preserve">Sénégal, Serbie, </w:t>
      </w:r>
      <w:r>
        <w:rPr>
          <w:noProof/>
          <w:szCs w:val="18"/>
          <w:lang w:val="fr-FR"/>
        </w:rPr>
        <w:t xml:space="preserve">Sierra Leone, </w:t>
      </w:r>
      <w:r w:rsidR="00C13616">
        <w:rPr>
          <w:noProof/>
          <w:szCs w:val="18"/>
          <w:lang w:val="fr-FR"/>
        </w:rPr>
        <w:t xml:space="preserve">Singapour, </w:t>
      </w:r>
      <w:r w:rsidRPr="00BC6ED9">
        <w:rPr>
          <w:noProof/>
          <w:szCs w:val="18"/>
          <w:lang w:val="fr-FR"/>
        </w:rPr>
        <w:t>Slovaquie,</w:t>
      </w:r>
      <w:r>
        <w:rPr>
          <w:noProof/>
          <w:szCs w:val="18"/>
          <w:lang w:val="fr-FR"/>
        </w:rPr>
        <w:t xml:space="preserve"> Somalie, </w:t>
      </w:r>
      <w:r w:rsidRPr="00BC6ED9">
        <w:rPr>
          <w:noProof/>
          <w:szCs w:val="18"/>
          <w:lang w:val="fr-FR"/>
        </w:rPr>
        <w:t xml:space="preserve">Soudan, </w:t>
      </w:r>
      <w:r w:rsidR="00510F1C">
        <w:rPr>
          <w:noProof/>
          <w:szCs w:val="18"/>
          <w:lang w:val="fr-FR"/>
        </w:rPr>
        <w:t xml:space="preserve">Soudan du Sud, </w:t>
      </w:r>
      <w:r>
        <w:rPr>
          <w:noProof/>
          <w:szCs w:val="18"/>
          <w:lang w:val="fr-FR"/>
        </w:rPr>
        <w:t xml:space="preserve">Sri </w:t>
      </w:r>
      <w:r w:rsidRPr="00263C84">
        <w:rPr>
          <w:noProof/>
          <w:szCs w:val="18"/>
          <w:lang w:val="fr-CA"/>
        </w:rPr>
        <w:t xml:space="preserve">Lanka, Suède, </w:t>
      </w:r>
      <w:r w:rsidR="00510F1C">
        <w:rPr>
          <w:noProof/>
          <w:szCs w:val="18"/>
          <w:lang w:val="fr-CA"/>
        </w:rPr>
        <w:t>Suisse</w:t>
      </w:r>
      <w:r w:rsidRPr="00263C84">
        <w:rPr>
          <w:noProof/>
          <w:szCs w:val="18"/>
          <w:lang w:val="fr-CA"/>
        </w:rPr>
        <w:t xml:space="preserve">, Tadjikistan, Tchéquie, Thaïlande, Timor-Leste, Togo, </w:t>
      </w:r>
      <w:r w:rsidR="00510F1C">
        <w:rPr>
          <w:noProof/>
          <w:szCs w:val="18"/>
          <w:lang w:val="fr-CA"/>
        </w:rPr>
        <w:t xml:space="preserve">Trinité-et-Tobago, </w:t>
      </w:r>
      <w:r w:rsidRPr="00263C84">
        <w:rPr>
          <w:noProof/>
          <w:szCs w:val="18"/>
          <w:lang w:val="fr-CA"/>
        </w:rPr>
        <w:t xml:space="preserve">Tunisie, </w:t>
      </w:r>
      <w:r w:rsidR="00510F1C">
        <w:rPr>
          <w:noProof/>
          <w:szCs w:val="18"/>
          <w:lang w:val="fr-CA"/>
        </w:rPr>
        <w:t xml:space="preserve">Turquie, </w:t>
      </w:r>
      <w:r w:rsidRPr="00263C84">
        <w:rPr>
          <w:noProof/>
          <w:szCs w:val="18"/>
          <w:lang w:val="fr-CA"/>
        </w:rPr>
        <w:t xml:space="preserve">Uruguay, </w:t>
      </w:r>
      <w:r w:rsidR="00510F1C">
        <w:rPr>
          <w:noProof/>
          <w:szCs w:val="18"/>
          <w:lang w:val="fr-CA"/>
        </w:rPr>
        <w:t xml:space="preserve">Vanuatu, </w:t>
      </w:r>
      <w:r w:rsidRPr="00263C84">
        <w:rPr>
          <w:noProof/>
          <w:szCs w:val="18"/>
          <w:lang w:val="fr-CA"/>
        </w:rPr>
        <w:t>Zambie et Zimbabwe.</w:t>
      </w:r>
    </w:p>
  </w:footnote>
  <w:footnote w:id="40">
    <w:p w14:paraId="228DDB3B" w14:textId="77777777" w:rsidR="00C06AC6" w:rsidRPr="00BC6ED9" w:rsidRDefault="00C06AC6" w:rsidP="00DF06FB">
      <w:pPr>
        <w:pStyle w:val="FootnoteText"/>
        <w:keepLines w:val="0"/>
        <w:suppressLineNumbers/>
        <w:suppressAutoHyphens/>
        <w:adjustRightInd w:val="0"/>
        <w:snapToGrid w:val="0"/>
        <w:ind w:firstLine="0"/>
        <w:rPr>
          <w:noProof/>
          <w:kern w:val="18"/>
          <w:szCs w:val="18"/>
          <w:lang w:val="fr-FR"/>
        </w:rPr>
      </w:pPr>
      <w:r w:rsidRPr="00263C84">
        <w:rPr>
          <w:rStyle w:val="FootnoteReference"/>
          <w:noProof/>
          <w:kern w:val="18"/>
          <w:sz w:val="18"/>
          <w:szCs w:val="18"/>
          <w:lang w:val="fr-CA"/>
        </w:rPr>
        <w:footnoteRef/>
      </w:r>
      <w:r w:rsidRPr="00263C84">
        <w:rPr>
          <w:noProof/>
          <w:kern w:val="18"/>
          <w:szCs w:val="18"/>
          <w:lang w:val="fr-CA"/>
        </w:rPr>
        <w:t xml:space="preserve"> Afrique du Sud, </w:t>
      </w:r>
      <w:r>
        <w:rPr>
          <w:noProof/>
          <w:kern w:val="18"/>
          <w:szCs w:val="18"/>
          <w:lang w:val="fr-CA"/>
        </w:rPr>
        <w:t xml:space="preserve">Algérie, Andorre, Argentine, </w:t>
      </w:r>
      <w:r w:rsidRPr="00263C84">
        <w:rPr>
          <w:noProof/>
          <w:kern w:val="18"/>
          <w:szCs w:val="18"/>
          <w:lang w:val="fr-CA"/>
        </w:rPr>
        <w:t xml:space="preserve">Arménie, </w:t>
      </w:r>
      <w:r w:rsidRPr="00263C84">
        <w:rPr>
          <w:noProof/>
          <w:szCs w:val="18"/>
          <w:lang w:val="fr-CA"/>
        </w:rPr>
        <w:t>Autriche,</w:t>
      </w:r>
      <w:r>
        <w:rPr>
          <w:noProof/>
          <w:szCs w:val="18"/>
          <w:lang w:val="fr-CA"/>
        </w:rPr>
        <w:t xml:space="preserve"> Azerbaïdjan, Bangladesh,</w:t>
      </w:r>
      <w:r w:rsidRPr="00263C84">
        <w:rPr>
          <w:noProof/>
          <w:szCs w:val="18"/>
          <w:lang w:val="fr-CA"/>
        </w:rPr>
        <w:t xml:space="preserve"> Bahreïn, </w:t>
      </w:r>
      <w:r>
        <w:rPr>
          <w:noProof/>
          <w:szCs w:val="18"/>
          <w:lang w:val="fr-CA"/>
        </w:rPr>
        <w:t xml:space="preserve">Belize, </w:t>
      </w:r>
      <w:r w:rsidR="00510F1C">
        <w:rPr>
          <w:noProof/>
          <w:szCs w:val="18"/>
          <w:lang w:val="fr-CA"/>
        </w:rPr>
        <w:t xml:space="preserve">Bolivie, </w:t>
      </w:r>
      <w:r>
        <w:rPr>
          <w:noProof/>
          <w:szCs w:val="18"/>
          <w:lang w:val="fr-CA"/>
        </w:rPr>
        <w:t xml:space="preserve">Botswana, Brésil, </w:t>
      </w:r>
      <w:r w:rsidRPr="00263C84">
        <w:rPr>
          <w:noProof/>
          <w:szCs w:val="18"/>
          <w:lang w:val="fr-CA"/>
        </w:rPr>
        <w:t xml:space="preserve">Burkina Faso, </w:t>
      </w:r>
      <w:r>
        <w:rPr>
          <w:noProof/>
          <w:szCs w:val="18"/>
          <w:lang w:val="fr-CA"/>
        </w:rPr>
        <w:t xml:space="preserve">Cabo Verde, </w:t>
      </w:r>
      <w:r w:rsidRPr="00263C84">
        <w:rPr>
          <w:noProof/>
          <w:szCs w:val="18"/>
          <w:lang w:val="fr-CA"/>
        </w:rPr>
        <w:t xml:space="preserve">Cambodge, Cameroun, </w:t>
      </w:r>
      <w:r>
        <w:rPr>
          <w:noProof/>
          <w:szCs w:val="18"/>
          <w:lang w:val="fr-CA"/>
        </w:rPr>
        <w:t xml:space="preserve">Chili, </w:t>
      </w:r>
      <w:r w:rsidRPr="00263C84">
        <w:rPr>
          <w:noProof/>
          <w:szCs w:val="18"/>
          <w:lang w:val="fr-CA"/>
        </w:rPr>
        <w:t xml:space="preserve">Chine, </w:t>
      </w:r>
      <w:r>
        <w:rPr>
          <w:noProof/>
          <w:szCs w:val="18"/>
          <w:lang w:val="fr-CA"/>
        </w:rPr>
        <w:t xml:space="preserve">Comores, </w:t>
      </w:r>
      <w:r w:rsidRPr="00263C84">
        <w:rPr>
          <w:noProof/>
          <w:szCs w:val="18"/>
          <w:lang w:val="fr-CA"/>
        </w:rPr>
        <w:t xml:space="preserve">Congo, </w:t>
      </w:r>
      <w:r>
        <w:rPr>
          <w:noProof/>
          <w:szCs w:val="18"/>
          <w:lang w:val="fr-CA"/>
        </w:rPr>
        <w:t xml:space="preserve">Croatie, Cuba, Djibouti, </w:t>
      </w:r>
      <w:r w:rsidRPr="00263C84">
        <w:rPr>
          <w:noProof/>
          <w:szCs w:val="18"/>
          <w:lang w:val="fr-CA"/>
        </w:rPr>
        <w:t xml:space="preserve">Dominique, Egypte, Érythrée, </w:t>
      </w:r>
      <w:r w:rsidR="00510F1C">
        <w:rPr>
          <w:noProof/>
          <w:szCs w:val="18"/>
          <w:lang w:val="fr-CA"/>
        </w:rPr>
        <w:t xml:space="preserve">Eswatini, États fédérés de Micronésie, </w:t>
      </w:r>
      <w:r w:rsidRPr="00263C84">
        <w:rPr>
          <w:noProof/>
          <w:szCs w:val="18"/>
          <w:lang w:val="fr-CA"/>
        </w:rPr>
        <w:t xml:space="preserve">Géorgie, Grèce, Grenade, Guatemala, Guinée, Guinée-Bissau, </w:t>
      </w:r>
      <w:r>
        <w:rPr>
          <w:noProof/>
          <w:szCs w:val="18"/>
          <w:lang w:val="fr-CA"/>
        </w:rPr>
        <w:t xml:space="preserve">Guyana, Honduras, </w:t>
      </w:r>
      <w:r w:rsidRPr="00263C84">
        <w:rPr>
          <w:noProof/>
          <w:szCs w:val="18"/>
          <w:lang w:val="fr-CA"/>
        </w:rPr>
        <w:t xml:space="preserve">Hongrie, Inde, Iraq, </w:t>
      </w:r>
      <w:r>
        <w:rPr>
          <w:noProof/>
          <w:szCs w:val="18"/>
          <w:lang w:val="fr-CA"/>
        </w:rPr>
        <w:t xml:space="preserve">Irlande, </w:t>
      </w:r>
      <w:r w:rsidRPr="00263C84">
        <w:rPr>
          <w:noProof/>
          <w:szCs w:val="18"/>
          <w:lang w:val="fr-CA"/>
        </w:rPr>
        <w:t xml:space="preserve">Japon, Jordanie, </w:t>
      </w:r>
      <w:r>
        <w:rPr>
          <w:noProof/>
          <w:szCs w:val="18"/>
          <w:lang w:val="fr-CA"/>
        </w:rPr>
        <w:t xml:space="preserve">Kiribati, </w:t>
      </w:r>
      <w:r w:rsidR="00510F1C">
        <w:rPr>
          <w:noProof/>
          <w:szCs w:val="18"/>
          <w:lang w:val="fr-CA"/>
        </w:rPr>
        <w:t xml:space="preserve">Koweït, </w:t>
      </w:r>
      <w:r>
        <w:rPr>
          <w:noProof/>
          <w:szCs w:val="18"/>
          <w:lang w:val="fr-CA"/>
        </w:rPr>
        <w:t xml:space="preserve">Liban, </w:t>
      </w:r>
      <w:r w:rsidRPr="00263C84">
        <w:rPr>
          <w:noProof/>
          <w:szCs w:val="18"/>
          <w:lang w:val="fr-CA"/>
        </w:rPr>
        <w:t>Liechtenstein</w:t>
      </w:r>
      <w:r w:rsidRPr="00BC6ED9">
        <w:rPr>
          <w:noProof/>
          <w:szCs w:val="18"/>
          <w:lang w:val="fr-FR"/>
        </w:rPr>
        <w:t xml:space="preserve">, </w:t>
      </w:r>
      <w:r>
        <w:rPr>
          <w:noProof/>
          <w:szCs w:val="18"/>
          <w:lang w:val="fr-FR"/>
        </w:rPr>
        <w:t xml:space="preserve">Lituanie, Luxembourg, </w:t>
      </w:r>
      <w:r w:rsidR="00510F1C">
        <w:rPr>
          <w:noProof/>
          <w:szCs w:val="18"/>
          <w:lang w:val="fr-FR"/>
        </w:rPr>
        <w:t xml:space="preserve">Macédoine du Nord, </w:t>
      </w:r>
      <w:r w:rsidRPr="00BC6ED9">
        <w:rPr>
          <w:noProof/>
          <w:szCs w:val="18"/>
          <w:lang w:val="fr-FR"/>
        </w:rPr>
        <w:t xml:space="preserve">Madasgascar, Malaisie, </w:t>
      </w:r>
      <w:r>
        <w:rPr>
          <w:noProof/>
          <w:szCs w:val="18"/>
          <w:lang w:val="fr-FR"/>
        </w:rPr>
        <w:t xml:space="preserve">Malawi, Maldives, Mali, </w:t>
      </w:r>
      <w:r w:rsidRPr="00BC6ED9">
        <w:rPr>
          <w:noProof/>
          <w:szCs w:val="18"/>
          <w:lang w:val="fr-FR"/>
        </w:rPr>
        <w:t xml:space="preserve">Mauritanie, </w:t>
      </w:r>
      <w:r>
        <w:rPr>
          <w:noProof/>
          <w:szCs w:val="18"/>
          <w:lang w:val="fr-FR"/>
        </w:rPr>
        <w:t xml:space="preserve">Mexique, </w:t>
      </w:r>
      <w:r w:rsidRPr="00BC6ED9">
        <w:rPr>
          <w:noProof/>
          <w:szCs w:val="18"/>
          <w:lang w:val="fr-FR"/>
        </w:rPr>
        <w:t xml:space="preserve">Mozambique, Myanmar, Namibie, </w:t>
      </w:r>
      <w:r>
        <w:rPr>
          <w:noProof/>
          <w:szCs w:val="18"/>
          <w:lang w:val="fr-FR"/>
        </w:rPr>
        <w:t xml:space="preserve">Nauru, </w:t>
      </w:r>
      <w:r w:rsidRPr="00BC6ED9">
        <w:rPr>
          <w:noProof/>
          <w:szCs w:val="18"/>
          <w:lang w:val="fr-FR"/>
        </w:rPr>
        <w:t xml:space="preserve">Népal, Nicaragua, Niger, Ouganda, </w:t>
      </w:r>
      <w:r w:rsidR="00510F1C">
        <w:rPr>
          <w:noProof/>
          <w:szCs w:val="18"/>
          <w:lang w:val="fr-FR"/>
        </w:rPr>
        <w:t xml:space="preserve">Pakistan, Panama, </w:t>
      </w:r>
      <w:r>
        <w:rPr>
          <w:noProof/>
          <w:szCs w:val="18"/>
          <w:lang w:val="fr-FR"/>
        </w:rPr>
        <w:t xml:space="preserve">Paraguay, </w:t>
      </w:r>
      <w:r w:rsidRPr="00BC6ED9">
        <w:rPr>
          <w:noProof/>
          <w:szCs w:val="18"/>
          <w:lang w:val="fr-FR"/>
        </w:rPr>
        <w:t xml:space="preserve">Pérou, </w:t>
      </w:r>
      <w:r>
        <w:rPr>
          <w:noProof/>
          <w:szCs w:val="18"/>
          <w:lang w:val="fr-FR"/>
        </w:rPr>
        <w:t xml:space="preserve">Philippines, </w:t>
      </w:r>
      <w:r w:rsidRPr="00BC6ED9">
        <w:rPr>
          <w:noProof/>
          <w:szCs w:val="18"/>
          <w:lang w:val="fr-FR"/>
        </w:rPr>
        <w:t xml:space="preserve">Pologne, </w:t>
      </w:r>
      <w:r>
        <w:rPr>
          <w:noProof/>
          <w:szCs w:val="18"/>
          <w:lang w:val="fr-FR"/>
        </w:rPr>
        <w:t>République démocratique du Congo,</w:t>
      </w:r>
      <w:r w:rsidRPr="00BC6ED9">
        <w:rPr>
          <w:noProof/>
          <w:szCs w:val="18"/>
          <w:lang w:val="fr-FR"/>
        </w:rPr>
        <w:t xml:space="preserve"> République de </w:t>
      </w:r>
      <w:r w:rsidR="006C3C79">
        <w:rPr>
          <w:noProof/>
          <w:szCs w:val="18"/>
          <w:lang w:val="fr-FR"/>
        </w:rPr>
        <w:t>Moldova</w:t>
      </w:r>
      <w:r w:rsidRPr="00BC6ED9">
        <w:rPr>
          <w:noProof/>
          <w:szCs w:val="18"/>
          <w:lang w:val="fr-FR"/>
        </w:rPr>
        <w:t xml:space="preserve">, République démocratique populaire lao, </w:t>
      </w:r>
      <w:r>
        <w:rPr>
          <w:noProof/>
          <w:szCs w:val="18"/>
          <w:lang w:val="fr-FR"/>
        </w:rPr>
        <w:t xml:space="preserve">République islamique d’Iran, Roumanie, </w:t>
      </w:r>
      <w:r w:rsidRPr="00BC6ED9">
        <w:rPr>
          <w:noProof/>
          <w:szCs w:val="18"/>
          <w:lang w:val="fr-FR"/>
        </w:rPr>
        <w:t>Royaume</w:t>
      </w:r>
      <w:r w:rsidRPr="00BC6ED9">
        <w:rPr>
          <w:noProof/>
          <w:szCs w:val="18"/>
          <w:lang w:val="fr-FR"/>
        </w:rPr>
        <w:noBreakHyphen/>
        <w:t xml:space="preserve">Uni, </w:t>
      </w:r>
      <w:r>
        <w:rPr>
          <w:noProof/>
          <w:szCs w:val="18"/>
          <w:lang w:val="fr-FR"/>
        </w:rPr>
        <w:t>Sa</w:t>
      </w:r>
      <w:r w:rsidRPr="00BC6ED9">
        <w:rPr>
          <w:noProof/>
          <w:szCs w:val="18"/>
          <w:lang w:val="fr-FR"/>
        </w:rPr>
        <w:t xml:space="preserve">int-Kitts-et-Nevis, Sénégal, Serbie, Seychelles, </w:t>
      </w:r>
      <w:r>
        <w:rPr>
          <w:noProof/>
          <w:szCs w:val="18"/>
          <w:lang w:val="fr-FR"/>
        </w:rPr>
        <w:t xml:space="preserve">Sierra Leone, Slovaquie, Soudan, </w:t>
      </w:r>
      <w:r w:rsidR="00463D87">
        <w:rPr>
          <w:noProof/>
          <w:szCs w:val="18"/>
          <w:lang w:val="fr-FR"/>
        </w:rPr>
        <w:t xml:space="preserve">Soudan du Sud, </w:t>
      </w:r>
      <w:r>
        <w:rPr>
          <w:noProof/>
          <w:szCs w:val="18"/>
          <w:lang w:val="fr-FR"/>
        </w:rPr>
        <w:t xml:space="preserve">Sri Lanka, Tadjikistan, </w:t>
      </w:r>
      <w:r w:rsidRPr="00BC6ED9">
        <w:rPr>
          <w:noProof/>
          <w:szCs w:val="18"/>
          <w:lang w:val="fr-FR"/>
        </w:rPr>
        <w:t>Tchad,</w:t>
      </w:r>
      <w:r>
        <w:rPr>
          <w:noProof/>
          <w:szCs w:val="18"/>
          <w:lang w:val="fr-FR"/>
        </w:rPr>
        <w:t xml:space="preserve"> Tchéquie,</w:t>
      </w:r>
      <w:r w:rsidRPr="00BC6ED9">
        <w:rPr>
          <w:noProof/>
          <w:szCs w:val="18"/>
          <w:lang w:val="fr-FR"/>
        </w:rPr>
        <w:t xml:space="preserve"> Togo, </w:t>
      </w:r>
      <w:r w:rsidR="00463D87">
        <w:rPr>
          <w:noProof/>
          <w:szCs w:val="18"/>
          <w:lang w:val="fr-FR"/>
        </w:rPr>
        <w:t xml:space="preserve">Trinité-et-Tobago, Turkménistan, Turquie, </w:t>
      </w:r>
      <w:r w:rsidRPr="00BC6ED9">
        <w:rPr>
          <w:noProof/>
          <w:szCs w:val="18"/>
          <w:lang w:val="fr-FR"/>
        </w:rPr>
        <w:t>Tuvalu, Uruguay, Zambie et Zimbabwe</w:t>
      </w:r>
      <w:r w:rsidRPr="00BC6ED9">
        <w:rPr>
          <w:noProof/>
          <w:kern w:val="18"/>
          <w:szCs w:val="18"/>
          <w:lang w:val="fr-FR"/>
        </w:rPr>
        <w:t>.</w:t>
      </w:r>
      <w:r>
        <w:rPr>
          <w:noProof/>
          <w:kern w:val="18"/>
          <w:szCs w:val="18"/>
          <w:lang w:val="fr-FR"/>
        </w:rPr>
        <w:t xml:space="preserve"> </w:t>
      </w:r>
    </w:p>
  </w:footnote>
  <w:footnote w:id="41">
    <w:p w14:paraId="3720364F" w14:textId="77777777" w:rsidR="00C06AC6" w:rsidRPr="00D27AE8" w:rsidRDefault="00C06AC6" w:rsidP="00FB23E1">
      <w:pPr>
        <w:pStyle w:val="FootnoteText"/>
        <w:ind w:firstLine="0"/>
        <w:rPr>
          <w:lang w:val="fr-CA"/>
        </w:rPr>
      </w:pPr>
      <w:r>
        <w:rPr>
          <w:rStyle w:val="FootnoteReference"/>
        </w:rPr>
        <w:footnoteRef/>
      </w:r>
      <w:r w:rsidRPr="00D27AE8">
        <w:rPr>
          <w:lang w:val="fr-CA"/>
        </w:rPr>
        <w:t xml:space="preserve"> Bosnie-Herzégovine, Botswana, Cambodge, Cameroun,</w:t>
      </w:r>
      <w:r>
        <w:rPr>
          <w:lang w:val="fr-CA"/>
        </w:rPr>
        <w:t xml:space="preserve"> Érythrée, Guyana, Maurice, Mongolie, Nioué, République démocratique du Congo, République démocratique populaire lao, République dominicaine, République populaire démocratique de Corée, Roumanie, Samoa, Suriname, Timor-Leste et Tuvalu.</w:t>
      </w:r>
      <w:r w:rsidRPr="00D27AE8">
        <w:rPr>
          <w:lang w:val="fr-CA"/>
        </w:rPr>
        <w:t xml:space="preserve"> </w:t>
      </w:r>
    </w:p>
  </w:footnote>
  <w:footnote w:id="42">
    <w:p w14:paraId="69D0404D" w14:textId="77777777" w:rsidR="00556556" w:rsidRPr="00263C84" w:rsidRDefault="00556556" w:rsidP="00556556">
      <w:pPr>
        <w:pStyle w:val="FootnoteText"/>
        <w:ind w:firstLine="0"/>
        <w:rPr>
          <w:lang w:val="fr-CA"/>
        </w:rPr>
      </w:pPr>
      <w:r w:rsidRPr="00263C84">
        <w:rPr>
          <w:rStyle w:val="FootnoteReference"/>
          <w:lang w:val="fr-CA"/>
        </w:rPr>
        <w:footnoteRef/>
      </w:r>
      <w:r w:rsidRPr="00263C84">
        <w:rPr>
          <w:lang w:val="fr-CA"/>
        </w:rPr>
        <w:t xml:space="preserve"> Bosnie-Herzégovine, Botswana, Burundi, Comores, Guyana, </w:t>
      </w:r>
      <w:r>
        <w:rPr>
          <w:lang w:val="fr-CA"/>
        </w:rPr>
        <w:t>Indonésie, Liban, Liberia, Malawi, Maldives, Mali, Maroc, Maurice, Nigeria, Nioué, Palau, République de Corée, Rwanda, Suriname et Timor-Leste.</w:t>
      </w:r>
    </w:p>
  </w:footnote>
  <w:footnote w:id="43">
    <w:p w14:paraId="753FAE60" w14:textId="77777777" w:rsidR="00CB6E90" w:rsidRPr="00D27AE8" w:rsidRDefault="00CB6E90" w:rsidP="00CB6E90">
      <w:pPr>
        <w:pStyle w:val="FootnoteText"/>
        <w:ind w:firstLine="0"/>
        <w:rPr>
          <w:lang w:val="fr-CA"/>
        </w:rPr>
      </w:pPr>
      <w:r w:rsidRPr="00D27AE8">
        <w:rPr>
          <w:rStyle w:val="FootnoteReference"/>
          <w:lang w:val="fr-CA"/>
        </w:rPr>
        <w:footnoteRef/>
      </w:r>
      <w:r w:rsidRPr="00D27AE8">
        <w:rPr>
          <w:lang w:val="fr-CA"/>
        </w:rPr>
        <w:t xml:space="preserve"> </w:t>
      </w:r>
      <w:r>
        <w:rPr>
          <w:lang w:val="fr-CA"/>
        </w:rPr>
        <w:t>Afghanistan, Bangladesh, Belize, Congo, Jamaïque, Népal, Pérou, Saint-Kitts-et-Nevis, Seychelles et Somalie</w:t>
      </w:r>
    </w:p>
  </w:footnote>
  <w:footnote w:id="44">
    <w:p w14:paraId="27118200" w14:textId="77777777" w:rsidR="00C06AC6" w:rsidRPr="00D27AE8" w:rsidRDefault="00C06AC6" w:rsidP="00DF06FB">
      <w:pPr>
        <w:pStyle w:val="FootnoteText"/>
        <w:keepLines w:val="0"/>
        <w:suppressLineNumbers/>
        <w:suppressAutoHyphens/>
        <w:adjustRightInd w:val="0"/>
        <w:snapToGrid w:val="0"/>
        <w:ind w:firstLine="0"/>
        <w:rPr>
          <w:noProof/>
          <w:kern w:val="18"/>
          <w:szCs w:val="18"/>
          <w:lang w:val="fr-CA"/>
        </w:rPr>
      </w:pPr>
      <w:r w:rsidRPr="00D27AE8">
        <w:rPr>
          <w:rStyle w:val="FootnoteReference"/>
          <w:noProof/>
          <w:kern w:val="18"/>
          <w:sz w:val="18"/>
          <w:szCs w:val="18"/>
          <w:lang w:val="fr-CA"/>
        </w:rPr>
        <w:footnoteRef/>
      </w:r>
      <w:r w:rsidRPr="00D27AE8">
        <w:rPr>
          <w:noProof/>
          <w:kern w:val="18"/>
          <w:szCs w:val="18"/>
          <w:lang w:val="fr-CA"/>
        </w:rPr>
        <w:t xml:space="preserve"> Allemagne, </w:t>
      </w:r>
      <w:r>
        <w:rPr>
          <w:noProof/>
          <w:kern w:val="18"/>
          <w:szCs w:val="18"/>
          <w:lang w:val="fr-CA"/>
        </w:rPr>
        <w:t xml:space="preserve">Bangladesh, </w:t>
      </w:r>
      <w:r w:rsidRPr="00D27AE8">
        <w:rPr>
          <w:noProof/>
          <w:szCs w:val="18"/>
          <w:lang w:val="fr-CA"/>
        </w:rPr>
        <w:t xml:space="preserve">Bhoutan, Botswana, </w:t>
      </w:r>
      <w:r>
        <w:rPr>
          <w:noProof/>
          <w:szCs w:val="18"/>
          <w:lang w:val="fr-CA"/>
        </w:rPr>
        <w:t xml:space="preserve">Brésil, Cabo Verde, Chili, </w:t>
      </w:r>
      <w:r w:rsidRPr="00D27AE8">
        <w:rPr>
          <w:noProof/>
          <w:szCs w:val="18"/>
          <w:lang w:val="fr-CA"/>
        </w:rPr>
        <w:t xml:space="preserve">Colombie, Danemark, Egypte, El Salvador, Ethiopie, Fédération de Russie, Géorgie, Grenade, Guyana, </w:t>
      </w:r>
      <w:r>
        <w:rPr>
          <w:noProof/>
          <w:szCs w:val="18"/>
          <w:lang w:val="fr-CA"/>
        </w:rPr>
        <w:t xml:space="preserve">Indonésie, Irlande, Jamaïque, Japon, </w:t>
      </w:r>
      <w:r w:rsidRPr="00D27AE8">
        <w:rPr>
          <w:noProof/>
          <w:szCs w:val="18"/>
          <w:lang w:val="fr-CA"/>
        </w:rPr>
        <w:t xml:space="preserve">Maldives, Malte, </w:t>
      </w:r>
      <w:r>
        <w:rPr>
          <w:noProof/>
          <w:szCs w:val="18"/>
          <w:lang w:val="fr-CA"/>
        </w:rPr>
        <w:t xml:space="preserve">Maurice, Mexique, </w:t>
      </w:r>
      <w:r w:rsidRPr="00D27AE8">
        <w:rPr>
          <w:noProof/>
          <w:szCs w:val="18"/>
          <w:lang w:val="fr-CA"/>
        </w:rPr>
        <w:t xml:space="preserve">Mongolie, </w:t>
      </w:r>
      <w:r>
        <w:rPr>
          <w:noProof/>
          <w:szCs w:val="18"/>
          <w:lang w:val="fr-CA"/>
        </w:rPr>
        <w:t xml:space="preserve">Monténégro, </w:t>
      </w:r>
      <w:r w:rsidRPr="00D27AE8">
        <w:rPr>
          <w:noProof/>
          <w:szCs w:val="18"/>
          <w:lang w:val="fr-CA"/>
        </w:rPr>
        <w:t xml:space="preserve">Myanmar, Norvège, Ouganda, </w:t>
      </w:r>
      <w:r>
        <w:rPr>
          <w:noProof/>
          <w:szCs w:val="18"/>
          <w:lang w:val="fr-CA"/>
        </w:rPr>
        <w:t xml:space="preserve">Paraguay, </w:t>
      </w:r>
      <w:r w:rsidRPr="00D27AE8">
        <w:rPr>
          <w:noProof/>
          <w:szCs w:val="18"/>
          <w:lang w:val="fr-CA"/>
        </w:rPr>
        <w:t>Pays</w:t>
      </w:r>
      <w:r w:rsidRPr="00D27AE8">
        <w:rPr>
          <w:noProof/>
          <w:szCs w:val="18"/>
          <w:lang w:val="fr-CA"/>
        </w:rPr>
        <w:noBreakHyphen/>
        <w:t xml:space="preserve">Bas, République de </w:t>
      </w:r>
      <w:r w:rsidR="002946E4">
        <w:rPr>
          <w:noProof/>
          <w:szCs w:val="18"/>
          <w:lang w:val="fr-CA"/>
        </w:rPr>
        <w:t xml:space="preserve">Corée, République de </w:t>
      </w:r>
      <w:r w:rsidR="006C3C79">
        <w:rPr>
          <w:noProof/>
          <w:szCs w:val="18"/>
          <w:lang w:val="fr-CA"/>
        </w:rPr>
        <w:t>Moldova</w:t>
      </w:r>
      <w:r w:rsidRPr="00D27AE8">
        <w:rPr>
          <w:noProof/>
          <w:szCs w:val="18"/>
          <w:lang w:val="fr-CA"/>
        </w:rPr>
        <w:t xml:space="preserve">, </w:t>
      </w:r>
      <w:r w:rsidRPr="00D27AE8">
        <w:rPr>
          <w:noProof/>
          <w:kern w:val="22"/>
          <w:szCs w:val="18"/>
          <w:lang w:val="fr-CA"/>
        </w:rPr>
        <w:t>République démocratique populaire lao</w:t>
      </w:r>
      <w:r w:rsidRPr="00D27AE8">
        <w:rPr>
          <w:noProof/>
          <w:szCs w:val="18"/>
          <w:lang w:val="fr-CA"/>
        </w:rPr>
        <w:t xml:space="preserve">, Saint-Nitts-et-Nevis, </w:t>
      </w:r>
      <w:r w:rsidR="002946E4">
        <w:rPr>
          <w:noProof/>
          <w:szCs w:val="18"/>
          <w:lang w:val="fr-CA"/>
        </w:rPr>
        <w:t xml:space="preserve">Saint-Vincent-et-les-Grenadines, </w:t>
      </w:r>
      <w:r>
        <w:rPr>
          <w:noProof/>
          <w:szCs w:val="18"/>
          <w:lang w:val="fr-CA"/>
        </w:rPr>
        <w:t xml:space="preserve">Sao Tomé-et-Principe, </w:t>
      </w:r>
      <w:r w:rsidRPr="00D27AE8">
        <w:rPr>
          <w:noProof/>
          <w:szCs w:val="18"/>
          <w:lang w:val="fr-CA"/>
        </w:rPr>
        <w:t xml:space="preserve">Seychelles, </w:t>
      </w:r>
      <w:r>
        <w:rPr>
          <w:noProof/>
          <w:szCs w:val="18"/>
          <w:lang w:val="fr-CA"/>
        </w:rPr>
        <w:t xml:space="preserve">Sri Lanka, </w:t>
      </w:r>
      <w:r w:rsidRPr="00D27AE8">
        <w:rPr>
          <w:noProof/>
          <w:szCs w:val="18"/>
          <w:lang w:val="fr-CA"/>
        </w:rPr>
        <w:t xml:space="preserve">Suède, </w:t>
      </w:r>
      <w:r w:rsidR="002946E4">
        <w:rPr>
          <w:noProof/>
          <w:szCs w:val="18"/>
          <w:lang w:val="fr-CA"/>
        </w:rPr>
        <w:t xml:space="preserve">Suisse, Turquie, </w:t>
      </w:r>
      <w:r w:rsidRPr="00D27AE8">
        <w:rPr>
          <w:noProof/>
          <w:szCs w:val="18"/>
          <w:lang w:val="fr-CA"/>
        </w:rPr>
        <w:t>Union européenne, Uruguay, Viet Nam</w:t>
      </w:r>
      <w:r>
        <w:rPr>
          <w:noProof/>
          <w:szCs w:val="18"/>
          <w:lang w:val="fr-CA"/>
        </w:rPr>
        <w:t>, Yémen</w:t>
      </w:r>
      <w:r w:rsidRPr="00D27AE8">
        <w:rPr>
          <w:noProof/>
          <w:szCs w:val="18"/>
          <w:lang w:val="fr-CA"/>
        </w:rPr>
        <w:t xml:space="preserve"> et Zimbabwe</w:t>
      </w:r>
      <w:r w:rsidRPr="00D27AE8">
        <w:rPr>
          <w:noProof/>
          <w:kern w:val="18"/>
          <w:szCs w:val="18"/>
          <w:lang w:val="fr-CA"/>
        </w:rPr>
        <w:t>.</w:t>
      </w:r>
    </w:p>
  </w:footnote>
  <w:footnote w:id="45">
    <w:p w14:paraId="65B50DD8" w14:textId="77777777" w:rsidR="00C06AC6" w:rsidRPr="00BC6ED9" w:rsidRDefault="00C06AC6" w:rsidP="00DF06FB">
      <w:pPr>
        <w:pStyle w:val="FootnoteText"/>
        <w:keepLines w:val="0"/>
        <w:suppressLineNumbers/>
        <w:suppressAutoHyphens/>
        <w:adjustRightInd w:val="0"/>
        <w:snapToGrid w:val="0"/>
        <w:ind w:firstLine="0"/>
        <w:rPr>
          <w:szCs w:val="18"/>
          <w:lang w:val="fr-FR"/>
        </w:rPr>
      </w:pPr>
      <w:r w:rsidRPr="00BC6ED9">
        <w:rPr>
          <w:rStyle w:val="FootnoteReference"/>
          <w:sz w:val="18"/>
          <w:szCs w:val="18"/>
          <w:lang w:val="fr-FR"/>
        </w:rPr>
        <w:footnoteRef/>
      </w:r>
      <w:r w:rsidRPr="00BC6ED9">
        <w:rPr>
          <w:szCs w:val="18"/>
          <w:lang w:val="fr-FR"/>
        </w:rPr>
        <w:t xml:space="preserve"> </w:t>
      </w:r>
      <w:r>
        <w:rPr>
          <w:szCs w:val="18"/>
          <w:lang w:val="fr-FR"/>
        </w:rPr>
        <w:t xml:space="preserve">Algérie, </w:t>
      </w:r>
      <w:r w:rsidRPr="00BC6ED9">
        <w:rPr>
          <w:noProof/>
          <w:szCs w:val="18"/>
          <w:lang w:val="fr-FR"/>
        </w:rPr>
        <w:t>Antigua</w:t>
      </w:r>
      <w:r w:rsidRPr="00BC6ED9">
        <w:rPr>
          <w:noProof/>
          <w:szCs w:val="18"/>
          <w:lang w:val="fr-FR"/>
        </w:rPr>
        <w:noBreakHyphen/>
        <w:t>et</w:t>
      </w:r>
      <w:r w:rsidRPr="00BC6ED9">
        <w:rPr>
          <w:noProof/>
          <w:szCs w:val="18"/>
          <w:lang w:val="fr-FR"/>
        </w:rPr>
        <w:noBreakHyphen/>
        <w:t xml:space="preserve">Barbuda, </w:t>
      </w:r>
      <w:r>
        <w:rPr>
          <w:noProof/>
          <w:szCs w:val="18"/>
          <w:lang w:val="fr-FR"/>
        </w:rPr>
        <w:t xml:space="preserve">Argentine, </w:t>
      </w:r>
      <w:r w:rsidRPr="00BC6ED9">
        <w:rPr>
          <w:noProof/>
          <w:kern w:val="18"/>
          <w:szCs w:val="18"/>
          <w:lang w:val="fr-FR"/>
        </w:rPr>
        <w:t xml:space="preserve">Arménie, </w:t>
      </w:r>
      <w:r>
        <w:rPr>
          <w:noProof/>
          <w:kern w:val="18"/>
          <w:szCs w:val="18"/>
          <w:lang w:val="fr-FR"/>
        </w:rPr>
        <w:t xml:space="preserve">Bangladesh, </w:t>
      </w:r>
      <w:r w:rsidRPr="00BC6ED9">
        <w:rPr>
          <w:noProof/>
          <w:kern w:val="18"/>
          <w:szCs w:val="18"/>
          <w:lang w:val="fr-FR"/>
        </w:rPr>
        <w:t xml:space="preserve">Bélarus, Belgique, Bhoutan, Burundi, </w:t>
      </w:r>
      <w:r w:rsidRPr="00BC6ED9">
        <w:rPr>
          <w:noProof/>
          <w:szCs w:val="18"/>
          <w:lang w:val="fr-FR"/>
        </w:rPr>
        <w:t xml:space="preserve">Cameroun, </w:t>
      </w:r>
      <w:r>
        <w:rPr>
          <w:noProof/>
          <w:szCs w:val="18"/>
          <w:lang w:val="fr-FR"/>
        </w:rPr>
        <w:t xml:space="preserve">Chili, </w:t>
      </w:r>
      <w:r w:rsidRPr="00BC6ED9">
        <w:rPr>
          <w:noProof/>
          <w:szCs w:val="18"/>
          <w:lang w:val="fr-FR"/>
        </w:rPr>
        <w:t xml:space="preserve">Congo, Estonie, </w:t>
      </w:r>
      <w:r w:rsidR="009503E5">
        <w:rPr>
          <w:noProof/>
          <w:szCs w:val="18"/>
          <w:lang w:val="fr-FR"/>
        </w:rPr>
        <w:t xml:space="preserve">États fédérés de Micronésie, </w:t>
      </w:r>
      <w:r w:rsidRPr="00BC6ED9">
        <w:rPr>
          <w:noProof/>
          <w:szCs w:val="18"/>
          <w:lang w:val="fr-FR"/>
        </w:rPr>
        <w:t xml:space="preserve">Gambie, Géorgie, Grèce, Guatemala, Guinée équatoriale, Inde, Japon, Jordanie, </w:t>
      </w:r>
      <w:r w:rsidR="00293700">
        <w:rPr>
          <w:noProof/>
          <w:szCs w:val="18"/>
          <w:lang w:val="fr-FR"/>
        </w:rPr>
        <w:t>Koweït, Macédoi</w:t>
      </w:r>
      <w:r w:rsidR="009503E5">
        <w:rPr>
          <w:noProof/>
          <w:szCs w:val="18"/>
          <w:lang w:val="fr-FR"/>
        </w:rPr>
        <w:t xml:space="preserve">ne du Nord,  </w:t>
      </w:r>
      <w:r w:rsidRPr="00BC6ED9">
        <w:rPr>
          <w:noProof/>
          <w:szCs w:val="18"/>
          <w:lang w:val="fr-FR"/>
        </w:rPr>
        <w:t xml:space="preserve">Mali, Malawi, Mauritanie, Mozambique, Namibie, Nigéria, Ouganda, </w:t>
      </w:r>
      <w:r w:rsidR="009503E5">
        <w:rPr>
          <w:noProof/>
          <w:szCs w:val="18"/>
          <w:lang w:val="fr-FR"/>
        </w:rPr>
        <w:t xml:space="preserve">Panama, </w:t>
      </w:r>
      <w:r w:rsidRPr="00BC6ED9">
        <w:rPr>
          <w:noProof/>
          <w:szCs w:val="18"/>
          <w:lang w:val="fr-FR"/>
        </w:rPr>
        <w:t xml:space="preserve">Pérou, </w:t>
      </w:r>
      <w:r w:rsidR="009503E5">
        <w:rPr>
          <w:noProof/>
          <w:szCs w:val="18"/>
          <w:lang w:val="fr-FR"/>
        </w:rPr>
        <w:t xml:space="preserve">République de Corée, </w:t>
      </w:r>
      <w:r w:rsidRPr="00BC6ED9">
        <w:rPr>
          <w:noProof/>
          <w:szCs w:val="18"/>
          <w:lang w:val="fr-FR"/>
        </w:rPr>
        <w:t xml:space="preserve">République dominicaine, République-Unie de Tanzanie, Saint-Kitts-et-Nevis, Sénégal, </w:t>
      </w:r>
      <w:r w:rsidR="009503E5">
        <w:rPr>
          <w:noProof/>
          <w:szCs w:val="18"/>
          <w:lang w:val="fr-FR"/>
        </w:rPr>
        <w:t xml:space="preserve">Singapour, </w:t>
      </w:r>
      <w:r>
        <w:rPr>
          <w:noProof/>
          <w:szCs w:val="18"/>
          <w:lang w:val="fr-FR"/>
        </w:rPr>
        <w:t xml:space="preserve">Somalie, </w:t>
      </w:r>
      <w:r w:rsidR="009503E5">
        <w:rPr>
          <w:noProof/>
          <w:szCs w:val="18"/>
          <w:lang w:val="fr-FR"/>
        </w:rPr>
        <w:t xml:space="preserve">Soudan du Sud, </w:t>
      </w:r>
      <w:r w:rsidRPr="00BC6ED9">
        <w:rPr>
          <w:noProof/>
          <w:szCs w:val="18"/>
          <w:lang w:val="fr-FR"/>
        </w:rPr>
        <w:t>Suisse</w:t>
      </w:r>
      <w:r>
        <w:rPr>
          <w:noProof/>
          <w:szCs w:val="18"/>
          <w:lang w:val="fr-FR"/>
        </w:rPr>
        <w:t>,</w:t>
      </w:r>
      <w:r w:rsidR="009503E5">
        <w:rPr>
          <w:noProof/>
          <w:szCs w:val="18"/>
          <w:lang w:val="fr-FR"/>
        </w:rPr>
        <w:t xml:space="preserve"> Trinité-et-Tobago, Turquie,</w:t>
      </w:r>
      <w:r w:rsidRPr="00BC6ED9">
        <w:rPr>
          <w:noProof/>
          <w:szCs w:val="18"/>
          <w:lang w:val="fr-FR"/>
        </w:rPr>
        <w:t xml:space="preserve"> Uruguay</w:t>
      </w:r>
      <w:r>
        <w:rPr>
          <w:noProof/>
          <w:szCs w:val="18"/>
          <w:lang w:val="fr-FR"/>
        </w:rPr>
        <w:t xml:space="preserve"> et Yémen</w:t>
      </w:r>
      <w:r w:rsidRPr="00BC6ED9">
        <w:rPr>
          <w:noProof/>
          <w:szCs w:val="18"/>
          <w:lang w:val="fr-FR"/>
        </w:rPr>
        <w:t>.</w:t>
      </w:r>
    </w:p>
  </w:footnote>
  <w:footnote w:id="46">
    <w:p w14:paraId="6DE0FB1F" w14:textId="77777777" w:rsidR="00C06AC6" w:rsidRPr="00BC6ED9" w:rsidRDefault="00C06AC6" w:rsidP="00DF06FB">
      <w:pPr>
        <w:pStyle w:val="FootnoteText"/>
        <w:keepLines w:val="0"/>
        <w:suppressLineNumbers/>
        <w:suppressAutoHyphens/>
        <w:adjustRightInd w:val="0"/>
        <w:snapToGrid w:val="0"/>
        <w:ind w:firstLine="0"/>
        <w:rPr>
          <w:noProof/>
          <w:kern w:val="18"/>
          <w:szCs w:val="18"/>
          <w:lang w:val="fr-FR"/>
        </w:rPr>
      </w:pPr>
      <w:r w:rsidRPr="00BC6ED9">
        <w:rPr>
          <w:rStyle w:val="FootnoteReference"/>
          <w:noProof/>
          <w:kern w:val="18"/>
          <w:sz w:val="18"/>
          <w:szCs w:val="18"/>
          <w:lang w:val="fr-FR"/>
        </w:rPr>
        <w:footnoteRef/>
      </w:r>
      <w:r w:rsidRPr="00BC6ED9">
        <w:rPr>
          <w:noProof/>
          <w:kern w:val="18"/>
          <w:szCs w:val="18"/>
          <w:lang w:val="fr-FR"/>
        </w:rPr>
        <w:t xml:space="preserve"> </w:t>
      </w:r>
      <w:r>
        <w:rPr>
          <w:noProof/>
          <w:kern w:val="18"/>
          <w:szCs w:val="18"/>
          <w:lang w:val="fr-FR"/>
        </w:rPr>
        <w:t xml:space="preserve">Andorre, </w:t>
      </w:r>
      <w:r w:rsidRPr="00BC6ED9">
        <w:rPr>
          <w:noProof/>
          <w:szCs w:val="18"/>
          <w:lang w:val="fr-FR"/>
        </w:rPr>
        <w:t>Antigua</w:t>
      </w:r>
      <w:r w:rsidRPr="00BC6ED9">
        <w:rPr>
          <w:noProof/>
          <w:szCs w:val="18"/>
          <w:lang w:val="fr-FR"/>
        </w:rPr>
        <w:noBreakHyphen/>
        <w:t>et</w:t>
      </w:r>
      <w:r w:rsidRPr="00BC6ED9">
        <w:rPr>
          <w:noProof/>
          <w:szCs w:val="18"/>
          <w:lang w:val="fr-FR"/>
        </w:rPr>
        <w:noBreakHyphen/>
        <w:t xml:space="preserve">Barbuda, Arménie, Bélarus, </w:t>
      </w:r>
      <w:r>
        <w:rPr>
          <w:noProof/>
          <w:szCs w:val="18"/>
          <w:lang w:val="fr-FR"/>
        </w:rPr>
        <w:t xml:space="preserve">Belize, </w:t>
      </w:r>
      <w:r w:rsidRPr="00BC6ED9">
        <w:rPr>
          <w:noProof/>
          <w:szCs w:val="18"/>
          <w:lang w:val="fr-FR"/>
        </w:rPr>
        <w:t xml:space="preserve">Belgique, Burundi, Cambodge, Cameroun, </w:t>
      </w:r>
      <w:r>
        <w:rPr>
          <w:noProof/>
          <w:szCs w:val="18"/>
          <w:lang w:val="fr-FR"/>
        </w:rPr>
        <w:t xml:space="preserve">Comores, Croatie, Cuba, </w:t>
      </w:r>
      <w:r w:rsidRPr="00BC6ED9">
        <w:rPr>
          <w:noProof/>
          <w:szCs w:val="18"/>
          <w:lang w:val="fr-FR"/>
        </w:rPr>
        <w:t xml:space="preserve">Dominique, </w:t>
      </w:r>
      <w:r>
        <w:rPr>
          <w:noProof/>
          <w:szCs w:val="18"/>
          <w:lang w:val="fr-FR"/>
        </w:rPr>
        <w:t xml:space="preserve">Équateur, </w:t>
      </w:r>
      <w:r w:rsidRPr="00BC6ED9">
        <w:rPr>
          <w:noProof/>
          <w:szCs w:val="18"/>
          <w:lang w:val="fr-FR"/>
        </w:rPr>
        <w:t xml:space="preserve">Estonie, </w:t>
      </w:r>
      <w:r w:rsidR="009503E5">
        <w:rPr>
          <w:noProof/>
          <w:szCs w:val="18"/>
          <w:lang w:val="fr-FR"/>
        </w:rPr>
        <w:t xml:space="preserve">Eswatini, </w:t>
      </w:r>
      <w:r w:rsidRPr="00BC6ED9">
        <w:rPr>
          <w:noProof/>
          <w:szCs w:val="18"/>
          <w:lang w:val="fr-FR"/>
        </w:rPr>
        <w:t xml:space="preserve">Finlande, France, Gambie, Guatemala, Guinée équatoriale, Inde, Irlande, Italie, Japon, Jordanie, </w:t>
      </w:r>
      <w:r>
        <w:rPr>
          <w:noProof/>
          <w:szCs w:val="18"/>
          <w:lang w:val="fr-FR"/>
        </w:rPr>
        <w:t xml:space="preserve">Lituanie, Luxembourg, </w:t>
      </w:r>
      <w:r w:rsidRPr="00BC6ED9">
        <w:rPr>
          <w:noProof/>
          <w:szCs w:val="18"/>
          <w:lang w:val="fr-FR"/>
        </w:rPr>
        <w:t xml:space="preserve">Malte, Namibie, </w:t>
      </w:r>
      <w:r>
        <w:rPr>
          <w:noProof/>
          <w:szCs w:val="18"/>
          <w:lang w:val="fr-FR"/>
        </w:rPr>
        <w:t xml:space="preserve">Nauru, </w:t>
      </w:r>
      <w:r w:rsidRPr="00BC6ED9">
        <w:rPr>
          <w:noProof/>
          <w:szCs w:val="18"/>
          <w:lang w:val="fr-FR"/>
        </w:rPr>
        <w:t xml:space="preserve">Népal, Niger, Nigéria, </w:t>
      </w:r>
      <w:r w:rsidR="009503E5">
        <w:rPr>
          <w:noProof/>
          <w:szCs w:val="18"/>
          <w:lang w:val="fr-FR"/>
        </w:rPr>
        <w:t xml:space="preserve">Pakistan, </w:t>
      </w:r>
      <w:r w:rsidRPr="00BC6ED9">
        <w:rPr>
          <w:noProof/>
          <w:szCs w:val="18"/>
          <w:lang w:val="fr-FR"/>
        </w:rPr>
        <w:t xml:space="preserve">Pérou, République de Corée, République de Moldova, République dominicaine, </w:t>
      </w:r>
      <w:r>
        <w:rPr>
          <w:noProof/>
          <w:szCs w:val="18"/>
          <w:lang w:val="fr-FR"/>
        </w:rPr>
        <w:t xml:space="preserve">République islamique d’Iran, Roumaine, Rwanda, Sao Tomé-et-Principe, </w:t>
      </w:r>
      <w:r w:rsidRPr="00BC6ED9">
        <w:rPr>
          <w:noProof/>
          <w:szCs w:val="18"/>
          <w:lang w:val="fr-FR"/>
        </w:rPr>
        <w:t xml:space="preserve">Slovaquie, </w:t>
      </w:r>
      <w:r>
        <w:rPr>
          <w:noProof/>
          <w:szCs w:val="18"/>
          <w:lang w:val="fr-FR"/>
        </w:rPr>
        <w:t xml:space="preserve">Somalie, </w:t>
      </w:r>
      <w:r w:rsidRPr="00BC6ED9">
        <w:rPr>
          <w:noProof/>
          <w:szCs w:val="18"/>
          <w:lang w:val="fr-FR"/>
        </w:rPr>
        <w:t>Suriname, Timor</w:t>
      </w:r>
      <w:r w:rsidRPr="00BC6ED9">
        <w:rPr>
          <w:noProof/>
          <w:szCs w:val="18"/>
          <w:lang w:val="fr-FR"/>
        </w:rPr>
        <w:noBreakHyphen/>
        <w:t xml:space="preserve">Leste, Togo, </w:t>
      </w:r>
      <w:r w:rsidR="005A0DF6">
        <w:rPr>
          <w:noProof/>
          <w:szCs w:val="18"/>
          <w:lang w:val="fr-FR"/>
        </w:rPr>
        <w:t xml:space="preserve">Turkménistan, </w:t>
      </w:r>
      <w:r w:rsidRPr="00BC6ED9">
        <w:rPr>
          <w:noProof/>
          <w:szCs w:val="18"/>
          <w:lang w:val="fr-FR"/>
        </w:rPr>
        <w:t>Tuvalu</w:t>
      </w:r>
      <w:r w:rsidR="005A0DF6">
        <w:rPr>
          <w:noProof/>
          <w:szCs w:val="18"/>
          <w:lang w:val="fr-FR"/>
        </w:rPr>
        <w:t xml:space="preserve">, Vanuatu </w:t>
      </w:r>
      <w:r w:rsidRPr="00BC6ED9">
        <w:rPr>
          <w:noProof/>
          <w:szCs w:val="18"/>
          <w:lang w:val="fr-FR"/>
        </w:rPr>
        <w:t>et Zambie</w:t>
      </w:r>
      <w:r w:rsidRPr="00BC6ED9">
        <w:rPr>
          <w:noProof/>
          <w:kern w:val="18"/>
          <w:szCs w:val="18"/>
          <w:lang w:val="fr-FR"/>
        </w:rPr>
        <w:t>.</w:t>
      </w:r>
    </w:p>
  </w:footnote>
  <w:footnote w:id="47">
    <w:p w14:paraId="6B0EC46D" w14:textId="77777777" w:rsidR="00C06AC6" w:rsidRPr="00BC6ED9" w:rsidRDefault="00C06AC6" w:rsidP="00DF06FB">
      <w:pPr>
        <w:pStyle w:val="FootnoteText"/>
        <w:keepLines w:val="0"/>
        <w:suppressLineNumbers/>
        <w:suppressAutoHyphens/>
        <w:adjustRightInd w:val="0"/>
        <w:snapToGrid w:val="0"/>
        <w:ind w:firstLine="0"/>
        <w:rPr>
          <w:szCs w:val="18"/>
          <w:lang w:val="fr-FR"/>
        </w:rPr>
      </w:pPr>
      <w:r w:rsidRPr="00BC6ED9">
        <w:rPr>
          <w:rStyle w:val="FootnoteReference"/>
          <w:sz w:val="18"/>
          <w:szCs w:val="18"/>
          <w:lang w:val="fr-FR"/>
        </w:rPr>
        <w:footnoteRef/>
      </w:r>
      <w:r w:rsidRPr="00BC6ED9">
        <w:rPr>
          <w:szCs w:val="18"/>
          <w:lang w:val="fr-FR"/>
        </w:rPr>
        <w:t xml:space="preserve"> Afrique du Sud, </w:t>
      </w:r>
      <w:r>
        <w:rPr>
          <w:szCs w:val="18"/>
          <w:lang w:val="fr-FR"/>
        </w:rPr>
        <w:t xml:space="preserve">Algérie, Bangladesh, Belize, </w:t>
      </w:r>
      <w:r w:rsidRPr="00BC6ED9">
        <w:rPr>
          <w:noProof/>
          <w:szCs w:val="18"/>
          <w:lang w:val="fr-FR"/>
        </w:rPr>
        <w:t xml:space="preserve">Bhoutan, </w:t>
      </w:r>
      <w:r w:rsidR="009268DF">
        <w:rPr>
          <w:noProof/>
          <w:szCs w:val="18"/>
          <w:lang w:val="fr-FR"/>
        </w:rPr>
        <w:t xml:space="preserve">Bolivie, </w:t>
      </w:r>
      <w:r w:rsidRPr="00BC6ED9">
        <w:rPr>
          <w:noProof/>
          <w:szCs w:val="18"/>
          <w:lang w:val="fr-FR"/>
        </w:rPr>
        <w:t xml:space="preserve">Burkina Faso, Burundi, </w:t>
      </w:r>
      <w:r w:rsidR="009268DF">
        <w:rPr>
          <w:noProof/>
          <w:szCs w:val="18"/>
          <w:lang w:val="fr-FR"/>
        </w:rPr>
        <w:t xml:space="preserve">Chine, Côte d’Ivoire, </w:t>
      </w:r>
      <w:r>
        <w:rPr>
          <w:noProof/>
          <w:szCs w:val="18"/>
          <w:lang w:val="fr-FR"/>
        </w:rPr>
        <w:t xml:space="preserve">Cuba, Équateur, </w:t>
      </w:r>
      <w:r w:rsidRPr="00BC6ED9">
        <w:rPr>
          <w:noProof/>
          <w:szCs w:val="18"/>
          <w:lang w:val="fr-FR"/>
        </w:rPr>
        <w:t xml:space="preserve">Estonie, </w:t>
      </w:r>
      <w:r w:rsidR="009268DF">
        <w:rPr>
          <w:noProof/>
          <w:szCs w:val="18"/>
          <w:lang w:val="fr-FR"/>
        </w:rPr>
        <w:t xml:space="preserve">États fédérés de Micronésie, </w:t>
      </w:r>
      <w:r w:rsidRPr="00BC6ED9">
        <w:rPr>
          <w:noProof/>
          <w:szCs w:val="18"/>
          <w:lang w:val="fr-FR"/>
        </w:rPr>
        <w:t xml:space="preserve">Guinée équatoriale, </w:t>
      </w:r>
      <w:r>
        <w:rPr>
          <w:noProof/>
          <w:szCs w:val="18"/>
          <w:lang w:val="fr-FR"/>
        </w:rPr>
        <w:t xml:space="preserve">Honduras, </w:t>
      </w:r>
      <w:r w:rsidRPr="00BC6ED9">
        <w:rPr>
          <w:noProof/>
          <w:szCs w:val="18"/>
          <w:lang w:val="fr-FR"/>
        </w:rPr>
        <w:t xml:space="preserve">Iraq, </w:t>
      </w:r>
      <w:r>
        <w:rPr>
          <w:noProof/>
          <w:szCs w:val="18"/>
          <w:lang w:val="fr-FR"/>
        </w:rPr>
        <w:t xml:space="preserve">Kiribati, </w:t>
      </w:r>
      <w:r w:rsidRPr="00BC6ED9">
        <w:rPr>
          <w:noProof/>
          <w:szCs w:val="18"/>
          <w:lang w:val="fr-FR"/>
        </w:rPr>
        <w:t>Malawi,</w:t>
      </w:r>
      <w:r>
        <w:rPr>
          <w:noProof/>
          <w:szCs w:val="18"/>
          <w:lang w:val="fr-FR"/>
        </w:rPr>
        <w:t xml:space="preserve"> Mexique,</w:t>
      </w:r>
      <w:r w:rsidRPr="00BC6ED9">
        <w:rPr>
          <w:noProof/>
          <w:szCs w:val="18"/>
          <w:lang w:val="fr-FR"/>
        </w:rPr>
        <w:t xml:space="preserve"> Namibie, Niger, Nioué, </w:t>
      </w:r>
      <w:r w:rsidR="009268DF">
        <w:rPr>
          <w:noProof/>
          <w:szCs w:val="18"/>
          <w:lang w:val="fr-FR"/>
        </w:rPr>
        <w:t xml:space="preserve">Nouvelle-Zélande, </w:t>
      </w:r>
      <w:r w:rsidRPr="00BC6ED9">
        <w:rPr>
          <w:noProof/>
          <w:szCs w:val="18"/>
          <w:lang w:val="fr-FR"/>
        </w:rPr>
        <w:t>Ouganda, Pays</w:t>
      </w:r>
      <w:r w:rsidRPr="00BC6ED9">
        <w:rPr>
          <w:noProof/>
          <w:szCs w:val="18"/>
          <w:lang w:val="fr-FR"/>
        </w:rPr>
        <w:noBreakHyphen/>
        <w:t xml:space="preserve">Bas, Pérou, </w:t>
      </w:r>
      <w:r>
        <w:rPr>
          <w:noProof/>
          <w:szCs w:val="18"/>
          <w:lang w:val="fr-FR"/>
        </w:rPr>
        <w:t xml:space="preserve">Philippines, République bolivarienne du Venezuela, </w:t>
      </w:r>
      <w:r w:rsidRPr="00BC6ED9">
        <w:rPr>
          <w:noProof/>
          <w:szCs w:val="18"/>
          <w:lang w:val="fr-FR"/>
        </w:rPr>
        <w:t xml:space="preserve">République dominicaine, République-Unie de Tanzanie, </w:t>
      </w:r>
      <w:r>
        <w:rPr>
          <w:noProof/>
          <w:szCs w:val="18"/>
          <w:lang w:val="fr-FR"/>
        </w:rPr>
        <w:t xml:space="preserve">Royaume-Uni, Rwanda, </w:t>
      </w:r>
      <w:r w:rsidR="009268DF">
        <w:rPr>
          <w:noProof/>
          <w:szCs w:val="18"/>
          <w:lang w:val="fr-FR"/>
        </w:rPr>
        <w:t xml:space="preserve">Saint-Vincent-et-les-Gremadines, </w:t>
      </w:r>
      <w:r w:rsidRPr="00BC6ED9">
        <w:rPr>
          <w:noProof/>
          <w:szCs w:val="18"/>
          <w:lang w:val="fr-FR"/>
        </w:rPr>
        <w:t xml:space="preserve">Slovaquie, </w:t>
      </w:r>
      <w:r>
        <w:rPr>
          <w:noProof/>
          <w:szCs w:val="18"/>
          <w:lang w:val="fr-FR"/>
        </w:rPr>
        <w:t>Thaïlande, Timor-Leste</w:t>
      </w:r>
      <w:r w:rsidR="004C2A31">
        <w:rPr>
          <w:noProof/>
          <w:szCs w:val="18"/>
          <w:lang w:val="fr-FR"/>
        </w:rPr>
        <w:t>, Trinité-et-Tobago, Turquie</w:t>
      </w:r>
      <w:r>
        <w:rPr>
          <w:noProof/>
          <w:szCs w:val="18"/>
          <w:lang w:val="fr-FR"/>
        </w:rPr>
        <w:t xml:space="preserve"> </w:t>
      </w:r>
      <w:r w:rsidRPr="00BC6ED9">
        <w:rPr>
          <w:noProof/>
          <w:szCs w:val="18"/>
          <w:lang w:val="fr-FR"/>
        </w:rPr>
        <w:t>et Viet Nam</w:t>
      </w:r>
      <w:r w:rsidRPr="00BC6ED9">
        <w:rPr>
          <w:szCs w:val="18"/>
          <w:lang w:val="fr-FR"/>
        </w:rPr>
        <w:t>.</w:t>
      </w:r>
    </w:p>
  </w:footnote>
  <w:footnote w:id="48">
    <w:p w14:paraId="309286A7" w14:textId="77777777" w:rsidR="00C401FB" w:rsidRPr="004C2A31" w:rsidRDefault="00C401FB" w:rsidP="00C401FB">
      <w:pPr>
        <w:pStyle w:val="FootnoteText"/>
        <w:ind w:firstLine="0"/>
        <w:rPr>
          <w:szCs w:val="18"/>
          <w:lang w:val="fr-CA"/>
        </w:rPr>
      </w:pPr>
      <w:r w:rsidRPr="004C2A31">
        <w:rPr>
          <w:rStyle w:val="FootnoteReference"/>
          <w:snapToGrid w:val="0"/>
          <w:kern w:val="18"/>
          <w:szCs w:val="18"/>
          <w:lang w:val="fr-CA"/>
        </w:rPr>
        <w:footnoteRef/>
      </w:r>
      <w:r w:rsidRPr="004C2A31">
        <w:rPr>
          <w:rStyle w:val="FootnoteReference"/>
          <w:snapToGrid w:val="0"/>
          <w:kern w:val="18"/>
          <w:szCs w:val="18"/>
          <w:lang w:val="fr-CA"/>
        </w:rPr>
        <w:t xml:space="preserve"> </w:t>
      </w:r>
      <w:r w:rsidRPr="004C2A31">
        <w:rPr>
          <w:snapToGrid w:val="0"/>
          <w:kern w:val="18"/>
          <w:szCs w:val="18"/>
          <w:vertAlign w:val="superscript"/>
          <w:lang w:val="fr-CA"/>
        </w:rPr>
        <w:t xml:space="preserve"> </w:t>
      </w:r>
      <w:r w:rsidRPr="004C2A31">
        <w:rPr>
          <w:snapToGrid w:val="0"/>
          <w:kern w:val="18"/>
          <w:szCs w:val="18"/>
          <w:lang w:val="fr-CA"/>
        </w:rPr>
        <w:t xml:space="preserve"> </w:t>
      </w:r>
      <w:r w:rsidR="004C2A31" w:rsidRPr="004C2A31">
        <w:rPr>
          <w:snapToGrid w:val="0"/>
          <w:kern w:val="18"/>
          <w:szCs w:val="18"/>
          <w:lang w:val="fr-CA"/>
        </w:rPr>
        <w:t xml:space="preserve">L’information sur </w:t>
      </w:r>
      <w:r w:rsidR="004C2A31">
        <w:rPr>
          <w:snapToGrid w:val="0"/>
          <w:kern w:val="18"/>
          <w:szCs w:val="18"/>
          <w:lang w:val="fr-CA"/>
        </w:rPr>
        <w:t xml:space="preserve">l’intégration de la biodiversité aux plans nationaux de développement et instruments équivalents tient compte de </w:t>
      </w:r>
      <w:r w:rsidR="001A64CD" w:rsidRPr="008D4D8C">
        <w:rPr>
          <w:snapToGrid w:val="0"/>
          <w:kern w:val="18"/>
          <w:szCs w:val="18"/>
          <w:lang w:val="fr-CA"/>
        </w:rPr>
        <w:t>l’</w:t>
      </w:r>
      <w:r w:rsidR="001A64CD">
        <w:rPr>
          <w:snapToGrid w:val="0"/>
          <w:kern w:val="18"/>
          <w:szCs w:val="18"/>
          <w:lang w:val="fr-CA"/>
        </w:rPr>
        <w:t>informati</w:t>
      </w:r>
      <w:r w:rsidR="001A64CD" w:rsidRPr="008D4D8C">
        <w:rPr>
          <w:snapToGrid w:val="0"/>
          <w:kern w:val="18"/>
          <w:szCs w:val="18"/>
          <w:lang w:val="fr-CA"/>
        </w:rPr>
        <w:t>on reçue des Parties depuis la quatorzième réuni</w:t>
      </w:r>
      <w:r w:rsidR="001A64CD">
        <w:rPr>
          <w:snapToGrid w:val="0"/>
          <w:kern w:val="18"/>
          <w:szCs w:val="18"/>
          <w:lang w:val="fr-CA"/>
        </w:rPr>
        <w:t>on de la Conférence des Parties</w:t>
      </w:r>
      <w:r w:rsidR="001A64CD" w:rsidRPr="008D4D8C">
        <w:rPr>
          <w:snapToGrid w:val="0"/>
          <w:kern w:val="18"/>
          <w:szCs w:val="18"/>
          <w:lang w:val="fr-CA"/>
        </w:rPr>
        <w:t xml:space="preserve"> en réponse aux demandes faites par courriel par le Secrétariat (paragraphe 22 de la décision 14/1), </w:t>
      </w:r>
      <w:r w:rsidR="001A64CD">
        <w:rPr>
          <w:snapToGrid w:val="0"/>
          <w:kern w:val="18"/>
          <w:szCs w:val="18"/>
          <w:lang w:val="fr-CA"/>
        </w:rPr>
        <w:t>ainsi</w:t>
      </w:r>
      <w:r w:rsidR="001A64CD" w:rsidRPr="008D4D8C">
        <w:rPr>
          <w:snapToGrid w:val="0"/>
          <w:kern w:val="18"/>
          <w:szCs w:val="18"/>
          <w:lang w:val="fr-CA"/>
        </w:rPr>
        <w:t xml:space="preserve"> qu’en réponse à la notification 2020-019 du 14 février 2020, qui informe les correspondants </w:t>
      </w:r>
      <w:r w:rsidR="001A64CD">
        <w:rPr>
          <w:snapToGrid w:val="0"/>
          <w:kern w:val="18"/>
          <w:szCs w:val="18"/>
          <w:lang w:val="fr-CA"/>
        </w:rPr>
        <w:t>nationaux</w:t>
      </w:r>
      <w:r w:rsidR="001A64CD" w:rsidRPr="008D4D8C">
        <w:rPr>
          <w:snapToGrid w:val="0"/>
          <w:kern w:val="18"/>
          <w:szCs w:val="18"/>
          <w:lang w:val="fr-CA"/>
        </w:rPr>
        <w:t xml:space="preserve"> de la CDB, les correspondants nationaux du Protocole de Cartagena, les correspondants nationaux de l’accès et du partage des avantages, les correspondants </w:t>
      </w:r>
      <w:r w:rsidR="001A64CD">
        <w:rPr>
          <w:snapToGrid w:val="0"/>
          <w:kern w:val="18"/>
          <w:szCs w:val="18"/>
          <w:lang w:val="fr-CA"/>
        </w:rPr>
        <w:t>nationaux</w:t>
      </w:r>
      <w:r w:rsidR="001A64CD" w:rsidRPr="008D4D8C">
        <w:rPr>
          <w:snapToGrid w:val="0"/>
          <w:kern w:val="18"/>
          <w:szCs w:val="18"/>
          <w:lang w:val="fr-CA"/>
        </w:rPr>
        <w:t xml:space="preserve"> de l’Organe subsidiaire chargé de fournir des avis scientifiques, techniques et technologiques, les peuples autochtones et des communautés locales,</w:t>
      </w:r>
      <w:r w:rsidR="001A64CD">
        <w:rPr>
          <w:snapToGrid w:val="0"/>
          <w:kern w:val="18"/>
          <w:szCs w:val="18"/>
          <w:lang w:val="fr-CA"/>
        </w:rPr>
        <w:t xml:space="preserve"> et les organisations compétent</w:t>
      </w:r>
      <w:r w:rsidR="001A64CD" w:rsidRPr="008D4D8C">
        <w:rPr>
          <w:snapToGrid w:val="0"/>
          <w:kern w:val="18"/>
          <w:szCs w:val="18"/>
          <w:lang w:val="fr-CA"/>
        </w:rPr>
        <w:t>es que la version prélimi</w:t>
      </w:r>
      <w:r w:rsidR="001A64CD">
        <w:rPr>
          <w:snapToGrid w:val="0"/>
          <w:kern w:val="18"/>
          <w:szCs w:val="18"/>
          <w:lang w:val="fr-CA"/>
        </w:rPr>
        <w:t>naire du document sera dispo</w:t>
      </w:r>
      <w:r w:rsidR="001A64CD" w:rsidRPr="008D4D8C">
        <w:rPr>
          <w:snapToGrid w:val="0"/>
          <w:kern w:val="18"/>
          <w:szCs w:val="18"/>
          <w:lang w:val="fr-CA"/>
        </w:rPr>
        <w:t xml:space="preserve">nible </w:t>
      </w:r>
      <w:r w:rsidR="001A64CD">
        <w:rPr>
          <w:snapToGrid w:val="0"/>
          <w:kern w:val="18"/>
          <w:szCs w:val="18"/>
          <w:lang w:val="fr-CA"/>
        </w:rPr>
        <w:t xml:space="preserve">pour examen par les pairs </w:t>
      </w:r>
      <w:r w:rsidR="001A64CD" w:rsidRPr="008D4D8C">
        <w:rPr>
          <w:snapToGrid w:val="0"/>
          <w:kern w:val="18"/>
          <w:szCs w:val="18"/>
          <w:lang w:val="fr-CA"/>
        </w:rPr>
        <w:t xml:space="preserve">sur le site </w:t>
      </w:r>
      <w:r w:rsidR="001A64CD">
        <w:rPr>
          <w:snapToGrid w:val="0"/>
          <w:kern w:val="18"/>
          <w:szCs w:val="18"/>
          <w:lang w:val="fr-CA"/>
        </w:rPr>
        <w:t>Web de la Convention jusqu’au 6 </w:t>
      </w:r>
      <w:r w:rsidR="001A64CD" w:rsidRPr="008D4D8C">
        <w:rPr>
          <w:snapToGrid w:val="0"/>
          <w:kern w:val="18"/>
          <w:szCs w:val="18"/>
          <w:lang w:val="fr-CA"/>
        </w:rPr>
        <w:t>mars 2020</w:t>
      </w:r>
      <w:r w:rsidRPr="004C2A31">
        <w:rPr>
          <w:snapToGrid w:val="0"/>
          <w:kern w:val="18"/>
          <w:szCs w:val="18"/>
          <w:lang w:val="fr-CA"/>
        </w:rPr>
        <w:t xml:space="preserve">.   </w:t>
      </w:r>
    </w:p>
  </w:footnote>
  <w:footnote w:id="49">
    <w:p w14:paraId="004494A8" w14:textId="77777777" w:rsidR="00C06AC6" w:rsidRPr="002D5943" w:rsidRDefault="00C06AC6" w:rsidP="002D5943">
      <w:pPr>
        <w:pStyle w:val="FootnoteText"/>
        <w:ind w:firstLine="0"/>
        <w:rPr>
          <w:lang w:val="fr-CA"/>
        </w:rPr>
      </w:pPr>
      <w:r>
        <w:rPr>
          <w:rStyle w:val="FootnoteReference"/>
        </w:rPr>
        <w:footnoteRef/>
      </w:r>
      <w:r w:rsidRPr="002D5943">
        <w:rPr>
          <w:lang w:val="fr-CA"/>
        </w:rPr>
        <w:t xml:space="preserve"> </w:t>
      </w:r>
      <w:r>
        <w:rPr>
          <w:lang w:val="fr-CA"/>
        </w:rPr>
        <w:t>L’Objectif 7 garantit les droits de la nature et fait la promotion de la pérennité environnementale.</w:t>
      </w:r>
    </w:p>
  </w:footnote>
  <w:footnote w:id="50">
    <w:p w14:paraId="6207984B" w14:textId="77777777" w:rsidR="00C06AC6" w:rsidRPr="00BC6ED9" w:rsidRDefault="00C06AC6" w:rsidP="00DF06FB">
      <w:pPr>
        <w:pStyle w:val="FootnoteText"/>
        <w:keepLines w:val="0"/>
        <w:suppressLineNumbers/>
        <w:suppressAutoHyphens/>
        <w:adjustRightInd w:val="0"/>
        <w:snapToGrid w:val="0"/>
        <w:ind w:firstLine="0"/>
        <w:rPr>
          <w:noProof/>
          <w:kern w:val="18"/>
          <w:szCs w:val="18"/>
          <w:lang w:val="fr-FR"/>
        </w:rPr>
      </w:pPr>
      <w:r w:rsidRPr="00BC6ED9">
        <w:rPr>
          <w:rStyle w:val="FootnoteReference"/>
          <w:noProof/>
          <w:kern w:val="18"/>
          <w:sz w:val="18"/>
          <w:szCs w:val="18"/>
          <w:lang w:val="fr-FR"/>
        </w:rPr>
        <w:footnoteRef/>
      </w:r>
      <w:r w:rsidRPr="00BC6ED9">
        <w:rPr>
          <w:noProof/>
          <w:kern w:val="18"/>
          <w:szCs w:val="18"/>
          <w:lang w:val="fr-FR"/>
        </w:rPr>
        <w:t xml:space="preserve"> Afrique du Sud, </w:t>
      </w:r>
      <w:r>
        <w:rPr>
          <w:noProof/>
          <w:kern w:val="18"/>
          <w:szCs w:val="18"/>
          <w:lang w:val="fr-FR"/>
        </w:rPr>
        <w:t xml:space="preserve">Andorre, </w:t>
      </w:r>
      <w:r w:rsidRPr="00BC6ED9">
        <w:rPr>
          <w:noProof/>
          <w:kern w:val="18"/>
          <w:szCs w:val="18"/>
          <w:lang w:val="fr-FR"/>
        </w:rPr>
        <w:t xml:space="preserve">Arménie, Bahreïn, </w:t>
      </w:r>
      <w:r w:rsidRPr="00BC6ED9">
        <w:rPr>
          <w:noProof/>
          <w:szCs w:val="18"/>
          <w:lang w:val="fr-FR"/>
        </w:rPr>
        <w:t xml:space="preserve">Belgique, Botswana, </w:t>
      </w:r>
      <w:r>
        <w:rPr>
          <w:noProof/>
          <w:szCs w:val="18"/>
          <w:lang w:val="fr-FR"/>
        </w:rPr>
        <w:t xml:space="preserve">Cabo Verde, </w:t>
      </w:r>
      <w:r w:rsidRPr="00BC6ED9">
        <w:rPr>
          <w:noProof/>
          <w:szCs w:val="18"/>
          <w:lang w:val="fr-FR"/>
        </w:rPr>
        <w:t xml:space="preserve">Cameroun, </w:t>
      </w:r>
      <w:r>
        <w:rPr>
          <w:noProof/>
          <w:szCs w:val="18"/>
          <w:lang w:val="fr-FR"/>
        </w:rPr>
        <w:t xml:space="preserve">Chili, </w:t>
      </w:r>
      <w:r w:rsidRPr="00BC6ED9">
        <w:rPr>
          <w:noProof/>
          <w:szCs w:val="18"/>
          <w:lang w:val="fr-FR"/>
        </w:rPr>
        <w:t xml:space="preserve">Colombie, </w:t>
      </w:r>
      <w:r>
        <w:rPr>
          <w:noProof/>
          <w:szCs w:val="18"/>
          <w:lang w:val="fr-FR"/>
        </w:rPr>
        <w:t xml:space="preserve">Comores, </w:t>
      </w:r>
      <w:r w:rsidRPr="00BC6ED9">
        <w:rPr>
          <w:noProof/>
          <w:szCs w:val="18"/>
          <w:lang w:val="fr-FR"/>
        </w:rPr>
        <w:t xml:space="preserve">Egypte, Finlande, France, </w:t>
      </w:r>
      <w:r>
        <w:rPr>
          <w:noProof/>
          <w:szCs w:val="18"/>
          <w:lang w:val="fr-FR"/>
        </w:rPr>
        <w:t xml:space="preserve">Ghana, Îles Salomon, Indonésie, </w:t>
      </w:r>
      <w:r w:rsidRPr="00BC6ED9">
        <w:rPr>
          <w:noProof/>
          <w:szCs w:val="18"/>
          <w:lang w:val="fr-FR"/>
        </w:rPr>
        <w:t xml:space="preserve">Irlande, </w:t>
      </w:r>
      <w:r>
        <w:rPr>
          <w:noProof/>
          <w:szCs w:val="18"/>
          <w:lang w:val="fr-FR"/>
        </w:rPr>
        <w:t xml:space="preserve">Italie, Jamaïque, </w:t>
      </w:r>
      <w:r w:rsidR="00655B6D">
        <w:rPr>
          <w:noProof/>
          <w:szCs w:val="18"/>
          <w:lang w:val="fr-FR"/>
        </w:rPr>
        <w:t xml:space="preserve">Koweït, Macédoine du Nord, </w:t>
      </w:r>
      <w:r w:rsidRPr="00BC6ED9">
        <w:rPr>
          <w:noProof/>
          <w:szCs w:val="18"/>
          <w:lang w:val="fr-FR"/>
        </w:rPr>
        <w:t xml:space="preserve">Malawi, </w:t>
      </w:r>
      <w:r>
        <w:rPr>
          <w:noProof/>
          <w:szCs w:val="18"/>
          <w:lang w:val="fr-FR"/>
        </w:rPr>
        <w:t xml:space="preserve">Maurice, Monténégro, </w:t>
      </w:r>
      <w:r w:rsidRPr="00BC6ED9">
        <w:rPr>
          <w:noProof/>
          <w:szCs w:val="18"/>
          <w:lang w:val="fr-FR"/>
        </w:rPr>
        <w:t xml:space="preserve">Nigéria, </w:t>
      </w:r>
      <w:r w:rsidR="00655B6D">
        <w:rPr>
          <w:noProof/>
          <w:szCs w:val="18"/>
          <w:lang w:val="fr-FR"/>
        </w:rPr>
        <w:t xml:space="preserve">Pakistan, </w:t>
      </w:r>
      <w:r w:rsidRPr="00BC6ED9">
        <w:rPr>
          <w:noProof/>
          <w:szCs w:val="18"/>
          <w:lang w:val="fr-FR"/>
        </w:rPr>
        <w:t xml:space="preserve">Qatar, </w:t>
      </w:r>
      <w:r>
        <w:rPr>
          <w:noProof/>
          <w:szCs w:val="18"/>
          <w:lang w:val="fr-FR"/>
        </w:rPr>
        <w:t xml:space="preserve">République démocratique du Congo, République islamique d’Iran, Roumanie, </w:t>
      </w:r>
      <w:r w:rsidRPr="00BC6ED9">
        <w:rPr>
          <w:noProof/>
          <w:szCs w:val="18"/>
          <w:lang w:val="fr-FR"/>
        </w:rPr>
        <w:t>Royaume</w:t>
      </w:r>
      <w:r w:rsidRPr="00BC6ED9">
        <w:rPr>
          <w:noProof/>
          <w:szCs w:val="18"/>
          <w:lang w:val="fr-FR"/>
        </w:rPr>
        <w:noBreakHyphen/>
        <w:t xml:space="preserve">Uni, </w:t>
      </w:r>
      <w:r>
        <w:rPr>
          <w:noProof/>
          <w:szCs w:val="18"/>
          <w:lang w:val="fr-FR"/>
        </w:rPr>
        <w:t xml:space="preserve">Saint-Marin, </w:t>
      </w:r>
      <w:r w:rsidR="00655B6D">
        <w:rPr>
          <w:noProof/>
          <w:szCs w:val="18"/>
          <w:lang w:val="fr-FR"/>
        </w:rPr>
        <w:t xml:space="preserve">Soudan du Sud, </w:t>
      </w:r>
      <w:r w:rsidRPr="00BC6ED9">
        <w:rPr>
          <w:noProof/>
          <w:szCs w:val="18"/>
          <w:lang w:val="fr-FR"/>
        </w:rPr>
        <w:t>Zambie et Zimbabwe</w:t>
      </w:r>
      <w:r w:rsidRPr="00BC6ED9">
        <w:rPr>
          <w:noProof/>
          <w:kern w:val="18"/>
          <w:szCs w:val="18"/>
          <w:lang w:val="fr-FR"/>
        </w:rPr>
        <w:t>.</w:t>
      </w:r>
    </w:p>
  </w:footnote>
  <w:footnote w:id="51">
    <w:p w14:paraId="586A55FB" w14:textId="77777777" w:rsidR="00C06AC6" w:rsidRPr="00BC6ED9" w:rsidRDefault="00C06AC6" w:rsidP="00DF06FB">
      <w:pPr>
        <w:pStyle w:val="FootnoteText"/>
        <w:keepLines w:val="0"/>
        <w:suppressLineNumbers/>
        <w:suppressAutoHyphens/>
        <w:adjustRightInd w:val="0"/>
        <w:snapToGrid w:val="0"/>
        <w:ind w:firstLine="0"/>
        <w:rPr>
          <w:noProof/>
          <w:kern w:val="18"/>
          <w:szCs w:val="18"/>
          <w:lang w:val="fr-FR"/>
        </w:rPr>
      </w:pPr>
      <w:r w:rsidRPr="00BC6ED9">
        <w:rPr>
          <w:rStyle w:val="FootnoteReference"/>
          <w:noProof/>
          <w:kern w:val="18"/>
          <w:sz w:val="18"/>
          <w:szCs w:val="18"/>
          <w:lang w:val="fr-FR"/>
        </w:rPr>
        <w:footnoteRef/>
      </w:r>
      <w:r w:rsidRPr="00BC6ED9">
        <w:rPr>
          <w:noProof/>
          <w:kern w:val="18"/>
          <w:szCs w:val="18"/>
          <w:lang w:val="fr-FR"/>
        </w:rPr>
        <w:t xml:space="preserve"> </w:t>
      </w:r>
      <w:r w:rsidRPr="001356E3">
        <w:rPr>
          <w:noProof/>
          <w:kern w:val="18"/>
          <w:szCs w:val="18"/>
          <w:lang w:val="fr-FR"/>
        </w:rPr>
        <w:t xml:space="preserve">Afrique du Sud, </w:t>
      </w:r>
      <w:r w:rsidRPr="001356E3">
        <w:rPr>
          <w:noProof/>
          <w:szCs w:val="18"/>
          <w:lang w:val="fr-FR"/>
        </w:rPr>
        <w:t xml:space="preserve">Belgique, </w:t>
      </w:r>
      <w:r w:rsidR="00B05E41" w:rsidRPr="001356E3">
        <w:rPr>
          <w:noProof/>
          <w:szCs w:val="18"/>
          <w:lang w:val="fr-FR"/>
        </w:rPr>
        <w:t xml:space="preserve">Bélize, </w:t>
      </w:r>
      <w:r w:rsidR="001356E3" w:rsidRPr="001356E3">
        <w:rPr>
          <w:noProof/>
          <w:szCs w:val="18"/>
          <w:lang w:val="fr-FR"/>
        </w:rPr>
        <w:t xml:space="preserve">Espagne, </w:t>
      </w:r>
      <w:r w:rsidRPr="001356E3">
        <w:rPr>
          <w:noProof/>
          <w:szCs w:val="18"/>
          <w:lang w:val="fr-FR"/>
        </w:rPr>
        <w:t xml:space="preserve">Estonie, </w:t>
      </w:r>
      <w:r w:rsidR="00B05E41" w:rsidRPr="001356E3">
        <w:rPr>
          <w:noProof/>
          <w:szCs w:val="18"/>
          <w:lang w:val="fr-FR"/>
        </w:rPr>
        <w:t xml:space="preserve">Éthiopie, </w:t>
      </w:r>
      <w:r w:rsidRPr="001356E3">
        <w:rPr>
          <w:noProof/>
          <w:szCs w:val="18"/>
          <w:lang w:val="fr-FR"/>
        </w:rPr>
        <w:t xml:space="preserve">Finlande, France, Irlande, Kirghizistan, Luxembourg, </w:t>
      </w:r>
      <w:r w:rsidR="00B05E41" w:rsidRPr="001356E3">
        <w:rPr>
          <w:noProof/>
          <w:szCs w:val="18"/>
          <w:lang w:val="fr-FR"/>
        </w:rPr>
        <w:t xml:space="preserve">Maroc, </w:t>
      </w:r>
      <w:r w:rsidRPr="001356E3">
        <w:rPr>
          <w:noProof/>
          <w:szCs w:val="18"/>
          <w:lang w:val="fr-FR"/>
        </w:rPr>
        <w:t xml:space="preserve">Mauritanie, Monténégro, Myanmar, Niger, </w:t>
      </w:r>
      <w:r w:rsidR="00B05E41" w:rsidRPr="001356E3">
        <w:rPr>
          <w:noProof/>
          <w:szCs w:val="18"/>
          <w:lang w:val="fr-FR"/>
        </w:rPr>
        <w:t xml:space="preserve">République de Corée, </w:t>
      </w:r>
      <w:r w:rsidRPr="001356E3">
        <w:rPr>
          <w:noProof/>
          <w:szCs w:val="18"/>
          <w:lang w:val="fr-FR"/>
        </w:rPr>
        <w:t xml:space="preserve">République démocratique populaire lao, Roumanie, Serbie, Seychelles, Suisse, </w:t>
      </w:r>
      <w:r w:rsidR="00B05E41" w:rsidRPr="001356E3">
        <w:rPr>
          <w:noProof/>
          <w:szCs w:val="18"/>
          <w:lang w:val="fr-FR"/>
        </w:rPr>
        <w:t xml:space="preserve">Tchéquie, </w:t>
      </w:r>
      <w:r w:rsidRPr="001356E3">
        <w:rPr>
          <w:noProof/>
          <w:szCs w:val="18"/>
          <w:lang w:val="fr-FR"/>
        </w:rPr>
        <w:t>Timor</w:t>
      </w:r>
      <w:r w:rsidRPr="001356E3">
        <w:rPr>
          <w:noProof/>
          <w:szCs w:val="18"/>
          <w:lang w:val="fr-FR"/>
        </w:rPr>
        <w:noBreakHyphen/>
        <w:t>Leste</w:t>
      </w:r>
      <w:r w:rsidR="001356E3" w:rsidRPr="001356E3">
        <w:rPr>
          <w:noProof/>
          <w:szCs w:val="18"/>
          <w:lang w:val="fr-FR"/>
        </w:rPr>
        <w:t>,</w:t>
      </w:r>
      <w:r w:rsidRPr="001356E3">
        <w:rPr>
          <w:noProof/>
          <w:szCs w:val="18"/>
          <w:lang w:val="fr-FR"/>
        </w:rPr>
        <w:t xml:space="preserve"> Union européenne</w:t>
      </w:r>
      <w:r w:rsidR="001356E3" w:rsidRPr="001356E3">
        <w:rPr>
          <w:noProof/>
          <w:szCs w:val="18"/>
          <w:lang w:val="fr-FR"/>
        </w:rPr>
        <w:t xml:space="preserve"> et Vanuatu</w:t>
      </w:r>
      <w:r w:rsidRPr="00BC6ED9">
        <w:rPr>
          <w:noProof/>
          <w:kern w:val="18"/>
          <w:szCs w:val="18"/>
          <w:lang w:val="fr-FR"/>
        </w:rPr>
        <w:t>.</w:t>
      </w:r>
    </w:p>
  </w:footnote>
  <w:footnote w:id="52">
    <w:p w14:paraId="02715328" w14:textId="77777777" w:rsidR="007533D3" w:rsidRPr="007533D3" w:rsidRDefault="007533D3" w:rsidP="007533D3">
      <w:pPr>
        <w:pStyle w:val="FootnoteText"/>
        <w:ind w:firstLine="0"/>
        <w:rPr>
          <w:lang w:val="fr-CA"/>
        </w:rPr>
      </w:pPr>
      <w:r w:rsidRPr="004B4C93">
        <w:rPr>
          <w:rStyle w:val="FootnoteReference"/>
          <w:snapToGrid w:val="0"/>
          <w:kern w:val="18"/>
          <w:szCs w:val="18"/>
        </w:rPr>
        <w:footnoteRef/>
      </w:r>
      <w:r w:rsidRPr="007533D3">
        <w:rPr>
          <w:rStyle w:val="FootnoteReference"/>
          <w:snapToGrid w:val="0"/>
          <w:kern w:val="18"/>
          <w:szCs w:val="18"/>
          <w:lang w:val="fr-CA"/>
        </w:rPr>
        <w:t xml:space="preserve"> </w:t>
      </w:r>
      <w:r w:rsidRPr="004C2A31">
        <w:rPr>
          <w:snapToGrid w:val="0"/>
          <w:kern w:val="18"/>
          <w:szCs w:val="18"/>
          <w:lang w:val="fr-CA"/>
        </w:rPr>
        <w:t xml:space="preserve">L’information sur </w:t>
      </w:r>
      <w:r>
        <w:rPr>
          <w:snapToGrid w:val="0"/>
          <w:kern w:val="18"/>
          <w:szCs w:val="18"/>
          <w:lang w:val="fr-CA"/>
        </w:rPr>
        <w:t xml:space="preserve">l’intégration de la biodiversité aux plans de développement durable et instruments équivalents tient compte de </w:t>
      </w:r>
      <w:r w:rsidRPr="008D4D8C">
        <w:rPr>
          <w:snapToGrid w:val="0"/>
          <w:kern w:val="18"/>
          <w:szCs w:val="18"/>
          <w:lang w:val="fr-CA"/>
        </w:rPr>
        <w:t>l’</w:t>
      </w:r>
      <w:r>
        <w:rPr>
          <w:snapToGrid w:val="0"/>
          <w:kern w:val="18"/>
          <w:szCs w:val="18"/>
          <w:lang w:val="fr-CA"/>
        </w:rPr>
        <w:t>informati</w:t>
      </w:r>
      <w:r w:rsidRPr="008D4D8C">
        <w:rPr>
          <w:snapToGrid w:val="0"/>
          <w:kern w:val="18"/>
          <w:szCs w:val="18"/>
          <w:lang w:val="fr-CA"/>
        </w:rPr>
        <w:t>on reçue des Parties depuis la quatorzième réuni</w:t>
      </w:r>
      <w:r>
        <w:rPr>
          <w:snapToGrid w:val="0"/>
          <w:kern w:val="18"/>
          <w:szCs w:val="18"/>
          <w:lang w:val="fr-CA"/>
        </w:rPr>
        <w:t>on de la Conférence des Parties</w:t>
      </w:r>
      <w:r w:rsidRPr="008D4D8C">
        <w:rPr>
          <w:snapToGrid w:val="0"/>
          <w:kern w:val="18"/>
          <w:szCs w:val="18"/>
          <w:lang w:val="fr-CA"/>
        </w:rPr>
        <w:t xml:space="preserve"> en réponse aux demandes faites par courriel par le Secrétariat (paragraphe 22 de la décision 14/1)</w:t>
      </w:r>
      <w:r w:rsidRPr="007533D3">
        <w:rPr>
          <w:snapToGrid w:val="0"/>
          <w:kern w:val="18"/>
          <w:szCs w:val="18"/>
          <w:lang w:val="fr-CA"/>
        </w:rPr>
        <w:t xml:space="preserve">.   </w:t>
      </w:r>
    </w:p>
  </w:footnote>
  <w:footnote w:id="53">
    <w:p w14:paraId="508FD842" w14:textId="77777777" w:rsidR="00C06AC6" w:rsidRPr="00BC6ED9" w:rsidRDefault="00C06AC6" w:rsidP="00DF06FB">
      <w:pPr>
        <w:pStyle w:val="FootnoteText"/>
        <w:keepLines w:val="0"/>
        <w:suppressLineNumbers/>
        <w:suppressAutoHyphens/>
        <w:adjustRightInd w:val="0"/>
        <w:snapToGrid w:val="0"/>
        <w:ind w:firstLine="0"/>
        <w:rPr>
          <w:szCs w:val="18"/>
          <w:lang w:val="fr-FR"/>
        </w:rPr>
      </w:pPr>
      <w:r w:rsidRPr="00BC6ED9">
        <w:rPr>
          <w:rStyle w:val="FootnoteReference"/>
          <w:sz w:val="18"/>
          <w:szCs w:val="18"/>
          <w:lang w:val="fr-FR"/>
        </w:rPr>
        <w:footnoteRef/>
      </w:r>
      <w:r w:rsidRPr="00BC6ED9">
        <w:rPr>
          <w:szCs w:val="18"/>
          <w:lang w:val="fr-FR"/>
        </w:rPr>
        <w:t xml:space="preserve"> </w:t>
      </w:r>
      <w:r w:rsidRPr="00BC6ED9">
        <w:rPr>
          <w:noProof/>
          <w:szCs w:val="18"/>
          <w:lang w:val="fr-FR"/>
        </w:rPr>
        <w:t>Afghanistan, Afrique du Sud, Antigua</w:t>
      </w:r>
      <w:r w:rsidRPr="00BC6ED9">
        <w:rPr>
          <w:noProof/>
          <w:szCs w:val="18"/>
          <w:lang w:val="fr-FR"/>
        </w:rPr>
        <w:noBreakHyphen/>
        <w:t>et</w:t>
      </w:r>
      <w:r w:rsidRPr="00BC6ED9">
        <w:rPr>
          <w:noProof/>
          <w:szCs w:val="18"/>
          <w:lang w:val="fr-FR"/>
        </w:rPr>
        <w:noBreakHyphen/>
        <w:t xml:space="preserve">Barbuda, Belgique, Bénin, Bhoutan, </w:t>
      </w:r>
      <w:r w:rsidR="007533D3">
        <w:rPr>
          <w:noProof/>
          <w:szCs w:val="18"/>
          <w:lang w:val="fr-FR"/>
        </w:rPr>
        <w:t xml:space="preserve">Bolivie, </w:t>
      </w:r>
      <w:r w:rsidRPr="00BC6ED9">
        <w:rPr>
          <w:noProof/>
          <w:szCs w:val="18"/>
          <w:lang w:val="fr-FR"/>
        </w:rPr>
        <w:t xml:space="preserve">Botswana, Burkina Faso, Burundi, </w:t>
      </w:r>
      <w:r>
        <w:rPr>
          <w:noProof/>
          <w:szCs w:val="18"/>
          <w:lang w:val="fr-FR"/>
        </w:rPr>
        <w:t xml:space="preserve">Cabo Verde, </w:t>
      </w:r>
      <w:r w:rsidRPr="00BC6ED9">
        <w:rPr>
          <w:noProof/>
          <w:szCs w:val="18"/>
          <w:lang w:val="fr-FR"/>
        </w:rPr>
        <w:t xml:space="preserve">Cambodge, Chine, </w:t>
      </w:r>
      <w:r>
        <w:rPr>
          <w:noProof/>
          <w:szCs w:val="18"/>
          <w:lang w:val="fr-FR"/>
        </w:rPr>
        <w:t xml:space="preserve">Comores, </w:t>
      </w:r>
      <w:r w:rsidRPr="00BC6ED9">
        <w:rPr>
          <w:noProof/>
          <w:szCs w:val="18"/>
          <w:lang w:val="fr-FR"/>
        </w:rPr>
        <w:t xml:space="preserve">Congo, Côte d’Ivoire, </w:t>
      </w:r>
      <w:r>
        <w:rPr>
          <w:noProof/>
          <w:szCs w:val="18"/>
          <w:lang w:val="fr-FR"/>
        </w:rPr>
        <w:t xml:space="preserve">Éthiopie, </w:t>
      </w:r>
      <w:r w:rsidRPr="00BC6ED9">
        <w:rPr>
          <w:noProof/>
          <w:szCs w:val="18"/>
          <w:lang w:val="fr-FR"/>
        </w:rPr>
        <w:t xml:space="preserve">Finlande, Gambie, Géorgie, </w:t>
      </w:r>
      <w:r>
        <w:rPr>
          <w:noProof/>
          <w:szCs w:val="18"/>
          <w:lang w:val="fr-FR"/>
        </w:rPr>
        <w:t xml:space="preserve">Guinée, </w:t>
      </w:r>
      <w:r w:rsidRPr="00BC6ED9">
        <w:rPr>
          <w:noProof/>
          <w:szCs w:val="18"/>
          <w:lang w:val="fr-FR"/>
        </w:rPr>
        <w:t xml:space="preserve">Guinée équatoriale, Guyana, </w:t>
      </w:r>
      <w:r>
        <w:rPr>
          <w:noProof/>
          <w:szCs w:val="18"/>
          <w:lang w:val="fr-FR"/>
        </w:rPr>
        <w:t xml:space="preserve">Îles Salomon, </w:t>
      </w:r>
      <w:r w:rsidRPr="00BC6ED9">
        <w:rPr>
          <w:noProof/>
          <w:szCs w:val="18"/>
          <w:lang w:val="fr-FR"/>
        </w:rPr>
        <w:t xml:space="preserve">Inde, Italie, </w:t>
      </w:r>
      <w:r w:rsidR="007533D3">
        <w:rPr>
          <w:noProof/>
          <w:szCs w:val="18"/>
          <w:lang w:val="fr-FR"/>
        </w:rPr>
        <w:t xml:space="preserve">Macédoine du Nord, </w:t>
      </w:r>
      <w:r w:rsidRPr="00BC6ED9">
        <w:rPr>
          <w:noProof/>
          <w:szCs w:val="18"/>
          <w:lang w:val="fr-FR"/>
        </w:rPr>
        <w:t>Madagascar, Mali, Maroc, Namibie, Nicaragua, Niger, Nigéria</w:t>
      </w:r>
      <w:r>
        <w:rPr>
          <w:noProof/>
          <w:szCs w:val="18"/>
          <w:lang w:val="fr-FR"/>
        </w:rPr>
        <w:t>,</w:t>
      </w:r>
      <w:r w:rsidRPr="00BC6ED9">
        <w:rPr>
          <w:noProof/>
          <w:szCs w:val="18"/>
          <w:lang w:val="fr-FR"/>
        </w:rPr>
        <w:t xml:space="preserve"> Ouganda,</w:t>
      </w:r>
      <w:r>
        <w:rPr>
          <w:noProof/>
          <w:szCs w:val="18"/>
          <w:lang w:val="fr-FR"/>
        </w:rPr>
        <w:t xml:space="preserve"> </w:t>
      </w:r>
      <w:r w:rsidRPr="00BC6ED9">
        <w:rPr>
          <w:noProof/>
          <w:szCs w:val="18"/>
          <w:lang w:val="fr-FR"/>
        </w:rPr>
        <w:t xml:space="preserve">Pérou, </w:t>
      </w:r>
      <w:r>
        <w:rPr>
          <w:noProof/>
          <w:szCs w:val="18"/>
          <w:lang w:val="fr-FR"/>
        </w:rPr>
        <w:t>Philippines,</w:t>
      </w:r>
      <w:r w:rsidRPr="00BC6ED9">
        <w:rPr>
          <w:noProof/>
          <w:szCs w:val="18"/>
          <w:lang w:val="fr-FR"/>
        </w:rPr>
        <w:t xml:space="preserve"> République de Moldova, République démocratique populaire lao, République-Unie de Tanzanie, </w:t>
      </w:r>
      <w:r>
        <w:rPr>
          <w:noProof/>
          <w:szCs w:val="18"/>
          <w:lang w:val="fr-FR"/>
        </w:rPr>
        <w:t xml:space="preserve">Rwanda, </w:t>
      </w:r>
      <w:r w:rsidRPr="00BC6ED9">
        <w:rPr>
          <w:noProof/>
          <w:szCs w:val="18"/>
          <w:lang w:val="fr-FR"/>
        </w:rPr>
        <w:t>Saint-Kitts-et-Nevis, Soudan</w:t>
      </w:r>
      <w:r>
        <w:rPr>
          <w:noProof/>
          <w:szCs w:val="18"/>
          <w:lang w:val="fr-FR"/>
        </w:rPr>
        <w:t>,</w:t>
      </w:r>
      <w:r w:rsidRPr="00BC6ED9">
        <w:rPr>
          <w:noProof/>
          <w:szCs w:val="18"/>
          <w:lang w:val="fr-FR"/>
        </w:rPr>
        <w:t xml:space="preserve"> </w:t>
      </w:r>
      <w:r w:rsidR="007533D3">
        <w:rPr>
          <w:noProof/>
          <w:szCs w:val="18"/>
          <w:lang w:val="fr-FR"/>
        </w:rPr>
        <w:t xml:space="preserve">Soudan du Sud, </w:t>
      </w:r>
      <w:r w:rsidRPr="00BC6ED9">
        <w:rPr>
          <w:noProof/>
          <w:szCs w:val="18"/>
          <w:lang w:val="fr-FR"/>
        </w:rPr>
        <w:t>Togo</w:t>
      </w:r>
      <w:r w:rsidR="007533D3">
        <w:rPr>
          <w:noProof/>
          <w:szCs w:val="18"/>
          <w:lang w:val="fr-FR"/>
        </w:rPr>
        <w:t>, Trinité-et-Tobago</w:t>
      </w:r>
      <w:r>
        <w:rPr>
          <w:noProof/>
          <w:szCs w:val="18"/>
          <w:lang w:val="fr-FR"/>
        </w:rPr>
        <w:t xml:space="preserve"> et Yémen</w:t>
      </w:r>
      <w:r w:rsidRPr="00BC6ED9">
        <w:rPr>
          <w:szCs w:val="18"/>
          <w:lang w:val="fr-FR"/>
        </w:rPr>
        <w:t>.</w:t>
      </w:r>
    </w:p>
  </w:footnote>
  <w:footnote w:id="54">
    <w:p w14:paraId="396834B2" w14:textId="77777777" w:rsidR="00655B6D" w:rsidRPr="00655B6D" w:rsidRDefault="00655B6D" w:rsidP="00655B6D">
      <w:pPr>
        <w:pStyle w:val="FootnoteText"/>
        <w:ind w:firstLine="0"/>
        <w:rPr>
          <w:lang w:val="fr-CA"/>
        </w:rPr>
      </w:pPr>
      <w:r w:rsidRPr="004B4C93">
        <w:rPr>
          <w:rStyle w:val="FootnoteReference"/>
          <w:snapToGrid w:val="0"/>
          <w:kern w:val="18"/>
          <w:szCs w:val="18"/>
        </w:rPr>
        <w:footnoteRef/>
      </w:r>
      <w:r w:rsidRPr="00675136">
        <w:rPr>
          <w:rStyle w:val="FootnoteReference"/>
          <w:snapToGrid w:val="0"/>
          <w:kern w:val="18"/>
          <w:szCs w:val="18"/>
          <w:lang w:val="fr-CA"/>
        </w:rPr>
        <w:t xml:space="preserve"> </w:t>
      </w:r>
      <w:r w:rsidRPr="00675136">
        <w:rPr>
          <w:snapToGrid w:val="0"/>
          <w:kern w:val="18"/>
          <w:szCs w:val="18"/>
          <w:vertAlign w:val="superscript"/>
          <w:lang w:val="fr-CA"/>
        </w:rPr>
        <w:t xml:space="preserve"> </w:t>
      </w:r>
      <w:r w:rsidR="00675136" w:rsidRPr="004C2A31">
        <w:rPr>
          <w:snapToGrid w:val="0"/>
          <w:kern w:val="18"/>
          <w:szCs w:val="18"/>
          <w:lang w:val="fr-CA"/>
        </w:rPr>
        <w:t xml:space="preserve">L’information sur </w:t>
      </w:r>
      <w:r w:rsidR="00675136">
        <w:rPr>
          <w:snapToGrid w:val="0"/>
          <w:kern w:val="18"/>
          <w:szCs w:val="18"/>
          <w:lang w:val="fr-CA"/>
        </w:rPr>
        <w:t xml:space="preserve">les Parties qui mentionnent un lien entre la biodiversité et l’éradication de la pauvreté tient compte de </w:t>
      </w:r>
      <w:r w:rsidR="00675136" w:rsidRPr="008D4D8C">
        <w:rPr>
          <w:snapToGrid w:val="0"/>
          <w:kern w:val="18"/>
          <w:szCs w:val="18"/>
          <w:lang w:val="fr-CA"/>
        </w:rPr>
        <w:t>l’</w:t>
      </w:r>
      <w:r w:rsidR="00675136">
        <w:rPr>
          <w:snapToGrid w:val="0"/>
          <w:kern w:val="18"/>
          <w:szCs w:val="18"/>
          <w:lang w:val="fr-CA"/>
        </w:rPr>
        <w:t>informati</w:t>
      </w:r>
      <w:r w:rsidR="00675136" w:rsidRPr="008D4D8C">
        <w:rPr>
          <w:snapToGrid w:val="0"/>
          <w:kern w:val="18"/>
          <w:szCs w:val="18"/>
          <w:lang w:val="fr-CA"/>
        </w:rPr>
        <w:t>on reçue des Parties depuis la quatorzième réuni</w:t>
      </w:r>
      <w:r w:rsidR="00675136">
        <w:rPr>
          <w:snapToGrid w:val="0"/>
          <w:kern w:val="18"/>
          <w:szCs w:val="18"/>
          <w:lang w:val="fr-CA"/>
        </w:rPr>
        <w:t>on de la Conférence des Parties</w:t>
      </w:r>
      <w:r w:rsidR="00675136" w:rsidRPr="008D4D8C">
        <w:rPr>
          <w:snapToGrid w:val="0"/>
          <w:kern w:val="18"/>
          <w:szCs w:val="18"/>
          <w:lang w:val="fr-CA"/>
        </w:rPr>
        <w:t xml:space="preserve"> en réponse aux demandes faites par courriel par le Secrétariat (pa</w:t>
      </w:r>
      <w:r w:rsidR="00675136">
        <w:rPr>
          <w:snapToGrid w:val="0"/>
          <w:kern w:val="18"/>
          <w:szCs w:val="18"/>
          <w:lang w:val="fr-CA"/>
        </w:rPr>
        <w:t>ragraphe 22 de la décision 14/1</w:t>
      </w:r>
      <w:r w:rsidRPr="00655B6D">
        <w:rPr>
          <w:snapToGrid w:val="0"/>
          <w:kern w:val="18"/>
          <w:szCs w:val="18"/>
          <w:lang w:val="fr-CA"/>
        </w:rPr>
        <w:t xml:space="preserve">).   </w:t>
      </w:r>
    </w:p>
  </w:footnote>
  <w:footnote w:id="55">
    <w:p w14:paraId="6DBA5D8A" w14:textId="77777777" w:rsidR="00C06AC6" w:rsidRPr="00BC6ED9" w:rsidRDefault="00C06AC6" w:rsidP="00DF06FB">
      <w:pPr>
        <w:pStyle w:val="FootnoteText"/>
        <w:keepLines w:val="0"/>
        <w:suppressLineNumbers/>
        <w:suppressAutoHyphens/>
        <w:adjustRightInd w:val="0"/>
        <w:snapToGrid w:val="0"/>
        <w:ind w:firstLine="0"/>
        <w:rPr>
          <w:szCs w:val="18"/>
          <w:lang w:val="fr-FR"/>
        </w:rPr>
      </w:pPr>
      <w:r w:rsidRPr="00BC6ED9">
        <w:rPr>
          <w:rStyle w:val="FootnoteReference"/>
          <w:sz w:val="18"/>
          <w:szCs w:val="18"/>
          <w:lang w:val="fr-FR"/>
        </w:rPr>
        <w:footnoteRef/>
      </w:r>
      <w:r w:rsidRPr="00BC6ED9">
        <w:rPr>
          <w:szCs w:val="18"/>
          <w:lang w:val="fr-FR"/>
        </w:rPr>
        <w:t xml:space="preserve"> </w:t>
      </w:r>
      <w:r w:rsidRPr="00BC6ED9">
        <w:rPr>
          <w:noProof/>
          <w:szCs w:val="18"/>
          <w:lang w:val="fr-FR"/>
        </w:rPr>
        <w:t xml:space="preserve">Autriche, </w:t>
      </w:r>
      <w:r>
        <w:rPr>
          <w:noProof/>
          <w:szCs w:val="18"/>
          <w:lang w:val="fr-FR"/>
        </w:rPr>
        <w:t xml:space="preserve">Irlande, </w:t>
      </w:r>
      <w:r w:rsidRPr="00BC6ED9">
        <w:rPr>
          <w:noProof/>
          <w:szCs w:val="18"/>
          <w:lang w:val="fr-FR"/>
        </w:rPr>
        <w:t xml:space="preserve">Japon, </w:t>
      </w:r>
      <w:r>
        <w:rPr>
          <w:noProof/>
          <w:szCs w:val="18"/>
          <w:lang w:val="fr-FR"/>
        </w:rPr>
        <w:t xml:space="preserve">Mexique, Maurice, </w:t>
      </w:r>
      <w:r w:rsidRPr="00BC6ED9">
        <w:rPr>
          <w:noProof/>
          <w:szCs w:val="18"/>
          <w:lang w:val="fr-FR"/>
        </w:rPr>
        <w:t>Pérou, République de Corée</w:t>
      </w:r>
      <w:r>
        <w:rPr>
          <w:noProof/>
          <w:szCs w:val="18"/>
          <w:lang w:val="fr-FR"/>
        </w:rPr>
        <w:t>,</w:t>
      </w:r>
      <w:r w:rsidRPr="00BC6ED9">
        <w:rPr>
          <w:noProof/>
          <w:szCs w:val="18"/>
          <w:lang w:val="fr-FR"/>
        </w:rPr>
        <w:t xml:space="preserve"> République démocratique populaire lao</w:t>
      </w:r>
      <w:r w:rsidR="00675136">
        <w:rPr>
          <w:noProof/>
          <w:szCs w:val="18"/>
          <w:lang w:val="fr-FR"/>
        </w:rPr>
        <w:t>, Royaume-Uni et Vanuatu</w:t>
      </w:r>
      <w:r w:rsidRPr="00BC6ED9">
        <w:rPr>
          <w:szCs w:val="18"/>
          <w:lang w:val="fr-FR"/>
        </w:rPr>
        <w:t>.</w:t>
      </w:r>
    </w:p>
  </w:footnote>
  <w:footnote w:id="56">
    <w:p w14:paraId="21A35EE9" w14:textId="77777777" w:rsidR="00C06AC6" w:rsidRPr="00BC6ED9" w:rsidRDefault="00C06AC6" w:rsidP="00DF06FB">
      <w:pPr>
        <w:pStyle w:val="FootnoteText"/>
        <w:keepLines w:val="0"/>
        <w:suppressLineNumbers/>
        <w:suppressAutoHyphens/>
        <w:adjustRightInd w:val="0"/>
        <w:snapToGrid w:val="0"/>
        <w:ind w:firstLine="0"/>
        <w:rPr>
          <w:szCs w:val="18"/>
          <w:lang w:val="fr-FR"/>
        </w:rPr>
      </w:pPr>
      <w:r w:rsidRPr="00BC6ED9">
        <w:rPr>
          <w:rStyle w:val="FootnoteReference"/>
          <w:sz w:val="18"/>
          <w:szCs w:val="18"/>
          <w:lang w:val="fr-FR"/>
        </w:rPr>
        <w:footnoteRef/>
      </w:r>
      <w:hyperlink r:id="rId1" w:history="1">
        <w:r w:rsidRPr="00BC6ED9">
          <w:rPr>
            <w:rStyle w:val="Hyperlink"/>
            <w:szCs w:val="18"/>
            <w:lang w:val="fr-FR"/>
          </w:rPr>
          <w:t>https://www.cbd.int/nbsap/related-info/sbsap/default.shtml</w:t>
        </w:r>
      </w:hyperlink>
    </w:p>
  </w:footnote>
  <w:footnote w:id="57">
    <w:p w14:paraId="137CDA27" w14:textId="77777777" w:rsidR="00C06AC6" w:rsidRPr="00BC6ED9" w:rsidRDefault="00C06AC6" w:rsidP="00DF06FB">
      <w:pPr>
        <w:pStyle w:val="FootnoteText"/>
        <w:ind w:firstLine="0"/>
        <w:rPr>
          <w:szCs w:val="18"/>
          <w:lang w:val="fr-FR"/>
        </w:rPr>
      </w:pPr>
      <w:r w:rsidRPr="00BC6ED9">
        <w:rPr>
          <w:rStyle w:val="FootnoteReference"/>
          <w:sz w:val="18"/>
          <w:szCs w:val="18"/>
          <w:lang w:val="fr-FR"/>
        </w:rPr>
        <w:footnoteRef/>
      </w:r>
      <w:r w:rsidRPr="00BC6ED9">
        <w:rPr>
          <w:szCs w:val="18"/>
          <w:lang w:val="fr-FR"/>
        </w:rPr>
        <w:t xml:space="preserve"> Bosnie-Herzégovine, Chine,</w:t>
      </w:r>
      <w:r>
        <w:rPr>
          <w:szCs w:val="18"/>
          <w:lang w:val="fr-FR"/>
        </w:rPr>
        <w:t xml:space="preserve"> Fédération de Russie,</w:t>
      </w:r>
      <w:r w:rsidRPr="00BC6ED9">
        <w:rPr>
          <w:szCs w:val="18"/>
          <w:lang w:val="fr-FR"/>
        </w:rPr>
        <w:t xml:space="preserve"> Irlande, Malawi, Myanmar, Népal, Nigéria</w:t>
      </w:r>
      <w:r>
        <w:rPr>
          <w:szCs w:val="18"/>
          <w:lang w:val="fr-FR"/>
        </w:rPr>
        <w:t>,</w:t>
      </w:r>
      <w:r w:rsidRPr="00BC6ED9">
        <w:rPr>
          <w:szCs w:val="18"/>
          <w:lang w:val="fr-FR"/>
        </w:rPr>
        <w:t xml:space="preserve"> République populaire démocratique de Corée</w:t>
      </w:r>
      <w:r>
        <w:rPr>
          <w:szCs w:val="18"/>
          <w:lang w:val="fr-FR"/>
        </w:rPr>
        <w:t xml:space="preserve">, </w:t>
      </w:r>
      <w:r>
        <w:rPr>
          <w:noProof/>
          <w:szCs w:val="18"/>
          <w:lang w:val="fr-FR"/>
        </w:rPr>
        <w:t>Royaume-Uni et Ukraine</w:t>
      </w:r>
      <w:r w:rsidRPr="00BC6ED9">
        <w:rPr>
          <w:szCs w:val="18"/>
          <w:lang w:val="fr-FR"/>
        </w:rPr>
        <w:t>.</w:t>
      </w:r>
    </w:p>
  </w:footnote>
  <w:footnote w:id="58">
    <w:p w14:paraId="37C9C4EA" w14:textId="77777777" w:rsidR="00C06AC6" w:rsidRPr="00BC6ED9" w:rsidRDefault="00C06AC6" w:rsidP="00DF06FB">
      <w:pPr>
        <w:pStyle w:val="FootnoteText"/>
        <w:keepLines w:val="0"/>
        <w:suppressLineNumbers/>
        <w:suppressAutoHyphens/>
        <w:adjustRightInd w:val="0"/>
        <w:snapToGrid w:val="0"/>
        <w:ind w:firstLine="0"/>
        <w:rPr>
          <w:noProof/>
          <w:kern w:val="18"/>
          <w:szCs w:val="18"/>
          <w:lang w:val="fr-FR"/>
        </w:rPr>
      </w:pPr>
      <w:r w:rsidRPr="00BC6ED9">
        <w:rPr>
          <w:rStyle w:val="FootnoteReference"/>
          <w:noProof/>
          <w:kern w:val="18"/>
          <w:sz w:val="18"/>
          <w:szCs w:val="18"/>
          <w:lang w:val="fr-FR"/>
        </w:rPr>
        <w:footnoteRef/>
      </w:r>
      <w:r w:rsidRPr="00BC6ED9">
        <w:rPr>
          <w:noProof/>
          <w:kern w:val="18"/>
          <w:szCs w:val="18"/>
          <w:lang w:val="fr-FR"/>
        </w:rPr>
        <w:t xml:space="preserve"> </w:t>
      </w:r>
      <w:r w:rsidRPr="00BC6ED9">
        <w:rPr>
          <w:noProof/>
          <w:szCs w:val="18"/>
          <w:lang w:val="fr-FR"/>
        </w:rPr>
        <w:t xml:space="preserve">Australie, Belgique, </w:t>
      </w:r>
      <w:r w:rsidR="00CE29AF">
        <w:rPr>
          <w:noProof/>
          <w:szCs w:val="18"/>
          <w:lang w:val="fr-FR"/>
        </w:rPr>
        <w:t xml:space="preserve">Bolivie, </w:t>
      </w:r>
      <w:r w:rsidRPr="00BC6ED9">
        <w:rPr>
          <w:noProof/>
          <w:szCs w:val="18"/>
          <w:lang w:val="fr-FR"/>
        </w:rPr>
        <w:t xml:space="preserve">Burundi, Cambodge, Cameroun, </w:t>
      </w:r>
      <w:r>
        <w:rPr>
          <w:noProof/>
          <w:szCs w:val="18"/>
          <w:lang w:val="fr-FR"/>
        </w:rPr>
        <w:t xml:space="preserve">Canada, </w:t>
      </w:r>
      <w:r w:rsidR="00CE29AF">
        <w:rPr>
          <w:noProof/>
          <w:szCs w:val="18"/>
          <w:lang w:val="fr-FR"/>
        </w:rPr>
        <w:t xml:space="preserve">États fédérés de Micronésie, </w:t>
      </w:r>
      <w:r>
        <w:rPr>
          <w:noProof/>
          <w:szCs w:val="18"/>
          <w:lang w:val="fr-FR"/>
        </w:rPr>
        <w:t xml:space="preserve">Fédération de Russie, </w:t>
      </w:r>
      <w:r w:rsidRPr="00BC6ED9">
        <w:rPr>
          <w:noProof/>
          <w:szCs w:val="18"/>
          <w:lang w:val="fr-FR"/>
        </w:rPr>
        <w:t xml:space="preserve">France, Inde, </w:t>
      </w:r>
      <w:r w:rsidR="00CE29AF">
        <w:rPr>
          <w:noProof/>
          <w:szCs w:val="18"/>
          <w:lang w:val="fr-FR"/>
        </w:rPr>
        <w:t xml:space="preserve">Macédoine du Nord, </w:t>
      </w:r>
      <w:r w:rsidRPr="00BC6ED9">
        <w:rPr>
          <w:noProof/>
          <w:szCs w:val="18"/>
          <w:lang w:val="fr-FR"/>
        </w:rPr>
        <w:t xml:space="preserve">Malawi, Malaisie, Malte, Nigéria, </w:t>
      </w:r>
      <w:r>
        <w:rPr>
          <w:noProof/>
          <w:szCs w:val="18"/>
          <w:lang w:val="fr-FR"/>
        </w:rPr>
        <w:t xml:space="preserve">Norvège, </w:t>
      </w:r>
      <w:r w:rsidRPr="00BC6ED9">
        <w:rPr>
          <w:noProof/>
          <w:szCs w:val="18"/>
          <w:lang w:val="fr-FR"/>
        </w:rPr>
        <w:t xml:space="preserve">République de Corée, </w:t>
      </w:r>
      <w:r>
        <w:rPr>
          <w:noProof/>
          <w:szCs w:val="18"/>
          <w:lang w:val="fr-FR"/>
        </w:rPr>
        <w:t xml:space="preserve">République démocratique du Congo, </w:t>
      </w:r>
      <w:r w:rsidRPr="00BC6ED9">
        <w:rPr>
          <w:noProof/>
          <w:szCs w:val="18"/>
          <w:lang w:val="fr-FR"/>
        </w:rPr>
        <w:t xml:space="preserve">République démocratique populaire lao, Royaume-Uni, </w:t>
      </w:r>
      <w:r w:rsidR="007D2165">
        <w:rPr>
          <w:noProof/>
          <w:szCs w:val="18"/>
          <w:lang w:val="fr-FR"/>
        </w:rPr>
        <w:t>Soudan, Soudan du Sud, Suisse, T</w:t>
      </w:r>
      <w:r>
        <w:rPr>
          <w:noProof/>
          <w:szCs w:val="18"/>
          <w:lang w:val="fr-FR"/>
        </w:rPr>
        <w:t>haïlande</w:t>
      </w:r>
      <w:r w:rsidRPr="00BC6ED9">
        <w:rPr>
          <w:noProof/>
          <w:szCs w:val="18"/>
          <w:lang w:val="fr-FR"/>
        </w:rPr>
        <w:t xml:space="preserve"> et Zimbabwe</w:t>
      </w:r>
      <w:r w:rsidRPr="00BC6ED9">
        <w:rPr>
          <w:noProof/>
          <w:kern w:val="18"/>
          <w:szCs w:val="18"/>
          <w:lang w:val="fr-FR"/>
        </w:rPr>
        <w:t>.</w:t>
      </w:r>
    </w:p>
  </w:footnote>
  <w:footnote w:id="59">
    <w:p w14:paraId="52940811" w14:textId="77777777" w:rsidR="00C06AC6" w:rsidRPr="003B063D" w:rsidRDefault="00C06AC6" w:rsidP="00DF06FB">
      <w:pPr>
        <w:pStyle w:val="FootnoteText"/>
        <w:keepLines w:val="0"/>
        <w:suppressLineNumbers/>
        <w:suppressAutoHyphens/>
        <w:adjustRightInd w:val="0"/>
        <w:snapToGrid w:val="0"/>
        <w:ind w:firstLine="0"/>
        <w:rPr>
          <w:szCs w:val="18"/>
          <w:lang w:val="fr-FR"/>
        </w:rPr>
      </w:pPr>
      <w:r w:rsidRPr="00BC6ED9">
        <w:rPr>
          <w:rStyle w:val="FootnoteReference"/>
          <w:sz w:val="18"/>
          <w:szCs w:val="18"/>
          <w:lang w:val="fr-FR"/>
        </w:rPr>
        <w:footnoteRef/>
      </w:r>
      <w:r w:rsidRPr="003B063D">
        <w:rPr>
          <w:szCs w:val="18"/>
          <w:lang w:val="fr-FR"/>
        </w:rPr>
        <w:t xml:space="preserve"> </w:t>
      </w:r>
      <w:r w:rsidRPr="00FD6F6A">
        <w:rPr>
          <w:szCs w:val="18"/>
          <w:lang w:val="fr-CA"/>
        </w:rPr>
        <w:t xml:space="preserve">Azerbaïdjan, Bahreïn, Bangladesh, </w:t>
      </w:r>
      <w:r w:rsidRPr="00FD6F6A">
        <w:rPr>
          <w:noProof/>
          <w:szCs w:val="18"/>
          <w:lang w:val="fr-CA"/>
        </w:rPr>
        <w:t xml:space="preserve">Bhoutan, </w:t>
      </w:r>
      <w:r w:rsidR="007D2165">
        <w:rPr>
          <w:noProof/>
          <w:szCs w:val="18"/>
          <w:lang w:val="fr-CA"/>
        </w:rPr>
        <w:t xml:space="preserve">Bolivie, </w:t>
      </w:r>
      <w:r w:rsidRPr="00FD6F6A">
        <w:rPr>
          <w:noProof/>
          <w:szCs w:val="18"/>
          <w:lang w:val="fr-CA"/>
        </w:rPr>
        <w:t xml:space="preserve">Brésil, Burkina Faso, Burundi, </w:t>
      </w:r>
      <w:r>
        <w:rPr>
          <w:noProof/>
          <w:szCs w:val="18"/>
          <w:lang w:val="fr-CA"/>
        </w:rPr>
        <w:t xml:space="preserve">Cabo Verde, </w:t>
      </w:r>
      <w:r w:rsidRPr="00FD6F6A">
        <w:rPr>
          <w:noProof/>
          <w:szCs w:val="18"/>
          <w:lang w:val="fr-CA"/>
        </w:rPr>
        <w:t xml:space="preserve">Cambodge, Cameroun, Comores, Congo, Costa Rica, Cuba, Djibouti, Egypte, Équateur, Érythrée, </w:t>
      </w:r>
      <w:r w:rsidR="007D2165">
        <w:rPr>
          <w:noProof/>
          <w:szCs w:val="18"/>
          <w:lang w:val="fr-CA"/>
        </w:rPr>
        <w:t xml:space="preserve">États fédérés de Micronésie, </w:t>
      </w:r>
      <w:r w:rsidRPr="00FD6F6A">
        <w:rPr>
          <w:noProof/>
          <w:szCs w:val="18"/>
          <w:lang w:val="fr-CA"/>
        </w:rPr>
        <w:t xml:space="preserve">Ethiopie, Gambie, Géorgie, Ghana, Guatemala, Guinée, Guinée-Bissau, Guinée équatoriale, Guyana, Honduras, Îles Salomon, Inde, Iraq, Jamaïque, Japon, Kiribati, Liberia, Madagascar, Malawi, Mali, Maroc, Mauritanie, Mexique, Mozambique, Myanmar, Namibie, Nauru, Népal, Nicaragua, Niger, Nigeria, Ouganda, </w:t>
      </w:r>
      <w:r w:rsidR="007D2165">
        <w:rPr>
          <w:noProof/>
          <w:szCs w:val="18"/>
          <w:lang w:val="fr-CA"/>
        </w:rPr>
        <w:t xml:space="preserve">Pakistan, Panama, </w:t>
      </w:r>
      <w:r w:rsidRPr="00FD6F6A">
        <w:rPr>
          <w:noProof/>
          <w:szCs w:val="18"/>
          <w:lang w:val="fr-CA"/>
        </w:rPr>
        <w:t xml:space="preserve">Paraguay, Pérou, Philippines, République démocratique populaire lao, République dominicaine, République-Unie de Tanzanie, Rwanda, Saint-Kitts-et-Nevis, Sénégal, Sierra Leone, Soudan, </w:t>
      </w:r>
      <w:r w:rsidR="007D2165">
        <w:rPr>
          <w:noProof/>
          <w:szCs w:val="18"/>
          <w:lang w:val="fr-CA"/>
        </w:rPr>
        <w:t xml:space="preserve">Soudan du Sud, </w:t>
      </w:r>
      <w:r w:rsidRPr="00FD6F6A">
        <w:rPr>
          <w:noProof/>
          <w:szCs w:val="18"/>
          <w:lang w:val="fr-CA"/>
        </w:rPr>
        <w:t>Tchad, Thaïlande, Timor</w:t>
      </w:r>
      <w:r w:rsidRPr="00FD6F6A">
        <w:rPr>
          <w:noProof/>
          <w:szCs w:val="18"/>
          <w:lang w:val="fr-CA"/>
        </w:rPr>
        <w:noBreakHyphen/>
        <w:t xml:space="preserve">Leste, Togo, Tunisie, Tuvalu, Uruguay, </w:t>
      </w:r>
      <w:r w:rsidR="007D2165">
        <w:rPr>
          <w:noProof/>
          <w:szCs w:val="18"/>
          <w:lang w:val="fr-CA"/>
        </w:rPr>
        <w:t xml:space="preserve">Vanuatu, </w:t>
      </w:r>
      <w:r w:rsidRPr="00FD6F6A">
        <w:rPr>
          <w:noProof/>
          <w:szCs w:val="18"/>
          <w:lang w:val="fr-CA"/>
        </w:rPr>
        <w:t>Yémen et Zimbabwe</w:t>
      </w:r>
      <w:r w:rsidRPr="003B063D">
        <w:rPr>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F6827" w14:textId="77777777" w:rsidR="00C06AC6" w:rsidRPr="0047361C" w:rsidRDefault="00C06AC6" w:rsidP="00CE2F2B">
    <w:pPr>
      <w:rPr>
        <w:lang w:val="fr-CA"/>
      </w:rPr>
    </w:pPr>
    <w:r w:rsidRPr="0047361C">
      <w:rPr>
        <w:lang w:val="fr-CA"/>
      </w:rPr>
      <w:t>C</w:t>
    </w:r>
    <w:r w:rsidR="009A4358">
      <w:rPr>
        <w:lang w:val="fr-CA"/>
      </w:rPr>
      <w:t>BD/SBI/3</w:t>
    </w:r>
    <w:r w:rsidRPr="0047361C">
      <w:rPr>
        <w:lang w:val="fr-CA"/>
      </w:rPr>
      <w:t>/2/Add.1</w:t>
    </w:r>
  </w:p>
  <w:p w14:paraId="188B66FA" w14:textId="77777777" w:rsidR="00C06AC6" w:rsidRPr="00A26EAF" w:rsidRDefault="00C06AC6" w:rsidP="00C80D58">
    <w:pPr>
      <w:pStyle w:val="Header"/>
      <w:tabs>
        <w:tab w:val="clear" w:pos="4320"/>
        <w:tab w:val="clear" w:pos="8640"/>
      </w:tabs>
      <w:jc w:val="left"/>
      <w:rPr>
        <w:noProof/>
        <w:snapToGrid w:val="0"/>
        <w:kern w:val="22"/>
      </w:rPr>
    </w:pPr>
    <w:r w:rsidRPr="00A26EAF">
      <w:rPr>
        <w:noProof/>
        <w:snapToGrid w:val="0"/>
        <w:kern w:val="22"/>
      </w:rPr>
      <w:t xml:space="preserve">Page </w:t>
    </w:r>
    <w:r w:rsidRPr="00A26EAF">
      <w:rPr>
        <w:noProof/>
        <w:snapToGrid w:val="0"/>
        <w:kern w:val="22"/>
      </w:rPr>
      <w:fldChar w:fldCharType="begin"/>
    </w:r>
    <w:r w:rsidRPr="00A26EAF">
      <w:rPr>
        <w:noProof/>
        <w:snapToGrid w:val="0"/>
        <w:kern w:val="22"/>
      </w:rPr>
      <w:instrText xml:space="preserve"> PAGE   \* MERGEFORMAT </w:instrText>
    </w:r>
    <w:r w:rsidRPr="00A26EAF">
      <w:rPr>
        <w:noProof/>
        <w:snapToGrid w:val="0"/>
        <w:kern w:val="22"/>
      </w:rPr>
      <w:fldChar w:fldCharType="separate"/>
    </w:r>
    <w:r w:rsidR="00CD1F9A">
      <w:rPr>
        <w:noProof/>
        <w:snapToGrid w:val="0"/>
        <w:kern w:val="22"/>
      </w:rPr>
      <w:t>20</w:t>
    </w:r>
    <w:r w:rsidRPr="00A26EAF">
      <w:rPr>
        <w:noProof/>
        <w:snapToGrid w:val="0"/>
        <w:kern w:val="22"/>
      </w:rPr>
      <w:fldChar w:fldCharType="end"/>
    </w:r>
  </w:p>
  <w:p w14:paraId="36FA5140" w14:textId="77777777" w:rsidR="00C06AC6" w:rsidRPr="00A26EAF" w:rsidRDefault="00C06AC6" w:rsidP="00C80D58">
    <w:pPr>
      <w:pStyle w:val="Header"/>
      <w:tabs>
        <w:tab w:val="clear" w:pos="4320"/>
        <w:tab w:val="clear" w:pos="8640"/>
      </w:tabs>
      <w:jc w:val="left"/>
      <w:rPr>
        <w:noProof/>
        <w:snapToGrid w:val="0"/>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69A23" w14:textId="77777777" w:rsidR="00C06AC6" w:rsidRPr="00CE2F2B" w:rsidRDefault="00C06AC6" w:rsidP="00CE2F2B">
    <w:pPr>
      <w:tabs>
        <w:tab w:val="right" w:pos="9360"/>
      </w:tabs>
      <w:ind w:left="519"/>
      <w:rPr>
        <w:lang w:val="fr-CA"/>
      </w:rPr>
    </w:pPr>
    <w:r>
      <w:rPr>
        <w:lang w:val="fr-CA"/>
      </w:rPr>
      <w:tab/>
    </w:r>
    <w:r w:rsidR="009A4358">
      <w:rPr>
        <w:lang w:val="fr-CA"/>
      </w:rPr>
      <w:t>CBD/SBI/3</w:t>
    </w:r>
    <w:r w:rsidRPr="0047361C">
      <w:rPr>
        <w:lang w:val="fr-CA"/>
      </w:rPr>
      <w:t>/2/Add.1</w:t>
    </w:r>
  </w:p>
  <w:p w14:paraId="25F4089C" w14:textId="77777777" w:rsidR="00C06AC6" w:rsidRPr="00455FF2" w:rsidRDefault="00C06AC6" w:rsidP="00C80D58">
    <w:pPr>
      <w:pStyle w:val="Header"/>
      <w:tabs>
        <w:tab w:val="clear" w:pos="4320"/>
        <w:tab w:val="clear" w:pos="8640"/>
      </w:tabs>
      <w:jc w:val="right"/>
      <w:rPr>
        <w:noProof/>
        <w:snapToGrid w:val="0"/>
        <w:kern w:val="22"/>
      </w:rPr>
    </w:pPr>
    <w:r w:rsidRPr="00455FF2">
      <w:rPr>
        <w:noProof/>
        <w:snapToGrid w:val="0"/>
        <w:kern w:val="22"/>
      </w:rPr>
      <w:t xml:space="preserve">Page </w:t>
    </w:r>
    <w:r w:rsidRPr="00455FF2">
      <w:rPr>
        <w:noProof/>
        <w:snapToGrid w:val="0"/>
        <w:kern w:val="22"/>
      </w:rPr>
      <w:fldChar w:fldCharType="begin"/>
    </w:r>
    <w:r w:rsidRPr="00455FF2">
      <w:rPr>
        <w:noProof/>
        <w:snapToGrid w:val="0"/>
        <w:kern w:val="22"/>
      </w:rPr>
      <w:instrText xml:space="preserve"> PAGE   \* MERGEFORMAT </w:instrText>
    </w:r>
    <w:r w:rsidRPr="00455FF2">
      <w:rPr>
        <w:noProof/>
        <w:snapToGrid w:val="0"/>
        <w:kern w:val="22"/>
      </w:rPr>
      <w:fldChar w:fldCharType="separate"/>
    </w:r>
    <w:r w:rsidR="00CD1F9A">
      <w:rPr>
        <w:noProof/>
        <w:snapToGrid w:val="0"/>
        <w:kern w:val="22"/>
      </w:rPr>
      <w:t>19</w:t>
    </w:r>
    <w:r w:rsidRPr="00455FF2">
      <w:rPr>
        <w:noProof/>
        <w:snapToGrid w:val="0"/>
        <w:kern w:val="22"/>
      </w:rPr>
      <w:fldChar w:fldCharType="end"/>
    </w:r>
  </w:p>
  <w:p w14:paraId="1DFAFE9F" w14:textId="77777777" w:rsidR="00C06AC6" w:rsidRPr="00567407" w:rsidRDefault="00C06AC6" w:rsidP="00C80D5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86A82"/>
    <w:multiLevelType w:val="hybridMultilevel"/>
    <w:tmpl w:val="82CE8B0E"/>
    <w:lvl w:ilvl="0" w:tplc="3188AFB8">
      <w:start w:val="10"/>
      <w:numFmt w:val="decimal"/>
      <w:lvlText w:val="%1."/>
      <w:lvlJc w:val="left"/>
      <w:pPr>
        <w:ind w:left="720" w:hanging="360"/>
      </w:pPr>
      <w:rPr>
        <w:b w:val="0"/>
      </w:rPr>
    </w:lvl>
    <w:lvl w:ilvl="1" w:tplc="3208C116">
      <w:start w:val="1"/>
      <w:numFmt w:val="lowerLetter"/>
      <w:lvlText w:val="%2)"/>
      <w:lvlJc w:val="left"/>
      <w:pPr>
        <w:ind w:left="1440" w:hanging="360"/>
      </w:pPr>
      <w:rPr>
        <w:rFonts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D17E3"/>
    <w:multiLevelType w:val="multilevel"/>
    <w:tmpl w:val="706414EC"/>
    <w:lvl w:ilvl="0">
      <w:start w:val="1"/>
      <w:numFmt w:val="lowerLetter"/>
      <w:lvlText w:val="%1)"/>
      <w:lvlJc w:val="left"/>
      <w:pPr>
        <w:tabs>
          <w:tab w:val="num" w:pos="1080"/>
        </w:tabs>
        <w:ind w:left="720" w:firstLine="0"/>
      </w:pPr>
      <w:rPr>
        <w:b w:val="0"/>
        <w:i w:val="0"/>
        <w:color w:val="auto"/>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0F9F0859"/>
    <w:multiLevelType w:val="multilevel"/>
    <w:tmpl w:val="9D9E681C"/>
    <w:lvl w:ilvl="0">
      <w:start w:val="1"/>
      <w:numFmt w:val="decimal"/>
      <w:lvlText w:val="%1."/>
      <w:lvlJc w:val="left"/>
      <w:pPr>
        <w:tabs>
          <w:tab w:val="num" w:pos="360"/>
        </w:tabs>
        <w:ind w:left="0" w:firstLine="0"/>
      </w:pPr>
      <w:rPr>
        <w:rFonts w:ascii="Times New Roman" w:hAnsi="Times New Roman" w:hint="default"/>
        <w:b w:val="0"/>
        <w:i w:val="0"/>
        <w:color w:val="auto"/>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6F57821"/>
    <w:multiLevelType w:val="multilevel"/>
    <w:tmpl w:val="D31EA02A"/>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15:restartNumberingAfterBreak="0">
    <w:nsid w:val="19CA203F"/>
    <w:multiLevelType w:val="hybridMultilevel"/>
    <w:tmpl w:val="78B2CB0A"/>
    <w:lvl w:ilvl="0" w:tplc="DF10EB2A">
      <w:start w:val="1"/>
      <w:numFmt w:val="lowerLetter"/>
      <w:pStyle w:val="TOC9"/>
      <w:lvlText w:val="%1)"/>
      <w:lvlJc w:val="left"/>
      <w:pPr>
        <w:ind w:left="1353" w:hanging="360"/>
      </w:pPr>
      <w:rPr>
        <w:color w:val="auto"/>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5" w15:restartNumberingAfterBreak="0">
    <w:nsid w:val="26C16DEF"/>
    <w:multiLevelType w:val="hybridMultilevel"/>
    <w:tmpl w:val="65B4110E"/>
    <w:lvl w:ilvl="0" w:tplc="3B8E1210">
      <w:start w:val="1"/>
      <w:numFmt w:val="lowerLetter"/>
      <w:lvlText w:val="%1)"/>
      <w:lvlJc w:val="right"/>
      <w:pPr>
        <w:tabs>
          <w:tab w:val="num" w:pos="900"/>
        </w:tabs>
        <w:ind w:left="900" w:hanging="360"/>
      </w:pPr>
      <w:rPr>
        <w:rFonts w:hint="default"/>
        <w:b w:val="0"/>
      </w:rPr>
    </w:lvl>
    <w:lvl w:ilvl="1" w:tplc="628E3546">
      <w:start w:val="1"/>
      <w:numFmt w:val="lowerLetter"/>
      <w:lvlText w:val="%2)"/>
      <w:lvlJc w:val="left"/>
      <w:pPr>
        <w:tabs>
          <w:tab w:val="num" w:pos="1800"/>
        </w:tabs>
        <w:ind w:left="1800" w:hanging="360"/>
      </w:pPr>
      <w:rPr>
        <w:rFonts w:ascii="Times New Roman" w:eastAsia="Times New Roman" w:hAnsi="Times New Roman" w:cs="Times New Roman" w:hint="default"/>
        <w:b w:val="0"/>
        <w:i w:val="0"/>
      </w:rPr>
    </w:lvl>
    <w:lvl w:ilvl="2" w:tplc="30989A4E">
      <w:start w:val="1"/>
      <w:numFmt w:val="lowerRoman"/>
      <w:lvlText w:val="(%3)"/>
      <w:lvlJc w:val="left"/>
      <w:pPr>
        <w:tabs>
          <w:tab w:val="num" w:pos="2520"/>
        </w:tabs>
        <w:ind w:left="2520" w:hanging="180"/>
      </w:p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15:restartNumberingAfterBreak="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A2F4E20"/>
    <w:multiLevelType w:val="multilevel"/>
    <w:tmpl w:val="D99A948A"/>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A4A3598"/>
    <w:multiLevelType w:val="hybridMultilevel"/>
    <w:tmpl w:val="8EACF86A"/>
    <w:lvl w:ilvl="0" w:tplc="3188AFB8">
      <w:start w:val="10"/>
      <w:numFmt w:val="decimal"/>
      <w:lvlText w:val="%1."/>
      <w:lvlJc w:val="left"/>
      <w:pPr>
        <w:ind w:left="720" w:hanging="360"/>
      </w:pPr>
      <w:rPr>
        <w:b w:val="0"/>
      </w:rPr>
    </w:lvl>
    <w:lvl w:ilvl="1" w:tplc="0C0C0017">
      <w:start w:val="1"/>
      <w:numFmt w:val="lowerLetter"/>
      <w:lvlText w:val="%2)"/>
      <w:lvlJc w:val="left"/>
      <w:pPr>
        <w:ind w:left="1890" w:hanging="360"/>
      </w:pPr>
      <w:rPr>
        <w:rFonts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BA14CF"/>
    <w:multiLevelType w:val="hybridMultilevel"/>
    <w:tmpl w:val="A6FE0450"/>
    <w:lvl w:ilvl="0" w:tplc="3188AFB8">
      <w:start w:val="10"/>
      <w:numFmt w:val="decimal"/>
      <w:lvlText w:val="%1."/>
      <w:lvlJc w:val="left"/>
      <w:pPr>
        <w:ind w:left="720" w:hanging="360"/>
      </w:pPr>
      <w:rPr>
        <w:b w:val="0"/>
      </w:rPr>
    </w:lvl>
    <w:lvl w:ilvl="1" w:tplc="0C0C0017">
      <w:start w:val="1"/>
      <w:numFmt w:val="lowerLetter"/>
      <w:lvlText w:val="%2)"/>
      <w:lvlJc w:val="left"/>
      <w:pPr>
        <w:ind w:left="1440" w:hanging="360"/>
      </w:pPr>
      <w:rPr>
        <w:rFonts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0442B4"/>
    <w:multiLevelType w:val="multilevel"/>
    <w:tmpl w:val="27925DC6"/>
    <w:lvl w:ilvl="0">
      <w:start w:val="1"/>
      <w:numFmt w:val="decimal"/>
      <w:pStyle w:val="Para1"/>
      <w:lvlText w:val="%1."/>
      <w:lvlJc w:val="left"/>
      <w:pPr>
        <w:tabs>
          <w:tab w:val="num" w:pos="360"/>
        </w:tabs>
        <w:ind w:left="0" w:firstLine="0"/>
      </w:pPr>
      <w:rPr>
        <w:rFonts w:ascii="Times New Roman" w:hAnsi="Times New Roman" w:hint="default"/>
        <w:b w:val="0"/>
        <w:i w:val="0"/>
        <w:color w:val="auto"/>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97346CF"/>
    <w:multiLevelType w:val="hybridMultilevel"/>
    <w:tmpl w:val="D55A69B8"/>
    <w:lvl w:ilvl="0" w:tplc="3188AFB8">
      <w:start w:val="10"/>
      <w:numFmt w:val="decimal"/>
      <w:lvlText w:val="%1."/>
      <w:lvlJc w:val="left"/>
      <w:pPr>
        <w:ind w:left="720" w:hanging="360"/>
      </w:pPr>
      <w:rPr>
        <w:b w:val="0"/>
      </w:rPr>
    </w:lvl>
    <w:lvl w:ilvl="1" w:tplc="0C0C0017">
      <w:start w:val="1"/>
      <w:numFmt w:val="lowerLetter"/>
      <w:lvlText w:val="%2)"/>
      <w:lvlJc w:val="left"/>
      <w:pPr>
        <w:ind w:left="1890" w:hanging="360"/>
      </w:pPr>
      <w:rPr>
        <w:rFonts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022AA6"/>
    <w:multiLevelType w:val="hybridMultilevel"/>
    <w:tmpl w:val="019C1C5A"/>
    <w:lvl w:ilvl="0" w:tplc="3188AFB8">
      <w:start w:val="10"/>
      <w:numFmt w:val="decimal"/>
      <w:lvlText w:val="%1."/>
      <w:lvlJc w:val="left"/>
      <w:pPr>
        <w:ind w:left="720" w:hanging="360"/>
      </w:pPr>
      <w:rPr>
        <w:b w:val="0"/>
      </w:rPr>
    </w:lvl>
    <w:lvl w:ilvl="1" w:tplc="0C0C0017">
      <w:start w:val="1"/>
      <w:numFmt w:val="lowerLetter"/>
      <w:lvlText w:val="%2)"/>
      <w:lvlJc w:val="left"/>
      <w:pPr>
        <w:ind w:left="1890" w:hanging="360"/>
      </w:pPr>
      <w:rPr>
        <w:rFonts w:hint="default"/>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112359"/>
    <w:multiLevelType w:val="multilevel"/>
    <w:tmpl w:val="4CDE3DE6"/>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630C1533"/>
    <w:multiLevelType w:val="hybridMultilevel"/>
    <w:tmpl w:val="6980E82E"/>
    <w:lvl w:ilvl="0" w:tplc="0C0C0017">
      <w:start w:val="1"/>
      <w:numFmt w:val="lowerLetter"/>
      <w:lvlText w:val="%1)"/>
      <w:lvlJc w:val="left"/>
      <w:pPr>
        <w:ind w:left="2880" w:hanging="360"/>
      </w:pPr>
    </w:lvl>
    <w:lvl w:ilvl="1" w:tplc="0C0A0019">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18" w15:restartNumberingAfterBreak="0">
    <w:nsid w:val="6F304E5C"/>
    <w:multiLevelType w:val="multilevel"/>
    <w:tmpl w:val="6F52383A"/>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78D4362A"/>
    <w:multiLevelType w:val="hybridMultilevel"/>
    <w:tmpl w:val="F8AEB804"/>
    <w:lvl w:ilvl="0" w:tplc="95D486C2">
      <w:start w:val="1"/>
      <w:numFmt w:val="decimal"/>
      <w:lvlText w:val="%1."/>
      <w:lvlJc w:val="left"/>
      <w:pPr>
        <w:tabs>
          <w:tab w:val="num" w:pos="540"/>
        </w:tabs>
        <w:ind w:left="540" w:hanging="360"/>
      </w:pPr>
      <w:rPr>
        <w:rFonts w:hint="default"/>
        <w:b w:val="0"/>
      </w:rPr>
    </w:lvl>
    <w:lvl w:ilvl="1" w:tplc="628E3546">
      <w:start w:val="1"/>
      <w:numFmt w:val="lowerLetter"/>
      <w:lvlText w:val="%2)"/>
      <w:lvlJc w:val="left"/>
      <w:pPr>
        <w:tabs>
          <w:tab w:val="num" w:pos="1440"/>
        </w:tabs>
        <w:ind w:left="1440" w:hanging="360"/>
      </w:pPr>
      <w:rPr>
        <w:rFonts w:ascii="Times New Roman" w:eastAsia="Times New Roman" w:hAnsi="Times New Roman" w:cs="Times New Roman"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6"/>
  </w:num>
  <w:num w:numId="2">
    <w:abstractNumId w:val="7"/>
  </w:num>
  <w:num w:numId="3">
    <w:abstractNumId w:val="13"/>
  </w:num>
  <w:num w:numId="4">
    <w:abstractNumId w:val="9"/>
  </w:num>
  <w:num w:numId="5">
    <w:abstractNumId w:val="10"/>
  </w:num>
  <w:num w:numId="6">
    <w:abstractNumId w:val="3"/>
  </w:num>
  <w:num w:numId="7">
    <w:abstractNumId w:val="8"/>
  </w:num>
  <w:num w:numId="8">
    <w:abstractNumId w:val="16"/>
  </w:num>
  <w:num w:numId="9">
    <w:abstractNumId w:val="1"/>
  </w:num>
  <w:num w:numId="10">
    <w:abstractNumId w:val="18"/>
  </w:num>
  <w:num w:numId="11">
    <w:abstractNumId w:val="19"/>
  </w:num>
  <w:num w:numId="12">
    <w:abstractNumId w:val="12"/>
  </w:num>
  <w:num w:numId="13">
    <w:abstractNumId w:val="11"/>
  </w:num>
  <w:num w:numId="14">
    <w:abstractNumId w:val="14"/>
  </w:num>
  <w:num w:numId="15">
    <w:abstractNumId w:val="15"/>
  </w:num>
  <w:num w:numId="16">
    <w:abstractNumId w:val="2"/>
  </w:num>
  <w:num w:numId="17">
    <w:abstractNumId w:val="17"/>
  </w:num>
  <w:num w:numId="18">
    <w:abstractNumId w:val="4"/>
  </w:num>
  <w:num w:numId="19">
    <w:abstractNumId w:val="5"/>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55B"/>
    <w:rsid w:val="00002918"/>
    <w:rsid w:val="00002CAC"/>
    <w:rsid w:val="00002E75"/>
    <w:rsid w:val="00002FDC"/>
    <w:rsid w:val="00005AC4"/>
    <w:rsid w:val="000100AE"/>
    <w:rsid w:val="00010138"/>
    <w:rsid w:val="000106C8"/>
    <w:rsid w:val="00010D74"/>
    <w:rsid w:val="00011E4E"/>
    <w:rsid w:val="00012772"/>
    <w:rsid w:val="00012A5C"/>
    <w:rsid w:val="00014D76"/>
    <w:rsid w:val="000153AC"/>
    <w:rsid w:val="0001700C"/>
    <w:rsid w:val="000206C5"/>
    <w:rsid w:val="00021D87"/>
    <w:rsid w:val="000222B6"/>
    <w:rsid w:val="00022AD9"/>
    <w:rsid w:val="000235D4"/>
    <w:rsid w:val="000236B5"/>
    <w:rsid w:val="00024999"/>
    <w:rsid w:val="00030233"/>
    <w:rsid w:val="000308D3"/>
    <w:rsid w:val="00031575"/>
    <w:rsid w:val="00032345"/>
    <w:rsid w:val="0003308C"/>
    <w:rsid w:val="00035DC2"/>
    <w:rsid w:val="00035DEB"/>
    <w:rsid w:val="00036238"/>
    <w:rsid w:val="00037365"/>
    <w:rsid w:val="000403FA"/>
    <w:rsid w:val="00041739"/>
    <w:rsid w:val="00041BA6"/>
    <w:rsid w:val="000434DB"/>
    <w:rsid w:val="000449C9"/>
    <w:rsid w:val="00045DF1"/>
    <w:rsid w:val="00050D80"/>
    <w:rsid w:val="00051550"/>
    <w:rsid w:val="0005246B"/>
    <w:rsid w:val="00052CF8"/>
    <w:rsid w:val="000540DC"/>
    <w:rsid w:val="000542CB"/>
    <w:rsid w:val="000550E3"/>
    <w:rsid w:val="00055272"/>
    <w:rsid w:val="00055499"/>
    <w:rsid w:val="000575E8"/>
    <w:rsid w:val="00061986"/>
    <w:rsid w:val="00061A0A"/>
    <w:rsid w:val="00061DC1"/>
    <w:rsid w:val="00062555"/>
    <w:rsid w:val="000631BF"/>
    <w:rsid w:val="000635C8"/>
    <w:rsid w:val="000650E7"/>
    <w:rsid w:val="000651C5"/>
    <w:rsid w:val="000659EF"/>
    <w:rsid w:val="00066F4A"/>
    <w:rsid w:val="00067623"/>
    <w:rsid w:val="00067BBF"/>
    <w:rsid w:val="0007038F"/>
    <w:rsid w:val="0007069D"/>
    <w:rsid w:val="00071A3E"/>
    <w:rsid w:val="00071DBB"/>
    <w:rsid w:val="0007221D"/>
    <w:rsid w:val="000722C9"/>
    <w:rsid w:val="0007240A"/>
    <w:rsid w:val="00072D2C"/>
    <w:rsid w:val="0007318E"/>
    <w:rsid w:val="00074CD9"/>
    <w:rsid w:val="000757A6"/>
    <w:rsid w:val="00076DBF"/>
    <w:rsid w:val="00076F51"/>
    <w:rsid w:val="00080ED3"/>
    <w:rsid w:val="000815BA"/>
    <w:rsid w:val="00081F44"/>
    <w:rsid w:val="00083E3B"/>
    <w:rsid w:val="0008484D"/>
    <w:rsid w:val="000850F2"/>
    <w:rsid w:val="00087631"/>
    <w:rsid w:val="00090050"/>
    <w:rsid w:val="000928C8"/>
    <w:rsid w:val="00092DF4"/>
    <w:rsid w:val="00093012"/>
    <w:rsid w:val="00095365"/>
    <w:rsid w:val="000A55F8"/>
    <w:rsid w:val="000A6F91"/>
    <w:rsid w:val="000B0F34"/>
    <w:rsid w:val="000B0FD5"/>
    <w:rsid w:val="000B14F6"/>
    <w:rsid w:val="000B17F5"/>
    <w:rsid w:val="000B2756"/>
    <w:rsid w:val="000B3EC9"/>
    <w:rsid w:val="000B7DCF"/>
    <w:rsid w:val="000C272A"/>
    <w:rsid w:val="000C28B3"/>
    <w:rsid w:val="000C372A"/>
    <w:rsid w:val="000C3A9C"/>
    <w:rsid w:val="000C7388"/>
    <w:rsid w:val="000C77BC"/>
    <w:rsid w:val="000D27C6"/>
    <w:rsid w:val="000D62DD"/>
    <w:rsid w:val="000D7451"/>
    <w:rsid w:val="000D762A"/>
    <w:rsid w:val="000E00BC"/>
    <w:rsid w:val="000E0D1D"/>
    <w:rsid w:val="000E1CFD"/>
    <w:rsid w:val="000E2A03"/>
    <w:rsid w:val="000E2DA1"/>
    <w:rsid w:val="000E39A8"/>
    <w:rsid w:val="000E3AEB"/>
    <w:rsid w:val="000E3FCF"/>
    <w:rsid w:val="000E5400"/>
    <w:rsid w:val="000E54C5"/>
    <w:rsid w:val="000E60C5"/>
    <w:rsid w:val="000E68C0"/>
    <w:rsid w:val="000E6C1B"/>
    <w:rsid w:val="000E6D69"/>
    <w:rsid w:val="000E6FD8"/>
    <w:rsid w:val="000E736B"/>
    <w:rsid w:val="000E76E2"/>
    <w:rsid w:val="000F3461"/>
    <w:rsid w:val="000F352D"/>
    <w:rsid w:val="000F3D48"/>
    <w:rsid w:val="001011EC"/>
    <w:rsid w:val="0010201B"/>
    <w:rsid w:val="00102F5F"/>
    <w:rsid w:val="00106866"/>
    <w:rsid w:val="00110E9F"/>
    <w:rsid w:val="00111CB5"/>
    <w:rsid w:val="001125DB"/>
    <w:rsid w:val="00112A97"/>
    <w:rsid w:val="0011305E"/>
    <w:rsid w:val="0011382A"/>
    <w:rsid w:val="001140FE"/>
    <w:rsid w:val="001149F2"/>
    <w:rsid w:val="0011548F"/>
    <w:rsid w:val="00115E4B"/>
    <w:rsid w:val="0011715F"/>
    <w:rsid w:val="00117334"/>
    <w:rsid w:val="001179BB"/>
    <w:rsid w:val="00120532"/>
    <w:rsid w:val="001211E6"/>
    <w:rsid w:val="00122604"/>
    <w:rsid w:val="0012283B"/>
    <w:rsid w:val="00125FD9"/>
    <w:rsid w:val="0012648F"/>
    <w:rsid w:val="00130542"/>
    <w:rsid w:val="001331AA"/>
    <w:rsid w:val="00133CF1"/>
    <w:rsid w:val="00134AF2"/>
    <w:rsid w:val="001356E3"/>
    <w:rsid w:val="00137679"/>
    <w:rsid w:val="0013779D"/>
    <w:rsid w:val="00137837"/>
    <w:rsid w:val="0014058F"/>
    <w:rsid w:val="001427CF"/>
    <w:rsid w:val="001436E9"/>
    <w:rsid w:val="001440AC"/>
    <w:rsid w:val="0014461A"/>
    <w:rsid w:val="001460A2"/>
    <w:rsid w:val="0014671C"/>
    <w:rsid w:val="00146E2C"/>
    <w:rsid w:val="001503CF"/>
    <w:rsid w:val="00150852"/>
    <w:rsid w:val="00151013"/>
    <w:rsid w:val="00151546"/>
    <w:rsid w:val="001522BD"/>
    <w:rsid w:val="00154298"/>
    <w:rsid w:val="00154A88"/>
    <w:rsid w:val="00154E7E"/>
    <w:rsid w:val="00156BE6"/>
    <w:rsid w:val="00160C07"/>
    <w:rsid w:val="00162367"/>
    <w:rsid w:val="001637E9"/>
    <w:rsid w:val="00165A22"/>
    <w:rsid w:val="00166EE5"/>
    <w:rsid w:val="00167629"/>
    <w:rsid w:val="0016797C"/>
    <w:rsid w:val="00170589"/>
    <w:rsid w:val="00172C8F"/>
    <w:rsid w:val="001739A0"/>
    <w:rsid w:val="00173AA3"/>
    <w:rsid w:val="00173CD8"/>
    <w:rsid w:val="00174964"/>
    <w:rsid w:val="00175669"/>
    <w:rsid w:val="00175763"/>
    <w:rsid w:val="0017593B"/>
    <w:rsid w:val="00176EA6"/>
    <w:rsid w:val="00176F45"/>
    <w:rsid w:val="001776D8"/>
    <w:rsid w:val="00177AAF"/>
    <w:rsid w:val="00180034"/>
    <w:rsid w:val="00180300"/>
    <w:rsid w:val="00180861"/>
    <w:rsid w:val="00180CDA"/>
    <w:rsid w:val="00181E8F"/>
    <w:rsid w:val="001821C4"/>
    <w:rsid w:val="00182A6C"/>
    <w:rsid w:val="0018359E"/>
    <w:rsid w:val="00184028"/>
    <w:rsid w:val="0018533F"/>
    <w:rsid w:val="00186C13"/>
    <w:rsid w:val="00187D26"/>
    <w:rsid w:val="00187F18"/>
    <w:rsid w:val="001908EA"/>
    <w:rsid w:val="00190A46"/>
    <w:rsid w:val="00190C24"/>
    <w:rsid w:val="00191B2B"/>
    <w:rsid w:val="00192556"/>
    <w:rsid w:val="00192A30"/>
    <w:rsid w:val="0019395D"/>
    <w:rsid w:val="00193D9C"/>
    <w:rsid w:val="001955C4"/>
    <w:rsid w:val="00195D54"/>
    <w:rsid w:val="001964A5"/>
    <w:rsid w:val="00196F2D"/>
    <w:rsid w:val="001973C1"/>
    <w:rsid w:val="001A00F5"/>
    <w:rsid w:val="001A1F6F"/>
    <w:rsid w:val="001A2E41"/>
    <w:rsid w:val="001A6490"/>
    <w:rsid w:val="001A64CD"/>
    <w:rsid w:val="001B1976"/>
    <w:rsid w:val="001B5835"/>
    <w:rsid w:val="001C1749"/>
    <w:rsid w:val="001C1AF9"/>
    <w:rsid w:val="001C34DF"/>
    <w:rsid w:val="001C3643"/>
    <w:rsid w:val="001C3D87"/>
    <w:rsid w:val="001C57F0"/>
    <w:rsid w:val="001C5FFE"/>
    <w:rsid w:val="001D302E"/>
    <w:rsid w:val="001D3157"/>
    <w:rsid w:val="001D6D20"/>
    <w:rsid w:val="001D774A"/>
    <w:rsid w:val="001D78B7"/>
    <w:rsid w:val="001E009F"/>
    <w:rsid w:val="001E042B"/>
    <w:rsid w:val="001E0C00"/>
    <w:rsid w:val="001E158D"/>
    <w:rsid w:val="001E5406"/>
    <w:rsid w:val="001E5711"/>
    <w:rsid w:val="001E6649"/>
    <w:rsid w:val="001E7B65"/>
    <w:rsid w:val="001F168A"/>
    <w:rsid w:val="001F1F47"/>
    <w:rsid w:val="001F2B47"/>
    <w:rsid w:val="001F2D3E"/>
    <w:rsid w:val="001F30E2"/>
    <w:rsid w:val="001F4C49"/>
    <w:rsid w:val="001F5D4E"/>
    <w:rsid w:val="001F6F8F"/>
    <w:rsid w:val="001F713C"/>
    <w:rsid w:val="00201D91"/>
    <w:rsid w:val="00202559"/>
    <w:rsid w:val="00205D9D"/>
    <w:rsid w:val="0020600E"/>
    <w:rsid w:val="00206B42"/>
    <w:rsid w:val="00207059"/>
    <w:rsid w:val="00210299"/>
    <w:rsid w:val="00210443"/>
    <w:rsid w:val="00210FB4"/>
    <w:rsid w:val="002129C7"/>
    <w:rsid w:val="00213FA5"/>
    <w:rsid w:val="002146BC"/>
    <w:rsid w:val="0021499B"/>
    <w:rsid w:val="00215547"/>
    <w:rsid w:val="00215DE4"/>
    <w:rsid w:val="00217841"/>
    <w:rsid w:val="002207BA"/>
    <w:rsid w:val="0022155F"/>
    <w:rsid w:val="00221885"/>
    <w:rsid w:val="002224F0"/>
    <w:rsid w:val="002233D1"/>
    <w:rsid w:val="00224C0C"/>
    <w:rsid w:val="00225781"/>
    <w:rsid w:val="00225D1A"/>
    <w:rsid w:val="00227312"/>
    <w:rsid w:val="00233FCF"/>
    <w:rsid w:val="002343E1"/>
    <w:rsid w:val="00234FB9"/>
    <w:rsid w:val="00235618"/>
    <w:rsid w:val="00236B61"/>
    <w:rsid w:val="00237ADA"/>
    <w:rsid w:val="00241C92"/>
    <w:rsid w:val="002421AE"/>
    <w:rsid w:val="0024266E"/>
    <w:rsid w:val="00243267"/>
    <w:rsid w:val="00246F25"/>
    <w:rsid w:val="0025194F"/>
    <w:rsid w:val="002521D0"/>
    <w:rsid w:val="0025246C"/>
    <w:rsid w:val="002526FD"/>
    <w:rsid w:val="00257B88"/>
    <w:rsid w:val="00257DED"/>
    <w:rsid w:val="00257F2E"/>
    <w:rsid w:val="00260B7E"/>
    <w:rsid w:val="00260BDA"/>
    <w:rsid w:val="00261F68"/>
    <w:rsid w:val="0026207C"/>
    <w:rsid w:val="00263784"/>
    <w:rsid w:val="00263A0D"/>
    <w:rsid w:val="00263C84"/>
    <w:rsid w:val="00263E38"/>
    <w:rsid w:val="00264532"/>
    <w:rsid w:val="0026578F"/>
    <w:rsid w:val="00265E2C"/>
    <w:rsid w:val="00267DDD"/>
    <w:rsid w:val="002705A3"/>
    <w:rsid w:val="0027076A"/>
    <w:rsid w:val="002738D1"/>
    <w:rsid w:val="00273DB4"/>
    <w:rsid w:val="00273F95"/>
    <w:rsid w:val="00274069"/>
    <w:rsid w:val="00274295"/>
    <w:rsid w:val="002802C8"/>
    <w:rsid w:val="0028155D"/>
    <w:rsid w:val="00282E36"/>
    <w:rsid w:val="00284EB6"/>
    <w:rsid w:val="002867F3"/>
    <w:rsid w:val="00286F1F"/>
    <w:rsid w:val="0028754D"/>
    <w:rsid w:val="0029154E"/>
    <w:rsid w:val="002936CE"/>
    <w:rsid w:val="00293700"/>
    <w:rsid w:val="00293AAF"/>
    <w:rsid w:val="002942E0"/>
    <w:rsid w:val="002943DD"/>
    <w:rsid w:val="002946E4"/>
    <w:rsid w:val="00295FDF"/>
    <w:rsid w:val="002960CB"/>
    <w:rsid w:val="002A0778"/>
    <w:rsid w:val="002A1589"/>
    <w:rsid w:val="002A2957"/>
    <w:rsid w:val="002A3417"/>
    <w:rsid w:val="002A3CE0"/>
    <w:rsid w:val="002A5869"/>
    <w:rsid w:val="002A6FB1"/>
    <w:rsid w:val="002A79D8"/>
    <w:rsid w:val="002A7A96"/>
    <w:rsid w:val="002B2241"/>
    <w:rsid w:val="002B23CE"/>
    <w:rsid w:val="002B2904"/>
    <w:rsid w:val="002B3878"/>
    <w:rsid w:val="002B3B9B"/>
    <w:rsid w:val="002B6079"/>
    <w:rsid w:val="002B6B8C"/>
    <w:rsid w:val="002C4B91"/>
    <w:rsid w:val="002C6F2F"/>
    <w:rsid w:val="002C7823"/>
    <w:rsid w:val="002D3416"/>
    <w:rsid w:val="002D4AC7"/>
    <w:rsid w:val="002D5943"/>
    <w:rsid w:val="002D6FD3"/>
    <w:rsid w:val="002D76C4"/>
    <w:rsid w:val="002E2400"/>
    <w:rsid w:val="002E3BAF"/>
    <w:rsid w:val="002E4C59"/>
    <w:rsid w:val="002E4F25"/>
    <w:rsid w:val="002E52A3"/>
    <w:rsid w:val="002E6F2A"/>
    <w:rsid w:val="002E7BE6"/>
    <w:rsid w:val="002F2E7F"/>
    <w:rsid w:val="002F561E"/>
    <w:rsid w:val="002F5F5A"/>
    <w:rsid w:val="002F64DD"/>
    <w:rsid w:val="002F68A9"/>
    <w:rsid w:val="002F6F28"/>
    <w:rsid w:val="002F7E02"/>
    <w:rsid w:val="0030156F"/>
    <w:rsid w:val="00302F79"/>
    <w:rsid w:val="00303726"/>
    <w:rsid w:val="00303C1F"/>
    <w:rsid w:val="00304438"/>
    <w:rsid w:val="00305B23"/>
    <w:rsid w:val="00306700"/>
    <w:rsid w:val="00306AD9"/>
    <w:rsid w:val="003075F1"/>
    <w:rsid w:val="00310E58"/>
    <w:rsid w:val="0031262B"/>
    <w:rsid w:val="00312ADD"/>
    <w:rsid w:val="0031622A"/>
    <w:rsid w:val="003166CF"/>
    <w:rsid w:val="00316F98"/>
    <w:rsid w:val="00317B3C"/>
    <w:rsid w:val="00322481"/>
    <w:rsid w:val="00323171"/>
    <w:rsid w:val="0032333A"/>
    <w:rsid w:val="00324415"/>
    <w:rsid w:val="00324AC1"/>
    <w:rsid w:val="00324DDA"/>
    <w:rsid w:val="003256E4"/>
    <w:rsid w:val="00326ABD"/>
    <w:rsid w:val="00326D6B"/>
    <w:rsid w:val="00327D73"/>
    <w:rsid w:val="00330937"/>
    <w:rsid w:val="00331C05"/>
    <w:rsid w:val="00332893"/>
    <w:rsid w:val="00332F7C"/>
    <w:rsid w:val="0033417A"/>
    <w:rsid w:val="00335CFF"/>
    <w:rsid w:val="00335F4C"/>
    <w:rsid w:val="00340487"/>
    <w:rsid w:val="003408E0"/>
    <w:rsid w:val="00340ADD"/>
    <w:rsid w:val="003414E5"/>
    <w:rsid w:val="00342C83"/>
    <w:rsid w:val="00343A28"/>
    <w:rsid w:val="00347139"/>
    <w:rsid w:val="0035090F"/>
    <w:rsid w:val="00350AD6"/>
    <w:rsid w:val="00351A52"/>
    <w:rsid w:val="00352FC2"/>
    <w:rsid w:val="003538BA"/>
    <w:rsid w:val="00356CBE"/>
    <w:rsid w:val="00360AD1"/>
    <w:rsid w:val="0036122C"/>
    <w:rsid w:val="00361A07"/>
    <w:rsid w:val="00361F7A"/>
    <w:rsid w:val="0036205B"/>
    <w:rsid w:val="00362252"/>
    <w:rsid w:val="00362B76"/>
    <w:rsid w:val="003637F0"/>
    <w:rsid w:val="00363B1F"/>
    <w:rsid w:val="00364698"/>
    <w:rsid w:val="003671F1"/>
    <w:rsid w:val="00371B84"/>
    <w:rsid w:val="00372A3D"/>
    <w:rsid w:val="0037396D"/>
    <w:rsid w:val="003755DE"/>
    <w:rsid w:val="00375831"/>
    <w:rsid w:val="00376147"/>
    <w:rsid w:val="0037625A"/>
    <w:rsid w:val="00376358"/>
    <w:rsid w:val="00376538"/>
    <w:rsid w:val="00376B48"/>
    <w:rsid w:val="00377375"/>
    <w:rsid w:val="00377D04"/>
    <w:rsid w:val="00377E66"/>
    <w:rsid w:val="003804CB"/>
    <w:rsid w:val="00380E19"/>
    <w:rsid w:val="003814AE"/>
    <w:rsid w:val="00381B76"/>
    <w:rsid w:val="00382C24"/>
    <w:rsid w:val="00383DED"/>
    <w:rsid w:val="0038425F"/>
    <w:rsid w:val="00385AA8"/>
    <w:rsid w:val="00387033"/>
    <w:rsid w:val="0039246E"/>
    <w:rsid w:val="00392607"/>
    <w:rsid w:val="0039331E"/>
    <w:rsid w:val="00394035"/>
    <w:rsid w:val="0039431A"/>
    <w:rsid w:val="0039440C"/>
    <w:rsid w:val="003962ED"/>
    <w:rsid w:val="003A1E27"/>
    <w:rsid w:val="003A2608"/>
    <w:rsid w:val="003A2AB0"/>
    <w:rsid w:val="003A322A"/>
    <w:rsid w:val="003A40F6"/>
    <w:rsid w:val="003A46DE"/>
    <w:rsid w:val="003A4B68"/>
    <w:rsid w:val="003A4CC2"/>
    <w:rsid w:val="003A5414"/>
    <w:rsid w:val="003A7EFF"/>
    <w:rsid w:val="003B063D"/>
    <w:rsid w:val="003B136D"/>
    <w:rsid w:val="003B1E7A"/>
    <w:rsid w:val="003B2BC7"/>
    <w:rsid w:val="003B449B"/>
    <w:rsid w:val="003B7135"/>
    <w:rsid w:val="003B74AA"/>
    <w:rsid w:val="003C0113"/>
    <w:rsid w:val="003C2049"/>
    <w:rsid w:val="003C3091"/>
    <w:rsid w:val="003C4139"/>
    <w:rsid w:val="003C61DD"/>
    <w:rsid w:val="003C7D9C"/>
    <w:rsid w:val="003D0059"/>
    <w:rsid w:val="003D0B8A"/>
    <w:rsid w:val="003D0D35"/>
    <w:rsid w:val="003D1EE1"/>
    <w:rsid w:val="003D2069"/>
    <w:rsid w:val="003D33D2"/>
    <w:rsid w:val="003D4CA7"/>
    <w:rsid w:val="003D5603"/>
    <w:rsid w:val="003D5B92"/>
    <w:rsid w:val="003D5F6A"/>
    <w:rsid w:val="003D6A3C"/>
    <w:rsid w:val="003E13B4"/>
    <w:rsid w:val="003E1B52"/>
    <w:rsid w:val="003E1C17"/>
    <w:rsid w:val="003E1F70"/>
    <w:rsid w:val="003E279C"/>
    <w:rsid w:val="003E2AF5"/>
    <w:rsid w:val="003E2CA6"/>
    <w:rsid w:val="003E3541"/>
    <w:rsid w:val="003E7712"/>
    <w:rsid w:val="003F1615"/>
    <w:rsid w:val="003F17E8"/>
    <w:rsid w:val="003F3CAB"/>
    <w:rsid w:val="003F7F4E"/>
    <w:rsid w:val="0040044B"/>
    <w:rsid w:val="00400CB8"/>
    <w:rsid w:val="0040173F"/>
    <w:rsid w:val="00401B3E"/>
    <w:rsid w:val="0040277E"/>
    <w:rsid w:val="00403040"/>
    <w:rsid w:val="00403D79"/>
    <w:rsid w:val="0040406F"/>
    <w:rsid w:val="00404734"/>
    <w:rsid w:val="00405A3A"/>
    <w:rsid w:val="00405B18"/>
    <w:rsid w:val="0041051B"/>
    <w:rsid w:val="00411185"/>
    <w:rsid w:val="00411EDA"/>
    <w:rsid w:val="00412370"/>
    <w:rsid w:val="00413FEE"/>
    <w:rsid w:val="004145E5"/>
    <w:rsid w:val="004147AE"/>
    <w:rsid w:val="004155D6"/>
    <w:rsid w:val="004160A8"/>
    <w:rsid w:val="0041744D"/>
    <w:rsid w:val="00420723"/>
    <w:rsid w:val="004220DF"/>
    <w:rsid w:val="0042322A"/>
    <w:rsid w:val="004232DB"/>
    <w:rsid w:val="00423D1F"/>
    <w:rsid w:val="004251C4"/>
    <w:rsid w:val="00427661"/>
    <w:rsid w:val="004306F0"/>
    <w:rsid w:val="00430D75"/>
    <w:rsid w:val="004314B2"/>
    <w:rsid w:val="0043174D"/>
    <w:rsid w:val="00431806"/>
    <w:rsid w:val="00432E03"/>
    <w:rsid w:val="004331F9"/>
    <w:rsid w:val="004333C9"/>
    <w:rsid w:val="004362D3"/>
    <w:rsid w:val="004367B9"/>
    <w:rsid w:val="004368A4"/>
    <w:rsid w:val="00440000"/>
    <w:rsid w:val="004404AA"/>
    <w:rsid w:val="004417F6"/>
    <w:rsid w:val="00441DDF"/>
    <w:rsid w:val="00442EF6"/>
    <w:rsid w:val="004432F2"/>
    <w:rsid w:val="004435FD"/>
    <w:rsid w:val="00447BA6"/>
    <w:rsid w:val="00450D50"/>
    <w:rsid w:val="0045342E"/>
    <w:rsid w:val="00453D6F"/>
    <w:rsid w:val="00453E7A"/>
    <w:rsid w:val="00453F50"/>
    <w:rsid w:val="004575DF"/>
    <w:rsid w:val="00457737"/>
    <w:rsid w:val="00460930"/>
    <w:rsid w:val="00463203"/>
    <w:rsid w:val="004632E0"/>
    <w:rsid w:val="00463409"/>
    <w:rsid w:val="00463D87"/>
    <w:rsid w:val="00464D7A"/>
    <w:rsid w:val="00465038"/>
    <w:rsid w:val="00466A6E"/>
    <w:rsid w:val="00471EB8"/>
    <w:rsid w:val="0047222E"/>
    <w:rsid w:val="00472C24"/>
    <w:rsid w:val="004734B3"/>
    <w:rsid w:val="0047361C"/>
    <w:rsid w:val="00473D74"/>
    <w:rsid w:val="004743F9"/>
    <w:rsid w:val="004745CA"/>
    <w:rsid w:val="0047557A"/>
    <w:rsid w:val="00475EE7"/>
    <w:rsid w:val="00480923"/>
    <w:rsid w:val="0048122E"/>
    <w:rsid w:val="004820B3"/>
    <w:rsid w:val="004845A7"/>
    <w:rsid w:val="00485A81"/>
    <w:rsid w:val="00485EB5"/>
    <w:rsid w:val="00485EF5"/>
    <w:rsid w:val="004863CA"/>
    <w:rsid w:val="004904EF"/>
    <w:rsid w:val="0049116A"/>
    <w:rsid w:val="00491B76"/>
    <w:rsid w:val="00494678"/>
    <w:rsid w:val="00496636"/>
    <w:rsid w:val="00497B62"/>
    <w:rsid w:val="004A0232"/>
    <w:rsid w:val="004A3E20"/>
    <w:rsid w:val="004A71F6"/>
    <w:rsid w:val="004A7C43"/>
    <w:rsid w:val="004B146D"/>
    <w:rsid w:val="004B1BBB"/>
    <w:rsid w:val="004B4B07"/>
    <w:rsid w:val="004B5076"/>
    <w:rsid w:val="004B61B5"/>
    <w:rsid w:val="004B7481"/>
    <w:rsid w:val="004C0B50"/>
    <w:rsid w:val="004C0DD5"/>
    <w:rsid w:val="004C1280"/>
    <w:rsid w:val="004C2A31"/>
    <w:rsid w:val="004C4284"/>
    <w:rsid w:val="004C57E6"/>
    <w:rsid w:val="004C5C6D"/>
    <w:rsid w:val="004C60A1"/>
    <w:rsid w:val="004C7004"/>
    <w:rsid w:val="004C7628"/>
    <w:rsid w:val="004D00E8"/>
    <w:rsid w:val="004D0E26"/>
    <w:rsid w:val="004D1558"/>
    <w:rsid w:val="004D275C"/>
    <w:rsid w:val="004D36FF"/>
    <w:rsid w:val="004D4BEF"/>
    <w:rsid w:val="004D62B8"/>
    <w:rsid w:val="004D6A2C"/>
    <w:rsid w:val="004D6B40"/>
    <w:rsid w:val="004D6F1B"/>
    <w:rsid w:val="004E0692"/>
    <w:rsid w:val="004E0847"/>
    <w:rsid w:val="004E1529"/>
    <w:rsid w:val="004E183B"/>
    <w:rsid w:val="004E1BF8"/>
    <w:rsid w:val="004E2382"/>
    <w:rsid w:val="004E4256"/>
    <w:rsid w:val="004E7E7D"/>
    <w:rsid w:val="004F1228"/>
    <w:rsid w:val="004F138C"/>
    <w:rsid w:val="004F3632"/>
    <w:rsid w:val="004F3D2D"/>
    <w:rsid w:val="004F630B"/>
    <w:rsid w:val="0050031C"/>
    <w:rsid w:val="00500E15"/>
    <w:rsid w:val="00501972"/>
    <w:rsid w:val="005023C7"/>
    <w:rsid w:val="005024EA"/>
    <w:rsid w:val="00503099"/>
    <w:rsid w:val="00503E99"/>
    <w:rsid w:val="00504B4F"/>
    <w:rsid w:val="00504E72"/>
    <w:rsid w:val="005051EF"/>
    <w:rsid w:val="005053D8"/>
    <w:rsid w:val="00505C28"/>
    <w:rsid w:val="00507A17"/>
    <w:rsid w:val="00507A6C"/>
    <w:rsid w:val="00507D6C"/>
    <w:rsid w:val="005101CA"/>
    <w:rsid w:val="00510F1C"/>
    <w:rsid w:val="005115DE"/>
    <w:rsid w:val="005127FE"/>
    <w:rsid w:val="005128FF"/>
    <w:rsid w:val="00512F6C"/>
    <w:rsid w:val="00513E28"/>
    <w:rsid w:val="00514050"/>
    <w:rsid w:val="00514B30"/>
    <w:rsid w:val="00516941"/>
    <w:rsid w:val="00516D7A"/>
    <w:rsid w:val="00521EF8"/>
    <w:rsid w:val="005223BE"/>
    <w:rsid w:val="00523619"/>
    <w:rsid w:val="005245FA"/>
    <w:rsid w:val="005247F7"/>
    <w:rsid w:val="00525BA4"/>
    <w:rsid w:val="00526207"/>
    <w:rsid w:val="00526E18"/>
    <w:rsid w:val="005271FE"/>
    <w:rsid w:val="00531AFD"/>
    <w:rsid w:val="0053307F"/>
    <w:rsid w:val="00535A75"/>
    <w:rsid w:val="005365D4"/>
    <w:rsid w:val="00536D71"/>
    <w:rsid w:val="00537483"/>
    <w:rsid w:val="00537507"/>
    <w:rsid w:val="00540108"/>
    <w:rsid w:val="00541387"/>
    <w:rsid w:val="005425E8"/>
    <w:rsid w:val="00543482"/>
    <w:rsid w:val="00546443"/>
    <w:rsid w:val="00546465"/>
    <w:rsid w:val="0054788C"/>
    <w:rsid w:val="00547C79"/>
    <w:rsid w:val="00550041"/>
    <w:rsid w:val="00550871"/>
    <w:rsid w:val="00551948"/>
    <w:rsid w:val="00551F2F"/>
    <w:rsid w:val="00552153"/>
    <w:rsid w:val="00552E07"/>
    <w:rsid w:val="00553169"/>
    <w:rsid w:val="0055330E"/>
    <w:rsid w:val="00553596"/>
    <w:rsid w:val="0055414F"/>
    <w:rsid w:val="00556106"/>
    <w:rsid w:val="0055625F"/>
    <w:rsid w:val="00556556"/>
    <w:rsid w:val="00556F91"/>
    <w:rsid w:val="005602D0"/>
    <w:rsid w:val="00560F3F"/>
    <w:rsid w:val="00561456"/>
    <w:rsid w:val="00562772"/>
    <w:rsid w:val="00562BDC"/>
    <w:rsid w:val="005633BC"/>
    <w:rsid w:val="00564B2A"/>
    <w:rsid w:val="0056509C"/>
    <w:rsid w:val="00566652"/>
    <w:rsid w:val="00566A07"/>
    <w:rsid w:val="00567284"/>
    <w:rsid w:val="00567A79"/>
    <w:rsid w:val="00567C50"/>
    <w:rsid w:val="00571466"/>
    <w:rsid w:val="005715E6"/>
    <w:rsid w:val="00571E4C"/>
    <w:rsid w:val="0057243B"/>
    <w:rsid w:val="00572989"/>
    <w:rsid w:val="00573219"/>
    <w:rsid w:val="005735D0"/>
    <w:rsid w:val="0057368A"/>
    <w:rsid w:val="00575A30"/>
    <w:rsid w:val="00576C0D"/>
    <w:rsid w:val="00577415"/>
    <w:rsid w:val="00577C7A"/>
    <w:rsid w:val="00580909"/>
    <w:rsid w:val="00580A42"/>
    <w:rsid w:val="00581137"/>
    <w:rsid w:val="0058208C"/>
    <w:rsid w:val="00583808"/>
    <w:rsid w:val="00585227"/>
    <w:rsid w:val="00586023"/>
    <w:rsid w:val="005865F7"/>
    <w:rsid w:val="005924DB"/>
    <w:rsid w:val="00592A6C"/>
    <w:rsid w:val="00592B10"/>
    <w:rsid w:val="005947A0"/>
    <w:rsid w:val="00594CEE"/>
    <w:rsid w:val="00595217"/>
    <w:rsid w:val="0059735B"/>
    <w:rsid w:val="005A0531"/>
    <w:rsid w:val="005A0DF6"/>
    <w:rsid w:val="005A1074"/>
    <w:rsid w:val="005A11BD"/>
    <w:rsid w:val="005A1DC1"/>
    <w:rsid w:val="005A2BC1"/>
    <w:rsid w:val="005A34BA"/>
    <w:rsid w:val="005A36EA"/>
    <w:rsid w:val="005A3760"/>
    <w:rsid w:val="005A4AFB"/>
    <w:rsid w:val="005A4DEC"/>
    <w:rsid w:val="005A796D"/>
    <w:rsid w:val="005B3119"/>
    <w:rsid w:val="005B3B5C"/>
    <w:rsid w:val="005B4D6B"/>
    <w:rsid w:val="005C1346"/>
    <w:rsid w:val="005C150A"/>
    <w:rsid w:val="005C1F51"/>
    <w:rsid w:val="005C27F3"/>
    <w:rsid w:val="005C2E1F"/>
    <w:rsid w:val="005C3E4C"/>
    <w:rsid w:val="005C44A6"/>
    <w:rsid w:val="005C4A41"/>
    <w:rsid w:val="005C4F53"/>
    <w:rsid w:val="005C5C92"/>
    <w:rsid w:val="005C6FCC"/>
    <w:rsid w:val="005C7DEE"/>
    <w:rsid w:val="005D02AA"/>
    <w:rsid w:val="005D0386"/>
    <w:rsid w:val="005D1250"/>
    <w:rsid w:val="005D22F2"/>
    <w:rsid w:val="005D295B"/>
    <w:rsid w:val="005D302F"/>
    <w:rsid w:val="005D3883"/>
    <w:rsid w:val="005D48A9"/>
    <w:rsid w:val="005D635B"/>
    <w:rsid w:val="005E0CA0"/>
    <w:rsid w:val="005E1A82"/>
    <w:rsid w:val="005E4188"/>
    <w:rsid w:val="005E729C"/>
    <w:rsid w:val="005E75B5"/>
    <w:rsid w:val="005F0233"/>
    <w:rsid w:val="005F0C37"/>
    <w:rsid w:val="005F0FB4"/>
    <w:rsid w:val="005F0FF9"/>
    <w:rsid w:val="005F1853"/>
    <w:rsid w:val="005F2A31"/>
    <w:rsid w:val="005F714D"/>
    <w:rsid w:val="005F7AC0"/>
    <w:rsid w:val="005F7C97"/>
    <w:rsid w:val="005F7D4F"/>
    <w:rsid w:val="0060058B"/>
    <w:rsid w:val="00601113"/>
    <w:rsid w:val="006040D4"/>
    <w:rsid w:val="006042DB"/>
    <w:rsid w:val="00605258"/>
    <w:rsid w:val="006052E3"/>
    <w:rsid w:val="00605705"/>
    <w:rsid w:val="00605D98"/>
    <w:rsid w:val="006075B2"/>
    <w:rsid w:val="00610D13"/>
    <w:rsid w:val="006111CF"/>
    <w:rsid w:val="00613792"/>
    <w:rsid w:val="0061393E"/>
    <w:rsid w:val="00613A3A"/>
    <w:rsid w:val="00613AB4"/>
    <w:rsid w:val="00613B23"/>
    <w:rsid w:val="00615517"/>
    <w:rsid w:val="00616783"/>
    <w:rsid w:val="006204B1"/>
    <w:rsid w:val="00620AC2"/>
    <w:rsid w:val="00620D63"/>
    <w:rsid w:val="006214A4"/>
    <w:rsid w:val="00621E5C"/>
    <w:rsid w:val="00623263"/>
    <w:rsid w:val="00623FE5"/>
    <w:rsid w:val="00624603"/>
    <w:rsid w:val="0062593F"/>
    <w:rsid w:val="00626681"/>
    <w:rsid w:val="0062669E"/>
    <w:rsid w:val="00626AC5"/>
    <w:rsid w:val="0063135A"/>
    <w:rsid w:val="00632A50"/>
    <w:rsid w:val="006333A8"/>
    <w:rsid w:val="00633DD3"/>
    <w:rsid w:val="006342CE"/>
    <w:rsid w:val="00635527"/>
    <w:rsid w:val="00635F69"/>
    <w:rsid w:val="00637129"/>
    <w:rsid w:val="00640BBD"/>
    <w:rsid w:val="00642862"/>
    <w:rsid w:val="00642C7D"/>
    <w:rsid w:val="0064445C"/>
    <w:rsid w:val="00646698"/>
    <w:rsid w:val="00647642"/>
    <w:rsid w:val="0065058B"/>
    <w:rsid w:val="00651EEA"/>
    <w:rsid w:val="00652EC8"/>
    <w:rsid w:val="0065484E"/>
    <w:rsid w:val="00655B6D"/>
    <w:rsid w:val="0065603C"/>
    <w:rsid w:val="00656143"/>
    <w:rsid w:val="0065634D"/>
    <w:rsid w:val="00656717"/>
    <w:rsid w:val="00662E10"/>
    <w:rsid w:val="00665F7C"/>
    <w:rsid w:val="00666270"/>
    <w:rsid w:val="0067188B"/>
    <w:rsid w:val="00672234"/>
    <w:rsid w:val="00675136"/>
    <w:rsid w:val="00675E29"/>
    <w:rsid w:val="0067656A"/>
    <w:rsid w:val="00676DAB"/>
    <w:rsid w:val="00677947"/>
    <w:rsid w:val="00680B78"/>
    <w:rsid w:val="00681396"/>
    <w:rsid w:val="0068232D"/>
    <w:rsid w:val="00682510"/>
    <w:rsid w:val="00682F00"/>
    <w:rsid w:val="00682F64"/>
    <w:rsid w:val="0068510B"/>
    <w:rsid w:val="00686480"/>
    <w:rsid w:val="00690411"/>
    <w:rsid w:val="00690DEC"/>
    <w:rsid w:val="00691FCB"/>
    <w:rsid w:val="006920E4"/>
    <w:rsid w:val="00692D6A"/>
    <w:rsid w:val="00693B10"/>
    <w:rsid w:val="006946E9"/>
    <w:rsid w:val="006962B8"/>
    <w:rsid w:val="00696C17"/>
    <w:rsid w:val="006A1044"/>
    <w:rsid w:val="006A16A6"/>
    <w:rsid w:val="006A18A1"/>
    <w:rsid w:val="006A1B0E"/>
    <w:rsid w:val="006A1CB1"/>
    <w:rsid w:val="006A2ECC"/>
    <w:rsid w:val="006A40D0"/>
    <w:rsid w:val="006A6813"/>
    <w:rsid w:val="006A755B"/>
    <w:rsid w:val="006A7561"/>
    <w:rsid w:val="006B1FF6"/>
    <w:rsid w:val="006B2324"/>
    <w:rsid w:val="006B2747"/>
    <w:rsid w:val="006B30DF"/>
    <w:rsid w:val="006B3BD6"/>
    <w:rsid w:val="006B454F"/>
    <w:rsid w:val="006B50CA"/>
    <w:rsid w:val="006B65CE"/>
    <w:rsid w:val="006B6D6C"/>
    <w:rsid w:val="006C0C3B"/>
    <w:rsid w:val="006C3C79"/>
    <w:rsid w:val="006C48DC"/>
    <w:rsid w:val="006C57C3"/>
    <w:rsid w:val="006C6702"/>
    <w:rsid w:val="006C7D31"/>
    <w:rsid w:val="006D3023"/>
    <w:rsid w:val="006D37E5"/>
    <w:rsid w:val="006D3AA8"/>
    <w:rsid w:val="006D3DC5"/>
    <w:rsid w:val="006D56D9"/>
    <w:rsid w:val="006D5FD4"/>
    <w:rsid w:val="006D6C14"/>
    <w:rsid w:val="006D6DAF"/>
    <w:rsid w:val="006D705E"/>
    <w:rsid w:val="006D7D2B"/>
    <w:rsid w:val="006E1D59"/>
    <w:rsid w:val="006E2219"/>
    <w:rsid w:val="006E2EE1"/>
    <w:rsid w:val="006E6751"/>
    <w:rsid w:val="006E7BC7"/>
    <w:rsid w:val="006F04C7"/>
    <w:rsid w:val="006F0D7F"/>
    <w:rsid w:val="006F22EF"/>
    <w:rsid w:val="006F3CD9"/>
    <w:rsid w:val="006F4582"/>
    <w:rsid w:val="006F641F"/>
    <w:rsid w:val="006F6441"/>
    <w:rsid w:val="006F6BC9"/>
    <w:rsid w:val="00701713"/>
    <w:rsid w:val="007025F0"/>
    <w:rsid w:val="007028F4"/>
    <w:rsid w:val="0070424C"/>
    <w:rsid w:val="007042B6"/>
    <w:rsid w:val="0070503A"/>
    <w:rsid w:val="00706126"/>
    <w:rsid w:val="007069F6"/>
    <w:rsid w:val="00706DE3"/>
    <w:rsid w:val="00707087"/>
    <w:rsid w:val="00707FEB"/>
    <w:rsid w:val="00710950"/>
    <w:rsid w:val="00710B82"/>
    <w:rsid w:val="00711637"/>
    <w:rsid w:val="007120C9"/>
    <w:rsid w:val="00713813"/>
    <w:rsid w:val="00713A73"/>
    <w:rsid w:val="00714C05"/>
    <w:rsid w:val="007153D0"/>
    <w:rsid w:val="00715685"/>
    <w:rsid w:val="0071741D"/>
    <w:rsid w:val="00722C31"/>
    <w:rsid w:val="00722E2B"/>
    <w:rsid w:val="00724E7D"/>
    <w:rsid w:val="0072675C"/>
    <w:rsid w:val="00727F7C"/>
    <w:rsid w:val="007324EF"/>
    <w:rsid w:val="007329D2"/>
    <w:rsid w:val="00732E86"/>
    <w:rsid w:val="007348A7"/>
    <w:rsid w:val="007355CF"/>
    <w:rsid w:val="007358AF"/>
    <w:rsid w:val="0073610D"/>
    <w:rsid w:val="00736D0F"/>
    <w:rsid w:val="00736DE4"/>
    <w:rsid w:val="00741BAD"/>
    <w:rsid w:val="00741CF7"/>
    <w:rsid w:val="00742541"/>
    <w:rsid w:val="00743B51"/>
    <w:rsid w:val="00743F23"/>
    <w:rsid w:val="00744240"/>
    <w:rsid w:val="00745685"/>
    <w:rsid w:val="00745A0F"/>
    <w:rsid w:val="00745DB5"/>
    <w:rsid w:val="0074635A"/>
    <w:rsid w:val="00746B63"/>
    <w:rsid w:val="007501E0"/>
    <w:rsid w:val="0075041E"/>
    <w:rsid w:val="00750EEB"/>
    <w:rsid w:val="007533D3"/>
    <w:rsid w:val="00754559"/>
    <w:rsid w:val="00754FF7"/>
    <w:rsid w:val="007560B4"/>
    <w:rsid w:val="00756DFC"/>
    <w:rsid w:val="00757CBE"/>
    <w:rsid w:val="007607CB"/>
    <w:rsid w:val="007646CE"/>
    <w:rsid w:val="00764D24"/>
    <w:rsid w:val="00765F7A"/>
    <w:rsid w:val="007730B3"/>
    <w:rsid w:val="00777D4F"/>
    <w:rsid w:val="00780364"/>
    <w:rsid w:val="00780797"/>
    <w:rsid w:val="007808CD"/>
    <w:rsid w:val="00780D4F"/>
    <w:rsid w:val="007812AF"/>
    <w:rsid w:val="0078132E"/>
    <w:rsid w:val="00782643"/>
    <w:rsid w:val="00782D3B"/>
    <w:rsid w:val="007831A2"/>
    <w:rsid w:val="00783276"/>
    <w:rsid w:val="007852D7"/>
    <w:rsid w:val="00787384"/>
    <w:rsid w:val="0078786C"/>
    <w:rsid w:val="00787C37"/>
    <w:rsid w:val="00790BFA"/>
    <w:rsid w:val="00791F18"/>
    <w:rsid w:val="00792073"/>
    <w:rsid w:val="00792D84"/>
    <w:rsid w:val="00793DA7"/>
    <w:rsid w:val="00794144"/>
    <w:rsid w:val="007944DB"/>
    <w:rsid w:val="00794645"/>
    <w:rsid w:val="00795BBA"/>
    <w:rsid w:val="00796C3F"/>
    <w:rsid w:val="00797A78"/>
    <w:rsid w:val="00797B8A"/>
    <w:rsid w:val="007A074A"/>
    <w:rsid w:val="007A0C08"/>
    <w:rsid w:val="007A19B2"/>
    <w:rsid w:val="007A2609"/>
    <w:rsid w:val="007A2698"/>
    <w:rsid w:val="007A2B8B"/>
    <w:rsid w:val="007A32E3"/>
    <w:rsid w:val="007A388F"/>
    <w:rsid w:val="007A3B60"/>
    <w:rsid w:val="007A44F7"/>
    <w:rsid w:val="007A7237"/>
    <w:rsid w:val="007A7EF8"/>
    <w:rsid w:val="007B00E5"/>
    <w:rsid w:val="007B0965"/>
    <w:rsid w:val="007B2D51"/>
    <w:rsid w:val="007B48EE"/>
    <w:rsid w:val="007B5475"/>
    <w:rsid w:val="007B5F4F"/>
    <w:rsid w:val="007B6E5D"/>
    <w:rsid w:val="007C0154"/>
    <w:rsid w:val="007C0C9E"/>
    <w:rsid w:val="007C139B"/>
    <w:rsid w:val="007C1EEC"/>
    <w:rsid w:val="007C3D4D"/>
    <w:rsid w:val="007C3F19"/>
    <w:rsid w:val="007C53F2"/>
    <w:rsid w:val="007C691C"/>
    <w:rsid w:val="007C6E6D"/>
    <w:rsid w:val="007D2165"/>
    <w:rsid w:val="007D2172"/>
    <w:rsid w:val="007D3749"/>
    <w:rsid w:val="007D5157"/>
    <w:rsid w:val="007D6E49"/>
    <w:rsid w:val="007E3423"/>
    <w:rsid w:val="007E34EA"/>
    <w:rsid w:val="007E5F63"/>
    <w:rsid w:val="007E73DC"/>
    <w:rsid w:val="007F19E3"/>
    <w:rsid w:val="007F2005"/>
    <w:rsid w:val="007F2340"/>
    <w:rsid w:val="007F341D"/>
    <w:rsid w:val="007F383F"/>
    <w:rsid w:val="007F3B0E"/>
    <w:rsid w:val="007F3CC7"/>
    <w:rsid w:val="007F7037"/>
    <w:rsid w:val="00801B8C"/>
    <w:rsid w:val="00802235"/>
    <w:rsid w:val="008027F6"/>
    <w:rsid w:val="00802B52"/>
    <w:rsid w:val="00802BD6"/>
    <w:rsid w:val="00802FE7"/>
    <w:rsid w:val="00804161"/>
    <w:rsid w:val="008053B7"/>
    <w:rsid w:val="00805BC7"/>
    <w:rsid w:val="008062A5"/>
    <w:rsid w:val="00807670"/>
    <w:rsid w:val="008147AA"/>
    <w:rsid w:val="00814C4A"/>
    <w:rsid w:val="00815C73"/>
    <w:rsid w:val="00816060"/>
    <w:rsid w:val="008160CF"/>
    <w:rsid w:val="00820995"/>
    <w:rsid w:val="00820F34"/>
    <w:rsid w:val="00822E73"/>
    <w:rsid w:val="00826037"/>
    <w:rsid w:val="00826D20"/>
    <w:rsid w:val="00830541"/>
    <w:rsid w:val="00830F2D"/>
    <w:rsid w:val="00831AF1"/>
    <w:rsid w:val="00835E79"/>
    <w:rsid w:val="00835F2A"/>
    <w:rsid w:val="00836111"/>
    <w:rsid w:val="00836592"/>
    <w:rsid w:val="00836ABB"/>
    <w:rsid w:val="00836F6D"/>
    <w:rsid w:val="00836FF9"/>
    <w:rsid w:val="00840513"/>
    <w:rsid w:val="0084122B"/>
    <w:rsid w:val="0084241A"/>
    <w:rsid w:val="00842F3F"/>
    <w:rsid w:val="008447F1"/>
    <w:rsid w:val="00850860"/>
    <w:rsid w:val="008521AF"/>
    <w:rsid w:val="008529B2"/>
    <w:rsid w:val="00852B4C"/>
    <w:rsid w:val="0085340E"/>
    <w:rsid w:val="00856876"/>
    <w:rsid w:val="0085793A"/>
    <w:rsid w:val="0086056E"/>
    <w:rsid w:val="00862516"/>
    <w:rsid w:val="00862F46"/>
    <w:rsid w:val="00864C77"/>
    <w:rsid w:val="008650FF"/>
    <w:rsid w:val="0086617F"/>
    <w:rsid w:val="00866589"/>
    <w:rsid w:val="00867F63"/>
    <w:rsid w:val="00870E3B"/>
    <w:rsid w:val="0087135C"/>
    <w:rsid w:val="00872D45"/>
    <w:rsid w:val="00875197"/>
    <w:rsid w:val="008752D3"/>
    <w:rsid w:val="0087692B"/>
    <w:rsid w:val="00877AE3"/>
    <w:rsid w:val="00880B41"/>
    <w:rsid w:val="00882F08"/>
    <w:rsid w:val="00884FBC"/>
    <w:rsid w:val="00885170"/>
    <w:rsid w:val="0088649F"/>
    <w:rsid w:val="0088702B"/>
    <w:rsid w:val="00887E17"/>
    <w:rsid w:val="00887F87"/>
    <w:rsid w:val="0089220D"/>
    <w:rsid w:val="0089227B"/>
    <w:rsid w:val="00892722"/>
    <w:rsid w:val="00893907"/>
    <w:rsid w:val="00895A4D"/>
    <w:rsid w:val="0089630C"/>
    <w:rsid w:val="008972F4"/>
    <w:rsid w:val="00897456"/>
    <w:rsid w:val="008979CC"/>
    <w:rsid w:val="008A0AC8"/>
    <w:rsid w:val="008A124F"/>
    <w:rsid w:val="008A60AA"/>
    <w:rsid w:val="008A6298"/>
    <w:rsid w:val="008A69BD"/>
    <w:rsid w:val="008A6C03"/>
    <w:rsid w:val="008A6FF6"/>
    <w:rsid w:val="008A718D"/>
    <w:rsid w:val="008A773C"/>
    <w:rsid w:val="008B0E85"/>
    <w:rsid w:val="008B1D21"/>
    <w:rsid w:val="008B4933"/>
    <w:rsid w:val="008B56C3"/>
    <w:rsid w:val="008B663D"/>
    <w:rsid w:val="008B6B4A"/>
    <w:rsid w:val="008C01C5"/>
    <w:rsid w:val="008C03BA"/>
    <w:rsid w:val="008C535F"/>
    <w:rsid w:val="008C58D5"/>
    <w:rsid w:val="008C77D4"/>
    <w:rsid w:val="008D054A"/>
    <w:rsid w:val="008D06D4"/>
    <w:rsid w:val="008D4D8C"/>
    <w:rsid w:val="008D62FA"/>
    <w:rsid w:val="008D64F0"/>
    <w:rsid w:val="008D6F4E"/>
    <w:rsid w:val="008E08EE"/>
    <w:rsid w:val="008E16BC"/>
    <w:rsid w:val="008E2029"/>
    <w:rsid w:val="008E56A8"/>
    <w:rsid w:val="008E6DD1"/>
    <w:rsid w:val="008E7517"/>
    <w:rsid w:val="008F20F9"/>
    <w:rsid w:val="008F324A"/>
    <w:rsid w:val="008F4532"/>
    <w:rsid w:val="008F4F4A"/>
    <w:rsid w:val="008F7806"/>
    <w:rsid w:val="00902A4E"/>
    <w:rsid w:val="0090435D"/>
    <w:rsid w:val="00905740"/>
    <w:rsid w:val="009116E8"/>
    <w:rsid w:val="00912254"/>
    <w:rsid w:val="009128EC"/>
    <w:rsid w:val="0091456F"/>
    <w:rsid w:val="00917969"/>
    <w:rsid w:val="00920C49"/>
    <w:rsid w:val="009210AC"/>
    <w:rsid w:val="009214EC"/>
    <w:rsid w:val="00921953"/>
    <w:rsid w:val="00921B5B"/>
    <w:rsid w:val="00923D27"/>
    <w:rsid w:val="0092413B"/>
    <w:rsid w:val="00924298"/>
    <w:rsid w:val="00924B8E"/>
    <w:rsid w:val="00924FF2"/>
    <w:rsid w:val="00926584"/>
    <w:rsid w:val="009268DF"/>
    <w:rsid w:val="00927314"/>
    <w:rsid w:val="00930AEE"/>
    <w:rsid w:val="00931D7C"/>
    <w:rsid w:val="00931EE0"/>
    <w:rsid w:val="00933BCE"/>
    <w:rsid w:val="009418AA"/>
    <w:rsid w:val="00941BB2"/>
    <w:rsid w:val="00943EE1"/>
    <w:rsid w:val="00943FCA"/>
    <w:rsid w:val="00944883"/>
    <w:rsid w:val="00950215"/>
    <w:rsid w:val="009503E5"/>
    <w:rsid w:val="00951EA8"/>
    <w:rsid w:val="009528D4"/>
    <w:rsid w:val="00953074"/>
    <w:rsid w:val="009536FF"/>
    <w:rsid w:val="009549E4"/>
    <w:rsid w:val="0095621F"/>
    <w:rsid w:val="009601BA"/>
    <w:rsid w:val="00960A47"/>
    <w:rsid w:val="00961198"/>
    <w:rsid w:val="00962145"/>
    <w:rsid w:val="00962B5A"/>
    <w:rsid w:val="0096561F"/>
    <w:rsid w:val="00965AAC"/>
    <w:rsid w:val="00967873"/>
    <w:rsid w:val="00967F53"/>
    <w:rsid w:val="00967FDA"/>
    <w:rsid w:val="009733AF"/>
    <w:rsid w:val="009804D9"/>
    <w:rsid w:val="00983B6B"/>
    <w:rsid w:val="00984685"/>
    <w:rsid w:val="0098660C"/>
    <w:rsid w:val="009866AC"/>
    <w:rsid w:val="00986D55"/>
    <w:rsid w:val="009927EF"/>
    <w:rsid w:val="009929AF"/>
    <w:rsid w:val="009950F2"/>
    <w:rsid w:val="0099511C"/>
    <w:rsid w:val="00995CEB"/>
    <w:rsid w:val="00996A76"/>
    <w:rsid w:val="009A0344"/>
    <w:rsid w:val="009A1802"/>
    <w:rsid w:val="009A1D02"/>
    <w:rsid w:val="009A4358"/>
    <w:rsid w:val="009A4B5A"/>
    <w:rsid w:val="009A56A0"/>
    <w:rsid w:val="009A64F3"/>
    <w:rsid w:val="009A7411"/>
    <w:rsid w:val="009A7804"/>
    <w:rsid w:val="009B050A"/>
    <w:rsid w:val="009B1074"/>
    <w:rsid w:val="009B17A9"/>
    <w:rsid w:val="009B1893"/>
    <w:rsid w:val="009B2A97"/>
    <w:rsid w:val="009B4FD2"/>
    <w:rsid w:val="009C0D19"/>
    <w:rsid w:val="009C2823"/>
    <w:rsid w:val="009C2D37"/>
    <w:rsid w:val="009C2E0B"/>
    <w:rsid w:val="009C50FA"/>
    <w:rsid w:val="009C51C2"/>
    <w:rsid w:val="009C5C21"/>
    <w:rsid w:val="009C6D5E"/>
    <w:rsid w:val="009C7CBE"/>
    <w:rsid w:val="009C7FBE"/>
    <w:rsid w:val="009D00BF"/>
    <w:rsid w:val="009D0E56"/>
    <w:rsid w:val="009D15C0"/>
    <w:rsid w:val="009D1CED"/>
    <w:rsid w:val="009D22EC"/>
    <w:rsid w:val="009D2821"/>
    <w:rsid w:val="009D2A51"/>
    <w:rsid w:val="009D3384"/>
    <w:rsid w:val="009D52C6"/>
    <w:rsid w:val="009D7116"/>
    <w:rsid w:val="009D7996"/>
    <w:rsid w:val="009E1AF6"/>
    <w:rsid w:val="009E2C1D"/>
    <w:rsid w:val="009E31D4"/>
    <w:rsid w:val="009E3E4B"/>
    <w:rsid w:val="009E5884"/>
    <w:rsid w:val="009E5D67"/>
    <w:rsid w:val="009E62B1"/>
    <w:rsid w:val="009E63F5"/>
    <w:rsid w:val="009E6EFC"/>
    <w:rsid w:val="009E7328"/>
    <w:rsid w:val="009F2D10"/>
    <w:rsid w:val="009F3164"/>
    <w:rsid w:val="009F3240"/>
    <w:rsid w:val="009F3AE0"/>
    <w:rsid w:val="009F4FE6"/>
    <w:rsid w:val="009F524F"/>
    <w:rsid w:val="009F5423"/>
    <w:rsid w:val="009F58EF"/>
    <w:rsid w:val="009F5B39"/>
    <w:rsid w:val="009F648B"/>
    <w:rsid w:val="009F6626"/>
    <w:rsid w:val="009F6BF4"/>
    <w:rsid w:val="00A00419"/>
    <w:rsid w:val="00A00F30"/>
    <w:rsid w:val="00A01DAF"/>
    <w:rsid w:val="00A026D3"/>
    <w:rsid w:val="00A02FE9"/>
    <w:rsid w:val="00A03AAB"/>
    <w:rsid w:val="00A04DB9"/>
    <w:rsid w:val="00A057C9"/>
    <w:rsid w:val="00A0594D"/>
    <w:rsid w:val="00A066B9"/>
    <w:rsid w:val="00A0781F"/>
    <w:rsid w:val="00A07A2D"/>
    <w:rsid w:val="00A07F7D"/>
    <w:rsid w:val="00A10C7F"/>
    <w:rsid w:val="00A11021"/>
    <w:rsid w:val="00A121D8"/>
    <w:rsid w:val="00A1342F"/>
    <w:rsid w:val="00A13EF9"/>
    <w:rsid w:val="00A14F83"/>
    <w:rsid w:val="00A16190"/>
    <w:rsid w:val="00A20DA5"/>
    <w:rsid w:val="00A21835"/>
    <w:rsid w:val="00A220AD"/>
    <w:rsid w:val="00A23496"/>
    <w:rsid w:val="00A235F2"/>
    <w:rsid w:val="00A26ED0"/>
    <w:rsid w:val="00A271DD"/>
    <w:rsid w:val="00A27281"/>
    <w:rsid w:val="00A27473"/>
    <w:rsid w:val="00A32094"/>
    <w:rsid w:val="00A33051"/>
    <w:rsid w:val="00A3380C"/>
    <w:rsid w:val="00A34A4F"/>
    <w:rsid w:val="00A34A52"/>
    <w:rsid w:val="00A35D83"/>
    <w:rsid w:val="00A36E07"/>
    <w:rsid w:val="00A371DD"/>
    <w:rsid w:val="00A40A6E"/>
    <w:rsid w:val="00A40C62"/>
    <w:rsid w:val="00A420DE"/>
    <w:rsid w:val="00A42224"/>
    <w:rsid w:val="00A46BFF"/>
    <w:rsid w:val="00A474F4"/>
    <w:rsid w:val="00A51FD8"/>
    <w:rsid w:val="00A5205C"/>
    <w:rsid w:val="00A535F3"/>
    <w:rsid w:val="00A53D24"/>
    <w:rsid w:val="00A55085"/>
    <w:rsid w:val="00A55097"/>
    <w:rsid w:val="00A5637B"/>
    <w:rsid w:val="00A57022"/>
    <w:rsid w:val="00A57031"/>
    <w:rsid w:val="00A607A1"/>
    <w:rsid w:val="00A61D5D"/>
    <w:rsid w:val="00A642CC"/>
    <w:rsid w:val="00A6495A"/>
    <w:rsid w:val="00A65168"/>
    <w:rsid w:val="00A65AD9"/>
    <w:rsid w:val="00A67788"/>
    <w:rsid w:val="00A70E63"/>
    <w:rsid w:val="00A72338"/>
    <w:rsid w:val="00A7284C"/>
    <w:rsid w:val="00A72E46"/>
    <w:rsid w:val="00A73C92"/>
    <w:rsid w:val="00A75BE8"/>
    <w:rsid w:val="00A76F22"/>
    <w:rsid w:val="00A77854"/>
    <w:rsid w:val="00A77B09"/>
    <w:rsid w:val="00A80D7C"/>
    <w:rsid w:val="00A82577"/>
    <w:rsid w:val="00A82D01"/>
    <w:rsid w:val="00A83F21"/>
    <w:rsid w:val="00A85330"/>
    <w:rsid w:val="00A85CB8"/>
    <w:rsid w:val="00A85F8C"/>
    <w:rsid w:val="00A8618C"/>
    <w:rsid w:val="00A86285"/>
    <w:rsid w:val="00A8680C"/>
    <w:rsid w:val="00A87259"/>
    <w:rsid w:val="00A875C5"/>
    <w:rsid w:val="00A9033D"/>
    <w:rsid w:val="00A9059C"/>
    <w:rsid w:val="00A93F0B"/>
    <w:rsid w:val="00A94119"/>
    <w:rsid w:val="00A949D6"/>
    <w:rsid w:val="00A960AB"/>
    <w:rsid w:val="00A9770F"/>
    <w:rsid w:val="00AA05C1"/>
    <w:rsid w:val="00AA0E3B"/>
    <w:rsid w:val="00AA306C"/>
    <w:rsid w:val="00AA3189"/>
    <w:rsid w:val="00AA3D12"/>
    <w:rsid w:val="00AA506F"/>
    <w:rsid w:val="00AA7AB5"/>
    <w:rsid w:val="00AB0983"/>
    <w:rsid w:val="00AB3A92"/>
    <w:rsid w:val="00AB6567"/>
    <w:rsid w:val="00AB755B"/>
    <w:rsid w:val="00AC1ADB"/>
    <w:rsid w:val="00AC259E"/>
    <w:rsid w:val="00AC2CC0"/>
    <w:rsid w:val="00AC4D38"/>
    <w:rsid w:val="00AD0576"/>
    <w:rsid w:val="00AD205D"/>
    <w:rsid w:val="00AD20E8"/>
    <w:rsid w:val="00AD254A"/>
    <w:rsid w:val="00AD35BA"/>
    <w:rsid w:val="00AD3A60"/>
    <w:rsid w:val="00AD444F"/>
    <w:rsid w:val="00AE08E5"/>
    <w:rsid w:val="00AE278C"/>
    <w:rsid w:val="00AE37A3"/>
    <w:rsid w:val="00AE39D2"/>
    <w:rsid w:val="00AE4C7B"/>
    <w:rsid w:val="00AE531C"/>
    <w:rsid w:val="00AE57CF"/>
    <w:rsid w:val="00AE62A7"/>
    <w:rsid w:val="00AE7951"/>
    <w:rsid w:val="00AE7B87"/>
    <w:rsid w:val="00AE7CA9"/>
    <w:rsid w:val="00AF0142"/>
    <w:rsid w:val="00AF066E"/>
    <w:rsid w:val="00AF1CEB"/>
    <w:rsid w:val="00AF2B17"/>
    <w:rsid w:val="00AF40C3"/>
    <w:rsid w:val="00AF43C3"/>
    <w:rsid w:val="00AF4D84"/>
    <w:rsid w:val="00AF4E79"/>
    <w:rsid w:val="00AF6004"/>
    <w:rsid w:val="00AF7680"/>
    <w:rsid w:val="00B000D2"/>
    <w:rsid w:val="00B0010E"/>
    <w:rsid w:val="00B0023D"/>
    <w:rsid w:val="00B00879"/>
    <w:rsid w:val="00B008BA"/>
    <w:rsid w:val="00B014FC"/>
    <w:rsid w:val="00B021BC"/>
    <w:rsid w:val="00B02FCE"/>
    <w:rsid w:val="00B02FF1"/>
    <w:rsid w:val="00B032FF"/>
    <w:rsid w:val="00B045E7"/>
    <w:rsid w:val="00B05E41"/>
    <w:rsid w:val="00B0651F"/>
    <w:rsid w:val="00B06D56"/>
    <w:rsid w:val="00B07899"/>
    <w:rsid w:val="00B12680"/>
    <w:rsid w:val="00B126AA"/>
    <w:rsid w:val="00B14EAE"/>
    <w:rsid w:val="00B1631C"/>
    <w:rsid w:val="00B16849"/>
    <w:rsid w:val="00B20192"/>
    <w:rsid w:val="00B20353"/>
    <w:rsid w:val="00B222BA"/>
    <w:rsid w:val="00B230CD"/>
    <w:rsid w:val="00B23643"/>
    <w:rsid w:val="00B23E08"/>
    <w:rsid w:val="00B240F2"/>
    <w:rsid w:val="00B24426"/>
    <w:rsid w:val="00B24AD6"/>
    <w:rsid w:val="00B258D7"/>
    <w:rsid w:val="00B268B4"/>
    <w:rsid w:val="00B26A9B"/>
    <w:rsid w:val="00B27867"/>
    <w:rsid w:val="00B30010"/>
    <w:rsid w:val="00B32C7E"/>
    <w:rsid w:val="00B32EF6"/>
    <w:rsid w:val="00B34A50"/>
    <w:rsid w:val="00B35FD8"/>
    <w:rsid w:val="00B362AE"/>
    <w:rsid w:val="00B36C5D"/>
    <w:rsid w:val="00B37FDD"/>
    <w:rsid w:val="00B41B9D"/>
    <w:rsid w:val="00B42225"/>
    <w:rsid w:val="00B43FE4"/>
    <w:rsid w:val="00B44FAC"/>
    <w:rsid w:val="00B47759"/>
    <w:rsid w:val="00B514E3"/>
    <w:rsid w:val="00B51DFB"/>
    <w:rsid w:val="00B53AD4"/>
    <w:rsid w:val="00B55AA1"/>
    <w:rsid w:val="00B55FFA"/>
    <w:rsid w:val="00B5675D"/>
    <w:rsid w:val="00B61347"/>
    <w:rsid w:val="00B61477"/>
    <w:rsid w:val="00B623E0"/>
    <w:rsid w:val="00B6253A"/>
    <w:rsid w:val="00B629CA"/>
    <w:rsid w:val="00B63472"/>
    <w:rsid w:val="00B6374D"/>
    <w:rsid w:val="00B63EDC"/>
    <w:rsid w:val="00B65109"/>
    <w:rsid w:val="00B6517B"/>
    <w:rsid w:val="00B65241"/>
    <w:rsid w:val="00B6595B"/>
    <w:rsid w:val="00B66366"/>
    <w:rsid w:val="00B66941"/>
    <w:rsid w:val="00B66EE6"/>
    <w:rsid w:val="00B67F44"/>
    <w:rsid w:val="00B701B3"/>
    <w:rsid w:val="00B701F5"/>
    <w:rsid w:val="00B7031D"/>
    <w:rsid w:val="00B70933"/>
    <w:rsid w:val="00B70D77"/>
    <w:rsid w:val="00B718B8"/>
    <w:rsid w:val="00B71E4B"/>
    <w:rsid w:val="00B731D3"/>
    <w:rsid w:val="00B73C91"/>
    <w:rsid w:val="00B744E1"/>
    <w:rsid w:val="00B753A3"/>
    <w:rsid w:val="00B76094"/>
    <w:rsid w:val="00B81B7B"/>
    <w:rsid w:val="00B82E17"/>
    <w:rsid w:val="00B85EA9"/>
    <w:rsid w:val="00B862CA"/>
    <w:rsid w:val="00B86EFB"/>
    <w:rsid w:val="00B8736C"/>
    <w:rsid w:val="00B878C8"/>
    <w:rsid w:val="00B90368"/>
    <w:rsid w:val="00B90A5E"/>
    <w:rsid w:val="00B915F0"/>
    <w:rsid w:val="00B915F6"/>
    <w:rsid w:val="00B9305E"/>
    <w:rsid w:val="00B93982"/>
    <w:rsid w:val="00B93EA9"/>
    <w:rsid w:val="00B943B3"/>
    <w:rsid w:val="00B94C7D"/>
    <w:rsid w:val="00B96664"/>
    <w:rsid w:val="00B979E9"/>
    <w:rsid w:val="00BA04F8"/>
    <w:rsid w:val="00BA28E9"/>
    <w:rsid w:val="00BA4E11"/>
    <w:rsid w:val="00BA527B"/>
    <w:rsid w:val="00BA5752"/>
    <w:rsid w:val="00BA5BD0"/>
    <w:rsid w:val="00BA75D4"/>
    <w:rsid w:val="00BA7D16"/>
    <w:rsid w:val="00BB1178"/>
    <w:rsid w:val="00BB1630"/>
    <w:rsid w:val="00BB1F71"/>
    <w:rsid w:val="00BB4F73"/>
    <w:rsid w:val="00BB694C"/>
    <w:rsid w:val="00BB75C7"/>
    <w:rsid w:val="00BC0B72"/>
    <w:rsid w:val="00BC20DD"/>
    <w:rsid w:val="00BC2810"/>
    <w:rsid w:val="00BC28F1"/>
    <w:rsid w:val="00BC348B"/>
    <w:rsid w:val="00BC3634"/>
    <w:rsid w:val="00BC69E4"/>
    <w:rsid w:val="00BC6ED9"/>
    <w:rsid w:val="00BD0CA8"/>
    <w:rsid w:val="00BD15A1"/>
    <w:rsid w:val="00BD183B"/>
    <w:rsid w:val="00BD3FA2"/>
    <w:rsid w:val="00BD4E3C"/>
    <w:rsid w:val="00BD4E66"/>
    <w:rsid w:val="00BD5D9D"/>
    <w:rsid w:val="00BD6B2E"/>
    <w:rsid w:val="00BD792A"/>
    <w:rsid w:val="00BE1118"/>
    <w:rsid w:val="00BE15D9"/>
    <w:rsid w:val="00BE2682"/>
    <w:rsid w:val="00BE4B63"/>
    <w:rsid w:val="00BE5C18"/>
    <w:rsid w:val="00BE5D46"/>
    <w:rsid w:val="00BE5DE2"/>
    <w:rsid w:val="00BE6A29"/>
    <w:rsid w:val="00BE74A2"/>
    <w:rsid w:val="00BF00BD"/>
    <w:rsid w:val="00BF0F93"/>
    <w:rsid w:val="00BF3555"/>
    <w:rsid w:val="00BF5207"/>
    <w:rsid w:val="00BF5789"/>
    <w:rsid w:val="00BF605D"/>
    <w:rsid w:val="00C01E5B"/>
    <w:rsid w:val="00C04C4C"/>
    <w:rsid w:val="00C056C9"/>
    <w:rsid w:val="00C063AA"/>
    <w:rsid w:val="00C06AC6"/>
    <w:rsid w:val="00C1008B"/>
    <w:rsid w:val="00C10338"/>
    <w:rsid w:val="00C10D66"/>
    <w:rsid w:val="00C1102A"/>
    <w:rsid w:val="00C11710"/>
    <w:rsid w:val="00C12D7C"/>
    <w:rsid w:val="00C13616"/>
    <w:rsid w:val="00C15275"/>
    <w:rsid w:val="00C178F3"/>
    <w:rsid w:val="00C23C5E"/>
    <w:rsid w:val="00C26215"/>
    <w:rsid w:val="00C2757E"/>
    <w:rsid w:val="00C31B2F"/>
    <w:rsid w:val="00C31FE5"/>
    <w:rsid w:val="00C3269B"/>
    <w:rsid w:val="00C34119"/>
    <w:rsid w:val="00C401FB"/>
    <w:rsid w:val="00C441BB"/>
    <w:rsid w:val="00C45FB3"/>
    <w:rsid w:val="00C4645E"/>
    <w:rsid w:val="00C467D2"/>
    <w:rsid w:val="00C46DD3"/>
    <w:rsid w:val="00C474F6"/>
    <w:rsid w:val="00C47C62"/>
    <w:rsid w:val="00C525E6"/>
    <w:rsid w:val="00C52D7D"/>
    <w:rsid w:val="00C53CB3"/>
    <w:rsid w:val="00C55F34"/>
    <w:rsid w:val="00C560C6"/>
    <w:rsid w:val="00C56EE0"/>
    <w:rsid w:val="00C56EE9"/>
    <w:rsid w:val="00C57C83"/>
    <w:rsid w:val="00C60273"/>
    <w:rsid w:val="00C6092C"/>
    <w:rsid w:val="00C6320E"/>
    <w:rsid w:val="00C63B50"/>
    <w:rsid w:val="00C64982"/>
    <w:rsid w:val="00C65784"/>
    <w:rsid w:val="00C67A42"/>
    <w:rsid w:val="00C724E5"/>
    <w:rsid w:val="00C73249"/>
    <w:rsid w:val="00C735D5"/>
    <w:rsid w:val="00C7375C"/>
    <w:rsid w:val="00C73993"/>
    <w:rsid w:val="00C76101"/>
    <w:rsid w:val="00C80D58"/>
    <w:rsid w:val="00C8561C"/>
    <w:rsid w:val="00C86C2E"/>
    <w:rsid w:val="00C87087"/>
    <w:rsid w:val="00C9007E"/>
    <w:rsid w:val="00C90493"/>
    <w:rsid w:val="00C91782"/>
    <w:rsid w:val="00C92086"/>
    <w:rsid w:val="00C969E3"/>
    <w:rsid w:val="00C97A86"/>
    <w:rsid w:val="00CA1DF1"/>
    <w:rsid w:val="00CA20D4"/>
    <w:rsid w:val="00CA4209"/>
    <w:rsid w:val="00CA4473"/>
    <w:rsid w:val="00CB08FA"/>
    <w:rsid w:val="00CB0F2A"/>
    <w:rsid w:val="00CB274B"/>
    <w:rsid w:val="00CB30E6"/>
    <w:rsid w:val="00CB3A78"/>
    <w:rsid w:val="00CB4DEF"/>
    <w:rsid w:val="00CB6E90"/>
    <w:rsid w:val="00CC07B2"/>
    <w:rsid w:val="00CC0EA4"/>
    <w:rsid w:val="00CC0F62"/>
    <w:rsid w:val="00CC1ADA"/>
    <w:rsid w:val="00CC1FB0"/>
    <w:rsid w:val="00CC3FFB"/>
    <w:rsid w:val="00CC456C"/>
    <w:rsid w:val="00CC5447"/>
    <w:rsid w:val="00CC62F8"/>
    <w:rsid w:val="00CC6316"/>
    <w:rsid w:val="00CC76D2"/>
    <w:rsid w:val="00CD0247"/>
    <w:rsid w:val="00CD0CFA"/>
    <w:rsid w:val="00CD1F9A"/>
    <w:rsid w:val="00CD2077"/>
    <w:rsid w:val="00CD25BA"/>
    <w:rsid w:val="00CD365A"/>
    <w:rsid w:val="00CD36D6"/>
    <w:rsid w:val="00CD3775"/>
    <w:rsid w:val="00CD3B39"/>
    <w:rsid w:val="00CD5262"/>
    <w:rsid w:val="00CE04E2"/>
    <w:rsid w:val="00CE1B11"/>
    <w:rsid w:val="00CE1C6D"/>
    <w:rsid w:val="00CE1E7A"/>
    <w:rsid w:val="00CE2361"/>
    <w:rsid w:val="00CE29AF"/>
    <w:rsid w:val="00CE2F2B"/>
    <w:rsid w:val="00CE5D31"/>
    <w:rsid w:val="00CE5F14"/>
    <w:rsid w:val="00CE743B"/>
    <w:rsid w:val="00CF006E"/>
    <w:rsid w:val="00CF01FB"/>
    <w:rsid w:val="00CF3893"/>
    <w:rsid w:val="00CF3920"/>
    <w:rsid w:val="00CF5377"/>
    <w:rsid w:val="00CF65B1"/>
    <w:rsid w:val="00CF6CFB"/>
    <w:rsid w:val="00CF7300"/>
    <w:rsid w:val="00CF78D0"/>
    <w:rsid w:val="00D011B2"/>
    <w:rsid w:val="00D04A41"/>
    <w:rsid w:val="00D067AD"/>
    <w:rsid w:val="00D06A5A"/>
    <w:rsid w:val="00D0721C"/>
    <w:rsid w:val="00D1290F"/>
    <w:rsid w:val="00D12FBB"/>
    <w:rsid w:val="00D13288"/>
    <w:rsid w:val="00D143BA"/>
    <w:rsid w:val="00D14564"/>
    <w:rsid w:val="00D15CD2"/>
    <w:rsid w:val="00D17779"/>
    <w:rsid w:val="00D17962"/>
    <w:rsid w:val="00D23456"/>
    <w:rsid w:val="00D23881"/>
    <w:rsid w:val="00D23C9A"/>
    <w:rsid w:val="00D24B32"/>
    <w:rsid w:val="00D251D4"/>
    <w:rsid w:val="00D25B32"/>
    <w:rsid w:val="00D273B4"/>
    <w:rsid w:val="00D27AE8"/>
    <w:rsid w:val="00D27B0B"/>
    <w:rsid w:val="00D27BD7"/>
    <w:rsid w:val="00D30171"/>
    <w:rsid w:val="00D301EC"/>
    <w:rsid w:val="00D302CB"/>
    <w:rsid w:val="00D309ED"/>
    <w:rsid w:val="00D33321"/>
    <w:rsid w:val="00D34BE7"/>
    <w:rsid w:val="00D35962"/>
    <w:rsid w:val="00D364CD"/>
    <w:rsid w:val="00D40586"/>
    <w:rsid w:val="00D4065C"/>
    <w:rsid w:val="00D4156B"/>
    <w:rsid w:val="00D4182D"/>
    <w:rsid w:val="00D418DD"/>
    <w:rsid w:val="00D41A4D"/>
    <w:rsid w:val="00D44CF8"/>
    <w:rsid w:val="00D451C3"/>
    <w:rsid w:val="00D4602B"/>
    <w:rsid w:val="00D470BE"/>
    <w:rsid w:val="00D504F1"/>
    <w:rsid w:val="00D5070F"/>
    <w:rsid w:val="00D51918"/>
    <w:rsid w:val="00D5202F"/>
    <w:rsid w:val="00D53090"/>
    <w:rsid w:val="00D545E6"/>
    <w:rsid w:val="00D54C8A"/>
    <w:rsid w:val="00D55C8F"/>
    <w:rsid w:val="00D56E22"/>
    <w:rsid w:val="00D5712E"/>
    <w:rsid w:val="00D572A1"/>
    <w:rsid w:val="00D57CBF"/>
    <w:rsid w:val="00D6001F"/>
    <w:rsid w:val="00D60374"/>
    <w:rsid w:val="00D6205C"/>
    <w:rsid w:val="00D65369"/>
    <w:rsid w:val="00D65BA4"/>
    <w:rsid w:val="00D669D0"/>
    <w:rsid w:val="00D67B71"/>
    <w:rsid w:val="00D708B7"/>
    <w:rsid w:val="00D708FA"/>
    <w:rsid w:val="00D715E2"/>
    <w:rsid w:val="00D72332"/>
    <w:rsid w:val="00D76594"/>
    <w:rsid w:val="00D77119"/>
    <w:rsid w:val="00D77485"/>
    <w:rsid w:val="00D77D96"/>
    <w:rsid w:val="00D80782"/>
    <w:rsid w:val="00D808B3"/>
    <w:rsid w:val="00D8185D"/>
    <w:rsid w:val="00D81A20"/>
    <w:rsid w:val="00D82527"/>
    <w:rsid w:val="00D82D8D"/>
    <w:rsid w:val="00D84C0B"/>
    <w:rsid w:val="00D850AB"/>
    <w:rsid w:val="00D850FB"/>
    <w:rsid w:val="00D86590"/>
    <w:rsid w:val="00D86AB1"/>
    <w:rsid w:val="00D87D8F"/>
    <w:rsid w:val="00D90C5B"/>
    <w:rsid w:val="00D914D8"/>
    <w:rsid w:val="00D9568E"/>
    <w:rsid w:val="00D97CF7"/>
    <w:rsid w:val="00DA017A"/>
    <w:rsid w:val="00DA0AF9"/>
    <w:rsid w:val="00DA210C"/>
    <w:rsid w:val="00DA27D7"/>
    <w:rsid w:val="00DA327B"/>
    <w:rsid w:val="00DA32D2"/>
    <w:rsid w:val="00DA3CBD"/>
    <w:rsid w:val="00DA4439"/>
    <w:rsid w:val="00DA4D97"/>
    <w:rsid w:val="00DA4EE5"/>
    <w:rsid w:val="00DA5A45"/>
    <w:rsid w:val="00DA5AEB"/>
    <w:rsid w:val="00DA75EC"/>
    <w:rsid w:val="00DB070A"/>
    <w:rsid w:val="00DB22B7"/>
    <w:rsid w:val="00DB3778"/>
    <w:rsid w:val="00DB46DE"/>
    <w:rsid w:val="00DB4C08"/>
    <w:rsid w:val="00DB532D"/>
    <w:rsid w:val="00DC1D25"/>
    <w:rsid w:val="00DC2E23"/>
    <w:rsid w:val="00DC3926"/>
    <w:rsid w:val="00DC401A"/>
    <w:rsid w:val="00DC43EA"/>
    <w:rsid w:val="00DC522B"/>
    <w:rsid w:val="00DC5530"/>
    <w:rsid w:val="00DC67C1"/>
    <w:rsid w:val="00DC749D"/>
    <w:rsid w:val="00DD002D"/>
    <w:rsid w:val="00DD11FA"/>
    <w:rsid w:val="00DD162E"/>
    <w:rsid w:val="00DD2274"/>
    <w:rsid w:val="00DD2EAC"/>
    <w:rsid w:val="00DD386F"/>
    <w:rsid w:val="00DD40FE"/>
    <w:rsid w:val="00DE0339"/>
    <w:rsid w:val="00DE0B17"/>
    <w:rsid w:val="00DE1EF9"/>
    <w:rsid w:val="00DE7511"/>
    <w:rsid w:val="00DE7C59"/>
    <w:rsid w:val="00DF0664"/>
    <w:rsid w:val="00DF06FB"/>
    <w:rsid w:val="00DF0CDF"/>
    <w:rsid w:val="00DF1542"/>
    <w:rsid w:val="00DF1762"/>
    <w:rsid w:val="00DF21D2"/>
    <w:rsid w:val="00DF3392"/>
    <w:rsid w:val="00DF34D0"/>
    <w:rsid w:val="00DF3CF1"/>
    <w:rsid w:val="00DF44A4"/>
    <w:rsid w:val="00DF788A"/>
    <w:rsid w:val="00E00DEC"/>
    <w:rsid w:val="00E06A3B"/>
    <w:rsid w:val="00E0733D"/>
    <w:rsid w:val="00E07606"/>
    <w:rsid w:val="00E1086E"/>
    <w:rsid w:val="00E11FAF"/>
    <w:rsid w:val="00E123CB"/>
    <w:rsid w:val="00E12AAF"/>
    <w:rsid w:val="00E13577"/>
    <w:rsid w:val="00E1389C"/>
    <w:rsid w:val="00E14E2F"/>
    <w:rsid w:val="00E16231"/>
    <w:rsid w:val="00E163EE"/>
    <w:rsid w:val="00E17199"/>
    <w:rsid w:val="00E178DB"/>
    <w:rsid w:val="00E2035D"/>
    <w:rsid w:val="00E2128A"/>
    <w:rsid w:val="00E21878"/>
    <w:rsid w:val="00E22E2E"/>
    <w:rsid w:val="00E24CDC"/>
    <w:rsid w:val="00E25B10"/>
    <w:rsid w:val="00E269CC"/>
    <w:rsid w:val="00E278D2"/>
    <w:rsid w:val="00E30624"/>
    <w:rsid w:val="00E31BC1"/>
    <w:rsid w:val="00E31D15"/>
    <w:rsid w:val="00E32E09"/>
    <w:rsid w:val="00E3310C"/>
    <w:rsid w:val="00E347E0"/>
    <w:rsid w:val="00E348E9"/>
    <w:rsid w:val="00E34E4B"/>
    <w:rsid w:val="00E35A90"/>
    <w:rsid w:val="00E37F43"/>
    <w:rsid w:val="00E41600"/>
    <w:rsid w:val="00E4196E"/>
    <w:rsid w:val="00E42603"/>
    <w:rsid w:val="00E42CA8"/>
    <w:rsid w:val="00E4615C"/>
    <w:rsid w:val="00E46D85"/>
    <w:rsid w:val="00E47DF9"/>
    <w:rsid w:val="00E50086"/>
    <w:rsid w:val="00E500D4"/>
    <w:rsid w:val="00E51530"/>
    <w:rsid w:val="00E521F3"/>
    <w:rsid w:val="00E52E98"/>
    <w:rsid w:val="00E5302D"/>
    <w:rsid w:val="00E543CD"/>
    <w:rsid w:val="00E54BA5"/>
    <w:rsid w:val="00E55B1A"/>
    <w:rsid w:val="00E5609A"/>
    <w:rsid w:val="00E56115"/>
    <w:rsid w:val="00E561D9"/>
    <w:rsid w:val="00E567EB"/>
    <w:rsid w:val="00E56C90"/>
    <w:rsid w:val="00E5729B"/>
    <w:rsid w:val="00E60ED7"/>
    <w:rsid w:val="00E6106B"/>
    <w:rsid w:val="00E63523"/>
    <w:rsid w:val="00E64489"/>
    <w:rsid w:val="00E658CD"/>
    <w:rsid w:val="00E65E56"/>
    <w:rsid w:val="00E70AB4"/>
    <w:rsid w:val="00E70FA8"/>
    <w:rsid w:val="00E73B8F"/>
    <w:rsid w:val="00E7451C"/>
    <w:rsid w:val="00E74DF5"/>
    <w:rsid w:val="00E75636"/>
    <w:rsid w:val="00E75646"/>
    <w:rsid w:val="00E77345"/>
    <w:rsid w:val="00E81442"/>
    <w:rsid w:val="00E81F72"/>
    <w:rsid w:val="00E82E2A"/>
    <w:rsid w:val="00E82E67"/>
    <w:rsid w:val="00E834D1"/>
    <w:rsid w:val="00E84CD1"/>
    <w:rsid w:val="00E86116"/>
    <w:rsid w:val="00E87D63"/>
    <w:rsid w:val="00E917F7"/>
    <w:rsid w:val="00E91EA8"/>
    <w:rsid w:val="00E9255A"/>
    <w:rsid w:val="00E94A29"/>
    <w:rsid w:val="00E95377"/>
    <w:rsid w:val="00E96C1F"/>
    <w:rsid w:val="00E96FAA"/>
    <w:rsid w:val="00E970E0"/>
    <w:rsid w:val="00E973B7"/>
    <w:rsid w:val="00E97B3A"/>
    <w:rsid w:val="00E97C09"/>
    <w:rsid w:val="00EA294F"/>
    <w:rsid w:val="00EA2E4E"/>
    <w:rsid w:val="00EA3D7D"/>
    <w:rsid w:val="00EA4626"/>
    <w:rsid w:val="00EA471C"/>
    <w:rsid w:val="00EA49AD"/>
    <w:rsid w:val="00EA5CA2"/>
    <w:rsid w:val="00EB001B"/>
    <w:rsid w:val="00EB1DAA"/>
    <w:rsid w:val="00EB258A"/>
    <w:rsid w:val="00EB2C0D"/>
    <w:rsid w:val="00EB3690"/>
    <w:rsid w:val="00EB4E0B"/>
    <w:rsid w:val="00EB5571"/>
    <w:rsid w:val="00EB5E62"/>
    <w:rsid w:val="00EB622F"/>
    <w:rsid w:val="00EB6A0B"/>
    <w:rsid w:val="00EB6FBE"/>
    <w:rsid w:val="00EB7A2D"/>
    <w:rsid w:val="00EC05F7"/>
    <w:rsid w:val="00EC1A5B"/>
    <w:rsid w:val="00EC294F"/>
    <w:rsid w:val="00EC2C80"/>
    <w:rsid w:val="00EC4F8D"/>
    <w:rsid w:val="00EC5128"/>
    <w:rsid w:val="00ED18E8"/>
    <w:rsid w:val="00ED1DCF"/>
    <w:rsid w:val="00ED2856"/>
    <w:rsid w:val="00ED314A"/>
    <w:rsid w:val="00ED3A5B"/>
    <w:rsid w:val="00ED3FD2"/>
    <w:rsid w:val="00ED7697"/>
    <w:rsid w:val="00ED7B5A"/>
    <w:rsid w:val="00ED7DF7"/>
    <w:rsid w:val="00ED7E31"/>
    <w:rsid w:val="00EE0BD7"/>
    <w:rsid w:val="00EE251E"/>
    <w:rsid w:val="00EE2802"/>
    <w:rsid w:val="00EE3C32"/>
    <w:rsid w:val="00EE4C0C"/>
    <w:rsid w:val="00EE657B"/>
    <w:rsid w:val="00EE7400"/>
    <w:rsid w:val="00EE7F0B"/>
    <w:rsid w:val="00EF12B1"/>
    <w:rsid w:val="00EF3BF1"/>
    <w:rsid w:val="00EF4880"/>
    <w:rsid w:val="00EF6B69"/>
    <w:rsid w:val="00F00239"/>
    <w:rsid w:val="00F02464"/>
    <w:rsid w:val="00F0270E"/>
    <w:rsid w:val="00F02873"/>
    <w:rsid w:val="00F028F3"/>
    <w:rsid w:val="00F02A99"/>
    <w:rsid w:val="00F02D98"/>
    <w:rsid w:val="00F03418"/>
    <w:rsid w:val="00F04BF1"/>
    <w:rsid w:val="00F065EE"/>
    <w:rsid w:val="00F07056"/>
    <w:rsid w:val="00F10109"/>
    <w:rsid w:val="00F13194"/>
    <w:rsid w:val="00F132A1"/>
    <w:rsid w:val="00F14660"/>
    <w:rsid w:val="00F14C5A"/>
    <w:rsid w:val="00F14E07"/>
    <w:rsid w:val="00F15A96"/>
    <w:rsid w:val="00F161E2"/>
    <w:rsid w:val="00F16451"/>
    <w:rsid w:val="00F16E88"/>
    <w:rsid w:val="00F17174"/>
    <w:rsid w:val="00F177BA"/>
    <w:rsid w:val="00F17AFA"/>
    <w:rsid w:val="00F2156D"/>
    <w:rsid w:val="00F216A3"/>
    <w:rsid w:val="00F22E7A"/>
    <w:rsid w:val="00F230C3"/>
    <w:rsid w:val="00F27692"/>
    <w:rsid w:val="00F304C9"/>
    <w:rsid w:val="00F31C33"/>
    <w:rsid w:val="00F32C87"/>
    <w:rsid w:val="00F351D8"/>
    <w:rsid w:val="00F3554B"/>
    <w:rsid w:val="00F36F85"/>
    <w:rsid w:val="00F40572"/>
    <w:rsid w:val="00F42314"/>
    <w:rsid w:val="00F43C07"/>
    <w:rsid w:val="00F4741D"/>
    <w:rsid w:val="00F474F2"/>
    <w:rsid w:val="00F50216"/>
    <w:rsid w:val="00F50BDB"/>
    <w:rsid w:val="00F513CB"/>
    <w:rsid w:val="00F51D9D"/>
    <w:rsid w:val="00F53B08"/>
    <w:rsid w:val="00F55E41"/>
    <w:rsid w:val="00F56B46"/>
    <w:rsid w:val="00F574D1"/>
    <w:rsid w:val="00F57B23"/>
    <w:rsid w:val="00F57D55"/>
    <w:rsid w:val="00F60653"/>
    <w:rsid w:val="00F60B6A"/>
    <w:rsid w:val="00F60E56"/>
    <w:rsid w:val="00F62C10"/>
    <w:rsid w:val="00F63832"/>
    <w:rsid w:val="00F64439"/>
    <w:rsid w:val="00F651AD"/>
    <w:rsid w:val="00F65B51"/>
    <w:rsid w:val="00F666A8"/>
    <w:rsid w:val="00F70001"/>
    <w:rsid w:val="00F700EF"/>
    <w:rsid w:val="00F71500"/>
    <w:rsid w:val="00F71B5E"/>
    <w:rsid w:val="00F72F58"/>
    <w:rsid w:val="00F73701"/>
    <w:rsid w:val="00F76801"/>
    <w:rsid w:val="00F76B02"/>
    <w:rsid w:val="00F76F9E"/>
    <w:rsid w:val="00F770A5"/>
    <w:rsid w:val="00F77595"/>
    <w:rsid w:val="00F80888"/>
    <w:rsid w:val="00F80C82"/>
    <w:rsid w:val="00F81E0C"/>
    <w:rsid w:val="00F827A0"/>
    <w:rsid w:val="00F82BCF"/>
    <w:rsid w:val="00F842F1"/>
    <w:rsid w:val="00F862B7"/>
    <w:rsid w:val="00F868ED"/>
    <w:rsid w:val="00F876B4"/>
    <w:rsid w:val="00F900D3"/>
    <w:rsid w:val="00F90382"/>
    <w:rsid w:val="00F90446"/>
    <w:rsid w:val="00F908FB"/>
    <w:rsid w:val="00F92648"/>
    <w:rsid w:val="00F92837"/>
    <w:rsid w:val="00F92E0C"/>
    <w:rsid w:val="00F930E0"/>
    <w:rsid w:val="00F94A62"/>
    <w:rsid w:val="00F96323"/>
    <w:rsid w:val="00F96607"/>
    <w:rsid w:val="00F978C2"/>
    <w:rsid w:val="00FA0E97"/>
    <w:rsid w:val="00FA0FCE"/>
    <w:rsid w:val="00FA108F"/>
    <w:rsid w:val="00FA1E90"/>
    <w:rsid w:val="00FA29BA"/>
    <w:rsid w:val="00FA2C78"/>
    <w:rsid w:val="00FA367A"/>
    <w:rsid w:val="00FA46E8"/>
    <w:rsid w:val="00FA4A1D"/>
    <w:rsid w:val="00FA7B1D"/>
    <w:rsid w:val="00FB0B69"/>
    <w:rsid w:val="00FB1D15"/>
    <w:rsid w:val="00FB1F77"/>
    <w:rsid w:val="00FB23E1"/>
    <w:rsid w:val="00FB30DE"/>
    <w:rsid w:val="00FB3D00"/>
    <w:rsid w:val="00FB4193"/>
    <w:rsid w:val="00FB423D"/>
    <w:rsid w:val="00FB5A01"/>
    <w:rsid w:val="00FB68CF"/>
    <w:rsid w:val="00FB6D8A"/>
    <w:rsid w:val="00FB6DF4"/>
    <w:rsid w:val="00FB7B0C"/>
    <w:rsid w:val="00FB7C58"/>
    <w:rsid w:val="00FC1AC9"/>
    <w:rsid w:val="00FC1E3C"/>
    <w:rsid w:val="00FC32C2"/>
    <w:rsid w:val="00FC4ED4"/>
    <w:rsid w:val="00FC4F40"/>
    <w:rsid w:val="00FD172E"/>
    <w:rsid w:val="00FD21F1"/>
    <w:rsid w:val="00FD269A"/>
    <w:rsid w:val="00FD3F52"/>
    <w:rsid w:val="00FD49D2"/>
    <w:rsid w:val="00FD6A9B"/>
    <w:rsid w:val="00FD6F6A"/>
    <w:rsid w:val="00FD7DCA"/>
    <w:rsid w:val="00FE0BD7"/>
    <w:rsid w:val="00FE2C09"/>
    <w:rsid w:val="00FE2F46"/>
    <w:rsid w:val="00FE31C2"/>
    <w:rsid w:val="00FE4125"/>
    <w:rsid w:val="00FE6C2F"/>
    <w:rsid w:val="00FE74F2"/>
    <w:rsid w:val="00FF040C"/>
    <w:rsid w:val="00FF148F"/>
    <w:rsid w:val="00FF15F0"/>
    <w:rsid w:val="00FF3129"/>
    <w:rsid w:val="00FF331C"/>
    <w:rsid w:val="00FF429A"/>
    <w:rsid w:val="00FF429D"/>
  </w:rsids>
  <m:mathPr>
    <m:mathFont m:val="Cambria Math"/>
    <m:brkBin m:val="before"/>
    <m:brkBinSub m:val="--"/>
    <m:smallFrac/>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959605B"/>
  <w15:chartTrackingRefBased/>
  <w15:docId w15:val="{2D818645-ECAC-4BF8-822A-06B50440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Title" w:qFormat="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76F22"/>
    <w:pPr>
      <w:jc w:val="both"/>
    </w:pPr>
    <w:rPr>
      <w:sz w:val="22"/>
      <w:szCs w:val="24"/>
      <w:lang w:val="en-GB" w:eastAsia="en-US"/>
    </w:rPr>
  </w:style>
  <w:style w:type="paragraph" w:styleId="Heading1">
    <w:name w:val="heading 1"/>
    <w:basedOn w:val="Normal"/>
    <w:next w:val="Heading2"/>
    <w:link w:val="Heading1Char"/>
    <w:qFormat/>
    <w:rsid w:val="00A76F22"/>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A76F22"/>
    <w:pPr>
      <w:keepNext/>
      <w:tabs>
        <w:tab w:val="left" w:pos="720"/>
      </w:tabs>
      <w:spacing w:before="120" w:after="120"/>
      <w:jc w:val="center"/>
      <w:outlineLvl w:val="1"/>
    </w:pPr>
    <w:rPr>
      <w:b/>
      <w:bCs/>
      <w:i/>
      <w:iCs/>
    </w:rPr>
  </w:style>
  <w:style w:type="paragraph" w:styleId="Heading3">
    <w:name w:val="heading 3"/>
    <w:basedOn w:val="Normal"/>
    <w:next w:val="Normal"/>
    <w:qFormat/>
    <w:rsid w:val="00A76F22"/>
    <w:pPr>
      <w:keepNext/>
      <w:tabs>
        <w:tab w:val="left" w:pos="567"/>
      </w:tabs>
      <w:spacing w:before="120" w:after="120"/>
      <w:jc w:val="center"/>
      <w:outlineLvl w:val="2"/>
    </w:pPr>
    <w:rPr>
      <w:i/>
      <w:iCs/>
    </w:rPr>
  </w:style>
  <w:style w:type="paragraph" w:styleId="Heading40">
    <w:name w:val="heading 4"/>
    <w:basedOn w:val="Normal"/>
    <w:link w:val="Heading4Char"/>
    <w:qFormat/>
    <w:rsid w:val="00A76F22"/>
    <w:pPr>
      <w:keepNext/>
      <w:spacing w:before="120" w:after="120"/>
      <w:outlineLvl w:val="3"/>
    </w:pPr>
    <w:rPr>
      <w:rFonts w:ascii="Times New Roman Bold" w:eastAsia="Arial Unicode MS" w:hAnsi="Times New Roman Bold"/>
      <w:b/>
      <w:bCs/>
      <w:i/>
    </w:rPr>
  </w:style>
  <w:style w:type="paragraph" w:styleId="Heading5">
    <w:name w:val="heading 5"/>
    <w:basedOn w:val="Normal"/>
    <w:next w:val="Normal"/>
    <w:link w:val="Heading5Char"/>
    <w:qFormat/>
    <w:rsid w:val="00A76F22"/>
    <w:pPr>
      <w:keepNext/>
      <w:numPr>
        <w:ilvl w:val="4"/>
        <w:numId w:val="2"/>
      </w:numPr>
      <w:spacing w:before="120" w:after="120"/>
      <w:jc w:val="left"/>
      <w:outlineLvl w:val="4"/>
    </w:pPr>
    <w:rPr>
      <w:bCs/>
      <w:i/>
      <w:szCs w:val="26"/>
      <w:lang w:val="en-CA" w:eastAsia="x-none"/>
    </w:rPr>
  </w:style>
  <w:style w:type="paragraph" w:styleId="Heading6">
    <w:name w:val="heading 6"/>
    <w:basedOn w:val="Normal"/>
    <w:next w:val="Normal"/>
    <w:link w:val="Heading6Char"/>
    <w:qFormat/>
    <w:rsid w:val="00A76F22"/>
    <w:pPr>
      <w:keepNext/>
      <w:spacing w:after="240" w:line="240" w:lineRule="exact"/>
      <w:ind w:left="720"/>
      <w:outlineLvl w:val="5"/>
    </w:pPr>
    <w:rPr>
      <w:u w:val="single"/>
    </w:rPr>
  </w:style>
  <w:style w:type="paragraph" w:styleId="Heading7">
    <w:name w:val="heading 7"/>
    <w:basedOn w:val="Normal"/>
    <w:next w:val="Normal"/>
    <w:link w:val="Heading7Char"/>
    <w:qFormat/>
    <w:rsid w:val="00A76F22"/>
    <w:pPr>
      <w:keepNext/>
      <w:jc w:val="right"/>
      <w:outlineLvl w:val="6"/>
    </w:pPr>
    <w:rPr>
      <w:rFonts w:ascii="Univers" w:hAnsi="Univers"/>
      <w:b/>
      <w:sz w:val="28"/>
    </w:rPr>
  </w:style>
  <w:style w:type="paragraph" w:styleId="Heading8">
    <w:name w:val="heading 8"/>
    <w:basedOn w:val="Normal"/>
    <w:next w:val="Normal"/>
    <w:qFormat/>
    <w:rsid w:val="00A76F22"/>
    <w:pPr>
      <w:keepNext/>
      <w:jc w:val="right"/>
      <w:outlineLvl w:val="7"/>
    </w:pPr>
    <w:rPr>
      <w:rFonts w:ascii="Univers" w:hAnsi="Univers"/>
      <w:b/>
      <w:sz w:val="32"/>
    </w:rPr>
  </w:style>
  <w:style w:type="paragraph" w:styleId="Heading9">
    <w:name w:val="heading 9"/>
    <w:basedOn w:val="Normal"/>
    <w:next w:val="Normal"/>
    <w:qFormat/>
    <w:rsid w:val="00A76F22"/>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6F22"/>
    <w:pPr>
      <w:tabs>
        <w:tab w:val="center" w:pos="4320"/>
        <w:tab w:val="right" w:pos="8640"/>
      </w:tabs>
    </w:pPr>
  </w:style>
  <w:style w:type="paragraph" w:styleId="Footer">
    <w:name w:val="footer"/>
    <w:basedOn w:val="Normal"/>
    <w:link w:val="FooterChar"/>
    <w:rsid w:val="00A76F22"/>
    <w:pPr>
      <w:tabs>
        <w:tab w:val="center" w:pos="4320"/>
        <w:tab w:val="right" w:pos="8640"/>
      </w:tabs>
      <w:ind w:firstLine="720"/>
      <w:jc w:val="right"/>
    </w:pPr>
  </w:style>
  <w:style w:type="paragraph" w:customStyle="1" w:styleId="Para1">
    <w:name w:val="Para1"/>
    <w:basedOn w:val="Normal"/>
    <w:link w:val="Para1Char"/>
    <w:rsid w:val="00A76F22"/>
    <w:pPr>
      <w:numPr>
        <w:numId w:val="3"/>
      </w:numPr>
      <w:spacing w:before="120" w:after="120"/>
    </w:pPr>
    <w:rPr>
      <w:snapToGrid w:val="0"/>
      <w:szCs w:val="18"/>
      <w:lang w:eastAsia="x-none"/>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
    <w:qFormat/>
    <w:rsid w:val="00A76F22"/>
    <w:pPr>
      <w:keepLines/>
      <w:spacing w:after="60"/>
      <w:ind w:firstLine="720"/>
    </w:pPr>
    <w:rPr>
      <w:sz w:val="18"/>
    </w:rPr>
  </w:style>
  <w:style w:type="paragraph" w:styleId="BodyText">
    <w:name w:val="Body Text"/>
    <w:aliases w:val=" Car Car Car, Car Car"/>
    <w:basedOn w:val="Normal"/>
    <w:link w:val="BodyTextChar"/>
    <w:rsid w:val="00A76F22"/>
    <w:pPr>
      <w:spacing w:before="120" w:after="120"/>
      <w:ind w:firstLine="720"/>
    </w:pPr>
    <w:rPr>
      <w:iCs/>
      <w:lang w:eastAsia="x-none"/>
    </w:rPr>
  </w:style>
  <w:style w:type="paragraph" w:customStyle="1" w:styleId="Document1">
    <w:name w:val="Document 1"/>
    <w:basedOn w:val="Normal"/>
    <w:next w:val="Normal"/>
    <w:rsid w:val="00A76F22"/>
    <w:pPr>
      <w:suppressAutoHyphens/>
      <w:spacing w:after="120" w:line="240" w:lineRule="exact"/>
    </w:pPr>
  </w:style>
  <w:style w:type="paragraph" w:styleId="BodyText2">
    <w:name w:val="Body Text 2"/>
    <w:basedOn w:val="Normal"/>
    <w:rsid w:val="00A76F22"/>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Caption">
    <w:name w:val="caption"/>
    <w:basedOn w:val="Normal"/>
    <w:next w:val="Normal"/>
    <w:qFormat/>
    <w:rsid w:val="00A76F22"/>
    <w:rPr>
      <w:u w:val="single"/>
    </w:rPr>
  </w:style>
  <w:style w:type="character" w:styleId="CommentReference">
    <w:name w:val="annotation reference"/>
    <w:uiPriority w:val="99"/>
    <w:semiHidden/>
    <w:rsid w:val="00A76F22"/>
    <w:rPr>
      <w:sz w:val="16"/>
    </w:rPr>
  </w:style>
  <w:style w:type="paragraph" w:styleId="CommentText">
    <w:name w:val="annotation text"/>
    <w:basedOn w:val="Normal"/>
    <w:link w:val="CommentTextChar"/>
    <w:uiPriority w:val="99"/>
    <w:semiHidden/>
    <w:rsid w:val="00A76F22"/>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sid w:val="001258C8"/>
    <w:rPr>
      <w:sz w:val="22"/>
      <w:u w:val="none"/>
      <w:vertAlign w:val="superscript"/>
    </w:rPr>
  </w:style>
  <w:style w:type="paragraph" w:styleId="BodyTextIndent">
    <w:name w:val="Body Text Indent"/>
    <w:basedOn w:val="Normal"/>
    <w:rsid w:val="00A76F22"/>
    <w:pPr>
      <w:spacing w:before="120" w:after="120"/>
      <w:ind w:left="1440" w:hanging="720"/>
      <w:jc w:val="left"/>
    </w:pPr>
  </w:style>
  <w:style w:type="character" w:styleId="PageNumber">
    <w:name w:val="page number"/>
    <w:rsid w:val="00A76F22"/>
    <w:rPr>
      <w:rFonts w:ascii="Times New Roman" w:hAnsi="Times New Roman"/>
      <w:sz w:val="22"/>
    </w:rPr>
  </w:style>
  <w:style w:type="paragraph" w:customStyle="1" w:styleId="HEADING">
    <w:name w:val="HEADING"/>
    <w:basedOn w:val="Normal"/>
    <w:link w:val="HEADINGChar"/>
    <w:rsid w:val="00A76F22"/>
    <w:pPr>
      <w:keepNext/>
      <w:spacing w:before="240" w:after="120"/>
      <w:jc w:val="center"/>
    </w:pPr>
    <w:rPr>
      <w:b/>
      <w:bCs/>
      <w:caps/>
    </w:rPr>
  </w:style>
  <w:style w:type="paragraph" w:customStyle="1" w:styleId="para4">
    <w:name w:val="para4"/>
    <w:basedOn w:val="Normal"/>
    <w:rsid w:val="00A76F22"/>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0"/>
    <w:rsid w:val="00A76F22"/>
    <w:pPr>
      <w:ind w:left="720"/>
      <w:outlineLvl w:val="9"/>
    </w:pPr>
  </w:style>
  <w:style w:type="paragraph" w:customStyle="1" w:styleId="Cornernotation">
    <w:name w:val="Corner notation"/>
    <w:basedOn w:val="Normal"/>
    <w:rsid w:val="00A76F22"/>
    <w:pPr>
      <w:ind w:left="170" w:right="3119" w:hanging="170"/>
      <w:jc w:val="left"/>
    </w:pPr>
  </w:style>
  <w:style w:type="paragraph" w:customStyle="1" w:styleId="Para3">
    <w:name w:val="Para3"/>
    <w:basedOn w:val="Normal"/>
    <w:rsid w:val="00A76F22"/>
    <w:pPr>
      <w:tabs>
        <w:tab w:val="num" w:pos="1440"/>
        <w:tab w:val="left" w:pos="1980"/>
      </w:tabs>
      <w:spacing w:before="80" w:after="80"/>
      <w:ind w:left="1440" w:hanging="360"/>
    </w:pPr>
    <w:rPr>
      <w:szCs w:val="20"/>
    </w:rPr>
  </w:style>
  <w:style w:type="paragraph" w:customStyle="1" w:styleId="Heading2-center">
    <w:name w:val="Heading 2-center"/>
    <w:basedOn w:val="Heading2"/>
    <w:rsid w:val="00A76F22"/>
    <w:pPr>
      <w:outlineLvl w:val="9"/>
    </w:pPr>
    <w:rPr>
      <w:i w:val="0"/>
      <w:iCs w:val="0"/>
      <w:caps/>
    </w:rPr>
  </w:style>
  <w:style w:type="paragraph" w:styleId="BodyTextIndent3">
    <w:name w:val="Body Text Indent 3"/>
    <w:basedOn w:val="Normal"/>
    <w:rsid w:val="00A76F22"/>
    <w:pPr>
      <w:spacing w:before="120" w:after="120"/>
      <w:ind w:left="720" w:right="720"/>
    </w:pPr>
    <w:rPr>
      <w:bCs/>
    </w:rPr>
  </w:style>
  <w:style w:type="paragraph" w:styleId="TOAHeading">
    <w:name w:val="toa heading"/>
    <w:basedOn w:val="Normal"/>
    <w:next w:val="Normal"/>
    <w:semiHidden/>
    <w:rsid w:val="00A76F22"/>
    <w:pPr>
      <w:spacing w:before="120"/>
    </w:pPr>
    <w:rPr>
      <w:rFonts w:cs="Arial"/>
      <w:b/>
      <w:bCs/>
      <w:sz w:val="24"/>
    </w:rPr>
  </w:style>
  <w:style w:type="paragraph" w:styleId="TOC9">
    <w:name w:val="toc 9"/>
    <w:basedOn w:val="Normal"/>
    <w:next w:val="Normal"/>
    <w:autoRedefine/>
    <w:semiHidden/>
    <w:rsid w:val="00AD254A"/>
    <w:pPr>
      <w:numPr>
        <w:numId w:val="18"/>
      </w:numPr>
      <w:tabs>
        <w:tab w:val="left" w:pos="993"/>
      </w:tabs>
      <w:spacing w:before="120" w:after="120"/>
      <w:ind w:left="0" w:firstLine="851"/>
    </w:pPr>
    <w:rPr>
      <w:lang w:val="fr-FR"/>
    </w:rPr>
  </w:style>
  <w:style w:type="paragraph" w:styleId="TOC1">
    <w:name w:val="toc 1"/>
    <w:basedOn w:val="Normal"/>
    <w:next w:val="Normal"/>
    <w:autoRedefine/>
    <w:semiHidden/>
    <w:rsid w:val="00A76F22"/>
    <w:pPr>
      <w:ind w:left="720" w:hanging="720"/>
    </w:pPr>
    <w:rPr>
      <w:caps/>
    </w:rPr>
  </w:style>
  <w:style w:type="paragraph" w:styleId="TOC2">
    <w:name w:val="toc 2"/>
    <w:basedOn w:val="Normal"/>
    <w:next w:val="Normal"/>
    <w:autoRedefine/>
    <w:semiHidden/>
    <w:rsid w:val="00A76F22"/>
    <w:pPr>
      <w:tabs>
        <w:tab w:val="right" w:leader="dot" w:pos="9356"/>
      </w:tabs>
      <w:ind w:left="1440" w:hanging="720"/>
    </w:pPr>
    <w:rPr>
      <w:noProof/>
      <w:szCs w:val="22"/>
    </w:rPr>
  </w:style>
  <w:style w:type="paragraph" w:styleId="TOC3">
    <w:name w:val="toc 3"/>
    <w:basedOn w:val="Normal"/>
    <w:next w:val="Normal"/>
    <w:autoRedefine/>
    <w:semiHidden/>
    <w:rsid w:val="00A76F22"/>
    <w:pPr>
      <w:ind w:left="2160" w:hanging="720"/>
    </w:pPr>
  </w:style>
  <w:style w:type="paragraph" w:styleId="TOC4">
    <w:name w:val="toc 4"/>
    <w:basedOn w:val="Normal"/>
    <w:next w:val="Normal"/>
    <w:autoRedefine/>
    <w:semiHidden/>
    <w:rsid w:val="00A76F22"/>
    <w:pPr>
      <w:spacing w:before="120" w:after="120"/>
      <w:ind w:left="660"/>
      <w:jc w:val="left"/>
    </w:pPr>
  </w:style>
  <w:style w:type="paragraph" w:styleId="TOC5">
    <w:name w:val="toc 5"/>
    <w:basedOn w:val="Normal"/>
    <w:next w:val="Normal"/>
    <w:autoRedefine/>
    <w:semiHidden/>
    <w:rsid w:val="00A76F22"/>
    <w:pPr>
      <w:spacing w:before="120" w:after="120"/>
      <w:ind w:left="880"/>
      <w:jc w:val="left"/>
    </w:pPr>
  </w:style>
  <w:style w:type="paragraph" w:styleId="TOC6">
    <w:name w:val="toc 6"/>
    <w:basedOn w:val="Normal"/>
    <w:next w:val="Normal"/>
    <w:autoRedefine/>
    <w:semiHidden/>
    <w:rsid w:val="00A76F22"/>
    <w:pPr>
      <w:spacing w:before="120" w:after="120"/>
      <w:ind w:left="1100"/>
      <w:jc w:val="left"/>
    </w:pPr>
  </w:style>
  <w:style w:type="paragraph" w:styleId="TOC7">
    <w:name w:val="toc 7"/>
    <w:basedOn w:val="Normal"/>
    <w:next w:val="Normal"/>
    <w:autoRedefine/>
    <w:semiHidden/>
    <w:rsid w:val="00A76F22"/>
    <w:pPr>
      <w:spacing w:before="120" w:after="120"/>
      <w:ind w:left="1320"/>
      <w:jc w:val="left"/>
    </w:pPr>
  </w:style>
  <w:style w:type="paragraph" w:styleId="TOC8">
    <w:name w:val="toc 8"/>
    <w:basedOn w:val="Normal"/>
    <w:next w:val="Normal"/>
    <w:autoRedefine/>
    <w:semiHidden/>
    <w:rsid w:val="00A76F22"/>
    <w:pPr>
      <w:spacing w:before="120" w:after="120"/>
      <w:ind w:left="1540"/>
      <w:jc w:val="left"/>
    </w:pPr>
  </w:style>
  <w:style w:type="paragraph" w:styleId="BodyText3">
    <w:name w:val="Body Text 3"/>
    <w:basedOn w:val="Normal"/>
    <w:rsid w:val="00A76F22"/>
    <w:pPr>
      <w:spacing w:before="120" w:after="120"/>
    </w:pPr>
  </w:style>
  <w:style w:type="character" w:styleId="FollowedHyperlink">
    <w:name w:val="FollowedHyperlink"/>
    <w:rsid w:val="00A76F22"/>
    <w:rPr>
      <w:color w:val="800080"/>
      <w:u w:val="single"/>
    </w:rPr>
  </w:style>
  <w:style w:type="paragraph" w:customStyle="1" w:styleId="Heading4">
    <w:name w:val="Heading4"/>
    <w:basedOn w:val="Normal"/>
    <w:rsid w:val="00A76F22"/>
    <w:pPr>
      <w:keepNext/>
      <w:numPr>
        <w:numId w:val="1"/>
      </w:numPr>
      <w:spacing w:before="120" w:after="120"/>
    </w:pPr>
    <w:rPr>
      <w:i/>
      <w:iCs/>
    </w:rPr>
  </w:style>
  <w:style w:type="paragraph" w:customStyle="1" w:styleId="Para2">
    <w:name w:val="Para2"/>
    <w:basedOn w:val="Para1"/>
    <w:rsid w:val="00A76F22"/>
    <w:pPr>
      <w:numPr>
        <w:numId w:val="4"/>
      </w:numPr>
      <w:tabs>
        <w:tab w:val="clear" w:pos="1080"/>
      </w:tabs>
      <w:autoSpaceDE w:val="0"/>
      <w:autoSpaceDN w:val="0"/>
      <w:ind w:left="0" w:firstLine="720"/>
    </w:pPr>
  </w:style>
  <w:style w:type="paragraph" w:customStyle="1" w:styleId="Para-decision">
    <w:name w:val="Para-decision"/>
    <w:basedOn w:val="Normal"/>
    <w:rsid w:val="00A76F22"/>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sid w:val="00A76F22"/>
    <w:rPr>
      <w:rFonts w:ascii="Courier" w:hAnsi="Courier"/>
      <w:sz w:val="20"/>
      <w:u w:val="single"/>
    </w:rPr>
  </w:style>
  <w:style w:type="character" w:styleId="EndnoteReference">
    <w:name w:val="endnote reference"/>
    <w:semiHidden/>
    <w:rsid w:val="00A76F22"/>
    <w:rPr>
      <w:vertAlign w:val="superscript"/>
    </w:rPr>
  </w:style>
  <w:style w:type="paragraph" w:styleId="EndnoteText">
    <w:name w:val="endnote text"/>
    <w:basedOn w:val="Normal"/>
    <w:semiHidden/>
    <w:rsid w:val="00A76F22"/>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A76F22"/>
    <w:pPr>
      <w:ind w:left="1843" w:hanging="1134"/>
      <w:jc w:val="left"/>
    </w:pPr>
  </w:style>
  <w:style w:type="paragraph" w:customStyle="1" w:styleId="Heading1multiline">
    <w:name w:val="Heading 1 (multiline)"/>
    <w:basedOn w:val="Heading1"/>
    <w:rsid w:val="00A76F22"/>
    <w:pPr>
      <w:ind w:left="1843" w:right="996" w:hanging="567"/>
      <w:jc w:val="left"/>
    </w:pPr>
  </w:style>
  <w:style w:type="paragraph" w:customStyle="1" w:styleId="Heading2multiline">
    <w:name w:val="Heading 2 (multiline)"/>
    <w:basedOn w:val="Heading1"/>
    <w:next w:val="Para1"/>
    <w:rsid w:val="00A76F22"/>
    <w:pPr>
      <w:spacing w:before="120"/>
      <w:ind w:left="1843" w:right="998" w:hanging="567"/>
      <w:jc w:val="left"/>
    </w:pPr>
    <w:rPr>
      <w:i/>
      <w:iCs/>
      <w:caps w:val="0"/>
    </w:rPr>
  </w:style>
  <w:style w:type="paragraph" w:customStyle="1" w:styleId="Heading2longmultiline">
    <w:name w:val="Heading 2 (long multiline)"/>
    <w:basedOn w:val="Heading2multiline"/>
    <w:rsid w:val="00A76F22"/>
    <w:pPr>
      <w:ind w:left="2127" w:hanging="1276"/>
    </w:pPr>
  </w:style>
  <w:style w:type="paragraph" w:customStyle="1" w:styleId="Heading3multiline">
    <w:name w:val="Heading 3 (multiline)"/>
    <w:basedOn w:val="Heading3"/>
    <w:next w:val="Para1"/>
    <w:rsid w:val="00A76F22"/>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styleId="Hyperlink">
    <w:name w:val="Hyperlink"/>
    <w:unhideWhenUsed/>
    <w:rsid w:val="001A238A"/>
    <w:rPr>
      <w:color w:val="0000FF"/>
      <w:u w:val="single"/>
    </w:rPr>
  </w:style>
  <w:style w:type="character" w:customStyle="1" w:styleId="Heading2Char">
    <w:name w:val="Heading 2 Char"/>
    <w:link w:val="Heading2"/>
    <w:rsid w:val="00E07682"/>
    <w:rPr>
      <w:b/>
      <w:bCs/>
      <w:i/>
      <w:iCs/>
      <w:sz w:val="22"/>
      <w:szCs w:val="24"/>
      <w:lang w:val="en-GB" w:eastAsia="en-US"/>
    </w:rPr>
  </w:style>
  <w:style w:type="character" w:customStyle="1" w:styleId="Heading4Char">
    <w:name w:val="Heading 4 Char"/>
    <w:link w:val="Heading40"/>
    <w:rsid w:val="00E07682"/>
    <w:rPr>
      <w:rFonts w:ascii="Times New Roman Bold" w:eastAsia="Arial Unicode MS" w:hAnsi="Times New Roman Bold" w:cs="Arial"/>
      <w:b/>
      <w:bCs/>
      <w:i/>
      <w:sz w:val="22"/>
      <w:szCs w:val="24"/>
      <w:lang w:val="en-GB" w:eastAsia="en-US"/>
    </w:rPr>
  </w:style>
  <w:style w:type="character" w:customStyle="1" w:styleId="Heading5Char">
    <w:name w:val="Heading 5 Char"/>
    <w:link w:val="Heading5"/>
    <w:rsid w:val="00E07682"/>
    <w:rPr>
      <w:bCs/>
      <w:i/>
      <w:sz w:val="22"/>
      <w:szCs w:val="26"/>
      <w:lang w:val="en-CA" w:eastAsia="x-none"/>
    </w:rPr>
  </w:style>
  <w:style w:type="character" w:customStyle="1" w:styleId="Heading6Char">
    <w:name w:val="Heading 6 Char"/>
    <w:link w:val="Heading6"/>
    <w:rsid w:val="00E07682"/>
    <w:rPr>
      <w:sz w:val="22"/>
      <w:szCs w:val="24"/>
      <w:u w:val="single"/>
      <w:lang w:val="en-GB" w:eastAsia="en-US"/>
    </w:rPr>
  </w:style>
  <w:style w:type="character" w:customStyle="1" w:styleId="Heading7Char">
    <w:name w:val="Heading 7 Char"/>
    <w:link w:val="Heading7"/>
    <w:rsid w:val="00E07682"/>
    <w:rPr>
      <w:rFonts w:ascii="Univers" w:hAnsi="Univers"/>
      <w:b/>
      <w:sz w:val="28"/>
      <w:szCs w:val="24"/>
      <w:lang w:val="en-GB" w:eastAsia="en-US"/>
    </w:rPr>
  </w:style>
  <w:style w:type="character" w:customStyle="1" w:styleId="HeaderChar">
    <w:name w:val="Header Char"/>
    <w:link w:val="Header"/>
    <w:rsid w:val="00E07682"/>
    <w:rPr>
      <w:sz w:val="22"/>
      <w:szCs w:val="24"/>
      <w:lang w:val="en-GB" w:eastAsia="en-US"/>
    </w:rPr>
  </w:style>
  <w:style w:type="character" w:customStyle="1" w:styleId="FooterChar">
    <w:name w:val="Footer Char"/>
    <w:link w:val="Footer"/>
    <w:rsid w:val="00E07682"/>
    <w:rPr>
      <w:sz w:val="22"/>
      <w:szCs w:val="24"/>
      <w:lang w:val="en-GB" w:eastAsia="en-US"/>
    </w:rPr>
  </w:style>
  <w:style w:type="paragraph" w:styleId="NormalWeb">
    <w:name w:val="Normal (Web)"/>
    <w:basedOn w:val="Normal"/>
    <w:rsid w:val="00E07682"/>
    <w:pPr>
      <w:spacing w:before="100" w:beforeAutospacing="1" w:after="100" w:afterAutospacing="1" w:line="255" w:lineRule="atLeast"/>
      <w:jc w:val="left"/>
    </w:pPr>
    <w:rPr>
      <w:rFonts w:ascii="Verdana" w:hAnsi="Verdana"/>
      <w:sz w:val="17"/>
      <w:szCs w:val="17"/>
      <w:lang w:val="en-US"/>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link w:val="FootnoteText"/>
    <w:rsid w:val="00E07682"/>
    <w:rPr>
      <w:sz w:val="18"/>
      <w:szCs w:val="24"/>
      <w:lang w:val="en-GB" w:eastAsia="en-US"/>
    </w:rPr>
  </w:style>
  <w:style w:type="character" w:customStyle="1" w:styleId="Style1Char">
    <w:name w:val="Style1 Char"/>
    <w:rsid w:val="00E07682"/>
    <w:rPr>
      <w:rFonts w:ascii="Arial" w:eastAsia="SimSun" w:hAnsi="Arial"/>
      <w:b/>
      <w:bCs/>
      <w:sz w:val="21"/>
      <w:szCs w:val="24"/>
      <w:lang w:val="en-US" w:eastAsia="zh-CN" w:bidi="ar-SA"/>
    </w:rPr>
  </w:style>
  <w:style w:type="paragraph" w:customStyle="1" w:styleId="Style2">
    <w:name w:val="Style2"/>
    <w:basedOn w:val="Normal"/>
    <w:rsid w:val="00E07682"/>
    <w:pPr>
      <w:jc w:val="center"/>
    </w:pPr>
    <w:rPr>
      <w:rFonts w:ascii="Arial" w:eastAsia="SimSun" w:hAnsi="Arial"/>
      <w:b/>
      <w:bCs/>
      <w:sz w:val="21"/>
      <w:lang w:val="en-US" w:eastAsia="zh-CN"/>
    </w:rPr>
  </w:style>
  <w:style w:type="character" w:customStyle="1" w:styleId="Style2Char">
    <w:name w:val="Style2 Char"/>
    <w:rsid w:val="00E07682"/>
    <w:rPr>
      <w:rFonts w:ascii="Arial" w:eastAsia="SimSun" w:hAnsi="Arial"/>
      <w:b/>
      <w:bCs/>
      <w:sz w:val="21"/>
      <w:szCs w:val="24"/>
      <w:lang w:val="en-US" w:eastAsia="zh-CN" w:bidi="ar-SA"/>
    </w:rPr>
  </w:style>
  <w:style w:type="table" w:styleId="TableGrid">
    <w:name w:val="Table Grid"/>
    <w:basedOn w:val="TableNormal"/>
    <w:uiPriority w:val="59"/>
    <w:rsid w:val="00E0768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
    <w:rsid w:val="00E07682"/>
    <w:pPr>
      <w:tabs>
        <w:tab w:val="left" w:pos="360"/>
      </w:tabs>
      <w:jc w:val="left"/>
    </w:pPr>
    <w:rPr>
      <w:rFonts w:ascii="Arial" w:eastAsia="SimSun" w:hAnsi="Arial" w:cs="Arial"/>
      <w:b/>
      <w:bCs/>
      <w:sz w:val="21"/>
      <w:szCs w:val="21"/>
      <w:lang w:val="en-US" w:eastAsia="zh-CN"/>
    </w:rPr>
  </w:style>
  <w:style w:type="paragraph" w:styleId="BalloonText">
    <w:name w:val="Balloon Text"/>
    <w:basedOn w:val="Normal"/>
    <w:link w:val="BalloonTextChar"/>
    <w:semiHidden/>
    <w:unhideWhenUsed/>
    <w:rsid w:val="00BC32CA"/>
    <w:rPr>
      <w:rFonts w:ascii="Tahoma" w:hAnsi="Tahoma"/>
      <w:sz w:val="16"/>
      <w:szCs w:val="16"/>
    </w:rPr>
  </w:style>
  <w:style w:type="character" w:customStyle="1" w:styleId="BalloonTextChar">
    <w:name w:val="Balloon Text Char"/>
    <w:link w:val="BalloonText"/>
    <w:semiHidden/>
    <w:rsid w:val="00BC32CA"/>
    <w:rPr>
      <w:rFonts w:ascii="Tahoma" w:hAnsi="Tahoma" w:cs="Tahoma"/>
      <w:sz w:val="16"/>
      <w:szCs w:val="16"/>
      <w:lang w:val="en-GB" w:eastAsia="en-US"/>
    </w:rPr>
  </w:style>
  <w:style w:type="paragraph" w:customStyle="1" w:styleId="ColorfulList-Accent11">
    <w:name w:val="Colorful List - Accent 11"/>
    <w:basedOn w:val="Normal"/>
    <w:qFormat/>
    <w:rsid w:val="00BC32CA"/>
    <w:pPr>
      <w:ind w:left="720"/>
    </w:pPr>
  </w:style>
  <w:style w:type="paragraph" w:styleId="CommentSubject">
    <w:name w:val="annotation subject"/>
    <w:basedOn w:val="CommentText"/>
    <w:next w:val="CommentText"/>
    <w:link w:val="CommentSubjectChar"/>
    <w:semiHidden/>
    <w:unhideWhenUsed/>
    <w:rsid w:val="00A75253"/>
    <w:pPr>
      <w:spacing w:after="0" w:line="240" w:lineRule="auto"/>
    </w:pPr>
  </w:style>
  <w:style w:type="character" w:customStyle="1" w:styleId="CommentTextChar">
    <w:name w:val="Comment Text Char"/>
    <w:link w:val="CommentText"/>
    <w:uiPriority w:val="99"/>
    <w:semiHidden/>
    <w:rsid w:val="00A75253"/>
    <w:rPr>
      <w:sz w:val="22"/>
      <w:szCs w:val="24"/>
      <w:lang w:val="en-GB" w:eastAsia="en-US"/>
    </w:rPr>
  </w:style>
  <w:style w:type="character" w:customStyle="1" w:styleId="CommentSubjectChar">
    <w:name w:val="Comment Subject Char"/>
    <w:link w:val="CommentSubject"/>
    <w:rsid w:val="00A75253"/>
    <w:rPr>
      <w:sz w:val="22"/>
      <w:szCs w:val="24"/>
      <w:lang w:val="en-GB" w:eastAsia="en-US"/>
    </w:rPr>
  </w:style>
  <w:style w:type="paragraph" w:customStyle="1" w:styleId="listparagraph">
    <w:name w:val="listparagraph"/>
    <w:basedOn w:val="Normal"/>
    <w:rsid w:val="006111F4"/>
    <w:pPr>
      <w:spacing w:after="200" w:line="276" w:lineRule="auto"/>
      <w:ind w:left="720"/>
      <w:jc w:val="left"/>
    </w:pPr>
    <w:rPr>
      <w:rFonts w:ascii="Calibri" w:hAnsi="Calibri"/>
      <w:szCs w:val="22"/>
      <w:lang w:val="en-US"/>
    </w:rPr>
  </w:style>
  <w:style w:type="character" w:customStyle="1" w:styleId="BodyTextChar">
    <w:name w:val="Body Text Char"/>
    <w:aliases w:val=" Car Car Car Char, Car Car Char"/>
    <w:link w:val="BodyText"/>
    <w:rsid w:val="006111F4"/>
    <w:rPr>
      <w:iCs/>
      <w:sz w:val="22"/>
      <w:szCs w:val="24"/>
      <w:lang w:val="en-GB"/>
    </w:rPr>
  </w:style>
  <w:style w:type="character" w:styleId="Emphasis">
    <w:name w:val="Emphasis"/>
    <w:uiPriority w:val="20"/>
    <w:qFormat/>
    <w:rsid w:val="006111F4"/>
    <w:rPr>
      <w:i/>
      <w:iCs/>
    </w:rPr>
  </w:style>
  <w:style w:type="paragraph" w:customStyle="1" w:styleId="Default">
    <w:name w:val="Default"/>
    <w:rsid w:val="006111F4"/>
    <w:pPr>
      <w:autoSpaceDE w:val="0"/>
      <w:autoSpaceDN w:val="0"/>
      <w:adjustRightInd w:val="0"/>
    </w:pPr>
    <w:rPr>
      <w:color w:val="000000"/>
      <w:sz w:val="24"/>
      <w:szCs w:val="24"/>
      <w:lang w:val="en-GB" w:eastAsia="en-GB"/>
    </w:rPr>
  </w:style>
  <w:style w:type="paragraph" w:customStyle="1" w:styleId="CharZchnZchnCharCharChar">
    <w:name w:val="Char Zchn Zchn Char Char Char"/>
    <w:basedOn w:val="Normal"/>
    <w:rsid w:val="006111F4"/>
    <w:pPr>
      <w:tabs>
        <w:tab w:val="left" w:pos="709"/>
      </w:tabs>
      <w:jc w:val="left"/>
    </w:pPr>
    <w:rPr>
      <w:rFonts w:ascii="Tahoma" w:hAnsi="Tahoma"/>
      <w:sz w:val="24"/>
      <w:lang w:val="pl-PL" w:eastAsia="pl-PL"/>
    </w:rPr>
  </w:style>
  <w:style w:type="character" w:customStyle="1" w:styleId="StyleFootnoteReferenceComplex11pt">
    <w:name w:val="Style Footnote Reference + (Complex) 11 pt"/>
    <w:rsid w:val="001258C8"/>
    <w:rPr>
      <w:sz w:val="22"/>
      <w:szCs w:val="22"/>
      <w:u w:val="none"/>
      <w:vertAlign w:val="superscript"/>
    </w:rPr>
  </w:style>
  <w:style w:type="character" w:customStyle="1" w:styleId="HEADINGChar">
    <w:name w:val="HEADING Char"/>
    <w:link w:val="HEADING"/>
    <w:rsid w:val="009E0CC5"/>
    <w:rPr>
      <w:b/>
      <w:bCs/>
      <w:caps/>
      <w:sz w:val="22"/>
      <w:szCs w:val="24"/>
      <w:lang w:val="en-GB" w:eastAsia="en-US" w:bidi="ar-SA"/>
    </w:rPr>
  </w:style>
  <w:style w:type="paragraph" w:customStyle="1" w:styleId="ColorfulList-Accent12">
    <w:name w:val="Colorful List - Accent 12"/>
    <w:basedOn w:val="Normal"/>
    <w:uiPriority w:val="34"/>
    <w:qFormat/>
    <w:rsid w:val="00B16114"/>
    <w:pPr>
      <w:ind w:left="720"/>
    </w:pPr>
  </w:style>
  <w:style w:type="character" w:customStyle="1" w:styleId="Para1Char">
    <w:name w:val="Para1 Char"/>
    <w:link w:val="Para1"/>
    <w:rsid w:val="00D6644F"/>
    <w:rPr>
      <w:snapToGrid w:val="0"/>
      <w:sz w:val="22"/>
      <w:szCs w:val="18"/>
      <w:lang w:val="en-GB" w:eastAsia="x-none"/>
    </w:rPr>
  </w:style>
  <w:style w:type="paragraph" w:customStyle="1" w:styleId="Grillemoyenne1-Accent21">
    <w:name w:val="Grille moyenne 1 - Accent 21"/>
    <w:basedOn w:val="Normal"/>
    <w:uiPriority w:val="34"/>
    <w:qFormat/>
    <w:rsid w:val="00E25B10"/>
    <w:pPr>
      <w:ind w:left="720"/>
      <w:contextualSpacing/>
    </w:p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uiPriority w:val="99"/>
    <w:semiHidden/>
    <w:locked/>
    <w:rsid w:val="00A0594D"/>
    <w:rPr>
      <w:rFonts w:cs="Angsana New"/>
      <w:sz w:val="18"/>
      <w:szCs w:val="24"/>
      <w:lang w:val="en-GB" w:eastAsia="en-US"/>
    </w:rPr>
  </w:style>
  <w:style w:type="character" w:customStyle="1" w:styleId="Heading1Char">
    <w:name w:val="Heading 1 Char"/>
    <w:link w:val="Heading1"/>
    <w:rsid w:val="00790BFA"/>
    <w:rPr>
      <w:b/>
      <w:caps/>
      <w:sz w:val="22"/>
      <w:szCs w:val="24"/>
      <w:lang w:val="en-GB" w:eastAsia="en-US"/>
    </w:rPr>
  </w:style>
  <w:style w:type="character" w:styleId="LineNumber">
    <w:name w:val="line number"/>
    <w:rsid w:val="00457737"/>
  </w:style>
  <w:style w:type="character" w:customStyle="1" w:styleId="preferred">
    <w:name w:val="preferred"/>
    <w:basedOn w:val="DefaultParagraphFont"/>
    <w:rsid w:val="00623263"/>
  </w:style>
  <w:style w:type="paragraph" w:styleId="Revision">
    <w:name w:val="Revision"/>
    <w:hidden/>
    <w:rsid w:val="00306AD9"/>
    <w:rPr>
      <w:sz w:val="22"/>
      <w:szCs w:val="24"/>
      <w:lang w:val="en-GB" w:eastAsia="en-US"/>
    </w:rPr>
  </w:style>
  <w:style w:type="paragraph" w:styleId="ListParagraph0">
    <w:name w:val="List Paragraph"/>
    <w:basedOn w:val="Normal"/>
    <w:qFormat/>
    <w:rsid w:val="00765F7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5048">
      <w:bodyDiv w:val="1"/>
      <w:marLeft w:val="0"/>
      <w:marRight w:val="0"/>
      <w:marTop w:val="0"/>
      <w:marBottom w:val="0"/>
      <w:divBdr>
        <w:top w:val="none" w:sz="0" w:space="0" w:color="auto"/>
        <w:left w:val="none" w:sz="0" w:space="0" w:color="auto"/>
        <w:bottom w:val="none" w:sz="0" w:space="0" w:color="auto"/>
        <w:right w:val="none" w:sz="0" w:space="0" w:color="auto"/>
      </w:divBdr>
    </w:div>
    <w:div w:id="83958301">
      <w:bodyDiv w:val="1"/>
      <w:marLeft w:val="0"/>
      <w:marRight w:val="0"/>
      <w:marTop w:val="0"/>
      <w:marBottom w:val="0"/>
      <w:divBdr>
        <w:top w:val="none" w:sz="0" w:space="0" w:color="auto"/>
        <w:left w:val="none" w:sz="0" w:space="0" w:color="auto"/>
        <w:bottom w:val="none" w:sz="0" w:space="0" w:color="auto"/>
        <w:right w:val="none" w:sz="0" w:space="0" w:color="auto"/>
      </w:divBdr>
    </w:div>
    <w:div w:id="102770364">
      <w:bodyDiv w:val="1"/>
      <w:marLeft w:val="0"/>
      <w:marRight w:val="0"/>
      <w:marTop w:val="0"/>
      <w:marBottom w:val="0"/>
      <w:divBdr>
        <w:top w:val="none" w:sz="0" w:space="0" w:color="auto"/>
        <w:left w:val="none" w:sz="0" w:space="0" w:color="auto"/>
        <w:bottom w:val="none" w:sz="0" w:space="0" w:color="auto"/>
        <w:right w:val="none" w:sz="0" w:space="0" w:color="auto"/>
      </w:divBdr>
    </w:div>
    <w:div w:id="267665636">
      <w:bodyDiv w:val="1"/>
      <w:marLeft w:val="0"/>
      <w:marRight w:val="0"/>
      <w:marTop w:val="0"/>
      <w:marBottom w:val="0"/>
      <w:divBdr>
        <w:top w:val="none" w:sz="0" w:space="0" w:color="auto"/>
        <w:left w:val="none" w:sz="0" w:space="0" w:color="auto"/>
        <w:bottom w:val="none" w:sz="0" w:space="0" w:color="auto"/>
        <w:right w:val="none" w:sz="0" w:space="0" w:color="auto"/>
      </w:divBdr>
    </w:div>
    <w:div w:id="285502223">
      <w:bodyDiv w:val="1"/>
      <w:marLeft w:val="0"/>
      <w:marRight w:val="0"/>
      <w:marTop w:val="0"/>
      <w:marBottom w:val="0"/>
      <w:divBdr>
        <w:top w:val="none" w:sz="0" w:space="0" w:color="auto"/>
        <w:left w:val="none" w:sz="0" w:space="0" w:color="auto"/>
        <w:bottom w:val="none" w:sz="0" w:space="0" w:color="auto"/>
        <w:right w:val="none" w:sz="0" w:space="0" w:color="auto"/>
      </w:divBdr>
    </w:div>
    <w:div w:id="311178858">
      <w:bodyDiv w:val="1"/>
      <w:marLeft w:val="0"/>
      <w:marRight w:val="0"/>
      <w:marTop w:val="0"/>
      <w:marBottom w:val="0"/>
      <w:divBdr>
        <w:top w:val="none" w:sz="0" w:space="0" w:color="auto"/>
        <w:left w:val="none" w:sz="0" w:space="0" w:color="auto"/>
        <w:bottom w:val="none" w:sz="0" w:space="0" w:color="auto"/>
        <w:right w:val="none" w:sz="0" w:space="0" w:color="auto"/>
      </w:divBdr>
    </w:div>
    <w:div w:id="447555272">
      <w:bodyDiv w:val="1"/>
      <w:marLeft w:val="0"/>
      <w:marRight w:val="0"/>
      <w:marTop w:val="0"/>
      <w:marBottom w:val="0"/>
      <w:divBdr>
        <w:top w:val="none" w:sz="0" w:space="0" w:color="auto"/>
        <w:left w:val="none" w:sz="0" w:space="0" w:color="auto"/>
        <w:bottom w:val="none" w:sz="0" w:space="0" w:color="auto"/>
        <w:right w:val="none" w:sz="0" w:space="0" w:color="auto"/>
      </w:divBdr>
    </w:div>
    <w:div w:id="571506621">
      <w:bodyDiv w:val="1"/>
      <w:marLeft w:val="0"/>
      <w:marRight w:val="0"/>
      <w:marTop w:val="0"/>
      <w:marBottom w:val="0"/>
      <w:divBdr>
        <w:top w:val="none" w:sz="0" w:space="0" w:color="auto"/>
        <w:left w:val="none" w:sz="0" w:space="0" w:color="auto"/>
        <w:bottom w:val="none" w:sz="0" w:space="0" w:color="auto"/>
        <w:right w:val="none" w:sz="0" w:space="0" w:color="auto"/>
      </w:divBdr>
    </w:div>
    <w:div w:id="687490874">
      <w:bodyDiv w:val="1"/>
      <w:marLeft w:val="0"/>
      <w:marRight w:val="0"/>
      <w:marTop w:val="0"/>
      <w:marBottom w:val="0"/>
      <w:divBdr>
        <w:top w:val="none" w:sz="0" w:space="0" w:color="auto"/>
        <w:left w:val="none" w:sz="0" w:space="0" w:color="auto"/>
        <w:bottom w:val="none" w:sz="0" w:space="0" w:color="auto"/>
        <w:right w:val="none" w:sz="0" w:space="0" w:color="auto"/>
      </w:divBdr>
    </w:div>
    <w:div w:id="728307111">
      <w:bodyDiv w:val="1"/>
      <w:marLeft w:val="0"/>
      <w:marRight w:val="0"/>
      <w:marTop w:val="0"/>
      <w:marBottom w:val="0"/>
      <w:divBdr>
        <w:top w:val="none" w:sz="0" w:space="0" w:color="auto"/>
        <w:left w:val="none" w:sz="0" w:space="0" w:color="auto"/>
        <w:bottom w:val="none" w:sz="0" w:space="0" w:color="auto"/>
        <w:right w:val="none" w:sz="0" w:space="0" w:color="auto"/>
      </w:divBdr>
    </w:div>
    <w:div w:id="759105057">
      <w:bodyDiv w:val="1"/>
      <w:marLeft w:val="0"/>
      <w:marRight w:val="0"/>
      <w:marTop w:val="0"/>
      <w:marBottom w:val="0"/>
      <w:divBdr>
        <w:top w:val="none" w:sz="0" w:space="0" w:color="auto"/>
        <w:left w:val="none" w:sz="0" w:space="0" w:color="auto"/>
        <w:bottom w:val="none" w:sz="0" w:space="0" w:color="auto"/>
        <w:right w:val="none" w:sz="0" w:space="0" w:color="auto"/>
      </w:divBdr>
    </w:div>
    <w:div w:id="763575300">
      <w:bodyDiv w:val="1"/>
      <w:marLeft w:val="0"/>
      <w:marRight w:val="0"/>
      <w:marTop w:val="0"/>
      <w:marBottom w:val="0"/>
      <w:divBdr>
        <w:top w:val="none" w:sz="0" w:space="0" w:color="auto"/>
        <w:left w:val="none" w:sz="0" w:space="0" w:color="auto"/>
        <w:bottom w:val="none" w:sz="0" w:space="0" w:color="auto"/>
        <w:right w:val="none" w:sz="0" w:space="0" w:color="auto"/>
      </w:divBdr>
    </w:div>
    <w:div w:id="788664448">
      <w:bodyDiv w:val="1"/>
      <w:marLeft w:val="0"/>
      <w:marRight w:val="0"/>
      <w:marTop w:val="0"/>
      <w:marBottom w:val="0"/>
      <w:divBdr>
        <w:top w:val="none" w:sz="0" w:space="0" w:color="auto"/>
        <w:left w:val="none" w:sz="0" w:space="0" w:color="auto"/>
        <w:bottom w:val="none" w:sz="0" w:space="0" w:color="auto"/>
        <w:right w:val="none" w:sz="0" w:space="0" w:color="auto"/>
      </w:divBdr>
    </w:div>
    <w:div w:id="858155639">
      <w:bodyDiv w:val="1"/>
      <w:marLeft w:val="0"/>
      <w:marRight w:val="0"/>
      <w:marTop w:val="0"/>
      <w:marBottom w:val="0"/>
      <w:divBdr>
        <w:top w:val="none" w:sz="0" w:space="0" w:color="auto"/>
        <w:left w:val="none" w:sz="0" w:space="0" w:color="auto"/>
        <w:bottom w:val="none" w:sz="0" w:space="0" w:color="auto"/>
        <w:right w:val="none" w:sz="0" w:space="0" w:color="auto"/>
      </w:divBdr>
    </w:div>
    <w:div w:id="864906911">
      <w:bodyDiv w:val="1"/>
      <w:marLeft w:val="0"/>
      <w:marRight w:val="0"/>
      <w:marTop w:val="0"/>
      <w:marBottom w:val="0"/>
      <w:divBdr>
        <w:top w:val="none" w:sz="0" w:space="0" w:color="auto"/>
        <w:left w:val="none" w:sz="0" w:space="0" w:color="auto"/>
        <w:bottom w:val="none" w:sz="0" w:space="0" w:color="auto"/>
        <w:right w:val="none" w:sz="0" w:space="0" w:color="auto"/>
      </w:divBdr>
    </w:div>
    <w:div w:id="885533664">
      <w:bodyDiv w:val="1"/>
      <w:marLeft w:val="0"/>
      <w:marRight w:val="0"/>
      <w:marTop w:val="0"/>
      <w:marBottom w:val="0"/>
      <w:divBdr>
        <w:top w:val="none" w:sz="0" w:space="0" w:color="auto"/>
        <w:left w:val="none" w:sz="0" w:space="0" w:color="auto"/>
        <w:bottom w:val="none" w:sz="0" w:space="0" w:color="auto"/>
        <w:right w:val="none" w:sz="0" w:space="0" w:color="auto"/>
      </w:divBdr>
    </w:div>
    <w:div w:id="894659072">
      <w:bodyDiv w:val="1"/>
      <w:marLeft w:val="0"/>
      <w:marRight w:val="0"/>
      <w:marTop w:val="0"/>
      <w:marBottom w:val="0"/>
      <w:divBdr>
        <w:top w:val="none" w:sz="0" w:space="0" w:color="auto"/>
        <w:left w:val="none" w:sz="0" w:space="0" w:color="auto"/>
        <w:bottom w:val="none" w:sz="0" w:space="0" w:color="auto"/>
        <w:right w:val="none" w:sz="0" w:space="0" w:color="auto"/>
      </w:divBdr>
    </w:div>
    <w:div w:id="938567739">
      <w:bodyDiv w:val="1"/>
      <w:marLeft w:val="0"/>
      <w:marRight w:val="0"/>
      <w:marTop w:val="0"/>
      <w:marBottom w:val="0"/>
      <w:divBdr>
        <w:top w:val="none" w:sz="0" w:space="0" w:color="auto"/>
        <w:left w:val="none" w:sz="0" w:space="0" w:color="auto"/>
        <w:bottom w:val="none" w:sz="0" w:space="0" w:color="auto"/>
        <w:right w:val="none" w:sz="0" w:space="0" w:color="auto"/>
      </w:divBdr>
    </w:div>
    <w:div w:id="1022900642">
      <w:bodyDiv w:val="1"/>
      <w:marLeft w:val="0"/>
      <w:marRight w:val="0"/>
      <w:marTop w:val="0"/>
      <w:marBottom w:val="0"/>
      <w:divBdr>
        <w:top w:val="none" w:sz="0" w:space="0" w:color="auto"/>
        <w:left w:val="none" w:sz="0" w:space="0" w:color="auto"/>
        <w:bottom w:val="none" w:sz="0" w:space="0" w:color="auto"/>
        <w:right w:val="none" w:sz="0" w:space="0" w:color="auto"/>
      </w:divBdr>
    </w:div>
    <w:div w:id="1028094869">
      <w:bodyDiv w:val="1"/>
      <w:marLeft w:val="0"/>
      <w:marRight w:val="0"/>
      <w:marTop w:val="0"/>
      <w:marBottom w:val="0"/>
      <w:divBdr>
        <w:top w:val="none" w:sz="0" w:space="0" w:color="auto"/>
        <w:left w:val="none" w:sz="0" w:space="0" w:color="auto"/>
        <w:bottom w:val="none" w:sz="0" w:space="0" w:color="auto"/>
        <w:right w:val="none" w:sz="0" w:space="0" w:color="auto"/>
      </w:divBdr>
    </w:div>
    <w:div w:id="1069764610">
      <w:bodyDiv w:val="1"/>
      <w:marLeft w:val="0"/>
      <w:marRight w:val="0"/>
      <w:marTop w:val="0"/>
      <w:marBottom w:val="0"/>
      <w:divBdr>
        <w:top w:val="none" w:sz="0" w:space="0" w:color="auto"/>
        <w:left w:val="none" w:sz="0" w:space="0" w:color="auto"/>
        <w:bottom w:val="none" w:sz="0" w:space="0" w:color="auto"/>
        <w:right w:val="none" w:sz="0" w:space="0" w:color="auto"/>
      </w:divBdr>
    </w:div>
    <w:div w:id="1072193649">
      <w:bodyDiv w:val="1"/>
      <w:marLeft w:val="0"/>
      <w:marRight w:val="0"/>
      <w:marTop w:val="0"/>
      <w:marBottom w:val="0"/>
      <w:divBdr>
        <w:top w:val="none" w:sz="0" w:space="0" w:color="auto"/>
        <w:left w:val="none" w:sz="0" w:space="0" w:color="auto"/>
        <w:bottom w:val="none" w:sz="0" w:space="0" w:color="auto"/>
        <w:right w:val="none" w:sz="0" w:space="0" w:color="auto"/>
      </w:divBdr>
    </w:div>
    <w:div w:id="1133600079">
      <w:bodyDiv w:val="1"/>
      <w:marLeft w:val="0"/>
      <w:marRight w:val="0"/>
      <w:marTop w:val="0"/>
      <w:marBottom w:val="0"/>
      <w:divBdr>
        <w:top w:val="none" w:sz="0" w:space="0" w:color="auto"/>
        <w:left w:val="none" w:sz="0" w:space="0" w:color="auto"/>
        <w:bottom w:val="none" w:sz="0" w:space="0" w:color="auto"/>
        <w:right w:val="none" w:sz="0" w:space="0" w:color="auto"/>
      </w:divBdr>
    </w:div>
    <w:div w:id="1169784116">
      <w:bodyDiv w:val="1"/>
      <w:marLeft w:val="0"/>
      <w:marRight w:val="0"/>
      <w:marTop w:val="0"/>
      <w:marBottom w:val="0"/>
      <w:divBdr>
        <w:top w:val="none" w:sz="0" w:space="0" w:color="auto"/>
        <w:left w:val="none" w:sz="0" w:space="0" w:color="auto"/>
        <w:bottom w:val="none" w:sz="0" w:space="0" w:color="auto"/>
        <w:right w:val="none" w:sz="0" w:space="0" w:color="auto"/>
      </w:divBdr>
    </w:div>
    <w:div w:id="1196232595">
      <w:bodyDiv w:val="1"/>
      <w:marLeft w:val="0"/>
      <w:marRight w:val="0"/>
      <w:marTop w:val="0"/>
      <w:marBottom w:val="0"/>
      <w:divBdr>
        <w:top w:val="none" w:sz="0" w:space="0" w:color="auto"/>
        <w:left w:val="none" w:sz="0" w:space="0" w:color="auto"/>
        <w:bottom w:val="none" w:sz="0" w:space="0" w:color="auto"/>
        <w:right w:val="none" w:sz="0" w:space="0" w:color="auto"/>
      </w:divBdr>
    </w:div>
    <w:div w:id="1211960306">
      <w:bodyDiv w:val="1"/>
      <w:marLeft w:val="0"/>
      <w:marRight w:val="0"/>
      <w:marTop w:val="0"/>
      <w:marBottom w:val="0"/>
      <w:divBdr>
        <w:top w:val="none" w:sz="0" w:space="0" w:color="auto"/>
        <w:left w:val="none" w:sz="0" w:space="0" w:color="auto"/>
        <w:bottom w:val="none" w:sz="0" w:space="0" w:color="auto"/>
        <w:right w:val="none" w:sz="0" w:space="0" w:color="auto"/>
      </w:divBdr>
    </w:div>
    <w:div w:id="1216821138">
      <w:bodyDiv w:val="1"/>
      <w:marLeft w:val="0"/>
      <w:marRight w:val="0"/>
      <w:marTop w:val="0"/>
      <w:marBottom w:val="0"/>
      <w:divBdr>
        <w:top w:val="none" w:sz="0" w:space="0" w:color="auto"/>
        <w:left w:val="none" w:sz="0" w:space="0" w:color="auto"/>
        <w:bottom w:val="none" w:sz="0" w:space="0" w:color="auto"/>
        <w:right w:val="none" w:sz="0" w:space="0" w:color="auto"/>
      </w:divBdr>
    </w:div>
    <w:div w:id="1220744359">
      <w:bodyDiv w:val="1"/>
      <w:marLeft w:val="0"/>
      <w:marRight w:val="0"/>
      <w:marTop w:val="0"/>
      <w:marBottom w:val="0"/>
      <w:divBdr>
        <w:top w:val="none" w:sz="0" w:space="0" w:color="auto"/>
        <w:left w:val="none" w:sz="0" w:space="0" w:color="auto"/>
        <w:bottom w:val="none" w:sz="0" w:space="0" w:color="auto"/>
        <w:right w:val="none" w:sz="0" w:space="0" w:color="auto"/>
      </w:divBdr>
    </w:div>
    <w:div w:id="1226457156">
      <w:bodyDiv w:val="1"/>
      <w:marLeft w:val="0"/>
      <w:marRight w:val="0"/>
      <w:marTop w:val="0"/>
      <w:marBottom w:val="0"/>
      <w:divBdr>
        <w:top w:val="none" w:sz="0" w:space="0" w:color="auto"/>
        <w:left w:val="none" w:sz="0" w:space="0" w:color="auto"/>
        <w:bottom w:val="none" w:sz="0" w:space="0" w:color="auto"/>
        <w:right w:val="none" w:sz="0" w:space="0" w:color="auto"/>
      </w:divBdr>
    </w:div>
    <w:div w:id="1250963239">
      <w:bodyDiv w:val="1"/>
      <w:marLeft w:val="0"/>
      <w:marRight w:val="0"/>
      <w:marTop w:val="0"/>
      <w:marBottom w:val="0"/>
      <w:divBdr>
        <w:top w:val="none" w:sz="0" w:space="0" w:color="auto"/>
        <w:left w:val="none" w:sz="0" w:space="0" w:color="auto"/>
        <w:bottom w:val="none" w:sz="0" w:space="0" w:color="auto"/>
        <w:right w:val="none" w:sz="0" w:space="0" w:color="auto"/>
      </w:divBdr>
    </w:div>
    <w:div w:id="1321889373">
      <w:bodyDiv w:val="1"/>
      <w:marLeft w:val="0"/>
      <w:marRight w:val="0"/>
      <w:marTop w:val="0"/>
      <w:marBottom w:val="0"/>
      <w:divBdr>
        <w:top w:val="none" w:sz="0" w:space="0" w:color="auto"/>
        <w:left w:val="none" w:sz="0" w:space="0" w:color="auto"/>
        <w:bottom w:val="none" w:sz="0" w:space="0" w:color="auto"/>
        <w:right w:val="none" w:sz="0" w:space="0" w:color="auto"/>
      </w:divBdr>
    </w:div>
    <w:div w:id="1415932190">
      <w:bodyDiv w:val="1"/>
      <w:marLeft w:val="0"/>
      <w:marRight w:val="0"/>
      <w:marTop w:val="0"/>
      <w:marBottom w:val="0"/>
      <w:divBdr>
        <w:top w:val="none" w:sz="0" w:space="0" w:color="auto"/>
        <w:left w:val="none" w:sz="0" w:space="0" w:color="auto"/>
        <w:bottom w:val="none" w:sz="0" w:space="0" w:color="auto"/>
        <w:right w:val="none" w:sz="0" w:space="0" w:color="auto"/>
      </w:divBdr>
    </w:div>
    <w:div w:id="1569656314">
      <w:bodyDiv w:val="1"/>
      <w:marLeft w:val="0"/>
      <w:marRight w:val="0"/>
      <w:marTop w:val="0"/>
      <w:marBottom w:val="0"/>
      <w:divBdr>
        <w:top w:val="none" w:sz="0" w:space="0" w:color="auto"/>
        <w:left w:val="none" w:sz="0" w:space="0" w:color="auto"/>
        <w:bottom w:val="none" w:sz="0" w:space="0" w:color="auto"/>
        <w:right w:val="none" w:sz="0" w:space="0" w:color="auto"/>
      </w:divBdr>
    </w:div>
    <w:div w:id="1602104626">
      <w:bodyDiv w:val="1"/>
      <w:marLeft w:val="0"/>
      <w:marRight w:val="0"/>
      <w:marTop w:val="0"/>
      <w:marBottom w:val="0"/>
      <w:divBdr>
        <w:top w:val="none" w:sz="0" w:space="0" w:color="auto"/>
        <w:left w:val="none" w:sz="0" w:space="0" w:color="auto"/>
        <w:bottom w:val="none" w:sz="0" w:space="0" w:color="auto"/>
        <w:right w:val="none" w:sz="0" w:space="0" w:color="auto"/>
      </w:divBdr>
    </w:div>
    <w:div w:id="1630742493">
      <w:bodyDiv w:val="1"/>
      <w:marLeft w:val="0"/>
      <w:marRight w:val="0"/>
      <w:marTop w:val="0"/>
      <w:marBottom w:val="0"/>
      <w:divBdr>
        <w:top w:val="none" w:sz="0" w:space="0" w:color="auto"/>
        <w:left w:val="none" w:sz="0" w:space="0" w:color="auto"/>
        <w:bottom w:val="none" w:sz="0" w:space="0" w:color="auto"/>
        <w:right w:val="none" w:sz="0" w:space="0" w:color="auto"/>
      </w:divBdr>
    </w:div>
    <w:div w:id="1767337684">
      <w:bodyDiv w:val="1"/>
      <w:marLeft w:val="0"/>
      <w:marRight w:val="0"/>
      <w:marTop w:val="0"/>
      <w:marBottom w:val="0"/>
      <w:divBdr>
        <w:top w:val="none" w:sz="0" w:space="0" w:color="auto"/>
        <w:left w:val="none" w:sz="0" w:space="0" w:color="auto"/>
        <w:bottom w:val="none" w:sz="0" w:space="0" w:color="auto"/>
        <w:right w:val="none" w:sz="0" w:space="0" w:color="auto"/>
      </w:divBdr>
    </w:div>
    <w:div w:id="1821000485">
      <w:bodyDiv w:val="1"/>
      <w:marLeft w:val="0"/>
      <w:marRight w:val="0"/>
      <w:marTop w:val="0"/>
      <w:marBottom w:val="0"/>
      <w:divBdr>
        <w:top w:val="none" w:sz="0" w:space="0" w:color="auto"/>
        <w:left w:val="none" w:sz="0" w:space="0" w:color="auto"/>
        <w:bottom w:val="none" w:sz="0" w:space="0" w:color="auto"/>
        <w:right w:val="none" w:sz="0" w:space="0" w:color="auto"/>
      </w:divBdr>
    </w:div>
    <w:div w:id="1884051401">
      <w:bodyDiv w:val="1"/>
      <w:marLeft w:val="0"/>
      <w:marRight w:val="0"/>
      <w:marTop w:val="0"/>
      <w:marBottom w:val="0"/>
      <w:divBdr>
        <w:top w:val="none" w:sz="0" w:space="0" w:color="auto"/>
        <w:left w:val="none" w:sz="0" w:space="0" w:color="auto"/>
        <w:bottom w:val="none" w:sz="0" w:space="0" w:color="auto"/>
        <w:right w:val="none" w:sz="0" w:space="0" w:color="auto"/>
      </w:divBdr>
    </w:div>
    <w:div w:id="1970083789">
      <w:bodyDiv w:val="1"/>
      <w:marLeft w:val="0"/>
      <w:marRight w:val="0"/>
      <w:marTop w:val="0"/>
      <w:marBottom w:val="0"/>
      <w:divBdr>
        <w:top w:val="none" w:sz="0" w:space="0" w:color="auto"/>
        <w:left w:val="none" w:sz="0" w:space="0" w:color="auto"/>
        <w:bottom w:val="none" w:sz="0" w:space="0" w:color="auto"/>
        <w:right w:val="none" w:sz="0" w:space="0" w:color="auto"/>
      </w:divBdr>
    </w:div>
    <w:div w:id="1974552931">
      <w:bodyDiv w:val="1"/>
      <w:marLeft w:val="0"/>
      <w:marRight w:val="0"/>
      <w:marTop w:val="0"/>
      <w:marBottom w:val="0"/>
      <w:divBdr>
        <w:top w:val="none" w:sz="0" w:space="0" w:color="auto"/>
        <w:left w:val="none" w:sz="0" w:space="0" w:color="auto"/>
        <w:bottom w:val="none" w:sz="0" w:space="0" w:color="auto"/>
        <w:right w:val="none" w:sz="0" w:space="0" w:color="auto"/>
      </w:divBdr>
    </w:div>
    <w:div w:id="2010055949">
      <w:bodyDiv w:val="1"/>
      <w:marLeft w:val="0"/>
      <w:marRight w:val="0"/>
      <w:marTop w:val="0"/>
      <w:marBottom w:val="0"/>
      <w:divBdr>
        <w:top w:val="none" w:sz="0" w:space="0" w:color="auto"/>
        <w:left w:val="none" w:sz="0" w:space="0" w:color="auto"/>
        <w:bottom w:val="none" w:sz="0" w:space="0" w:color="auto"/>
        <w:right w:val="none" w:sz="0" w:space="0" w:color="auto"/>
      </w:divBdr>
    </w:div>
    <w:div w:id="2073573158">
      <w:bodyDiv w:val="1"/>
      <w:marLeft w:val="0"/>
      <w:marRight w:val="0"/>
      <w:marTop w:val="0"/>
      <w:marBottom w:val="0"/>
      <w:divBdr>
        <w:top w:val="none" w:sz="0" w:space="0" w:color="auto"/>
        <w:left w:val="none" w:sz="0" w:space="0" w:color="auto"/>
        <w:bottom w:val="none" w:sz="0" w:space="0" w:color="auto"/>
        <w:right w:val="none" w:sz="0" w:space="0" w:color="auto"/>
      </w:divBdr>
    </w:div>
    <w:div w:id="2084790393">
      <w:bodyDiv w:val="1"/>
      <w:marLeft w:val="0"/>
      <w:marRight w:val="0"/>
      <w:marTop w:val="0"/>
      <w:marBottom w:val="0"/>
      <w:divBdr>
        <w:top w:val="none" w:sz="0" w:space="0" w:color="auto"/>
        <w:left w:val="none" w:sz="0" w:space="0" w:color="auto"/>
        <w:bottom w:val="none" w:sz="0" w:space="0" w:color="auto"/>
        <w:right w:val="none" w:sz="0" w:space="0" w:color="auto"/>
      </w:divBdr>
    </w:div>
    <w:div w:id="2091807261">
      <w:bodyDiv w:val="1"/>
      <w:marLeft w:val="0"/>
      <w:marRight w:val="0"/>
      <w:marTop w:val="0"/>
      <w:marBottom w:val="0"/>
      <w:divBdr>
        <w:top w:val="none" w:sz="0" w:space="0" w:color="auto"/>
        <w:left w:val="none" w:sz="0" w:space="0" w:color="auto"/>
        <w:bottom w:val="none" w:sz="0" w:space="0" w:color="auto"/>
        <w:right w:val="none" w:sz="0" w:space="0" w:color="auto"/>
      </w:divBdr>
    </w:div>
    <w:div w:id="212410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oc/decisions/cop-09/cop-09-dec-08-fr.pdf" TargetMode="External"/><Relationship Id="rId3" Type="http://schemas.openxmlformats.org/officeDocument/2006/relationships/customXml" Target="../customXml/item3.xml"/><Relationship Id="rId21" Type="http://schemas.openxmlformats.org/officeDocument/2006/relationships/hyperlink" Target="https://www.cbd.int/nbsap/related-info/sbsap/default.shtm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op-08/full/cop-08-dec-fr.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hyperlink" Target="http://www.ne.undp.org/content/dam/niger/docs/UNDP-NE-PDES%202017-202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portail.cder.dz/IMG/article_PDF/article_a367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09/cop-09-dec-08-fr.pdf"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nbsap/related-info/sbsap/default.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Templates\Docs\CBD.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lefebvre\AppData\Local\Microsoft\Windows\INetCache\Content.Outlook\1G8K1I6Z\sbi-03-02-add1-Figure-1-fr.xls"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lefebvre\AppData\Local\Microsoft\Windows\INetCache\Content.Outlook\1G8K1I6Z\sbi-03-02-add1-Figure-2-fr.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400"/>
            </a:pPr>
            <a:r>
              <a:rPr lang="fr-CA" sz="1400"/>
              <a:t>Adoption en tant qu'instrument de politique générale</a:t>
            </a:r>
            <a:br>
              <a:rPr lang="fr-CA" sz="1400"/>
            </a:br>
            <a:endParaRPr lang="fr-CA" sz="1400"/>
          </a:p>
          <a:p>
            <a:pPr>
              <a:defRPr sz="1400"/>
            </a:pPr>
            <a:endParaRPr lang="fr-CA" sz="1400"/>
          </a:p>
        </c:rich>
      </c:tx>
      <c:layout>
        <c:manualLayout>
          <c:xMode val="edge"/>
          <c:yMode val="edge"/>
          <c:x val="0.30910445258235736"/>
          <c:y val="5.3489606902585453E-2"/>
        </c:manualLayout>
      </c:layout>
      <c:overlay val="0"/>
      <c:spPr>
        <a:noFill/>
        <a:ln w="25400">
          <a:noFill/>
        </a:ln>
      </c:spPr>
    </c:title>
    <c:autoTitleDeleted val="0"/>
    <c:plotArea>
      <c:layout>
        <c:manualLayout>
          <c:layoutTarget val="inner"/>
          <c:xMode val="edge"/>
          <c:yMode val="edge"/>
          <c:x val="0.13754476314088146"/>
          <c:y val="0.20040367721574429"/>
          <c:w val="0.74895035218394845"/>
          <c:h val="0.56909205174590594"/>
        </c:manualLayout>
      </c:layout>
      <c:barChart>
        <c:barDir val="col"/>
        <c:grouping val="clustered"/>
        <c:varyColors val="0"/>
        <c:ser>
          <c:idx val="0"/>
          <c:order val="0"/>
          <c:spPr>
            <a:solidFill>
              <a:srgbClr val="4F81BD"/>
            </a:solidFill>
            <a:ln w="25400">
              <a:noFill/>
            </a:ln>
          </c:spPr>
          <c:invertIfNegative val="0"/>
          <c:cat>
            <c:strRef>
              <c:f>Sheet5!$A$1:$D$1</c:f>
              <c:strCache>
                <c:ptCount val="4"/>
                <c:pt idx="0">
                  <c:v>Instrument pangouverne-mental 
(69)</c:v>
                </c:pt>
                <c:pt idx="1">
                  <c:v>Iintention d'adopter en tant qu'instrument pangouvernemental
(18)</c:v>
                </c:pt>
                <c:pt idx="2">
                  <c:v>Instrument ne s'appliquant qu'au secteur de l'environnement
(8)</c:v>
                </c:pt>
                <c:pt idx="3">
                  <c:v>Information insuffisante
(72)</c:v>
                </c:pt>
              </c:strCache>
            </c:strRef>
          </c:cat>
          <c:val>
            <c:numRef>
              <c:f>Sheet5!$A$2:$D$2</c:f>
              <c:numCache>
                <c:formatCode>General</c:formatCode>
                <c:ptCount val="4"/>
                <c:pt idx="0">
                  <c:v>69</c:v>
                </c:pt>
                <c:pt idx="1">
                  <c:v>18</c:v>
                </c:pt>
                <c:pt idx="2">
                  <c:v>8</c:v>
                </c:pt>
                <c:pt idx="3">
                  <c:v>72</c:v>
                </c:pt>
              </c:numCache>
            </c:numRef>
          </c:val>
          <c:extLst>
            <c:ext xmlns:c16="http://schemas.microsoft.com/office/drawing/2014/chart" uri="{C3380CC4-5D6E-409C-BE32-E72D297353CC}">
              <c16:uniqueId val="{00000000-C108-4B58-A5CE-EFBCF48E9642}"/>
            </c:ext>
          </c:extLst>
        </c:ser>
        <c:dLbls>
          <c:showLegendKey val="0"/>
          <c:showVal val="0"/>
          <c:showCatName val="0"/>
          <c:showSerName val="0"/>
          <c:showPercent val="0"/>
          <c:showBubbleSize val="0"/>
        </c:dLbls>
        <c:gapWidth val="219"/>
        <c:axId val="175480920"/>
        <c:axId val="1"/>
      </c:barChart>
      <c:catAx>
        <c:axId val="175480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vert="horz"/>
          <a:lstStyle/>
          <a:p>
            <a:pPr>
              <a:defRPr/>
            </a:pPr>
            <a:endParaRPr lang="en-US"/>
          </a:p>
        </c:txPr>
        <c:crossAx val="175480920"/>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ctr">
        <a:defRPr lang="en-CA" sz="900" b="1" i="0" u="none" strike="noStrike" kern="1200" baseline="0">
          <a:solidFill>
            <a:sysClr val="windowText" lastClr="000000"/>
          </a:solidFill>
          <a:latin typeface="+mn-lt"/>
          <a:ea typeface="+mn-ea"/>
          <a:cs typeface="+mn-cs"/>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619639039965364"/>
          <c:y val="1.6994978756276556E-2"/>
          <c:w val="0.77315068863814707"/>
          <c:h val="0.79220712706392582"/>
        </c:manualLayout>
      </c:layout>
      <c:barChart>
        <c:barDir val="bar"/>
        <c:grouping val="stacked"/>
        <c:varyColors val="0"/>
        <c:ser>
          <c:idx val="0"/>
          <c:order val="0"/>
          <c:tx>
            <c:strRef>
              <c:f>Sheet1!$B$1</c:f>
              <c:strCache>
                <c:ptCount val="1"/>
                <c:pt idx="0">
                  <c:v>Participation au comité</c:v>
                </c:pt>
              </c:strCache>
            </c:strRef>
          </c:tx>
          <c:spPr>
            <a:solidFill>
              <a:schemeClr val="accent1"/>
            </a:solidFill>
            <a:ln>
              <a:noFill/>
            </a:ln>
            <a:effectLst/>
          </c:spPr>
          <c:invertIfNegative val="0"/>
          <c:cat>
            <c:strRef>
              <c:f>Sheet1!$A$2:$A$16</c:f>
              <c:strCache>
                <c:ptCount val="15"/>
                <c:pt idx="0">
                  <c:v>Agriculture</c:v>
                </c:pt>
                <c:pt idx="1">
                  <c:v>Pêche</c:v>
                </c:pt>
                <c:pt idx="2">
                  <c:v>Planification du développement</c:v>
                </c:pt>
                <c:pt idx="3">
                  <c:v>Forêts</c:v>
                </c:pt>
                <c:pt idx="4">
                  <c:v>Tourisme</c:v>
                </c:pt>
                <c:pt idx="5">
                  <c:v>Éducation</c:v>
                </c:pt>
                <c:pt idx="6">
                  <c:v>Finances</c:v>
                </c:pt>
                <c:pt idx="7">
                  <c:v>Commerce et industrie</c:v>
                </c:pt>
                <c:pt idx="8">
                  <c:v>Infrastructures/ transports</c:v>
                </c:pt>
                <c:pt idx="9">
                  <c:v>Culture</c:v>
                </c:pt>
                <c:pt idx="10">
                  <c:v>Science et technologie</c:v>
                </c:pt>
                <c:pt idx="11">
                  <c:v>Économie</c:v>
                </c:pt>
                <c:pt idx="12">
                  <c:v>Santé</c:v>
                </c:pt>
                <c:pt idx="13">
                  <c:v>Sports</c:v>
                </c:pt>
                <c:pt idx="14">
                  <c:v>Affaires sociales</c:v>
                </c:pt>
              </c:strCache>
            </c:strRef>
          </c:cat>
          <c:val>
            <c:numRef>
              <c:f>Sheet1!$B$2:$B$16</c:f>
              <c:numCache>
                <c:formatCode>General</c:formatCode>
                <c:ptCount val="15"/>
                <c:pt idx="0">
                  <c:v>43</c:v>
                </c:pt>
                <c:pt idx="1">
                  <c:v>26</c:v>
                </c:pt>
                <c:pt idx="2">
                  <c:v>26</c:v>
                </c:pt>
                <c:pt idx="3">
                  <c:v>26</c:v>
                </c:pt>
                <c:pt idx="4">
                  <c:v>21</c:v>
                </c:pt>
                <c:pt idx="5">
                  <c:v>17</c:v>
                </c:pt>
                <c:pt idx="6">
                  <c:v>15</c:v>
                </c:pt>
                <c:pt idx="7">
                  <c:v>14</c:v>
                </c:pt>
                <c:pt idx="8">
                  <c:v>12</c:v>
                </c:pt>
                <c:pt idx="9">
                  <c:v>11</c:v>
                </c:pt>
                <c:pt idx="10">
                  <c:v>10</c:v>
                </c:pt>
                <c:pt idx="11">
                  <c:v>9</c:v>
                </c:pt>
                <c:pt idx="12">
                  <c:v>8</c:v>
                </c:pt>
                <c:pt idx="13">
                  <c:v>7</c:v>
                </c:pt>
                <c:pt idx="14">
                  <c:v>6</c:v>
                </c:pt>
              </c:numCache>
            </c:numRef>
          </c:val>
          <c:extLst>
            <c:ext xmlns:c16="http://schemas.microsoft.com/office/drawing/2014/chart" uri="{C3380CC4-5D6E-409C-BE32-E72D297353CC}">
              <c16:uniqueId val="{00000000-E56E-4C2B-B82C-B257E1DCF696}"/>
            </c:ext>
          </c:extLst>
        </c:ser>
        <c:ser>
          <c:idx val="1"/>
          <c:order val="1"/>
          <c:tx>
            <c:strRef>
              <c:f>Sheet1!$C$1</c:f>
              <c:strCache>
                <c:ptCount val="1"/>
                <c:pt idx="0">
                  <c:v>Consulté</c:v>
                </c:pt>
              </c:strCache>
            </c:strRef>
          </c:tx>
          <c:spPr>
            <a:solidFill>
              <a:schemeClr val="accent2"/>
            </a:solidFill>
            <a:ln>
              <a:noFill/>
            </a:ln>
            <a:effectLst/>
          </c:spPr>
          <c:invertIfNegative val="0"/>
          <c:cat>
            <c:strRef>
              <c:f>Sheet1!$A$2:$A$16</c:f>
              <c:strCache>
                <c:ptCount val="15"/>
                <c:pt idx="0">
                  <c:v>Agriculture</c:v>
                </c:pt>
                <c:pt idx="1">
                  <c:v>Pêche</c:v>
                </c:pt>
                <c:pt idx="2">
                  <c:v>Planification du développement</c:v>
                </c:pt>
                <c:pt idx="3">
                  <c:v>Forêts</c:v>
                </c:pt>
                <c:pt idx="4">
                  <c:v>Tourisme</c:v>
                </c:pt>
                <c:pt idx="5">
                  <c:v>Éducation</c:v>
                </c:pt>
                <c:pt idx="6">
                  <c:v>Finances</c:v>
                </c:pt>
                <c:pt idx="7">
                  <c:v>Commerce et industrie</c:v>
                </c:pt>
                <c:pt idx="8">
                  <c:v>Infrastructures/ transports</c:v>
                </c:pt>
                <c:pt idx="9">
                  <c:v>Culture</c:v>
                </c:pt>
                <c:pt idx="10">
                  <c:v>Science et technologie</c:v>
                </c:pt>
                <c:pt idx="11">
                  <c:v>Économie</c:v>
                </c:pt>
                <c:pt idx="12">
                  <c:v>Santé</c:v>
                </c:pt>
                <c:pt idx="13">
                  <c:v>Sports</c:v>
                </c:pt>
                <c:pt idx="14">
                  <c:v>Affaires sociales</c:v>
                </c:pt>
              </c:strCache>
            </c:strRef>
          </c:cat>
          <c:val>
            <c:numRef>
              <c:f>Sheet1!$C$2:$C$16</c:f>
              <c:numCache>
                <c:formatCode>General</c:formatCode>
                <c:ptCount val="15"/>
                <c:pt idx="0">
                  <c:v>35</c:v>
                </c:pt>
                <c:pt idx="1">
                  <c:v>18</c:v>
                </c:pt>
                <c:pt idx="2">
                  <c:v>18</c:v>
                </c:pt>
                <c:pt idx="3">
                  <c:v>29</c:v>
                </c:pt>
                <c:pt idx="4">
                  <c:v>21</c:v>
                </c:pt>
                <c:pt idx="5">
                  <c:v>17</c:v>
                </c:pt>
                <c:pt idx="6">
                  <c:v>19</c:v>
                </c:pt>
                <c:pt idx="7">
                  <c:v>12</c:v>
                </c:pt>
                <c:pt idx="8">
                  <c:v>9</c:v>
                </c:pt>
                <c:pt idx="9">
                  <c:v>13</c:v>
                </c:pt>
                <c:pt idx="10">
                  <c:v>12</c:v>
                </c:pt>
                <c:pt idx="11">
                  <c:v>8</c:v>
                </c:pt>
                <c:pt idx="12">
                  <c:v>13</c:v>
                </c:pt>
                <c:pt idx="13">
                  <c:v>4</c:v>
                </c:pt>
                <c:pt idx="14">
                  <c:v>2</c:v>
                </c:pt>
              </c:numCache>
            </c:numRef>
          </c:val>
          <c:extLst>
            <c:ext xmlns:c16="http://schemas.microsoft.com/office/drawing/2014/chart" uri="{C3380CC4-5D6E-409C-BE32-E72D297353CC}">
              <c16:uniqueId val="{00000001-E56E-4C2B-B82C-B257E1DCF696}"/>
            </c:ext>
          </c:extLst>
        </c:ser>
        <c:ser>
          <c:idx val="2"/>
          <c:order val="2"/>
          <c:tx>
            <c:strRef>
              <c:f>Sheet1!$D$1</c:f>
              <c:strCache>
                <c:ptCount val="1"/>
                <c:pt idx="0">
                  <c:v>Participation à la mise en œuvre </c:v>
                </c:pt>
              </c:strCache>
            </c:strRef>
          </c:tx>
          <c:spPr>
            <a:solidFill>
              <a:schemeClr val="accent3"/>
            </a:solidFill>
            <a:ln>
              <a:noFill/>
            </a:ln>
            <a:effectLst/>
          </c:spPr>
          <c:invertIfNegative val="0"/>
          <c:cat>
            <c:strRef>
              <c:f>Sheet1!$A$2:$A$16</c:f>
              <c:strCache>
                <c:ptCount val="15"/>
                <c:pt idx="0">
                  <c:v>Agriculture</c:v>
                </c:pt>
                <c:pt idx="1">
                  <c:v>Pêche</c:v>
                </c:pt>
                <c:pt idx="2">
                  <c:v>Planification du développement</c:v>
                </c:pt>
                <c:pt idx="3">
                  <c:v>Forêts</c:v>
                </c:pt>
                <c:pt idx="4">
                  <c:v>Tourisme</c:v>
                </c:pt>
                <c:pt idx="5">
                  <c:v>Éducation</c:v>
                </c:pt>
                <c:pt idx="6">
                  <c:v>Finances</c:v>
                </c:pt>
                <c:pt idx="7">
                  <c:v>Commerce et industrie</c:v>
                </c:pt>
                <c:pt idx="8">
                  <c:v>Infrastructures/ transports</c:v>
                </c:pt>
                <c:pt idx="9">
                  <c:v>Culture</c:v>
                </c:pt>
                <c:pt idx="10">
                  <c:v>Science et technologie</c:v>
                </c:pt>
                <c:pt idx="11">
                  <c:v>Économie</c:v>
                </c:pt>
                <c:pt idx="12">
                  <c:v>Santé</c:v>
                </c:pt>
                <c:pt idx="13">
                  <c:v>Sports</c:v>
                </c:pt>
                <c:pt idx="14">
                  <c:v>Affaires sociales</c:v>
                </c:pt>
              </c:strCache>
            </c:strRef>
          </c:cat>
          <c:val>
            <c:numRef>
              <c:f>Sheet1!$D$2:$D$16</c:f>
              <c:numCache>
                <c:formatCode>General</c:formatCode>
                <c:ptCount val="15"/>
                <c:pt idx="0">
                  <c:v>9</c:v>
                </c:pt>
                <c:pt idx="1">
                  <c:v>18</c:v>
                </c:pt>
                <c:pt idx="2">
                  <c:v>6</c:v>
                </c:pt>
                <c:pt idx="3">
                  <c:v>8</c:v>
                </c:pt>
                <c:pt idx="4">
                  <c:v>7</c:v>
                </c:pt>
                <c:pt idx="5">
                  <c:v>3</c:v>
                </c:pt>
                <c:pt idx="6">
                  <c:v>3</c:v>
                </c:pt>
                <c:pt idx="7">
                  <c:v>7</c:v>
                </c:pt>
                <c:pt idx="8">
                  <c:v>4</c:v>
                </c:pt>
                <c:pt idx="9">
                  <c:v>3</c:v>
                </c:pt>
                <c:pt idx="10">
                  <c:v>5</c:v>
                </c:pt>
                <c:pt idx="11">
                  <c:v>0</c:v>
                </c:pt>
                <c:pt idx="12">
                  <c:v>5</c:v>
                </c:pt>
                <c:pt idx="13">
                  <c:v>2</c:v>
                </c:pt>
                <c:pt idx="14">
                  <c:v>2</c:v>
                </c:pt>
              </c:numCache>
            </c:numRef>
          </c:val>
          <c:extLst>
            <c:ext xmlns:c16="http://schemas.microsoft.com/office/drawing/2014/chart" uri="{C3380CC4-5D6E-409C-BE32-E72D297353CC}">
              <c16:uniqueId val="{00000002-E56E-4C2B-B82C-B257E1DCF696}"/>
            </c:ext>
          </c:extLst>
        </c:ser>
        <c:dLbls>
          <c:showLegendKey val="0"/>
          <c:showVal val="0"/>
          <c:showCatName val="0"/>
          <c:showSerName val="0"/>
          <c:showPercent val="0"/>
          <c:showBubbleSize val="0"/>
        </c:dLbls>
        <c:gapWidth val="150"/>
        <c:overlap val="100"/>
        <c:axId val="139074768"/>
        <c:axId val="139074376"/>
      </c:barChart>
      <c:catAx>
        <c:axId val="139074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39074376"/>
        <c:crosses val="autoZero"/>
        <c:auto val="1"/>
        <c:lblAlgn val="ctr"/>
        <c:lblOffset val="100"/>
        <c:noMultiLvlLbl val="0"/>
      </c:catAx>
      <c:valAx>
        <c:axId val="1390743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074768"/>
        <c:crosses val="autoZero"/>
        <c:crossBetween val="between"/>
      </c:valAx>
      <c:spPr>
        <a:noFill/>
        <a:ln>
          <a:noFill/>
        </a:ln>
        <a:effectLst/>
      </c:spPr>
    </c:plotArea>
    <c:legend>
      <c:legendPos val="b"/>
      <c:layout>
        <c:manualLayout>
          <c:xMode val="edge"/>
          <c:yMode val="edge"/>
          <c:x val="0"/>
          <c:y val="0.91822675646743812"/>
          <c:w val="1"/>
          <c:h val="2.9136533471254937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0.02406</cdr:x>
      <cdr:y>0.42656</cdr:y>
    </cdr:from>
    <cdr:to>
      <cdr:x>0.06593</cdr:x>
      <cdr:y>0.68002</cdr:y>
    </cdr:to>
    <cdr:sp macro="" textlink="">
      <cdr:nvSpPr>
        <cdr:cNvPr id="2" name="TextBox 6">
          <a:extLst xmlns:a="http://schemas.openxmlformats.org/drawingml/2006/main">
            <a:ext uri="{FF2B5EF4-FFF2-40B4-BE49-F238E27FC236}">
              <a16:creationId xmlns:a16="http://schemas.microsoft.com/office/drawing/2014/main" id="{97329099-A7E1-4EE2-9987-389C9B029D3F}"/>
            </a:ext>
          </a:extLst>
        </cdr:cNvPr>
        <cdr:cNvSpPr txBox="1"/>
      </cdr:nvSpPr>
      <cdr:spPr>
        <a:xfrm xmlns:a="http://schemas.openxmlformats.org/drawingml/2006/main" rot="16200000">
          <a:off x="-208815" y="1954798"/>
          <a:ext cx="952499" cy="248851"/>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CA" sz="1000" b="1"/>
            <a:t>N</a:t>
          </a:r>
          <a:r>
            <a:rPr lang="en-CA" sz="1000" b="1" baseline="30000"/>
            <a:t>bre</a:t>
          </a:r>
          <a:r>
            <a:rPr lang="en-CA" sz="1000" b="1"/>
            <a:t> de SPANB</a:t>
          </a:r>
        </a:p>
      </cdr:txBody>
    </cdr:sp>
  </cdr:relSizeAnchor>
</c:userShapes>
</file>

<file path=word/drawings/drawing2.xml><?xml version="1.0" encoding="utf-8"?>
<c:userShapes xmlns:c="http://schemas.openxmlformats.org/drawingml/2006/chart">
  <cdr:relSizeAnchor xmlns:cdr="http://schemas.openxmlformats.org/drawingml/2006/chartDrawing">
    <cdr:from>
      <cdr:x>0.04604</cdr:x>
      <cdr:y>0.84927</cdr:y>
    </cdr:from>
    <cdr:to>
      <cdr:x>0.95658</cdr:x>
      <cdr:y>0.89094</cdr:y>
    </cdr:to>
    <cdr:sp macro="" textlink="">
      <cdr:nvSpPr>
        <cdr:cNvPr id="2" name="TextBox 2">
          <a:extLst xmlns:a="http://schemas.openxmlformats.org/drawingml/2006/main">
            <a:ext uri="{FF2B5EF4-FFF2-40B4-BE49-F238E27FC236}">
              <a16:creationId xmlns:a16="http://schemas.microsoft.com/office/drawing/2014/main" id="{00000000-0008-0000-0000-000003000000}"/>
            </a:ext>
          </a:extLst>
        </cdr:cNvPr>
        <cdr:cNvSpPr txBox="1"/>
      </cdr:nvSpPr>
      <cdr:spPr>
        <a:xfrm xmlns:a="http://schemas.openxmlformats.org/drawingml/2006/main">
          <a:off x="273637" y="5083842"/>
          <a:ext cx="5411863" cy="249461"/>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fr-CA" sz="1400">
              <a:solidFill>
                <a:schemeClr val="tx1"/>
              </a:solidFill>
              <a:effectLst/>
              <a:latin typeface="+mn-lt"/>
              <a:ea typeface="+mn-ea"/>
              <a:cs typeface="+mn-cs"/>
            </a:rPr>
            <a:t>Nombre de SPANB ayant mentionné</a:t>
          </a:r>
          <a:r>
            <a:rPr lang="fr-CA" sz="1400" baseline="0">
              <a:solidFill>
                <a:schemeClr val="tx1"/>
              </a:solidFill>
              <a:effectLst/>
              <a:latin typeface="+mn-lt"/>
              <a:ea typeface="+mn-ea"/>
              <a:cs typeface="+mn-cs"/>
            </a:rPr>
            <a:t> la participation d'autres ministères</a:t>
          </a:r>
          <a:endParaRPr lang="en-CA" sz="1400">
            <a:solidFill>
              <a:schemeClr val="tx1"/>
            </a:solidFill>
            <a:effectLst/>
            <a:latin typeface="+mn-lt"/>
            <a:ea typeface="+mn-ea"/>
            <a:cs typeface="+mn-cs"/>
          </a:endParaRPr>
        </a:p>
        <a:p xmlns:a="http://schemas.openxmlformats.org/drawingml/2006/main">
          <a:endParaRPr lang="en-CA" sz="14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B351E-8FE7-4345-953A-09A9BF45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E2C496-5CB0-4027-9F64-6B58AE174642}">
  <ds:schemaRefs>
    <ds:schemaRef ds:uri="http://schemas.microsoft.com/sharepoint/v3/contenttype/forms"/>
  </ds:schemaRefs>
</ds:datastoreItem>
</file>

<file path=customXml/itemProps3.xml><?xml version="1.0" encoding="utf-8"?>
<ds:datastoreItem xmlns:ds="http://schemas.openxmlformats.org/officeDocument/2006/customXml" ds:itemID="{E7FED513-5E52-4B23-A0E3-2F0BAD47CDC3}">
  <ds:schemaRefs>
    <ds:schemaRef ds:uri="http://schemas.microsoft.com/office/2006/metadata/properties"/>
    <ds:schemaRef ds:uri="13ad741f-c0db-4e29-b5a6-03b4a1bc18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79408D47-7CE4-40D9-ABAE-EB3118E30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CBD</Template>
  <TotalTime>2</TotalTime>
  <Pages>21</Pages>
  <Words>7072</Words>
  <Characters>40317</Characters>
  <Application>Microsoft Office Word</Application>
  <DocSecurity>0</DocSecurity>
  <Lines>335</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FOURTH NATIONAL REPORTS: STATUS REPORT AND PRELIMINARY ANALYSIS</vt:lpstr>
      <vt:lpstr>FOURTH NATIONAL REPORTS: STATUS REPORT AND PRELIMINARY ANALYSIS</vt:lpstr>
    </vt:vector>
  </TitlesOfParts>
  <Company>Microsoft</Company>
  <LinksUpToDate>false</LinksUpToDate>
  <CharactersWithSpaces>47295</CharactersWithSpaces>
  <SharedDoc>false</SharedDoc>
  <HLinks>
    <vt:vector size="78" baseType="variant">
      <vt:variant>
        <vt:i4>3932278</vt:i4>
      </vt:variant>
      <vt:variant>
        <vt:i4>30</vt:i4>
      </vt:variant>
      <vt:variant>
        <vt:i4>0</vt:i4>
      </vt:variant>
      <vt:variant>
        <vt:i4>5</vt:i4>
      </vt:variant>
      <vt:variant>
        <vt:lpwstr>https://www.cbd.int/nbsap/related-info/sbsap/default.shtml</vt:lpwstr>
      </vt:variant>
      <vt:variant>
        <vt:lpwstr/>
      </vt:variant>
      <vt:variant>
        <vt:i4>4718668</vt:i4>
      </vt:variant>
      <vt:variant>
        <vt:i4>27</vt:i4>
      </vt:variant>
      <vt:variant>
        <vt:i4>0</vt:i4>
      </vt:variant>
      <vt:variant>
        <vt:i4>5</vt:i4>
      </vt:variant>
      <vt:variant>
        <vt:lpwstr>http://www.ne.undp.org/content/dam/niger/docs/UNDP-NE-PDES 2017-2021.pdf?...</vt:lpwstr>
      </vt:variant>
      <vt:variant>
        <vt:lpwstr/>
      </vt:variant>
      <vt:variant>
        <vt:i4>1441871</vt:i4>
      </vt:variant>
      <vt:variant>
        <vt:i4>24</vt:i4>
      </vt:variant>
      <vt:variant>
        <vt:i4>0</vt:i4>
      </vt:variant>
      <vt:variant>
        <vt:i4>5</vt:i4>
      </vt:variant>
      <vt:variant>
        <vt:lpwstr>http://portail.cder.dz/IMG/article_PDF/article_a3679.pdf</vt:lpwstr>
      </vt:variant>
      <vt:variant>
        <vt:lpwstr/>
      </vt:variant>
      <vt:variant>
        <vt:i4>524378</vt:i4>
      </vt:variant>
      <vt:variant>
        <vt:i4>21</vt:i4>
      </vt:variant>
      <vt:variant>
        <vt:i4>0</vt:i4>
      </vt:variant>
      <vt:variant>
        <vt:i4>5</vt:i4>
      </vt:variant>
      <vt:variant>
        <vt:lpwstr>https://www.cbd.int/doc/decisions/cop-09/cop-09-dec-08-fr.pdf</vt:lpwstr>
      </vt:variant>
      <vt:variant>
        <vt:lpwstr/>
      </vt:variant>
      <vt:variant>
        <vt:i4>3080292</vt:i4>
      </vt:variant>
      <vt:variant>
        <vt:i4>18</vt:i4>
      </vt:variant>
      <vt:variant>
        <vt:i4>0</vt:i4>
      </vt:variant>
      <vt:variant>
        <vt:i4>5</vt:i4>
      </vt:variant>
      <vt:variant>
        <vt:lpwstr>https://www.cbd.int/doc/decisions/cop-08/full/cop-08-dec-fr.pdf</vt:lpwstr>
      </vt:variant>
      <vt:variant>
        <vt:lpwstr/>
      </vt:variant>
      <vt:variant>
        <vt:i4>524378</vt:i4>
      </vt:variant>
      <vt:variant>
        <vt:i4>15</vt:i4>
      </vt:variant>
      <vt:variant>
        <vt:i4>0</vt:i4>
      </vt:variant>
      <vt:variant>
        <vt:i4>5</vt:i4>
      </vt:variant>
      <vt:variant>
        <vt:lpwstr>https://www.cbd.int/doc/decisions/cop-09/cop-09-dec-08-fr.pdf</vt:lpwstr>
      </vt:variant>
      <vt:variant>
        <vt:lpwstr/>
      </vt:variant>
      <vt:variant>
        <vt:i4>7995507</vt:i4>
      </vt:variant>
      <vt:variant>
        <vt:i4>12</vt:i4>
      </vt:variant>
      <vt:variant>
        <vt:i4>0</vt:i4>
      </vt:variant>
      <vt:variant>
        <vt:i4>5</vt:i4>
      </vt:variant>
      <vt:variant>
        <vt:lpwstr>https://www.cbd.int/doc/meetings/cop/cop-13/official/cop-13-08-add1-rev1-fr.pdf</vt:lpwstr>
      </vt:variant>
      <vt:variant>
        <vt:lpwstr/>
      </vt:variant>
      <vt:variant>
        <vt:i4>655441</vt:i4>
      </vt:variant>
      <vt:variant>
        <vt:i4>9</vt:i4>
      </vt:variant>
      <vt:variant>
        <vt:i4>0</vt:i4>
      </vt:variant>
      <vt:variant>
        <vt:i4>5</vt:i4>
      </vt:variant>
      <vt:variant>
        <vt:lpwstr>https://www.cbd.int/doc/decisions/cop-13/cop-13-dec-01-fr.pdf</vt:lpwstr>
      </vt:variant>
      <vt:variant>
        <vt:lpwstr/>
      </vt:variant>
      <vt:variant>
        <vt:i4>524368</vt:i4>
      </vt:variant>
      <vt:variant>
        <vt:i4>6</vt:i4>
      </vt:variant>
      <vt:variant>
        <vt:i4>0</vt:i4>
      </vt:variant>
      <vt:variant>
        <vt:i4>5</vt:i4>
      </vt:variant>
      <vt:variant>
        <vt:lpwstr>https://www.cbd.int/doc/decisions/cop-12/cop-12-dec-02-fr.pdf</vt:lpwstr>
      </vt:variant>
      <vt:variant>
        <vt:lpwstr/>
      </vt:variant>
      <vt:variant>
        <vt:i4>720979</vt:i4>
      </vt:variant>
      <vt:variant>
        <vt:i4>3</vt:i4>
      </vt:variant>
      <vt:variant>
        <vt:i4>0</vt:i4>
      </vt:variant>
      <vt:variant>
        <vt:i4>5</vt:i4>
      </vt:variant>
      <vt:variant>
        <vt:lpwstr>https://www.cbd.int/doc/decisions/cop-11/cop-11-dec-02-fr.pdf</vt:lpwstr>
      </vt:variant>
      <vt:variant>
        <vt:lpwstr/>
      </vt:variant>
      <vt:variant>
        <vt:i4>655442</vt:i4>
      </vt:variant>
      <vt:variant>
        <vt:i4>0</vt:i4>
      </vt:variant>
      <vt:variant>
        <vt:i4>0</vt:i4>
      </vt:variant>
      <vt:variant>
        <vt:i4>5</vt:i4>
      </vt:variant>
      <vt:variant>
        <vt:lpwstr>https://www.cbd.int/doc/decisions/cop-10/cop-10-dec-02-fr.pdf</vt:lpwstr>
      </vt:variant>
      <vt:variant>
        <vt:lpwstr/>
      </vt:variant>
      <vt:variant>
        <vt:i4>3932278</vt:i4>
      </vt:variant>
      <vt:variant>
        <vt:i4>3</vt:i4>
      </vt:variant>
      <vt:variant>
        <vt:i4>0</vt:i4>
      </vt:variant>
      <vt:variant>
        <vt:i4>5</vt:i4>
      </vt:variant>
      <vt:variant>
        <vt:lpwstr>https://www.cbd.int/nbsap/related-info/sbsap/default.shtml</vt:lpwstr>
      </vt:variant>
      <vt:variant>
        <vt:lpwstr/>
      </vt:variant>
      <vt:variant>
        <vt:i4>1900633</vt:i4>
      </vt:variant>
      <vt:variant>
        <vt:i4>0</vt:i4>
      </vt:variant>
      <vt:variant>
        <vt:i4>0</vt:i4>
      </vt:variant>
      <vt:variant>
        <vt:i4>5</vt:i4>
      </vt:variant>
      <vt:variant>
        <vt:lpwstr>https://www.cbd.int/doc/c/c418/4b06/65b26745a1c1a1793cc5ea40/sbi-02-01-fr.pdf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FOURTH NATIONAL REPORTS: STATUS REPORT AND PRELIMINARY ANALYSIS</dc:title>
  <dc:subject>FOURTH NATIONAL REPORTS</dc:subject>
  <dc:creator>SCBD</dc:creator>
  <cp:keywords/>
  <cp:lastModifiedBy>Veronique Lefebvre</cp:lastModifiedBy>
  <cp:revision>3</cp:revision>
  <cp:lastPrinted>2020-04-02T14:23:00Z</cp:lastPrinted>
  <dcterms:created xsi:type="dcterms:W3CDTF">2020-04-03T15:43:00Z</dcterms:created>
  <dcterms:modified xsi:type="dcterms:W3CDTF">2020-04-03T15:43:00Z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