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165AAD" w14:paraId="309D1EF9" w14:textId="77777777" w:rsidTr="001065E9">
        <w:trPr>
          <w:trHeight w:val="850"/>
        </w:trPr>
        <w:tc>
          <w:tcPr>
            <w:tcW w:w="975" w:type="dxa"/>
            <w:vAlign w:val="bottom"/>
          </w:tcPr>
          <w:p w14:paraId="5C796B39" w14:textId="77777777" w:rsidR="005012FC" w:rsidRPr="00165AAD" w:rsidRDefault="005012FC" w:rsidP="005012FC">
            <w:pPr>
              <w:pStyle w:val="AASmallLogo"/>
            </w:pPr>
            <w:r w:rsidRPr="00165AAD">
              <w:rPr>
                <w:noProof/>
                <w14:ligatures w14:val="standardContextual"/>
              </w:rPr>
              <w:drawing>
                <wp:inline distT="0" distB="0" distL="0" distR="0" wp14:anchorId="2FD60C32" wp14:editId="4E510E8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65AAD">
              <w:t xml:space="preserve"> </w:t>
            </w:r>
          </w:p>
          <w:p w14:paraId="39136304" w14:textId="77777777" w:rsidR="001065E9" w:rsidRPr="00165AAD" w:rsidRDefault="001065E9" w:rsidP="005012FC">
            <w:pPr>
              <w:pStyle w:val="AASmallLogo"/>
            </w:pPr>
          </w:p>
        </w:tc>
        <w:tc>
          <w:tcPr>
            <w:tcW w:w="1434" w:type="dxa"/>
            <w:noWrap/>
            <w:vAlign w:val="bottom"/>
          </w:tcPr>
          <w:p w14:paraId="37CA6D37" w14:textId="77777777" w:rsidR="005012FC" w:rsidRPr="00165AAD" w:rsidRDefault="005012FC" w:rsidP="005012FC">
            <w:pPr>
              <w:pStyle w:val="AASmallLogo"/>
            </w:pPr>
            <w:r w:rsidRPr="00165AAD">
              <w:rPr>
                <w:noProof/>
                <w14:ligatures w14:val="standardContextual"/>
              </w:rPr>
              <w:drawing>
                <wp:inline distT="0" distB="0" distL="0" distR="0" wp14:anchorId="7C5EAAB8" wp14:editId="56C84C21">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165AAD">
              <w:t xml:space="preserve"> </w:t>
            </w:r>
          </w:p>
          <w:p w14:paraId="6BCCABDF" w14:textId="77777777" w:rsidR="001065E9" w:rsidRPr="00165AAD" w:rsidRDefault="001065E9" w:rsidP="005012FC">
            <w:pPr>
              <w:pStyle w:val="AASmallLogo"/>
            </w:pPr>
          </w:p>
        </w:tc>
        <w:tc>
          <w:tcPr>
            <w:tcW w:w="8073" w:type="dxa"/>
            <w:vAlign w:val="bottom"/>
          </w:tcPr>
          <w:p w14:paraId="25EA8280" w14:textId="2CDBBBEA" w:rsidR="001065E9" w:rsidRPr="00165AAD" w:rsidRDefault="009C0BBB" w:rsidP="00DF78C4">
            <w:pPr>
              <w:pStyle w:val="ABSymbol"/>
            </w:pPr>
            <w:r w:rsidRPr="003B172F">
              <w:rPr>
                <w:sz w:val="40"/>
              </w:rPr>
              <w:t>CBD</w:t>
            </w:r>
            <w:r w:rsidR="005012FC" w:rsidRPr="00165AAD">
              <w:t>/</w:t>
            </w:r>
            <w:r w:rsidRPr="003B172F">
              <w:t>SBSTTA</w:t>
            </w:r>
            <w:r w:rsidR="005012FC" w:rsidRPr="00165AAD">
              <w:t>/</w:t>
            </w:r>
            <w:r w:rsidRPr="00165AAD">
              <w:t>27</w:t>
            </w:r>
            <w:r w:rsidR="008A3D3E" w:rsidRPr="00165AAD">
              <w:t>/3/Add.1</w:t>
            </w:r>
          </w:p>
        </w:tc>
      </w:tr>
    </w:tbl>
    <w:p w14:paraId="16BA1252" w14:textId="77777777" w:rsidR="009F67EB" w:rsidRPr="00165AA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165AAD" w14:paraId="2DA0012B" w14:textId="77777777" w:rsidTr="001065E9">
        <w:trPr>
          <w:trHeight w:val="1814"/>
        </w:trPr>
        <w:tc>
          <w:tcPr>
            <w:tcW w:w="7370" w:type="dxa"/>
          </w:tcPr>
          <w:p w14:paraId="7B5DA1C9" w14:textId="77777777" w:rsidR="005012FC" w:rsidRPr="00165AAD" w:rsidRDefault="005012FC" w:rsidP="005012FC">
            <w:pPr>
              <w:pStyle w:val="ACLargeLogo"/>
            </w:pPr>
            <w:r w:rsidRPr="00165AAD">
              <w:rPr>
                <w:noProof/>
                <w14:ligatures w14:val="standardContextual"/>
              </w:rPr>
              <w:drawing>
                <wp:inline distT="0" distB="0" distL="0" distR="0" wp14:anchorId="5D1D6E6B" wp14:editId="4D21F64E">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165AAD">
              <w:t xml:space="preserve"> </w:t>
            </w:r>
          </w:p>
          <w:p w14:paraId="52149F98" w14:textId="77777777" w:rsidR="001065E9" w:rsidRPr="00165AAD" w:rsidRDefault="001065E9" w:rsidP="005012FC">
            <w:pPr>
              <w:pStyle w:val="ACLargeLogo"/>
            </w:pPr>
          </w:p>
        </w:tc>
        <w:tc>
          <w:tcPr>
            <w:tcW w:w="3112" w:type="dxa"/>
          </w:tcPr>
          <w:p w14:paraId="7C3B628E" w14:textId="77777777" w:rsidR="005012FC" w:rsidRPr="00165AAD" w:rsidRDefault="005012FC" w:rsidP="005012FC">
            <w:pPr>
              <w:pStyle w:val="AEDistrNormal"/>
            </w:pPr>
            <w:r w:rsidRPr="00165AAD">
              <w:t>Distr.: General</w:t>
            </w:r>
          </w:p>
          <w:p w14:paraId="0D40E7B6" w14:textId="04C4D9DA" w:rsidR="005012FC" w:rsidRPr="00165AAD" w:rsidRDefault="008A3D3E" w:rsidP="005012FC">
            <w:pPr>
              <w:pStyle w:val="AEDistrNormal"/>
            </w:pPr>
            <w:r w:rsidRPr="00165AAD">
              <w:t xml:space="preserve">20 June </w:t>
            </w:r>
            <w:r w:rsidR="003B3B5F" w:rsidRPr="00165AAD">
              <w:t>2025</w:t>
            </w:r>
          </w:p>
          <w:p w14:paraId="0E05E9FE" w14:textId="77777777" w:rsidR="005012FC" w:rsidRPr="00165AAD" w:rsidRDefault="005012FC" w:rsidP="005012FC">
            <w:pPr>
              <w:pStyle w:val="AEDistrNormal"/>
            </w:pPr>
          </w:p>
          <w:p w14:paraId="13EE6395" w14:textId="77777777" w:rsidR="005012FC" w:rsidRPr="00165AAD" w:rsidRDefault="005012FC" w:rsidP="005012FC">
            <w:pPr>
              <w:pStyle w:val="AEDistrNormal"/>
            </w:pPr>
            <w:r w:rsidRPr="00165AAD">
              <w:t xml:space="preserve">Original: English </w:t>
            </w:r>
          </w:p>
          <w:p w14:paraId="3B6F0859" w14:textId="77777777" w:rsidR="001065E9" w:rsidRPr="00165AAD" w:rsidRDefault="001065E9" w:rsidP="005012FC">
            <w:pPr>
              <w:pStyle w:val="AEDistrNormal6pt"/>
            </w:pPr>
          </w:p>
        </w:tc>
      </w:tr>
    </w:tbl>
    <w:p w14:paraId="6E59A95B" w14:textId="77777777" w:rsidR="001065E9" w:rsidRPr="00165AA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165AAD" w14:paraId="416BF900" w14:textId="77777777" w:rsidTr="001065E9">
        <w:trPr>
          <w:trHeight w:val="57"/>
        </w:trPr>
        <w:tc>
          <w:tcPr>
            <w:tcW w:w="6094" w:type="dxa"/>
          </w:tcPr>
          <w:p w14:paraId="00C306FE" w14:textId="77777777" w:rsidR="005012FC" w:rsidRPr="00165AAD" w:rsidRDefault="005012FC" w:rsidP="005012FC">
            <w:pPr>
              <w:pStyle w:val="AFCorN12Bold"/>
            </w:pPr>
            <w:r w:rsidRPr="00165AAD">
              <w:t xml:space="preserve">Subsidiary Body on Scientific, </w:t>
            </w:r>
            <w:r w:rsidR="007161A1" w:rsidRPr="00165AAD">
              <w:br/>
            </w:r>
            <w:r w:rsidRPr="00165AAD">
              <w:t>Technical and Technological Advice</w:t>
            </w:r>
          </w:p>
          <w:p w14:paraId="54EFE65C" w14:textId="77777777" w:rsidR="005012FC" w:rsidRPr="00165AAD" w:rsidRDefault="00962822" w:rsidP="005012FC">
            <w:pPr>
              <w:pStyle w:val="AFCorNBold"/>
            </w:pPr>
            <w:r w:rsidRPr="00165AAD">
              <w:t>Twenty-seven</w:t>
            </w:r>
            <w:r w:rsidR="005012FC" w:rsidRPr="00165AAD">
              <w:t xml:space="preserve">th meeting </w:t>
            </w:r>
          </w:p>
          <w:p w14:paraId="12653815" w14:textId="77777777" w:rsidR="005012FC" w:rsidRPr="00165AAD" w:rsidRDefault="00962822" w:rsidP="005012FC">
            <w:pPr>
              <w:pStyle w:val="AFCorNNormal"/>
            </w:pPr>
            <w:r w:rsidRPr="00165AAD">
              <w:t xml:space="preserve">Panama City, </w:t>
            </w:r>
            <w:r w:rsidR="001A5A37" w:rsidRPr="00165AAD">
              <w:t>20–24 October 2025</w:t>
            </w:r>
            <w:r w:rsidR="005012FC" w:rsidRPr="00165AAD">
              <w:t xml:space="preserve"> </w:t>
            </w:r>
          </w:p>
          <w:p w14:paraId="502548B5" w14:textId="2F1FCD41" w:rsidR="005012FC" w:rsidRPr="00165AAD" w:rsidRDefault="005012FC" w:rsidP="005012FC">
            <w:pPr>
              <w:pStyle w:val="AFCorNNormal"/>
            </w:pPr>
            <w:r w:rsidRPr="00165AAD">
              <w:t xml:space="preserve">Item </w:t>
            </w:r>
            <w:r w:rsidR="00287C48" w:rsidRPr="00165AAD">
              <w:t xml:space="preserve">4 </w:t>
            </w:r>
            <w:r w:rsidRPr="00165AAD">
              <w:t>of the provisional agenda</w:t>
            </w:r>
            <w:r w:rsidR="001A7228" w:rsidRPr="003B172F">
              <w:rPr>
                <w:rStyle w:val="FootnoteReference"/>
              </w:rPr>
              <w:footnoteReference w:customMarkFollows="1" w:id="1"/>
              <w:t>*</w:t>
            </w:r>
          </w:p>
          <w:p w14:paraId="416321BE" w14:textId="0D847471" w:rsidR="001065E9" w:rsidRPr="003B172F" w:rsidRDefault="003D6F02" w:rsidP="009A2A7A">
            <w:pPr>
              <w:pStyle w:val="AFCorNBold"/>
              <w:spacing w:after="120"/>
              <w:rPr>
                <w:highlight w:val="yellow"/>
              </w:rPr>
            </w:pPr>
            <w:r w:rsidRPr="00165AAD">
              <w:t>Matters related to the</w:t>
            </w:r>
            <w:r w:rsidRPr="003B172F">
              <w:t xml:space="preserve"> work programme</w:t>
            </w:r>
            <w:r w:rsidRPr="00165AAD">
              <w:t xml:space="preserve"> of the Intergovernmental Science-</w:t>
            </w:r>
            <w:r w:rsidRPr="003B172F">
              <w:t>Policy</w:t>
            </w:r>
            <w:r w:rsidRPr="00165AAD">
              <w:t xml:space="preserve"> Platform </w:t>
            </w:r>
            <w:r w:rsidR="006F0055" w:rsidRPr="00165AAD">
              <w:br/>
            </w:r>
            <w:r w:rsidRPr="003B172F">
              <w:t>o</w:t>
            </w:r>
            <w:r w:rsidRPr="00165AAD">
              <w:t>n Biodiversity and Ecosystem Services</w:t>
            </w:r>
          </w:p>
        </w:tc>
        <w:tc>
          <w:tcPr>
            <w:tcW w:w="4388" w:type="dxa"/>
          </w:tcPr>
          <w:p w14:paraId="131255A3" w14:textId="77777777" w:rsidR="001065E9" w:rsidRPr="00165AAD" w:rsidRDefault="001065E9" w:rsidP="001065E9">
            <w:pPr>
              <w:pStyle w:val="CBDNormal"/>
              <w:jc w:val="left"/>
            </w:pPr>
          </w:p>
        </w:tc>
      </w:tr>
    </w:tbl>
    <w:sdt>
      <w:sdtPr>
        <w:rPr>
          <w:snapToGrid w:val="0"/>
          <w:kern w:val="22"/>
        </w:rPr>
        <w:alias w:val="Title"/>
        <w:tag w:val=""/>
        <w:id w:val="-591865594"/>
        <w:placeholder>
          <w:docPart w:val="235BA683AD6D4294907923313C6E7B28"/>
        </w:placeholder>
        <w:dataBinding w:prefixMappings="xmlns:ns0='http://purl.org/dc/elements/1.1/' xmlns:ns1='http://schemas.openxmlformats.org/package/2006/metadata/core-properties' " w:xpath="/ns1:coreProperties[1]/ns0:title[1]" w:storeItemID="{6C3C8BC8-F283-45AE-878A-BAB7291924A1}"/>
        <w:text/>
      </w:sdtPr>
      <w:sdtEndPr/>
      <w:sdtContent>
        <w:p w14:paraId="663C43F9" w14:textId="2D73BBD0" w:rsidR="001065E9" w:rsidRPr="00165AAD" w:rsidRDefault="00142688" w:rsidP="003B142D">
          <w:pPr>
            <w:pStyle w:val="CBDTitle"/>
          </w:pPr>
          <w:r w:rsidRPr="00165AAD">
            <w:rPr>
              <w:snapToGrid w:val="0"/>
              <w:kern w:val="22"/>
            </w:rPr>
            <w:t>Review of findings from the summary for policymakers of the thematic assessment of the interlinkages among biodiversity, water, food and health and their implications for the work undertaken under the Convention</w:t>
          </w:r>
        </w:p>
      </w:sdtContent>
    </w:sdt>
    <w:p w14:paraId="0000286C" w14:textId="0D2EF677" w:rsidR="00287C48" w:rsidRPr="00165AAD" w:rsidRDefault="003D6F02" w:rsidP="003B172F">
      <w:pPr>
        <w:pStyle w:val="CBDSubTitle"/>
      </w:pPr>
      <w:r w:rsidRPr="00165AAD">
        <w:t>Note by the Secretariat</w:t>
      </w:r>
    </w:p>
    <w:p w14:paraId="58BB7B3B" w14:textId="5DA445A5" w:rsidR="003D6F02" w:rsidRPr="00165AAD" w:rsidRDefault="00E236B0" w:rsidP="003B172F">
      <w:pPr>
        <w:pStyle w:val="CBDH1"/>
      </w:pPr>
      <w:r w:rsidRPr="00165AAD">
        <w:t>I.</w:t>
      </w:r>
      <w:r w:rsidRPr="00165AAD">
        <w:tab/>
      </w:r>
      <w:r w:rsidR="003D6F02" w:rsidRPr="00165AAD">
        <w:t>Background</w:t>
      </w:r>
    </w:p>
    <w:p w14:paraId="2B737601" w14:textId="32B6DACE" w:rsidR="003D6F02" w:rsidRPr="00165AAD" w:rsidRDefault="003D6F02">
      <w:pPr>
        <w:pStyle w:val="CBDNormalNumber"/>
      </w:pPr>
      <w:r w:rsidRPr="00165AAD">
        <w:t xml:space="preserve">In decision </w:t>
      </w:r>
      <w:hyperlink r:id="rId14" w:history="1">
        <w:r w:rsidRPr="003B172F">
          <w:rPr>
            <w:rStyle w:val="Hyperlink"/>
          </w:rPr>
          <w:t>14/36</w:t>
        </w:r>
      </w:hyperlink>
      <w:r w:rsidRPr="00165AAD">
        <w:t xml:space="preserve">, the </w:t>
      </w:r>
      <w:r w:rsidRPr="003B172F">
        <w:t>Conference of the Parties to the Convention on Biological Diversity</w:t>
      </w:r>
      <w:r w:rsidRPr="00165AAD">
        <w:t xml:space="preserve"> invited the </w:t>
      </w:r>
      <w:r w:rsidRPr="003B172F">
        <w:t>Intergovernmental Science-Policy Platform on Biodiversity and Ecosystem Services</w:t>
      </w:r>
      <w:r w:rsidRPr="00165AAD">
        <w:t xml:space="preserve"> to </w:t>
      </w:r>
      <w:r w:rsidR="002E17E7" w:rsidRPr="00165AAD">
        <w:t>assess issues at the nexus of biodiversity, food and water, agriculture and health, nutrition and food security, forestry and fisheries, considering trade-offs among those areas and related policy options regarding sustainable production and consumption, pollution and urbanization, including implications for energy and climate, taking into account the role of biodiversity and ecosystem services in addressing the Sustainable Development Goals, with a view to enabling decisions that support the coherent policy and transformational change necessary to achieve the 2050 vision for biodiversity</w:t>
      </w:r>
      <w:r w:rsidR="00E623E6" w:rsidRPr="00165AAD">
        <w:t>.</w:t>
      </w:r>
    </w:p>
    <w:p w14:paraId="0782C99A" w14:textId="2BAFC466" w:rsidR="003D6F02" w:rsidRPr="00165AAD" w:rsidRDefault="003D6F02" w:rsidP="003B172F">
      <w:pPr>
        <w:pStyle w:val="CBDNormalNumber"/>
      </w:pPr>
      <w:r w:rsidRPr="00165AAD">
        <w:t xml:space="preserve">In decision </w:t>
      </w:r>
      <w:hyperlink r:id="rId15" w:history="1">
        <w:r w:rsidRPr="003B172F">
          <w:rPr>
            <w:rStyle w:val="Hyperlink"/>
          </w:rPr>
          <w:t>15/19</w:t>
        </w:r>
      </w:hyperlink>
      <w:r w:rsidRPr="00165AAD">
        <w:t xml:space="preserve">, the Conference of the Parties welcomed the approval by the Plenary of the </w:t>
      </w:r>
      <w:r w:rsidRPr="003B172F">
        <w:t>Platform</w:t>
      </w:r>
      <w:r w:rsidR="00CE3857" w:rsidRPr="00165AAD">
        <w:t>,</w:t>
      </w:r>
      <w:r w:rsidRPr="00165AAD">
        <w:t xml:space="preserve"> at its eighth session, to undertake thematic assessment</w:t>
      </w:r>
      <w:r w:rsidR="00396CC4" w:rsidRPr="00165AAD">
        <w:t>s</w:t>
      </w:r>
      <w:r w:rsidRPr="00165AAD">
        <w:t xml:space="preserve"> on the interlinkages among biodiversity, water, food and health (“nexus assessment”) as outlined in its scoping report, as well as the important scientific contribution of th</w:t>
      </w:r>
      <w:r w:rsidR="00C8672A" w:rsidRPr="00165AAD">
        <w:t>o</w:t>
      </w:r>
      <w:r w:rsidRPr="00165AAD">
        <w:t xml:space="preserve">se assessments </w:t>
      </w:r>
      <w:r w:rsidR="00C8672A" w:rsidRPr="00165AAD">
        <w:t xml:space="preserve">to </w:t>
      </w:r>
      <w:r w:rsidRPr="00165AAD">
        <w:t xml:space="preserve">the implementation of the </w:t>
      </w:r>
      <w:r w:rsidRPr="003B172F">
        <w:t>Kunming-Montreal Global Biodiversity Framework</w:t>
      </w:r>
      <w:r w:rsidRPr="00165AAD">
        <w:t>.</w:t>
      </w:r>
    </w:p>
    <w:p w14:paraId="3F7CC621" w14:textId="56057192" w:rsidR="003D6F02" w:rsidRPr="00165AAD" w:rsidRDefault="003D6F02" w:rsidP="003B172F">
      <w:pPr>
        <w:pStyle w:val="CBDNormalNumber"/>
      </w:pPr>
      <w:r w:rsidRPr="00165AAD">
        <w:t xml:space="preserve">In decision </w:t>
      </w:r>
      <w:hyperlink r:id="rId16" w:history="1">
        <w:r w:rsidRPr="003B172F">
          <w:rPr>
            <w:rStyle w:val="Hyperlink"/>
          </w:rPr>
          <w:t>16/11</w:t>
        </w:r>
      </w:hyperlink>
      <w:r w:rsidRPr="00165AAD">
        <w:t xml:space="preserve">, the Conference of the Parties took note of </w:t>
      </w:r>
      <w:r w:rsidR="00BF1A2F" w:rsidRPr="00165AAD">
        <w:t>the information con</w:t>
      </w:r>
      <w:r w:rsidR="005517F9" w:rsidRPr="00165AAD">
        <w:t xml:space="preserve">tained </w:t>
      </w:r>
      <w:r w:rsidR="00914BC4" w:rsidRPr="00165AAD">
        <w:t xml:space="preserve">in </w:t>
      </w:r>
      <w:r w:rsidRPr="00165AAD">
        <w:t xml:space="preserve">the overview of previous and future assessments of the </w:t>
      </w:r>
      <w:r w:rsidRPr="003B172F">
        <w:t>Platform</w:t>
      </w:r>
      <w:r w:rsidR="00CE3857" w:rsidRPr="00165AAD">
        <w:t>,</w:t>
      </w:r>
      <w:r w:rsidRPr="00165AAD">
        <w:t xml:space="preserve"> including the </w:t>
      </w:r>
      <w:r w:rsidRPr="003B172F">
        <w:t>nexus assessment</w:t>
      </w:r>
      <w:r w:rsidR="00DC7F27" w:rsidRPr="00165AAD">
        <w:t>,</w:t>
      </w:r>
      <w:r w:rsidRPr="00165AAD">
        <w:t xml:space="preserve"> to be considered </w:t>
      </w:r>
      <w:r w:rsidR="001E4812" w:rsidRPr="00165AAD">
        <w:t xml:space="preserve">by the </w:t>
      </w:r>
      <w:r w:rsidR="00DC7F27" w:rsidRPr="00165AAD">
        <w:t>P</w:t>
      </w:r>
      <w:r w:rsidR="001E4812" w:rsidRPr="00165AAD">
        <w:t xml:space="preserve">lenary of the Platform </w:t>
      </w:r>
      <w:r w:rsidRPr="00165AAD">
        <w:t xml:space="preserve">at </w:t>
      </w:r>
      <w:r w:rsidR="001E4812" w:rsidRPr="00165AAD">
        <w:t xml:space="preserve">its </w:t>
      </w:r>
      <w:r w:rsidRPr="00165AAD">
        <w:t>eleventh session</w:t>
      </w:r>
      <w:r w:rsidR="00596F86" w:rsidRPr="00165AAD">
        <w:t>.</w:t>
      </w:r>
      <w:r w:rsidRPr="00165AAD">
        <w:t xml:space="preserve"> </w:t>
      </w:r>
    </w:p>
    <w:p w14:paraId="30C9A7C5" w14:textId="63D735B9" w:rsidR="003D6F02" w:rsidRPr="00165AAD" w:rsidRDefault="008A55D4" w:rsidP="003B172F">
      <w:pPr>
        <w:pStyle w:val="CBDNormalNumber"/>
      </w:pPr>
      <w:r w:rsidRPr="00165AAD">
        <w:t>I</w:t>
      </w:r>
      <w:r w:rsidR="003D6F02" w:rsidRPr="00165AAD">
        <w:t xml:space="preserve">n the same decision, the Conference of the Parties requested the </w:t>
      </w:r>
      <w:r w:rsidR="003D6F02" w:rsidRPr="003B172F">
        <w:t>Subsidiary Body on Scientific, Technical and Technological Advice</w:t>
      </w:r>
      <w:r w:rsidR="003D6F02" w:rsidRPr="00165AAD">
        <w:t xml:space="preserve"> to consider the outputs of the Platform according to </w:t>
      </w:r>
      <w:r w:rsidR="00FF0B19" w:rsidRPr="00165AAD">
        <w:t>the</w:t>
      </w:r>
      <w:r w:rsidR="003D6F02" w:rsidRPr="00165AAD">
        <w:t xml:space="preserve"> schedule </w:t>
      </w:r>
      <w:r w:rsidR="00FF0B19" w:rsidRPr="00165AAD">
        <w:t xml:space="preserve">contained in the annex to </w:t>
      </w:r>
      <w:r w:rsidR="0043099A" w:rsidRPr="00165AAD">
        <w:t>the decision</w:t>
      </w:r>
      <w:r w:rsidR="007202A8" w:rsidRPr="00165AAD">
        <w:t>.</w:t>
      </w:r>
      <w:r w:rsidR="0043099A" w:rsidRPr="00165AAD">
        <w:t xml:space="preserve"> </w:t>
      </w:r>
      <w:r w:rsidR="00835B9A" w:rsidRPr="00165AAD">
        <w:t xml:space="preserve">In the schedule, </w:t>
      </w:r>
      <w:r w:rsidR="00835B9A" w:rsidRPr="00165AAD">
        <w:rPr>
          <w:iCs/>
        </w:rPr>
        <w:t>t</w:t>
      </w:r>
      <w:r w:rsidR="007202A8" w:rsidRPr="00165AAD">
        <w:rPr>
          <w:iCs/>
        </w:rPr>
        <w:t xml:space="preserve">he </w:t>
      </w:r>
      <w:r w:rsidR="003D6F02" w:rsidRPr="003B172F">
        <w:rPr>
          <w:iCs/>
        </w:rPr>
        <w:t>nexus assessment</w:t>
      </w:r>
      <w:r w:rsidR="003D6F02" w:rsidRPr="00165AAD">
        <w:t xml:space="preserve"> </w:t>
      </w:r>
      <w:r w:rsidR="00E97DB2" w:rsidRPr="00165AAD">
        <w:t xml:space="preserve">was tabled </w:t>
      </w:r>
      <w:r w:rsidR="00E97DB2" w:rsidRPr="00165AAD">
        <w:lastRenderedPageBreak/>
        <w:t xml:space="preserve">for </w:t>
      </w:r>
      <w:r w:rsidR="003D6F02" w:rsidRPr="00165AAD">
        <w:t>consider</w:t>
      </w:r>
      <w:r w:rsidR="00E97DB2" w:rsidRPr="00165AAD">
        <w:t>ation</w:t>
      </w:r>
      <w:r w:rsidR="003D6F02" w:rsidRPr="00165AAD">
        <w:t xml:space="preserve"> at a meeting of the Subsidiary Body held before the seventeenth meeting of the Conference of the Parties.</w:t>
      </w:r>
    </w:p>
    <w:p w14:paraId="43360ADB" w14:textId="5537F950" w:rsidR="003D6F02" w:rsidRPr="00165AAD" w:rsidRDefault="003454ED" w:rsidP="003B172F">
      <w:pPr>
        <w:pStyle w:val="CBDNormalNumber"/>
      </w:pPr>
      <w:r w:rsidRPr="00165AAD">
        <w:t xml:space="preserve">At its eleventh session, </w:t>
      </w:r>
      <w:r w:rsidR="00693F23" w:rsidRPr="00165AAD">
        <w:t xml:space="preserve">in its decision </w:t>
      </w:r>
      <w:r w:rsidR="00C80222" w:rsidRPr="00165AAD">
        <w:t xml:space="preserve">IPBES </w:t>
      </w:r>
      <w:r w:rsidR="00693F23" w:rsidRPr="00165AAD">
        <w:t xml:space="preserve">11/1, </w:t>
      </w:r>
      <w:r w:rsidRPr="00165AAD">
        <w:t>t</w:t>
      </w:r>
      <w:r w:rsidR="003D6F02" w:rsidRPr="00165AAD">
        <w:t xml:space="preserve">he Plenary of the Platform </w:t>
      </w:r>
      <w:r w:rsidR="00335531" w:rsidRPr="00165AAD">
        <w:t xml:space="preserve">approved </w:t>
      </w:r>
      <w:r w:rsidR="003D6F02" w:rsidRPr="00165AAD">
        <w:t>the summary for policymakers of the nexus assessment</w:t>
      </w:r>
      <w:r w:rsidR="00154D9C" w:rsidRPr="00165AAD">
        <w:rPr>
          <w:rStyle w:val="FootnoteReference"/>
        </w:rPr>
        <w:footnoteReference w:id="2"/>
      </w:r>
      <w:r w:rsidR="003D6F02" w:rsidRPr="00165AAD">
        <w:t xml:space="preserve"> </w:t>
      </w:r>
      <w:r w:rsidR="001E29C0" w:rsidRPr="00165AAD">
        <w:t xml:space="preserve">and </w:t>
      </w:r>
      <w:r w:rsidR="00C80222" w:rsidRPr="00165AAD">
        <w:t xml:space="preserve">accepted </w:t>
      </w:r>
      <w:r w:rsidR="007068AD" w:rsidRPr="00165AAD">
        <w:t>the</w:t>
      </w:r>
      <w:r w:rsidR="003D6F02" w:rsidRPr="00165AAD">
        <w:t xml:space="preserve"> chapters</w:t>
      </w:r>
      <w:r w:rsidR="007068AD" w:rsidRPr="00165AAD">
        <w:t xml:space="preserve"> of the assessment</w:t>
      </w:r>
      <w:r w:rsidR="001E29C0" w:rsidRPr="00165AAD">
        <w:t>, including</w:t>
      </w:r>
      <w:r w:rsidR="003D6F02" w:rsidRPr="00165AAD">
        <w:t xml:space="preserve"> their executive summaries.</w:t>
      </w:r>
    </w:p>
    <w:p w14:paraId="0B4B48AE" w14:textId="6F54C546" w:rsidR="003D6F02" w:rsidRPr="00165AAD" w:rsidRDefault="000B530A" w:rsidP="003B172F">
      <w:pPr>
        <w:pStyle w:val="CBDH1"/>
      </w:pPr>
      <w:r w:rsidRPr="00165AAD">
        <w:t>II.</w:t>
      </w:r>
      <w:r w:rsidRPr="00165AAD">
        <w:tab/>
      </w:r>
      <w:r w:rsidR="003D6F02" w:rsidRPr="00165AAD">
        <w:t>Objective and scope of the assessment</w:t>
      </w:r>
    </w:p>
    <w:p w14:paraId="622FFBDF" w14:textId="02527F16" w:rsidR="003D6F02" w:rsidRPr="00165AAD" w:rsidRDefault="003D6F02" w:rsidP="003B172F">
      <w:pPr>
        <w:pStyle w:val="CBDNormalNumber"/>
      </w:pPr>
      <w:r w:rsidRPr="00165AAD">
        <w:t xml:space="preserve">The environmental, social and economic crises </w:t>
      </w:r>
      <w:r w:rsidR="007068AD" w:rsidRPr="00165AAD">
        <w:t xml:space="preserve">that </w:t>
      </w:r>
      <w:r w:rsidRPr="00165AAD">
        <w:t>the world faces are all interconnected. Biodiversity, water availability and quality, food</w:t>
      </w:r>
      <w:r w:rsidR="00BE5DDF" w:rsidRPr="00165AAD">
        <w:t xml:space="preserve"> supply</w:t>
      </w:r>
      <w:r w:rsidR="007E7575" w:rsidRPr="00165AAD">
        <w:t>,</w:t>
      </w:r>
      <w:r w:rsidRPr="00165AAD">
        <w:t xml:space="preserve"> human health</w:t>
      </w:r>
      <w:r w:rsidR="00945744" w:rsidRPr="00165AAD">
        <w:t xml:space="preserve"> and climate change</w:t>
      </w:r>
      <w:r w:rsidRPr="00165AAD">
        <w:t xml:space="preserve"> </w:t>
      </w:r>
      <w:r w:rsidR="00083EBE" w:rsidRPr="00165AAD">
        <w:t xml:space="preserve">are all </w:t>
      </w:r>
      <w:r w:rsidR="00C9520B" w:rsidRPr="00165AAD">
        <w:t>inter</w:t>
      </w:r>
      <w:r w:rsidR="00083EBE" w:rsidRPr="00165AAD">
        <w:t>linked</w:t>
      </w:r>
      <w:r w:rsidRPr="00165AAD">
        <w:t xml:space="preserve">. For </w:t>
      </w:r>
      <w:r w:rsidR="001D6DFC" w:rsidRPr="00165AAD">
        <w:t>example</w:t>
      </w:r>
      <w:r w:rsidRPr="00165AAD">
        <w:t>, in 2005, 75</w:t>
      </w:r>
      <w:r w:rsidR="0025337A" w:rsidRPr="00165AAD">
        <w:t> </w:t>
      </w:r>
      <w:r w:rsidR="004A6C08" w:rsidRPr="00165AAD">
        <w:t>per cent</w:t>
      </w:r>
      <w:r w:rsidRPr="00165AAD">
        <w:t xml:space="preserve"> of the global population depende</w:t>
      </w:r>
      <w:r w:rsidR="00353D2A" w:rsidRPr="00165AAD">
        <w:t>d</w:t>
      </w:r>
      <w:r w:rsidRPr="00165AAD">
        <w:t xml:space="preserve"> on forests for freshwater, </w:t>
      </w:r>
      <w:r w:rsidR="00D069BF" w:rsidRPr="00165AAD">
        <w:t xml:space="preserve">and </w:t>
      </w:r>
      <w:r w:rsidR="002B274D" w:rsidRPr="00165AAD">
        <w:t xml:space="preserve">the </w:t>
      </w:r>
      <w:r w:rsidR="00D93B91" w:rsidRPr="00165AAD">
        <w:t>availability</w:t>
      </w:r>
      <w:r w:rsidR="002B274D" w:rsidRPr="00165AAD">
        <w:t xml:space="preserve"> of</w:t>
      </w:r>
      <w:r w:rsidR="00D069BF" w:rsidRPr="00165AAD">
        <w:t xml:space="preserve"> that </w:t>
      </w:r>
      <w:r w:rsidR="009F32FD" w:rsidRPr="00165AAD">
        <w:t>primary r</w:t>
      </w:r>
      <w:r w:rsidR="00D069BF" w:rsidRPr="00165AAD">
        <w:t xml:space="preserve">esource was </w:t>
      </w:r>
      <w:r w:rsidRPr="00165AAD">
        <w:t xml:space="preserve">directly threatened by the loss of forest </w:t>
      </w:r>
      <w:r w:rsidR="00BE7ABF" w:rsidRPr="00165AAD">
        <w:t xml:space="preserve">cover </w:t>
      </w:r>
      <w:r w:rsidRPr="00165AAD">
        <w:t xml:space="preserve">and ecosystems. On </w:t>
      </w:r>
      <w:r w:rsidR="003B63E6" w:rsidRPr="00165AAD">
        <w:t xml:space="preserve">the </w:t>
      </w:r>
      <w:r w:rsidRPr="00165AAD">
        <w:t>other hand, some food production systems negatively affect biodiversity and ecosystem services, while global malnutrition and inequalities in food security persist (42</w:t>
      </w:r>
      <w:r w:rsidR="004A6C08" w:rsidRPr="00165AAD">
        <w:t xml:space="preserve"> per cent</w:t>
      </w:r>
      <w:r w:rsidRPr="00165AAD">
        <w:t xml:space="preserve"> of the </w:t>
      </w:r>
      <w:r w:rsidR="00D051E8" w:rsidRPr="00165AAD">
        <w:t xml:space="preserve">world’s </w:t>
      </w:r>
      <w:r w:rsidRPr="00165AAD">
        <w:t>population was unable to afford healthy diets</w:t>
      </w:r>
      <w:r w:rsidR="00362D5B" w:rsidRPr="00165AAD">
        <w:t xml:space="preserve"> in 2021</w:t>
      </w:r>
      <w:r w:rsidR="00EE3079" w:rsidRPr="00165AAD">
        <w:t>).</w:t>
      </w:r>
      <w:r w:rsidRPr="00165AAD">
        <w:rPr>
          <w:rStyle w:val="FootnoteReference"/>
        </w:rPr>
        <w:footnoteReference w:id="3"/>
      </w:r>
    </w:p>
    <w:p w14:paraId="65DE90D9" w14:textId="0D90E905" w:rsidR="003D6F02" w:rsidRPr="00165AAD" w:rsidRDefault="003D6F02" w:rsidP="003B172F">
      <w:pPr>
        <w:pStyle w:val="CBDNormalNumber"/>
      </w:pPr>
      <w:r w:rsidRPr="00165AAD">
        <w:t xml:space="preserve">The </w:t>
      </w:r>
      <w:r w:rsidR="00646BF6" w:rsidRPr="00165AAD">
        <w:t xml:space="preserve">authors of the summary for policymakers </w:t>
      </w:r>
      <w:r w:rsidRPr="00165AAD">
        <w:t>looked specifically at complex sustainability challenges between five</w:t>
      </w:r>
      <w:r w:rsidRPr="003B172F">
        <w:t xml:space="preserve"> </w:t>
      </w:r>
      <w:r w:rsidR="00E958A1" w:rsidRPr="003B172F">
        <w:t>“</w:t>
      </w:r>
      <w:r w:rsidRPr="00165AAD">
        <w:t>nexus elements</w:t>
      </w:r>
      <w:r w:rsidR="00E958A1" w:rsidRPr="00165AAD">
        <w:t>”</w:t>
      </w:r>
      <w:r w:rsidRPr="00165AAD">
        <w:t xml:space="preserve">, </w:t>
      </w:r>
      <w:r w:rsidR="00DA7800" w:rsidRPr="00165AAD">
        <w:t xml:space="preserve">namely, </w:t>
      </w:r>
      <w:r w:rsidRPr="00165AAD">
        <w:t xml:space="preserve">biodiversity, food, water, health and climate change. Action on </w:t>
      </w:r>
      <w:r w:rsidR="005940F9" w:rsidRPr="00165AAD">
        <w:t xml:space="preserve">any specific </w:t>
      </w:r>
      <w:r w:rsidRPr="00165AAD">
        <w:t xml:space="preserve">nexus element </w:t>
      </w:r>
      <w:r w:rsidR="0073053C" w:rsidRPr="00165AAD">
        <w:t>without</w:t>
      </w:r>
      <w:r w:rsidRPr="00165AAD">
        <w:t xml:space="preserve"> considering</w:t>
      </w:r>
      <w:r w:rsidR="0073053C" w:rsidRPr="00165AAD">
        <w:t xml:space="preserve"> the others should be avoided,</w:t>
      </w:r>
      <w:r w:rsidRPr="00165AAD">
        <w:t xml:space="preserve"> </w:t>
      </w:r>
      <w:r w:rsidR="0073053C" w:rsidRPr="00165AAD">
        <w:t xml:space="preserve">as it may have a </w:t>
      </w:r>
      <w:r w:rsidRPr="00165AAD">
        <w:t xml:space="preserve">negative impact </w:t>
      </w:r>
      <w:r w:rsidR="0073053C" w:rsidRPr="00165AAD">
        <w:t xml:space="preserve">on </w:t>
      </w:r>
      <w:r w:rsidRPr="00165AAD">
        <w:t>the other elements</w:t>
      </w:r>
      <w:r w:rsidR="0073053C" w:rsidRPr="00165AAD">
        <w:t>,</w:t>
      </w:r>
      <w:r w:rsidRPr="00165AAD">
        <w:t xml:space="preserve"> </w:t>
      </w:r>
      <w:r w:rsidR="002A7191" w:rsidRPr="00165AAD">
        <w:t>resulting in partial and short-term solutions</w:t>
      </w:r>
      <w:r w:rsidRPr="00165AAD">
        <w:t xml:space="preserve">. For </w:t>
      </w:r>
      <w:r w:rsidR="001D6DFC" w:rsidRPr="00165AAD">
        <w:t>example</w:t>
      </w:r>
      <w:r w:rsidRPr="00165AAD">
        <w:t xml:space="preserve">, reducing </w:t>
      </w:r>
      <w:r w:rsidR="00AD158F" w:rsidRPr="00165AAD">
        <w:t xml:space="preserve">adult mortality </w:t>
      </w:r>
      <w:r w:rsidR="00D6041C" w:rsidRPr="00165AAD">
        <w:t>caused by</w:t>
      </w:r>
      <w:r w:rsidRPr="00165AAD">
        <w:t xml:space="preserve"> unhealthy diets </w:t>
      </w:r>
      <w:r w:rsidR="00AD158F" w:rsidRPr="00165AAD">
        <w:t>(11 million</w:t>
      </w:r>
      <w:r w:rsidR="00E64994" w:rsidRPr="00165AAD">
        <w:t xml:space="preserve"> deaths</w:t>
      </w:r>
      <w:r w:rsidR="00AD158F" w:rsidRPr="00165AAD">
        <w:t xml:space="preserve"> in 2017) </w:t>
      </w:r>
      <w:r w:rsidRPr="00165AAD">
        <w:t xml:space="preserve">could be achieved by </w:t>
      </w:r>
      <w:r w:rsidR="00316F94" w:rsidRPr="00165AAD">
        <w:t>more productive</w:t>
      </w:r>
      <w:r w:rsidR="00B67A49" w:rsidRPr="00165AAD">
        <w:t xml:space="preserve"> </w:t>
      </w:r>
      <w:r w:rsidR="00DC5740" w:rsidRPr="00165AAD">
        <w:t>but uns</w:t>
      </w:r>
      <w:r w:rsidR="004E49A8" w:rsidRPr="00165AAD">
        <w:t xml:space="preserve">ustainable </w:t>
      </w:r>
      <w:r w:rsidRPr="00165AAD">
        <w:t xml:space="preserve">food systems that </w:t>
      </w:r>
      <w:r w:rsidR="004E49A8" w:rsidRPr="00165AAD">
        <w:t xml:space="preserve">have a </w:t>
      </w:r>
      <w:r w:rsidRPr="00165AAD">
        <w:t xml:space="preserve">negative impact </w:t>
      </w:r>
      <w:r w:rsidR="004E49A8" w:rsidRPr="00165AAD">
        <w:t xml:space="preserve">on </w:t>
      </w:r>
      <w:r w:rsidRPr="00165AAD">
        <w:t xml:space="preserve">biodiversity </w:t>
      </w:r>
      <w:r w:rsidR="00316F94" w:rsidRPr="00165AAD">
        <w:t xml:space="preserve">and </w:t>
      </w:r>
      <w:r w:rsidRPr="00165AAD">
        <w:t>water and air</w:t>
      </w:r>
      <w:r w:rsidR="00316F94" w:rsidRPr="00165AAD">
        <w:t xml:space="preserve"> quality</w:t>
      </w:r>
      <w:r w:rsidRPr="00165AAD">
        <w:t xml:space="preserve">. </w:t>
      </w:r>
      <w:r w:rsidR="00660D43" w:rsidRPr="00165AAD">
        <w:t>The a</w:t>
      </w:r>
      <w:r w:rsidRPr="00165AAD">
        <w:t xml:space="preserve">uthors </w:t>
      </w:r>
      <w:r w:rsidR="00646BF6" w:rsidRPr="00165AAD">
        <w:t xml:space="preserve">of the summary </w:t>
      </w:r>
      <w:r w:rsidRPr="00165AAD">
        <w:t>recall that 50</w:t>
      </w:r>
      <w:r w:rsidR="008347B5" w:rsidRPr="00165AAD">
        <w:t xml:space="preserve"> per cent</w:t>
      </w:r>
      <w:r w:rsidRPr="00165AAD">
        <w:t xml:space="preserve"> of events of emergence </w:t>
      </w:r>
      <w:r w:rsidR="00E97071" w:rsidRPr="00165AAD">
        <w:t xml:space="preserve">or </w:t>
      </w:r>
      <w:r w:rsidRPr="003B172F">
        <w:t>re</w:t>
      </w:r>
      <w:r w:rsidR="00763A3F" w:rsidRPr="003B172F">
        <w:t>-</w:t>
      </w:r>
      <w:r w:rsidRPr="003B172F">
        <w:t>emerge</w:t>
      </w:r>
      <w:r w:rsidRPr="00165AAD">
        <w:t>nce of infectious disease are driven by changes in land use, agricultural practices and activities that encroach on natural habitats and lead to increased contact between wildlife, domestic animals and human.</w:t>
      </w:r>
    </w:p>
    <w:p w14:paraId="2667B1D2" w14:textId="30F28A98" w:rsidR="003D6F02" w:rsidRPr="00165AAD" w:rsidRDefault="009D7E45" w:rsidP="003B172F">
      <w:pPr>
        <w:pStyle w:val="CBDNormalNumber"/>
      </w:pPr>
      <w:r w:rsidRPr="00165AAD">
        <w:t>Climate</w:t>
      </w:r>
      <w:r w:rsidR="003D6F02" w:rsidRPr="00165AAD">
        <w:t xml:space="preserve"> change ha</w:t>
      </w:r>
      <w:r w:rsidRPr="00165AAD">
        <w:t>s</w:t>
      </w:r>
      <w:r w:rsidR="003D6F02" w:rsidRPr="00165AAD">
        <w:t xml:space="preserve"> important and increasing interactions with all the </w:t>
      </w:r>
      <w:r w:rsidR="0088050F" w:rsidRPr="00165AAD">
        <w:t xml:space="preserve">other </w:t>
      </w:r>
      <w:r w:rsidR="003D6F02" w:rsidRPr="00165AAD">
        <w:t>nexus elements</w:t>
      </w:r>
      <w:r w:rsidR="007E71F8" w:rsidRPr="00165AAD">
        <w:t>,</w:t>
      </w:r>
      <w:r w:rsidR="003D6F02" w:rsidRPr="00165AAD">
        <w:t xml:space="preserve"> resulting in </w:t>
      </w:r>
      <w:r w:rsidR="00FF5D08" w:rsidRPr="00165AAD">
        <w:t xml:space="preserve">the </w:t>
      </w:r>
      <w:r w:rsidR="003D6F02" w:rsidRPr="00165AAD">
        <w:t>amplification of direct and indirect drivers of biodiversity decline</w:t>
      </w:r>
      <w:r w:rsidR="003D6F02" w:rsidRPr="003B172F">
        <w:t xml:space="preserve"> and</w:t>
      </w:r>
      <w:r w:rsidR="003D6F02" w:rsidRPr="00165AAD">
        <w:t xml:space="preserve"> </w:t>
      </w:r>
      <w:r w:rsidR="00090B64" w:rsidRPr="00165AAD">
        <w:t xml:space="preserve">the </w:t>
      </w:r>
      <w:r w:rsidRPr="00165AAD">
        <w:t xml:space="preserve">intensification of the </w:t>
      </w:r>
      <w:r w:rsidR="003D6F02" w:rsidRPr="00165AAD">
        <w:t xml:space="preserve">interactions </w:t>
      </w:r>
      <w:r w:rsidRPr="00165AAD">
        <w:t xml:space="preserve">between that decline and </w:t>
      </w:r>
      <w:r w:rsidR="003D6F02" w:rsidRPr="00165AAD">
        <w:t xml:space="preserve">the other elements. Responses to </w:t>
      </w:r>
      <w:r w:rsidR="00B625E5" w:rsidRPr="00165AAD">
        <w:t xml:space="preserve">such </w:t>
      </w:r>
      <w:r w:rsidR="003D6F02" w:rsidRPr="00165AAD">
        <w:t xml:space="preserve">changes may also </w:t>
      </w:r>
      <w:r w:rsidR="002273C5" w:rsidRPr="00165AAD">
        <w:t xml:space="preserve">have an </w:t>
      </w:r>
      <w:r w:rsidR="003D6F02" w:rsidRPr="00165AAD">
        <w:t xml:space="preserve">impact on </w:t>
      </w:r>
      <w:r w:rsidR="00B625E5" w:rsidRPr="00165AAD">
        <w:t xml:space="preserve">the </w:t>
      </w:r>
      <w:r w:rsidR="003D6F02" w:rsidRPr="00165AAD">
        <w:t xml:space="preserve">nexus elements. For example, </w:t>
      </w:r>
      <w:r w:rsidR="0030328A" w:rsidRPr="00165AAD">
        <w:t xml:space="preserve">there are </w:t>
      </w:r>
      <w:r w:rsidR="003D6F02" w:rsidRPr="00165AAD">
        <w:t xml:space="preserve">important and increasing, yet often overlooked, interactions </w:t>
      </w:r>
      <w:r w:rsidR="0030328A" w:rsidRPr="00165AAD">
        <w:t xml:space="preserve">between climate change impacts and mitigation and adaptation actions </w:t>
      </w:r>
      <w:r w:rsidR="000D5A84" w:rsidRPr="00165AAD">
        <w:t xml:space="preserve">on the one hand </w:t>
      </w:r>
      <w:r w:rsidR="0030328A" w:rsidRPr="00165AAD">
        <w:t>and</w:t>
      </w:r>
      <w:r w:rsidR="003D6F02" w:rsidRPr="00165AAD">
        <w:t xml:space="preserve"> the </w:t>
      </w:r>
      <w:r w:rsidR="007C129D" w:rsidRPr="00165AAD">
        <w:t xml:space="preserve">other </w:t>
      </w:r>
      <w:r w:rsidR="003D6F02" w:rsidRPr="00165AAD">
        <w:t>nexus elements</w:t>
      </w:r>
      <w:r w:rsidR="000D5A84" w:rsidRPr="00165AAD">
        <w:t xml:space="preserve"> on the other hand</w:t>
      </w:r>
      <w:r w:rsidR="003D6F02" w:rsidRPr="00165AAD">
        <w:t>.</w:t>
      </w:r>
    </w:p>
    <w:p w14:paraId="731D88B9" w14:textId="7728527D" w:rsidR="003D6F02" w:rsidRPr="00165AAD" w:rsidRDefault="003D6F02" w:rsidP="003B172F">
      <w:pPr>
        <w:pStyle w:val="CBDNormalNumber"/>
      </w:pPr>
      <w:r w:rsidRPr="00165AAD">
        <w:t xml:space="preserve">Attaining the </w:t>
      </w:r>
      <w:r w:rsidR="002D7128" w:rsidRPr="00165AAD">
        <w:t>S</w:t>
      </w:r>
      <w:r w:rsidRPr="003B172F">
        <w:t xml:space="preserve">ustainable </w:t>
      </w:r>
      <w:r w:rsidR="002D7128" w:rsidRPr="00165AAD">
        <w:t>D</w:t>
      </w:r>
      <w:r w:rsidRPr="003B172F">
        <w:t xml:space="preserve">evelopment </w:t>
      </w:r>
      <w:r w:rsidR="002D7128" w:rsidRPr="00165AAD">
        <w:t>G</w:t>
      </w:r>
      <w:r w:rsidRPr="003B172F">
        <w:t xml:space="preserve">oals </w:t>
      </w:r>
      <w:r w:rsidR="002D7128" w:rsidRPr="00165AAD">
        <w:t xml:space="preserve">and </w:t>
      </w:r>
      <w:r w:rsidR="00D74FBE" w:rsidRPr="00165AAD">
        <w:t xml:space="preserve">the </w:t>
      </w:r>
      <w:r w:rsidR="004E0781" w:rsidRPr="00165AAD">
        <w:t xml:space="preserve">targets of </w:t>
      </w:r>
      <w:r w:rsidRPr="00165AAD">
        <w:t xml:space="preserve">the </w:t>
      </w:r>
      <w:r w:rsidRPr="003B172F">
        <w:t>Framework</w:t>
      </w:r>
      <w:r w:rsidR="00437578" w:rsidRPr="00165AAD">
        <w:t>,</w:t>
      </w:r>
      <w:r w:rsidRPr="00165AAD">
        <w:t xml:space="preserve"> </w:t>
      </w:r>
      <w:r w:rsidR="009D7E45" w:rsidRPr="00165AAD">
        <w:t>taking</w:t>
      </w:r>
      <w:r w:rsidRPr="00165AAD">
        <w:t xml:space="preserve"> the considerations for </w:t>
      </w:r>
      <w:r w:rsidR="00F942D3" w:rsidRPr="00165AAD">
        <w:t xml:space="preserve">the </w:t>
      </w:r>
      <w:r w:rsidRPr="00165AAD">
        <w:t xml:space="preserve">implementation </w:t>
      </w:r>
      <w:r w:rsidR="00F942D3" w:rsidRPr="00165AAD">
        <w:t xml:space="preserve">of the Framework </w:t>
      </w:r>
      <w:r w:rsidRPr="00165AAD">
        <w:t>(</w:t>
      </w:r>
      <w:r w:rsidR="00E94883" w:rsidRPr="00165AAD">
        <w:t>s</w:t>
      </w:r>
      <w:r w:rsidRPr="00165AAD">
        <w:t>ect</w:t>
      </w:r>
      <w:r w:rsidR="006F486A" w:rsidRPr="00165AAD">
        <w:t>.</w:t>
      </w:r>
      <w:r w:rsidRPr="00165AAD">
        <w:t xml:space="preserve"> C of the Framework)</w:t>
      </w:r>
      <w:r w:rsidR="009D7E45" w:rsidRPr="00165AAD">
        <w:t xml:space="preserve"> into account</w:t>
      </w:r>
      <w:r w:rsidR="00437578" w:rsidRPr="00165AAD">
        <w:t>,</w:t>
      </w:r>
      <w:r w:rsidRPr="00165AAD">
        <w:t xml:space="preserve"> requires a holistic approach, consistent with a nexus approach</w:t>
      </w:r>
      <w:r w:rsidR="00D76262" w:rsidRPr="00165AAD">
        <w:t>,</w:t>
      </w:r>
      <w:r w:rsidRPr="00165AAD">
        <w:t xml:space="preserve"> </w:t>
      </w:r>
      <w:r w:rsidR="00D76262" w:rsidRPr="00165AAD">
        <w:t xml:space="preserve">as opposed to </w:t>
      </w:r>
      <w:r w:rsidRPr="00165AAD">
        <w:t xml:space="preserve">a siloed approach. </w:t>
      </w:r>
      <w:r w:rsidR="00D1649B" w:rsidRPr="00165AAD">
        <w:t>T</w:t>
      </w:r>
      <w:r w:rsidRPr="00165AAD">
        <w:t xml:space="preserve">he interlinkages and interdependencies </w:t>
      </w:r>
      <w:r w:rsidR="005E30BF" w:rsidRPr="00165AAD">
        <w:t xml:space="preserve">among </w:t>
      </w:r>
      <w:r w:rsidRPr="00165AAD">
        <w:t xml:space="preserve">sectors and systems </w:t>
      </w:r>
      <w:r w:rsidR="00943039" w:rsidRPr="00165AAD">
        <w:t xml:space="preserve">must be understood and addressed </w:t>
      </w:r>
      <w:r w:rsidRPr="00165AAD">
        <w:t xml:space="preserve">in a holistic manner to develop integrated and adaptative decisions </w:t>
      </w:r>
      <w:r w:rsidR="00A54367" w:rsidRPr="00165AAD">
        <w:t xml:space="preserve">that will </w:t>
      </w:r>
      <w:r w:rsidRPr="00165AAD">
        <w:t>maximize synergies and minimize trade-offs.</w:t>
      </w:r>
    </w:p>
    <w:p w14:paraId="4F130D54" w14:textId="247A63C4" w:rsidR="003D6F02" w:rsidRPr="00165AAD" w:rsidRDefault="003D6F02" w:rsidP="003B172F">
      <w:pPr>
        <w:pStyle w:val="CBDNormalNumber"/>
      </w:pPr>
      <w:r w:rsidRPr="00165AAD">
        <w:t xml:space="preserve">The </w:t>
      </w:r>
      <w:r w:rsidR="00F65D11" w:rsidRPr="00165AAD">
        <w:t xml:space="preserve">summary for policymakers </w:t>
      </w:r>
      <w:r w:rsidR="003074D5" w:rsidRPr="00165AAD">
        <w:t>contains</w:t>
      </w:r>
      <w:r w:rsidRPr="00165AAD">
        <w:t xml:space="preserve"> an analysis of the past trends for direct and </w:t>
      </w:r>
      <w:r w:rsidR="00AE608E" w:rsidRPr="00165AAD">
        <w:t>in</w:t>
      </w:r>
      <w:r w:rsidRPr="00165AAD">
        <w:t xml:space="preserve">direct drivers </w:t>
      </w:r>
      <w:r w:rsidR="00C83117" w:rsidRPr="00165AAD">
        <w:t xml:space="preserve">of change </w:t>
      </w:r>
      <w:r w:rsidR="00F152DE" w:rsidRPr="00165AAD">
        <w:t xml:space="preserve">for </w:t>
      </w:r>
      <w:r w:rsidRPr="00165AAD">
        <w:t xml:space="preserve">each nexus element. An analysis of 186 individual scenarios that consider multiple nexus elements, from 52 studies, reveals six nexus scenario groups or archetypes, with characteristic positive and negative outcomes for biodiversity, water, food, health and climate change. The archetypes represent </w:t>
      </w:r>
      <w:r w:rsidR="0005747E" w:rsidRPr="00165AAD">
        <w:t>various</w:t>
      </w:r>
      <w:r w:rsidRPr="00165AAD">
        <w:t>, plausible outcomes for the nexus elements and their interlinkages</w:t>
      </w:r>
      <w:r w:rsidR="003864F5" w:rsidRPr="00165AAD">
        <w:t>,</w:t>
      </w:r>
      <w:r w:rsidRPr="00165AAD">
        <w:t xml:space="preserve"> </w:t>
      </w:r>
      <w:r w:rsidR="003864F5" w:rsidRPr="00165AAD">
        <w:t xml:space="preserve">namely, </w:t>
      </w:r>
      <w:r w:rsidRPr="00165AAD">
        <w:t>nature-oriented nexus, balanced nexus, conservation first, climate first</w:t>
      </w:r>
      <w:r w:rsidR="003864F5" w:rsidRPr="00165AAD">
        <w:t>,</w:t>
      </w:r>
      <w:r w:rsidRPr="00165AAD">
        <w:t xml:space="preserve"> food first and nature overexploitation. </w:t>
      </w:r>
      <w:r w:rsidR="00322344" w:rsidRPr="00165AAD">
        <w:t xml:space="preserve">The </w:t>
      </w:r>
      <w:r w:rsidR="0080193B" w:rsidRPr="00165AAD">
        <w:t xml:space="preserve">summary </w:t>
      </w:r>
      <w:r w:rsidR="00482C8A" w:rsidRPr="00165AAD">
        <w:t xml:space="preserve">also contains </w:t>
      </w:r>
      <w:r w:rsidRPr="00165AAD">
        <w:t xml:space="preserve">a non-exhaustive list of </w:t>
      </w:r>
      <w:r w:rsidR="00482C8A" w:rsidRPr="00165AAD">
        <w:t xml:space="preserve">more than </w:t>
      </w:r>
      <w:r w:rsidRPr="00165AAD">
        <w:t>70</w:t>
      </w:r>
      <w:r w:rsidR="00482C8A" w:rsidRPr="00165AAD">
        <w:t> </w:t>
      </w:r>
      <w:r w:rsidRPr="00165AAD">
        <w:t xml:space="preserve">evidence-based response options that can be applied in </w:t>
      </w:r>
      <w:r w:rsidR="00322344" w:rsidRPr="00165AAD">
        <w:t xml:space="preserve">various </w:t>
      </w:r>
      <w:r w:rsidRPr="00165AAD">
        <w:t xml:space="preserve">contexts and implemented in </w:t>
      </w:r>
      <w:r w:rsidRPr="00165AAD">
        <w:lastRenderedPageBreak/>
        <w:t>accordance with national legislation and sovereignty</w:t>
      </w:r>
      <w:r w:rsidRPr="003B172F">
        <w:t xml:space="preserve"> and</w:t>
      </w:r>
      <w:r w:rsidRPr="00165AAD">
        <w:t xml:space="preserve"> international obligations. The options are grouped into </w:t>
      </w:r>
      <w:r w:rsidR="00777AF9" w:rsidRPr="00165AAD">
        <w:t xml:space="preserve">the following </w:t>
      </w:r>
      <w:r w:rsidRPr="00165AAD">
        <w:t xml:space="preserve">10 broad categories of actions, according to their primary goals: </w:t>
      </w:r>
    </w:p>
    <w:p w14:paraId="28F32D8D" w14:textId="06521B24" w:rsidR="003D6F02" w:rsidRPr="00165AAD" w:rsidRDefault="003D6F02" w:rsidP="003B172F">
      <w:pPr>
        <w:pStyle w:val="CBDNormalNumber"/>
        <w:numPr>
          <w:ilvl w:val="1"/>
          <w:numId w:val="9"/>
        </w:numPr>
      </w:pPr>
      <w:r w:rsidRPr="00165AAD">
        <w:t>Conserve ecosystems</w:t>
      </w:r>
      <w:r w:rsidR="00444B87" w:rsidRPr="00165AAD">
        <w:t>;</w:t>
      </w:r>
    </w:p>
    <w:p w14:paraId="1427527E" w14:textId="16E7EBC1" w:rsidR="003D6F02" w:rsidRPr="00165AAD" w:rsidRDefault="003D6F02" w:rsidP="003B172F">
      <w:pPr>
        <w:pStyle w:val="CBDNormalNumber"/>
        <w:numPr>
          <w:ilvl w:val="1"/>
          <w:numId w:val="9"/>
        </w:numPr>
      </w:pPr>
      <w:r w:rsidRPr="00165AAD">
        <w:t>Restore ecosystems</w:t>
      </w:r>
      <w:r w:rsidR="00444B87" w:rsidRPr="00165AAD">
        <w:t>;</w:t>
      </w:r>
    </w:p>
    <w:p w14:paraId="43945E33" w14:textId="30365B3F" w:rsidR="003D6F02" w:rsidRPr="00165AAD" w:rsidRDefault="003D6F02" w:rsidP="003B172F">
      <w:pPr>
        <w:pStyle w:val="CBDNormalNumber"/>
        <w:numPr>
          <w:ilvl w:val="1"/>
          <w:numId w:val="9"/>
        </w:numPr>
      </w:pPr>
      <w:r w:rsidRPr="00165AAD">
        <w:t>Manage ecosystem</w:t>
      </w:r>
      <w:r w:rsidR="00207768" w:rsidRPr="00165AAD">
        <w:t>s;</w:t>
      </w:r>
    </w:p>
    <w:p w14:paraId="2DEEADBC" w14:textId="30573CBB" w:rsidR="003D6F02" w:rsidRPr="00165AAD" w:rsidRDefault="003D6F02" w:rsidP="003B172F">
      <w:pPr>
        <w:pStyle w:val="CBDNormalNumber"/>
        <w:numPr>
          <w:ilvl w:val="1"/>
          <w:numId w:val="9"/>
        </w:numPr>
      </w:pPr>
      <w:r w:rsidRPr="00165AAD">
        <w:t>Consume sustainably</w:t>
      </w:r>
      <w:r w:rsidR="00444B87" w:rsidRPr="00165AAD">
        <w:t>;</w:t>
      </w:r>
    </w:p>
    <w:p w14:paraId="388BCBA8" w14:textId="1DC1984B" w:rsidR="003D6F02" w:rsidRPr="00165AAD" w:rsidRDefault="003D6F02" w:rsidP="003B172F">
      <w:pPr>
        <w:pStyle w:val="CBDNormalNumber"/>
        <w:numPr>
          <w:ilvl w:val="1"/>
          <w:numId w:val="9"/>
        </w:numPr>
      </w:pPr>
      <w:r w:rsidRPr="00165AAD">
        <w:t>Reduce pollution</w:t>
      </w:r>
      <w:r w:rsidR="00444B87" w:rsidRPr="00165AAD">
        <w:t>;</w:t>
      </w:r>
    </w:p>
    <w:p w14:paraId="6610B502" w14:textId="26FC3E3A" w:rsidR="003D6F02" w:rsidRPr="00165AAD" w:rsidRDefault="003D6F02" w:rsidP="003B172F">
      <w:pPr>
        <w:pStyle w:val="CBDNormalNumber"/>
        <w:numPr>
          <w:ilvl w:val="1"/>
          <w:numId w:val="9"/>
        </w:numPr>
      </w:pPr>
      <w:r w:rsidRPr="00165AAD">
        <w:t>Integrate planning and governance</w:t>
      </w:r>
      <w:r w:rsidR="00444B87" w:rsidRPr="00165AAD">
        <w:t>;</w:t>
      </w:r>
    </w:p>
    <w:p w14:paraId="29FD0AC9" w14:textId="35EC0DC3" w:rsidR="003D6F02" w:rsidRPr="00165AAD" w:rsidRDefault="003D6F02" w:rsidP="003B172F">
      <w:pPr>
        <w:pStyle w:val="CBDNormalNumber"/>
        <w:numPr>
          <w:ilvl w:val="1"/>
          <w:numId w:val="9"/>
        </w:numPr>
      </w:pPr>
      <w:r w:rsidRPr="00165AAD">
        <w:t>Manage risk</w:t>
      </w:r>
      <w:r w:rsidR="00444B87" w:rsidRPr="00165AAD">
        <w:t>;</w:t>
      </w:r>
    </w:p>
    <w:p w14:paraId="6B937A90" w14:textId="3BD8D1C0" w:rsidR="003D6F02" w:rsidRPr="00165AAD" w:rsidRDefault="003D6F02" w:rsidP="003B172F">
      <w:pPr>
        <w:pStyle w:val="CBDNormalNumber"/>
        <w:numPr>
          <w:ilvl w:val="1"/>
          <w:numId w:val="9"/>
        </w:numPr>
      </w:pPr>
      <w:r w:rsidRPr="00165AAD">
        <w:t>Ensure rights and equity</w:t>
      </w:r>
      <w:r w:rsidR="00444B87" w:rsidRPr="00165AAD">
        <w:t>;</w:t>
      </w:r>
    </w:p>
    <w:p w14:paraId="13D1D356" w14:textId="07F37969" w:rsidR="003D6F02" w:rsidRPr="00165AAD" w:rsidRDefault="003D6F02" w:rsidP="003B172F">
      <w:pPr>
        <w:pStyle w:val="CBDNormalNumber"/>
        <w:numPr>
          <w:ilvl w:val="1"/>
          <w:numId w:val="9"/>
        </w:numPr>
      </w:pPr>
      <w:r w:rsidRPr="00165AAD">
        <w:t>Align financing</w:t>
      </w:r>
      <w:r w:rsidR="00444B87" w:rsidRPr="00165AAD">
        <w:t>;</w:t>
      </w:r>
    </w:p>
    <w:p w14:paraId="73A548CE" w14:textId="77777777" w:rsidR="003D6F02" w:rsidRPr="00165AAD" w:rsidRDefault="003D6F02" w:rsidP="003B172F">
      <w:pPr>
        <w:pStyle w:val="CBDNormalNumber"/>
        <w:numPr>
          <w:ilvl w:val="1"/>
          <w:numId w:val="9"/>
        </w:numPr>
      </w:pPr>
      <w:r w:rsidRPr="00165AAD">
        <w:t>Others.</w:t>
      </w:r>
    </w:p>
    <w:p w14:paraId="26E6FA61" w14:textId="2B5BADFD" w:rsidR="003D6F02" w:rsidRPr="00165AAD" w:rsidRDefault="00AA46D3" w:rsidP="003B172F">
      <w:pPr>
        <w:pStyle w:val="CBDNormalNumber"/>
      </w:pPr>
      <w:r w:rsidRPr="00165AAD">
        <w:t xml:space="preserve">The authors analyse the effect of each response option </w:t>
      </w:r>
      <w:r w:rsidR="003D6F02" w:rsidRPr="00165AAD">
        <w:t xml:space="preserve">on each nexus element and the feasibility of </w:t>
      </w:r>
      <w:r w:rsidR="000E78D7" w:rsidRPr="00165AAD">
        <w:t xml:space="preserve">its </w:t>
      </w:r>
      <w:r w:rsidR="003D6F02" w:rsidRPr="00165AAD">
        <w:t xml:space="preserve">implementation. The governance, economic and financial implications of implementing nexus response options </w:t>
      </w:r>
      <w:r w:rsidR="006E0068" w:rsidRPr="00165AAD">
        <w:t xml:space="preserve">are </w:t>
      </w:r>
      <w:r w:rsidR="003D6F02" w:rsidRPr="00165AAD">
        <w:t xml:space="preserve">discussed </w:t>
      </w:r>
      <w:r w:rsidR="00855780" w:rsidRPr="00165AAD">
        <w:t xml:space="preserve">and compared </w:t>
      </w:r>
      <w:r w:rsidR="003D6F02" w:rsidRPr="00165AAD">
        <w:t>with the costs and likely outcomes of continued</w:t>
      </w:r>
      <w:r w:rsidR="003D6F02" w:rsidRPr="003B172F">
        <w:t xml:space="preserve"> </w:t>
      </w:r>
      <w:r w:rsidR="001D6B67" w:rsidRPr="00165AAD">
        <w:t>“</w:t>
      </w:r>
      <w:r w:rsidR="003D6F02" w:rsidRPr="00165AAD">
        <w:t>business as usual</w:t>
      </w:r>
      <w:r w:rsidR="001D6B67" w:rsidRPr="00165AAD">
        <w:t>”</w:t>
      </w:r>
      <w:r w:rsidR="003D6F02" w:rsidRPr="00165AAD">
        <w:t xml:space="preserve"> approaches. </w:t>
      </w:r>
      <w:r w:rsidR="001D6B67" w:rsidRPr="00165AAD">
        <w:t>Last</w:t>
      </w:r>
      <w:r w:rsidR="003D6F02" w:rsidRPr="00165AAD">
        <w:t xml:space="preserve">, the </w:t>
      </w:r>
      <w:r w:rsidR="00EF6482" w:rsidRPr="00165AAD">
        <w:t xml:space="preserve">authors </w:t>
      </w:r>
      <w:r w:rsidR="003D6F02" w:rsidRPr="00165AAD">
        <w:t>provide insights on how to implement the response options to address effectively the direct and indirect drivers of change of the nexus elements.</w:t>
      </w:r>
    </w:p>
    <w:p w14:paraId="06201250" w14:textId="664E7069" w:rsidR="003D6F02" w:rsidRPr="00165AAD" w:rsidRDefault="000B530A" w:rsidP="003B172F">
      <w:pPr>
        <w:pStyle w:val="CBDH1"/>
      </w:pPr>
      <w:r w:rsidRPr="00165AAD">
        <w:t>III.</w:t>
      </w:r>
      <w:r w:rsidRPr="00165AAD">
        <w:tab/>
      </w:r>
      <w:r w:rsidR="003D6F02" w:rsidRPr="00165AAD">
        <w:t>Summary of the background and key messages of the assessment</w:t>
      </w:r>
    </w:p>
    <w:p w14:paraId="176B4DF3" w14:textId="020AC18B" w:rsidR="003D6F02" w:rsidRPr="00165AAD" w:rsidRDefault="003D6F02" w:rsidP="003B172F">
      <w:pPr>
        <w:pStyle w:val="CBDNormalNumber"/>
      </w:pPr>
      <w:r w:rsidRPr="00165AAD">
        <w:t xml:space="preserve">The Secretariat of the Convention has provided </w:t>
      </w:r>
      <w:r w:rsidR="00404905" w:rsidRPr="00165AAD">
        <w:t xml:space="preserve">in the present section </w:t>
      </w:r>
      <w:r w:rsidRPr="00165AAD">
        <w:t>a summary of the main issues covered in the assessment</w:t>
      </w:r>
      <w:r w:rsidR="00C703CA">
        <w:t>,</w:t>
      </w:r>
      <w:r w:rsidRPr="00165AAD">
        <w:t xml:space="preserve"> </w:t>
      </w:r>
      <w:r w:rsidR="00E34200" w:rsidRPr="00165AAD">
        <w:t xml:space="preserve">for </w:t>
      </w:r>
      <w:r w:rsidR="00365721">
        <w:t xml:space="preserve">ease of </w:t>
      </w:r>
      <w:r w:rsidRPr="00165AAD">
        <w:t>reference. For a more comprehensive overview, readers are encouraged to refer to the summary for policymakers of the assessment.</w:t>
      </w:r>
    </w:p>
    <w:p w14:paraId="0A9A1050" w14:textId="47A63E00" w:rsidR="003D6F02" w:rsidRPr="00165AAD" w:rsidRDefault="00E45486" w:rsidP="003B172F">
      <w:pPr>
        <w:pStyle w:val="CBDNormalNumber"/>
      </w:pPr>
      <w:r w:rsidRPr="003B172F">
        <w:t>In n</w:t>
      </w:r>
      <w:r w:rsidR="003D6F02" w:rsidRPr="00165AAD">
        <w:t>exus approaches</w:t>
      </w:r>
      <w:r w:rsidRPr="003B172F">
        <w:t>, it is</w:t>
      </w:r>
      <w:r w:rsidR="003D6F02" w:rsidRPr="00165AAD">
        <w:t xml:space="preserve"> recognize</w:t>
      </w:r>
      <w:r w:rsidRPr="00165AAD">
        <w:t>d</w:t>
      </w:r>
      <w:r w:rsidR="003D6F02" w:rsidRPr="00165AAD">
        <w:t xml:space="preserve"> that challenges </w:t>
      </w:r>
      <w:r w:rsidR="00B81A4A" w:rsidRPr="00165AAD">
        <w:t xml:space="preserve">under one </w:t>
      </w:r>
      <w:r w:rsidR="003D6F02" w:rsidRPr="00165AAD">
        <w:t xml:space="preserve">element are interconnected with </w:t>
      </w:r>
      <w:r w:rsidR="004035FB" w:rsidRPr="00165AAD">
        <w:t xml:space="preserve">challenges </w:t>
      </w:r>
      <w:r w:rsidR="00D91234" w:rsidRPr="00165AAD">
        <w:t xml:space="preserve">under </w:t>
      </w:r>
      <w:r w:rsidR="003D6F02" w:rsidRPr="00165AAD">
        <w:t xml:space="preserve">other elements across multiple spatial and temporal scales. By improving </w:t>
      </w:r>
      <w:r w:rsidR="00B81A4A" w:rsidRPr="00165AAD">
        <w:t xml:space="preserve">the </w:t>
      </w:r>
      <w:r w:rsidR="003D6F02" w:rsidRPr="00165AAD">
        <w:t>understanding of the interconnections and identifying</w:t>
      </w:r>
      <w:r w:rsidR="003D6F02" w:rsidRPr="00165AAD">
        <w:rPr>
          <w:rFonts w:eastAsia="Calibri"/>
        </w:rPr>
        <w:t xml:space="preserve"> opportunities for collaboration across sectors and scales, the findings of the nexus </w:t>
      </w:r>
      <w:r w:rsidR="003D6F02" w:rsidRPr="003B172F">
        <w:t>assessment</w:t>
      </w:r>
      <w:r w:rsidR="003D6F02" w:rsidRPr="00165AAD">
        <w:rPr>
          <w:rFonts w:eastAsia="Calibri"/>
        </w:rPr>
        <w:t xml:space="preserve"> can contribute to synergistic and holistic management and governance.</w:t>
      </w:r>
    </w:p>
    <w:p w14:paraId="537086E8" w14:textId="61E63153" w:rsidR="003D6F02" w:rsidRPr="00165AAD" w:rsidRDefault="003D6F02" w:rsidP="003B172F">
      <w:pPr>
        <w:pStyle w:val="CBDNormalNumber"/>
      </w:pPr>
      <w:r w:rsidRPr="00165AAD">
        <w:t xml:space="preserve">The </w:t>
      </w:r>
      <w:r w:rsidR="008E4415" w:rsidRPr="00165AAD">
        <w:t xml:space="preserve">authors of the summary for policymakers </w:t>
      </w:r>
      <w:r w:rsidRPr="00165AAD">
        <w:t>emphasize the need to implement multiple synergistic response options, through more integrative, inclusive, equitable, accountable, coordinated and adaptive approaches</w:t>
      </w:r>
      <w:r w:rsidR="00DF6517" w:rsidRPr="00165AAD">
        <w:t>,</w:t>
      </w:r>
      <w:r w:rsidRPr="00165AAD">
        <w:t xml:space="preserve"> </w:t>
      </w:r>
      <w:r w:rsidR="001F0F26" w:rsidRPr="00165AAD">
        <w:t xml:space="preserve">and </w:t>
      </w:r>
      <w:r w:rsidR="00A14D42" w:rsidRPr="00165AAD">
        <w:t xml:space="preserve">the fact that </w:t>
      </w:r>
      <w:r w:rsidRPr="00165AAD">
        <w:t>th</w:t>
      </w:r>
      <w:r w:rsidR="001F0F26" w:rsidRPr="00165AAD">
        <w:t>o</w:t>
      </w:r>
      <w:r w:rsidRPr="00165AAD">
        <w:t xml:space="preserve">se options should be adapted to national and </w:t>
      </w:r>
      <w:r w:rsidR="00A14D42" w:rsidRPr="00165AAD">
        <w:t>sub</w:t>
      </w:r>
      <w:r w:rsidRPr="00165AAD">
        <w:t>national circumstances.</w:t>
      </w:r>
    </w:p>
    <w:p w14:paraId="1EF454D0" w14:textId="358A4BCF" w:rsidR="003D6F02" w:rsidRPr="00165AAD" w:rsidRDefault="00DF6517" w:rsidP="003B172F">
      <w:pPr>
        <w:pStyle w:val="CBDNormalNumber"/>
      </w:pPr>
      <w:r w:rsidRPr="00165AAD">
        <w:t>The authors also</w:t>
      </w:r>
      <w:r w:rsidR="003D6F02" w:rsidRPr="00165AAD">
        <w:t xml:space="preserve"> call for a transformation in governance </w:t>
      </w:r>
      <w:r w:rsidR="00AC2394" w:rsidRPr="00165AAD">
        <w:t xml:space="preserve">and </w:t>
      </w:r>
      <w:r w:rsidR="00F66DA2" w:rsidRPr="00165AAD">
        <w:t xml:space="preserve">in </w:t>
      </w:r>
      <w:r w:rsidR="003D6F02" w:rsidRPr="00165AAD">
        <w:t>economic and financial systems. The</w:t>
      </w:r>
      <w:r w:rsidR="000C4005" w:rsidRPr="00165AAD">
        <w:t>ir</w:t>
      </w:r>
      <w:r w:rsidR="003D6F02" w:rsidRPr="00165AAD">
        <w:t xml:space="preserve"> analysis tends to show that current systems </w:t>
      </w:r>
      <w:r w:rsidR="0011194E" w:rsidRPr="00165AAD">
        <w:t xml:space="preserve">are </w:t>
      </w:r>
      <w:r w:rsidR="003D6F02" w:rsidRPr="00165AAD">
        <w:t>not adapted to address</w:t>
      </w:r>
      <w:r w:rsidR="000C4005" w:rsidRPr="00165AAD">
        <w:t>ing</w:t>
      </w:r>
      <w:r w:rsidR="003D6F02" w:rsidRPr="00165AAD">
        <w:t xml:space="preserve"> direct and </w:t>
      </w:r>
      <w:r w:rsidR="00AE608E" w:rsidRPr="003B172F">
        <w:t>in</w:t>
      </w:r>
      <w:r w:rsidR="003D6F02" w:rsidRPr="00165AAD">
        <w:t xml:space="preserve">direct drivers of change </w:t>
      </w:r>
      <w:r w:rsidR="009D7E45" w:rsidRPr="00165AAD">
        <w:t xml:space="preserve">in </w:t>
      </w:r>
      <w:r w:rsidR="00165AAD" w:rsidRPr="00165AAD">
        <w:t>the</w:t>
      </w:r>
      <w:r w:rsidR="003D6F02" w:rsidRPr="00165AAD">
        <w:t xml:space="preserve"> nexus elements.</w:t>
      </w:r>
      <w:r w:rsidR="00A32C93" w:rsidRPr="00165AAD">
        <w:t xml:space="preserve"> </w:t>
      </w:r>
    </w:p>
    <w:p w14:paraId="1E6683EF" w14:textId="1FA31FE3" w:rsidR="003D6F02" w:rsidRPr="00165AAD" w:rsidRDefault="000C4005" w:rsidP="003B172F">
      <w:pPr>
        <w:pStyle w:val="CBDNormalNumber"/>
      </w:pPr>
      <w:r w:rsidRPr="003B172F">
        <w:t xml:space="preserve">With regard to </w:t>
      </w:r>
      <w:r w:rsidR="000F720E" w:rsidRPr="003B172F">
        <w:t>p</w:t>
      </w:r>
      <w:r w:rsidR="003D6F02" w:rsidRPr="003B172F">
        <w:t>ast and current nexus interactions</w:t>
      </w:r>
      <w:r w:rsidR="000F720E" w:rsidRPr="003B172F">
        <w:t>,</w:t>
      </w:r>
      <w:r w:rsidR="003D6F02" w:rsidRPr="00165AAD">
        <w:t xml:space="preserve"> </w:t>
      </w:r>
      <w:r w:rsidR="000F720E" w:rsidRPr="00165AAD">
        <w:t>a</w:t>
      </w:r>
      <w:r w:rsidR="003D6F02" w:rsidRPr="00165AAD">
        <w:t xml:space="preserve">ll indirect drivers studied, except for institutional environmental regulations, have increased or accelerated the impact of direct drivers on nexus elements. Almost all nexus elements follow negative trends </w:t>
      </w:r>
      <w:r w:rsidR="000C7D44" w:rsidRPr="00165AAD">
        <w:t>because of</w:t>
      </w:r>
      <w:r w:rsidR="003D6F02" w:rsidRPr="00165AAD">
        <w:t xml:space="preserve"> th</w:t>
      </w:r>
      <w:r w:rsidR="00525C04" w:rsidRPr="00165AAD">
        <w:t>o</w:t>
      </w:r>
      <w:r w:rsidR="003D6F02" w:rsidRPr="00165AAD">
        <w:t xml:space="preserve">se drivers, with cascading effects on all nexus elements. Two nexus elements have shown positive trends in the past few years: food quantity has increased, improving </w:t>
      </w:r>
      <w:r w:rsidR="0060686C" w:rsidRPr="00165AAD">
        <w:t xml:space="preserve">human </w:t>
      </w:r>
      <w:r w:rsidR="003D6F02" w:rsidRPr="00165AAD">
        <w:t>health through greater caloric intake</w:t>
      </w:r>
      <w:r w:rsidR="000167E4" w:rsidRPr="00165AAD">
        <w:t>,</w:t>
      </w:r>
      <w:r w:rsidR="003D6F02" w:rsidRPr="00165AAD">
        <w:t xml:space="preserve"> and advances in health care</w:t>
      </w:r>
      <w:r w:rsidR="004B48BF" w:rsidRPr="00165AAD">
        <w:t xml:space="preserve"> have also contributed to improve</w:t>
      </w:r>
      <w:r w:rsidR="0060686C" w:rsidRPr="00165AAD">
        <w:t>ments in</w:t>
      </w:r>
      <w:r w:rsidR="004B48BF" w:rsidRPr="00165AAD">
        <w:t xml:space="preserve"> human health</w:t>
      </w:r>
      <w:r w:rsidR="003D6F02" w:rsidRPr="00165AAD">
        <w:t xml:space="preserve">. The effects of changes in nexus elements are unequally distributed. People in developing countries and lands inhabited by </w:t>
      </w:r>
      <w:r w:rsidR="007445DA" w:rsidRPr="00165AAD">
        <w:t>i</w:t>
      </w:r>
      <w:r w:rsidR="003D6F02" w:rsidRPr="00165AAD">
        <w:t xml:space="preserve">ndigenous </w:t>
      </w:r>
      <w:r w:rsidR="007445DA" w:rsidRPr="00165AAD">
        <w:t>p</w:t>
      </w:r>
      <w:r w:rsidR="003D6F02" w:rsidRPr="00165AAD">
        <w:t xml:space="preserve">eoples are more commonly affected by </w:t>
      </w:r>
      <w:r w:rsidR="00796D86" w:rsidRPr="00165AAD">
        <w:t xml:space="preserve">the degradation of </w:t>
      </w:r>
      <w:r w:rsidR="003D6F02" w:rsidRPr="00165AAD">
        <w:t>nexus elements</w:t>
      </w:r>
      <w:r w:rsidR="00796D86" w:rsidRPr="00165AAD">
        <w:t>.</w:t>
      </w:r>
      <w:r w:rsidR="003D6F02" w:rsidRPr="00165AAD">
        <w:t xml:space="preserve"> Siloed governance and misaligned economic and societal value systems that prioritize short-term </w:t>
      </w:r>
      <w:r w:rsidR="003D6F02" w:rsidRPr="00165AAD">
        <w:lastRenderedPageBreak/>
        <w:t xml:space="preserve">thinking and private financial returns cause negative trends </w:t>
      </w:r>
      <w:r w:rsidR="00CA0410" w:rsidRPr="00165AAD">
        <w:t>in</w:t>
      </w:r>
      <w:r w:rsidR="003D6F02" w:rsidRPr="00165AAD">
        <w:t xml:space="preserve"> the nexus elements and exacerbate trade-offs among the</w:t>
      </w:r>
      <w:r w:rsidR="00CA0410" w:rsidRPr="00165AAD">
        <w:t>m</w:t>
      </w:r>
      <w:r w:rsidR="003D6F02" w:rsidRPr="00165AAD">
        <w:t xml:space="preserve"> </w:t>
      </w:r>
    </w:p>
    <w:p w14:paraId="5DE02F87" w14:textId="5B5CAF50" w:rsidR="003D6F02" w:rsidRPr="00165AAD" w:rsidRDefault="000F720E" w:rsidP="003B172F">
      <w:pPr>
        <w:pStyle w:val="CBDNormalNumber"/>
      </w:pPr>
      <w:r w:rsidRPr="00165AAD">
        <w:t xml:space="preserve">With regard to </w:t>
      </w:r>
      <w:r w:rsidR="00645B0B" w:rsidRPr="00165AAD">
        <w:t>f</w:t>
      </w:r>
      <w:r w:rsidR="003D6F02" w:rsidRPr="003B172F">
        <w:t>uture nexus interactions</w:t>
      </w:r>
      <w:r w:rsidRPr="00165AAD">
        <w:t>,</w:t>
      </w:r>
      <w:r w:rsidR="003D6F02" w:rsidRPr="00165AAD">
        <w:t xml:space="preserve"> </w:t>
      </w:r>
      <w:r w:rsidRPr="00165AAD">
        <w:t>a</w:t>
      </w:r>
      <w:r w:rsidR="003D6F02" w:rsidRPr="00165AAD">
        <w:t xml:space="preserve">ll the analysed scenarios </w:t>
      </w:r>
      <w:r w:rsidR="003313BB" w:rsidRPr="00165AAD">
        <w:t xml:space="preserve">aimed at </w:t>
      </w:r>
      <w:r w:rsidR="003D6F02" w:rsidRPr="00165AAD">
        <w:t>maximiz</w:t>
      </w:r>
      <w:r w:rsidR="003313BB" w:rsidRPr="00165AAD">
        <w:t>ing</w:t>
      </w:r>
      <w:r w:rsidR="003D6F02" w:rsidRPr="00165AAD">
        <w:t xml:space="preserve"> outcomes in single nexus elements (</w:t>
      </w:r>
      <w:r w:rsidR="001D6DFC" w:rsidRPr="00165AAD">
        <w:t>e.g.</w:t>
      </w:r>
      <w:r w:rsidR="003D6F02" w:rsidRPr="00165AAD">
        <w:t xml:space="preserve"> </w:t>
      </w:r>
      <w:r w:rsidR="00BF5C45" w:rsidRPr="00165AAD">
        <w:t>“</w:t>
      </w:r>
      <w:r w:rsidR="003D6F02" w:rsidRPr="00165AAD">
        <w:t>food first</w:t>
      </w:r>
      <w:r w:rsidR="00BF5C45" w:rsidRPr="00165AAD">
        <w:t>”</w:t>
      </w:r>
      <w:r w:rsidR="003D6F02" w:rsidRPr="00165AAD">
        <w:t xml:space="preserve">, </w:t>
      </w:r>
      <w:r w:rsidR="00BF5C45" w:rsidRPr="00165AAD">
        <w:t>“</w:t>
      </w:r>
      <w:r w:rsidR="003D6F02" w:rsidRPr="00165AAD">
        <w:t>climate first</w:t>
      </w:r>
      <w:r w:rsidR="00BF5C45" w:rsidRPr="00165AAD">
        <w:t>”</w:t>
      </w:r>
      <w:r w:rsidR="003D6F02" w:rsidRPr="00165AAD">
        <w:t xml:space="preserve"> and </w:t>
      </w:r>
      <w:r w:rsidR="00BF5C45" w:rsidRPr="00165AAD">
        <w:t>“</w:t>
      </w:r>
      <w:r w:rsidR="003D6F02" w:rsidRPr="00165AAD">
        <w:t>conservation first</w:t>
      </w:r>
      <w:r w:rsidR="00BF5C45" w:rsidRPr="00165AAD">
        <w:t>”</w:t>
      </w:r>
      <w:r w:rsidR="00A42ED4" w:rsidRPr="00165AAD">
        <w:t>)</w:t>
      </w:r>
      <w:r w:rsidR="003D6F02" w:rsidRPr="00165AAD">
        <w:t xml:space="preserve"> </w:t>
      </w:r>
      <w:r w:rsidR="0078636D" w:rsidRPr="00165AAD">
        <w:t xml:space="preserve">have </w:t>
      </w:r>
      <w:r w:rsidR="003D6F02" w:rsidRPr="00165AAD">
        <w:t xml:space="preserve">negative impacts across </w:t>
      </w:r>
      <w:r w:rsidR="00EF7843" w:rsidRPr="00165AAD">
        <w:t xml:space="preserve">the </w:t>
      </w:r>
      <w:r w:rsidR="003D6F02" w:rsidRPr="00165AAD">
        <w:t>other elements. Scenarios with benefits that are balanced across the nexus elements achieve multiple global policy goals, whereas scenarios with trade-offs achieve fewer goals. In particular, conserving biodiversity in combination with actions benefit</w:t>
      </w:r>
      <w:r w:rsidR="00346883" w:rsidRPr="00165AAD">
        <w:t>ing</w:t>
      </w:r>
      <w:r w:rsidR="003D6F02" w:rsidRPr="00165AAD">
        <w:t xml:space="preserve"> other nexus elements supports the achievement of sustainability policy goals and </w:t>
      </w:r>
      <w:r w:rsidR="0060686C" w:rsidRPr="00165AAD">
        <w:t xml:space="preserve">reduces </w:t>
      </w:r>
      <w:r w:rsidR="003D6F02" w:rsidRPr="00165AAD">
        <w:t>many future financial and systemic risks.</w:t>
      </w:r>
    </w:p>
    <w:p w14:paraId="7C8C47B9" w14:textId="10ACFB5C" w:rsidR="003D6F02" w:rsidRPr="00165AAD" w:rsidRDefault="000F720E" w:rsidP="003B172F">
      <w:pPr>
        <w:pStyle w:val="CBDNormalNumber"/>
      </w:pPr>
      <w:r w:rsidRPr="00165AAD">
        <w:t>With regard to r</w:t>
      </w:r>
      <w:r w:rsidR="003D6F02" w:rsidRPr="003B172F">
        <w:t>esponse options that address nexus interactions</w:t>
      </w:r>
      <w:r w:rsidRPr="00165AAD">
        <w:t>,</w:t>
      </w:r>
      <w:r w:rsidR="003D6F02" w:rsidRPr="00165AAD">
        <w:t xml:space="preserve"> </w:t>
      </w:r>
      <w:r w:rsidRPr="00165AAD">
        <w:t>m</w:t>
      </w:r>
      <w:r w:rsidR="003D6F02" w:rsidRPr="00165AAD">
        <w:t xml:space="preserve">ost impacts of the analysed options are positive across multiple nexus elements, </w:t>
      </w:r>
      <w:r w:rsidR="00227E4E" w:rsidRPr="00165AAD">
        <w:t xml:space="preserve">to </w:t>
      </w:r>
      <w:r w:rsidR="003D6F02" w:rsidRPr="00165AAD">
        <w:t xml:space="preserve">a greater or lesser extent, often depending on how options are planned and implemented and </w:t>
      </w:r>
      <w:r w:rsidR="009722FB" w:rsidRPr="00165AAD">
        <w:t xml:space="preserve">on </w:t>
      </w:r>
      <w:r w:rsidR="003D6F02" w:rsidRPr="00165AAD">
        <w:t xml:space="preserve">enabling factors. A small number of options had no or even negative impacts </w:t>
      </w:r>
      <w:r w:rsidR="00454E7E" w:rsidRPr="00165AAD">
        <w:t xml:space="preserve">on </w:t>
      </w:r>
      <w:r w:rsidR="003D6F02" w:rsidRPr="00165AAD">
        <w:t xml:space="preserve">other elements. The cost of response options varies greatly. Though additional economic and financial resources are required to assure synergies across nexus elements, their impact and uptake could be amplified </w:t>
      </w:r>
      <w:r w:rsidR="0065737B" w:rsidRPr="00165AAD">
        <w:t xml:space="preserve">by </w:t>
      </w:r>
      <w:r w:rsidR="003D6F02" w:rsidRPr="00165AAD">
        <w:t xml:space="preserve">wider reforms to align financial and environmental interests. </w:t>
      </w:r>
      <w:r w:rsidR="00846A32" w:rsidRPr="00165AAD">
        <w:t>Last</w:t>
      </w:r>
      <w:r w:rsidR="003D6F02" w:rsidRPr="00165AAD">
        <w:t>, the implementation of options</w:t>
      </w:r>
      <w:r w:rsidR="00670A8A" w:rsidRPr="00165AAD">
        <w:t>,</w:t>
      </w:r>
      <w:r w:rsidR="003D6F02" w:rsidRPr="00165AAD">
        <w:t xml:space="preserve"> together or in sequence</w:t>
      </w:r>
      <w:r w:rsidR="00670A8A" w:rsidRPr="00165AAD">
        <w:t>,</w:t>
      </w:r>
      <w:r w:rsidR="003D6F02" w:rsidRPr="00165AAD">
        <w:t xml:space="preserve"> can enhance nexus-wide benefits, </w:t>
      </w:r>
      <w:r w:rsidR="00AA10B2" w:rsidRPr="00165AAD">
        <w:t xml:space="preserve">as </w:t>
      </w:r>
      <w:r w:rsidR="003D6F02" w:rsidRPr="00165AAD">
        <w:t xml:space="preserve">some options </w:t>
      </w:r>
      <w:r w:rsidR="00AA10B2" w:rsidRPr="00165AAD">
        <w:t xml:space="preserve">can </w:t>
      </w:r>
      <w:r w:rsidR="003B47B1" w:rsidRPr="00165AAD">
        <w:t>facilitate</w:t>
      </w:r>
      <w:r w:rsidR="004D5DE5" w:rsidRPr="00165AAD">
        <w:t xml:space="preserve"> </w:t>
      </w:r>
      <w:r w:rsidR="003D6F02" w:rsidRPr="00165AAD">
        <w:t>others or amplify their impacts.</w:t>
      </w:r>
    </w:p>
    <w:p w14:paraId="2CA883D0" w14:textId="5F6452D3" w:rsidR="003D6F02" w:rsidRPr="00165AAD" w:rsidRDefault="000F720E" w:rsidP="003B172F">
      <w:pPr>
        <w:pStyle w:val="CBDNormalNumber"/>
      </w:pPr>
      <w:r w:rsidRPr="00165AAD">
        <w:t>With regard to g</w:t>
      </w:r>
      <w:r w:rsidR="003D6F02" w:rsidRPr="003B172F">
        <w:t>overning the nexus for achieving just and sustainable futures</w:t>
      </w:r>
      <w:r w:rsidRPr="00165AAD">
        <w:t>,</w:t>
      </w:r>
      <w:r w:rsidR="003D6F02" w:rsidRPr="00165AAD">
        <w:t xml:space="preserve"> </w:t>
      </w:r>
      <w:r w:rsidRPr="00165AAD">
        <w:t>r</w:t>
      </w:r>
      <w:r w:rsidR="003D6F02" w:rsidRPr="00165AAD">
        <w:t xml:space="preserve">esponse options are likely to be most effective when implemented </w:t>
      </w:r>
      <w:r w:rsidR="009D7E45" w:rsidRPr="00165AAD">
        <w:t>through</w:t>
      </w:r>
      <w:r w:rsidR="003D6F02" w:rsidRPr="00165AAD">
        <w:t xml:space="preserve"> improved governance approaches across all nexus elements and by focusing on policies, institutions and actions that promote integration, inclusion, equity and accountability</w:t>
      </w:r>
      <w:r w:rsidR="003D6F02" w:rsidRPr="003B172F">
        <w:t xml:space="preserve">, </w:t>
      </w:r>
      <w:r w:rsidR="00A2433A" w:rsidRPr="00165AAD">
        <w:t xml:space="preserve">as well as on </w:t>
      </w:r>
      <w:r w:rsidR="003D6F02" w:rsidRPr="00165AAD">
        <w:t xml:space="preserve">coordinated and adaptive approaches. Their effectiveness is also improved when </w:t>
      </w:r>
      <w:r w:rsidR="00B35290" w:rsidRPr="00165AAD">
        <w:t xml:space="preserve">they </w:t>
      </w:r>
      <w:r w:rsidR="003D6F02" w:rsidRPr="00165AAD">
        <w:t xml:space="preserve">are co-designed </w:t>
      </w:r>
      <w:r w:rsidR="009D7E45" w:rsidRPr="00165AAD">
        <w:t>by</w:t>
      </w:r>
      <w:r w:rsidR="003D6F02" w:rsidRPr="00165AAD">
        <w:t xml:space="preserve"> a variety of actors and institutions using processes and approaches that acknowledge and address trade-offs and facilitate and strengthen enabling conditions and synergies. While some actors and institutions across the globe, including </w:t>
      </w:r>
      <w:r w:rsidR="005B5B9A" w:rsidRPr="00165AAD">
        <w:t>i</w:t>
      </w:r>
      <w:r w:rsidR="003D6F02" w:rsidRPr="00165AAD">
        <w:t xml:space="preserve">ndigenous </w:t>
      </w:r>
      <w:r w:rsidR="005B5B9A" w:rsidRPr="00165AAD">
        <w:t>p</w:t>
      </w:r>
      <w:r w:rsidR="003D6F02" w:rsidRPr="00165AAD">
        <w:t>eoples and local communities, already possess capacities for nexus governance approaches, strengthening specific capacities for many other</w:t>
      </w:r>
      <w:r w:rsidR="00794CA5" w:rsidRPr="00165AAD">
        <w:t>s</w:t>
      </w:r>
      <w:r w:rsidR="003D6F02" w:rsidRPr="00165AAD">
        <w:t xml:space="preserve"> can improve outcomes.</w:t>
      </w:r>
    </w:p>
    <w:p w14:paraId="57D582ED" w14:textId="4671264F" w:rsidR="003D6F02" w:rsidRPr="00165AAD" w:rsidRDefault="003D6F02" w:rsidP="003B172F">
      <w:pPr>
        <w:pStyle w:val="CBDNormalNumber"/>
        <w:keepNext/>
        <w:ind w:left="562"/>
      </w:pPr>
      <w:r w:rsidRPr="00165AAD">
        <w:t xml:space="preserve">The </w:t>
      </w:r>
      <w:r w:rsidR="00C632B5" w:rsidRPr="00165AAD">
        <w:t xml:space="preserve">summary for policy markers </w:t>
      </w:r>
      <w:r w:rsidRPr="00165AAD">
        <w:t>includes the 12 key messages</w:t>
      </w:r>
      <w:r w:rsidR="009D4967">
        <w:t xml:space="preserve"> reproduced below.</w:t>
      </w:r>
      <w:r w:rsidR="009D4967" w:rsidRPr="00165AAD" w:rsidDel="009D4967">
        <w:t xml:space="preserve"> </w:t>
      </w:r>
    </w:p>
    <w:p w14:paraId="350C9910" w14:textId="7DD78FEB" w:rsidR="003D6F02" w:rsidRPr="00165AAD" w:rsidRDefault="003D6F02" w:rsidP="003B172F">
      <w:pPr>
        <w:pStyle w:val="CBDNormalNumber"/>
        <w:keepNext/>
        <w:numPr>
          <w:ilvl w:val="0"/>
          <w:numId w:val="0"/>
        </w:numPr>
        <w:ind w:left="562"/>
      </w:pPr>
      <w:r w:rsidRPr="003B172F">
        <w:rPr>
          <w:i/>
          <w:iCs/>
        </w:rPr>
        <w:t>Past and current nexus interactions</w:t>
      </w:r>
    </w:p>
    <w:p w14:paraId="3F58C1EB" w14:textId="51B927CD" w:rsidR="003D6F02" w:rsidRPr="00165AAD" w:rsidRDefault="003D6F02" w:rsidP="003D6F02">
      <w:pPr>
        <w:pStyle w:val="Para2"/>
        <w:numPr>
          <w:ilvl w:val="0"/>
          <w:numId w:val="18"/>
        </w:numPr>
        <w:tabs>
          <w:tab w:val="clear" w:pos="1701"/>
        </w:tabs>
        <w:rPr>
          <w:lang w:val="en-GB"/>
        </w:rPr>
      </w:pPr>
      <w:r w:rsidRPr="00165AAD">
        <w:rPr>
          <w:lang w:val="en-GB"/>
        </w:rPr>
        <w:t xml:space="preserve">Key message A1: </w:t>
      </w:r>
      <w:r w:rsidR="00537206" w:rsidRPr="00165AAD">
        <w:rPr>
          <w:lang w:val="en-GB"/>
        </w:rPr>
        <w:t>“</w:t>
      </w:r>
      <w:r w:rsidRPr="00165AAD">
        <w:rPr>
          <w:lang w:val="en-GB"/>
        </w:rPr>
        <w:t xml:space="preserve">Biodiversity is essential to our very existence, supporting our water and food supplies, our health and the stability of the climate. Biodiversity is declining in all regions of the world and at all spatial scales, </w:t>
      </w:r>
      <w:r w:rsidRPr="003B172F">
        <w:rPr>
          <w:lang w:val="en-GB"/>
        </w:rPr>
        <w:t>impacting</w:t>
      </w:r>
      <w:r w:rsidRPr="00165AAD">
        <w:rPr>
          <w:lang w:val="en-GB"/>
        </w:rPr>
        <w:t xml:space="preserve"> ecosystem functioning, water availability and quality, food security and nutrition, human, plant and animal health and resilience to the impacts of climate change. Biodiversity loss and climate change are interdependent and produce compounding impacts and impacts that threaten human health and well-being</w:t>
      </w:r>
      <w:r w:rsidR="00354CF0" w:rsidRPr="00165AAD">
        <w:rPr>
          <w:lang w:val="en-GB"/>
        </w:rPr>
        <w:t>.</w:t>
      </w:r>
      <w:r w:rsidR="00537206" w:rsidRPr="00165AAD">
        <w:rPr>
          <w:lang w:val="en-GB"/>
        </w:rPr>
        <w:t>”</w:t>
      </w:r>
    </w:p>
    <w:p w14:paraId="4B143CAC" w14:textId="4738C002" w:rsidR="003D6F02" w:rsidRPr="00165AAD" w:rsidRDefault="003D6F02" w:rsidP="003D6F02">
      <w:pPr>
        <w:pStyle w:val="Para2"/>
        <w:numPr>
          <w:ilvl w:val="0"/>
          <w:numId w:val="18"/>
        </w:numPr>
        <w:tabs>
          <w:tab w:val="clear" w:pos="1701"/>
        </w:tabs>
        <w:rPr>
          <w:lang w:val="en-GB"/>
        </w:rPr>
      </w:pPr>
      <w:r w:rsidRPr="00165AAD">
        <w:rPr>
          <w:lang w:val="en-GB"/>
        </w:rPr>
        <w:t xml:space="preserve">Key message A2: </w:t>
      </w:r>
      <w:r w:rsidR="00537206" w:rsidRPr="00165AAD">
        <w:rPr>
          <w:lang w:val="en-GB"/>
        </w:rPr>
        <w:t>“</w:t>
      </w:r>
      <w:r w:rsidRPr="00165AAD">
        <w:rPr>
          <w:lang w:val="en-GB"/>
        </w:rPr>
        <w:t>In the past 50 years, global trends in a wide range of indirect drivers have intensified direct drivers of biodiversity loss and caused negative outcomes for biodiversity, water availability and quality, food security and nutrition</w:t>
      </w:r>
      <w:r w:rsidRPr="003B172F">
        <w:rPr>
          <w:lang w:val="en-GB"/>
        </w:rPr>
        <w:t>, and</w:t>
      </w:r>
      <w:r w:rsidRPr="00165AAD">
        <w:rPr>
          <w:lang w:val="en-GB"/>
        </w:rPr>
        <w:t xml:space="preserve"> health</w:t>
      </w:r>
      <w:r w:rsidRPr="003B172F">
        <w:rPr>
          <w:lang w:val="en-GB"/>
        </w:rPr>
        <w:t>, and</w:t>
      </w:r>
      <w:r w:rsidRPr="00165AAD">
        <w:rPr>
          <w:lang w:val="en-GB"/>
        </w:rPr>
        <w:t xml:space="preserve"> contributed to climate change</w:t>
      </w:r>
      <w:r w:rsidR="00354CF0" w:rsidRPr="00165AAD">
        <w:rPr>
          <w:lang w:val="en-GB"/>
        </w:rPr>
        <w:t>.</w:t>
      </w:r>
      <w:r w:rsidR="00537206" w:rsidRPr="00165AAD">
        <w:rPr>
          <w:lang w:val="en-GB"/>
        </w:rPr>
        <w:t>”</w:t>
      </w:r>
    </w:p>
    <w:p w14:paraId="62686654" w14:textId="672AF314" w:rsidR="003D6F02" w:rsidRPr="00165AAD" w:rsidRDefault="003D6F02" w:rsidP="003D6F02">
      <w:pPr>
        <w:pStyle w:val="Para2"/>
        <w:numPr>
          <w:ilvl w:val="0"/>
          <w:numId w:val="18"/>
        </w:numPr>
        <w:tabs>
          <w:tab w:val="clear" w:pos="1701"/>
        </w:tabs>
        <w:rPr>
          <w:lang w:val="en-GB"/>
        </w:rPr>
      </w:pPr>
      <w:r w:rsidRPr="00165AAD">
        <w:rPr>
          <w:lang w:val="en-GB"/>
        </w:rPr>
        <w:t xml:space="preserve">Key message A3: </w:t>
      </w:r>
      <w:r w:rsidR="00537206" w:rsidRPr="00165AAD">
        <w:rPr>
          <w:lang w:val="en-GB"/>
        </w:rPr>
        <w:t>“</w:t>
      </w:r>
      <w:r w:rsidRPr="00165AAD">
        <w:rPr>
          <w:lang w:val="en-GB"/>
        </w:rPr>
        <w:t>Societal, economic and policy decisions that prioritize short-term benefits and financial returns for a small number of people while ignoring negative impacts on biodiversity and other nexus elements lead to unequal outcomes for human well-being. Existing governance approaches have often failed to account for and address these negative impacts in degrading nature, with the negative impacts disproportionately affecting the well-being of some as compared with others</w:t>
      </w:r>
      <w:r w:rsidR="00354CF0" w:rsidRPr="00165AAD">
        <w:rPr>
          <w:lang w:val="en-GB"/>
        </w:rPr>
        <w:t>.</w:t>
      </w:r>
      <w:r w:rsidR="00537206" w:rsidRPr="00165AAD">
        <w:rPr>
          <w:lang w:val="en-GB"/>
        </w:rPr>
        <w:t>”</w:t>
      </w:r>
    </w:p>
    <w:p w14:paraId="5A2A882B" w14:textId="77777777" w:rsidR="003D6F02" w:rsidRPr="00165AAD" w:rsidRDefault="003D6F02" w:rsidP="003B172F">
      <w:pPr>
        <w:pStyle w:val="CBDNormalNumber"/>
        <w:keepNext/>
        <w:numPr>
          <w:ilvl w:val="0"/>
          <w:numId w:val="0"/>
        </w:numPr>
        <w:ind w:left="562"/>
        <w:rPr>
          <w:i/>
        </w:rPr>
      </w:pPr>
      <w:r w:rsidRPr="00165AAD">
        <w:rPr>
          <w:i/>
        </w:rPr>
        <w:t>Future nexus interactions</w:t>
      </w:r>
    </w:p>
    <w:p w14:paraId="2CB6C9CA" w14:textId="75BC24BF" w:rsidR="003D6F02" w:rsidRPr="00165AAD" w:rsidRDefault="003D6F02" w:rsidP="003D6F02">
      <w:pPr>
        <w:pStyle w:val="Para2"/>
        <w:numPr>
          <w:ilvl w:val="0"/>
          <w:numId w:val="18"/>
        </w:numPr>
        <w:tabs>
          <w:tab w:val="clear" w:pos="1701"/>
        </w:tabs>
        <w:rPr>
          <w:lang w:val="en-GB"/>
        </w:rPr>
      </w:pPr>
      <w:r w:rsidRPr="00165AAD">
        <w:rPr>
          <w:lang w:val="en-GB"/>
        </w:rPr>
        <w:t xml:space="preserve">Key message B1: </w:t>
      </w:r>
      <w:r w:rsidR="003A6163" w:rsidRPr="00165AAD">
        <w:rPr>
          <w:lang w:val="en-GB"/>
        </w:rPr>
        <w:t>“</w:t>
      </w:r>
      <w:r w:rsidRPr="00165AAD">
        <w:rPr>
          <w:lang w:val="en-GB"/>
        </w:rPr>
        <w:t xml:space="preserve">Continuation of current trends in direct and indirect drivers will result in substantial negative outcomes for biodiversity, water availability and quality, food </w:t>
      </w:r>
      <w:r w:rsidRPr="00165AAD">
        <w:rPr>
          <w:lang w:val="en-GB"/>
        </w:rPr>
        <w:lastRenderedPageBreak/>
        <w:t>security and human health, while exacerbating climate change. Scenarios that prioritize objectives for a single element of the nexus without regard to other elements (i.e</w:t>
      </w:r>
      <w:r w:rsidRPr="003B172F">
        <w:rPr>
          <w:lang w:val="en-GB"/>
        </w:rPr>
        <w:t>.,</w:t>
      </w:r>
      <w:r w:rsidRPr="00165AAD">
        <w:rPr>
          <w:lang w:val="en-GB"/>
        </w:rPr>
        <w:t xml:space="preserve"> solely for biodiversity, water, food, human health or climate change) will result in trade-offs across the nexus</w:t>
      </w:r>
      <w:r w:rsidR="00354CF0" w:rsidRPr="00165AAD">
        <w:rPr>
          <w:lang w:val="en-GB"/>
        </w:rPr>
        <w:t>.</w:t>
      </w:r>
      <w:r w:rsidR="003A6163" w:rsidRPr="00165AAD">
        <w:rPr>
          <w:lang w:val="en-GB"/>
        </w:rPr>
        <w:t>”</w:t>
      </w:r>
    </w:p>
    <w:p w14:paraId="7B6820FF" w14:textId="4DDAB576" w:rsidR="003D6F02" w:rsidRPr="00165AAD" w:rsidRDefault="003D6F02" w:rsidP="003D6F02">
      <w:pPr>
        <w:pStyle w:val="Para2"/>
        <w:numPr>
          <w:ilvl w:val="0"/>
          <w:numId w:val="18"/>
        </w:numPr>
        <w:tabs>
          <w:tab w:val="clear" w:pos="1701"/>
        </w:tabs>
        <w:rPr>
          <w:lang w:val="en-GB"/>
        </w:rPr>
      </w:pPr>
      <w:r w:rsidRPr="00165AAD">
        <w:rPr>
          <w:lang w:val="en-GB"/>
        </w:rPr>
        <w:t xml:space="preserve">Key message B2: </w:t>
      </w:r>
      <w:r w:rsidR="00DA2C95" w:rsidRPr="00165AAD">
        <w:rPr>
          <w:lang w:val="en-GB"/>
        </w:rPr>
        <w:t>“</w:t>
      </w:r>
      <w:r w:rsidRPr="00165AAD">
        <w:rPr>
          <w:lang w:val="en-GB"/>
        </w:rPr>
        <w:t>Nexus-wide benefits with positive outcomes for people and nature are feasible in the future, but achieving the highest levels of positive outcomes across all nexus elements is challenging. Scenarios that achieve balanced benefits across the nexus elements tend to include response options that effectively conserve, restore and sustainably use and manage ecosystems, reduce pollution across terrestrial, freshwater and marine realms and support adoption of sustainable healthy diets and climate change mitigation and adaptation</w:t>
      </w:r>
      <w:r w:rsidR="00354CF0" w:rsidRPr="00165AAD">
        <w:rPr>
          <w:lang w:val="en-GB"/>
        </w:rPr>
        <w:t>.</w:t>
      </w:r>
      <w:r w:rsidR="00DA2C95" w:rsidRPr="00165AAD">
        <w:rPr>
          <w:lang w:val="en-GB"/>
        </w:rPr>
        <w:t>”</w:t>
      </w:r>
    </w:p>
    <w:p w14:paraId="64C6D5F0" w14:textId="5A70564B" w:rsidR="003D6F02" w:rsidRPr="00165AAD" w:rsidRDefault="003D6F02" w:rsidP="003D6F02">
      <w:pPr>
        <w:pStyle w:val="Para2"/>
        <w:numPr>
          <w:ilvl w:val="0"/>
          <w:numId w:val="18"/>
        </w:numPr>
        <w:tabs>
          <w:tab w:val="clear" w:pos="1701"/>
        </w:tabs>
        <w:rPr>
          <w:lang w:val="en-GB"/>
        </w:rPr>
      </w:pPr>
      <w:r w:rsidRPr="00165AAD">
        <w:rPr>
          <w:lang w:val="en-GB"/>
        </w:rPr>
        <w:t xml:space="preserve">Key message B3: </w:t>
      </w:r>
      <w:r w:rsidR="00DA2C95" w:rsidRPr="00165AAD">
        <w:rPr>
          <w:lang w:val="en-GB"/>
        </w:rPr>
        <w:t>“</w:t>
      </w:r>
      <w:r w:rsidRPr="00165AAD">
        <w:rPr>
          <w:lang w:val="en-GB"/>
        </w:rPr>
        <w:t>Scenarios focused on synergies among biodiversity, water, food, human health and climate change have more beneficial outcomes for global policy goals, such as the Sustainable Development Goals. Siloed policy approaches and actions that prioritize a single nexus element limit the achievement of benefits across policy goals</w:t>
      </w:r>
      <w:r w:rsidR="00354CF0" w:rsidRPr="00165AAD">
        <w:rPr>
          <w:lang w:val="en-GB"/>
        </w:rPr>
        <w:t>.</w:t>
      </w:r>
      <w:r w:rsidR="00165A1B" w:rsidRPr="00165AAD">
        <w:rPr>
          <w:lang w:val="en-GB"/>
        </w:rPr>
        <w:t>”</w:t>
      </w:r>
    </w:p>
    <w:p w14:paraId="3B0A4968" w14:textId="77777777" w:rsidR="003D6F02" w:rsidRPr="00165AAD" w:rsidRDefault="003D6F02" w:rsidP="003B172F">
      <w:pPr>
        <w:pStyle w:val="CBDNormalNumber"/>
        <w:keepNext/>
        <w:numPr>
          <w:ilvl w:val="0"/>
          <w:numId w:val="0"/>
        </w:numPr>
        <w:ind w:left="562"/>
        <w:rPr>
          <w:i/>
        </w:rPr>
      </w:pPr>
      <w:r w:rsidRPr="00165AAD">
        <w:rPr>
          <w:i/>
        </w:rPr>
        <w:t>Response options that address nexus interactions</w:t>
      </w:r>
    </w:p>
    <w:p w14:paraId="14AEDFDE" w14:textId="22AB60B3" w:rsidR="003D6F02" w:rsidRPr="00165AAD" w:rsidRDefault="003D6F02" w:rsidP="003D6F02">
      <w:pPr>
        <w:pStyle w:val="Para2"/>
        <w:numPr>
          <w:ilvl w:val="0"/>
          <w:numId w:val="18"/>
        </w:numPr>
        <w:tabs>
          <w:tab w:val="clear" w:pos="1701"/>
        </w:tabs>
        <w:rPr>
          <w:lang w:val="en-GB"/>
        </w:rPr>
      </w:pPr>
      <w:r w:rsidRPr="00165AAD">
        <w:rPr>
          <w:lang w:val="en-GB"/>
        </w:rPr>
        <w:t xml:space="preserve">Key message C1: </w:t>
      </w:r>
      <w:r w:rsidR="00165A1B" w:rsidRPr="00165AAD">
        <w:rPr>
          <w:lang w:val="en-GB"/>
        </w:rPr>
        <w:t>“</w:t>
      </w:r>
      <w:r w:rsidRPr="00165AAD">
        <w:rPr>
          <w:lang w:val="en-GB"/>
        </w:rPr>
        <w:t>Numerous highly synergistic response options are already available to actors in multiple sectors for sustainably managing biodiversity, water, food, health and climate change. Response options not typically focused on biodiversity can often have greater benefits for biodiversity than those specifically designed as such. Response options, when implemented at appropriate scales and contexts, provide many benefits to different degrees across the nexus elements</w:t>
      </w:r>
      <w:r w:rsidRPr="003B172F">
        <w:rPr>
          <w:lang w:val="en-GB"/>
        </w:rPr>
        <w:t>, and</w:t>
      </w:r>
      <w:r w:rsidRPr="00165AAD">
        <w:rPr>
          <w:lang w:val="en-GB"/>
        </w:rPr>
        <w:t xml:space="preserve"> many are low cost</w:t>
      </w:r>
      <w:r w:rsidR="00354CF0" w:rsidRPr="00165AAD">
        <w:rPr>
          <w:lang w:val="en-GB"/>
        </w:rPr>
        <w:t>.</w:t>
      </w:r>
      <w:r w:rsidR="00165A1B" w:rsidRPr="00165AAD">
        <w:rPr>
          <w:lang w:val="en-GB"/>
        </w:rPr>
        <w:t>”</w:t>
      </w:r>
    </w:p>
    <w:p w14:paraId="13CF0D43" w14:textId="23A98A9F" w:rsidR="003D6F02" w:rsidRPr="00165AAD" w:rsidRDefault="003D6F02" w:rsidP="003D6F02">
      <w:pPr>
        <w:pStyle w:val="Para2"/>
        <w:numPr>
          <w:ilvl w:val="0"/>
          <w:numId w:val="18"/>
        </w:numPr>
        <w:tabs>
          <w:tab w:val="clear" w:pos="1701"/>
        </w:tabs>
        <w:rPr>
          <w:lang w:val="en-GB"/>
        </w:rPr>
      </w:pPr>
      <w:r w:rsidRPr="00165AAD">
        <w:rPr>
          <w:lang w:val="en-GB"/>
        </w:rPr>
        <w:t xml:space="preserve">Key message C2: </w:t>
      </w:r>
      <w:r w:rsidR="00165A1B" w:rsidRPr="00165AAD">
        <w:rPr>
          <w:lang w:val="en-GB"/>
        </w:rPr>
        <w:t>“</w:t>
      </w:r>
      <w:r w:rsidRPr="00165AAD">
        <w:rPr>
          <w:lang w:val="en-GB"/>
        </w:rPr>
        <w:t>Response options can facilitate or impede each other, leading to potential synergies and trade-offs among them. The efficacy of response options in realizing nexus-wide benefits can be enhanced by implementing them together or sequentially, as some response options enable others or amplify their benefits</w:t>
      </w:r>
      <w:r w:rsidR="00354CF0" w:rsidRPr="00165AAD">
        <w:rPr>
          <w:lang w:val="en-GB"/>
        </w:rPr>
        <w:t>.</w:t>
      </w:r>
      <w:r w:rsidR="00165A1B" w:rsidRPr="00165AAD">
        <w:rPr>
          <w:lang w:val="en-GB"/>
        </w:rPr>
        <w:t>”</w:t>
      </w:r>
    </w:p>
    <w:p w14:paraId="093C6D01" w14:textId="3A37B633" w:rsidR="003D6F02" w:rsidRPr="00165AAD" w:rsidRDefault="003D6F02" w:rsidP="003D6F02">
      <w:pPr>
        <w:pStyle w:val="Para2"/>
        <w:numPr>
          <w:ilvl w:val="0"/>
          <w:numId w:val="18"/>
        </w:numPr>
        <w:tabs>
          <w:tab w:val="clear" w:pos="1701"/>
        </w:tabs>
        <w:rPr>
          <w:lang w:val="en-GB"/>
        </w:rPr>
      </w:pPr>
      <w:r w:rsidRPr="00165AAD">
        <w:rPr>
          <w:lang w:val="en-GB"/>
        </w:rPr>
        <w:t xml:space="preserve">Key message C3: </w:t>
      </w:r>
      <w:r w:rsidR="00165A1B" w:rsidRPr="00165AAD">
        <w:rPr>
          <w:lang w:val="en-GB"/>
        </w:rPr>
        <w:t>“</w:t>
      </w:r>
      <w:r w:rsidRPr="00165AAD">
        <w:rPr>
          <w:lang w:val="en-GB"/>
        </w:rPr>
        <w:t xml:space="preserve">Response options can strongly advance global policy efforts, including the Sustainable Development Goals, the </w:t>
      </w:r>
      <w:r w:rsidRPr="003B172F">
        <w:rPr>
          <w:lang w:val="en-GB"/>
        </w:rPr>
        <w:t>Kunming-Montreal Global Biodiversity Framework</w:t>
      </w:r>
      <w:r w:rsidRPr="00165AAD">
        <w:rPr>
          <w:lang w:val="en-GB"/>
        </w:rPr>
        <w:t xml:space="preserve"> and the </w:t>
      </w:r>
      <w:r w:rsidRPr="003B172F">
        <w:rPr>
          <w:lang w:val="en-GB"/>
        </w:rPr>
        <w:t>Paris Agreement</w:t>
      </w:r>
      <w:r w:rsidRPr="00165AAD">
        <w:rPr>
          <w:lang w:val="en-GB"/>
        </w:rPr>
        <w:t>, to achieve just and sustainable futures. Response options designed to benefit multiple nexus elements support multiple goals and targets across global policy frameworks, strengthening synergies and alignment among them</w:t>
      </w:r>
      <w:r w:rsidR="00354CF0" w:rsidRPr="00165AAD">
        <w:rPr>
          <w:lang w:val="en-GB"/>
        </w:rPr>
        <w:t>.</w:t>
      </w:r>
      <w:r w:rsidR="00165A1B" w:rsidRPr="00165AAD">
        <w:rPr>
          <w:lang w:val="en-GB"/>
        </w:rPr>
        <w:t>”</w:t>
      </w:r>
    </w:p>
    <w:p w14:paraId="6E2E7289" w14:textId="77777777" w:rsidR="003D6F02" w:rsidRPr="00165AAD" w:rsidRDefault="003D6F02" w:rsidP="003B172F">
      <w:pPr>
        <w:pStyle w:val="CBDNormalNumber"/>
        <w:keepNext/>
        <w:numPr>
          <w:ilvl w:val="0"/>
          <w:numId w:val="0"/>
        </w:numPr>
        <w:ind w:left="562"/>
        <w:rPr>
          <w:i/>
        </w:rPr>
      </w:pPr>
      <w:r w:rsidRPr="00165AAD">
        <w:rPr>
          <w:i/>
        </w:rPr>
        <w:t>Governing the nexus for achieving just and sustainable futures</w:t>
      </w:r>
    </w:p>
    <w:p w14:paraId="06ECF44C" w14:textId="0655A476" w:rsidR="003D6F02" w:rsidRPr="00165AAD" w:rsidRDefault="003D6F02" w:rsidP="003D6F02">
      <w:pPr>
        <w:pStyle w:val="Para2"/>
        <w:numPr>
          <w:ilvl w:val="0"/>
          <w:numId w:val="18"/>
        </w:numPr>
        <w:tabs>
          <w:tab w:val="clear" w:pos="1701"/>
        </w:tabs>
        <w:rPr>
          <w:lang w:val="en-GB"/>
        </w:rPr>
      </w:pPr>
      <w:r w:rsidRPr="00165AAD">
        <w:rPr>
          <w:lang w:val="en-GB"/>
        </w:rPr>
        <w:t xml:space="preserve">Key message D1: </w:t>
      </w:r>
      <w:r w:rsidR="004F3BC2" w:rsidRPr="00165AAD">
        <w:rPr>
          <w:lang w:val="en-GB"/>
        </w:rPr>
        <w:t>“</w:t>
      </w:r>
      <w:r w:rsidRPr="00165AAD">
        <w:rPr>
          <w:lang w:val="en-GB"/>
        </w:rPr>
        <w:t>Transforming current siloed modes of governance through more integrative, inclusive, equitable, accountable, coordinated and adaptive approaches enables successful implementation of response options to manage the nexus elements</w:t>
      </w:r>
      <w:r w:rsidRPr="003B172F">
        <w:rPr>
          <w:lang w:val="en-GB"/>
        </w:rPr>
        <w:t>, and</w:t>
      </w:r>
      <w:r w:rsidRPr="00165AAD">
        <w:rPr>
          <w:lang w:val="en-GB"/>
        </w:rPr>
        <w:t xml:space="preserve"> their associated direct and indirect drivers, in an integrated manner, with benefits for people and nature now and into the future</w:t>
      </w:r>
      <w:r w:rsidR="00354CF0" w:rsidRPr="00165AAD">
        <w:rPr>
          <w:lang w:val="en-GB"/>
        </w:rPr>
        <w:t>.</w:t>
      </w:r>
      <w:r w:rsidR="004F3BC2" w:rsidRPr="00165AAD">
        <w:rPr>
          <w:lang w:val="en-GB"/>
        </w:rPr>
        <w:t>”</w:t>
      </w:r>
    </w:p>
    <w:p w14:paraId="4B64CB45" w14:textId="05AE8F57" w:rsidR="003D6F02" w:rsidRPr="00165AAD" w:rsidRDefault="003D6F02" w:rsidP="003D6F02">
      <w:pPr>
        <w:pStyle w:val="Para2"/>
        <w:numPr>
          <w:ilvl w:val="0"/>
          <w:numId w:val="18"/>
        </w:numPr>
        <w:tabs>
          <w:tab w:val="clear" w:pos="1701"/>
        </w:tabs>
        <w:rPr>
          <w:lang w:val="en-GB"/>
        </w:rPr>
      </w:pPr>
      <w:r w:rsidRPr="00165AAD">
        <w:rPr>
          <w:lang w:val="en-GB"/>
        </w:rPr>
        <w:t xml:space="preserve">Key message D2: </w:t>
      </w:r>
      <w:r w:rsidR="004F3BC2" w:rsidRPr="00165AAD">
        <w:rPr>
          <w:lang w:val="en-GB"/>
        </w:rPr>
        <w:t>“</w:t>
      </w:r>
      <w:r w:rsidRPr="00165AAD">
        <w:rPr>
          <w:lang w:val="en-GB"/>
        </w:rPr>
        <w:t>Gaps in finance to meet biodiversity needs amount to $0.3 trillion to $1</w:t>
      </w:r>
      <w:r w:rsidR="003916A3" w:rsidRPr="00165AAD">
        <w:rPr>
          <w:lang w:val="en-GB"/>
        </w:rPr>
        <w:t> </w:t>
      </w:r>
      <w:r w:rsidRPr="00165AAD">
        <w:rPr>
          <w:lang w:val="en-GB"/>
        </w:rPr>
        <w:t>trillion per year</w:t>
      </w:r>
      <w:r w:rsidRPr="003B172F">
        <w:rPr>
          <w:lang w:val="en-GB"/>
        </w:rPr>
        <w:t>, and</w:t>
      </w:r>
      <w:r w:rsidRPr="00165AAD">
        <w:rPr>
          <w:lang w:val="en-GB"/>
        </w:rPr>
        <w:t xml:space="preserve"> additional investment needs to meet the Sustainable Development Goals most directly related to water, food, health and climate change come to at least $4</w:t>
      </w:r>
      <w:r w:rsidR="003916A3" w:rsidRPr="00165AAD">
        <w:rPr>
          <w:lang w:val="en-GB"/>
        </w:rPr>
        <w:t> </w:t>
      </w:r>
      <w:r w:rsidRPr="00165AAD">
        <w:rPr>
          <w:lang w:val="en-GB"/>
        </w:rPr>
        <w:t>trillion per year. Urgent action to transform values and structures and address the dominance of a narrow set of interests within economic and financial systems can enable increased investments for biodiversity and the other nexus elements</w:t>
      </w:r>
      <w:r w:rsidR="00354CF0" w:rsidRPr="00165AAD">
        <w:rPr>
          <w:lang w:val="en-GB"/>
        </w:rPr>
        <w:t>.</w:t>
      </w:r>
      <w:r w:rsidR="004F3BC2" w:rsidRPr="00165AAD">
        <w:rPr>
          <w:lang w:val="en-GB"/>
        </w:rPr>
        <w:t>”</w:t>
      </w:r>
    </w:p>
    <w:p w14:paraId="74D6F0BA" w14:textId="3FFBC8C6" w:rsidR="003D6F02" w:rsidRPr="00165AAD" w:rsidRDefault="003D6F02" w:rsidP="003D6F02">
      <w:pPr>
        <w:pStyle w:val="Para2"/>
        <w:numPr>
          <w:ilvl w:val="0"/>
          <w:numId w:val="18"/>
        </w:numPr>
        <w:tabs>
          <w:tab w:val="clear" w:pos="1701"/>
        </w:tabs>
        <w:rPr>
          <w:lang w:val="en-GB"/>
        </w:rPr>
      </w:pPr>
      <w:r w:rsidRPr="00165AAD">
        <w:rPr>
          <w:lang w:val="en-GB"/>
        </w:rPr>
        <w:t xml:space="preserve">Key message D3: </w:t>
      </w:r>
      <w:r w:rsidR="004F3BC2" w:rsidRPr="00165AAD">
        <w:rPr>
          <w:lang w:val="en-GB"/>
        </w:rPr>
        <w:t>“</w:t>
      </w:r>
      <w:r w:rsidRPr="00165AAD">
        <w:rPr>
          <w:lang w:val="en-GB"/>
        </w:rPr>
        <w:t xml:space="preserve">Nexus governance approaches, decision-making and capacity-strengthening can be enhanced through a series of deliberative steps and actions, informed by diverse evidence. A road map for nexus action can be used by a wide range of actors in multiple sectors to identify problems and shared values in order to work collaboratively towards solutions to help achieve just and sustainable futures aligned with global policy </w:t>
      </w:r>
      <w:r w:rsidRPr="00165AAD">
        <w:rPr>
          <w:lang w:val="en-GB"/>
        </w:rPr>
        <w:lastRenderedPageBreak/>
        <w:t>frameworks. Tools and methods facilitating a holistic understanding of nexus elements can increase knowledge and improve cooperation and decision-making.</w:t>
      </w:r>
      <w:r w:rsidR="004F3BC2" w:rsidRPr="00165AAD">
        <w:rPr>
          <w:lang w:val="en-GB"/>
        </w:rPr>
        <w:t>”</w:t>
      </w:r>
      <w:r w:rsidRPr="00165AAD">
        <w:rPr>
          <w:lang w:val="en-GB"/>
        </w:rPr>
        <w:t xml:space="preserve"> </w:t>
      </w:r>
    </w:p>
    <w:p w14:paraId="74DE0787" w14:textId="2BB05DB5" w:rsidR="003D6F02" w:rsidRPr="00165AAD" w:rsidRDefault="003D080F" w:rsidP="003B172F">
      <w:pPr>
        <w:pStyle w:val="CBDH1"/>
      </w:pPr>
      <w:r w:rsidRPr="00165AAD">
        <w:t>IV.</w:t>
      </w:r>
      <w:r w:rsidRPr="00165AAD">
        <w:tab/>
      </w:r>
      <w:r w:rsidR="006B3F85" w:rsidRPr="00165AAD">
        <w:t xml:space="preserve">Implications of the </w:t>
      </w:r>
      <w:r w:rsidR="008D6FD2" w:rsidRPr="00165AAD">
        <w:t>n</w:t>
      </w:r>
      <w:r w:rsidR="003D6F02" w:rsidRPr="00165AAD">
        <w:t xml:space="preserve">exus </w:t>
      </w:r>
      <w:r w:rsidR="006B3F85" w:rsidRPr="00165AAD">
        <w:t xml:space="preserve">assessment for the </w:t>
      </w:r>
      <w:r w:rsidR="00C275F8" w:rsidRPr="00165AAD">
        <w:t xml:space="preserve">work </w:t>
      </w:r>
      <w:r w:rsidR="008D6FD2" w:rsidRPr="00165AAD">
        <w:t>undertaken under</w:t>
      </w:r>
      <w:r w:rsidR="00C275F8" w:rsidRPr="00165AAD">
        <w:t xml:space="preserve"> the </w:t>
      </w:r>
      <w:r w:rsidR="006B3F85" w:rsidRPr="00165AAD">
        <w:t>Conve</w:t>
      </w:r>
      <w:r w:rsidR="00C275F8" w:rsidRPr="00165AAD">
        <w:t>n</w:t>
      </w:r>
      <w:r w:rsidR="006B3F85" w:rsidRPr="00165AAD">
        <w:t xml:space="preserve">tion </w:t>
      </w:r>
    </w:p>
    <w:p w14:paraId="04D3BEE8" w14:textId="358F1098" w:rsidR="003D6F02" w:rsidRPr="00165AAD" w:rsidRDefault="003D6F02" w:rsidP="003B172F">
      <w:pPr>
        <w:pStyle w:val="CBDNormalNumber"/>
        <w:rPr>
          <w:rFonts w:eastAsia="Calibri"/>
        </w:rPr>
      </w:pPr>
      <w:r w:rsidRPr="00165AAD">
        <w:rPr>
          <w:rFonts w:eastAsia="Calibri"/>
        </w:rPr>
        <w:t xml:space="preserve">The </w:t>
      </w:r>
      <w:r w:rsidR="00D80EFF" w:rsidRPr="00165AAD">
        <w:rPr>
          <w:rFonts w:eastAsia="Calibri"/>
        </w:rPr>
        <w:t>summary for policymakers</w:t>
      </w:r>
      <w:r w:rsidRPr="00165AAD">
        <w:rPr>
          <w:rFonts w:eastAsia="Calibri"/>
        </w:rPr>
        <w:t xml:space="preserve"> </w:t>
      </w:r>
      <w:r w:rsidR="0037234D" w:rsidRPr="00165AAD">
        <w:rPr>
          <w:rFonts w:eastAsia="Calibri"/>
        </w:rPr>
        <w:t xml:space="preserve">contains an </w:t>
      </w:r>
      <w:r w:rsidRPr="00165AAD">
        <w:rPr>
          <w:rFonts w:eastAsia="Calibri"/>
        </w:rPr>
        <w:t>analys</w:t>
      </w:r>
      <w:r w:rsidR="0037234D" w:rsidRPr="00165AAD">
        <w:rPr>
          <w:rFonts w:eastAsia="Calibri"/>
        </w:rPr>
        <w:t>i</w:t>
      </w:r>
      <w:r w:rsidRPr="00165AAD">
        <w:rPr>
          <w:rFonts w:eastAsia="Calibri"/>
        </w:rPr>
        <w:t xml:space="preserve">s </w:t>
      </w:r>
      <w:r w:rsidR="0037234D" w:rsidRPr="00165AAD">
        <w:rPr>
          <w:rFonts w:eastAsia="Calibri"/>
        </w:rPr>
        <w:t xml:space="preserve">of </w:t>
      </w:r>
      <w:r w:rsidRPr="00165AAD">
        <w:rPr>
          <w:rFonts w:eastAsia="Calibri"/>
        </w:rPr>
        <w:t xml:space="preserve">the contribution of several response options to the Framework. </w:t>
      </w:r>
      <w:r w:rsidR="00A51577" w:rsidRPr="00165AAD">
        <w:rPr>
          <w:rFonts w:eastAsia="Calibri"/>
        </w:rPr>
        <w:t xml:space="preserve">The authors </w:t>
      </w:r>
      <w:r w:rsidRPr="00165AAD">
        <w:rPr>
          <w:rFonts w:eastAsia="Calibri"/>
        </w:rPr>
        <w:t>conclude</w:t>
      </w:r>
      <w:r w:rsidR="00035AFB" w:rsidRPr="00165AAD">
        <w:rPr>
          <w:rFonts w:eastAsia="Calibri"/>
        </w:rPr>
        <w:t>d</w:t>
      </w:r>
      <w:r w:rsidRPr="00165AAD">
        <w:rPr>
          <w:rFonts w:eastAsia="Calibri"/>
        </w:rPr>
        <w:t xml:space="preserve"> that response option for addressing multiple nexus elements </w:t>
      </w:r>
      <w:r w:rsidR="00A51577" w:rsidRPr="00165AAD">
        <w:rPr>
          <w:rFonts w:eastAsia="Calibri"/>
        </w:rPr>
        <w:t>wa</w:t>
      </w:r>
      <w:r w:rsidRPr="00165AAD">
        <w:rPr>
          <w:rFonts w:eastAsia="Calibri"/>
        </w:rPr>
        <w:t xml:space="preserve">s possible and </w:t>
      </w:r>
      <w:r w:rsidR="00A51577" w:rsidRPr="00165AAD">
        <w:rPr>
          <w:rFonts w:eastAsia="Calibri"/>
        </w:rPr>
        <w:t xml:space="preserve">they </w:t>
      </w:r>
      <w:r w:rsidRPr="00165AAD">
        <w:rPr>
          <w:rFonts w:eastAsia="Calibri"/>
        </w:rPr>
        <w:t>identifie</w:t>
      </w:r>
      <w:r w:rsidR="00A51577" w:rsidRPr="00165AAD">
        <w:rPr>
          <w:rFonts w:eastAsia="Calibri"/>
        </w:rPr>
        <w:t>d</w:t>
      </w:r>
      <w:r w:rsidRPr="00165AAD">
        <w:rPr>
          <w:rFonts w:eastAsia="Calibri"/>
        </w:rPr>
        <w:t xml:space="preserve"> potential response options for minimizing trade-offs and maximizing </w:t>
      </w:r>
      <w:r w:rsidR="00824B52" w:rsidRPr="00165AAD">
        <w:rPr>
          <w:rFonts w:eastAsia="Calibri"/>
        </w:rPr>
        <w:t>a</w:t>
      </w:r>
      <w:r w:rsidRPr="00165AAD">
        <w:rPr>
          <w:rFonts w:eastAsia="Calibri"/>
        </w:rPr>
        <w:t xml:space="preserve"> synergistic implementation across the different nexus elements. Th</w:t>
      </w:r>
      <w:r w:rsidR="00824B52" w:rsidRPr="00165AAD">
        <w:rPr>
          <w:rFonts w:eastAsia="Calibri"/>
        </w:rPr>
        <w:t>e</w:t>
      </w:r>
      <w:r w:rsidRPr="00165AAD">
        <w:rPr>
          <w:rFonts w:eastAsia="Calibri"/>
        </w:rPr>
        <w:t xml:space="preserve"> assessment is relevant to the achievement of the objectives of the Convention and the goals and targets of the Framework. The assessment </w:t>
      </w:r>
      <w:r w:rsidR="00824B52" w:rsidRPr="00165AAD">
        <w:rPr>
          <w:rFonts w:eastAsia="Calibri"/>
        </w:rPr>
        <w:t xml:space="preserve">also </w:t>
      </w:r>
      <w:r w:rsidRPr="00165AAD">
        <w:rPr>
          <w:rFonts w:eastAsia="Calibri"/>
        </w:rPr>
        <w:t>supports an integrated, sequential, locally and timely adapted use of response options to implement the Framework. It includes specific examples of how the implementation of Target</w:t>
      </w:r>
      <w:r w:rsidR="00647317" w:rsidRPr="00165AAD">
        <w:rPr>
          <w:rFonts w:eastAsia="Calibri"/>
        </w:rPr>
        <w:t>s</w:t>
      </w:r>
      <w:r w:rsidRPr="00165AAD">
        <w:rPr>
          <w:rFonts w:eastAsia="Calibri"/>
        </w:rPr>
        <w:t xml:space="preserve"> 1, 2, 10 and 16 will create opportunities for more system-wide changes </w:t>
      </w:r>
      <w:r w:rsidR="00DE1632" w:rsidRPr="00165AAD">
        <w:rPr>
          <w:rFonts w:eastAsia="Calibri"/>
        </w:rPr>
        <w:t>in</w:t>
      </w:r>
      <w:r w:rsidRPr="00165AAD">
        <w:rPr>
          <w:rFonts w:eastAsia="Calibri"/>
        </w:rPr>
        <w:t xml:space="preserve"> governance, values and behaviours</w:t>
      </w:r>
      <w:r w:rsidR="00DE1632" w:rsidRPr="00165AAD">
        <w:rPr>
          <w:rFonts w:eastAsia="Calibri"/>
        </w:rPr>
        <w:t>,</w:t>
      </w:r>
      <w:r w:rsidRPr="00165AAD">
        <w:rPr>
          <w:rFonts w:eastAsia="Calibri"/>
        </w:rPr>
        <w:t xml:space="preserve"> thus facilitating and </w:t>
      </w:r>
      <w:r w:rsidR="00451778" w:rsidRPr="00165AAD">
        <w:rPr>
          <w:rFonts w:eastAsia="Calibri"/>
        </w:rPr>
        <w:t xml:space="preserve">increasing the </w:t>
      </w:r>
      <w:r w:rsidRPr="00165AAD">
        <w:rPr>
          <w:rFonts w:eastAsia="Calibri"/>
        </w:rPr>
        <w:t>effective</w:t>
      </w:r>
      <w:r w:rsidR="00451778" w:rsidRPr="00165AAD">
        <w:rPr>
          <w:rFonts w:eastAsia="Calibri"/>
        </w:rPr>
        <w:t>ness of</w:t>
      </w:r>
      <w:r w:rsidRPr="00165AAD">
        <w:rPr>
          <w:rFonts w:eastAsia="Calibri"/>
        </w:rPr>
        <w:t xml:space="preserve"> some other response options.</w:t>
      </w:r>
    </w:p>
    <w:p w14:paraId="4A4F7D4F" w14:textId="681857D3" w:rsidR="003D6F02" w:rsidRPr="00165AAD" w:rsidRDefault="003D6F02" w:rsidP="003B172F">
      <w:pPr>
        <w:pStyle w:val="CBDNormalNumber"/>
        <w:rPr>
          <w:rFonts w:eastAsia="Calibri"/>
        </w:rPr>
      </w:pPr>
      <w:r w:rsidRPr="00165AAD">
        <w:rPr>
          <w:rFonts w:eastAsia="Calibri"/>
        </w:rPr>
        <w:t xml:space="preserve">Parties recognized in the </w:t>
      </w:r>
      <w:r w:rsidRPr="003B172F">
        <w:rPr>
          <w:rFonts w:eastAsia="Calibri"/>
        </w:rPr>
        <w:t>Framework</w:t>
      </w:r>
      <w:r w:rsidRPr="00165AAD">
        <w:rPr>
          <w:rFonts w:eastAsia="Calibri"/>
        </w:rPr>
        <w:t xml:space="preserve"> that </w:t>
      </w:r>
      <w:r w:rsidR="00451778" w:rsidRPr="00165AAD">
        <w:rPr>
          <w:rFonts w:eastAsia="Calibri"/>
        </w:rPr>
        <w:t xml:space="preserve">humanity </w:t>
      </w:r>
      <w:r w:rsidRPr="00165AAD">
        <w:rPr>
          <w:rFonts w:eastAsia="Calibri"/>
        </w:rPr>
        <w:t>depend</w:t>
      </w:r>
      <w:r w:rsidR="00451778" w:rsidRPr="00165AAD">
        <w:rPr>
          <w:rFonts w:eastAsia="Calibri"/>
        </w:rPr>
        <w:t>s</w:t>
      </w:r>
      <w:r w:rsidRPr="00165AAD">
        <w:rPr>
          <w:rFonts w:eastAsia="Calibri"/>
        </w:rPr>
        <w:t xml:space="preserve"> on biodiversity for food, medicine, energy, clean air and water. The Framework sets out </w:t>
      </w:r>
      <w:r w:rsidR="00451778" w:rsidRPr="00165AAD">
        <w:rPr>
          <w:rFonts w:eastAsia="Calibri"/>
        </w:rPr>
        <w:t xml:space="preserve">a </w:t>
      </w:r>
      <w:r w:rsidRPr="00165AAD">
        <w:rPr>
          <w:rFonts w:eastAsia="Calibri"/>
        </w:rPr>
        <w:t xml:space="preserve">plan for transforming </w:t>
      </w:r>
      <w:r w:rsidR="00F764C4" w:rsidRPr="00165AAD">
        <w:rPr>
          <w:rFonts w:eastAsia="Calibri"/>
        </w:rPr>
        <w:t xml:space="preserve">the </w:t>
      </w:r>
      <w:r w:rsidRPr="00165AAD">
        <w:rPr>
          <w:rFonts w:eastAsia="Calibri"/>
        </w:rPr>
        <w:t xml:space="preserve">relationship </w:t>
      </w:r>
      <w:r w:rsidR="00F764C4" w:rsidRPr="00165AAD">
        <w:rPr>
          <w:rFonts w:eastAsia="Calibri"/>
        </w:rPr>
        <w:t xml:space="preserve">that societies have </w:t>
      </w:r>
      <w:r w:rsidRPr="00165AAD">
        <w:rPr>
          <w:rFonts w:eastAsia="Calibri"/>
        </w:rPr>
        <w:t xml:space="preserve">with biodiversity by 2030, in line with the </w:t>
      </w:r>
      <w:r w:rsidRPr="003B172F">
        <w:rPr>
          <w:rFonts w:eastAsia="Calibri"/>
        </w:rPr>
        <w:t xml:space="preserve">2030 Agenda for Sustainable </w:t>
      </w:r>
      <w:r w:rsidRPr="003B172F">
        <w:t>Development</w:t>
      </w:r>
      <w:r w:rsidR="001C6490" w:rsidRPr="00165AAD">
        <w:t>.</w:t>
      </w:r>
      <w:r w:rsidRPr="00165AAD">
        <w:rPr>
          <w:rFonts w:eastAsia="Calibri"/>
        </w:rPr>
        <w:t xml:space="preserve"> </w:t>
      </w:r>
      <w:r w:rsidR="00BB500B" w:rsidRPr="00165AAD">
        <w:rPr>
          <w:rFonts w:eastAsia="Calibri"/>
        </w:rPr>
        <w:t>P</w:t>
      </w:r>
      <w:r w:rsidRPr="00165AAD">
        <w:rPr>
          <w:rFonts w:eastAsia="Calibri"/>
        </w:rPr>
        <w:t>ursu</w:t>
      </w:r>
      <w:r w:rsidR="00BB500B" w:rsidRPr="00165AAD">
        <w:rPr>
          <w:rFonts w:eastAsia="Calibri"/>
        </w:rPr>
        <w:t>ing</w:t>
      </w:r>
      <w:r w:rsidRPr="00165AAD">
        <w:rPr>
          <w:rFonts w:eastAsia="Calibri"/>
        </w:rPr>
        <w:t xml:space="preserve"> the goals and targets of the Framewor</w:t>
      </w:r>
      <w:r w:rsidRPr="003B172F">
        <w:rPr>
          <w:rFonts w:eastAsia="Calibri"/>
        </w:rPr>
        <w:t xml:space="preserve">k </w:t>
      </w:r>
      <w:r w:rsidR="00BB500B" w:rsidRPr="00165AAD">
        <w:rPr>
          <w:rFonts w:eastAsia="Calibri"/>
        </w:rPr>
        <w:t>and</w:t>
      </w:r>
      <w:r w:rsidRPr="00165AAD">
        <w:rPr>
          <w:rFonts w:eastAsia="Calibri"/>
        </w:rPr>
        <w:t xml:space="preserve"> the Sustainable Development Goals will require progress across all nexus elements. A nexus approach is directly linked with the vision </w:t>
      </w:r>
      <w:r w:rsidR="00F65740" w:rsidRPr="00165AAD">
        <w:rPr>
          <w:rFonts w:eastAsia="Calibri"/>
        </w:rPr>
        <w:t xml:space="preserve">of </w:t>
      </w:r>
      <w:r w:rsidRPr="00165AAD">
        <w:rPr>
          <w:rFonts w:eastAsia="Calibri"/>
        </w:rPr>
        <w:t xml:space="preserve">the </w:t>
      </w:r>
      <w:r w:rsidRPr="003B172F">
        <w:rPr>
          <w:rFonts w:eastAsia="Calibri"/>
        </w:rPr>
        <w:t>Framework</w:t>
      </w:r>
      <w:r w:rsidRPr="00165AAD">
        <w:rPr>
          <w:rFonts w:eastAsia="Calibri"/>
        </w:rPr>
        <w:t>.</w:t>
      </w:r>
    </w:p>
    <w:p w14:paraId="3377AA85" w14:textId="3D3E1291" w:rsidR="00E0744F" w:rsidRPr="00165AAD" w:rsidRDefault="003D6F02" w:rsidP="002D6317">
      <w:pPr>
        <w:pStyle w:val="CBDNormalNumber"/>
        <w:rPr>
          <w:rFonts w:eastAsia="Calibri"/>
        </w:rPr>
      </w:pPr>
      <w:r w:rsidRPr="00165AAD">
        <w:rPr>
          <w:rFonts w:eastAsia="Calibri"/>
        </w:rPr>
        <w:t xml:space="preserve">All </w:t>
      </w:r>
      <w:r w:rsidR="00666849" w:rsidRPr="00165AAD">
        <w:rPr>
          <w:rFonts w:eastAsia="Calibri"/>
        </w:rPr>
        <w:t xml:space="preserve">Framework </w:t>
      </w:r>
      <w:r w:rsidRPr="00165AAD">
        <w:rPr>
          <w:rFonts w:eastAsia="Calibri"/>
        </w:rPr>
        <w:t>targets relate to multiple nexus elements</w:t>
      </w:r>
      <w:r w:rsidR="00980219" w:rsidRPr="00165AAD">
        <w:rPr>
          <w:rFonts w:eastAsia="Calibri"/>
        </w:rPr>
        <w:t>,</w:t>
      </w:r>
      <w:r w:rsidRPr="00165AAD">
        <w:rPr>
          <w:rFonts w:eastAsia="Calibri"/>
        </w:rPr>
        <w:t xml:space="preserve"> </w:t>
      </w:r>
      <w:r w:rsidR="00980219" w:rsidRPr="00165AAD">
        <w:rPr>
          <w:rFonts w:eastAsia="Calibri"/>
        </w:rPr>
        <w:t xml:space="preserve">making </w:t>
      </w:r>
      <w:r w:rsidRPr="00165AAD">
        <w:rPr>
          <w:rFonts w:eastAsia="Calibri"/>
        </w:rPr>
        <w:t xml:space="preserve">it difficult to </w:t>
      </w:r>
      <w:r w:rsidR="00C139DB" w:rsidRPr="00165AAD">
        <w:rPr>
          <w:rFonts w:eastAsia="Calibri"/>
        </w:rPr>
        <w:t xml:space="preserve">draw </w:t>
      </w:r>
      <w:r w:rsidRPr="00165AAD">
        <w:rPr>
          <w:rFonts w:eastAsia="Calibri"/>
        </w:rPr>
        <w:t xml:space="preserve">a complete list of linkages between the Framework and the </w:t>
      </w:r>
      <w:r w:rsidR="00980219" w:rsidRPr="00165AAD">
        <w:rPr>
          <w:rFonts w:eastAsia="Calibri"/>
        </w:rPr>
        <w:t xml:space="preserve">various </w:t>
      </w:r>
      <w:r w:rsidRPr="00165AAD">
        <w:rPr>
          <w:rFonts w:eastAsia="Calibri"/>
        </w:rPr>
        <w:t xml:space="preserve">nexus elements. A few </w:t>
      </w:r>
      <w:r w:rsidR="002D6317" w:rsidRPr="00165AAD">
        <w:rPr>
          <w:rFonts w:eastAsia="Calibri"/>
        </w:rPr>
        <w:t xml:space="preserve">non-exhaustive </w:t>
      </w:r>
      <w:r w:rsidRPr="00165AAD">
        <w:rPr>
          <w:rFonts w:eastAsia="Calibri"/>
        </w:rPr>
        <w:t xml:space="preserve">examples </w:t>
      </w:r>
      <w:r w:rsidRPr="003B172F">
        <w:t>are</w:t>
      </w:r>
      <w:r w:rsidRPr="00165AAD">
        <w:rPr>
          <w:rFonts w:eastAsia="Calibri"/>
        </w:rPr>
        <w:t xml:space="preserve"> </w:t>
      </w:r>
      <w:r w:rsidR="00E0744F" w:rsidRPr="00165AAD">
        <w:rPr>
          <w:rFonts w:eastAsia="Calibri"/>
        </w:rPr>
        <w:t>listed below</w:t>
      </w:r>
      <w:r w:rsidR="002D6317" w:rsidRPr="00165AAD">
        <w:rPr>
          <w:rFonts w:eastAsia="Calibri"/>
        </w:rPr>
        <w:t>:</w:t>
      </w:r>
    </w:p>
    <w:p w14:paraId="18EC3AA3" w14:textId="319C0B69" w:rsidR="00857A2E" w:rsidRPr="00165AAD" w:rsidRDefault="003D6F02" w:rsidP="00E0744F">
      <w:pPr>
        <w:pStyle w:val="CBDNormalNumber"/>
        <w:numPr>
          <w:ilvl w:val="1"/>
          <w:numId w:val="9"/>
        </w:numPr>
        <w:rPr>
          <w:rFonts w:eastAsia="Calibri"/>
        </w:rPr>
      </w:pPr>
      <w:r w:rsidRPr="00165AAD">
        <w:rPr>
          <w:rFonts w:eastAsia="Calibri"/>
        </w:rPr>
        <w:t>Target</w:t>
      </w:r>
      <w:r w:rsidR="00E0744F" w:rsidRPr="00165AAD">
        <w:rPr>
          <w:rFonts w:eastAsia="Calibri"/>
        </w:rPr>
        <w:t>s</w:t>
      </w:r>
      <w:r w:rsidRPr="00165AAD">
        <w:rPr>
          <w:rFonts w:eastAsia="Calibri"/>
        </w:rPr>
        <w:t xml:space="preserve"> 1,</w:t>
      </w:r>
      <w:r w:rsidRPr="003B172F">
        <w:rPr>
          <w:rFonts w:eastAsia="Calibri"/>
        </w:rPr>
        <w:t xml:space="preserve"> 2</w:t>
      </w:r>
      <w:r w:rsidR="00170A01" w:rsidRPr="00165AAD">
        <w:rPr>
          <w:rFonts w:eastAsia="Calibri"/>
        </w:rPr>
        <w:t>,</w:t>
      </w:r>
      <w:r w:rsidRPr="003B172F">
        <w:rPr>
          <w:rFonts w:eastAsia="Calibri"/>
        </w:rPr>
        <w:t xml:space="preserve"> </w:t>
      </w:r>
      <w:r w:rsidRPr="00165AAD">
        <w:rPr>
          <w:rFonts w:eastAsia="Calibri"/>
        </w:rPr>
        <w:t>3 a</w:t>
      </w:r>
      <w:r w:rsidR="00170A01" w:rsidRPr="00165AAD">
        <w:rPr>
          <w:rFonts w:eastAsia="Calibri"/>
        </w:rPr>
        <w:t>nd</w:t>
      </w:r>
      <w:r w:rsidRPr="00165AAD">
        <w:rPr>
          <w:rFonts w:eastAsia="Calibri"/>
        </w:rPr>
        <w:t xml:space="preserve"> 11 include elements related to </w:t>
      </w:r>
      <w:r w:rsidR="003F7AE3" w:rsidRPr="00165AAD">
        <w:rPr>
          <w:rFonts w:eastAsia="Calibri"/>
        </w:rPr>
        <w:t xml:space="preserve">the </w:t>
      </w:r>
      <w:r w:rsidR="00E85CC2" w:rsidRPr="00165AAD">
        <w:rPr>
          <w:rFonts w:eastAsia="Calibri"/>
        </w:rPr>
        <w:t xml:space="preserve">preservation </w:t>
      </w:r>
      <w:r w:rsidR="003F7AE3" w:rsidRPr="00165AAD">
        <w:rPr>
          <w:rFonts w:eastAsia="Calibri"/>
        </w:rPr>
        <w:t xml:space="preserve">of </w:t>
      </w:r>
      <w:r w:rsidRPr="00165AAD">
        <w:rPr>
          <w:rFonts w:eastAsia="Calibri"/>
        </w:rPr>
        <w:t xml:space="preserve">ecosystem functions, such as carbon sequestration, water purification, pollination </w:t>
      </w:r>
      <w:r w:rsidR="00FF3087" w:rsidRPr="00165AAD">
        <w:rPr>
          <w:rFonts w:eastAsia="Calibri"/>
        </w:rPr>
        <w:t xml:space="preserve">and </w:t>
      </w:r>
      <w:r w:rsidRPr="00165AAD">
        <w:rPr>
          <w:rFonts w:eastAsia="Calibri"/>
        </w:rPr>
        <w:t>soil retention</w:t>
      </w:r>
      <w:r w:rsidR="00170A01" w:rsidRPr="00165AAD">
        <w:rPr>
          <w:rFonts w:eastAsia="Calibri"/>
        </w:rPr>
        <w:t>;</w:t>
      </w:r>
      <w:r w:rsidRPr="00165AAD">
        <w:rPr>
          <w:rFonts w:eastAsia="Calibri"/>
        </w:rPr>
        <w:t xml:space="preserve"> </w:t>
      </w:r>
    </w:p>
    <w:p w14:paraId="75C35606" w14:textId="335B1A1E" w:rsidR="00170A01" w:rsidRPr="00165AAD" w:rsidRDefault="003D6F02" w:rsidP="00E0744F">
      <w:pPr>
        <w:pStyle w:val="CBDNormalNumber"/>
        <w:numPr>
          <w:ilvl w:val="1"/>
          <w:numId w:val="9"/>
        </w:numPr>
        <w:rPr>
          <w:rFonts w:eastAsia="Calibri"/>
        </w:rPr>
      </w:pPr>
      <w:r w:rsidRPr="00165AAD">
        <w:rPr>
          <w:rFonts w:eastAsia="Calibri"/>
        </w:rPr>
        <w:t>Target</w:t>
      </w:r>
      <w:r w:rsidR="00170A01" w:rsidRPr="00165AAD">
        <w:rPr>
          <w:rFonts w:eastAsia="Calibri"/>
        </w:rPr>
        <w:t>s</w:t>
      </w:r>
      <w:r w:rsidRPr="003B172F">
        <w:rPr>
          <w:rFonts w:eastAsia="Calibri"/>
        </w:rPr>
        <w:t xml:space="preserve"> 5 a</w:t>
      </w:r>
      <w:r w:rsidRPr="00165AAD">
        <w:rPr>
          <w:rFonts w:eastAsia="Calibri"/>
        </w:rPr>
        <w:t>nd</w:t>
      </w:r>
      <w:r w:rsidRPr="003B172F">
        <w:rPr>
          <w:rFonts w:eastAsia="Calibri"/>
        </w:rPr>
        <w:t xml:space="preserve"> 9</w:t>
      </w:r>
      <w:r w:rsidR="00FF3087" w:rsidRPr="00165AAD">
        <w:rPr>
          <w:rFonts w:eastAsia="Calibri"/>
        </w:rPr>
        <w:t>,</w:t>
      </w:r>
      <w:r w:rsidRPr="00165AAD">
        <w:rPr>
          <w:rFonts w:eastAsia="Calibri"/>
        </w:rPr>
        <w:t xml:space="preserve"> on the use and benefits </w:t>
      </w:r>
      <w:r w:rsidR="00FF3087" w:rsidRPr="00165AAD">
        <w:rPr>
          <w:rFonts w:eastAsia="Calibri"/>
        </w:rPr>
        <w:t xml:space="preserve">of </w:t>
      </w:r>
      <w:r w:rsidRPr="00165AAD">
        <w:rPr>
          <w:rFonts w:eastAsia="Calibri"/>
        </w:rPr>
        <w:t>wild species</w:t>
      </w:r>
      <w:r w:rsidR="00FF3087" w:rsidRPr="00165AAD">
        <w:rPr>
          <w:rFonts w:eastAsia="Calibri"/>
        </w:rPr>
        <w:t>,</w:t>
      </w:r>
      <w:r w:rsidRPr="00165AAD">
        <w:rPr>
          <w:rFonts w:eastAsia="Calibri"/>
        </w:rPr>
        <w:t xml:space="preserve"> </w:t>
      </w:r>
      <w:r w:rsidR="00FF3087" w:rsidRPr="00165AAD">
        <w:rPr>
          <w:rFonts w:eastAsia="Calibri"/>
        </w:rPr>
        <w:t xml:space="preserve">contain </w:t>
      </w:r>
      <w:r w:rsidRPr="00165AAD">
        <w:rPr>
          <w:rFonts w:eastAsia="Calibri"/>
        </w:rPr>
        <w:t>elements related to food security and human health</w:t>
      </w:r>
      <w:r w:rsidR="00170A01" w:rsidRPr="00165AAD">
        <w:rPr>
          <w:rFonts w:eastAsia="Calibri"/>
        </w:rPr>
        <w:t>;</w:t>
      </w:r>
    </w:p>
    <w:p w14:paraId="25EDED59" w14:textId="38070BF6" w:rsidR="00C72754" w:rsidRPr="00165AAD" w:rsidRDefault="003D6F02" w:rsidP="00E0744F">
      <w:pPr>
        <w:pStyle w:val="CBDNormalNumber"/>
        <w:numPr>
          <w:ilvl w:val="1"/>
          <w:numId w:val="9"/>
        </w:numPr>
        <w:rPr>
          <w:rFonts w:eastAsia="Calibri"/>
        </w:rPr>
      </w:pPr>
      <w:r w:rsidRPr="00165AAD">
        <w:rPr>
          <w:rFonts w:eastAsia="Calibri"/>
        </w:rPr>
        <w:t>Target</w:t>
      </w:r>
      <w:r w:rsidRPr="003B172F">
        <w:rPr>
          <w:rFonts w:eastAsia="Calibri"/>
        </w:rPr>
        <w:t xml:space="preserve"> 8</w:t>
      </w:r>
      <w:r w:rsidRPr="00165AAD">
        <w:rPr>
          <w:rFonts w:eastAsia="Calibri"/>
        </w:rPr>
        <w:t xml:space="preserve"> </w:t>
      </w:r>
      <w:r w:rsidR="00FF3087" w:rsidRPr="00165AAD">
        <w:rPr>
          <w:rFonts w:eastAsia="Calibri"/>
        </w:rPr>
        <w:t xml:space="preserve">is </w:t>
      </w:r>
      <w:r w:rsidRPr="00165AAD">
        <w:rPr>
          <w:rFonts w:eastAsia="Calibri"/>
        </w:rPr>
        <w:t>aim</w:t>
      </w:r>
      <w:r w:rsidR="00FF3087" w:rsidRPr="00165AAD">
        <w:rPr>
          <w:rFonts w:eastAsia="Calibri"/>
        </w:rPr>
        <w:t>ed</w:t>
      </w:r>
      <w:r w:rsidRPr="00165AAD">
        <w:rPr>
          <w:rFonts w:eastAsia="Calibri"/>
        </w:rPr>
        <w:t xml:space="preserve"> </w:t>
      </w:r>
      <w:r w:rsidR="00FF3087" w:rsidRPr="00165AAD">
        <w:rPr>
          <w:rFonts w:eastAsia="Calibri"/>
        </w:rPr>
        <w:t>a</w:t>
      </w:r>
      <w:r w:rsidRPr="00165AAD">
        <w:rPr>
          <w:rFonts w:eastAsia="Calibri"/>
        </w:rPr>
        <w:t>t reduc</w:t>
      </w:r>
      <w:r w:rsidR="00FF3087" w:rsidRPr="00165AAD">
        <w:rPr>
          <w:rFonts w:eastAsia="Calibri"/>
        </w:rPr>
        <w:t>ing</w:t>
      </w:r>
      <w:r w:rsidRPr="00165AAD">
        <w:rPr>
          <w:rFonts w:eastAsia="Calibri"/>
        </w:rPr>
        <w:t xml:space="preserve"> the negative impacts of climate change and ocean acidification and increasing resilience</w:t>
      </w:r>
      <w:r w:rsidR="00C72754" w:rsidRPr="00165AAD">
        <w:rPr>
          <w:rFonts w:eastAsia="Calibri"/>
        </w:rPr>
        <w:t>;</w:t>
      </w:r>
    </w:p>
    <w:p w14:paraId="66870DEC" w14:textId="4F109066" w:rsidR="003D6F02" w:rsidRPr="00165AAD" w:rsidRDefault="003D6F02" w:rsidP="003B172F">
      <w:pPr>
        <w:pStyle w:val="CBDNormalNumber"/>
        <w:numPr>
          <w:ilvl w:val="1"/>
          <w:numId w:val="9"/>
        </w:numPr>
        <w:rPr>
          <w:rFonts w:eastAsia="Calibri"/>
        </w:rPr>
      </w:pPr>
      <w:r w:rsidRPr="00165AAD">
        <w:rPr>
          <w:rFonts w:eastAsia="Calibri"/>
        </w:rPr>
        <w:t xml:space="preserve">Target 10 </w:t>
      </w:r>
      <w:r w:rsidR="0045071B" w:rsidRPr="00165AAD">
        <w:rPr>
          <w:rFonts w:eastAsia="Calibri"/>
        </w:rPr>
        <w:t xml:space="preserve">is </w:t>
      </w:r>
      <w:r w:rsidRPr="00165AAD">
        <w:rPr>
          <w:rFonts w:eastAsia="Calibri"/>
        </w:rPr>
        <w:t>aim</w:t>
      </w:r>
      <w:r w:rsidR="0045071B" w:rsidRPr="00165AAD">
        <w:rPr>
          <w:rFonts w:eastAsia="Calibri"/>
        </w:rPr>
        <w:t>ed</w:t>
      </w:r>
      <w:r w:rsidRPr="00165AAD">
        <w:rPr>
          <w:rFonts w:eastAsia="Calibri"/>
        </w:rPr>
        <w:t xml:space="preserve"> </w:t>
      </w:r>
      <w:r w:rsidR="0045071B" w:rsidRPr="00165AAD">
        <w:rPr>
          <w:rFonts w:eastAsia="Calibri"/>
        </w:rPr>
        <w:t>a</w:t>
      </w:r>
      <w:r w:rsidRPr="00165AAD">
        <w:rPr>
          <w:rFonts w:eastAsia="Calibri"/>
        </w:rPr>
        <w:t>t enhanc</w:t>
      </w:r>
      <w:r w:rsidR="0045071B" w:rsidRPr="00165AAD">
        <w:rPr>
          <w:rFonts w:eastAsia="Calibri"/>
        </w:rPr>
        <w:t>ing</w:t>
      </w:r>
      <w:r w:rsidRPr="00165AAD">
        <w:rPr>
          <w:rFonts w:eastAsia="Calibri"/>
        </w:rPr>
        <w:t xml:space="preserve"> biodiversity and sustainable agriculture, aquaculture, fisheries and forestry.</w:t>
      </w:r>
    </w:p>
    <w:p w14:paraId="662E08D9" w14:textId="06B5F116" w:rsidR="003D6F02" w:rsidRPr="00165AAD" w:rsidRDefault="00B656A0" w:rsidP="003B172F">
      <w:pPr>
        <w:pStyle w:val="CBDNormalNumber"/>
      </w:pPr>
      <w:r w:rsidRPr="00165AAD">
        <w:t>While m</w:t>
      </w:r>
      <w:r w:rsidR="003D6F02" w:rsidRPr="00165AAD">
        <w:t xml:space="preserve">any </w:t>
      </w:r>
      <w:r w:rsidRPr="00165AAD">
        <w:t xml:space="preserve">Framework </w:t>
      </w:r>
      <w:r w:rsidR="003D6F02" w:rsidRPr="00165AAD">
        <w:t xml:space="preserve">targets are not directly related to biodiversity conservation, sustainable use or restoration, several </w:t>
      </w:r>
      <w:r w:rsidRPr="00165AAD">
        <w:t xml:space="preserve">are </w:t>
      </w:r>
      <w:r w:rsidR="003D6F02" w:rsidRPr="00165AAD">
        <w:t xml:space="preserve">directly linked </w:t>
      </w:r>
      <w:r w:rsidR="00B57BAE" w:rsidRPr="00165AAD">
        <w:t xml:space="preserve">with </w:t>
      </w:r>
      <w:r w:rsidR="003D6F02" w:rsidRPr="00165AAD">
        <w:t xml:space="preserve">other nexus elements. </w:t>
      </w:r>
      <w:r w:rsidR="00CA2772" w:rsidRPr="00165AAD">
        <w:t xml:space="preserve">In </w:t>
      </w:r>
      <w:r w:rsidR="00CA2772" w:rsidRPr="003B172F">
        <w:t>a</w:t>
      </w:r>
      <w:r w:rsidR="003D6F02" w:rsidRPr="003B172F">
        <w:t>ddition</w:t>
      </w:r>
      <w:r w:rsidR="003D6F02" w:rsidRPr="00165AAD">
        <w:t xml:space="preserve">, </w:t>
      </w:r>
      <w:r w:rsidR="00AD16C5" w:rsidRPr="00165AAD">
        <w:t xml:space="preserve">in </w:t>
      </w:r>
      <w:r w:rsidR="00DC2017" w:rsidRPr="00165AAD">
        <w:t>s</w:t>
      </w:r>
      <w:r w:rsidR="003D6F02" w:rsidRPr="00165AAD">
        <w:t>ection C of the Framework</w:t>
      </w:r>
      <w:r w:rsidR="00AD16C5" w:rsidRPr="00165AAD">
        <w:t>,</w:t>
      </w:r>
      <w:r w:rsidR="003D6F02" w:rsidRPr="00165AAD">
        <w:t xml:space="preserve"> </w:t>
      </w:r>
      <w:r w:rsidR="004F4011" w:rsidRPr="00165AAD">
        <w:t xml:space="preserve">on </w:t>
      </w:r>
      <w:r w:rsidR="003D6F02" w:rsidRPr="00165AAD">
        <w:t xml:space="preserve">considerations for </w:t>
      </w:r>
      <w:r w:rsidR="00AD16C5" w:rsidRPr="00165AAD">
        <w:t xml:space="preserve">its </w:t>
      </w:r>
      <w:r w:rsidR="003D6F02" w:rsidRPr="00165AAD">
        <w:t>implementation</w:t>
      </w:r>
      <w:r w:rsidR="00AD16C5" w:rsidRPr="00165AAD">
        <w:t>,</w:t>
      </w:r>
      <w:r w:rsidR="003D6F02" w:rsidRPr="00165AAD">
        <w:t xml:space="preserve"> </w:t>
      </w:r>
      <w:r w:rsidR="00677340" w:rsidRPr="00165AAD">
        <w:t xml:space="preserve">it is stated that </w:t>
      </w:r>
      <w:r w:rsidR="003D6F02" w:rsidRPr="003B172F">
        <w:t>the</w:t>
      </w:r>
      <w:r w:rsidR="003D6F02" w:rsidRPr="00165AAD">
        <w:t xml:space="preserve"> Framework </w:t>
      </w:r>
      <w:r w:rsidR="00677340" w:rsidRPr="00165AAD">
        <w:t>is based</w:t>
      </w:r>
      <w:r w:rsidR="006F0123" w:rsidRPr="00165AAD">
        <w:t xml:space="preserve"> </w:t>
      </w:r>
      <w:r w:rsidR="00677340" w:rsidRPr="00165AAD">
        <w:t xml:space="preserve">on </w:t>
      </w:r>
      <w:r w:rsidR="003D6F02" w:rsidRPr="00165AAD">
        <w:t xml:space="preserve">a whole-of-government and a whole-of-society approach. Developing national biodiversity strategies and actions plans through </w:t>
      </w:r>
      <w:r w:rsidR="006F0123" w:rsidRPr="00165AAD">
        <w:t xml:space="preserve">such an </w:t>
      </w:r>
      <w:r w:rsidR="003D6F02" w:rsidRPr="00165AAD">
        <w:t>approach rel</w:t>
      </w:r>
      <w:r w:rsidR="00AE2A18" w:rsidRPr="00165AAD">
        <w:t>ies</w:t>
      </w:r>
      <w:r w:rsidR="003D6F02" w:rsidRPr="00165AAD">
        <w:t xml:space="preserve"> on </w:t>
      </w:r>
      <w:r w:rsidR="0022029D" w:rsidRPr="00165AAD">
        <w:t xml:space="preserve">a </w:t>
      </w:r>
      <w:r w:rsidR="003D6F02" w:rsidRPr="00165AAD">
        <w:t xml:space="preserve">coordinated implementation of the Framework within the national policy landscape. The </w:t>
      </w:r>
      <w:r w:rsidR="0022029D" w:rsidRPr="00165AAD">
        <w:t xml:space="preserve">authors of the summary for policy makers </w:t>
      </w:r>
      <w:r w:rsidR="003D6F02" w:rsidRPr="00165AAD">
        <w:t xml:space="preserve">provide an analysis of </w:t>
      </w:r>
      <w:r w:rsidR="008C75A3" w:rsidRPr="00165AAD">
        <w:t xml:space="preserve">various </w:t>
      </w:r>
      <w:r w:rsidR="003D6F02" w:rsidRPr="00165AAD">
        <w:t xml:space="preserve">response options for addressing different nexus elements, including options </w:t>
      </w:r>
      <w:r w:rsidR="007D663E" w:rsidRPr="00165AAD">
        <w:t xml:space="preserve">that </w:t>
      </w:r>
      <w:r w:rsidR="003D6F02" w:rsidRPr="00165AAD">
        <w:t xml:space="preserve">address the </w:t>
      </w:r>
      <w:r w:rsidR="007D663E" w:rsidRPr="00165AAD">
        <w:t xml:space="preserve">Framework </w:t>
      </w:r>
      <w:r w:rsidR="003D6F02" w:rsidRPr="00165AAD">
        <w:t>targets</w:t>
      </w:r>
      <w:r w:rsidR="007D663E" w:rsidRPr="00165AAD">
        <w:t>.</w:t>
      </w:r>
    </w:p>
    <w:p w14:paraId="07376438" w14:textId="32FADBD7" w:rsidR="00D14E02" w:rsidRPr="00165AAD" w:rsidRDefault="00F372BB" w:rsidP="003B172F">
      <w:pPr>
        <w:pStyle w:val="CBDNormalNumber"/>
      </w:pPr>
      <w:r w:rsidRPr="003B172F">
        <w:t>O</w:t>
      </w:r>
      <w:r w:rsidR="003D6F02" w:rsidRPr="003B172F">
        <w:t xml:space="preserve">ther than decision </w:t>
      </w:r>
      <w:hyperlink r:id="rId17" w:history="1">
        <w:r w:rsidR="003D6F02" w:rsidRPr="003B172F">
          <w:rPr>
            <w:rStyle w:val="Hyperlink"/>
            <w:color w:val="auto"/>
            <w:u w:val="none"/>
          </w:rPr>
          <w:t>15/4</w:t>
        </w:r>
      </w:hyperlink>
      <w:r w:rsidRPr="003B172F">
        <w:t>,</w:t>
      </w:r>
      <w:r w:rsidR="003D6F02" w:rsidRPr="003B172F">
        <w:t xml:space="preserve"> </w:t>
      </w:r>
      <w:r w:rsidRPr="003B172F">
        <w:t xml:space="preserve">a number of recent decisions of the Conference of the Parties </w:t>
      </w:r>
      <w:r w:rsidR="003D6F02" w:rsidRPr="003B172F">
        <w:t>are related to biodiversity and specific nexus elements</w:t>
      </w:r>
      <w:r w:rsidRPr="003B172F">
        <w:t>,</w:t>
      </w:r>
      <w:r w:rsidR="003D6F02" w:rsidRPr="003B172F">
        <w:t xml:space="preserve"> includ</w:t>
      </w:r>
      <w:r w:rsidRPr="003B172F">
        <w:t>ing</w:t>
      </w:r>
      <w:r w:rsidR="003D6F02" w:rsidRPr="003B172F">
        <w:t xml:space="preserve"> decision </w:t>
      </w:r>
      <w:hyperlink r:id="rId18" w:history="1">
        <w:r w:rsidR="003D6F02" w:rsidRPr="003B172F">
          <w:rPr>
            <w:rStyle w:val="Hyperlink"/>
            <w:color w:val="auto"/>
            <w:u w:val="none"/>
          </w:rPr>
          <w:t>16/13</w:t>
        </w:r>
      </w:hyperlink>
      <w:r w:rsidR="003D6F02" w:rsidRPr="003B172F">
        <w:t xml:space="preserve"> on the mainstreaming of biodiversity within and across sectors, decision </w:t>
      </w:r>
      <w:hyperlink r:id="rId19" w:history="1">
        <w:r w:rsidR="003D6F02" w:rsidRPr="003B172F">
          <w:rPr>
            <w:rStyle w:val="Hyperlink"/>
            <w:color w:val="auto"/>
            <w:u w:val="none"/>
          </w:rPr>
          <w:t>16/19</w:t>
        </w:r>
      </w:hyperlink>
      <w:r w:rsidR="003D6F02" w:rsidRPr="003B172F">
        <w:t xml:space="preserve"> on biodiversity and health and decision</w:t>
      </w:r>
      <w:r w:rsidR="00B660AD" w:rsidRPr="00165AAD">
        <w:t> </w:t>
      </w:r>
      <w:hyperlink r:id="rId20" w:history="1">
        <w:r w:rsidR="003D6F02" w:rsidRPr="003B172F">
          <w:rPr>
            <w:rStyle w:val="Hyperlink"/>
            <w:color w:val="auto"/>
            <w:u w:val="none"/>
          </w:rPr>
          <w:t>16/22</w:t>
        </w:r>
      </w:hyperlink>
      <w:r w:rsidR="003D6F02" w:rsidRPr="003B172F">
        <w:t xml:space="preserve"> on biodiversity and climate change. </w:t>
      </w:r>
      <w:r w:rsidR="00C2201C" w:rsidRPr="003B172F">
        <w:t>In a</w:t>
      </w:r>
      <w:r w:rsidR="003D6F02" w:rsidRPr="003B172F">
        <w:t xml:space="preserve">ddition, the interactions </w:t>
      </w:r>
      <w:r w:rsidR="00CF08E3" w:rsidRPr="003B172F">
        <w:t xml:space="preserve">among </w:t>
      </w:r>
      <w:r w:rsidR="003D6F02" w:rsidRPr="003B172F">
        <w:t xml:space="preserve">biodiversity, food, water, health and climate change are referred to in a number of other decisions. For example, in decision </w:t>
      </w:r>
      <w:hyperlink r:id="rId21" w:history="1">
        <w:r w:rsidR="003D6F02" w:rsidRPr="003B172F">
          <w:rPr>
            <w:rStyle w:val="Hyperlink"/>
            <w:color w:val="auto"/>
            <w:u w:val="none"/>
          </w:rPr>
          <w:t>16/15</w:t>
        </w:r>
      </w:hyperlink>
      <w:r w:rsidR="003D6F02" w:rsidRPr="003B172F">
        <w:t xml:space="preserve"> on sustainable wildlife management, the Conference of the Parties encourage</w:t>
      </w:r>
      <w:r w:rsidR="004314E3" w:rsidRPr="003B172F">
        <w:t>d</w:t>
      </w:r>
      <w:r w:rsidR="003D6F02" w:rsidRPr="003B172F">
        <w:t xml:space="preserve"> Parties to promote further research to better understand the links between the use of wild species and zoonotic diseases. </w:t>
      </w:r>
    </w:p>
    <w:p w14:paraId="5021C8E7" w14:textId="700E5BE5" w:rsidR="00CC23B0" w:rsidRPr="00165AAD" w:rsidRDefault="00CC23B0" w:rsidP="00CC23B0">
      <w:pPr>
        <w:pStyle w:val="CBDNormalNumber"/>
      </w:pPr>
      <w:r w:rsidRPr="00165AAD">
        <w:lastRenderedPageBreak/>
        <w:t xml:space="preserve">The nexus assessment can be used to: </w:t>
      </w:r>
    </w:p>
    <w:p w14:paraId="3B253437" w14:textId="77777777" w:rsidR="00CC23B0" w:rsidRPr="00165AAD" w:rsidRDefault="00CC23B0" w:rsidP="00CC23B0">
      <w:pPr>
        <w:pStyle w:val="CBDNormalNumber"/>
        <w:numPr>
          <w:ilvl w:val="1"/>
          <w:numId w:val="55"/>
        </w:numPr>
      </w:pPr>
      <w:r w:rsidRPr="00165AAD">
        <w:t xml:space="preserve">Build awareness of the interlinkages between the various nexus elements; </w:t>
      </w:r>
    </w:p>
    <w:p w14:paraId="1D50E3D8" w14:textId="77777777" w:rsidR="00CC23B0" w:rsidRPr="00165AAD" w:rsidRDefault="00CC23B0" w:rsidP="00CC23B0">
      <w:pPr>
        <w:pStyle w:val="CBDNormalNumber"/>
        <w:numPr>
          <w:ilvl w:val="1"/>
          <w:numId w:val="55"/>
        </w:numPr>
      </w:pPr>
      <w:r w:rsidRPr="00165AAD">
        <w:t xml:space="preserve">Understand research and data needs for analysing the nexus elements and identifying policy and financing options for promoting synergies across the elements; </w:t>
      </w:r>
    </w:p>
    <w:p w14:paraId="4341A258" w14:textId="77777777" w:rsidR="00CC23B0" w:rsidRPr="00165AAD" w:rsidRDefault="00CC23B0" w:rsidP="00CC23B0">
      <w:pPr>
        <w:pStyle w:val="CBDNormalNumber"/>
        <w:numPr>
          <w:ilvl w:val="1"/>
          <w:numId w:val="55"/>
        </w:numPr>
      </w:pPr>
      <w:r w:rsidRPr="00165AAD">
        <w:t>Engage with a wide range of government ministries and other stakeholders, including subnational actors, indigenous peoples and local communities, women, youth and the private sector.</w:t>
      </w:r>
    </w:p>
    <w:p w14:paraId="6C5EF857" w14:textId="1E708E5B" w:rsidR="00540404" w:rsidRPr="00165AAD" w:rsidRDefault="00540404" w:rsidP="003B172F">
      <w:pPr>
        <w:pStyle w:val="CBDH1"/>
        <w:ind w:firstLine="0"/>
      </w:pPr>
      <w:r w:rsidRPr="00165AAD">
        <w:t>V.</w:t>
      </w:r>
      <w:r w:rsidRPr="00165AAD">
        <w:tab/>
        <w:t>Recommendations</w:t>
      </w:r>
    </w:p>
    <w:p w14:paraId="6A1B261E" w14:textId="69398E35" w:rsidR="003D6F02" w:rsidRPr="003B172F" w:rsidRDefault="00122D92" w:rsidP="003B172F">
      <w:pPr>
        <w:pStyle w:val="CBDNormalNumber"/>
      </w:pPr>
      <w:r w:rsidRPr="00165AAD">
        <w:t xml:space="preserve">Recommendations related to the nexus assessment are </w:t>
      </w:r>
      <w:r w:rsidR="00540404" w:rsidRPr="00165AAD">
        <w:t>contained</w:t>
      </w:r>
      <w:r w:rsidRPr="00165AAD">
        <w:t xml:space="preserve"> in document </w:t>
      </w:r>
      <w:r w:rsidR="00540404" w:rsidRPr="003B172F">
        <w:t>CBD/SBSTTA/27/3.</w:t>
      </w:r>
    </w:p>
    <w:p w14:paraId="3AB794D9" w14:textId="77777777" w:rsidR="001065E9" w:rsidRPr="00165AAD" w:rsidRDefault="00540343" w:rsidP="00540343">
      <w:pPr>
        <w:jc w:val="center"/>
      </w:pPr>
      <w:r w:rsidRPr="00165AAD">
        <w:t>__________</w:t>
      </w:r>
    </w:p>
    <w:sectPr w:rsidR="001065E9" w:rsidRPr="00165AAD" w:rsidSect="00DF78C4">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127C" w14:textId="77777777" w:rsidR="00090E80" w:rsidRDefault="00090E80" w:rsidP="001A7228">
      <w:r>
        <w:separator/>
      </w:r>
    </w:p>
  </w:endnote>
  <w:endnote w:type="continuationSeparator" w:id="0">
    <w:p w14:paraId="4DF82F5F" w14:textId="77777777" w:rsidR="00090E80" w:rsidRDefault="00090E80"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3D76" w14:textId="77777777" w:rsidR="00DF78C4" w:rsidRPr="00DF78C4" w:rsidRDefault="00DF78C4" w:rsidP="00DF78C4">
    <w:pPr>
      <w:pStyle w:val="Footer"/>
    </w:pPr>
    <w:r>
      <w:fldChar w:fldCharType="begin"/>
    </w:r>
    <w:r>
      <w:instrText xml:space="preserve"> PAGE </w:instrText>
    </w:r>
    <w:r>
      <w:fldChar w:fldCharType="separate"/>
    </w:r>
    <w:r>
      <w:rPr>
        <w:noProof/>
      </w:rP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12EA" w14:textId="77777777" w:rsidR="00DF78C4" w:rsidRPr="00DF78C4" w:rsidRDefault="00DF78C4" w:rsidP="00DF78C4">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10AD7" w14:textId="77777777" w:rsidR="00090E80" w:rsidRDefault="00090E80" w:rsidP="001A7228">
      <w:r>
        <w:separator/>
      </w:r>
    </w:p>
  </w:footnote>
  <w:footnote w:type="continuationSeparator" w:id="0">
    <w:p w14:paraId="6F46A8B0" w14:textId="77777777" w:rsidR="00090E80" w:rsidRDefault="00090E80" w:rsidP="001A7228">
      <w:r>
        <w:continuationSeparator/>
      </w:r>
    </w:p>
  </w:footnote>
  <w:footnote w:id="1">
    <w:p w14:paraId="17ACD60D" w14:textId="77777777" w:rsidR="001A7228" w:rsidRPr="001A7228" w:rsidRDefault="001A7228">
      <w:pPr>
        <w:pStyle w:val="FootnoteText"/>
        <w:rPr>
          <w:lang w:val="en-US"/>
        </w:rPr>
      </w:pPr>
      <w:r>
        <w:rPr>
          <w:rStyle w:val="FootnoteReference"/>
        </w:rPr>
        <w:t>*</w:t>
      </w:r>
      <w:r>
        <w:t xml:space="preserve"> </w:t>
      </w:r>
      <w:r w:rsidRPr="003B172F">
        <w:rPr>
          <w:lang w:val="en-US"/>
        </w:rPr>
        <w:t>CBD</w:t>
      </w:r>
      <w:r w:rsidRPr="00884961">
        <w:rPr>
          <w:lang w:val="en-US"/>
        </w:rPr>
        <w:t>/</w:t>
      </w:r>
      <w:r w:rsidRPr="003B172F">
        <w:rPr>
          <w:lang w:val="en-US"/>
        </w:rPr>
        <w:t>SBSTTA</w:t>
      </w:r>
      <w:r w:rsidRPr="00884961">
        <w:rPr>
          <w:lang w:val="en-US"/>
        </w:rPr>
        <w:t>/27/1.</w:t>
      </w:r>
    </w:p>
  </w:footnote>
  <w:footnote w:id="2">
    <w:p w14:paraId="6693218B" w14:textId="33896CBD" w:rsidR="00154D9C" w:rsidRPr="00154D9C" w:rsidRDefault="00154D9C">
      <w:pPr>
        <w:pStyle w:val="FootnoteText"/>
      </w:pPr>
      <w:r>
        <w:rPr>
          <w:rStyle w:val="FootnoteReference"/>
        </w:rPr>
        <w:footnoteRef/>
      </w:r>
      <w:r>
        <w:t xml:space="preserve"> See </w:t>
      </w:r>
      <w:hyperlink r:id="rId1" w:history="1">
        <w:r w:rsidR="00847D0B" w:rsidRPr="00847D0B">
          <w:rPr>
            <w:rStyle w:val="Hyperlink"/>
          </w:rPr>
          <w:t>www.ipbes.net/nexus-assessment</w:t>
        </w:r>
      </w:hyperlink>
      <w:r>
        <w:t>.</w:t>
      </w:r>
    </w:p>
  </w:footnote>
  <w:footnote w:id="3">
    <w:p w14:paraId="6C86D092" w14:textId="1C82FA79" w:rsidR="003D6F02" w:rsidRPr="00BA561A" w:rsidRDefault="003D6F02" w:rsidP="0072065B">
      <w:pPr>
        <w:pStyle w:val="FootnoteText"/>
        <w:rPr>
          <w:lang w:val="en-CA"/>
        </w:rPr>
      </w:pPr>
      <w:r>
        <w:rPr>
          <w:rStyle w:val="FootnoteReference"/>
        </w:rPr>
        <w:footnoteRef/>
      </w:r>
      <w:r>
        <w:t xml:space="preserve"> </w:t>
      </w:r>
      <w:r w:rsidR="00646BF6">
        <w:t xml:space="preserve">The authors of the summary for policymakers </w:t>
      </w:r>
      <w:r w:rsidR="00A525B0">
        <w:t>refer to</w:t>
      </w:r>
      <w:r w:rsidR="006C50B0">
        <w:t xml:space="preserve"> </w:t>
      </w:r>
      <w:r w:rsidR="0072065B">
        <w:t xml:space="preserve">the </w:t>
      </w:r>
      <w:r w:rsidR="0072065B" w:rsidRPr="003B172F">
        <w:rPr>
          <w:i/>
          <w:iCs/>
        </w:rPr>
        <w:t>Sustainable Healthy Diets Guiding Principles</w:t>
      </w:r>
      <w:r w:rsidR="0072065B">
        <w:t xml:space="preserve"> of the Food and Agriculture Organization of the United Nations and </w:t>
      </w:r>
      <w:r w:rsidR="007E6E7F">
        <w:t xml:space="preserve">the </w:t>
      </w:r>
      <w:r w:rsidR="0072065B">
        <w:t>World Health Organization</w:t>
      </w:r>
      <w:r>
        <w:t xml:space="preserve">, </w:t>
      </w:r>
      <w:r w:rsidR="0072065B">
        <w:t xml:space="preserve">in which it is stated that </w:t>
      </w:r>
      <w:r>
        <w:t>s</w:t>
      </w:r>
      <w:r w:rsidRPr="00054143">
        <w:t>ustainable healthy diets promote all dimensions of individuals’ health and well-being; have low environmental pressure and impact; are accessible, affordable, safe and equitable; and are culturally acceptable</w:t>
      </w:r>
      <w:r w:rsidR="0072065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2CC6" w14:textId="285BE64A" w:rsidR="00DF78C4" w:rsidRPr="00DF78C4" w:rsidRDefault="00DF78C4" w:rsidP="00DF78C4">
    <w:pPr>
      <w:pStyle w:val="CBDHeader"/>
      <w:rPr>
        <w:lang w:val="en-US"/>
      </w:rPr>
    </w:pPr>
    <w:r>
      <w:rPr>
        <w:lang w:val="en-US"/>
      </w:rPr>
      <w:t>CBD/SBSTTA/27/</w:t>
    </w:r>
    <w:r w:rsidR="007F6D5A">
      <w:rPr>
        <w:lang w:val="en-US"/>
      </w:rPr>
      <w:t>3/Add.1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9398" w14:textId="689E6C5D" w:rsidR="00DF78C4" w:rsidRPr="00DF78C4" w:rsidRDefault="00DF78C4" w:rsidP="00DF78C4">
    <w:pPr>
      <w:pStyle w:val="CBDHeader"/>
      <w:jc w:val="right"/>
      <w:rPr>
        <w:lang w:val="en-US"/>
      </w:rPr>
    </w:pPr>
    <w:r>
      <w:rPr>
        <w:lang w:val="en-US"/>
      </w:rPr>
      <w:t>CBD/SBSTTA/27/</w:t>
    </w:r>
    <w:r w:rsidR="007F6D5A">
      <w:rPr>
        <w:lang w:val="en-US"/>
      </w:rPr>
      <w:t>3/Add.1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F47FC0"/>
    <w:multiLevelType w:val="hybridMultilevel"/>
    <w:tmpl w:val="FE084110"/>
    <w:lvl w:ilvl="0" w:tplc="7C9AB6A2">
      <w:start w:val="4"/>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1" w15:restartNumberingAfterBreak="0">
    <w:nsid w:val="315B3CE8"/>
    <w:multiLevelType w:val="hybridMultilevel"/>
    <w:tmpl w:val="B688261E"/>
    <w:lvl w:ilvl="0" w:tplc="D0F25F64">
      <w:start w:val="1"/>
      <w:numFmt w:val="lowerLetter"/>
      <w:lvlText w:val="%1)"/>
      <w:lvlJc w:val="left"/>
      <w:pPr>
        <w:ind w:left="1020" w:hanging="360"/>
      </w:pPr>
    </w:lvl>
    <w:lvl w:ilvl="1" w:tplc="F3B85F54">
      <w:start w:val="1"/>
      <w:numFmt w:val="lowerLetter"/>
      <w:lvlText w:val="%2)"/>
      <w:lvlJc w:val="left"/>
      <w:pPr>
        <w:ind w:left="1020" w:hanging="360"/>
      </w:pPr>
    </w:lvl>
    <w:lvl w:ilvl="2" w:tplc="7CFC52AE">
      <w:start w:val="1"/>
      <w:numFmt w:val="lowerLetter"/>
      <w:lvlText w:val="%3)"/>
      <w:lvlJc w:val="left"/>
      <w:pPr>
        <w:ind w:left="1020" w:hanging="360"/>
      </w:pPr>
    </w:lvl>
    <w:lvl w:ilvl="3" w:tplc="4EC89E8C">
      <w:start w:val="1"/>
      <w:numFmt w:val="lowerLetter"/>
      <w:lvlText w:val="%4)"/>
      <w:lvlJc w:val="left"/>
      <w:pPr>
        <w:ind w:left="1020" w:hanging="360"/>
      </w:pPr>
    </w:lvl>
    <w:lvl w:ilvl="4" w:tplc="F756259C">
      <w:start w:val="1"/>
      <w:numFmt w:val="lowerLetter"/>
      <w:lvlText w:val="%5)"/>
      <w:lvlJc w:val="left"/>
      <w:pPr>
        <w:ind w:left="1020" w:hanging="360"/>
      </w:pPr>
    </w:lvl>
    <w:lvl w:ilvl="5" w:tplc="13C8358C">
      <w:start w:val="1"/>
      <w:numFmt w:val="lowerLetter"/>
      <w:lvlText w:val="%6)"/>
      <w:lvlJc w:val="left"/>
      <w:pPr>
        <w:ind w:left="1020" w:hanging="360"/>
      </w:pPr>
    </w:lvl>
    <w:lvl w:ilvl="6" w:tplc="C1F6990C">
      <w:start w:val="1"/>
      <w:numFmt w:val="lowerLetter"/>
      <w:lvlText w:val="%7)"/>
      <w:lvlJc w:val="left"/>
      <w:pPr>
        <w:ind w:left="1020" w:hanging="360"/>
      </w:pPr>
    </w:lvl>
    <w:lvl w:ilvl="7" w:tplc="D63A10C4">
      <w:start w:val="1"/>
      <w:numFmt w:val="lowerLetter"/>
      <w:lvlText w:val="%8)"/>
      <w:lvlJc w:val="left"/>
      <w:pPr>
        <w:ind w:left="1020" w:hanging="360"/>
      </w:pPr>
    </w:lvl>
    <w:lvl w:ilvl="8" w:tplc="B58C6702">
      <w:start w:val="1"/>
      <w:numFmt w:val="lowerLetter"/>
      <w:lvlText w:val="%9)"/>
      <w:lvlJc w:val="left"/>
      <w:pPr>
        <w:ind w:left="1020" w:hanging="360"/>
      </w:pPr>
    </w:lvl>
  </w:abstractNum>
  <w:abstractNum w:abstractNumId="12" w15:restartNumberingAfterBreak="0">
    <w:nsid w:val="3D744C24"/>
    <w:multiLevelType w:val="hybridMultilevel"/>
    <w:tmpl w:val="F294A110"/>
    <w:lvl w:ilvl="0" w:tplc="040C0017">
      <w:start w:val="1"/>
      <w:numFmt w:val="lowerLetter"/>
      <w:lvlText w:val="%1)"/>
      <w:lvlJc w:val="left"/>
      <w:pPr>
        <w:ind w:left="1080" w:hanging="360"/>
      </w:pPr>
      <w:rPr>
        <w:rFonts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2619" w:hanging="360"/>
      </w:pPr>
    </w:lvl>
    <w:lvl w:ilvl="2" w:tplc="1009001B" w:tentative="1">
      <w:start w:val="1"/>
      <w:numFmt w:val="lowerRoman"/>
      <w:lvlText w:val="%3."/>
      <w:lvlJc w:val="right"/>
      <w:pPr>
        <w:ind w:left="3339" w:hanging="180"/>
      </w:pPr>
    </w:lvl>
    <w:lvl w:ilvl="3" w:tplc="1009000F" w:tentative="1">
      <w:start w:val="1"/>
      <w:numFmt w:val="decimal"/>
      <w:lvlText w:val="%4."/>
      <w:lvlJc w:val="left"/>
      <w:pPr>
        <w:ind w:left="4059" w:hanging="360"/>
      </w:pPr>
    </w:lvl>
    <w:lvl w:ilvl="4" w:tplc="10090019" w:tentative="1">
      <w:start w:val="1"/>
      <w:numFmt w:val="lowerLetter"/>
      <w:lvlText w:val="%5."/>
      <w:lvlJc w:val="left"/>
      <w:pPr>
        <w:ind w:left="4779" w:hanging="360"/>
      </w:pPr>
    </w:lvl>
    <w:lvl w:ilvl="5" w:tplc="1009001B" w:tentative="1">
      <w:start w:val="1"/>
      <w:numFmt w:val="lowerRoman"/>
      <w:lvlText w:val="%6."/>
      <w:lvlJc w:val="right"/>
      <w:pPr>
        <w:ind w:left="5499" w:hanging="180"/>
      </w:pPr>
    </w:lvl>
    <w:lvl w:ilvl="6" w:tplc="1009000F" w:tentative="1">
      <w:start w:val="1"/>
      <w:numFmt w:val="decimal"/>
      <w:lvlText w:val="%7."/>
      <w:lvlJc w:val="left"/>
      <w:pPr>
        <w:ind w:left="6219" w:hanging="360"/>
      </w:pPr>
    </w:lvl>
    <w:lvl w:ilvl="7" w:tplc="10090019" w:tentative="1">
      <w:start w:val="1"/>
      <w:numFmt w:val="lowerLetter"/>
      <w:lvlText w:val="%8."/>
      <w:lvlJc w:val="left"/>
      <w:pPr>
        <w:ind w:left="6939" w:hanging="360"/>
      </w:pPr>
    </w:lvl>
    <w:lvl w:ilvl="8" w:tplc="1009001B" w:tentative="1">
      <w:start w:val="1"/>
      <w:numFmt w:val="lowerRoman"/>
      <w:lvlText w:val="%9."/>
      <w:lvlJc w:val="right"/>
      <w:pPr>
        <w:ind w:left="7659" w:hanging="180"/>
      </w:pPr>
    </w:lvl>
  </w:abstractNum>
  <w:abstractNum w:abstractNumId="13" w15:restartNumberingAfterBreak="0">
    <w:nsid w:val="3E2F5F6E"/>
    <w:multiLevelType w:val="hybridMultilevel"/>
    <w:tmpl w:val="AE20B5D0"/>
    <w:lvl w:ilvl="0" w:tplc="619E7584">
      <w:start w:val="1"/>
      <w:numFmt w:val="decimal"/>
      <w:lvlText w:val="%1."/>
      <w:lvlJc w:val="left"/>
      <w:pPr>
        <w:ind w:left="1020" w:hanging="360"/>
      </w:pPr>
    </w:lvl>
    <w:lvl w:ilvl="1" w:tplc="CC28A4D0">
      <w:start w:val="1"/>
      <w:numFmt w:val="decimal"/>
      <w:lvlText w:val="%2."/>
      <w:lvlJc w:val="left"/>
      <w:pPr>
        <w:ind w:left="1020" w:hanging="360"/>
      </w:pPr>
    </w:lvl>
    <w:lvl w:ilvl="2" w:tplc="421A3F44">
      <w:start w:val="1"/>
      <w:numFmt w:val="decimal"/>
      <w:lvlText w:val="%3."/>
      <w:lvlJc w:val="left"/>
      <w:pPr>
        <w:ind w:left="1020" w:hanging="360"/>
      </w:pPr>
    </w:lvl>
    <w:lvl w:ilvl="3" w:tplc="6958DE8E">
      <w:start w:val="1"/>
      <w:numFmt w:val="decimal"/>
      <w:lvlText w:val="%4."/>
      <w:lvlJc w:val="left"/>
      <w:pPr>
        <w:ind w:left="1020" w:hanging="360"/>
      </w:pPr>
    </w:lvl>
    <w:lvl w:ilvl="4" w:tplc="980A2800">
      <w:start w:val="1"/>
      <w:numFmt w:val="decimal"/>
      <w:lvlText w:val="%5."/>
      <w:lvlJc w:val="left"/>
      <w:pPr>
        <w:ind w:left="1020" w:hanging="360"/>
      </w:pPr>
    </w:lvl>
    <w:lvl w:ilvl="5" w:tplc="DF007E1E">
      <w:start w:val="1"/>
      <w:numFmt w:val="decimal"/>
      <w:lvlText w:val="%6."/>
      <w:lvlJc w:val="left"/>
      <w:pPr>
        <w:ind w:left="1020" w:hanging="360"/>
      </w:pPr>
    </w:lvl>
    <w:lvl w:ilvl="6" w:tplc="C92A05DE">
      <w:start w:val="1"/>
      <w:numFmt w:val="decimal"/>
      <w:lvlText w:val="%7."/>
      <w:lvlJc w:val="left"/>
      <w:pPr>
        <w:ind w:left="1020" w:hanging="360"/>
      </w:pPr>
    </w:lvl>
    <w:lvl w:ilvl="7" w:tplc="91A87F08">
      <w:start w:val="1"/>
      <w:numFmt w:val="decimal"/>
      <w:lvlText w:val="%8."/>
      <w:lvlJc w:val="left"/>
      <w:pPr>
        <w:ind w:left="1020" w:hanging="360"/>
      </w:pPr>
    </w:lvl>
    <w:lvl w:ilvl="8" w:tplc="F85228B2">
      <w:start w:val="1"/>
      <w:numFmt w:val="decimal"/>
      <w:lvlText w:val="%9."/>
      <w:lvlJc w:val="left"/>
      <w:pPr>
        <w:ind w:left="1020" w:hanging="360"/>
      </w:pPr>
    </w:lvl>
  </w:abstractNum>
  <w:abstractNum w:abstractNumId="14" w15:restartNumberingAfterBreak="0">
    <w:nsid w:val="414E0B3E"/>
    <w:multiLevelType w:val="multilevel"/>
    <w:tmpl w:val="01F45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53BA4883"/>
    <w:multiLevelType w:val="hybridMultilevel"/>
    <w:tmpl w:val="156061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5D943BEE"/>
    <w:multiLevelType w:val="multilevel"/>
    <w:tmpl w:val="222A08B4"/>
    <w:numStyleLink w:val="ListCBD"/>
  </w:abstractNum>
  <w:abstractNum w:abstractNumId="18" w15:restartNumberingAfterBreak="0">
    <w:nsid w:val="5E180578"/>
    <w:multiLevelType w:val="hybridMultilevel"/>
    <w:tmpl w:val="D50E1B96"/>
    <w:lvl w:ilvl="0" w:tplc="A1665024">
      <w:start w:val="1"/>
      <w:numFmt w:val="upperLetter"/>
      <w:pStyle w:val="Para2"/>
      <w:lvlText w:val="%1."/>
      <w:lvlJc w:val="left"/>
      <w:pPr>
        <w:ind w:left="927" w:hanging="360"/>
      </w:pPr>
      <w:rPr>
        <w:rFonts w:hint="default"/>
        <w:b w:val="0"/>
        <w:i w:val="0"/>
        <w:caps w:val="0"/>
        <w:strike w:val="0"/>
        <w:dstrike w:val="0"/>
        <w:vanish w:val="0"/>
        <w:color w:val="auto"/>
        <w:spacing w:val="0"/>
        <w:kern w:val="22"/>
        <w:position w:val="0"/>
        <w:sz w:val="22"/>
        <w:vertAlign w:val="baseline"/>
        <w:lang w:val="en-GB"/>
      </w:rPr>
    </w:lvl>
    <w:lvl w:ilvl="1" w:tplc="10090019">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9" w15:restartNumberingAfterBreak="0">
    <w:nsid w:val="68B70991"/>
    <w:multiLevelType w:val="hybridMultilevel"/>
    <w:tmpl w:val="C630B746"/>
    <w:lvl w:ilvl="0" w:tplc="05609F32">
      <w:start w:val="1"/>
      <w:numFmt w:val="decimal"/>
      <w:pStyle w:val="Para1"/>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D800FD26"/>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21"/>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5"/>
  </w:num>
  <w:num w:numId="8" w16cid:durableId="893932166">
    <w:abstractNumId w:val="20"/>
  </w:num>
  <w:num w:numId="9" w16cid:durableId="323945383">
    <w:abstractNumId w:val="17"/>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547570846">
    <w:abstractNumId w:val="19"/>
  </w:num>
  <w:num w:numId="16" w16cid:durableId="153035080">
    <w:abstractNumId w:val="18"/>
  </w:num>
  <w:num w:numId="17" w16cid:durableId="961809841">
    <w:abstractNumId w:val="12"/>
  </w:num>
  <w:num w:numId="18" w16cid:durableId="596789614">
    <w:abstractNumId w:val="16"/>
  </w:num>
  <w:num w:numId="19" w16cid:durableId="1700424795">
    <w:abstractNumId w:val="17"/>
  </w:num>
  <w:num w:numId="20" w16cid:durableId="1033774711">
    <w:abstractNumId w:val="17"/>
  </w:num>
  <w:num w:numId="21" w16cid:durableId="1536623243">
    <w:abstractNumId w:val="17"/>
  </w:num>
  <w:num w:numId="22" w16cid:durableId="1198619698">
    <w:abstractNumId w:val="17"/>
  </w:num>
  <w:num w:numId="23" w16cid:durableId="1511141094">
    <w:abstractNumId w:val="17"/>
  </w:num>
  <w:num w:numId="24" w16cid:durableId="1241865351">
    <w:abstractNumId w:val="17"/>
  </w:num>
  <w:num w:numId="25" w16cid:durableId="473791125">
    <w:abstractNumId w:val="17"/>
  </w:num>
  <w:num w:numId="26" w16cid:durableId="1509637343">
    <w:abstractNumId w:val="17"/>
  </w:num>
  <w:num w:numId="27" w16cid:durableId="1334726841">
    <w:abstractNumId w:val="17"/>
  </w:num>
  <w:num w:numId="28" w16cid:durableId="651447285">
    <w:abstractNumId w:val="17"/>
  </w:num>
  <w:num w:numId="29" w16cid:durableId="288048586">
    <w:abstractNumId w:val="17"/>
  </w:num>
  <w:num w:numId="30" w16cid:durableId="2033915213">
    <w:abstractNumId w:val="17"/>
  </w:num>
  <w:num w:numId="31" w16cid:durableId="1723752516">
    <w:abstractNumId w:val="17"/>
  </w:num>
  <w:num w:numId="32" w16cid:durableId="1965847091">
    <w:abstractNumId w:val="17"/>
  </w:num>
  <w:num w:numId="33" w16cid:durableId="844443452">
    <w:abstractNumId w:val="17"/>
  </w:num>
  <w:num w:numId="34" w16cid:durableId="371686718">
    <w:abstractNumId w:val="17"/>
  </w:num>
  <w:num w:numId="35" w16cid:durableId="1717778060">
    <w:abstractNumId w:val="17"/>
  </w:num>
  <w:num w:numId="36" w16cid:durableId="729380105">
    <w:abstractNumId w:val="17"/>
  </w:num>
  <w:num w:numId="37" w16cid:durableId="805010732">
    <w:abstractNumId w:val="17"/>
  </w:num>
  <w:num w:numId="38" w16cid:durableId="1911574738">
    <w:abstractNumId w:val="17"/>
  </w:num>
  <w:num w:numId="39" w16cid:durableId="496462777">
    <w:abstractNumId w:val="17"/>
  </w:num>
  <w:num w:numId="40" w16cid:durableId="715810322">
    <w:abstractNumId w:val="17"/>
  </w:num>
  <w:num w:numId="41" w16cid:durableId="1227423760">
    <w:abstractNumId w:val="17"/>
  </w:num>
  <w:num w:numId="42" w16cid:durableId="80876330">
    <w:abstractNumId w:val="17"/>
  </w:num>
  <w:num w:numId="43" w16cid:durableId="76094935">
    <w:abstractNumId w:val="17"/>
  </w:num>
  <w:num w:numId="44" w16cid:durableId="563225190">
    <w:abstractNumId w:val="17"/>
  </w:num>
  <w:num w:numId="45" w16cid:durableId="1130321355">
    <w:abstractNumId w:val="17"/>
  </w:num>
  <w:num w:numId="46" w16cid:durableId="1921521301">
    <w:abstractNumId w:val="17"/>
  </w:num>
  <w:num w:numId="47" w16cid:durableId="1559246891">
    <w:abstractNumId w:val="13"/>
  </w:num>
  <w:num w:numId="48" w16cid:durableId="672494930">
    <w:abstractNumId w:val="11"/>
  </w:num>
  <w:num w:numId="49" w16cid:durableId="496112999">
    <w:abstractNumId w:val="10"/>
  </w:num>
  <w:num w:numId="50" w16cid:durableId="1094399446">
    <w:abstractNumId w:val="14"/>
  </w:num>
  <w:num w:numId="51" w16cid:durableId="1120152848">
    <w:abstractNumId w:val="17"/>
  </w:num>
  <w:num w:numId="52" w16cid:durableId="165555605">
    <w:abstractNumId w:val="17"/>
  </w:num>
  <w:num w:numId="53" w16cid:durableId="624119088">
    <w:abstractNumId w:val="17"/>
  </w:num>
  <w:num w:numId="54" w16cid:durableId="121387343">
    <w:abstractNumId w:val="17"/>
  </w:num>
  <w:num w:numId="55" w16cid:durableId="410126726">
    <w:abstractNumId w:val="17"/>
  </w:num>
  <w:num w:numId="56" w16cid:durableId="1102185429">
    <w:abstractNumId w:val="20"/>
  </w:num>
  <w:num w:numId="57" w16cid:durableId="812521829">
    <w:abstractNumId w:val="20"/>
  </w:num>
  <w:num w:numId="58" w16cid:durableId="609509914">
    <w:abstractNumId w:val="20"/>
  </w:num>
  <w:num w:numId="59" w16cid:durableId="440420861">
    <w:abstractNumId w:val="20"/>
  </w:num>
  <w:num w:numId="60" w16cid:durableId="1696074706">
    <w:abstractNumId w:val="20"/>
  </w:num>
  <w:num w:numId="61" w16cid:durableId="298801490">
    <w:abstractNumId w:val="2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02"/>
    <w:rsid w:val="000025AF"/>
    <w:rsid w:val="00004425"/>
    <w:rsid w:val="00007BAE"/>
    <w:rsid w:val="00007E52"/>
    <w:rsid w:val="000167E4"/>
    <w:rsid w:val="0002362E"/>
    <w:rsid w:val="00034E59"/>
    <w:rsid w:val="00035AFB"/>
    <w:rsid w:val="000459BF"/>
    <w:rsid w:val="00051AB8"/>
    <w:rsid w:val="00056BA3"/>
    <w:rsid w:val="0005747E"/>
    <w:rsid w:val="00057807"/>
    <w:rsid w:val="00061C6B"/>
    <w:rsid w:val="0006428D"/>
    <w:rsid w:val="000657F8"/>
    <w:rsid w:val="000661C1"/>
    <w:rsid w:val="00067F23"/>
    <w:rsid w:val="00067FA7"/>
    <w:rsid w:val="00070444"/>
    <w:rsid w:val="00071C28"/>
    <w:rsid w:val="00071C4A"/>
    <w:rsid w:val="00081EE1"/>
    <w:rsid w:val="00083306"/>
    <w:rsid w:val="00083978"/>
    <w:rsid w:val="00083EBE"/>
    <w:rsid w:val="00090B64"/>
    <w:rsid w:val="00090E80"/>
    <w:rsid w:val="00091DEB"/>
    <w:rsid w:val="00096D40"/>
    <w:rsid w:val="000A10F4"/>
    <w:rsid w:val="000B530A"/>
    <w:rsid w:val="000B57C2"/>
    <w:rsid w:val="000B5B9E"/>
    <w:rsid w:val="000B67C5"/>
    <w:rsid w:val="000B7822"/>
    <w:rsid w:val="000C4005"/>
    <w:rsid w:val="000C51EC"/>
    <w:rsid w:val="000C7D44"/>
    <w:rsid w:val="000D5A84"/>
    <w:rsid w:val="000D5C27"/>
    <w:rsid w:val="000D6DAA"/>
    <w:rsid w:val="000D759D"/>
    <w:rsid w:val="000E3E6D"/>
    <w:rsid w:val="000E4D9A"/>
    <w:rsid w:val="000E78D7"/>
    <w:rsid w:val="000F2DD3"/>
    <w:rsid w:val="000F5A40"/>
    <w:rsid w:val="000F6BF7"/>
    <w:rsid w:val="000F720E"/>
    <w:rsid w:val="0010297D"/>
    <w:rsid w:val="00103EE7"/>
    <w:rsid w:val="001065E9"/>
    <w:rsid w:val="0011194E"/>
    <w:rsid w:val="0011340F"/>
    <w:rsid w:val="00113872"/>
    <w:rsid w:val="00122349"/>
    <w:rsid w:val="00122D92"/>
    <w:rsid w:val="00141065"/>
    <w:rsid w:val="00141584"/>
    <w:rsid w:val="00142688"/>
    <w:rsid w:val="00151AE9"/>
    <w:rsid w:val="00152BC4"/>
    <w:rsid w:val="00154D9C"/>
    <w:rsid w:val="0016582F"/>
    <w:rsid w:val="00165A1B"/>
    <w:rsid w:val="00165AAD"/>
    <w:rsid w:val="00170A01"/>
    <w:rsid w:val="00175742"/>
    <w:rsid w:val="001A1B88"/>
    <w:rsid w:val="001A5A37"/>
    <w:rsid w:val="001A7228"/>
    <w:rsid w:val="001B12C1"/>
    <w:rsid w:val="001B450A"/>
    <w:rsid w:val="001C0042"/>
    <w:rsid w:val="001C1117"/>
    <w:rsid w:val="001C6490"/>
    <w:rsid w:val="001D0479"/>
    <w:rsid w:val="001D6B67"/>
    <w:rsid w:val="001D6DFC"/>
    <w:rsid w:val="001E29C0"/>
    <w:rsid w:val="001E4812"/>
    <w:rsid w:val="001E7EE1"/>
    <w:rsid w:val="001F056C"/>
    <w:rsid w:val="001F0F26"/>
    <w:rsid w:val="001F4BBD"/>
    <w:rsid w:val="001F5726"/>
    <w:rsid w:val="001F734B"/>
    <w:rsid w:val="001F73B6"/>
    <w:rsid w:val="00202F00"/>
    <w:rsid w:val="00207768"/>
    <w:rsid w:val="0022029D"/>
    <w:rsid w:val="002214A0"/>
    <w:rsid w:val="00222A48"/>
    <w:rsid w:val="002273C5"/>
    <w:rsid w:val="00227E4E"/>
    <w:rsid w:val="00231568"/>
    <w:rsid w:val="002343A3"/>
    <w:rsid w:val="00236E06"/>
    <w:rsid w:val="00243E31"/>
    <w:rsid w:val="002455A2"/>
    <w:rsid w:val="0025337A"/>
    <w:rsid w:val="00257335"/>
    <w:rsid w:val="00263DEB"/>
    <w:rsid w:val="002654F0"/>
    <w:rsid w:val="0026701F"/>
    <w:rsid w:val="00273B48"/>
    <w:rsid w:val="0027662D"/>
    <w:rsid w:val="00287C48"/>
    <w:rsid w:val="00290CDC"/>
    <w:rsid w:val="0029386A"/>
    <w:rsid w:val="00295FA7"/>
    <w:rsid w:val="002A3529"/>
    <w:rsid w:val="002A7191"/>
    <w:rsid w:val="002B274D"/>
    <w:rsid w:val="002B466A"/>
    <w:rsid w:val="002C0087"/>
    <w:rsid w:val="002D10B9"/>
    <w:rsid w:val="002D5D98"/>
    <w:rsid w:val="002D6182"/>
    <w:rsid w:val="002D6317"/>
    <w:rsid w:val="002D7128"/>
    <w:rsid w:val="002E0C64"/>
    <w:rsid w:val="002E1663"/>
    <w:rsid w:val="002E17E7"/>
    <w:rsid w:val="002E46D5"/>
    <w:rsid w:val="002E6734"/>
    <w:rsid w:val="002F62E0"/>
    <w:rsid w:val="002F718F"/>
    <w:rsid w:val="003015A5"/>
    <w:rsid w:val="0030328A"/>
    <w:rsid w:val="00306231"/>
    <w:rsid w:val="003074D5"/>
    <w:rsid w:val="0031120A"/>
    <w:rsid w:val="00311D93"/>
    <w:rsid w:val="003138E6"/>
    <w:rsid w:val="00314ED6"/>
    <w:rsid w:val="00316F94"/>
    <w:rsid w:val="00322344"/>
    <w:rsid w:val="00322496"/>
    <w:rsid w:val="003240D5"/>
    <w:rsid w:val="0032556B"/>
    <w:rsid w:val="00326BEE"/>
    <w:rsid w:val="00327607"/>
    <w:rsid w:val="003313BB"/>
    <w:rsid w:val="00335531"/>
    <w:rsid w:val="0034106B"/>
    <w:rsid w:val="003454ED"/>
    <w:rsid w:val="00346883"/>
    <w:rsid w:val="0034739A"/>
    <w:rsid w:val="00351472"/>
    <w:rsid w:val="003514BB"/>
    <w:rsid w:val="00353D2A"/>
    <w:rsid w:val="00354CF0"/>
    <w:rsid w:val="003575D2"/>
    <w:rsid w:val="0035778A"/>
    <w:rsid w:val="00361B2B"/>
    <w:rsid w:val="00362D5B"/>
    <w:rsid w:val="00365721"/>
    <w:rsid w:val="00371240"/>
    <w:rsid w:val="0037234D"/>
    <w:rsid w:val="003725B4"/>
    <w:rsid w:val="003833E4"/>
    <w:rsid w:val="00383BD5"/>
    <w:rsid w:val="00385F09"/>
    <w:rsid w:val="003864F5"/>
    <w:rsid w:val="003916A3"/>
    <w:rsid w:val="00394857"/>
    <w:rsid w:val="00396CC4"/>
    <w:rsid w:val="00396F36"/>
    <w:rsid w:val="00397438"/>
    <w:rsid w:val="003A4937"/>
    <w:rsid w:val="003A6163"/>
    <w:rsid w:val="003B142B"/>
    <w:rsid w:val="003B142D"/>
    <w:rsid w:val="003B172F"/>
    <w:rsid w:val="003B3B5F"/>
    <w:rsid w:val="003B47B1"/>
    <w:rsid w:val="003B63E6"/>
    <w:rsid w:val="003D06EC"/>
    <w:rsid w:val="003D080F"/>
    <w:rsid w:val="003D0BD2"/>
    <w:rsid w:val="003D3287"/>
    <w:rsid w:val="003D6F02"/>
    <w:rsid w:val="003E34EE"/>
    <w:rsid w:val="003E3F30"/>
    <w:rsid w:val="003E7A14"/>
    <w:rsid w:val="003F5535"/>
    <w:rsid w:val="003F7AE3"/>
    <w:rsid w:val="0040299B"/>
    <w:rsid w:val="00403117"/>
    <w:rsid w:val="004035FB"/>
    <w:rsid w:val="00404905"/>
    <w:rsid w:val="00415579"/>
    <w:rsid w:val="0042532A"/>
    <w:rsid w:val="00425E92"/>
    <w:rsid w:val="0043099A"/>
    <w:rsid w:val="004314E3"/>
    <w:rsid w:val="00434B78"/>
    <w:rsid w:val="004353B4"/>
    <w:rsid w:val="00437578"/>
    <w:rsid w:val="004431E2"/>
    <w:rsid w:val="00444B87"/>
    <w:rsid w:val="0045071B"/>
    <w:rsid w:val="00451778"/>
    <w:rsid w:val="00454E7E"/>
    <w:rsid w:val="00456BF4"/>
    <w:rsid w:val="00462EB1"/>
    <w:rsid w:val="00463BB9"/>
    <w:rsid w:val="004640A3"/>
    <w:rsid w:val="00474FD8"/>
    <w:rsid w:val="004752DD"/>
    <w:rsid w:val="00482C8A"/>
    <w:rsid w:val="00487534"/>
    <w:rsid w:val="00495C36"/>
    <w:rsid w:val="00495FDB"/>
    <w:rsid w:val="0049623C"/>
    <w:rsid w:val="004979A6"/>
    <w:rsid w:val="004A26AF"/>
    <w:rsid w:val="004A3D24"/>
    <w:rsid w:val="004A6C08"/>
    <w:rsid w:val="004B48BF"/>
    <w:rsid w:val="004B6FD1"/>
    <w:rsid w:val="004C2983"/>
    <w:rsid w:val="004C472D"/>
    <w:rsid w:val="004D1CF6"/>
    <w:rsid w:val="004D4A0A"/>
    <w:rsid w:val="004D5DE5"/>
    <w:rsid w:val="004E0781"/>
    <w:rsid w:val="004E49A8"/>
    <w:rsid w:val="004F3BC2"/>
    <w:rsid w:val="004F4011"/>
    <w:rsid w:val="00500A0B"/>
    <w:rsid w:val="005012FC"/>
    <w:rsid w:val="005019F4"/>
    <w:rsid w:val="00503310"/>
    <w:rsid w:val="00504C23"/>
    <w:rsid w:val="00512F6C"/>
    <w:rsid w:val="00515EA7"/>
    <w:rsid w:val="005224E7"/>
    <w:rsid w:val="00525C04"/>
    <w:rsid w:val="00525C20"/>
    <w:rsid w:val="00531E2C"/>
    <w:rsid w:val="00535DBB"/>
    <w:rsid w:val="00537206"/>
    <w:rsid w:val="00537AF3"/>
    <w:rsid w:val="00540343"/>
    <w:rsid w:val="00540404"/>
    <w:rsid w:val="00540A2E"/>
    <w:rsid w:val="00544510"/>
    <w:rsid w:val="005503C3"/>
    <w:rsid w:val="005517F9"/>
    <w:rsid w:val="00556C97"/>
    <w:rsid w:val="00557DB7"/>
    <w:rsid w:val="00560682"/>
    <w:rsid w:val="00560969"/>
    <w:rsid w:val="00561C0B"/>
    <w:rsid w:val="00571C06"/>
    <w:rsid w:val="00574A43"/>
    <w:rsid w:val="005766F6"/>
    <w:rsid w:val="00577F71"/>
    <w:rsid w:val="00583D03"/>
    <w:rsid w:val="00592EBD"/>
    <w:rsid w:val="005940F9"/>
    <w:rsid w:val="00595625"/>
    <w:rsid w:val="00595896"/>
    <w:rsid w:val="00596F86"/>
    <w:rsid w:val="005A0F34"/>
    <w:rsid w:val="005B5B9A"/>
    <w:rsid w:val="005C74DC"/>
    <w:rsid w:val="005D01C8"/>
    <w:rsid w:val="005D0272"/>
    <w:rsid w:val="005D19BC"/>
    <w:rsid w:val="005D7747"/>
    <w:rsid w:val="005E30BF"/>
    <w:rsid w:val="0060686C"/>
    <w:rsid w:val="006130FC"/>
    <w:rsid w:val="006149CC"/>
    <w:rsid w:val="00627B19"/>
    <w:rsid w:val="00627B33"/>
    <w:rsid w:val="00645B0B"/>
    <w:rsid w:val="00646BF6"/>
    <w:rsid w:val="00647317"/>
    <w:rsid w:val="0065737B"/>
    <w:rsid w:val="00657CBC"/>
    <w:rsid w:val="00660D43"/>
    <w:rsid w:val="006635A4"/>
    <w:rsid w:val="00666849"/>
    <w:rsid w:val="00670A8A"/>
    <w:rsid w:val="00671766"/>
    <w:rsid w:val="00677340"/>
    <w:rsid w:val="00677B69"/>
    <w:rsid w:val="00682065"/>
    <w:rsid w:val="00682813"/>
    <w:rsid w:val="0069112C"/>
    <w:rsid w:val="00693F23"/>
    <w:rsid w:val="00695ECF"/>
    <w:rsid w:val="006A3582"/>
    <w:rsid w:val="006B00C9"/>
    <w:rsid w:val="006B3F85"/>
    <w:rsid w:val="006B6145"/>
    <w:rsid w:val="006B6D3E"/>
    <w:rsid w:val="006C3350"/>
    <w:rsid w:val="006C50B0"/>
    <w:rsid w:val="006D32A4"/>
    <w:rsid w:val="006D46BA"/>
    <w:rsid w:val="006D5F29"/>
    <w:rsid w:val="006E0068"/>
    <w:rsid w:val="006E2859"/>
    <w:rsid w:val="006E39DB"/>
    <w:rsid w:val="006E63A1"/>
    <w:rsid w:val="006E6648"/>
    <w:rsid w:val="006E740F"/>
    <w:rsid w:val="006E781B"/>
    <w:rsid w:val="006F0055"/>
    <w:rsid w:val="006F0123"/>
    <w:rsid w:val="006F070A"/>
    <w:rsid w:val="006F435A"/>
    <w:rsid w:val="006F486A"/>
    <w:rsid w:val="007068AD"/>
    <w:rsid w:val="007161A1"/>
    <w:rsid w:val="007202A8"/>
    <w:rsid w:val="007203D7"/>
    <w:rsid w:val="0072065B"/>
    <w:rsid w:val="00721BEF"/>
    <w:rsid w:val="00721FC2"/>
    <w:rsid w:val="0072527A"/>
    <w:rsid w:val="00726915"/>
    <w:rsid w:val="0073053C"/>
    <w:rsid w:val="007308AB"/>
    <w:rsid w:val="007322DC"/>
    <w:rsid w:val="00732CA3"/>
    <w:rsid w:val="007343E2"/>
    <w:rsid w:val="00735777"/>
    <w:rsid w:val="007444A5"/>
    <w:rsid w:val="007445DA"/>
    <w:rsid w:val="00747CF0"/>
    <w:rsid w:val="007549C3"/>
    <w:rsid w:val="00755F87"/>
    <w:rsid w:val="00760DEB"/>
    <w:rsid w:val="00763810"/>
    <w:rsid w:val="00763A3F"/>
    <w:rsid w:val="0076420F"/>
    <w:rsid w:val="00776D75"/>
    <w:rsid w:val="00777AF9"/>
    <w:rsid w:val="0078636D"/>
    <w:rsid w:val="00794CA5"/>
    <w:rsid w:val="00796D86"/>
    <w:rsid w:val="007B3F3B"/>
    <w:rsid w:val="007C129D"/>
    <w:rsid w:val="007C1F62"/>
    <w:rsid w:val="007C3E84"/>
    <w:rsid w:val="007D1ED5"/>
    <w:rsid w:val="007D333F"/>
    <w:rsid w:val="007D663E"/>
    <w:rsid w:val="007E0585"/>
    <w:rsid w:val="007E06FC"/>
    <w:rsid w:val="007E1A33"/>
    <w:rsid w:val="007E6E7F"/>
    <w:rsid w:val="007E71F8"/>
    <w:rsid w:val="007E7575"/>
    <w:rsid w:val="007F610B"/>
    <w:rsid w:val="007F6D5A"/>
    <w:rsid w:val="0080193B"/>
    <w:rsid w:val="00804A60"/>
    <w:rsid w:val="00824B52"/>
    <w:rsid w:val="00827732"/>
    <w:rsid w:val="008347B5"/>
    <w:rsid w:val="00835B9A"/>
    <w:rsid w:val="0083608C"/>
    <w:rsid w:val="00837BA9"/>
    <w:rsid w:val="00837DF2"/>
    <w:rsid w:val="00845C48"/>
    <w:rsid w:val="00846A32"/>
    <w:rsid w:val="00847D0B"/>
    <w:rsid w:val="00850A7B"/>
    <w:rsid w:val="00850B50"/>
    <w:rsid w:val="00855780"/>
    <w:rsid w:val="00857A2E"/>
    <w:rsid w:val="008714DC"/>
    <w:rsid w:val="00872A8A"/>
    <w:rsid w:val="0088050F"/>
    <w:rsid w:val="008829B5"/>
    <w:rsid w:val="00884961"/>
    <w:rsid w:val="0089268B"/>
    <w:rsid w:val="008946A2"/>
    <w:rsid w:val="00896EE9"/>
    <w:rsid w:val="008A0CD2"/>
    <w:rsid w:val="008A3D3E"/>
    <w:rsid w:val="008A55D4"/>
    <w:rsid w:val="008B1D75"/>
    <w:rsid w:val="008B31D3"/>
    <w:rsid w:val="008B363D"/>
    <w:rsid w:val="008C74E0"/>
    <w:rsid w:val="008C75A3"/>
    <w:rsid w:val="008D4ED6"/>
    <w:rsid w:val="008D5EBA"/>
    <w:rsid w:val="008D6FD2"/>
    <w:rsid w:val="008E1832"/>
    <w:rsid w:val="008E4415"/>
    <w:rsid w:val="008E6921"/>
    <w:rsid w:val="008F7BD1"/>
    <w:rsid w:val="00902E60"/>
    <w:rsid w:val="009073B0"/>
    <w:rsid w:val="00914027"/>
    <w:rsid w:val="00914309"/>
    <w:rsid w:val="00914BC4"/>
    <w:rsid w:val="00915C4F"/>
    <w:rsid w:val="00934C77"/>
    <w:rsid w:val="00942956"/>
    <w:rsid w:val="00943039"/>
    <w:rsid w:val="00945744"/>
    <w:rsid w:val="00950EE6"/>
    <w:rsid w:val="00953C22"/>
    <w:rsid w:val="00962424"/>
    <w:rsid w:val="00962822"/>
    <w:rsid w:val="0096481C"/>
    <w:rsid w:val="009707FE"/>
    <w:rsid w:val="009722FB"/>
    <w:rsid w:val="0097620A"/>
    <w:rsid w:val="00980219"/>
    <w:rsid w:val="009860F5"/>
    <w:rsid w:val="00992B36"/>
    <w:rsid w:val="00997CA2"/>
    <w:rsid w:val="009A2A7A"/>
    <w:rsid w:val="009A39F2"/>
    <w:rsid w:val="009A6D0F"/>
    <w:rsid w:val="009B1775"/>
    <w:rsid w:val="009B4E1A"/>
    <w:rsid w:val="009C0AEF"/>
    <w:rsid w:val="009C0BBB"/>
    <w:rsid w:val="009C5FCE"/>
    <w:rsid w:val="009C625F"/>
    <w:rsid w:val="009C713F"/>
    <w:rsid w:val="009D43EC"/>
    <w:rsid w:val="009D4967"/>
    <w:rsid w:val="009D4B27"/>
    <w:rsid w:val="009D4CE6"/>
    <w:rsid w:val="009D5BA9"/>
    <w:rsid w:val="009D6F07"/>
    <w:rsid w:val="009D7E45"/>
    <w:rsid w:val="009E46FB"/>
    <w:rsid w:val="009E6D02"/>
    <w:rsid w:val="009F2B72"/>
    <w:rsid w:val="009F2E30"/>
    <w:rsid w:val="009F32FD"/>
    <w:rsid w:val="009F3C34"/>
    <w:rsid w:val="009F5C4F"/>
    <w:rsid w:val="009F67EB"/>
    <w:rsid w:val="00A06493"/>
    <w:rsid w:val="00A14D42"/>
    <w:rsid w:val="00A15541"/>
    <w:rsid w:val="00A1582D"/>
    <w:rsid w:val="00A21987"/>
    <w:rsid w:val="00A2433A"/>
    <w:rsid w:val="00A27DB9"/>
    <w:rsid w:val="00A310D0"/>
    <w:rsid w:val="00A3237E"/>
    <w:rsid w:val="00A32C93"/>
    <w:rsid w:val="00A33736"/>
    <w:rsid w:val="00A37B7A"/>
    <w:rsid w:val="00A41E0F"/>
    <w:rsid w:val="00A420D9"/>
    <w:rsid w:val="00A42ED4"/>
    <w:rsid w:val="00A4365A"/>
    <w:rsid w:val="00A4589A"/>
    <w:rsid w:val="00A50D81"/>
    <w:rsid w:val="00A51577"/>
    <w:rsid w:val="00A525B0"/>
    <w:rsid w:val="00A54367"/>
    <w:rsid w:val="00A60176"/>
    <w:rsid w:val="00A65A33"/>
    <w:rsid w:val="00A66216"/>
    <w:rsid w:val="00A70428"/>
    <w:rsid w:val="00A83C5B"/>
    <w:rsid w:val="00A8628D"/>
    <w:rsid w:val="00A90E41"/>
    <w:rsid w:val="00A92513"/>
    <w:rsid w:val="00AA05AE"/>
    <w:rsid w:val="00AA10B2"/>
    <w:rsid w:val="00AA343A"/>
    <w:rsid w:val="00AA46D3"/>
    <w:rsid w:val="00AB3C87"/>
    <w:rsid w:val="00AC2394"/>
    <w:rsid w:val="00AC7CA9"/>
    <w:rsid w:val="00AD1542"/>
    <w:rsid w:val="00AD158F"/>
    <w:rsid w:val="00AD16C5"/>
    <w:rsid w:val="00AE0D53"/>
    <w:rsid w:val="00AE2A18"/>
    <w:rsid w:val="00AE3D65"/>
    <w:rsid w:val="00AE3EA0"/>
    <w:rsid w:val="00AE608E"/>
    <w:rsid w:val="00AF1E59"/>
    <w:rsid w:val="00AF2ACF"/>
    <w:rsid w:val="00AF40FE"/>
    <w:rsid w:val="00B01E0C"/>
    <w:rsid w:val="00B021EA"/>
    <w:rsid w:val="00B0234A"/>
    <w:rsid w:val="00B02AE4"/>
    <w:rsid w:val="00B07F97"/>
    <w:rsid w:val="00B12772"/>
    <w:rsid w:val="00B159B0"/>
    <w:rsid w:val="00B167A3"/>
    <w:rsid w:val="00B2299E"/>
    <w:rsid w:val="00B30C99"/>
    <w:rsid w:val="00B31916"/>
    <w:rsid w:val="00B3295D"/>
    <w:rsid w:val="00B35290"/>
    <w:rsid w:val="00B364B4"/>
    <w:rsid w:val="00B4111B"/>
    <w:rsid w:val="00B4525A"/>
    <w:rsid w:val="00B4770E"/>
    <w:rsid w:val="00B47E07"/>
    <w:rsid w:val="00B500B1"/>
    <w:rsid w:val="00B570D9"/>
    <w:rsid w:val="00B57894"/>
    <w:rsid w:val="00B57A7F"/>
    <w:rsid w:val="00B57BAE"/>
    <w:rsid w:val="00B625E5"/>
    <w:rsid w:val="00B63B45"/>
    <w:rsid w:val="00B656A0"/>
    <w:rsid w:val="00B65EAB"/>
    <w:rsid w:val="00B660AD"/>
    <w:rsid w:val="00B67A49"/>
    <w:rsid w:val="00B67AAB"/>
    <w:rsid w:val="00B74EA2"/>
    <w:rsid w:val="00B7711F"/>
    <w:rsid w:val="00B776CC"/>
    <w:rsid w:val="00B80BAF"/>
    <w:rsid w:val="00B81A4A"/>
    <w:rsid w:val="00B81D54"/>
    <w:rsid w:val="00B841C5"/>
    <w:rsid w:val="00B91846"/>
    <w:rsid w:val="00BA1812"/>
    <w:rsid w:val="00BB500B"/>
    <w:rsid w:val="00BC64D7"/>
    <w:rsid w:val="00BD04C4"/>
    <w:rsid w:val="00BD41C0"/>
    <w:rsid w:val="00BD606D"/>
    <w:rsid w:val="00BD619D"/>
    <w:rsid w:val="00BE297C"/>
    <w:rsid w:val="00BE5DDF"/>
    <w:rsid w:val="00BE6924"/>
    <w:rsid w:val="00BE7ABF"/>
    <w:rsid w:val="00BF1A2F"/>
    <w:rsid w:val="00BF5C45"/>
    <w:rsid w:val="00C010A9"/>
    <w:rsid w:val="00C021A4"/>
    <w:rsid w:val="00C038CC"/>
    <w:rsid w:val="00C07A24"/>
    <w:rsid w:val="00C12F0A"/>
    <w:rsid w:val="00C13675"/>
    <w:rsid w:val="00C139DB"/>
    <w:rsid w:val="00C20227"/>
    <w:rsid w:val="00C213F1"/>
    <w:rsid w:val="00C21A9F"/>
    <w:rsid w:val="00C2201C"/>
    <w:rsid w:val="00C275F8"/>
    <w:rsid w:val="00C45CA7"/>
    <w:rsid w:val="00C46C3D"/>
    <w:rsid w:val="00C51DB8"/>
    <w:rsid w:val="00C57E17"/>
    <w:rsid w:val="00C632B5"/>
    <w:rsid w:val="00C659C7"/>
    <w:rsid w:val="00C703CA"/>
    <w:rsid w:val="00C72754"/>
    <w:rsid w:val="00C75870"/>
    <w:rsid w:val="00C80222"/>
    <w:rsid w:val="00C83117"/>
    <w:rsid w:val="00C8672A"/>
    <w:rsid w:val="00C91876"/>
    <w:rsid w:val="00C92A1A"/>
    <w:rsid w:val="00C945F5"/>
    <w:rsid w:val="00C9520B"/>
    <w:rsid w:val="00CA0410"/>
    <w:rsid w:val="00CA2772"/>
    <w:rsid w:val="00CA3281"/>
    <w:rsid w:val="00CA5E5C"/>
    <w:rsid w:val="00CB06D4"/>
    <w:rsid w:val="00CB14CC"/>
    <w:rsid w:val="00CB53AA"/>
    <w:rsid w:val="00CB6898"/>
    <w:rsid w:val="00CC0AAF"/>
    <w:rsid w:val="00CC1BEA"/>
    <w:rsid w:val="00CC23B0"/>
    <w:rsid w:val="00CE3857"/>
    <w:rsid w:val="00CE4C60"/>
    <w:rsid w:val="00CF08E3"/>
    <w:rsid w:val="00CF09E4"/>
    <w:rsid w:val="00D03B95"/>
    <w:rsid w:val="00D051E8"/>
    <w:rsid w:val="00D069BF"/>
    <w:rsid w:val="00D11AFF"/>
    <w:rsid w:val="00D14E02"/>
    <w:rsid w:val="00D1649B"/>
    <w:rsid w:val="00D256EE"/>
    <w:rsid w:val="00D42B37"/>
    <w:rsid w:val="00D46599"/>
    <w:rsid w:val="00D46BAA"/>
    <w:rsid w:val="00D565A1"/>
    <w:rsid w:val="00D57D37"/>
    <w:rsid w:val="00D57DCD"/>
    <w:rsid w:val="00D6041C"/>
    <w:rsid w:val="00D6365D"/>
    <w:rsid w:val="00D63C72"/>
    <w:rsid w:val="00D7349C"/>
    <w:rsid w:val="00D74FBE"/>
    <w:rsid w:val="00D76262"/>
    <w:rsid w:val="00D80EFF"/>
    <w:rsid w:val="00D81041"/>
    <w:rsid w:val="00D81463"/>
    <w:rsid w:val="00D8149F"/>
    <w:rsid w:val="00D86BDA"/>
    <w:rsid w:val="00D91234"/>
    <w:rsid w:val="00D92CF2"/>
    <w:rsid w:val="00D93B91"/>
    <w:rsid w:val="00D96B56"/>
    <w:rsid w:val="00DA0A34"/>
    <w:rsid w:val="00DA0C2C"/>
    <w:rsid w:val="00DA2210"/>
    <w:rsid w:val="00DA2C95"/>
    <w:rsid w:val="00DA3CD5"/>
    <w:rsid w:val="00DA5BF3"/>
    <w:rsid w:val="00DA7800"/>
    <w:rsid w:val="00DC0075"/>
    <w:rsid w:val="00DC2017"/>
    <w:rsid w:val="00DC2A69"/>
    <w:rsid w:val="00DC5740"/>
    <w:rsid w:val="00DC7F27"/>
    <w:rsid w:val="00DE1632"/>
    <w:rsid w:val="00DE491C"/>
    <w:rsid w:val="00DF0BB4"/>
    <w:rsid w:val="00DF4A91"/>
    <w:rsid w:val="00DF6517"/>
    <w:rsid w:val="00DF78C4"/>
    <w:rsid w:val="00E06818"/>
    <w:rsid w:val="00E0744F"/>
    <w:rsid w:val="00E16FCB"/>
    <w:rsid w:val="00E22CB9"/>
    <w:rsid w:val="00E236B0"/>
    <w:rsid w:val="00E23FB5"/>
    <w:rsid w:val="00E31E45"/>
    <w:rsid w:val="00E34200"/>
    <w:rsid w:val="00E363AB"/>
    <w:rsid w:val="00E45486"/>
    <w:rsid w:val="00E51C45"/>
    <w:rsid w:val="00E55681"/>
    <w:rsid w:val="00E623E6"/>
    <w:rsid w:val="00E64994"/>
    <w:rsid w:val="00E678F8"/>
    <w:rsid w:val="00E67FBF"/>
    <w:rsid w:val="00E85CC2"/>
    <w:rsid w:val="00E915D2"/>
    <w:rsid w:val="00E945B1"/>
    <w:rsid w:val="00E94883"/>
    <w:rsid w:val="00E958A1"/>
    <w:rsid w:val="00E97071"/>
    <w:rsid w:val="00E97749"/>
    <w:rsid w:val="00E97DB2"/>
    <w:rsid w:val="00EA2F32"/>
    <w:rsid w:val="00EB745E"/>
    <w:rsid w:val="00EC48AE"/>
    <w:rsid w:val="00EC63CE"/>
    <w:rsid w:val="00ED0EE1"/>
    <w:rsid w:val="00ED3588"/>
    <w:rsid w:val="00EE3079"/>
    <w:rsid w:val="00EE7152"/>
    <w:rsid w:val="00EF44B1"/>
    <w:rsid w:val="00EF6482"/>
    <w:rsid w:val="00EF7843"/>
    <w:rsid w:val="00F05027"/>
    <w:rsid w:val="00F06ED4"/>
    <w:rsid w:val="00F152DE"/>
    <w:rsid w:val="00F1672D"/>
    <w:rsid w:val="00F20F07"/>
    <w:rsid w:val="00F21687"/>
    <w:rsid w:val="00F2482C"/>
    <w:rsid w:val="00F274D4"/>
    <w:rsid w:val="00F33C94"/>
    <w:rsid w:val="00F36FE8"/>
    <w:rsid w:val="00F372BB"/>
    <w:rsid w:val="00F502AD"/>
    <w:rsid w:val="00F53D40"/>
    <w:rsid w:val="00F55C70"/>
    <w:rsid w:val="00F65740"/>
    <w:rsid w:val="00F65D11"/>
    <w:rsid w:val="00F66DA2"/>
    <w:rsid w:val="00F72661"/>
    <w:rsid w:val="00F73658"/>
    <w:rsid w:val="00F75253"/>
    <w:rsid w:val="00F764C4"/>
    <w:rsid w:val="00F76D7C"/>
    <w:rsid w:val="00F77DAD"/>
    <w:rsid w:val="00F817B5"/>
    <w:rsid w:val="00F85F98"/>
    <w:rsid w:val="00F90D18"/>
    <w:rsid w:val="00F942D3"/>
    <w:rsid w:val="00F9443A"/>
    <w:rsid w:val="00FB1BA8"/>
    <w:rsid w:val="00FB4A36"/>
    <w:rsid w:val="00FD6C50"/>
    <w:rsid w:val="00FE3F14"/>
    <w:rsid w:val="00FE4603"/>
    <w:rsid w:val="00FF057B"/>
    <w:rsid w:val="00FF0B19"/>
    <w:rsid w:val="00FF3087"/>
    <w:rsid w:val="00FF5D08"/>
    <w:rsid w:val="00FF620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1088C"/>
  <w15:chartTrackingRefBased/>
  <w15:docId w15:val="{EC22AEAF-9E9A-46AF-9904-AD489BE7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F2482C"/>
    <w:pPr>
      <w:keepNext/>
      <w:keepLines/>
      <w:numPr>
        <w:numId w:val="6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F2482C"/>
    <w:pPr>
      <w:keepNext/>
      <w:keepLines/>
      <w:numPr>
        <w:ilvl w:val="1"/>
        <w:numId w:val="6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2482C"/>
    <w:pPr>
      <w:keepNext/>
      <w:keepLines/>
      <w:numPr>
        <w:ilvl w:val="2"/>
        <w:numId w:val="6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2482C"/>
    <w:pPr>
      <w:keepNext/>
      <w:numPr>
        <w:ilvl w:val="3"/>
        <w:numId w:val="6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2482C"/>
    <w:pPr>
      <w:keepNext/>
      <w:numPr>
        <w:ilvl w:val="4"/>
        <w:numId w:val="61"/>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82C"/>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F2482C"/>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F2482C"/>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F2482C"/>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F2482C"/>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F2482C"/>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qFormat/>
    <w:rsid w:val="006B6D3E"/>
    <w:rPr>
      <w:vertAlign w:val="superscript"/>
      <w:lang w:val="en-GB"/>
    </w:rPr>
  </w:style>
  <w:style w:type="paragraph" w:customStyle="1" w:styleId="Footnote">
    <w:name w:val="Footnote"/>
    <w:basedOn w:val="FootnoteText"/>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F2482C"/>
    <w:pPr>
      <w:numPr>
        <w:numId w:val="55"/>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F2482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F2482C"/>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F2482C"/>
    <w:pPr>
      <w:keepNext/>
      <w:keepLines/>
      <w:spacing w:before="240" w:after="120"/>
      <w:jc w:val="left"/>
    </w:pPr>
    <w:rPr>
      <w:b/>
      <w:sz w:val="24"/>
    </w:rPr>
  </w:style>
  <w:style w:type="paragraph" w:customStyle="1" w:styleId="CBDDesicionText">
    <w:name w:val="CBD_DesicionText"/>
    <w:basedOn w:val="CBDNormal"/>
    <w:qFormat/>
    <w:rsid w:val="00F2482C"/>
    <w:pPr>
      <w:spacing w:after="120"/>
      <w:ind w:left="567" w:firstLine="567"/>
    </w:pPr>
  </w:style>
  <w:style w:type="paragraph" w:customStyle="1" w:styleId="CBDDesicionAnnex">
    <w:name w:val="CBD_DesicionAnnex"/>
    <w:basedOn w:val="CBDNormal"/>
    <w:next w:val="CBDDesicionText"/>
    <w:qFormat/>
    <w:rsid w:val="00F2482C"/>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F2482C"/>
    <w:pPr>
      <w:keepNext/>
      <w:keepLines/>
      <w:spacing w:after="240"/>
      <w:jc w:val="left"/>
    </w:pPr>
    <w:rPr>
      <w:b/>
      <w:sz w:val="28"/>
      <w:lang w:bidi="ar-SY"/>
    </w:rPr>
  </w:style>
  <w:style w:type="paragraph" w:customStyle="1" w:styleId="CBDSubTitle">
    <w:name w:val="CBD_SubTitle"/>
    <w:basedOn w:val="CBDNormal"/>
    <w:qFormat/>
    <w:rsid w:val="00F2482C"/>
    <w:pPr>
      <w:keepNext/>
      <w:keepLines/>
      <w:spacing w:before="240" w:after="240"/>
      <w:ind w:left="567"/>
      <w:jc w:val="left"/>
    </w:pPr>
    <w:rPr>
      <w:b/>
    </w:rPr>
  </w:style>
  <w:style w:type="paragraph" w:customStyle="1" w:styleId="CBDTitle">
    <w:name w:val="CBD_Title"/>
    <w:basedOn w:val="CBDNormal"/>
    <w:next w:val="CBDSubTitle"/>
    <w:qFormat/>
    <w:rsid w:val="00F2482C"/>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F2482C"/>
    <w:pPr>
      <w:keepNext/>
      <w:keepLines/>
      <w:spacing w:before="240" w:after="120"/>
      <w:ind w:left="567" w:hanging="567"/>
      <w:jc w:val="left"/>
      <w:outlineLvl w:val="0"/>
    </w:pPr>
    <w:rPr>
      <w:b/>
      <w:sz w:val="28"/>
    </w:rPr>
  </w:style>
  <w:style w:type="paragraph" w:customStyle="1" w:styleId="CBDH2">
    <w:name w:val="CBD_H2"/>
    <w:basedOn w:val="CBDNormalNumber"/>
    <w:qFormat/>
    <w:rsid w:val="00F2482C"/>
    <w:pPr>
      <w:keepNext/>
      <w:keepLines/>
      <w:numPr>
        <w:numId w:val="0"/>
      </w:numPr>
      <w:ind w:left="567" w:hanging="567"/>
    </w:pPr>
    <w:rPr>
      <w:b/>
      <w:sz w:val="24"/>
    </w:rPr>
  </w:style>
  <w:style w:type="paragraph" w:customStyle="1" w:styleId="CBDFootnoteText">
    <w:name w:val="CBD_Footnote_Text"/>
    <w:basedOn w:val="CBDNormal"/>
    <w:qFormat/>
    <w:rsid w:val="00F2482C"/>
    <w:pPr>
      <w:jc w:val="left"/>
    </w:pPr>
    <w:rPr>
      <w:sz w:val="18"/>
    </w:rPr>
  </w:style>
  <w:style w:type="paragraph" w:customStyle="1" w:styleId="CBDFooter">
    <w:name w:val="CBD_Footer"/>
    <w:basedOn w:val="CBDNormal"/>
    <w:qFormat/>
    <w:rsid w:val="00F2482C"/>
    <w:rPr>
      <w:sz w:val="20"/>
    </w:rPr>
  </w:style>
  <w:style w:type="paragraph" w:customStyle="1" w:styleId="CBDHeader">
    <w:name w:val="CBD_Header"/>
    <w:basedOn w:val="CBDNormal"/>
    <w:next w:val="CBDFooter"/>
    <w:qFormat/>
    <w:rsid w:val="00F2482C"/>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482C"/>
    <w:pPr>
      <w:keepNext/>
      <w:keepLines/>
      <w:spacing w:before="120" w:after="120"/>
      <w:ind w:left="567" w:hanging="567"/>
      <w:jc w:val="left"/>
    </w:pPr>
    <w:rPr>
      <w:b/>
    </w:rPr>
  </w:style>
  <w:style w:type="paragraph" w:customStyle="1" w:styleId="CBDH4">
    <w:name w:val="CBD_H4"/>
    <w:basedOn w:val="CBDNormal"/>
    <w:rsid w:val="00F2482C"/>
    <w:pPr>
      <w:keepNext/>
      <w:keepLines/>
      <w:spacing w:before="120" w:after="120"/>
      <w:ind w:left="567" w:hanging="567"/>
      <w:jc w:val="left"/>
    </w:pPr>
    <w:rPr>
      <w:b/>
    </w:rPr>
  </w:style>
  <w:style w:type="paragraph" w:customStyle="1" w:styleId="CBDH5">
    <w:name w:val="CBD_H5"/>
    <w:basedOn w:val="CBDNormal"/>
    <w:qFormat/>
    <w:rsid w:val="00F2482C"/>
    <w:pPr>
      <w:keepNext/>
      <w:keepLines/>
      <w:spacing w:before="120" w:after="120"/>
      <w:ind w:left="567" w:hanging="567"/>
      <w:jc w:val="left"/>
    </w:pPr>
    <w:rPr>
      <w:i/>
    </w:rPr>
  </w:style>
  <w:style w:type="paragraph" w:customStyle="1" w:styleId="CBDTableNormal">
    <w:name w:val="CBD_TableNormal"/>
    <w:basedOn w:val="CBDNormal"/>
    <w:qFormat/>
    <w:rsid w:val="00F2482C"/>
    <w:pPr>
      <w:spacing w:before="40" w:after="80"/>
      <w:jc w:val="left"/>
    </w:pPr>
    <w:rPr>
      <w:sz w:val="20"/>
    </w:rPr>
  </w:style>
  <w:style w:type="paragraph" w:customStyle="1" w:styleId="CBDTableTitle">
    <w:name w:val="CBD_TableTitle"/>
    <w:basedOn w:val="CBDNormal"/>
    <w:qFormat/>
    <w:rsid w:val="00F2482C"/>
    <w:pPr>
      <w:keepNext/>
      <w:keepLines/>
      <w:spacing w:before="120" w:after="60"/>
      <w:ind w:left="567"/>
      <w:jc w:val="left"/>
    </w:pPr>
    <w:rPr>
      <w:b/>
    </w:rPr>
  </w:style>
  <w:style w:type="paragraph" w:customStyle="1" w:styleId="CBDFigureTitle">
    <w:name w:val="CBD_FigureTitle"/>
    <w:basedOn w:val="CBDNormal"/>
    <w:next w:val="CBDNormalNoNumber"/>
    <w:qFormat/>
    <w:rsid w:val="00F2482C"/>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ornernotation">
    <w:name w:val="Corner notation"/>
    <w:basedOn w:val="Normal"/>
    <w:rsid w:val="003D6F02"/>
    <w:pPr>
      <w:tabs>
        <w:tab w:val="clear" w:pos="567"/>
        <w:tab w:val="clear" w:pos="1134"/>
        <w:tab w:val="clear" w:pos="1701"/>
        <w:tab w:val="clear" w:pos="2268"/>
      </w:tabs>
      <w:ind w:right="3119"/>
      <w:jc w:val="left"/>
    </w:pPr>
    <w:rPr>
      <w:rFonts w:eastAsia="Times New Roman"/>
      <w:b/>
      <w:sz w:val="24"/>
      <w:szCs w:val="24"/>
    </w:rPr>
  </w:style>
  <w:style w:type="table" w:customStyle="1" w:styleId="TableGrid10">
    <w:name w:val="Table Grid1"/>
    <w:basedOn w:val="TableNormal"/>
    <w:next w:val="TableGrid"/>
    <w:uiPriority w:val="59"/>
    <w:rsid w:val="003D6F02"/>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3D6F02"/>
    <w:rPr>
      <w:b w:val="0"/>
      <w:bCs/>
      <w:sz w:val="22"/>
      <w:szCs w:val="22"/>
    </w:rPr>
  </w:style>
  <w:style w:type="paragraph" w:customStyle="1" w:styleId="Cornernotation-Item">
    <w:name w:val="Corner notation - Item"/>
    <w:basedOn w:val="Venuedate"/>
    <w:qFormat/>
    <w:rsid w:val="003D6F02"/>
    <w:rPr>
      <w:b/>
    </w:rPr>
  </w:style>
  <w:style w:type="paragraph" w:customStyle="1" w:styleId="Para1">
    <w:name w:val="Para 1"/>
    <w:basedOn w:val="Normal"/>
    <w:qFormat/>
    <w:rsid w:val="003D6F02"/>
    <w:pPr>
      <w:numPr>
        <w:numId w:val="15"/>
      </w:numPr>
      <w:tabs>
        <w:tab w:val="clear" w:pos="567"/>
        <w:tab w:val="clear" w:pos="1701"/>
        <w:tab w:val="clear" w:pos="2268"/>
      </w:tabs>
      <w:spacing w:before="120" w:after="120"/>
    </w:pPr>
    <w:rPr>
      <w:rFonts w:eastAsia="Times New Roman"/>
      <w:szCs w:val="24"/>
    </w:rPr>
  </w:style>
  <w:style w:type="paragraph" w:customStyle="1" w:styleId="Para2">
    <w:name w:val="Para 2"/>
    <w:qFormat/>
    <w:rsid w:val="003D6F02"/>
    <w:pPr>
      <w:numPr>
        <w:numId w:val="16"/>
      </w:numPr>
      <w:tabs>
        <w:tab w:val="left" w:pos="1701"/>
      </w:tabs>
      <w:spacing w:before="120" w:after="120" w:line="240" w:lineRule="auto"/>
      <w:jc w:val="both"/>
    </w:pPr>
    <w:rPr>
      <w:rFonts w:ascii="Times New Roman" w:eastAsia="Times New Roman" w:hAnsi="Times New Roman" w:cs="Times New Roman"/>
      <w:kern w:val="0"/>
      <w:sz w:val="22"/>
      <w14:ligatures w14:val="none"/>
    </w:rPr>
  </w:style>
  <w:style w:type="paragraph" w:customStyle="1" w:styleId="pf0">
    <w:name w:val="pf0"/>
    <w:basedOn w:val="Normal"/>
    <w:rsid w:val="002E17E7"/>
    <w:pPr>
      <w:tabs>
        <w:tab w:val="clear" w:pos="567"/>
        <w:tab w:val="clear" w:pos="1134"/>
        <w:tab w:val="clear" w:pos="1701"/>
        <w:tab w:val="clear" w:pos="2268"/>
      </w:tabs>
      <w:spacing w:before="100" w:beforeAutospacing="1" w:after="100" w:afterAutospacing="1"/>
      <w:ind w:left="300"/>
      <w:jc w:val="left"/>
    </w:pPr>
    <w:rPr>
      <w:rFonts w:eastAsia="Times New Roman"/>
      <w:sz w:val="24"/>
      <w:szCs w:val="24"/>
      <w:lang w:val="en-CA" w:eastAsia="zh-CN"/>
    </w:rPr>
  </w:style>
  <w:style w:type="character" w:customStyle="1" w:styleId="cf01">
    <w:name w:val="cf01"/>
    <w:basedOn w:val="DefaultParagraphFont"/>
    <w:rsid w:val="002E17E7"/>
    <w:rPr>
      <w:rFonts w:ascii="Segoe UI" w:hAnsi="Segoe UI" w:cs="Segoe UI" w:hint="default"/>
      <w:i/>
      <w:iCs/>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6-en.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ipbes.net/nexus-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5BA683AD6D4294907923313C6E7B28"/>
        <w:category>
          <w:name w:val="General"/>
          <w:gallery w:val="placeholder"/>
        </w:category>
        <w:types>
          <w:type w:val="bbPlcHdr"/>
        </w:types>
        <w:behaviors>
          <w:behavior w:val="content"/>
        </w:behaviors>
        <w:guid w:val="{D0B13F69-989D-4F50-8980-95062C905FA2}"/>
      </w:docPartPr>
      <w:docPartBody>
        <w:p w:rsidR="00322741" w:rsidRDefault="005417F0">
          <w:pPr>
            <w:pStyle w:val="235BA683AD6D4294907923313C6E7B28"/>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BD"/>
    <w:rsid w:val="00056BA3"/>
    <w:rsid w:val="000E4D9A"/>
    <w:rsid w:val="000F5A40"/>
    <w:rsid w:val="001A110C"/>
    <w:rsid w:val="00237FA8"/>
    <w:rsid w:val="0029386A"/>
    <w:rsid w:val="00322741"/>
    <w:rsid w:val="003725B4"/>
    <w:rsid w:val="003D3287"/>
    <w:rsid w:val="0042532A"/>
    <w:rsid w:val="004A60F0"/>
    <w:rsid w:val="00525C20"/>
    <w:rsid w:val="005417F0"/>
    <w:rsid w:val="00643BA8"/>
    <w:rsid w:val="008D4ED6"/>
    <w:rsid w:val="00915C4F"/>
    <w:rsid w:val="0097576E"/>
    <w:rsid w:val="0099186E"/>
    <w:rsid w:val="009D5BA9"/>
    <w:rsid w:val="00A24FBD"/>
    <w:rsid w:val="00A37B7A"/>
    <w:rsid w:val="00A67428"/>
    <w:rsid w:val="00BA1812"/>
    <w:rsid w:val="00D42B37"/>
    <w:rsid w:val="00F9443A"/>
    <w:rsid w:val="00FB4A36"/>
    <w:rsid w:val="00FF057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235BA683AD6D4294907923313C6E7B28">
    <w:name w:val="235BA683AD6D4294907923313C6E7B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2.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www.w3.org/XML/1998/namespace"/>
    <ds:schemaRef ds:uri="http://schemas.microsoft.com/office/infopath/2007/PartnerControls"/>
    <ds:schemaRef ds:uri="985ec44e-1bab-4c0b-9df0-6ba128686fc9"/>
    <ds:schemaRef ds:uri="http://schemas.microsoft.com/office/2006/metadata/properties"/>
    <ds:schemaRef ds:uri="http://purl.org/dc/dcmitype/"/>
    <ds:schemaRef ds:uri="http://purl.org/dc/terms/"/>
    <ds:schemaRef ds:uri="http://schemas.microsoft.com/office/2006/documentManagement/types"/>
    <ds:schemaRef ds:uri="http://purl.org/dc/elements/1.1/"/>
    <ds:schemaRef ds:uri="http://schemas.openxmlformats.org/package/2006/metadata/core-properties"/>
    <ds:schemaRef ds:uri="13ad741f-c0db-4e29-b5a6-03b4a1bc18ba"/>
    <ds:schemaRef ds:uri="358298e0-1b7e-4ebe-8695-94439b74f0d1"/>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6</TotalTime>
  <Pages>7</Pages>
  <Words>3126</Words>
  <Characters>18803</Characters>
  <Application>Microsoft Office Word</Application>
  <DocSecurity>0</DocSecurity>
  <Lines>298</Lines>
  <Paragraphs>80</Paragraphs>
  <ScaleCrop>false</ScaleCrop>
  <HeadingPairs>
    <vt:vector size="2" baseType="variant">
      <vt:variant>
        <vt:lpstr>Title</vt:lpstr>
      </vt:variant>
      <vt:variant>
        <vt:i4>1</vt:i4>
      </vt:variant>
    </vt:vector>
  </HeadingPairs>
  <TitlesOfParts>
    <vt:vector size="1" baseType="lpstr">
      <vt:lpstr>Review of findings from the summary for policymakers of the thematic assessment of the interlinkages among biodiversity, water, food and health and their implications for the work undertaken under the Convention</vt:lpstr>
    </vt:vector>
  </TitlesOfParts>
  <Company/>
  <LinksUpToDate>false</LinksUpToDate>
  <CharactersWithSpaces>21849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findings from the summary for policymakers of the thematic assessment of the interlinkages among biodiversity, water, food and health and their implications for the work undertaken under the Convention</dc:title>
  <dc:subject/>
  <dc:creator>Secretariat of the Convention on Biological Diversity</dc:creator>
  <cp:keywords>Subsidiary Body on Scientific, Technical and Technological Advice, twenty-seventh meeting</cp:keywords>
  <dc:description/>
  <cp:lastModifiedBy>Veronique Lefebvre</cp:lastModifiedBy>
  <cp:revision>9</cp:revision>
  <dcterms:created xsi:type="dcterms:W3CDTF">2025-07-28T18:05:00Z</dcterms:created>
  <dcterms:modified xsi:type="dcterms:W3CDTF">2025-08-07T18:41:00Z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