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353E56" w:rsidRPr="00F8252B" w14:paraId="0528D130" w14:textId="77777777">
        <w:trPr>
          <w:trHeight w:val="850"/>
        </w:trPr>
        <w:tc>
          <w:tcPr>
            <w:tcW w:w="975" w:type="dxa"/>
            <w:vAlign w:val="bottom"/>
          </w:tcPr>
          <w:p w14:paraId="1BD8BEC6" w14:textId="77777777" w:rsidR="00353E56" w:rsidRPr="00F8252B" w:rsidRDefault="00353E56">
            <w:pPr>
              <w:pStyle w:val="AASmallLogo"/>
              <w:rPr>
                <w:lang w:val="fr-FR"/>
              </w:rPr>
            </w:pPr>
            <w:bookmarkStart w:id="0" w:name="_Hlk137651738"/>
            <w:r w:rsidRPr="00F8252B">
              <w:rPr>
                <w:noProof/>
                <w:lang w:val="fr-FR"/>
              </w:rPr>
              <w:drawing>
                <wp:inline distT="0" distB="0" distL="0" distR="0" wp14:anchorId="09EDDE48" wp14:editId="05751A58">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F8252B">
              <w:rPr>
                <w:lang w:val="fr-FR"/>
              </w:rPr>
              <w:t xml:space="preserve"> </w:t>
            </w:r>
          </w:p>
          <w:p w14:paraId="651B7A3C" w14:textId="77777777" w:rsidR="00353E56" w:rsidRPr="00F8252B" w:rsidRDefault="00353E56">
            <w:pPr>
              <w:pStyle w:val="AASmallLogo"/>
              <w:rPr>
                <w:lang w:val="fr-FR"/>
              </w:rPr>
            </w:pPr>
          </w:p>
        </w:tc>
        <w:tc>
          <w:tcPr>
            <w:tcW w:w="1434" w:type="dxa"/>
            <w:noWrap/>
            <w:vAlign w:val="bottom"/>
          </w:tcPr>
          <w:p w14:paraId="6A2D3480" w14:textId="700C3893" w:rsidR="00353E56" w:rsidRPr="00F8252B" w:rsidRDefault="00E8199A">
            <w:pPr>
              <w:pStyle w:val="AASmallLogo"/>
              <w:rPr>
                <w:lang w:val="fr-FR"/>
              </w:rPr>
            </w:pPr>
            <w:r w:rsidRPr="00F8252B">
              <w:rPr>
                <w:noProof/>
                <w:lang w:val="fr-FR" w:eastAsia="fr-FR"/>
              </w:rPr>
              <w:drawing>
                <wp:inline distT="0" distB="0" distL="0" distR="0" wp14:anchorId="1FE359EA" wp14:editId="6FFD18E2">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353E56" w:rsidRPr="00F8252B">
              <w:rPr>
                <w:lang w:val="fr-FR"/>
              </w:rPr>
              <w:t xml:space="preserve"> </w:t>
            </w:r>
          </w:p>
          <w:p w14:paraId="6343F122" w14:textId="77777777" w:rsidR="00353E56" w:rsidRPr="00F8252B" w:rsidRDefault="00353E56">
            <w:pPr>
              <w:pStyle w:val="AASmallLogo"/>
              <w:rPr>
                <w:lang w:val="fr-FR"/>
              </w:rPr>
            </w:pPr>
          </w:p>
        </w:tc>
        <w:tc>
          <w:tcPr>
            <w:tcW w:w="8073" w:type="dxa"/>
            <w:vAlign w:val="bottom"/>
          </w:tcPr>
          <w:p w14:paraId="40868F00" w14:textId="4B1D5F14" w:rsidR="00353E56" w:rsidRPr="00F8252B" w:rsidRDefault="00353E56" w:rsidP="00FA2932">
            <w:pPr>
              <w:pStyle w:val="ABSymbol"/>
              <w:rPr>
                <w:lang w:val="fr-FR"/>
              </w:rPr>
            </w:pPr>
            <w:r w:rsidRPr="00F8252B">
              <w:rPr>
                <w:sz w:val="40"/>
                <w:lang w:val="fr-FR"/>
              </w:rPr>
              <w:t>CBD</w:t>
            </w:r>
            <w:r w:rsidRPr="00F8252B">
              <w:rPr>
                <w:lang w:val="fr-FR"/>
              </w:rPr>
              <w:t>/SBI/7/</w:t>
            </w:r>
            <w:r w:rsidR="00E51BE0" w:rsidRPr="00F8252B">
              <w:rPr>
                <w:lang w:val="fr-FR"/>
              </w:rPr>
              <w:t>6/Add.1</w:t>
            </w:r>
          </w:p>
        </w:tc>
      </w:tr>
    </w:tbl>
    <w:p w14:paraId="0393F4AC" w14:textId="77777777" w:rsidR="00353E56" w:rsidRPr="00F8252B" w:rsidRDefault="00353E56" w:rsidP="00A96B21">
      <w:pPr>
        <w:pStyle w:val="Cornernotation"/>
        <w:rPr>
          <w:bCs/>
          <w:sz w:val="4"/>
          <w:szCs w:val="4"/>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4F7E9A" w:rsidRPr="00F8252B" w14:paraId="337D612A" w14:textId="77777777">
        <w:trPr>
          <w:trHeight w:val="1814"/>
        </w:trPr>
        <w:tc>
          <w:tcPr>
            <w:tcW w:w="7370" w:type="dxa"/>
          </w:tcPr>
          <w:p w14:paraId="1EB39B32" w14:textId="30B86417" w:rsidR="004F7E9A" w:rsidRPr="00F8252B" w:rsidRDefault="00460DD5">
            <w:pPr>
              <w:pStyle w:val="ACLargeLogo"/>
              <w:rPr>
                <w:lang w:val="fr-FR"/>
              </w:rPr>
            </w:pPr>
            <w:r w:rsidRPr="00F8252B">
              <w:rPr>
                <w:noProof/>
                <w:sz w:val="22"/>
                <w:lang w:val="fr-FR" w:eastAsia="fr-FR"/>
              </w:rPr>
              <w:drawing>
                <wp:inline distT="0" distB="0" distL="0" distR="0" wp14:anchorId="2CE49C13" wp14:editId="59446273">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4F7E9A" w:rsidRPr="00F8252B">
              <w:rPr>
                <w:lang w:val="fr-FR"/>
              </w:rPr>
              <w:t xml:space="preserve"> </w:t>
            </w:r>
          </w:p>
          <w:p w14:paraId="6B558967" w14:textId="77777777" w:rsidR="004F7E9A" w:rsidRPr="00F8252B" w:rsidRDefault="004F7E9A">
            <w:pPr>
              <w:pStyle w:val="ACLargeLogo"/>
              <w:rPr>
                <w:lang w:val="fr-FR"/>
              </w:rPr>
            </w:pPr>
          </w:p>
        </w:tc>
        <w:tc>
          <w:tcPr>
            <w:tcW w:w="3112" w:type="dxa"/>
          </w:tcPr>
          <w:p w14:paraId="4B85361E" w14:textId="449C6FE3" w:rsidR="004F7E9A" w:rsidRPr="00F8252B" w:rsidRDefault="009B4069">
            <w:pPr>
              <w:pStyle w:val="AEDistrNormal"/>
              <w:rPr>
                <w:lang w:val="fr-FR"/>
              </w:rPr>
            </w:pPr>
            <w:r w:rsidRPr="00F8252B">
              <w:rPr>
                <w:lang w:val="fr-FR"/>
              </w:rPr>
              <w:t>Distr.</w:t>
            </w:r>
            <w:r w:rsidR="00CA1B90">
              <w:rPr>
                <w:lang w:val="fr-FR"/>
              </w:rPr>
              <w:t> :</w:t>
            </w:r>
            <w:r w:rsidRPr="00F8252B">
              <w:rPr>
                <w:lang w:val="fr-FR"/>
              </w:rPr>
              <w:t xml:space="preserve"> générale</w:t>
            </w:r>
          </w:p>
          <w:p w14:paraId="2F28BB92" w14:textId="77777777" w:rsidR="000C2D0A" w:rsidRPr="00F8252B" w:rsidRDefault="00E51BE0" w:rsidP="000C2D0A">
            <w:pPr>
              <w:pStyle w:val="AEDistrNormal"/>
              <w:rPr>
                <w:lang w:val="fr-FR"/>
              </w:rPr>
            </w:pPr>
            <w:r w:rsidRPr="00F8252B">
              <w:rPr>
                <w:lang w:val="fr-FR"/>
              </w:rPr>
              <w:t xml:space="preserve">8 </w:t>
            </w:r>
            <w:r w:rsidR="009B4069" w:rsidRPr="00F8252B">
              <w:rPr>
                <w:lang w:val="fr-FR"/>
              </w:rPr>
              <w:t>mai</w:t>
            </w:r>
            <w:r w:rsidRPr="00F8252B">
              <w:rPr>
                <w:lang w:val="fr-FR"/>
              </w:rPr>
              <w:t xml:space="preserve"> 2026</w:t>
            </w:r>
            <w:r w:rsidR="000C2D0A" w:rsidRPr="00F8252B">
              <w:rPr>
                <w:lang w:val="fr-FR"/>
              </w:rPr>
              <w:t xml:space="preserve"> </w:t>
            </w:r>
          </w:p>
          <w:p w14:paraId="71D12D0C" w14:textId="28B7D30F" w:rsidR="000C2D0A" w:rsidRPr="00F8252B" w:rsidRDefault="000C2D0A" w:rsidP="000C2D0A">
            <w:pPr>
              <w:pStyle w:val="AEDistrNormal"/>
              <w:rPr>
                <w:lang w:val="fr-FR"/>
              </w:rPr>
            </w:pPr>
            <w:r w:rsidRPr="00F8252B">
              <w:rPr>
                <w:lang w:val="fr-FR"/>
              </w:rPr>
              <w:t>Français</w:t>
            </w:r>
          </w:p>
          <w:p w14:paraId="74686665" w14:textId="1EAE0571" w:rsidR="004F7E9A" w:rsidRPr="00F8252B" w:rsidRDefault="000C2D0A" w:rsidP="000C2D0A">
            <w:pPr>
              <w:pStyle w:val="AEDistrNormal"/>
              <w:rPr>
                <w:lang w:val="fr-FR"/>
              </w:rPr>
            </w:pPr>
            <w:r w:rsidRPr="00F8252B">
              <w:rPr>
                <w:lang w:val="fr-FR"/>
              </w:rPr>
              <w:t>Original</w:t>
            </w:r>
            <w:r w:rsidR="00CA1B90">
              <w:rPr>
                <w:lang w:val="fr-FR"/>
              </w:rPr>
              <w:t> :</w:t>
            </w:r>
            <w:r w:rsidRPr="00F8252B">
              <w:rPr>
                <w:lang w:val="fr-FR"/>
              </w:rPr>
              <w:t xml:space="preserve"> anglais</w:t>
            </w:r>
            <w:r w:rsidR="004F7E9A" w:rsidRPr="00F8252B">
              <w:rPr>
                <w:lang w:val="fr-FR"/>
              </w:rPr>
              <w:t xml:space="preserve"> </w:t>
            </w:r>
          </w:p>
          <w:p w14:paraId="642D28A6" w14:textId="77777777" w:rsidR="004F7E9A" w:rsidRPr="00F8252B" w:rsidRDefault="004F7E9A">
            <w:pPr>
              <w:pStyle w:val="AEDistrNormal6pt"/>
              <w:rPr>
                <w:lang w:val="fr-FR"/>
              </w:rPr>
            </w:pPr>
          </w:p>
        </w:tc>
      </w:tr>
    </w:tbl>
    <w:p w14:paraId="6D3FC3B3" w14:textId="77777777" w:rsidR="004F7E9A" w:rsidRPr="00F8252B" w:rsidRDefault="004F7E9A" w:rsidP="00A96B21">
      <w:pPr>
        <w:pStyle w:val="Cornernotation"/>
        <w:rPr>
          <w:bCs/>
          <w:sz w:val="4"/>
          <w:szCs w:val="4"/>
          <w:lang w:val="fr-FR"/>
        </w:rPr>
      </w:pPr>
    </w:p>
    <w:tbl>
      <w:tblPr>
        <w:tblW w:w="10482" w:type="dxa"/>
        <w:tblInd w:w="-283" w:type="dxa"/>
        <w:tblLayout w:type="fixed"/>
        <w:tblCellMar>
          <w:left w:w="283" w:type="dxa"/>
        </w:tblCellMar>
        <w:tblLook w:val="0000" w:firstRow="0" w:lastRow="0" w:firstColumn="0" w:lastColumn="0" w:noHBand="0" w:noVBand="0"/>
      </w:tblPr>
      <w:tblGrid>
        <w:gridCol w:w="6403"/>
        <w:gridCol w:w="4079"/>
      </w:tblGrid>
      <w:tr w:rsidR="00046BD7" w:rsidRPr="00F8252B" w14:paraId="2B029AC3" w14:textId="77777777">
        <w:trPr>
          <w:trHeight w:val="57"/>
        </w:trPr>
        <w:tc>
          <w:tcPr>
            <w:tcW w:w="6403" w:type="dxa"/>
          </w:tcPr>
          <w:p w14:paraId="2B41542C" w14:textId="591A8816" w:rsidR="00E51EC9" w:rsidRPr="00F8252B" w:rsidRDefault="00E51EC9" w:rsidP="00E51EC9">
            <w:pPr>
              <w:pStyle w:val="AFCorN12Bold"/>
              <w:rPr>
                <w:lang w:val="fr-FR"/>
              </w:rPr>
            </w:pPr>
            <w:r w:rsidRPr="00F8252B">
              <w:rPr>
                <w:lang w:val="fr-FR"/>
              </w:rPr>
              <w:t>Organe subsidiaire chargé de l’application</w:t>
            </w:r>
          </w:p>
          <w:p w14:paraId="0446F4EE" w14:textId="77777777" w:rsidR="00E51EC9" w:rsidRPr="00F8252B" w:rsidRDefault="00E51EC9" w:rsidP="00E51EC9">
            <w:pPr>
              <w:pStyle w:val="AFCorN12Bold"/>
              <w:rPr>
                <w:lang w:val="fr-FR"/>
              </w:rPr>
            </w:pPr>
            <w:r w:rsidRPr="00F8252B">
              <w:rPr>
                <w:lang w:val="fr-FR"/>
              </w:rPr>
              <w:t>Septième réunion</w:t>
            </w:r>
          </w:p>
          <w:p w14:paraId="760647DF" w14:textId="312EF2E1" w:rsidR="00046BD7" w:rsidRPr="00F8252B" w:rsidRDefault="00E51EC9" w:rsidP="00E51EC9">
            <w:pPr>
              <w:pStyle w:val="AFCorNNormal"/>
              <w:rPr>
                <w:lang w:val="fr-FR"/>
              </w:rPr>
            </w:pPr>
            <w:r w:rsidRPr="00F8252B">
              <w:rPr>
                <w:lang w:val="fr-FR"/>
              </w:rPr>
              <w:t>Nairobi, 4–12 août 2026</w:t>
            </w:r>
          </w:p>
          <w:p w14:paraId="6A003B75" w14:textId="4F03F737" w:rsidR="00046BD7" w:rsidRPr="00F8252B" w:rsidRDefault="000D3729">
            <w:pPr>
              <w:pStyle w:val="AFCorNNormal"/>
              <w:rPr>
                <w:lang w:val="fr-FR"/>
              </w:rPr>
            </w:pPr>
            <w:r w:rsidRPr="00F8252B">
              <w:rPr>
                <w:lang w:val="fr-FR"/>
              </w:rPr>
              <w:t>Point </w:t>
            </w:r>
            <w:r w:rsidR="00046BD7" w:rsidRPr="00F8252B">
              <w:rPr>
                <w:lang w:val="fr-FR"/>
              </w:rPr>
              <w:t xml:space="preserve">6 </w:t>
            </w:r>
            <w:r w:rsidRPr="00F8252B">
              <w:rPr>
                <w:lang w:val="fr-FR"/>
              </w:rPr>
              <w:t>de l’ordre du jour provisoire</w:t>
            </w:r>
            <w:r w:rsidR="00046BD7" w:rsidRPr="00F8252B">
              <w:rPr>
                <w:rStyle w:val="Appelnotedebasdep"/>
                <w:lang w:val="fr-FR"/>
              </w:rPr>
              <w:footnoteReference w:customMarkFollows="1" w:id="1"/>
              <w:t>*</w:t>
            </w:r>
          </w:p>
          <w:p w14:paraId="25F5E4AD" w14:textId="5E76DFB5" w:rsidR="00046BD7" w:rsidRPr="00F8252B" w:rsidRDefault="00CB693B" w:rsidP="00BA5747">
            <w:pPr>
              <w:pStyle w:val="AFCorNot12Bold"/>
              <w:rPr>
                <w:lang w:val="fr-FR"/>
              </w:rPr>
            </w:pPr>
            <w:r w:rsidRPr="00F8252B">
              <w:rPr>
                <w:sz w:val="22"/>
                <w:lang w:val="fr-FR"/>
              </w:rPr>
              <w:t>Cinquième exercice d’évaluation et d’examen de l’efficacité</w:t>
            </w:r>
            <w:r w:rsidRPr="00F8252B">
              <w:rPr>
                <w:sz w:val="22"/>
                <w:lang w:val="fr-FR"/>
              </w:rPr>
              <w:br/>
              <w:t>du Protocole de Cartagena sur la prévention des risques</w:t>
            </w:r>
            <w:r w:rsidRPr="00F8252B">
              <w:rPr>
                <w:sz w:val="22"/>
                <w:lang w:val="fr-FR"/>
              </w:rPr>
              <w:br/>
              <w:t xml:space="preserve">biotechnologiques et évaluation </w:t>
            </w:r>
            <w:r w:rsidR="00C3694D" w:rsidRPr="00F8252B">
              <w:rPr>
                <w:sz w:val="22"/>
                <w:lang w:val="fr-FR"/>
              </w:rPr>
              <w:t>à mi-parc</w:t>
            </w:r>
            <w:r w:rsidR="00471300" w:rsidRPr="00F8252B">
              <w:rPr>
                <w:sz w:val="22"/>
                <w:lang w:val="fr-FR"/>
              </w:rPr>
              <w:t>ours du plan</w:t>
            </w:r>
            <w:r w:rsidR="00BA5747" w:rsidRPr="00F8252B">
              <w:rPr>
                <w:sz w:val="22"/>
                <w:lang w:val="fr-FR"/>
              </w:rPr>
              <w:br/>
            </w:r>
            <w:r w:rsidR="00471300" w:rsidRPr="00F8252B">
              <w:rPr>
                <w:sz w:val="22"/>
                <w:lang w:val="fr-FR"/>
              </w:rPr>
              <w:t xml:space="preserve">de mise en œuvre et du plan </w:t>
            </w:r>
            <w:r w:rsidR="00BE5FFF" w:rsidRPr="00F8252B">
              <w:rPr>
                <w:sz w:val="22"/>
                <w:lang w:val="fr-FR"/>
              </w:rPr>
              <w:t>d’action pour la création</w:t>
            </w:r>
            <w:r w:rsidR="00471300" w:rsidRPr="00F8252B">
              <w:rPr>
                <w:sz w:val="22"/>
                <w:lang w:val="fr-FR"/>
              </w:rPr>
              <w:t xml:space="preserve"> </w:t>
            </w:r>
            <w:r w:rsidR="00BE5FFF" w:rsidRPr="00F8252B">
              <w:rPr>
                <w:sz w:val="22"/>
                <w:lang w:val="fr-FR"/>
              </w:rPr>
              <w:t>et le</w:t>
            </w:r>
            <w:r w:rsidR="00BA5747" w:rsidRPr="00F8252B">
              <w:rPr>
                <w:sz w:val="22"/>
                <w:lang w:val="fr-FR"/>
              </w:rPr>
              <w:br/>
            </w:r>
            <w:r w:rsidR="003A33B0" w:rsidRPr="00F8252B">
              <w:rPr>
                <w:sz w:val="22"/>
                <w:lang w:val="fr-FR"/>
              </w:rPr>
              <w:t>renforcement des capacités</w:t>
            </w:r>
            <w:r w:rsidR="00BE5FFF" w:rsidRPr="00F8252B">
              <w:rPr>
                <w:sz w:val="22"/>
                <w:lang w:val="fr-FR"/>
              </w:rPr>
              <w:t xml:space="preserve"> </w:t>
            </w:r>
            <w:r w:rsidR="00BA5747" w:rsidRPr="00F8252B">
              <w:rPr>
                <w:sz w:val="22"/>
                <w:lang w:val="fr-FR"/>
              </w:rPr>
              <w:t>d</w:t>
            </w:r>
            <w:r w:rsidR="003A33B0" w:rsidRPr="00F8252B">
              <w:rPr>
                <w:sz w:val="22"/>
                <w:lang w:val="fr-FR"/>
              </w:rPr>
              <w:t>u Protocole</w:t>
            </w:r>
          </w:p>
        </w:tc>
        <w:tc>
          <w:tcPr>
            <w:tcW w:w="4079" w:type="dxa"/>
          </w:tcPr>
          <w:p w14:paraId="65528D46" w14:textId="77777777" w:rsidR="00046BD7" w:rsidRPr="00F8252B" w:rsidRDefault="00046BD7">
            <w:pPr>
              <w:pStyle w:val="CBDNormal"/>
              <w:jc w:val="left"/>
              <w:rPr>
                <w:lang w:val="fr-FR"/>
              </w:rPr>
            </w:pPr>
          </w:p>
        </w:tc>
      </w:tr>
    </w:tbl>
    <w:bookmarkEnd w:id="0"/>
    <w:p w14:paraId="1DC77878" w14:textId="1A90B65B" w:rsidR="00A96B21" w:rsidRPr="00F8252B" w:rsidRDefault="00757093" w:rsidP="00352810">
      <w:pPr>
        <w:pStyle w:val="CBDTitle"/>
        <w:rPr>
          <w:lang w:val="fr-FR"/>
        </w:rPr>
      </w:pPr>
      <w:sdt>
        <w:sdtPr>
          <w:rPr>
            <w:lang w:val="fr-FR"/>
          </w:rPr>
          <w:alias w:val="Title"/>
          <w:tag w:val=""/>
          <w:id w:val="-1975355689"/>
          <w:placeholder>
            <w:docPart w:val="D2E85BEDD486447E885E558869939F08"/>
          </w:placeholder>
          <w:dataBinding w:prefixMappings="xmlns:ns0='http://purl.org/dc/elements/1.1/' xmlns:ns1='http://schemas.openxmlformats.org/package/2006/metadata/core-properties' " w:xpath="/ns1:coreProperties[1]/ns0:title[1]" w:storeItemID="{6C3C8BC8-F283-45AE-878A-BAB7291924A1}"/>
          <w:text/>
        </w:sdtPr>
        <w:sdtEndPr/>
        <w:sdtContent>
          <w:r w:rsidR="00352810" w:rsidRPr="00F8252B">
            <w:rPr>
              <w:lang w:val="fr-FR"/>
            </w:rPr>
            <w:t>Analyse des informations en vue du cinquième exercice d’évaluation et d’examen de l’efficacité du Protocole de Cartagena sur la prévention des risques biotechnologiques et évaluation à mi-parcours du plan de mise en œuvre et du plan d’action pour la création et le renforcement des capacités du Protocole</w:t>
          </w:r>
        </w:sdtContent>
      </w:sdt>
    </w:p>
    <w:p w14:paraId="717646C7" w14:textId="3F722063" w:rsidR="0079378A" w:rsidRPr="00F8252B" w:rsidRDefault="00F04116" w:rsidP="00F04116">
      <w:pPr>
        <w:pStyle w:val="CBDSubTitle"/>
        <w:rPr>
          <w:lang w:val="fr-FR"/>
        </w:rPr>
      </w:pPr>
      <w:r w:rsidRPr="00F8252B">
        <w:rPr>
          <w:lang w:val="fr-FR"/>
        </w:rPr>
        <w:t xml:space="preserve">Note </w:t>
      </w:r>
      <w:r w:rsidR="00352810" w:rsidRPr="00F8252B">
        <w:rPr>
          <w:lang w:val="fr-FR"/>
        </w:rPr>
        <w:t>du s</w:t>
      </w:r>
      <w:r w:rsidRPr="00F8252B">
        <w:rPr>
          <w:lang w:val="fr-FR"/>
        </w:rPr>
        <w:t>ecr</w:t>
      </w:r>
      <w:r w:rsidR="00352810" w:rsidRPr="00F8252B">
        <w:rPr>
          <w:lang w:val="fr-FR"/>
        </w:rPr>
        <w:t>é</w:t>
      </w:r>
      <w:r w:rsidRPr="00F8252B">
        <w:rPr>
          <w:lang w:val="fr-FR"/>
        </w:rPr>
        <w:t>tariat</w:t>
      </w:r>
    </w:p>
    <w:p w14:paraId="6C733A6F" w14:textId="756A8B6B" w:rsidR="000C026D" w:rsidRPr="00F8252B" w:rsidRDefault="00545427" w:rsidP="00D3610F">
      <w:pPr>
        <w:pStyle w:val="CBDH1"/>
        <w:rPr>
          <w:lang w:val="fr-FR"/>
        </w:rPr>
      </w:pPr>
      <w:r w:rsidRPr="00F8252B">
        <w:rPr>
          <w:lang w:val="fr-FR"/>
        </w:rPr>
        <w:t>I.</w:t>
      </w:r>
      <w:r w:rsidRPr="00F8252B">
        <w:rPr>
          <w:lang w:val="fr-FR"/>
        </w:rPr>
        <w:tab/>
      </w:r>
      <w:r w:rsidR="000C026D" w:rsidRPr="00F8252B">
        <w:rPr>
          <w:lang w:val="fr-FR"/>
        </w:rPr>
        <w:t>Introduction</w:t>
      </w:r>
    </w:p>
    <w:p w14:paraId="4EA21118" w14:textId="032DD313" w:rsidR="00A74263" w:rsidRPr="00F8252B" w:rsidRDefault="00BE2EB8" w:rsidP="00FA2932">
      <w:pPr>
        <w:pStyle w:val="CBDNormalNumber"/>
        <w:rPr>
          <w:snapToGrid w:val="0"/>
          <w:lang w:val="fr-FR"/>
        </w:rPr>
      </w:pPr>
      <w:r w:rsidRPr="00F8252B">
        <w:rPr>
          <w:snapToGrid w:val="0"/>
          <w:lang w:val="fr-FR"/>
        </w:rPr>
        <w:t>Conformément à l’article</w:t>
      </w:r>
      <w:r w:rsidR="00B1445D" w:rsidRPr="00F8252B">
        <w:rPr>
          <w:snapToGrid w:val="0"/>
          <w:lang w:val="fr-FR"/>
        </w:rPr>
        <w:t> </w:t>
      </w:r>
      <w:r w:rsidRPr="00F8252B">
        <w:rPr>
          <w:snapToGrid w:val="0"/>
          <w:lang w:val="fr-FR"/>
        </w:rPr>
        <w:t>35 du Protocole de Cartagena sur la prévention des risques biotechnologiques, la Conférence des Parties siégeant en tant que réunion des Parties au Protocole est tenue de procéder à une évaluation de l’efficacité du Protocole au moins tous les cinq ans. Tout récemment, la Conférence des Parties siégeant en tant que réunion des Parties au Protocole a procédé au quatrième exercice d'évaluation et d'examen lors de sa dixième réunion (voir la décision </w:t>
      </w:r>
      <w:hyperlink r:id="rId14" w:history="1">
        <w:r w:rsidR="00A74263" w:rsidRPr="00F8252B">
          <w:rPr>
            <w:rStyle w:val="Lienhypertexte"/>
            <w:snapToGrid w:val="0"/>
            <w:lang w:val="fr-FR"/>
          </w:rPr>
          <w:t>CP-10/7</w:t>
        </w:r>
      </w:hyperlink>
      <w:r w:rsidR="00A74263" w:rsidRPr="00F8252B">
        <w:rPr>
          <w:snapToGrid w:val="0"/>
          <w:lang w:val="fr-FR"/>
        </w:rPr>
        <w:t xml:space="preserve">). </w:t>
      </w:r>
    </w:p>
    <w:p w14:paraId="3A76AD58" w14:textId="4D05DD20" w:rsidR="00A74263" w:rsidRPr="00F8252B" w:rsidRDefault="001C65D7" w:rsidP="00FA2932">
      <w:pPr>
        <w:pStyle w:val="CBDNormalNumber"/>
        <w:rPr>
          <w:snapToGrid w:val="0"/>
          <w:kern w:val="22"/>
          <w:lang w:val="fr-FR"/>
        </w:rPr>
      </w:pPr>
      <w:r w:rsidRPr="00F8252B">
        <w:rPr>
          <w:snapToGrid w:val="0"/>
          <w:kern w:val="22"/>
          <w:lang w:val="fr-FR"/>
        </w:rPr>
        <w:t>Dans ses décisions </w:t>
      </w:r>
      <w:hyperlink r:id="rId15" w:history="1">
        <w:r w:rsidR="00A74263" w:rsidRPr="00F8252B">
          <w:rPr>
            <w:rStyle w:val="Lienhypertexte"/>
            <w:snapToGrid w:val="0"/>
            <w:kern w:val="22"/>
            <w:lang w:val="fr-FR"/>
          </w:rPr>
          <w:t>CP-10/3</w:t>
        </w:r>
      </w:hyperlink>
      <w:r w:rsidR="00A74263" w:rsidRPr="00F8252B">
        <w:rPr>
          <w:snapToGrid w:val="0"/>
          <w:kern w:val="22"/>
          <w:lang w:val="fr-FR"/>
        </w:rPr>
        <w:t xml:space="preserve"> </w:t>
      </w:r>
      <w:r w:rsidRPr="00F8252B">
        <w:rPr>
          <w:snapToGrid w:val="0"/>
          <w:kern w:val="22"/>
          <w:lang w:val="fr-FR"/>
        </w:rPr>
        <w:t xml:space="preserve">et </w:t>
      </w:r>
      <w:hyperlink r:id="rId16" w:history="1">
        <w:r w:rsidR="00A74263" w:rsidRPr="00F8252B">
          <w:rPr>
            <w:rStyle w:val="Lienhypertexte"/>
            <w:snapToGrid w:val="0"/>
            <w:kern w:val="22"/>
            <w:lang w:val="fr-FR"/>
          </w:rPr>
          <w:t>CP-10/4</w:t>
        </w:r>
      </w:hyperlink>
      <w:r w:rsidR="00A74263" w:rsidRPr="00F8252B">
        <w:rPr>
          <w:snapToGrid w:val="0"/>
          <w:kern w:val="22"/>
          <w:lang w:val="fr-FR"/>
        </w:rPr>
        <w:t xml:space="preserve">, </w:t>
      </w:r>
      <w:r w:rsidR="00541826" w:rsidRPr="00F8252B">
        <w:rPr>
          <w:snapToGrid w:val="0"/>
          <w:kern w:val="22"/>
          <w:lang w:val="fr-FR"/>
        </w:rPr>
        <w:t xml:space="preserve">la Conférence des Parties siégeant en tant que réunion des Parties au Protocole de Cartagena a adopté le plan de mise en œuvre du Protocole de Cartagena sur la prévention des risques biotechnologiques et le plan d’action pour le renforcement des capacités au titre </w:t>
      </w:r>
      <w:r w:rsidR="00ED1CCE" w:rsidRPr="00F8252B">
        <w:rPr>
          <w:snapToGrid w:val="0"/>
          <w:kern w:val="22"/>
          <w:lang w:val="fr-FR"/>
        </w:rPr>
        <w:t>du</w:t>
      </w:r>
      <w:r w:rsidR="00541826" w:rsidRPr="00F8252B">
        <w:rPr>
          <w:snapToGrid w:val="0"/>
          <w:kern w:val="22"/>
          <w:lang w:val="fr-FR"/>
        </w:rPr>
        <w:t xml:space="preserve"> Protocole</w:t>
      </w:r>
      <w:r w:rsidR="003C2FCE" w:rsidRPr="00F8252B">
        <w:rPr>
          <w:snapToGrid w:val="0"/>
          <w:kern w:val="22"/>
          <w:lang w:val="fr-FR"/>
        </w:rPr>
        <w:t xml:space="preserve"> de Cartagena</w:t>
      </w:r>
      <w:r w:rsidR="00541826" w:rsidRPr="00F8252B">
        <w:rPr>
          <w:snapToGrid w:val="0"/>
          <w:kern w:val="22"/>
          <w:lang w:val="fr-FR"/>
        </w:rPr>
        <w:t>. Dans les décisions</w:t>
      </w:r>
      <w:r w:rsidR="00263408" w:rsidRPr="00F8252B">
        <w:rPr>
          <w:snapToGrid w:val="0"/>
          <w:kern w:val="22"/>
          <w:lang w:val="fr-FR"/>
        </w:rPr>
        <w:t> </w:t>
      </w:r>
      <w:r w:rsidR="00541826" w:rsidRPr="00F8252B">
        <w:rPr>
          <w:snapToGrid w:val="0"/>
          <w:kern w:val="22"/>
          <w:lang w:val="fr-FR"/>
        </w:rPr>
        <w:t xml:space="preserve">CP-10/3 et CP-10/4, la Conférence des Parties siégeant en tant que réunion des Parties au Protocole a décidé de procéder, respectivement, à une évaluation à mi-parcours du plan de mise en œuvre </w:t>
      </w:r>
      <w:r w:rsidR="00711BC4" w:rsidRPr="00F8252B">
        <w:rPr>
          <w:snapToGrid w:val="0"/>
          <w:kern w:val="22"/>
          <w:lang w:val="fr-FR"/>
        </w:rPr>
        <w:t xml:space="preserve">simultanément </w:t>
      </w:r>
      <w:r w:rsidR="00541826" w:rsidRPr="00F8252B">
        <w:rPr>
          <w:snapToGrid w:val="0"/>
          <w:kern w:val="22"/>
          <w:lang w:val="fr-FR"/>
        </w:rPr>
        <w:t xml:space="preserve">à l’exercice d’évaluation et d’examen de l’efficacité du Protocole, </w:t>
      </w:r>
      <w:r w:rsidR="00711BC4" w:rsidRPr="00F8252B">
        <w:rPr>
          <w:snapToGrid w:val="0"/>
          <w:kern w:val="22"/>
          <w:lang w:val="fr-FR"/>
        </w:rPr>
        <w:t>ainsi qu’</w:t>
      </w:r>
      <w:r w:rsidR="00541826" w:rsidRPr="00F8252B">
        <w:rPr>
          <w:snapToGrid w:val="0"/>
          <w:kern w:val="22"/>
          <w:lang w:val="fr-FR"/>
        </w:rPr>
        <w:t>à une évaluation à mi-parcours du plan d’action pour le renforcement des capacités parallèlement à l’évaluation à mi-parcours du plan de mise en œuvre.</w:t>
      </w:r>
      <w:r w:rsidR="00A74263" w:rsidRPr="00F8252B">
        <w:rPr>
          <w:snapToGrid w:val="0"/>
          <w:kern w:val="22"/>
          <w:lang w:val="fr-FR"/>
        </w:rPr>
        <w:t xml:space="preserve"> </w:t>
      </w:r>
    </w:p>
    <w:p w14:paraId="75E4EAD2" w14:textId="4FF401D4" w:rsidR="00A74263" w:rsidRPr="00F8252B" w:rsidRDefault="001324D3" w:rsidP="00FA2932">
      <w:pPr>
        <w:pStyle w:val="CBDNormalNumber"/>
        <w:rPr>
          <w:snapToGrid w:val="0"/>
          <w:kern w:val="22"/>
          <w:lang w:val="fr-FR"/>
        </w:rPr>
      </w:pPr>
      <w:r w:rsidRPr="00F8252B">
        <w:rPr>
          <w:snapToGrid w:val="0"/>
          <w:kern w:val="22"/>
          <w:lang w:val="fr-FR"/>
        </w:rPr>
        <w:t>Dans sa décision </w:t>
      </w:r>
      <w:hyperlink r:id="rId17" w:history="1">
        <w:r w:rsidR="00A74263" w:rsidRPr="00F8252B">
          <w:rPr>
            <w:rStyle w:val="Lienhypertexte"/>
            <w:snapToGrid w:val="0"/>
            <w:kern w:val="22"/>
            <w:lang w:val="fr-FR"/>
          </w:rPr>
          <w:t>CP-10/3</w:t>
        </w:r>
      </w:hyperlink>
      <w:r w:rsidR="00A74263" w:rsidRPr="00F8252B">
        <w:rPr>
          <w:snapToGrid w:val="0"/>
          <w:kern w:val="22"/>
          <w:lang w:val="fr-FR"/>
        </w:rPr>
        <w:t xml:space="preserve">, </w:t>
      </w:r>
      <w:r w:rsidR="00563B70" w:rsidRPr="00F8252B">
        <w:rPr>
          <w:snapToGrid w:val="0"/>
          <w:kern w:val="22"/>
          <w:lang w:val="fr-FR"/>
        </w:rPr>
        <w:t xml:space="preserve">la Conférence des Parties siégeant en tant que réunion des Parties au Protocole de Cartagena a prié la Secrétaire exécutive de la Convention sur la diversité biologique d'inclure, dans le modèle de rapport destiné au cinquième rapport national sur la mise en œuvre du Protocole, des questions visant à recueillir des informations sur les indicateurs du plan de mise en œuvre, d'analyser et de synthétiser ces informations afin de faciliter l'évaluation à mi-parcours, et de </w:t>
      </w:r>
      <w:r w:rsidR="00563B70" w:rsidRPr="00F8252B">
        <w:rPr>
          <w:snapToGrid w:val="0"/>
          <w:kern w:val="22"/>
          <w:lang w:val="fr-FR"/>
        </w:rPr>
        <w:lastRenderedPageBreak/>
        <w:t>mettre ces informations à la disposition du Groupe de liaison pour le Protocole de Cartagena sur la prévention des risques biotechnologiques et, le cas échéant, au Comité chargé du respect des obligations.</w:t>
      </w:r>
    </w:p>
    <w:p w14:paraId="6A118308" w14:textId="37BE7A0B" w:rsidR="00A74263" w:rsidRPr="00F8252B" w:rsidRDefault="002617D1" w:rsidP="00FA2932">
      <w:pPr>
        <w:pStyle w:val="CBDNormalNumber"/>
        <w:rPr>
          <w:snapToGrid w:val="0"/>
          <w:kern w:val="22"/>
          <w:lang w:val="fr-FR"/>
        </w:rPr>
      </w:pPr>
      <w:r w:rsidRPr="00F8252B">
        <w:rPr>
          <w:snapToGrid w:val="0"/>
          <w:kern w:val="22"/>
          <w:lang w:val="fr-FR"/>
        </w:rPr>
        <w:t>Dans cette même décision, la Conférence des Parties siégeant en tant que réunion des Parties au Protocole a demandé à l’Organe subsidiaire chargé de l'application d'examiner, lors d’une réunion qui se tiendra avant la douzième session de la Conférence des Parties siégeant en tant que réunion des Parties au Protocole, les informations fournies et les conclusions auxquelles seraient parvenus le Groupe de liaison et le Comité chargé du respect des obligations, et de présenter ses conclusions et recommandations à la Conférence des Parties siégeant en tant que réunion des Parties au Protocole à sa douzième réunion, en vue de faciliter l’évaluation à mi-parcours du plan de mise en œuvre.</w:t>
      </w:r>
    </w:p>
    <w:p w14:paraId="3CDCB6C7" w14:textId="19C325E0" w:rsidR="00A74263" w:rsidRPr="00F8252B" w:rsidRDefault="00DB53C8" w:rsidP="00FA2932">
      <w:pPr>
        <w:pStyle w:val="CBDNormalNumber"/>
        <w:rPr>
          <w:snapToGrid w:val="0"/>
          <w:kern w:val="22"/>
          <w:lang w:val="fr-FR"/>
        </w:rPr>
      </w:pPr>
      <w:r w:rsidRPr="00F8252B">
        <w:rPr>
          <w:snapToGrid w:val="0"/>
          <w:kern w:val="22"/>
          <w:lang w:val="fr-FR"/>
        </w:rPr>
        <w:t>La présente note expose l'analyse et la synthèse des informations relatives au cinquième exercice d'évaluation et d'examen de l'efficacité du Protocole, ainsi qu'à l'évaluation à mi-parcours des plan de mise en œuvre et plan d'action pour le renforcement des capacités.</w:t>
      </w:r>
    </w:p>
    <w:p w14:paraId="7A5CC735" w14:textId="100C79ED" w:rsidR="00A74263" w:rsidRPr="00F8252B" w:rsidRDefault="00B72BAB" w:rsidP="00FA2932">
      <w:pPr>
        <w:pStyle w:val="CBDNormalNumber"/>
        <w:rPr>
          <w:snapToGrid w:val="0"/>
          <w:kern w:val="22"/>
          <w:lang w:val="fr-FR"/>
        </w:rPr>
      </w:pPr>
      <w:r w:rsidRPr="00F8252B">
        <w:rPr>
          <w:snapToGrid w:val="0"/>
          <w:kern w:val="22"/>
          <w:lang w:val="fr-FR"/>
        </w:rPr>
        <w:t>La</w:t>
      </w:r>
      <w:r w:rsidR="004E153B" w:rsidRPr="00F8252B">
        <w:rPr>
          <w:snapToGrid w:val="0"/>
          <w:kern w:val="22"/>
          <w:lang w:val="fr-FR"/>
        </w:rPr>
        <w:t> </w:t>
      </w:r>
      <w:r w:rsidRPr="00F8252B">
        <w:rPr>
          <w:snapToGrid w:val="0"/>
          <w:kern w:val="22"/>
          <w:lang w:val="fr-FR"/>
        </w:rPr>
        <w:t>section II ci-dessous décrit la méthodologie utilisée pour l'analyse de ces informations. La section III présente une analyse et une synthèse des informations pertinentes pour mesurer les progrès accomplis dans la réalisation des objectifs et des buts du plan de mise en œuvre et du plan d'action pour le renforcement des capacités, ainsi que dans la mise en œuvre du Protocole de Cartagena.</w:t>
      </w:r>
    </w:p>
    <w:p w14:paraId="243885A6" w14:textId="6E994B50" w:rsidR="000C026D" w:rsidRPr="00F8252B" w:rsidRDefault="006B7469" w:rsidP="00D3610F">
      <w:pPr>
        <w:pStyle w:val="CBDH1"/>
        <w:rPr>
          <w:lang w:val="fr-FR"/>
        </w:rPr>
      </w:pPr>
      <w:r w:rsidRPr="00F8252B">
        <w:rPr>
          <w:lang w:val="fr-FR"/>
        </w:rPr>
        <w:t>II.</w:t>
      </w:r>
      <w:r w:rsidRPr="00F8252B">
        <w:rPr>
          <w:lang w:val="fr-FR"/>
        </w:rPr>
        <w:tab/>
      </w:r>
      <w:r w:rsidR="00C255E1" w:rsidRPr="00F8252B">
        <w:rPr>
          <w:lang w:val="fr-FR"/>
        </w:rPr>
        <w:t>Méthodologie</w:t>
      </w:r>
    </w:p>
    <w:p w14:paraId="0620216F" w14:textId="31C86341" w:rsidR="00643511" w:rsidRPr="00F8252B" w:rsidRDefault="004B1A1E" w:rsidP="00FA2932">
      <w:pPr>
        <w:pStyle w:val="CBDNormalNumber"/>
        <w:rPr>
          <w:snapToGrid w:val="0"/>
          <w:kern w:val="22"/>
          <w:lang w:val="fr-FR"/>
        </w:rPr>
      </w:pPr>
      <w:r w:rsidRPr="00F8252B">
        <w:rPr>
          <w:snapToGrid w:val="0"/>
          <w:kern w:val="22"/>
          <w:lang w:val="fr-FR"/>
        </w:rPr>
        <w:t>Dans ses décisions </w:t>
      </w:r>
      <w:hyperlink r:id="rId18" w:history="1">
        <w:r w:rsidR="00643511" w:rsidRPr="00F8252B">
          <w:rPr>
            <w:rStyle w:val="Lienhypertexte"/>
            <w:snapToGrid w:val="0"/>
            <w:kern w:val="22"/>
            <w:lang w:val="fr-FR"/>
          </w:rPr>
          <w:t>CP-10/3</w:t>
        </w:r>
      </w:hyperlink>
      <w:r w:rsidR="00643511" w:rsidRPr="00F8252B">
        <w:rPr>
          <w:snapToGrid w:val="0"/>
          <w:kern w:val="22"/>
          <w:lang w:val="fr-FR"/>
        </w:rPr>
        <w:t xml:space="preserve"> </w:t>
      </w:r>
      <w:r w:rsidRPr="00F8252B">
        <w:rPr>
          <w:snapToGrid w:val="0"/>
          <w:kern w:val="22"/>
          <w:lang w:val="fr-FR"/>
        </w:rPr>
        <w:t xml:space="preserve">et </w:t>
      </w:r>
      <w:hyperlink r:id="rId19" w:history="1">
        <w:r w:rsidR="00643511" w:rsidRPr="00F8252B">
          <w:rPr>
            <w:rStyle w:val="Lienhypertexte"/>
            <w:snapToGrid w:val="0"/>
            <w:kern w:val="22"/>
            <w:lang w:val="fr-FR"/>
          </w:rPr>
          <w:t>CP-10/4</w:t>
        </w:r>
      </w:hyperlink>
      <w:r w:rsidR="00643511" w:rsidRPr="00F8252B">
        <w:rPr>
          <w:snapToGrid w:val="0"/>
          <w:kern w:val="22"/>
          <w:lang w:val="fr-FR"/>
        </w:rPr>
        <w:t xml:space="preserve">, </w:t>
      </w:r>
      <w:r w:rsidR="003C5265" w:rsidRPr="00F8252B">
        <w:rPr>
          <w:snapToGrid w:val="0"/>
          <w:kern w:val="22"/>
          <w:lang w:val="fr-FR"/>
        </w:rPr>
        <w:t xml:space="preserve">La Conférence des Parties siégeant en tant que réunion des Parties au Protocole de Cartagena a décidé que la référence aux fins du plan de mise en œuvre et du plan d'action pour le renforcement des capacités </w:t>
      </w:r>
      <w:r w:rsidR="0029164C" w:rsidRPr="00F8252B">
        <w:rPr>
          <w:snapToGrid w:val="0"/>
          <w:kern w:val="22"/>
          <w:lang w:val="fr-FR"/>
        </w:rPr>
        <w:t xml:space="preserve">serait </w:t>
      </w:r>
      <w:r w:rsidR="000C145F" w:rsidRPr="00F8252B">
        <w:rPr>
          <w:snapToGrid w:val="0"/>
          <w:kern w:val="22"/>
          <w:lang w:val="fr-FR"/>
        </w:rPr>
        <w:t>fondée</w:t>
      </w:r>
      <w:r w:rsidR="0029164C" w:rsidRPr="00F8252B">
        <w:rPr>
          <w:snapToGrid w:val="0"/>
          <w:kern w:val="22"/>
          <w:lang w:val="fr-FR"/>
        </w:rPr>
        <w:t xml:space="preserve"> sur</w:t>
      </w:r>
      <w:r w:rsidR="003C5265" w:rsidRPr="00F8252B">
        <w:rPr>
          <w:snapToGrid w:val="0"/>
          <w:kern w:val="22"/>
          <w:lang w:val="fr-FR"/>
        </w:rPr>
        <w:t xml:space="preserve"> les informations recueillies au cours du quatrième cycle d'établissement de rapports</w:t>
      </w:r>
      <w:r w:rsidR="00643511" w:rsidRPr="00F8252B">
        <w:rPr>
          <w:rStyle w:val="Appelnotedebasdep"/>
          <w:snapToGrid w:val="0"/>
          <w:kern w:val="22"/>
          <w:lang w:val="fr-FR"/>
        </w:rPr>
        <w:footnoteReference w:id="2"/>
      </w:r>
      <w:r w:rsidR="003C5265" w:rsidRPr="00F8252B">
        <w:rPr>
          <w:snapToGrid w:val="0"/>
          <w:kern w:val="22"/>
          <w:lang w:val="fr-FR"/>
        </w:rPr>
        <w:t>.</w:t>
      </w:r>
      <w:r w:rsidR="00643511" w:rsidRPr="00F8252B">
        <w:rPr>
          <w:snapToGrid w:val="0"/>
          <w:kern w:val="22"/>
          <w:lang w:val="fr-FR"/>
        </w:rPr>
        <w:t xml:space="preserve"> </w:t>
      </w:r>
    </w:p>
    <w:p w14:paraId="51E6AD66" w14:textId="77777777" w:rsidR="00BB6081" w:rsidRPr="00F8252B" w:rsidRDefault="00BB6081" w:rsidP="00BB6081">
      <w:pPr>
        <w:pStyle w:val="CBDNormalNumber"/>
        <w:rPr>
          <w:snapToGrid w:val="0"/>
          <w:kern w:val="22"/>
          <w:lang w:val="fr-FR"/>
        </w:rPr>
      </w:pPr>
      <w:r w:rsidRPr="00F8252B">
        <w:rPr>
          <w:snapToGrid w:val="0"/>
          <w:kern w:val="22"/>
          <w:lang w:val="fr-FR"/>
        </w:rPr>
        <w:t>Le présent document propose une analyse des informations relatives aux indicateurs du plan de mise en œuvre et du plan d'action pour le renforcement des capacités par rapport aux données de référence.</w:t>
      </w:r>
    </w:p>
    <w:p w14:paraId="79DF20E0" w14:textId="63224645" w:rsidR="00AE576D" w:rsidRPr="00F8252B" w:rsidRDefault="0047688A" w:rsidP="00FA2932">
      <w:pPr>
        <w:pStyle w:val="CBDNormalNumber"/>
        <w:rPr>
          <w:snapToGrid w:val="0"/>
          <w:kern w:val="22"/>
          <w:lang w:val="fr-FR"/>
        </w:rPr>
      </w:pPr>
      <w:r w:rsidRPr="00F8252B">
        <w:rPr>
          <w:snapToGrid w:val="0"/>
          <w:kern w:val="22"/>
          <w:lang w:val="fr-FR"/>
        </w:rPr>
        <w:t>Les principales sources d'information utilisées sont les cinquièmes rapports nationaux sur la mise en œuvre du Protocole, le Centre d'échange pour la prévention des risques biotechnologiques, l'expérience tirée des projets de renforcement des capacités et les travaux du Comité chargé du respect des obligations. Lorsque d'autres sources d'information ont été utilisées pour fournir de l'appui à l'analyse, elles ont été mentionnées dans les références figurant dans le présent document</w:t>
      </w:r>
      <w:r w:rsidR="001655D9" w:rsidRPr="00F8252B">
        <w:rPr>
          <w:kern w:val="2"/>
          <w:szCs w:val="18"/>
          <w:lang w:val="fr-FR"/>
        </w:rPr>
        <w:t>.</w:t>
      </w:r>
    </w:p>
    <w:p w14:paraId="742849BD" w14:textId="1C055019" w:rsidR="00643511" w:rsidRPr="00F8252B" w:rsidRDefault="00FE312D" w:rsidP="00EE6CF8">
      <w:pPr>
        <w:pStyle w:val="CBDNormalNumber"/>
        <w:rPr>
          <w:snapToGrid w:val="0"/>
          <w:kern w:val="22"/>
          <w:lang w:val="fr-FR"/>
        </w:rPr>
      </w:pPr>
      <w:r w:rsidRPr="00F8252B">
        <w:rPr>
          <w:lang w:val="fr-FR"/>
        </w:rPr>
        <w:t>Les informations contenues dans les cinquièmes rapports nationaux soumis avant le 2 mars 2026 ont été comparées à celles fournies lors de l'évaluation initiale par les Parties dans leurs quatrièmes rapports nationaux. Cette comparaison a été réalisée à l'aide de l'outil en ligne d'analyse des rapports nationaux</w:t>
      </w:r>
      <w:r w:rsidR="00643511" w:rsidRPr="00F8252B">
        <w:rPr>
          <w:snapToGrid w:val="0"/>
          <w:kern w:val="22"/>
          <w:vertAlign w:val="superscript"/>
          <w:lang w:val="fr-FR"/>
        </w:rPr>
        <w:footnoteReference w:id="3"/>
      </w:r>
      <w:r w:rsidRPr="00F8252B">
        <w:rPr>
          <w:lang w:val="fr-FR"/>
        </w:rPr>
        <w:t>.</w:t>
      </w:r>
      <w:r w:rsidR="00643511" w:rsidRPr="00F8252B">
        <w:rPr>
          <w:snapToGrid w:val="0"/>
          <w:kern w:val="22"/>
          <w:lang w:val="fr-FR"/>
        </w:rPr>
        <w:t xml:space="preserve"> </w:t>
      </w:r>
      <w:r w:rsidR="00FF7F73" w:rsidRPr="00F8252B">
        <w:rPr>
          <w:snapToGrid w:val="0"/>
          <w:kern w:val="22"/>
          <w:lang w:val="fr-FR"/>
        </w:rPr>
        <w:t>Les informations pertinentes publiées sur le Centre d'échange pour la prévention des risques biotechnologiques en date du 2</w:t>
      </w:r>
      <w:r w:rsidR="00C33AAF" w:rsidRPr="00F8252B">
        <w:rPr>
          <w:snapToGrid w:val="0"/>
          <w:kern w:val="22"/>
          <w:lang w:val="fr-FR"/>
        </w:rPr>
        <w:t> </w:t>
      </w:r>
      <w:r w:rsidR="00FF7F73" w:rsidRPr="00F8252B">
        <w:rPr>
          <w:snapToGrid w:val="0"/>
          <w:kern w:val="22"/>
          <w:lang w:val="fr-FR"/>
        </w:rPr>
        <w:t>mars 2026 ont été comparées aux informations comparables disponibles lors de l'évaluation initiale</w:t>
      </w:r>
      <w:r w:rsidR="001D7917" w:rsidRPr="00F8252B">
        <w:rPr>
          <w:rStyle w:val="Appelnotedebasdep"/>
          <w:snapToGrid w:val="0"/>
          <w:kern w:val="22"/>
          <w:lang w:val="fr-FR"/>
        </w:rPr>
        <w:footnoteReference w:id="4"/>
      </w:r>
      <w:r w:rsidR="00FF7F73" w:rsidRPr="00F8252B">
        <w:rPr>
          <w:snapToGrid w:val="0"/>
          <w:kern w:val="22"/>
          <w:lang w:val="fr-FR"/>
        </w:rPr>
        <w:t>.</w:t>
      </w:r>
      <w:r w:rsidR="00643511" w:rsidRPr="00F8252B">
        <w:rPr>
          <w:snapToGrid w:val="0"/>
          <w:kern w:val="22"/>
          <w:lang w:val="fr-FR"/>
        </w:rPr>
        <w:t xml:space="preserve"> </w:t>
      </w:r>
      <w:r w:rsidR="001B5EB9" w:rsidRPr="00F8252B">
        <w:rPr>
          <w:snapToGrid w:val="0"/>
          <w:kern w:val="22"/>
          <w:lang w:val="fr-FR"/>
        </w:rPr>
        <w:t>Pour chaque indicateur, la source d'information utilisée a été indiquée dans un tableau récapitulatif des sources d'information</w:t>
      </w:r>
      <w:r w:rsidR="00643511" w:rsidRPr="00F8252B">
        <w:rPr>
          <w:rStyle w:val="Appelnotedebasdep"/>
          <w:snapToGrid w:val="0"/>
          <w:kern w:val="22"/>
          <w:lang w:val="fr-FR"/>
        </w:rPr>
        <w:footnoteReference w:id="5"/>
      </w:r>
      <w:r w:rsidR="001B5EB9" w:rsidRPr="00F8252B">
        <w:rPr>
          <w:snapToGrid w:val="0"/>
          <w:kern w:val="22"/>
          <w:lang w:val="fr-FR"/>
        </w:rPr>
        <w:t>.</w:t>
      </w:r>
    </w:p>
    <w:p w14:paraId="48A1D517" w14:textId="7F1244CC" w:rsidR="00643511" w:rsidRPr="00F8252B" w:rsidRDefault="00B56E12" w:rsidP="00FA2932">
      <w:pPr>
        <w:pStyle w:val="CBDNormalNumber"/>
        <w:rPr>
          <w:snapToGrid w:val="0"/>
          <w:kern w:val="22"/>
          <w:lang w:val="fr-FR"/>
        </w:rPr>
      </w:pPr>
      <w:r w:rsidRPr="00F8252B">
        <w:rPr>
          <w:snapToGrid w:val="0"/>
          <w:kern w:val="22"/>
          <w:lang w:val="fr-FR"/>
        </w:rPr>
        <w:t>Les informations issues des rapports nationaux utilisées dans le présent document proviennent des rapports nationaux des Parties qui avaient présenté leur cinquième rapport national au plus tard le 2</w:t>
      </w:r>
      <w:r w:rsidR="00C33AAF" w:rsidRPr="00F8252B">
        <w:rPr>
          <w:snapToGrid w:val="0"/>
          <w:kern w:val="22"/>
          <w:lang w:val="fr-FR"/>
        </w:rPr>
        <w:t> </w:t>
      </w:r>
      <w:r w:rsidRPr="00F8252B">
        <w:rPr>
          <w:snapToGrid w:val="0"/>
          <w:kern w:val="22"/>
          <w:lang w:val="fr-FR"/>
        </w:rPr>
        <w:t xml:space="preserve">mars 2026 et qui avaient déjà présenté un quatrième rapport national. Cette approche vise à permettre un examen cohérent et comparatif des progrès réalisés au fil du temps et s'inscrit dans la </w:t>
      </w:r>
      <w:r w:rsidRPr="00F8252B">
        <w:rPr>
          <w:snapToGrid w:val="0"/>
          <w:kern w:val="22"/>
          <w:lang w:val="fr-FR"/>
        </w:rPr>
        <w:lastRenderedPageBreak/>
        <w:t>lignée de celle adoptée pour la troisième et la quatrième phase d'évaluation et d'examen de l'efficacité du Protocole ainsi que pour l'évaluation du Plan stratégique du Protocole de Cartagena sur la prévention des risques biotechnologiques pour la période 2011-2020</w:t>
      </w:r>
      <w:r w:rsidR="00643511" w:rsidRPr="00F8252B">
        <w:rPr>
          <w:snapToGrid w:val="0"/>
          <w:kern w:val="22"/>
          <w:lang w:val="fr-FR"/>
        </w:rPr>
        <w:t>.</w:t>
      </w:r>
    </w:p>
    <w:p w14:paraId="0378AFE5" w14:textId="1796836B" w:rsidR="00643511" w:rsidRPr="00F8252B" w:rsidRDefault="001E0450" w:rsidP="00FA2932">
      <w:pPr>
        <w:pStyle w:val="CBDNormalNumber"/>
        <w:rPr>
          <w:snapToGrid w:val="0"/>
          <w:kern w:val="22"/>
          <w:lang w:val="fr-FR"/>
        </w:rPr>
      </w:pPr>
      <w:r w:rsidRPr="00F8252B">
        <w:rPr>
          <w:snapToGrid w:val="0"/>
          <w:kern w:val="22"/>
          <w:lang w:val="fr-FR"/>
        </w:rPr>
        <w:t>Sur les 128</w:t>
      </w:r>
      <w:r w:rsidR="00C33AAF" w:rsidRPr="00F8252B">
        <w:rPr>
          <w:snapToGrid w:val="0"/>
          <w:kern w:val="22"/>
          <w:lang w:val="fr-FR"/>
        </w:rPr>
        <w:t> </w:t>
      </w:r>
      <w:r w:rsidRPr="00F8252B">
        <w:rPr>
          <w:snapToGrid w:val="0"/>
          <w:kern w:val="22"/>
          <w:lang w:val="fr-FR"/>
        </w:rPr>
        <w:t>Parties ayant soumis leur cinquième rapport national au Centre d'échange pour la prévention des risques biotechnologiques avant le 2</w:t>
      </w:r>
      <w:r w:rsidR="00C33AAF" w:rsidRPr="00F8252B">
        <w:rPr>
          <w:snapToGrid w:val="0"/>
          <w:kern w:val="22"/>
          <w:lang w:val="fr-FR"/>
        </w:rPr>
        <w:t> </w:t>
      </w:r>
      <w:r w:rsidRPr="00F8252B">
        <w:rPr>
          <w:snapToGrid w:val="0"/>
          <w:kern w:val="22"/>
          <w:lang w:val="fr-FR"/>
        </w:rPr>
        <w:t>mars 2026, 123 au total avaient déjà présenté un quatrième rapport national</w:t>
      </w:r>
      <w:r w:rsidR="00643511" w:rsidRPr="00F8252B">
        <w:rPr>
          <w:snapToGrid w:val="0"/>
          <w:kern w:val="22"/>
          <w:lang w:val="fr-FR"/>
        </w:rPr>
        <w:t>.</w:t>
      </w:r>
    </w:p>
    <w:p w14:paraId="4800A42E" w14:textId="1C1AE223" w:rsidR="00643511" w:rsidRPr="00F8252B" w:rsidRDefault="00F02251" w:rsidP="00FA2932">
      <w:pPr>
        <w:pStyle w:val="CBDNormalNumber"/>
        <w:rPr>
          <w:snapToGrid w:val="0"/>
          <w:kern w:val="22"/>
          <w:lang w:val="fr-FR"/>
        </w:rPr>
      </w:pPr>
      <w:r w:rsidRPr="00F8252B">
        <w:rPr>
          <w:snapToGrid w:val="0"/>
          <w:kern w:val="22"/>
          <w:lang w:val="fr-FR"/>
        </w:rPr>
        <w:t>La présente note propose une analyse des informations recueillies au cours du cinquième cycle d’établissement de rapports (état actuel) ainsi que des changements signalés depuis l’état de référence. Les changements sont présentés sous forme d’«</w:t>
      </w:r>
      <w:r w:rsidR="00DC6D1C" w:rsidRPr="00F8252B">
        <w:rPr>
          <w:snapToGrid w:val="0"/>
          <w:kern w:val="22"/>
          <w:lang w:val="fr-FR"/>
        </w:rPr>
        <w:t> </w:t>
      </w:r>
      <w:r w:rsidRPr="00F8252B">
        <w:rPr>
          <w:snapToGrid w:val="0"/>
          <w:kern w:val="22"/>
          <w:lang w:val="fr-FR"/>
        </w:rPr>
        <w:t>augmentation</w:t>
      </w:r>
      <w:r w:rsidR="00DC6D1C" w:rsidRPr="00F8252B">
        <w:rPr>
          <w:snapToGrid w:val="0"/>
          <w:kern w:val="22"/>
          <w:lang w:val="fr-FR"/>
        </w:rPr>
        <w:t> </w:t>
      </w:r>
      <w:r w:rsidRPr="00F8252B">
        <w:rPr>
          <w:snapToGrid w:val="0"/>
          <w:kern w:val="22"/>
          <w:lang w:val="fr-FR"/>
        </w:rPr>
        <w:t>» («</w:t>
      </w:r>
      <w:r w:rsidR="00DC6D1C" w:rsidRPr="00F8252B">
        <w:rPr>
          <w:snapToGrid w:val="0"/>
          <w:kern w:val="22"/>
          <w:lang w:val="fr-FR"/>
        </w:rPr>
        <w:t> </w:t>
      </w:r>
      <w:r w:rsidRPr="00F8252B">
        <w:rPr>
          <w:snapToGrid w:val="0"/>
          <w:kern w:val="22"/>
          <w:lang w:val="fr-FR"/>
        </w:rPr>
        <w:t>+x</w:t>
      </w:r>
      <w:r w:rsidR="00667501">
        <w:rPr>
          <w:snapToGrid w:val="0"/>
          <w:kern w:val="22"/>
          <w:lang w:val="fr-FR"/>
        </w:rPr>
        <w:t> %</w:t>
      </w:r>
      <w:r w:rsidR="00DC6D1C" w:rsidRPr="00F8252B">
        <w:rPr>
          <w:snapToGrid w:val="0"/>
          <w:kern w:val="22"/>
          <w:lang w:val="fr-FR"/>
        </w:rPr>
        <w:t> </w:t>
      </w:r>
      <w:r w:rsidRPr="00F8252B">
        <w:rPr>
          <w:snapToGrid w:val="0"/>
          <w:kern w:val="22"/>
          <w:lang w:val="fr-FR"/>
        </w:rPr>
        <w:t>») ou de «</w:t>
      </w:r>
      <w:r w:rsidR="00DC6D1C" w:rsidRPr="00F8252B">
        <w:rPr>
          <w:snapToGrid w:val="0"/>
          <w:kern w:val="22"/>
          <w:lang w:val="fr-FR"/>
        </w:rPr>
        <w:t> </w:t>
      </w:r>
      <w:r w:rsidRPr="00F8252B">
        <w:rPr>
          <w:snapToGrid w:val="0"/>
          <w:kern w:val="22"/>
          <w:lang w:val="fr-FR"/>
        </w:rPr>
        <w:t>diminution</w:t>
      </w:r>
      <w:r w:rsidR="00DC6D1C" w:rsidRPr="00F8252B">
        <w:rPr>
          <w:snapToGrid w:val="0"/>
          <w:kern w:val="22"/>
          <w:lang w:val="fr-FR"/>
        </w:rPr>
        <w:t> </w:t>
      </w:r>
      <w:r w:rsidRPr="00F8252B">
        <w:rPr>
          <w:snapToGrid w:val="0"/>
          <w:kern w:val="22"/>
          <w:lang w:val="fr-FR"/>
        </w:rPr>
        <w:t>» («</w:t>
      </w:r>
      <w:r w:rsidR="00DC6D1C" w:rsidRPr="00F8252B">
        <w:rPr>
          <w:snapToGrid w:val="0"/>
          <w:kern w:val="22"/>
          <w:lang w:val="fr-FR"/>
        </w:rPr>
        <w:t> </w:t>
      </w:r>
      <w:r w:rsidRPr="00F8252B">
        <w:rPr>
          <w:snapToGrid w:val="0"/>
          <w:kern w:val="22"/>
          <w:lang w:val="fr-FR"/>
        </w:rPr>
        <w:t>-x</w:t>
      </w:r>
      <w:r w:rsidR="00667501">
        <w:rPr>
          <w:snapToGrid w:val="0"/>
          <w:kern w:val="22"/>
          <w:lang w:val="fr-FR"/>
        </w:rPr>
        <w:t> %</w:t>
      </w:r>
      <w:r w:rsidR="00F42F2E" w:rsidRPr="00F8252B">
        <w:rPr>
          <w:snapToGrid w:val="0"/>
          <w:kern w:val="22"/>
          <w:lang w:val="fr-FR"/>
        </w:rPr>
        <w:t> </w:t>
      </w:r>
      <w:r w:rsidRPr="00F8252B">
        <w:rPr>
          <w:snapToGrid w:val="0"/>
          <w:kern w:val="22"/>
          <w:lang w:val="fr-FR"/>
        </w:rPr>
        <w:t>») et correspondent à des variations en valeur absolue. Les changements signalés reflètent l’évolution observée au niveau mondial ou régional et ne correspondent pas nécessairement aux changements signalés par chaque Partie</w:t>
      </w:r>
      <w:r w:rsidR="00643511" w:rsidRPr="00F8252B">
        <w:rPr>
          <w:rStyle w:val="Appelnotedebasdep"/>
          <w:snapToGrid w:val="0"/>
          <w:kern w:val="22"/>
          <w:lang w:val="fr-FR"/>
        </w:rPr>
        <w:footnoteReference w:id="6"/>
      </w:r>
      <w:r w:rsidRPr="00F8252B">
        <w:rPr>
          <w:snapToGrid w:val="0"/>
          <w:kern w:val="22"/>
          <w:lang w:val="fr-FR"/>
        </w:rPr>
        <w:t>.</w:t>
      </w:r>
    </w:p>
    <w:p w14:paraId="5A07C12C" w14:textId="6FB0FF35" w:rsidR="00873CBF" w:rsidRPr="00F8252B" w:rsidRDefault="00830629" w:rsidP="00FA2932">
      <w:pPr>
        <w:pStyle w:val="CBDNormalNumber"/>
        <w:rPr>
          <w:snapToGrid w:val="0"/>
          <w:kern w:val="22"/>
          <w:lang w:val="fr-FR"/>
        </w:rPr>
      </w:pPr>
      <w:r w:rsidRPr="00F8252B">
        <w:rPr>
          <w:snapToGrid w:val="0"/>
          <w:kern w:val="22"/>
          <w:lang w:val="fr-FR"/>
        </w:rPr>
        <w:t>Comme les pourcentages sont arrondis à l'entier supérieur pour éviter l'utilisation de décimales, la somme des pourcentages arrondis ne correspond pas toujours au résultat attendu</w:t>
      </w:r>
      <w:r w:rsidR="007C6F04" w:rsidRPr="00F8252B">
        <w:rPr>
          <w:rStyle w:val="Appelnotedebasdep"/>
          <w:snapToGrid w:val="0"/>
          <w:kern w:val="22"/>
          <w:lang w:val="fr-FR"/>
        </w:rPr>
        <w:footnoteReference w:id="7"/>
      </w:r>
      <w:r w:rsidRPr="00F8252B">
        <w:rPr>
          <w:snapToGrid w:val="0"/>
          <w:kern w:val="22"/>
          <w:lang w:val="fr-FR"/>
        </w:rPr>
        <w:t>.</w:t>
      </w:r>
      <w:r w:rsidR="00DD429A" w:rsidRPr="00F8252B">
        <w:rPr>
          <w:snapToGrid w:val="0"/>
          <w:kern w:val="22"/>
          <w:lang w:val="fr-FR"/>
        </w:rPr>
        <w:t xml:space="preserve"> </w:t>
      </w:r>
    </w:p>
    <w:p w14:paraId="5BA75732" w14:textId="79DFD9DA" w:rsidR="00643511" w:rsidRPr="00F8252B" w:rsidRDefault="0071051A" w:rsidP="00FA2932">
      <w:pPr>
        <w:pStyle w:val="CBDNormalNumber"/>
        <w:rPr>
          <w:snapToGrid w:val="0"/>
          <w:kern w:val="22"/>
          <w:lang w:val="fr-FR"/>
        </w:rPr>
      </w:pPr>
      <w:r w:rsidRPr="00F8252B">
        <w:rPr>
          <w:snapToGrid w:val="0"/>
          <w:kern w:val="22"/>
          <w:lang w:val="fr-FR"/>
        </w:rPr>
        <w:t>Outre les informations fournies sur la situation actuelle et les variations par rapport à la situation de référence à l'échelle mondiale, des ventilations régionales sont proposées pour certains indicateurs afin de mieux mettre en évidence la situation signalée ou les variations par rapport à la situation de référence au niveau mondial. Ces ventilations régionales sont présentées par ordre croissant d'importance (du pourcentage le plus faible au plus élevé). Étant donné que le nombre de Parties dans certains groupes régionaux est limité, de faibles variations, lorsqu'elles sont exprimées en pourcentage, peuvent se traduire par des écarts importants.</w:t>
      </w:r>
    </w:p>
    <w:p w14:paraId="3DC8F4E0" w14:textId="51C14B3A" w:rsidR="00643511" w:rsidRPr="00F8252B" w:rsidRDefault="00FB1E2F" w:rsidP="00FA2932">
      <w:pPr>
        <w:pStyle w:val="CBDNormalNumber"/>
        <w:rPr>
          <w:snapToGrid w:val="0"/>
          <w:spacing w:val="-3"/>
          <w:kern w:val="22"/>
          <w:lang w:val="fr-FR"/>
        </w:rPr>
      </w:pPr>
      <w:r w:rsidRPr="00F8252B">
        <w:rPr>
          <w:snapToGrid w:val="0"/>
          <w:spacing w:val="-3"/>
          <w:kern w:val="22"/>
          <w:lang w:val="fr-FR"/>
        </w:rPr>
        <w:t>L'analyse porte sur chacun des objectifs du plan de mise en œuvre et du plan d'action pour le renforcement des capacités, et s'appuie sur les indicateurs correspondants pour évaluer les progrès réalisés</w:t>
      </w:r>
      <w:r w:rsidR="00643511" w:rsidRPr="00F8252B">
        <w:rPr>
          <w:snapToGrid w:val="0"/>
          <w:spacing w:val="-3"/>
          <w:kern w:val="22"/>
          <w:lang w:val="fr-FR"/>
        </w:rPr>
        <w:t>.</w:t>
      </w:r>
    </w:p>
    <w:p w14:paraId="6FBD3C55" w14:textId="0AE69E3A" w:rsidR="001A32FE" w:rsidRPr="00F8252B" w:rsidRDefault="006B7469" w:rsidP="00D3610F">
      <w:pPr>
        <w:pStyle w:val="CBDH1"/>
        <w:rPr>
          <w:lang w:val="fr-FR"/>
        </w:rPr>
      </w:pPr>
      <w:r w:rsidRPr="00F8252B">
        <w:rPr>
          <w:lang w:val="fr-FR"/>
        </w:rPr>
        <w:t>III.</w:t>
      </w:r>
      <w:r w:rsidRPr="00F8252B">
        <w:rPr>
          <w:lang w:val="fr-FR"/>
        </w:rPr>
        <w:tab/>
      </w:r>
      <w:r w:rsidR="0097310A" w:rsidRPr="00F8252B">
        <w:rPr>
          <w:lang w:val="fr-FR"/>
        </w:rPr>
        <w:t>Analyse de l'état d'avancement et des tendances relatives à la mise en œuvre du Protocole de Cartagena sur la prévention des risques biotechnologiques</w:t>
      </w:r>
    </w:p>
    <w:p w14:paraId="49481DEE" w14:textId="50E6DB0F" w:rsidR="007F1290" w:rsidRPr="00F8252B" w:rsidRDefault="00C805F6" w:rsidP="00FA2932">
      <w:pPr>
        <w:pStyle w:val="CBDNormalNumber"/>
        <w:rPr>
          <w:snapToGrid w:val="0"/>
          <w:kern w:val="22"/>
          <w:lang w:val="fr-FR"/>
        </w:rPr>
      </w:pPr>
      <w:r w:rsidRPr="00F8252B">
        <w:rPr>
          <w:snapToGrid w:val="0"/>
          <w:kern w:val="22"/>
          <w:lang w:val="fr-FR"/>
        </w:rPr>
        <w:t>La présente section propose une analyse comparative de l'état d'avancement et des tendances en matière de mise en œuvre du Protocole de Cartagena sur la prévention des risques biotechnologiques, conformément aux objectifs du plan de mise en œuvre et du plan d'action pour le renforcement des capacités.</w:t>
      </w:r>
    </w:p>
    <w:p w14:paraId="6EB11876" w14:textId="0AFD4B98" w:rsidR="007F1290" w:rsidRPr="00F8252B" w:rsidRDefault="00DB1BD2" w:rsidP="00FA2932">
      <w:pPr>
        <w:pStyle w:val="CBDNormalNumber"/>
        <w:rPr>
          <w:snapToGrid w:val="0"/>
          <w:kern w:val="22"/>
          <w:lang w:val="fr-FR"/>
        </w:rPr>
      </w:pPr>
      <w:r w:rsidRPr="00F8252B">
        <w:rPr>
          <w:snapToGrid w:val="0"/>
          <w:kern w:val="22"/>
          <w:lang w:val="fr-FR"/>
        </w:rPr>
        <w:t>Les chiffres clés et les éléments importants sont présentés dans la sous-section a) pour chaque objectif, tandis que l'analyse complète figure dans la sous-section b)</w:t>
      </w:r>
      <w:r w:rsidR="0097798B" w:rsidRPr="00F8252B">
        <w:rPr>
          <w:snapToGrid w:val="0"/>
          <w:kern w:val="22"/>
          <w:lang w:val="fr-FR"/>
        </w:rPr>
        <w:t>.</w:t>
      </w:r>
    </w:p>
    <w:p w14:paraId="1B046161" w14:textId="5B20566C" w:rsidR="007F1290" w:rsidRPr="00F8252B" w:rsidRDefault="00F57611" w:rsidP="00512CE7">
      <w:pPr>
        <w:pStyle w:val="CBDH2"/>
        <w:rPr>
          <w:snapToGrid w:val="0"/>
          <w:lang w:val="fr-FR"/>
        </w:rPr>
      </w:pPr>
      <w:r w:rsidRPr="00F8252B">
        <w:rPr>
          <w:snapToGrid w:val="0"/>
          <w:lang w:val="fr-FR"/>
        </w:rPr>
        <w:t>A.</w:t>
      </w:r>
      <w:r w:rsidR="00F77A6B" w:rsidRPr="00F8252B">
        <w:rPr>
          <w:snapToGrid w:val="0"/>
          <w:lang w:val="fr-FR"/>
        </w:rPr>
        <w:tab/>
      </w:r>
      <w:r w:rsidR="004E5BFB" w:rsidRPr="00F8252B">
        <w:rPr>
          <w:snapToGrid w:val="0"/>
          <w:lang w:val="fr-FR"/>
        </w:rPr>
        <w:t>But</w:t>
      </w:r>
      <w:r w:rsidR="00996DA6" w:rsidRPr="00F8252B">
        <w:rPr>
          <w:snapToGrid w:val="0"/>
          <w:lang w:val="fr-FR"/>
        </w:rPr>
        <w:t> </w:t>
      </w:r>
      <w:r w:rsidR="007F1290" w:rsidRPr="00F8252B">
        <w:rPr>
          <w:snapToGrid w:val="0"/>
          <w:lang w:val="fr-FR"/>
        </w:rPr>
        <w:t>A.1</w:t>
      </w:r>
      <w:r w:rsidR="00052B6F" w:rsidRPr="00F8252B">
        <w:rPr>
          <w:snapToGrid w:val="0"/>
          <w:lang w:val="fr-FR"/>
        </w:rPr>
        <w:t>.</w:t>
      </w:r>
      <w:r w:rsidR="007F1290" w:rsidRPr="00F8252B">
        <w:rPr>
          <w:snapToGrid w:val="0"/>
          <w:lang w:val="fr-FR"/>
        </w:rPr>
        <w:t xml:space="preserve"> </w:t>
      </w:r>
      <w:r w:rsidR="007F449B" w:rsidRPr="00F8252B">
        <w:rPr>
          <w:snapToGrid w:val="0"/>
          <w:lang w:val="fr-FR"/>
        </w:rPr>
        <w:t xml:space="preserve">Les Parties ont mis en place des cadres nationaux </w:t>
      </w:r>
      <w:r w:rsidR="000D122C" w:rsidRPr="00F8252B">
        <w:rPr>
          <w:snapToGrid w:val="0"/>
          <w:lang w:val="fr-FR"/>
        </w:rPr>
        <w:t>fonctionnels</w:t>
      </w:r>
      <w:r w:rsidR="007F449B" w:rsidRPr="00F8252B">
        <w:rPr>
          <w:snapToGrid w:val="0"/>
          <w:lang w:val="fr-FR"/>
        </w:rPr>
        <w:t xml:space="preserve"> en matière de prévention des risques biotechnologiques</w:t>
      </w:r>
    </w:p>
    <w:p w14:paraId="2DE7A847" w14:textId="44F1C9CE" w:rsidR="003278CF" w:rsidRPr="00F8252B" w:rsidRDefault="0007570B" w:rsidP="00C33C98">
      <w:pPr>
        <w:pStyle w:val="CBDH4"/>
        <w:rPr>
          <w:iCs/>
          <w:snapToGrid w:val="0"/>
          <w:kern w:val="22"/>
          <w:lang w:val="fr-FR"/>
        </w:rPr>
      </w:pPr>
      <w:r w:rsidRPr="00F8252B">
        <w:rPr>
          <w:snapToGrid w:val="0"/>
          <w:lang w:val="fr-FR"/>
        </w:rPr>
        <w:t>a)</w:t>
      </w:r>
      <w:r w:rsidRPr="00F8252B">
        <w:rPr>
          <w:snapToGrid w:val="0"/>
          <w:lang w:val="fr-FR"/>
        </w:rPr>
        <w:tab/>
      </w:r>
      <w:r w:rsidR="005C5FA8" w:rsidRPr="00F8252B">
        <w:rPr>
          <w:snapToGrid w:val="0"/>
          <w:lang w:val="fr-FR"/>
        </w:rPr>
        <w:t xml:space="preserve">Chiffres clés et </w:t>
      </w:r>
      <w:r w:rsidR="0035077E" w:rsidRPr="00F8252B">
        <w:rPr>
          <w:snapToGrid w:val="0"/>
          <w:lang w:val="fr-FR"/>
        </w:rPr>
        <w:t>éléments importants</w:t>
      </w:r>
    </w:p>
    <w:p w14:paraId="78583EFB" w14:textId="0D90BEEB" w:rsidR="00126321" w:rsidRPr="00F8252B" w:rsidRDefault="00E6738F" w:rsidP="00FA2932">
      <w:pPr>
        <w:pStyle w:val="Paragraphedeliste"/>
        <w:numPr>
          <w:ilvl w:val="0"/>
          <w:numId w:val="11"/>
        </w:numPr>
        <w:suppressLineNumbers/>
        <w:suppressAutoHyphens/>
        <w:snapToGrid w:val="0"/>
        <w:spacing w:before="120" w:after="120"/>
        <w:ind w:left="993" w:hanging="425"/>
        <w:contextualSpacing w:val="0"/>
        <w:rPr>
          <w:b/>
          <w:snapToGrid w:val="0"/>
          <w:kern w:val="22"/>
          <w:lang w:val="fr-FR"/>
        </w:rPr>
      </w:pPr>
      <w:r w:rsidRPr="00F8252B">
        <w:rPr>
          <w:bCs/>
          <w:iCs/>
          <w:snapToGrid w:val="0"/>
          <w:kern w:val="22"/>
          <w:lang w:val="fr-FR"/>
        </w:rPr>
        <w:t>Quarante-huit pour cent des Parties au Protocole de Cartagena ont indiqué avoir mis en place les mesures nationales nécessaires à la mise en œuvre intégrale du Protocole (+2</w:t>
      </w:r>
      <w:r w:rsidR="00667501">
        <w:rPr>
          <w:bCs/>
          <w:iCs/>
          <w:snapToGrid w:val="0"/>
          <w:kern w:val="22"/>
          <w:lang w:val="fr-FR"/>
        </w:rPr>
        <w:t> %</w:t>
      </w:r>
      <w:r w:rsidRPr="00F8252B">
        <w:rPr>
          <w:bCs/>
          <w:iCs/>
          <w:snapToGrid w:val="0"/>
          <w:kern w:val="22"/>
          <w:lang w:val="fr-FR"/>
        </w:rPr>
        <w:t>) et 43</w:t>
      </w:r>
      <w:r w:rsidR="00667501">
        <w:rPr>
          <w:bCs/>
          <w:iCs/>
          <w:snapToGrid w:val="0"/>
          <w:kern w:val="22"/>
          <w:lang w:val="fr-FR"/>
        </w:rPr>
        <w:t> %</w:t>
      </w:r>
      <w:r w:rsidRPr="00F8252B">
        <w:rPr>
          <w:bCs/>
          <w:iCs/>
          <w:snapToGrid w:val="0"/>
          <w:kern w:val="22"/>
          <w:lang w:val="fr-FR"/>
        </w:rPr>
        <w:t xml:space="preserve"> à sa mise en œuvre partielle (+4</w:t>
      </w:r>
      <w:r w:rsidR="00667501">
        <w:rPr>
          <w:bCs/>
          <w:iCs/>
          <w:snapToGrid w:val="0"/>
          <w:kern w:val="22"/>
          <w:lang w:val="fr-FR"/>
        </w:rPr>
        <w:t> %</w:t>
      </w:r>
      <w:r w:rsidRPr="00F8252B">
        <w:rPr>
          <w:bCs/>
          <w:iCs/>
          <w:snapToGrid w:val="0"/>
          <w:kern w:val="22"/>
          <w:lang w:val="fr-FR"/>
        </w:rPr>
        <w:t>)</w:t>
      </w:r>
      <w:r w:rsidR="00CD63C9" w:rsidRPr="00F8252B">
        <w:rPr>
          <w:bCs/>
          <w:iCs/>
          <w:snapToGrid w:val="0"/>
          <w:kern w:val="22"/>
          <w:lang w:val="fr-FR"/>
        </w:rPr>
        <w:t>.</w:t>
      </w:r>
    </w:p>
    <w:p w14:paraId="75995B10" w14:textId="74608B2C" w:rsidR="003208A1" w:rsidRPr="00F8252B" w:rsidRDefault="00123526" w:rsidP="00FA2932">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snapToGrid w:val="0"/>
          <w:kern w:val="22"/>
          <w:lang w:val="fr-FR"/>
        </w:rPr>
      </w:pPr>
      <w:r w:rsidRPr="00F8252B">
        <w:rPr>
          <w:bCs/>
          <w:iCs/>
          <w:snapToGrid w:val="0"/>
          <w:kern w:val="22"/>
          <w:lang w:val="fr-FR"/>
        </w:rPr>
        <w:lastRenderedPageBreak/>
        <w:t>On a constaté d’importantes disparités régionales quant à la proportion de Parties ayant indiqué que les mesures étaient pleinement mises en œuvre (100</w:t>
      </w:r>
      <w:r w:rsidR="00667501">
        <w:rPr>
          <w:bCs/>
          <w:iCs/>
          <w:snapToGrid w:val="0"/>
          <w:kern w:val="22"/>
          <w:lang w:val="fr-FR"/>
        </w:rPr>
        <w:t> %</w:t>
      </w:r>
      <w:r w:rsidRPr="00F8252B">
        <w:rPr>
          <w:bCs/>
          <w:iCs/>
          <w:snapToGrid w:val="0"/>
          <w:kern w:val="22"/>
          <w:lang w:val="fr-FR"/>
        </w:rPr>
        <w:t xml:space="preserve"> dans une région contre 10</w:t>
      </w:r>
      <w:r w:rsidR="00667501">
        <w:rPr>
          <w:bCs/>
          <w:iCs/>
          <w:snapToGrid w:val="0"/>
          <w:kern w:val="22"/>
          <w:lang w:val="fr-FR"/>
        </w:rPr>
        <w:t> %</w:t>
      </w:r>
      <w:r w:rsidRPr="00F8252B">
        <w:rPr>
          <w:bCs/>
          <w:iCs/>
          <w:snapToGrid w:val="0"/>
          <w:kern w:val="22"/>
          <w:lang w:val="fr-FR"/>
        </w:rPr>
        <w:t xml:space="preserve"> dans une autre). Ces disparités régionales étaient beaucoup moins marquées lorsque l’on considérait ensemble les Parties ayant indiqué que les mesures étaient pleinement mises en œuvre et celles ayant indiqué qu’elles l’étaient partiellement (de 84</w:t>
      </w:r>
      <w:r w:rsidR="00667501">
        <w:rPr>
          <w:bCs/>
          <w:iCs/>
          <w:snapToGrid w:val="0"/>
          <w:kern w:val="22"/>
          <w:lang w:val="fr-FR"/>
        </w:rPr>
        <w:t> %</w:t>
      </w:r>
      <w:r w:rsidRPr="00F8252B">
        <w:rPr>
          <w:bCs/>
          <w:iCs/>
          <w:snapToGrid w:val="0"/>
          <w:kern w:val="22"/>
          <w:lang w:val="fr-FR"/>
        </w:rPr>
        <w:t xml:space="preserve"> </w:t>
      </w:r>
      <w:r w:rsidR="0044697E" w:rsidRPr="00F8252B">
        <w:rPr>
          <w:bCs/>
          <w:iCs/>
          <w:snapToGrid w:val="0"/>
          <w:kern w:val="22"/>
          <w:lang w:val="fr-FR"/>
        </w:rPr>
        <w:t>contre</w:t>
      </w:r>
      <w:r w:rsidRPr="00F8252B">
        <w:rPr>
          <w:bCs/>
          <w:iCs/>
          <w:snapToGrid w:val="0"/>
          <w:kern w:val="22"/>
          <w:lang w:val="fr-FR"/>
        </w:rPr>
        <w:t xml:space="preserve"> 100</w:t>
      </w:r>
      <w:r w:rsidR="00667501">
        <w:rPr>
          <w:bCs/>
          <w:iCs/>
          <w:snapToGrid w:val="0"/>
          <w:kern w:val="22"/>
          <w:lang w:val="fr-FR"/>
        </w:rPr>
        <w:t> %</w:t>
      </w:r>
      <w:r w:rsidRPr="00F8252B">
        <w:rPr>
          <w:bCs/>
          <w:iCs/>
          <w:snapToGrid w:val="0"/>
          <w:kern w:val="22"/>
          <w:lang w:val="fr-FR"/>
        </w:rPr>
        <w:t>).</w:t>
      </w:r>
    </w:p>
    <w:p w14:paraId="78C2DF11" w14:textId="2DC86C63" w:rsidR="009B1CAA" w:rsidRPr="00F8252B" w:rsidRDefault="00146C15" w:rsidP="00FA2932">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snapToGrid w:val="0"/>
          <w:kern w:val="22"/>
          <w:lang w:val="fr-FR"/>
        </w:rPr>
      </w:pPr>
      <w:r w:rsidRPr="00F8252B">
        <w:rPr>
          <w:bCs/>
          <w:iCs/>
          <w:snapToGrid w:val="0"/>
          <w:kern w:val="22"/>
          <w:lang w:val="fr-FR"/>
        </w:rPr>
        <w:t>Dans leurs réponses sous forme de texte libre, plusieurs Parties ont indiqué que des instruments juridiques relatifs à la prévention des risques biotechnologiques étaient en cours d'élaboration, et plusieurs Parties ont fait remarquer que le retard pris dans l'adoption de ces instruments entravait la mise en œuvre du Protocole</w:t>
      </w:r>
    </w:p>
    <w:p w14:paraId="53F5F5C7" w14:textId="267D5121" w:rsidR="009D1433" w:rsidRPr="00F8252B" w:rsidRDefault="00067F8A" w:rsidP="00FA2932">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snapToGrid w:val="0"/>
          <w:kern w:val="22"/>
          <w:lang w:val="fr-FR"/>
        </w:rPr>
      </w:pPr>
      <w:r w:rsidRPr="00F8252B">
        <w:rPr>
          <w:bCs/>
          <w:iCs/>
          <w:snapToGrid w:val="0"/>
          <w:kern w:val="22"/>
          <w:lang w:val="fr-FR"/>
        </w:rPr>
        <w:t>Désignation des correspondants nationaux et des autorités nationales compétentes</w:t>
      </w:r>
      <w:r w:rsidR="00CA1B90">
        <w:rPr>
          <w:bCs/>
          <w:iCs/>
          <w:snapToGrid w:val="0"/>
          <w:kern w:val="22"/>
          <w:lang w:val="fr-FR"/>
        </w:rPr>
        <w:t> :</w:t>
      </w:r>
    </w:p>
    <w:p w14:paraId="6F488BF2" w14:textId="3553BC6E" w:rsidR="00863FD7" w:rsidRPr="00F8252B" w:rsidRDefault="00067F8A" w:rsidP="00FA2932">
      <w:pPr>
        <w:pStyle w:val="Paragraphedeliste"/>
        <w:numPr>
          <w:ilvl w:val="1"/>
          <w:numId w:val="11"/>
        </w:numPr>
        <w:suppressLineNumbers/>
        <w:tabs>
          <w:tab w:val="clear" w:pos="567"/>
          <w:tab w:val="clear" w:pos="1134"/>
          <w:tab w:val="clear" w:pos="1701"/>
          <w:tab w:val="clear" w:pos="2268"/>
        </w:tabs>
        <w:suppressAutoHyphens/>
        <w:snapToGrid w:val="0"/>
        <w:spacing w:before="120" w:after="120"/>
        <w:ind w:left="1418" w:hanging="426"/>
        <w:contextualSpacing w:val="0"/>
        <w:rPr>
          <w:b/>
          <w:snapToGrid w:val="0"/>
          <w:kern w:val="22"/>
          <w:lang w:val="fr-FR"/>
        </w:rPr>
      </w:pPr>
      <w:r w:rsidRPr="00F8252B">
        <w:rPr>
          <w:snapToGrid w:val="0"/>
          <w:kern w:val="22"/>
          <w:lang w:val="fr-FR"/>
        </w:rPr>
        <w:t>98</w:t>
      </w:r>
      <w:r w:rsidR="00667501">
        <w:rPr>
          <w:snapToGrid w:val="0"/>
          <w:kern w:val="22"/>
          <w:lang w:val="fr-FR"/>
        </w:rPr>
        <w:t> %</w:t>
      </w:r>
      <w:r w:rsidRPr="00F8252B">
        <w:rPr>
          <w:snapToGrid w:val="0"/>
          <w:kern w:val="22"/>
          <w:lang w:val="fr-FR"/>
        </w:rPr>
        <w:t xml:space="preserve"> de l'ensemble des Parties au Protocole (170 Parties sur 173) avaient désigné leur correspondant national pour le Protocole (aucun changement par rapport à la situation de référence)</w:t>
      </w:r>
    </w:p>
    <w:p w14:paraId="0FDAA8E2" w14:textId="2572123A" w:rsidR="00863FD7" w:rsidRPr="00F8252B" w:rsidRDefault="00067F8A" w:rsidP="00FA2932">
      <w:pPr>
        <w:pStyle w:val="Paragraphedeliste"/>
        <w:numPr>
          <w:ilvl w:val="1"/>
          <w:numId w:val="11"/>
        </w:numPr>
        <w:suppressLineNumbers/>
        <w:tabs>
          <w:tab w:val="clear" w:pos="567"/>
          <w:tab w:val="clear" w:pos="1134"/>
          <w:tab w:val="clear" w:pos="1701"/>
          <w:tab w:val="clear" w:pos="2268"/>
        </w:tabs>
        <w:suppressAutoHyphens/>
        <w:snapToGrid w:val="0"/>
        <w:spacing w:before="120" w:after="120"/>
        <w:ind w:left="1418" w:hanging="426"/>
        <w:contextualSpacing w:val="0"/>
        <w:rPr>
          <w:b/>
          <w:snapToGrid w:val="0"/>
          <w:kern w:val="22"/>
          <w:lang w:val="fr-FR"/>
        </w:rPr>
      </w:pPr>
      <w:r w:rsidRPr="00F8252B">
        <w:rPr>
          <w:snapToGrid w:val="0"/>
          <w:kern w:val="22"/>
          <w:lang w:val="fr-FR"/>
        </w:rPr>
        <w:t>98</w:t>
      </w:r>
      <w:r w:rsidR="00667501">
        <w:rPr>
          <w:snapToGrid w:val="0"/>
          <w:kern w:val="22"/>
          <w:lang w:val="fr-FR"/>
        </w:rPr>
        <w:t> %</w:t>
      </w:r>
      <w:r w:rsidRPr="00F8252B">
        <w:rPr>
          <w:snapToGrid w:val="0"/>
          <w:kern w:val="22"/>
          <w:lang w:val="fr-FR"/>
        </w:rPr>
        <w:t xml:space="preserve"> de l'ensemble des Parties au Protocole (170 Parties sur 173) avaient désigné leur correspondant pour le Centre d'échange pour la prévention des risques biotechnologiques (-1</w:t>
      </w:r>
      <w:r w:rsidR="00667501">
        <w:rPr>
          <w:snapToGrid w:val="0"/>
          <w:kern w:val="22"/>
          <w:lang w:val="fr-FR"/>
        </w:rPr>
        <w:t> %</w:t>
      </w:r>
      <w:r w:rsidRPr="00F8252B">
        <w:rPr>
          <w:snapToGrid w:val="0"/>
          <w:kern w:val="22"/>
          <w:lang w:val="fr-FR"/>
        </w:rPr>
        <w:t>)</w:t>
      </w:r>
    </w:p>
    <w:p w14:paraId="737A232C" w14:textId="20CF894C" w:rsidR="00863FD7" w:rsidRPr="00F8252B" w:rsidRDefault="00393AAB" w:rsidP="00FA2932">
      <w:pPr>
        <w:pStyle w:val="Paragraphedeliste"/>
        <w:numPr>
          <w:ilvl w:val="1"/>
          <w:numId w:val="11"/>
        </w:numPr>
        <w:suppressLineNumbers/>
        <w:tabs>
          <w:tab w:val="clear" w:pos="567"/>
          <w:tab w:val="clear" w:pos="1134"/>
          <w:tab w:val="clear" w:pos="1701"/>
          <w:tab w:val="clear" w:pos="2268"/>
        </w:tabs>
        <w:suppressAutoHyphens/>
        <w:snapToGrid w:val="0"/>
        <w:spacing w:before="120" w:after="120"/>
        <w:ind w:left="1418" w:hanging="426"/>
        <w:contextualSpacing w:val="0"/>
        <w:rPr>
          <w:b/>
          <w:snapToGrid w:val="0"/>
          <w:kern w:val="22"/>
          <w:lang w:val="fr-FR"/>
        </w:rPr>
      </w:pPr>
      <w:r w:rsidRPr="00F8252B">
        <w:rPr>
          <w:snapToGrid w:val="0"/>
          <w:kern w:val="22"/>
          <w:lang w:val="fr-FR"/>
        </w:rPr>
        <w:t>92</w:t>
      </w:r>
      <w:r w:rsidR="00667501">
        <w:rPr>
          <w:snapToGrid w:val="0"/>
          <w:kern w:val="22"/>
          <w:lang w:val="fr-FR"/>
        </w:rPr>
        <w:t> %</w:t>
      </w:r>
      <w:r w:rsidRPr="00F8252B">
        <w:rPr>
          <w:snapToGrid w:val="0"/>
          <w:kern w:val="22"/>
          <w:lang w:val="fr-FR"/>
        </w:rPr>
        <w:t xml:space="preserve"> de l'ensemble des Parties au Protocole (160 Parties sur 173) avaient désigné une ou plusieurs autorités nationales compétentes (+3</w:t>
      </w:r>
      <w:r w:rsidR="00667501">
        <w:rPr>
          <w:snapToGrid w:val="0"/>
          <w:kern w:val="22"/>
          <w:lang w:val="fr-FR"/>
        </w:rPr>
        <w:t> %</w:t>
      </w:r>
      <w:r w:rsidRPr="00F8252B">
        <w:rPr>
          <w:snapToGrid w:val="0"/>
          <w:kern w:val="22"/>
          <w:lang w:val="fr-FR"/>
        </w:rPr>
        <w:t>)</w:t>
      </w:r>
    </w:p>
    <w:p w14:paraId="1A0BF209" w14:textId="474DF9AC" w:rsidR="00F03953" w:rsidRPr="00F8252B" w:rsidRDefault="00393AAB" w:rsidP="00FA2932">
      <w:pPr>
        <w:pStyle w:val="Paragraphedeliste"/>
        <w:numPr>
          <w:ilvl w:val="1"/>
          <w:numId w:val="11"/>
        </w:numPr>
        <w:suppressLineNumbers/>
        <w:tabs>
          <w:tab w:val="clear" w:pos="567"/>
          <w:tab w:val="clear" w:pos="1134"/>
          <w:tab w:val="clear" w:pos="1701"/>
          <w:tab w:val="clear" w:pos="2268"/>
        </w:tabs>
        <w:suppressAutoHyphens/>
        <w:snapToGrid w:val="0"/>
        <w:spacing w:before="120" w:after="120"/>
        <w:ind w:left="1418" w:hanging="426"/>
        <w:contextualSpacing w:val="0"/>
        <w:rPr>
          <w:b/>
          <w:snapToGrid w:val="0"/>
          <w:kern w:val="22"/>
          <w:lang w:val="fr-FR"/>
        </w:rPr>
      </w:pPr>
      <w:r w:rsidRPr="00F8252B">
        <w:rPr>
          <w:snapToGrid w:val="0"/>
          <w:kern w:val="22"/>
          <w:lang w:val="fr-FR"/>
        </w:rPr>
        <w:t>84</w:t>
      </w:r>
      <w:r w:rsidR="00667501">
        <w:rPr>
          <w:snapToGrid w:val="0"/>
          <w:kern w:val="22"/>
          <w:lang w:val="fr-FR"/>
        </w:rPr>
        <w:t> %</w:t>
      </w:r>
      <w:r w:rsidRPr="00F8252B">
        <w:rPr>
          <w:snapToGrid w:val="0"/>
          <w:kern w:val="22"/>
          <w:lang w:val="fr-FR"/>
        </w:rPr>
        <w:t xml:space="preserve"> de l'ensemble des Parties au Protocole (146 sur 173) avaient communiqué au Centre d'échange pour la prévention des risques biotechnologiques les coordonnées de leur </w:t>
      </w:r>
      <w:r w:rsidR="002B6242" w:rsidRPr="00F8252B">
        <w:rPr>
          <w:snapToGrid w:val="0"/>
          <w:kern w:val="22"/>
          <w:lang w:val="fr-FR"/>
        </w:rPr>
        <w:t>correspondant</w:t>
      </w:r>
      <w:r w:rsidRPr="00F8252B">
        <w:rPr>
          <w:snapToGrid w:val="0"/>
          <w:kern w:val="22"/>
          <w:lang w:val="fr-FR"/>
        </w:rPr>
        <w:t xml:space="preserve"> chargé de recevoir les notifications au titre de l'article 17 (+6</w:t>
      </w:r>
      <w:r w:rsidR="00667501">
        <w:rPr>
          <w:snapToGrid w:val="0"/>
          <w:kern w:val="22"/>
          <w:lang w:val="fr-FR"/>
        </w:rPr>
        <w:t> %</w:t>
      </w:r>
      <w:r w:rsidRPr="00F8252B">
        <w:rPr>
          <w:snapToGrid w:val="0"/>
          <w:kern w:val="22"/>
          <w:lang w:val="fr-FR"/>
        </w:rPr>
        <w:t>)</w:t>
      </w:r>
    </w:p>
    <w:p w14:paraId="37386DD9" w14:textId="747AC985" w:rsidR="004D605B" w:rsidRPr="00F8252B" w:rsidRDefault="002B6242" w:rsidP="00FA2932">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snapToGrid w:val="0"/>
          <w:kern w:val="22"/>
          <w:lang w:val="fr-FR"/>
        </w:rPr>
      </w:pPr>
      <w:r w:rsidRPr="00F8252B">
        <w:rPr>
          <w:bCs/>
          <w:iCs/>
          <w:snapToGrid w:val="0"/>
          <w:kern w:val="22"/>
          <w:lang w:val="fr-FR"/>
        </w:rPr>
        <w:t>Quatre-vingt-onze pour cent des Parties ont indiqué disposer d’un personnel qualifié pour gérer les fonctions directement liées à la prévention des risques biotechnologiques (+3</w:t>
      </w:r>
      <w:r w:rsidR="00667501">
        <w:rPr>
          <w:bCs/>
          <w:iCs/>
          <w:snapToGrid w:val="0"/>
          <w:kern w:val="22"/>
          <w:lang w:val="fr-FR"/>
        </w:rPr>
        <w:t> %</w:t>
      </w:r>
      <w:r w:rsidRPr="00F8252B">
        <w:rPr>
          <w:bCs/>
          <w:iCs/>
          <w:snapToGrid w:val="0"/>
          <w:kern w:val="22"/>
          <w:lang w:val="fr-FR"/>
        </w:rPr>
        <w:t>). Seuls 42</w:t>
      </w:r>
      <w:r w:rsidR="00667501">
        <w:rPr>
          <w:bCs/>
          <w:iCs/>
          <w:snapToGrid w:val="0"/>
          <w:kern w:val="22"/>
          <w:lang w:val="fr-FR"/>
        </w:rPr>
        <w:t> %</w:t>
      </w:r>
      <w:r w:rsidRPr="00F8252B">
        <w:rPr>
          <w:bCs/>
          <w:iCs/>
          <w:snapToGrid w:val="0"/>
          <w:kern w:val="22"/>
          <w:lang w:val="fr-FR"/>
        </w:rPr>
        <w:t xml:space="preserve"> ont estimé que ces effectifs étaient suffisants. Dans leurs réponses sous forme de texte libre, les Parties ont expliqué qu’en raison de la rotation du personnel et du manque de formation, les capacités techniques étaient précaires et les effectifs souvent insuffisants, le personnel chargé de la prévention des risques biotechnologiques étant souvent amené à travailler sur des sujets variés</w:t>
      </w:r>
    </w:p>
    <w:p w14:paraId="71035AC1" w14:textId="06B4013B" w:rsidR="00723AEE" w:rsidRPr="00F8252B" w:rsidRDefault="00FA6E52" w:rsidP="00FA2932">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iCs/>
          <w:snapToGrid w:val="0"/>
          <w:kern w:val="22"/>
          <w:lang w:val="fr-FR"/>
        </w:rPr>
      </w:pPr>
      <w:r w:rsidRPr="00F8252B">
        <w:rPr>
          <w:bCs/>
          <w:iCs/>
          <w:snapToGrid w:val="0"/>
          <w:kern w:val="22"/>
          <w:lang w:val="fr-FR"/>
        </w:rPr>
        <w:t>Les Parties ayant indiqué qu'elles avaient encore des besoins en matière de renforcement des capacités (100 Parties) ont identifié les domaines suivants</w:t>
      </w:r>
      <w:r w:rsidR="00CA1B90">
        <w:rPr>
          <w:bCs/>
          <w:iCs/>
          <w:snapToGrid w:val="0"/>
          <w:kern w:val="22"/>
          <w:lang w:val="fr-FR"/>
        </w:rPr>
        <w:t> :</w:t>
      </w:r>
      <w:r w:rsidRPr="00F8252B">
        <w:rPr>
          <w:bCs/>
          <w:iCs/>
          <w:snapToGrid w:val="0"/>
          <w:kern w:val="22"/>
          <w:lang w:val="fr-FR"/>
        </w:rPr>
        <w:t xml:space="preserve"> ressources institutionnelles et humaines (88</w:t>
      </w:r>
      <w:r w:rsidR="00667501">
        <w:rPr>
          <w:bCs/>
          <w:iCs/>
          <w:snapToGrid w:val="0"/>
          <w:kern w:val="22"/>
          <w:lang w:val="fr-FR"/>
        </w:rPr>
        <w:t> %</w:t>
      </w:r>
      <w:r w:rsidRPr="00F8252B">
        <w:rPr>
          <w:bCs/>
          <w:iCs/>
          <w:snapToGrid w:val="0"/>
          <w:kern w:val="22"/>
          <w:lang w:val="fr-FR"/>
        </w:rPr>
        <w:t>)</w:t>
      </w:r>
      <w:r w:rsidR="00D560E8">
        <w:rPr>
          <w:bCs/>
          <w:iCs/>
          <w:snapToGrid w:val="0"/>
          <w:kern w:val="22"/>
          <w:lang w:val="fr-FR"/>
        </w:rPr>
        <w:t> ;</w:t>
      </w:r>
      <w:r w:rsidRPr="00F8252B">
        <w:rPr>
          <w:bCs/>
          <w:iCs/>
          <w:snapToGrid w:val="0"/>
          <w:kern w:val="22"/>
          <w:lang w:val="fr-FR"/>
        </w:rPr>
        <w:t xml:space="preserve"> et intégration de la sécurité biologique dans la législation, les politiques et les institutions intersectorielles et sectorielles (78</w:t>
      </w:r>
      <w:r w:rsidR="00667501">
        <w:rPr>
          <w:bCs/>
          <w:iCs/>
          <w:snapToGrid w:val="0"/>
          <w:kern w:val="22"/>
          <w:lang w:val="fr-FR"/>
        </w:rPr>
        <w:t> %</w:t>
      </w:r>
      <w:r w:rsidRPr="00F8252B">
        <w:rPr>
          <w:bCs/>
          <w:iCs/>
          <w:snapToGrid w:val="0"/>
          <w:kern w:val="22"/>
          <w:lang w:val="fr-FR"/>
        </w:rPr>
        <w:t>)</w:t>
      </w:r>
    </w:p>
    <w:p w14:paraId="4B024AFB" w14:textId="6A513E81" w:rsidR="00D57D25" w:rsidRPr="00F8252B" w:rsidRDefault="00E40AD2" w:rsidP="005800E4">
      <w:pPr>
        <w:pStyle w:val="CBDH4"/>
        <w:rPr>
          <w:iCs/>
          <w:snapToGrid w:val="0"/>
          <w:kern w:val="22"/>
          <w:lang w:val="fr-FR"/>
        </w:rPr>
      </w:pPr>
      <w:r w:rsidRPr="00F8252B">
        <w:rPr>
          <w:snapToGrid w:val="0"/>
          <w:lang w:val="fr-FR"/>
        </w:rPr>
        <w:t>b)</w:t>
      </w:r>
      <w:r w:rsidRPr="00F8252B">
        <w:rPr>
          <w:snapToGrid w:val="0"/>
          <w:lang w:val="fr-FR"/>
        </w:rPr>
        <w:tab/>
      </w:r>
      <w:r w:rsidR="00F46005" w:rsidRPr="00F8252B">
        <w:rPr>
          <w:iCs/>
          <w:snapToGrid w:val="0"/>
          <w:kern w:val="22"/>
          <w:lang w:val="fr-FR"/>
        </w:rPr>
        <w:t>Analyse</w:t>
      </w:r>
      <w:r w:rsidR="00DA4A2B" w:rsidRPr="00F8252B">
        <w:rPr>
          <w:iCs/>
          <w:snapToGrid w:val="0"/>
          <w:kern w:val="22"/>
          <w:lang w:val="fr-FR"/>
        </w:rPr>
        <w:t xml:space="preserve"> des informations</w:t>
      </w:r>
    </w:p>
    <w:p w14:paraId="6B5F6432" w14:textId="121F3142" w:rsidR="00B04D94" w:rsidRPr="00F8252B" w:rsidRDefault="001D7529" w:rsidP="00FA2932">
      <w:pPr>
        <w:pStyle w:val="CBDNormalNumber"/>
        <w:rPr>
          <w:bCs/>
          <w:iCs/>
          <w:snapToGrid w:val="0"/>
          <w:kern w:val="22"/>
          <w:lang w:val="fr-FR"/>
        </w:rPr>
      </w:pPr>
      <w:r w:rsidRPr="00F8252B">
        <w:rPr>
          <w:bCs/>
          <w:iCs/>
          <w:snapToGrid w:val="0"/>
          <w:kern w:val="22"/>
          <w:lang w:val="fr-FR"/>
        </w:rPr>
        <w:t>Le but </w:t>
      </w:r>
      <w:r w:rsidR="00935AC9" w:rsidRPr="00F8252B">
        <w:rPr>
          <w:bCs/>
          <w:iCs/>
          <w:snapToGrid w:val="0"/>
          <w:kern w:val="22"/>
          <w:lang w:val="fr-FR"/>
        </w:rPr>
        <w:t xml:space="preserve">A.1 </w:t>
      </w:r>
      <w:r w:rsidR="00583837" w:rsidRPr="00F8252B">
        <w:rPr>
          <w:bCs/>
          <w:iCs/>
          <w:snapToGrid w:val="0"/>
          <w:kern w:val="22"/>
          <w:lang w:val="fr-FR"/>
        </w:rPr>
        <w:t xml:space="preserve">comprend trois objectifs à atteindre pour réaliser le but visé, ainsi que trois indicateurs permettant de mesurer les progrès accomplis dans la réalisation de ces objectifs. </w:t>
      </w:r>
      <w:r w:rsidR="00EF3454">
        <w:rPr>
          <w:bCs/>
          <w:iCs/>
          <w:snapToGrid w:val="0"/>
          <w:kern w:val="22"/>
          <w:lang w:val="fr-FR"/>
        </w:rPr>
        <w:t>Pour</w:t>
      </w:r>
      <w:r w:rsidR="00583837" w:rsidRPr="00F8252B">
        <w:rPr>
          <w:bCs/>
          <w:iCs/>
          <w:snapToGrid w:val="0"/>
          <w:kern w:val="22"/>
          <w:lang w:val="fr-FR"/>
        </w:rPr>
        <w:t xml:space="preserve"> l’indicateur A.1 a) (pourcentage des Parties ayant mis en place des mesures pour appliquer les dispositions du Protocole), </w:t>
      </w:r>
      <w:r w:rsidR="00A17297">
        <w:rPr>
          <w:bCs/>
          <w:iCs/>
          <w:snapToGrid w:val="0"/>
          <w:kern w:val="22"/>
          <w:lang w:val="fr-FR"/>
        </w:rPr>
        <w:t xml:space="preserve">ce sont </w:t>
      </w:r>
      <w:r w:rsidR="00583837" w:rsidRPr="00F8252B">
        <w:rPr>
          <w:bCs/>
          <w:iCs/>
          <w:snapToGrid w:val="0"/>
          <w:kern w:val="22"/>
          <w:lang w:val="fr-FR"/>
        </w:rPr>
        <w:t>les informations fournies en réponse aux questions</w:t>
      </w:r>
      <w:r w:rsidR="00A17297">
        <w:rPr>
          <w:bCs/>
          <w:iCs/>
          <w:snapToGrid w:val="0"/>
          <w:kern w:val="22"/>
          <w:lang w:val="fr-FR"/>
        </w:rPr>
        <w:t> </w:t>
      </w:r>
      <w:r w:rsidR="00583837" w:rsidRPr="00F8252B">
        <w:rPr>
          <w:bCs/>
          <w:iCs/>
          <w:snapToGrid w:val="0"/>
          <w:kern w:val="22"/>
          <w:lang w:val="fr-FR"/>
        </w:rPr>
        <w:t>7 et 8 du cinquième rapport national ont été utilisées pour évaluer les progrès accomplis au regard de cet indicateur</w:t>
      </w:r>
      <w:r w:rsidR="00C91C5A" w:rsidRPr="00F8252B">
        <w:rPr>
          <w:bCs/>
          <w:iCs/>
          <w:snapToGrid w:val="0"/>
          <w:kern w:val="22"/>
          <w:lang w:val="fr-FR"/>
        </w:rPr>
        <w:t>.</w:t>
      </w:r>
    </w:p>
    <w:p w14:paraId="7239FAFE" w14:textId="29EE263A" w:rsidR="00C35637" w:rsidRPr="00F8252B" w:rsidRDefault="006B0802" w:rsidP="00FA2932">
      <w:pPr>
        <w:pStyle w:val="CBDNormalNumber"/>
        <w:rPr>
          <w:bCs/>
          <w:iCs/>
          <w:snapToGrid w:val="0"/>
          <w:kern w:val="22"/>
          <w:lang w:val="fr-FR"/>
        </w:rPr>
      </w:pPr>
      <w:r w:rsidRPr="00F8252B">
        <w:rPr>
          <w:bCs/>
          <w:iCs/>
          <w:snapToGrid w:val="0"/>
          <w:kern w:val="22"/>
          <w:lang w:val="fr-FR"/>
        </w:rPr>
        <w:t>Quarante-huit pour cent des Parties ont indiqué avoir mis en place les mesures nationales nécessaires à la mise en œuvre intégrale du Protocole, ce qui représente une augmentation de 2</w:t>
      </w:r>
      <w:r w:rsidR="00667501">
        <w:rPr>
          <w:bCs/>
          <w:iCs/>
          <w:snapToGrid w:val="0"/>
          <w:kern w:val="22"/>
          <w:lang w:val="fr-FR"/>
        </w:rPr>
        <w:t> %</w:t>
      </w:r>
      <w:r w:rsidRPr="00F8252B">
        <w:rPr>
          <w:bCs/>
          <w:iCs/>
          <w:snapToGrid w:val="0"/>
          <w:kern w:val="22"/>
          <w:lang w:val="fr-FR"/>
        </w:rPr>
        <w:t xml:space="preserve"> par rapport à la situation de référence. L'on observe des différences régionales importantes. Dix pour cent des Parties de la région Amérique latine et Caraïbes ont déclaré que les mesures étaient pleinement en place (+5</w:t>
      </w:r>
      <w:r w:rsidR="00667501">
        <w:rPr>
          <w:bCs/>
          <w:iCs/>
          <w:snapToGrid w:val="0"/>
          <w:kern w:val="22"/>
          <w:lang w:val="fr-FR"/>
        </w:rPr>
        <w:t> %</w:t>
      </w:r>
      <w:r w:rsidRPr="00F8252B">
        <w:rPr>
          <w:bCs/>
          <w:iCs/>
          <w:snapToGrid w:val="0"/>
          <w:kern w:val="22"/>
          <w:lang w:val="fr-FR"/>
        </w:rPr>
        <w:t>)</w:t>
      </w:r>
      <w:r w:rsidR="00D560E8">
        <w:rPr>
          <w:bCs/>
          <w:iCs/>
          <w:snapToGrid w:val="0"/>
          <w:kern w:val="22"/>
          <w:lang w:val="fr-FR"/>
        </w:rPr>
        <w:t> ;</w:t>
      </w:r>
      <w:r w:rsidRPr="00F8252B">
        <w:rPr>
          <w:bCs/>
          <w:iCs/>
          <w:snapToGrid w:val="0"/>
          <w:kern w:val="22"/>
          <w:lang w:val="fr-FR"/>
        </w:rPr>
        <w:t xml:space="preserve"> 36</w:t>
      </w:r>
      <w:r w:rsidR="00667501">
        <w:rPr>
          <w:bCs/>
          <w:iCs/>
          <w:snapToGrid w:val="0"/>
          <w:kern w:val="22"/>
          <w:lang w:val="fr-FR"/>
        </w:rPr>
        <w:t> %</w:t>
      </w:r>
      <w:r w:rsidRPr="00F8252B">
        <w:rPr>
          <w:bCs/>
          <w:iCs/>
          <w:snapToGrid w:val="0"/>
          <w:kern w:val="22"/>
          <w:lang w:val="fr-FR"/>
        </w:rPr>
        <w:t xml:space="preserve"> des Parties de la région Afrique (+3</w:t>
      </w:r>
      <w:r w:rsidR="00667501">
        <w:rPr>
          <w:bCs/>
          <w:iCs/>
          <w:snapToGrid w:val="0"/>
          <w:kern w:val="22"/>
          <w:lang w:val="fr-FR"/>
        </w:rPr>
        <w:t> %</w:t>
      </w:r>
      <w:r w:rsidRPr="00F8252B">
        <w:rPr>
          <w:bCs/>
          <w:iCs/>
          <w:snapToGrid w:val="0"/>
          <w:kern w:val="22"/>
          <w:lang w:val="fr-FR"/>
        </w:rPr>
        <w:t>)</w:t>
      </w:r>
      <w:r w:rsidR="00D560E8">
        <w:rPr>
          <w:bCs/>
          <w:iCs/>
          <w:snapToGrid w:val="0"/>
          <w:kern w:val="22"/>
          <w:lang w:val="fr-FR"/>
        </w:rPr>
        <w:t> ;</w:t>
      </w:r>
      <w:r w:rsidRPr="00F8252B">
        <w:rPr>
          <w:bCs/>
          <w:iCs/>
          <w:snapToGrid w:val="0"/>
          <w:kern w:val="22"/>
          <w:lang w:val="fr-FR"/>
        </w:rPr>
        <w:t xml:space="preserve"> 42</w:t>
      </w:r>
      <w:r w:rsidR="00667501">
        <w:rPr>
          <w:bCs/>
          <w:iCs/>
          <w:snapToGrid w:val="0"/>
          <w:kern w:val="22"/>
          <w:lang w:val="fr-FR"/>
        </w:rPr>
        <w:t> %</w:t>
      </w:r>
      <w:r w:rsidRPr="00F8252B">
        <w:rPr>
          <w:bCs/>
          <w:iCs/>
          <w:snapToGrid w:val="0"/>
          <w:kern w:val="22"/>
          <w:lang w:val="fr-FR"/>
        </w:rPr>
        <w:t xml:space="preserve"> des Parties de la région Asie-Pacifique (+4</w:t>
      </w:r>
      <w:r w:rsidR="00667501">
        <w:rPr>
          <w:bCs/>
          <w:iCs/>
          <w:snapToGrid w:val="0"/>
          <w:kern w:val="22"/>
          <w:lang w:val="fr-FR"/>
        </w:rPr>
        <w:t> %</w:t>
      </w:r>
      <w:r w:rsidRPr="00F8252B">
        <w:rPr>
          <w:bCs/>
          <w:iCs/>
          <w:snapToGrid w:val="0"/>
          <w:kern w:val="22"/>
          <w:lang w:val="fr-FR"/>
        </w:rPr>
        <w:t>)</w:t>
      </w:r>
      <w:r w:rsidR="00D560E8">
        <w:rPr>
          <w:bCs/>
          <w:iCs/>
          <w:snapToGrid w:val="0"/>
          <w:kern w:val="22"/>
          <w:lang w:val="fr-FR"/>
        </w:rPr>
        <w:t> ;</w:t>
      </w:r>
      <w:r w:rsidRPr="00F8252B">
        <w:rPr>
          <w:bCs/>
          <w:iCs/>
          <w:snapToGrid w:val="0"/>
          <w:kern w:val="22"/>
          <w:lang w:val="fr-FR"/>
        </w:rPr>
        <w:t xml:space="preserve"> 68</w:t>
      </w:r>
      <w:r w:rsidR="00667501">
        <w:rPr>
          <w:bCs/>
          <w:iCs/>
          <w:snapToGrid w:val="0"/>
          <w:kern w:val="22"/>
          <w:lang w:val="fr-FR"/>
        </w:rPr>
        <w:t> %</w:t>
      </w:r>
      <w:r w:rsidRPr="00F8252B">
        <w:rPr>
          <w:bCs/>
          <w:iCs/>
          <w:snapToGrid w:val="0"/>
          <w:kern w:val="22"/>
          <w:lang w:val="fr-FR"/>
        </w:rPr>
        <w:t xml:space="preserve"> des Parties de la région Europe de l’Est (aucun changement par rapport à la base de référence)</w:t>
      </w:r>
      <w:r w:rsidR="00D560E8">
        <w:rPr>
          <w:bCs/>
          <w:iCs/>
          <w:snapToGrid w:val="0"/>
          <w:kern w:val="22"/>
          <w:lang w:val="fr-FR"/>
        </w:rPr>
        <w:t> ;</w:t>
      </w:r>
      <w:r w:rsidRPr="00F8252B">
        <w:rPr>
          <w:bCs/>
          <w:iCs/>
          <w:snapToGrid w:val="0"/>
          <w:kern w:val="22"/>
          <w:lang w:val="fr-FR"/>
        </w:rPr>
        <w:t xml:space="preserve"> et toutes les Parties de la région Europe occidentale et autres États (aucun changement par rapport à la référence).</w:t>
      </w:r>
    </w:p>
    <w:p w14:paraId="118163E7" w14:textId="7F8203FB" w:rsidR="009008CC" w:rsidRPr="00F8252B" w:rsidRDefault="00483169" w:rsidP="00FA2932">
      <w:pPr>
        <w:pStyle w:val="CBDNormalNumber"/>
        <w:rPr>
          <w:bCs/>
          <w:iCs/>
          <w:snapToGrid w:val="0"/>
          <w:kern w:val="22"/>
          <w:lang w:val="fr-FR"/>
        </w:rPr>
      </w:pPr>
      <w:r w:rsidRPr="00F8252B">
        <w:rPr>
          <w:bCs/>
          <w:iCs/>
          <w:snapToGrid w:val="0"/>
          <w:kern w:val="22"/>
          <w:lang w:val="fr-FR"/>
        </w:rPr>
        <w:lastRenderedPageBreak/>
        <w:t>Au total, 43</w:t>
      </w:r>
      <w:r w:rsidR="00667501">
        <w:rPr>
          <w:bCs/>
          <w:iCs/>
          <w:snapToGrid w:val="0"/>
          <w:kern w:val="22"/>
          <w:lang w:val="fr-FR"/>
        </w:rPr>
        <w:t> %</w:t>
      </w:r>
      <w:r w:rsidRPr="00F8252B">
        <w:rPr>
          <w:bCs/>
          <w:iCs/>
          <w:snapToGrid w:val="0"/>
          <w:kern w:val="22"/>
          <w:lang w:val="fr-FR"/>
        </w:rPr>
        <w:t xml:space="preserve"> des Parties ont indiqué que des mesures nationales étaient partiellement en place, ce qui représente une augmentation de 4</w:t>
      </w:r>
      <w:r w:rsidR="00667501">
        <w:rPr>
          <w:bCs/>
          <w:iCs/>
          <w:snapToGrid w:val="0"/>
          <w:kern w:val="22"/>
          <w:lang w:val="fr-FR"/>
        </w:rPr>
        <w:t> %</w:t>
      </w:r>
      <w:r w:rsidRPr="00F8252B">
        <w:rPr>
          <w:bCs/>
          <w:iCs/>
          <w:snapToGrid w:val="0"/>
          <w:kern w:val="22"/>
          <w:lang w:val="fr-FR"/>
        </w:rPr>
        <w:t xml:space="preserve"> par rapport à la situation de référence. Au niveau régional, aucune des Parties de la région de l’Europe occidentale et des autres États n’a signalé que des mesures étaient partiellement en place (aucun changement par rapport à la situation de référence)</w:t>
      </w:r>
      <w:r w:rsidR="00D560E8">
        <w:rPr>
          <w:bCs/>
          <w:iCs/>
          <w:snapToGrid w:val="0"/>
          <w:kern w:val="22"/>
          <w:lang w:val="fr-FR"/>
        </w:rPr>
        <w:t> ;</w:t>
      </w:r>
      <w:r w:rsidRPr="00F8252B">
        <w:rPr>
          <w:bCs/>
          <w:iCs/>
          <w:snapToGrid w:val="0"/>
          <w:kern w:val="22"/>
          <w:lang w:val="fr-FR"/>
        </w:rPr>
        <w:t xml:space="preserve"> 32</w:t>
      </w:r>
      <w:r w:rsidR="00667501">
        <w:rPr>
          <w:bCs/>
          <w:iCs/>
          <w:snapToGrid w:val="0"/>
          <w:kern w:val="22"/>
          <w:lang w:val="fr-FR"/>
        </w:rPr>
        <w:t> %</w:t>
      </w:r>
      <w:r w:rsidRPr="00F8252B">
        <w:rPr>
          <w:bCs/>
          <w:iCs/>
          <w:snapToGrid w:val="0"/>
          <w:kern w:val="22"/>
          <w:lang w:val="fr-FR"/>
        </w:rPr>
        <w:t xml:space="preserve"> des Parties de la région de l’Europe orientale (+6</w:t>
      </w:r>
      <w:r w:rsidR="00667501">
        <w:rPr>
          <w:bCs/>
          <w:iCs/>
          <w:snapToGrid w:val="0"/>
          <w:kern w:val="22"/>
          <w:lang w:val="fr-FR"/>
        </w:rPr>
        <w:t> %</w:t>
      </w:r>
      <w:r w:rsidRPr="00F8252B">
        <w:rPr>
          <w:bCs/>
          <w:iCs/>
          <w:snapToGrid w:val="0"/>
          <w:kern w:val="22"/>
          <w:lang w:val="fr-FR"/>
        </w:rPr>
        <w:t>)</w:t>
      </w:r>
      <w:r w:rsidR="00D560E8">
        <w:rPr>
          <w:bCs/>
          <w:iCs/>
          <w:snapToGrid w:val="0"/>
          <w:kern w:val="22"/>
          <w:lang w:val="fr-FR"/>
        </w:rPr>
        <w:t> ;</w:t>
      </w:r>
      <w:r w:rsidRPr="00F8252B">
        <w:rPr>
          <w:bCs/>
          <w:iCs/>
          <w:snapToGrid w:val="0"/>
          <w:kern w:val="22"/>
          <w:lang w:val="fr-FR"/>
        </w:rPr>
        <w:t xml:space="preserve"> 42</w:t>
      </w:r>
      <w:r w:rsidR="00667501">
        <w:rPr>
          <w:bCs/>
          <w:iCs/>
          <w:snapToGrid w:val="0"/>
          <w:kern w:val="22"/>
          <w:lang w:val="fr-FR"/>
        </w:rPr>
        <w:t> %</w:t>
      </w:r>
      <w:r w:rsidRPr="00F8252B">
        <w:rPr>
          <w:bCs/>
          <w:iCs/>
          <w:snapToGrid w:val="0"/>
          <w:kern w:val="22"/>
          <w:lang w:val="fr-FR"/>
        </w:rPr>
        <w:t xml:space="preserve"> des Parties de la région Asie-Pacifique (aucun changement par rapport à la situation de référence)</w:t>
      </w:r>
      <w:r w:rsidR="00D560E8">
        <w:rPr>
          <w:bCs/>
          <w:iCs/>
          <w:snapToGrid w:val="0"/>
          <w:kern w:val="22"/>
          <w:lang w:val="fr-FR"/>
        </w:rPr>
        <w:t> ;</w:t>
      </w:r>
      <w:r w:rsidRPr="00F8252B">
        <w:rPr>
          <w:bCs/>
          <w:iCs/>
          <w:snapToGrid w:val="0"/>
          <w:kern w:val="22"/>
          <w:lang w:val="fr-FR"/>
        </w:rPr>
        <w:t xml:space="preserve"> 54</w:t>
      </w:r>
      <w:r w:rsidR="00667501">
        <w:rPr>
          <w:bCs/>
          <w:iCs/>
          <w:snapToGrid w:val="0"/>
          <w:kern w:val="22"/>
          <w:lang w:val="fr-FR"/>
        </w:rPr>
        <w:t> %</w:t>
      </w:r>
      <w:r w:rsidRPr="00F8252B">
        <w:rPr>
          <w:bCs/>
          <w:iCs/>
          <w:snapToGrid w:val="0"/>
          <w:kern w:val="22"/>
          <w:lang w:val="fr-FR"/>
        </w:rPr>
        <w:t xml:space="preserve"> des Parties de la région Afrique (+10</w:t>
      </w:r>
      <w:r w:rsidR="00667501">
        <w:rPr>
          <w:bCs/>
          <w:iCs/>
          <w:snapToGrid w:val="0"/>
          <w:kern w:val="22"/>
          <w:lang w:val="fr-FR"/>
        </w:rPr>
        <w:t> %</w:t>
      </w:r>
      <w:r w:rsidRPr="00F8252B">
        <w:rPr>
          <w:bCs/>
          <w:iCs/>
          <w:snapToGrid w:val="0"/>
          <w:kern w:val="22"/>
          <w:lang w:val="fr-FR"/>
        </w:rPr>
        <w:t>)</w:t>
      </w:r>
      <w:r w:rsidR="00D560E8">
        <w:rPr>
          <w:bCs/>
          <w:iCs/>
          <w:snapToGrid w:val="0"/>
          <w:kern w:val="22"/>
          <w:lang w:val="fr-FR"/>
        </w:rPr>
        <w:t> ;</w:t>
      </w:r>
      <w:r w:rsidRPr="00F8252B">
        <w:rPr>
          <w:bCs/>
          <w:iCs/>
          <w:snapToGrid w:val="0"/>
          <w:kern w:val="22"/>
          <w:lang w:val="fr-FR"/>
        </w:rPr>
        <w:t xml:space="preserve"> et 75</w:t>
      </w:r>
      <w:r w:rsidR="00667501">
        <w:rPr>
          <w:bCs/>
          <w:iCs/>
          <w:snapToGrid w:val="0"/>
          <w:kern w:val="22"/>
          <w:lang w:val="fr-FR"/>
        </w:rPr>
        <w:t> %</w:t>
      </w:r>
      <w:r w:rsidRPr="00F8252B">
        <w:rPr>
          <w:bCs/>
          <w:iCs/>
          <w:snapToGrid w:val="0"/>
          <w:kern w:val="22"/>
          <w:lang w:val="fr-FR"/>
        </w:rPr>
        <w:t xml:space="preserve"> des Parties de la région Amérique latine et Caraïbes (aucun changement par rapport à la situation de référence). De plus amples informations sont fournies ci-dessous au titre du but A.4 (respect des obligations).</w:t>
      </w:r>
    </w:p>
    <w:p w14:paraId="648B3DAC" w14:textId="6728E79C" w:rsidR="00973027" w:rsidRPr="00F8252B" w:rsidRDefault="00046860" w:rsidP="00FA2932">
      <w:pPr>
        <w:pStyle w:val="CBDNormalNumber"/>
        <w:rPr>
          <w:bCs/>
          <w:iCs/>
          <w:snapToGrid w:val="0"/>
          <w:kern w:val="22"/>
          <w:lang w:val="fr-FR"/>
        </w:rPr>
      </w:pPr>
      <w:r w:rsidRPr="00F8252B">
        <w:rPr>
          <w:bCs/>
          <w:iCs/>
          <w:snapToGrid w:val="0"/>
          <w:kern w:val="22"/>
          <w:lang w:val="fr-FR"/>
        </w:rPr>
        <w:t>Dans l'ensemble, 91</w:t>
      </w:r>
      <w:r w:rsidR="00667501">
        <w:rPr>
          <w:bCs/>
          <w:iCs/>
          <w:snapToGrid w:val="0"/>
          <w:kern w:val="22"/>
          <w:lang w:val="fr-FR"/>
        </w:rPr>
        <w:t> %</w:t>
      </w:r>
      <w:r w:rsidRPr="00F8252B">
        <w:rPr>
          <w:bCs/>
          <w:iCs/>
          <w:snapToGrid w:val="0"/>
          <w:kern w:val="22"/>
          <w:lang w:val="fr-FR"/>
        </w:rPr>
        <w:t xml:space="preserve"> des Parties ont indiqué que des mesures étaient soit pleinement, soit partiellement mises en place, ce qui représente une augmentation de 6</w:t>
      </w:r>
      <w:r w:rsidR="00667501">
        <w:rPr>
          <w:bCs/>
          <w:iCs/>
          <w:snapToGrid w:val="0"/>
          <w:kern w:val="22"/>
          <w:lang w:val="fr-FR"/>
        </w:rPr>
        <w:t> %</w:t>
      </w:r>
      <w:r w:rsidRPr="00F8252B">
        <w:rPr>
          <w:bCs/>
          <w:iCs/>
          <w:snapToGrid w:val="0"/>
          <w:kern w:val="22"/>
          <w:lang w:val="fr-FR"/>
        </w:rPr>
        <w:t>. Les écarts entre les régions étaient nettement moins marqués lorsque l'on considérait conjointement les Parties ayant déclaré que les mesures étaient pleinement mises en place et celles ayant indiqué qu'elles l'étaient partiellement. Les proportions ainsi obtenues s'élevaient à 84</w:t>
      </w:r>
      <w:r w:rsidR="00667501">
        <w:rPr>
          <w:bCs/>
          <w:iCs/>
          <w:snapToGrid w:val="0"/>
          <w:kern w:val="22"/>
          <w:lang w:val="fr-FR"/>
        </w:rPr>
        <w:t> %</w:t>
      </w:r>
      <w:r w:rsidRPr="00F8252B">
        <w:rPr>
          <w:bCs/>
          <w:iCs/>
          <w:snapToGrid w:val="0"/>
          <w:kern w:val="22"/>
          <w:lang w:val="fr-FR"/>
        </w:rPr>
        <w:t xml:space="preserve"> dans la région Asie-Pacifique (+4</w:t>
      </w:r>
      <w:r w:rsidR="00667501">
        <w:rPr>
          <w:bCs/>
          <w:iCs/>
          <w:snapToGrid w:val="0"/>
          <w:kern w:val="22"/>
          <w:lang w:val="fr-FR"/>
        </w:rPr>
        <w:t> %</w:t>
      </w:r>
      <w:r w:rsidRPr="00F8252B">
        <w:rPr>
          <w:bCs/>
          <w:iCs/>
          <w:snapToGrid w:val="0"/>
          <w:kern w:val="22"/>
          <w:lang w:val="fr-FR"/>
        </w:rPr>
        <w:t>)</w:t>
      </w:r>
      <w:r w:rsidR="00D560E8">
        <w:rPr>
          <w:bCs/>
          <w:iCs/>
          <w:snapToGrid w:val="0"/>
          <w:kern w:val="22"/>
          <w:lang w:val="fr-FR"/>
        </w:rPr>
        <w:t> ;</w:t>
      </w:r>
      <w:r w:rsidRPr="00F8252B">
        <w:rPr>
          <w:bCs/>
          <w:iCs/>
          <w:snapToGrid w:val="0"/>
          <w:kern w:val="22"/>
          <w:lang w:val="fr-FR"/>
        </w:rPr>
        <w:t xml:space="preserve"> 85</w:t>
      </w:r>
      <w:r w:rsidR="00667501">
        <w:rPr>
          <w:bCs/>
          <w:iCs/>
          <w:snapToGrid w:val="0"/>
          <w:kern w:val="22"/>
          <w:lang w:val="fr-FR"/>
        </w:rPr>
        <w:t> %</w:t>
      </w:r>
      <w:r w:rsidRPr="00F8252B">
        <w:rPr>
          <w:bCs/>
          <w:iCs/>
          <w:snapToGrid w:val="0"/>
          <w:kern w:val="22"/>
          <w:lang w:val="fr-FR"/>
        </w:rPr>
        <w:t xml:space="preserve"> dans la région Amérique latine et Caraïbes (+5</w:t>
      </w:r>
      <w:r w:rsidR="00667501">
        <w:rPr>
          <w:bCs/>
          <w:iCs/>
          <w:snapToGrid w:val="0"/>
          <w:kern w:val="22"/>
          <w:lang w:val="fr-FR"/>
        </w:rPr>
        <w:t> %</w:t>
      </w:r>
      <w:r w:rsidRPr="00F8252B">
        <w:rPr>
          <w:bCs/>
          <w:iCs/>
          <w:snapToGrid w:val="0"/>
          <w:kern w:val="22"/>
          <w:lang w:val="fr-FR"/>
        </w:rPr>
        <w:t>)</w:t>
      </w:r>
      <w:r w:rsidR="00D560E8">
        <w:rPr>
          <w:bCs/>
          <w:iCs/>
          <w:snapToGrid w:val="0"/>
          <w:kern w:val="22"/>
          <w:lang w:val="fr-FR"/>
        </w:rPr>
        <w:t> ;</w:t>
      </w:r>
      <w:r w:rsidRPr="00F8252B">
        <w:rPr>
          <w:bCs/>
          <w:iCs/>
          <w:snapToGrid w:val="0"/>
          <w:kern w:val="22"/>
          <w:lang w:val="fr-FR"/>
        </w:rPr>
        <w:t xml:space="preserve"> 90</w:t>
      </w:r>
      <w:r w:rsidR="00667501">
        <w:rPr>
          <w:bCs/>
          <w:iCs/>
          <w:snapToGrid w:val="0"/>
          <w:kern w:val="22"/>
          <w:lang w:val="fr-FR"/>
        </w:rPr>
        <w:t> %</w:t>
      </w:r>
      <w:r w:rsidRPr="00F8252B">
        <w:rPr>
          <w:bCs/>
          <w:iCs/>
          <w:snapToGrid w:val="0"/>
          <w:kern w:val="22"/>
          <w:lang w:val="fr-FR"/>
        </w:rPr>
        <w:t xml:space="preserve"> dans la région Afrique (+13</w:t>
      </w:r>
      <w:r w:rsidR="00667501">
        <w:rPr>
          <w:bCs/>
          <w:iCs/>
          <w:snapToGrid w:val="0"/>
          <w:kern w:val="22"/>
          <w:lang w:val="fr-FR"/>
        </w:rPr>
        <w:t> %</w:t>
      </w:r>
      <w:r w:rsidRPr="00F8252B">
        <w:rPr>
          <w:bCs/>
          <w:iCs/>
          <w:snapToGrid w:val="0"/>
          <w:kern w:val="22"/>
          <w:lang w:val="fr-FR"/>
        </w:rPr>
        <w:t>)</w:t>
      </w:r>
      <w:r w:rsidR="00D560E8">
        <w:rPr>
          <w:bCs/>
          <w:iCs/>
          <w:snapToGrid w:val="0"/>
          <w:kern w:val="22"/>
          <w:lang w:val="fr-FR"/>
        </w:rPr>
        <w:t> ;</w:t>
      </w:r>
      <w:r w:rsidRPr="00F8252B">
        <w:rPr>
          <w:bCs/>
          <w:iCs/>
          <w:snapToGrid w:val="0"/>
          <w:kern w:val="22"/>
          <w:lang w:val="fr-FR"/>
        </w:rPr>
        <w:t xml:space="preserve"> 100</w:t>
      </w:r>
      <w:r w:rsidR="00667501">
        <w:rPr>
          <w:bCs/>
          <w:iCs/>
          <w:snapToGrid w:val="0"/>
          <w:kern w:val="22"/>
          <w:lang w:val="fr-FR"/>
        </w:rPr>
        <w:t> %</w:t>
      </w:r>
      <w:r w:rsidRPr="00F8252B">
        <w:rPr>
          <w:bCs/>
          <w:iCs/>
          <w:snapToGrid w:val="0"/>
          <w:kern w:val="22"/>
          <w:lang w:val="fr-FR"/>
        </w:rPr>
        <w:t xml:space="preserve"> dans la région Europe de l’Est (+6</w:t>
      </w:r>
      <w:r w:rsidR="00667501">
        <w:rPr>
          <w:bCs/>
          <w:iCs/>
          <w:snapToGrid w:val="0"/>
          <w:kern w:val="22"/>
          <w:lang w:val="fr-FR"/>
        </w:rPr>
        <w:t> %</w:t>
      </w:r>
      <w:r w:rsidRPr="00F8252B">
        <w:rPr>
          <w:bCs/>
          <w:iCs/>
          <w:snapToGrid w:val="0"/>
          <w:kern w:val="22"/>
          <w:lang w:val="fr-FR"/>
        </w:rPr>
        <w:t>)</w:t>
      </w:r>
      <w:r w:rsidR="00D560E8">
        <w:rPr>
          <w:bCs/>
          <w:iCs/>
          <w:snapToGrid w:val="0"/>
          <w:kern w:val="22"/>
          <w:lang w:val="fr-FR"/>
        </w:rPr>
        <w:t> ;</w:t>
      </w:r>
      <w:r w:rsidRPr="00F8252B">
        <w:rPr>
          <w:bCs/>
          <w:iCs/>
          <w:snapToGrid w:val="0"/>
          <w:kern w:val="22"/>
          <w:lang w:val="fr-FR"/>
        </w:rPr>
        <w:t xml:space="preserve"> et 100</w:t>
      </w:r>
      <w:r w:rsidR="00667501">
        <w:rPr>
          <w:bCs/>
          <w:iCs/>
          <w:snapToGrid w:val="0"/>
          <w:kern w:val="22"/>
          <w:lang w:val="fr-FR"/>
        </w:rPr>
        <w:t> %</w:t>
      </w:r>
      <w:r w:rsidRPr="00F8252B">
        <w:rPr>
          <w:bCs/>
          <w:iCs/>
          <w:snapToGrid w:val="0"/>
          <w:kern w:val="22"/>
          <w:lang w:val="fr-FR"/>
        </w:rPr>
        <w:t xml:space="preserve"> dans la région Europe occidentale et autres États (aucun changement par rapport à référence).</w:t>
      </w:r>
    </w:p>
    <w:p w14:paraId="0DB3DC2C" w14:textId="3010F467" w:rsidR="009C6418" w:rsidRPr="00F8252B" w:rsidRDefault="000E741C" w:rsidP="007523FB">
      <w:pPr>
        <w:pStyle w:val="CBDNormalNumber"/>
        <w:rPr>
          <w:bCs/>
          <w:iCs/>
          <w:snapToGrid w:val="0"/>
          <w:kern w:val="22"/>
          <w:lang w:val="fr-FR"/>
        </w:rPr>
      </w:pPr>
      <w:r w:rsidRPr="00F8252B">
        <w:rPr>
          <w:bCs/>
          <w:iCs/>
          <w:snapToGrid w:val="0"/>
          <w:kern w:val="22"/>
          <w:lang w:val="fr-FR"/>
        </w:rPr>
        <w:t>Trois pour cent des Parties ont indiqué que seules des mesures temporaires avaient été mises en place (-1</w:t>
      </w:r>
      <w:r w:rsidR="00667501">
        <w:rPr>
          <w:bCs/>
          <w:iCs/>
          <w:snapToGrid w:val="0"/>
          <w:kern w:val="22"/>
          <w:lang w:val="fr-FR"/>
        </w:rPr>
        <w:t> %</w:t>
      </w:r>
      <w:r w:rsidRPr="00F8252B">
        <w:rPr>
          <w:bCs/>
          <w:iCs/>
          <w:snapToGrid w:val="0"/>
          <w:kern w:val="22"/>
          <w:lang w:val="fr-FR"/>
        </w:rPr>
        <w:t>)</w:t>
      </w:r>
      <w:r w:rsidR="00D560E8">
        <w:rPr>
          <w:bCs/>
          <w:iCs/>
          <w:snapToGrid w:val="0"/>
          <w:kern w:val="22"/>
          <w:lang w:val="fr-FR"/>
        </w:rPr>
        <w:t> ;</w:t>
      </w:r>
      <w:r w:rsidRPr="00F8252B">
        <w:rPr>
          <w:bCs/>
          <w:iCs/>
          <w:snapToGrid w:val="0"/>
          <w:kern w:val="22"/>
          <w:lang w:val="fr-FR"/>
        </w:rPr>
        <w:t xml:space="preserve"> 5</w:t>
      </w:r>
      <w:r w:rsidR="00667501">
        <w:rPr>
          <w:bCs/>
          <w:iCs/>
          <w:snapToGrid w:val="0"/>
          <w:kern w:val="22"/>
          <w:lang w:val="fr-FR"/>
        </w:rPr>
        <w:t> %</w:t>
      </w:r>
      <w:r w:rsidRPr="00F8252B">
        <w:rPr>
          <w:bCs/>
          <w:iCs/>
          <w:snapToGrid w:val="0"/>
          <w:kern w:val="22"/>
          <w:lang w:val="fr-FR"/>
        </w:rPr>
        <w:t xml:space="preserve"> des Parties ont indiqué qu’il n’existait que des projets de mesures (-5</w:t>
      </w:r>
      <w:r w:rsidR="00667501">
        <w:rPr>
          <w:bCs/>
          <w:iCs/>
          <w:snapToGrid w:val="0"/>
          <w:kern w:val="22"/>
          <w:lang w:val="fr-FR"/>
        </w:rPr>
        <w:t> %</w:t>
      </w:r>
      <w:r w:rsidRPr="00F8252B">
        <w:rPr>
          <w:bCs/>
          <w:iCs/>
          <w:snapToGrid w:val="0"/>
          <w:kern w:val="22"/>
          <w:lang w:val="fr-FR"/>
        </w:rPr>
        <w:t>)</w:t>
      </w:r>
      <w:r w:rsidR="00D560E8">
        <w:rPr>
          <w:bCs/>
          <w:iCs/>
          <w:snapToGrid w:val="0"/>
          <w:kern w:val="22"/>
          <w:lang w:val="fr-FR"/>
        </w:rPr>
        <w:t> ;</w:t>
      </w:r>
      <w:r w:rsidRPr="00F8252B">
        <w:rPr>
          <w:bCs/>
          <w:iCs/>
          <w:snapToGrid w:val="0"/>
          <w:kern w:val="22"/>
          <w:lang w:val="fr-FR"/>
        </w:rPr>
        <w:t xml:space="preserve"> et 1</w:t>
      </w:r>
      <w:r w:rsidR="00667501">
        <w:rPr>
          <w:bCs/>
          <w:iCs/>
          <w:snapToGrid w:val="0"/>
          <w:kern w:val="22"/>
          <w:lang w:val="fr-FR"/>
        </w:rPr>
        <w:t> %</w:t>
      </w:r>
      <w:r w:rsidRPr="00F8252B">
        <w:rPr>
          <w:bCs/>
          <w:iCs/>
          <w:snapToGrid w:val="0"/>
          <w:kern w:val="22"/>
          <w:lang w:val="fr-FR"/>
        </w:rPr>
        <w:t xml:space="preserve"> des Parties ont indiqué qu’aucune mesure n’avait encore été prise (-1</w:t>
      </w:r>
      <w:r w:rsidR="00667501">
        <w:rPr>
          <w:bCs/>
          <w:iCs/>
          <w:snapToGrid w:val="0"/>
          <w:kern w:val="22"/>
          <w:lang w:val="fr-FR"/>
        </w:rPr>
        <w:t> %</w:t>
      </w:r>
      <w:r w:rsidRPr="00F8252B">
        <w:rPr>
          <w:bCs/>
          <w:iCs/>
          <w:snapToGrid w:val="0"/>
          <w:kern w:val="22"/>
          <w:lang w:val="fr-FR"/>
        </w:rPr>
        <w:t>). De plus amples informations sont fournies ci-dessous dans le cadre de l’objectif A.4 (respect des obligations) et dans la Figure I.</w:t>
      </w:r>
    </w:p>
    <w:p w14:paraId="369769A2" w14:textId="39C39625" w:rsidR="00272CC9" w:rsidRPr="00F8252B" w:rsidRDefault="00272CC9">
      <w:pPr>
        <w:pStyle w:val="CBDTableTitle"/>
        <w:rPr>
          <w:snapToGrid w:val="0"/>
          <w:lang w:val="fr-FR"/>
        </w:rPr>
      </w:pPr>
      <w:r w:rsidRPr="00F8252B">
        <w:rPr>
          <w:b w:val="0"/>
          <w:snapToGrid w:val="0"/>
          <w:lang w:val="fr-FR"/>
        </w:rPr>
        <w:t>Figure</w:t>
      </w:r>
      <w:r w:rsidR="000E741C" w:rsidRPr="00F8252B">
        <w:rPr>
          <w:b w:val="0"/>
          <w:snapToGrid w:val="0"/>
          <w:lang w:val="fr-FR"/>
        </w:rPr>
        <w:t> </w:t>
      </w:r>
      <w:r w:rsidRPr="00F8252B">
        <w:rPr>
          <w:b w:val="0"/>
          <w:snapToGrid w:val="0"/>
          <w:lang w:val="fr-FR"/>
        </w:rPr>
        <w:t>I</w:t>
      </w:r>
      <w:r w:rsidRPr="00F8252B">
        <w:rPr>
          <w:bCs/>
          <w:snapToGrid w:val="0"/>
          <w:lang w:val="fr-FR"/>
        </w:rPr>
        <w:t xml:space="preserve"> </w:t>
      </w:r>
      <w:r w:rsidRPr="00F8252B">
        <w:rPr>
          <w:bCs/>
          <w:snapToGrid w:val="0"/>
          <w:lang w:val="fr-FR"/>
        </w:rPr>
        <w:br/>
      </w:r>
      <w:r w:rsidR="006F1264" w:rsidRPr="00F8252B">
        <w:rPr>
          <w:snapToGrid w:val="0"/>
          <w:lang w:val="fr-FR"/>
        </w:rPr>
        <w:t>Mise en place des mesures nécessaires à la mise en œuvre du Protocole</w:t>
      </w:r>
    </w:p>
    <w:p w14:paraId="0A3DD543" w14:textId="31939A67" w:rsidR="00B85B7C" w:rsidRPr="00F8252B" w:rsidRDefault="005C7D3E" w:rsidP="00FA2932">
      <w:pPr>
        <w:pStyle w:val="CBDTableTitle"/>
        <w:rPr>
          <w:snapToGrid w:val="0"/>
          <w:lang w:val="fr-FR"/>
        </w:rPr>
      </w:pPr>
      <w:r w:rsidRPr="00F8252B">
        <w:rPr>
          <w:noProof/>
          <w:snapToGrid w:val="0"/>
          <w:lang w:val="fr-FR"/>
        </w:rPr>
        <w:drawing>
          <wp:inline distT="0" distB="0" distL="0" distR="0" wp14:anchorId="692D9F97" wp14:editId="607BF59B">
            <wp:extent cx="5652701" cy="3345180"/>
            <wp:effectExtent l="0" t="0" r="5715" b="7620"/>
            <wp:docPr id="144179669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59714" cy="3349330"/>
                    </a:xfrm>
                    <a:prstGeom prst="rect">
                      <a:avLst/>
                    </a:prstGeom>
                    <a:noFill/>
                    <a:ln>
                      <a:noFill/>
                    </a:ln>
                  </pic:spPr>
                </pic:pic>
              </a:graphicData>
            </a:graphic>
          </wp:inline>
        </w:drawing>
      </w:r>
    </w:p>
    <w:p w14:paraId="67720E4F" w14:textId="00245050" w:rsidR="00E54332" w:rsidRPr="00F8252B" w:rsidRDefault="00A81115" w:rsidP="00FA2932">
      <w:pPr>
        <w:pStyle w:val="CBDNormalNumber"/>
        <w:rPr>
          <w:bCs/>
          <w:iCs/>
          <w:snapToGrid w:val="0"/>
          <w:kern w:val="22"/>
          <w:lang w:val="fr-FR"/>
        </w:rPr>
      </w:pPr>
      <w:r w:rsidRPr="00F8252B">
        <w:rPr>
          <w:bCs/>
          <w:iCs/>
          <w:snapToGrid w:val="0"/>
          <w:kern w:val="22"/>
          <w:lang w:val="fr-FR"/>
        </w:rPr>
        <w:t>En ce qui concerne les types spécifiques d'instruments que les Parties ont déclaré avoir mis en place pour la mise en œuvre du Protocole, sur les 123 Parties examinées, 83 ont déclaré disposer d'une ou plusieurs lois en matière de biosécurité (+7 par rapport à la référence)</w:t>
      </w:r>
      <w:r w:rsidR="00D560E8">
        <w:rPr>
          <w:bCs/>
          <w:iCs/>
          <w:snapToGrid w:val="0"/>
          <w:kern w:val="22"/>
          <w:lang w:val="fr-FR"/>
        </w:rPr>
        <w:t> ;</w:t>
      </w:r>
      <w:r w:rsidRPr="00F8252B">
        <w:rPr>
          <w:bCs/>
          <w:iCs/>
          <w:snapToGrid w:val="0"/>
          <w:kern w:val="22"/>
          <w:lang w:val="fr-FR"/>
        </w:rPr>
        <w:t xml:space="preserve"> 80</w:t>
      </w:r>
      <w:r w:rsidR="00C33AAF" w:rsidRPr="00F8252B">
        <w:rPr>
          <w:bCs/>
          <w:iCs/>
          <w:snapToGrid w:val="0"/>
          <w:kern w:val="22"/>
          <w:lang w:val="fr-FR"/>
        </w:rPr>
        <w:t> </w:t>
      </w:r>
      <w:r w:rsidRPr="00F8252B">
        <w:rPr>
          <w:bCs/>
          <w:iCs/>
          <w:snapToGrid w:val="0"/>
          <w:kern w:val="22"/>
          <w:lang w:val="fr-FR"/>
        </w:rPr>
        <w:t xml:space="preserve">ont déclaré disposer d'un ou plusieurs règlements nationaux en matière de </w:t>
      </w:r>
      <w:r w:rsidR="00C33AAF" w:rsidRPr="00F8252B">
        <w:rPr>
          <w:bCs/>
          <w:iCs/>
          <w:snapToGrid w:val="0"/>
          <w:kern w:val="22"/>
          <w:lang w:val="fr-FR"/>
        </w:rPr>
        <w:t xml:space="preserve">prévention des risques biotechnologiques </w:t>
      </w:r>
      <w:r w:rsidRPr="00F8252B">
        <w:rPr>
          <w:bCs/>
          <w:iCs/>
          <w:snapToGrid w:val="0"/>
          <w:kern w:val="22"/>
          <w:lang w:val="fr-FR"/>
        </w:rPr>
        <w:t>(+7 par rapport à la référence)</w:t>
      </w:r>
      <w:r w:rsidR="00D560E8">
        <w:rPr>
          <w:bCs/>
          <w:iCs/>
          <w:snapToGrid w:val="0"/>
          <w:kern w:val="22"/>
          <w:lang w:val="fr-FR"/>
        </w:rPr>
        <w:t> ;</w:t>
      </w:r>
      <w:r w:rsidRPr="00F8252B">
        <w:rPr>
          <w:bCs/>
          <w:iCs/>
          <w:snapToGrid w:val="0"/>
          <w:kern w:val="22"/>
          <w:lang w:val="fr-FR"/>
        </w:rPr>
        <w:t xml:space="preserve"> 64</w:t>
      </w:r>
      <w:r w:rsidR="00C33AAF" w:rsidRPr="00F8252B">
        <w:rPr>
          <w:bCs/>
          <w:iCs/>
          <w:snapToGrid w:val="0"/>
          <w:kern w:val="22"/>
          <w:lang w:val="fr-FR"/>
        </w:rPr>
        <w:t> </w:t>
      </w:r>
      <w:r w:rsidRPr="00F8252B">
        <w:rPr>
          <w:bCs/>
          <w:iCs/>
          <w:snapToGrid w:val="0"/>
          <w:kern w:val="22"/>
          <w:lang w:val="fr-FR"/>
        </w:rPr>
        <w:t xml:space="preserve">Parties ont déclaré avoir mis en place un ou plusieurs ensembles de lignes directrices en </w:t>
      </w:r>
      <w:r w:rsidR="00C33AAF" w:rsidRPr="00F8252B">
        <w:rPr>
          <w:bCs/>
          <w:iCs/>
          <w:snapToGrid w:val="0"/>
          <w:kern w:val="22"/>
          <w:lang w:val="fr-FR"/>
        </w:rPr>
        <w:t xml:space="preserve">la </w:t>
      </w:r>
      <w:r w:rsidRPr="00F8252B">
        <w:rPr>
          <w:bCs/>
          <w:iCs/>
          <w:snapToGrid w:val="0"/>
          <w:kern w:val="22"/>
          <w:lang w:val="fr-FR"/>
        </w:rPr>
        <w:t>matière (+5 par rapport à la référence)</w:t>
      </w:r>
      <w:r w:rsidR="00D560E8">
        <w:rPr>
          <w:bCs/>
          <w:iCs/>
          <w:snapToGrid w:val="0"/>
          <w:kern w:val="22"/>
          <w:lang w:val="fr-FR"/>
        </w:rPr>
        <w:t> ;</w:t>
      </w:r>
      <w:r w:rsidRPr="00F8252B">
        <w:rPr>
          <w:bCs/>
          <w:iCs/>
          <w:snapToGrid w:val="0"/>
          <w:kern w:val="22"/>
          <w:lang w:val="fr-FR"/>
        </w:rPr>
        <w:t xml:space="preserve"> et 86</w:t>
      </w:r>
      <w:r w:rsidR="00C33AAF" w:rsidRPr="00F8252B">
        <w:rPr>
          <w:bCs/>
          <w:iCs/>
          <w:snapToGrid w:val="0"/>
          <w:kern w:val="22"/>
          <w:lang w:val="fr-FR"/>
        </w:rPr>
        <w:t> </w:t>
      </w:r>
      <w:r w:rsidRPr="00F8252B">
        <w:rPr>
          <w:bCs/>
          <w:iCs/>
          <w:snapToGrid w:val="0"/>
          <w:kern w:val="22"/>
          <w:lang w:val="fr-FR"/>
        </w:rPr>
        <w:t xml:space="preserve">Parties </w:t>
      </w:r>
      <w:r w:rsidRPr="00F8252B">
        <w:rPr>
          <w:bCs/>
          <w:iCs/>
          <w:snapToGrid w:val="0"/>
          <w:kern w:val="22"/>
          <w:lang w:val="fr-FR"/>
        </w:rPr>
        <w:lastRenderedPageBreak/>
        <w:t>ont déclaré avoir mis en place d’autres lois, réglementations ou lignes directrices s’appliquant indirectement à la biosécurité (+14 par rapport à la référence). Deux Parties ont déclaré qu’aucun instrument n’était en place.</w:t>
      </w:r>
      <w:r w:rsidR="00022824" w:rsidRPr="00F8252B">
        <w:rPr>
          <w:bCs/>
          <w:iCs/>
          <w:snapToGrid w:val="0"/>
          <w:kern w:val="22"/>
          <w:lang w:val="fr-FR"/>
        </w:rPr>
        <w:t xml:space="preserve"> </w:t>
      </w:r>
    </w:p>
    <w:p w14:paraId="211BD21E" w14:textId="3ABCCF4C" w:rsidR="00AA1850" w:rsidRPr="00F8252B" w:rsidRDefault="00A9689C" w:rsidP="00FA2932">
      <w:pPr>
        <w:pStyle w:val="CBDNormalNumber"/>
        <w:rPr>
          <w:bCs/>
          <w:iCs/>
          <w:snapToGrid w:val="0"/>
          <w:kern w:val="22"/>
          <w:lang w:val="fr-FR"/>
        </w:rPr>
      </w:pPr>
      <w:r>
        <w:rPr>
          <w:bCs/>
          <w:iCs/>
          <w:snapToGrid w:val="0"/>
          <w:kern w:val="22"/>
          <w:lang w:val="fr-FR"/>
        </w:rPr>
        <w:t>Pour</w:t>
      </w:r>
      <w:r w:rsidR="00E362D7" w:rsidRPr="00F8252B">
        <w:rPr>
          <w:bCs/>
          <w:iCs/>
          <w:snapToGrid w:val="0"/>
          <w:kern w:val="22"/>
          <w:lang w:val="fr-FR"/>
        </w:rPr>
        <w:t xml:space="preserve"> l'indicateur A.1 b) (pourcentage des Parties ayant désigné un correspondant national, des autorités nationales compétentes au titre du Protocole et un point de contact pour les mesures d'urgence (article 17), et ayant notifié ces désignations au Secrétariat), les informations présentées au Centre d'échange pour la prévention des risques biotechnologiques ont été utilisées pour évaluer les progrès réalisés à cet égard.</w:t>
      </w:r>
    </w:p>
    <w:p w14:paraId="32C27D94" w14:textId="0DF4A594" w:rsidR="00E1487E" w:rsidRPr="00F8252B" w:rsidRDefault="00AE490C" w:rsidP="00AE490C">
      <w:pPr>
        <w:pStyle w:val="CBDNormalNumber"/>
        <w:rPr>
          <w:bCs/>
          <w:iCs/>
          <w:snapToGrid w:val="0"/>
          <w:kern w:val="22"/>
          <w:lang w:val="fr-FR"/>
        </w:rPr>
      </w:pPr>
      <w:r w:rsidRPr="00F8252B">
        <w:rPr>
          <w:bCs/>
          <w:iCs/>
          <w:snapToGrid w:val="0"/>
          <w:kern w:val="22"/>
          <w:lang w:val="fr-FR"/>
        </w:rPr>
        <w:t>Quatre-vingt-dix-huit pour cent des Parties au Protocole (170</w:t>
      </w:r>
      <w:r w:rsidR="006C11D9" w:rsidRPr="00F8252B">
        <w:rPr>
          <w:bCs/>
          <w:iCs/>
          <w:snapToGrid w:val="0"/>
          <w:kern w:val="22"/>
          <w:lang w:val="fr-FR"/>
        </w:rPr>
        <w:t> </w:t>
      </w:r>
      <w:r w:rsidRPr="00F8252B">
        <w:rPr>
          <w:bCs/>
          <w:iCs/>
          <w:snapToGrid w:val="0"/>
          <w:kern w:val="22"/>
          <w:lang w:val="fr-FR"/>
        </w:rPr>
        <w:t>Parties) avaient désigné leur correspondant national pour le Protocole de Cartagena, soit aucun changement par rapport à la référence. Quatre-vingt-dix-huit pour cent des Parties au Protocole (170</w:t>
      </w:r>
      <w:r w:rsidR="006C11D9" w:rsidRPr="00F8252B">
        <w:rPr>
          <w:bCs/>
          <w:iCs/>
          <w:snapToGrid w:val="0"/>
          <w:kern w:val="22"/>
          <w:lang w:val="fr-FR"/>
        </w:rPr>
        <w:t> </w:t>
      </w:r>
      <w:r w:rsidRPr="00F8252B">
        <w:rPr>
          <w:bCs/>
          <w:iCs/>
          <w:snapToGrid w:val="0"/>
          <w:kern w:val="22"/>
          <w:lang w:val="fr-FR"/>
        </w:rPr>
        <w:t>Parties) avaient désigné leur correspondant pour le Centre d'échange pour la prévention des risques biotechnologiques, ce qui représente une diminution de 1</w:t>
      </w:r>
      <w:r w:rsidR="00667501">
        <w:rPr>
          <w:bCs/>
          <w:iCs/>
          <w:snapToGrid w:val="0"/>
          <w:kern w:val="22"/>
          <w:lang w:val="fr-FR"/>
        </w:rPr>
        <w:t> %</w:t>
      </w:r>
      <w:r w:rsidRPr="00F8252B">
        <w:rPr>
          <w:bCs/>
          <w:iCs/>
          <w:snapToGrid w:val="0"/>
          <w:kern w:val="22"/>
          <w:lang w:val="fr-FR"/>
        </w:rPr>
        <w:t xml:space="preserve"> par rapport à la référence. Au total, 92</w:t>
      </w:r>
      <w:r w:rsidR="00667501">
        <w:rPr>
          <w:bCs/>
          <w:iCs/>
          <w:snapToGrid w:val="0"/>
          <w:kern w:val="22"/>
          <w:lang w:val="fr-FR"/>
        </w:rPr>
        <w:t> %</w:t>
      </w:r>
      <w:r w:rsidRPr="00F8252B">
        <w:rPr>
          <w:bCs/>
          <w:iCs/>
          <w:snapToGrid w:val="0"/>
          <w:kern w:val="22"/>
          <w:lang w:val="fr-FR"/>
        </w:rPr>
        <w:t xml:space="preserve"> de l'ensemble des Parties au Protocole (160</w:t>
      </w:r>
      <w:r w:rsidR="006C11D9" w:rsidRPr="00F8252B">
        <w:rPr>
          <w:bCs/>
          <w:iCs/>
          <w:snapToGrid w:val="0"/>
          <w:kern w:val="22"/>
          <w:lang w:val="fr-FR"/>
        </w:rPr>
        <w:t> </w:t>
      </w:r>
      <w:r w:rsidRPr="00F8252B">
        <w:rPr>
          <w:bCs/>
          <w:iCs/>
          <w:snapToGrid w:val="0"/>
          <w:kern w:val="22"/>
          <w:lang w:val="fr-FR"/>
        </w:rPr>
        <w:t>Parties) avaient désigné une ou plusieurs autorités nationales compétentes, ce qui représente une augmentation de 3</w:t>
      </w:r>
      <w:r w:rsidR="00667501">
        <w:rPr>
          <w:bCs/>
          <w:iCs/>
          <w:snapToGrid w:val="0"/>
          <w:kern w:val="22"/>
          <w:lang w:val="fr-FR"/>
        </w:rPr>
        <w:t> %</w:t>
      </w:r>
      <w:r w:rsidRPr="00F8252B">
        <w:rPr>
          <w:bCs/>
          <w:iCs/>
          <w:snapToGrid w:val="0"/>
          <w:kern w:val="22"/>
          <w:lang w:val="fr-FR"/>
        </w:rPr>
        <w:t xml:space="preserve"> par rapport à la référence. En outre, 84</w:t>
      </w:r>
      <w:r w:rsidR="00667501">
        <w:rPr>
          <w:bCs/>
          <w:iCs/>
          <w:snapToGrid w:val="0"/>
          <w:kern w:val="22"/>
          <w:lang w:val="fr-FR"/>
        </w:rPr>
        <w:t> %</w:t>
      </w:r>
      <w:r w:rsidRPr="00F8252B">
        <w:rPr>
          <w:bCs/>
          <w:iCs/>
          <w:snapToGrid w:val="0"/>
          <w:kern w:val="22"/>
          <w:lang w:val="fr-FR"/>
        </w:rPr>
        <w:t xml:space="preserve"> des Parties au Protocole (146</w:t>
      </w:r>
      <w:r w:rsidR="003E577E" w:rsidRPr="00F8252B">
        <w:rPr>
          <w:bCs/>
          <w:iCs/>
          <w:snapToGrid w:val="0"/>
          <w:kern w:val="22"/>
          <w:lang w:val="fr-FR"/>
        </w:rPr>
        <w:t> </w:t>
      </w:r>
      <w:r w:rsidRPr="00F8252B">
        <w:rPr>
          <w:bCs/>
          <w:iCs/>
          <w:snapToGrid w:val="0"/>
          <w:kern w:val="22"/>
          <w:lang w:val="fr-FR"/>
        </w:rPr>
        <w:t>Parties) au total avaient communiqué au Centre d’échange pour la prévention des risques biotechnologiques des informations concernant leur point de contact chargé de recevoir les notifications au titre de l’article</w:t>
      </w:r>
      <w:r w:rsidR="003E577E" w:rsidRPr="00F8252B">
        <w:rPr>
          <w:bCs/>
          <w:iCs/>
          <w:snapToGrid w:val="0"/>
          <w:kern w:val="22"/>
          <w:lang w:val="fr-FR"/>
        </w:rPr>
        <w:t> </w:t>
      </w:r>
      <w:r w:rsidRPr="00F8252B">
        <w:rPr>
          <w:bCs/>
          <w:iCs/>
          <w:snapToGrid w:val="0"/>
          <w:kern w:val="22"/>
          <w:lang w:val="fr-FR"/>
        </w:rPr>
        <w:t>17, ce qui représente une augmentation de 6</w:t>
      </w:r>
      <w:r w:rsidR="00667501">
        <w:rPr>
          <w:bCs/>
          <w:iCs/>
          <w:snapToGrid w:val="0"/>
          <w:kern w:val="22"/>
          <w:lang w:val="fr-FR"/>
        </w:rPr>
        <w:t> %</w:t>
      </w:r>
      <w:r w:rsidRPr="00F8252B">
        <w:rPr>
          <w:bCs/>
          <w:iCs/>
          <w:snapToGrid w:val="0"/>
          <w:kern w:val="22"/>
          <w:lang w:val="fr-FR"/>
        </w:rPr>
        <w:t xml:space="preserve"> par rapport à la référence.</w:t>
      </w:r>
    </w:p>
    <w:p w14:paraId="419856C3" w14:textId="742FD252" w:rsidR="00AA63B4" w:rsidRPr="00F8252B" w:rsidRDefault="00EF3454" w:rsidP="00FA2932">
      <w:pPr>
        <w:pStyle w:val="CBDNormalNumber"/>
        <w:rPr>
          <w:bCs/>
          <w:iCs/>
          <w:snapToGrid w:val="0"/>
          <w:kern w:val="22"/>
          <w:lang w:val="fr-FR"/>
        </w:rPr>
      </w:pPr>
      <w:r>
        <w:rPr>
          <w:bCs/>
          <w:iCs/>
          <w:snapToGrid w:val="0"/>
          <w:kern w:val="22"/>
          <w:lang w:val="fr-FR"/>
        </w:rPr>
        <w:t>Pour</w:t>
      </w:r>
      <w:r w:rsidR="000106F3" w:rsidRPr="00F8252B">
        <w:rPr>
          <w:bCs/>
          <w:iCs/>
          <w:snapToGrid w:val="0"/>
          <w:kern w:val="22"/>
          <w:lang w:val="fr-FR"/>
        </w:rPr>
        <w:t xml:space="preserve"> l'indicateur A.1 c) (pourcentage des Parties disposant d'un personnel qualifié pour rendre opérationnels leurs cadres nationaux de prévention des risques biotechnologiques), </w:t>
      </w:r>
      <w:r>
        <w:rPr>
          <w:bCs/>
          <w:iCs/>
          <w:snapToGrid w:val="0"/>
          <w:kern w:val="22"/>
          <w:lang w:val="fr-FR"/>
        </w:rPr>
        <w:t xml:space="preserve">ce sont </w:t>
      </w:r>
      <w:r w:rsidR="000106F3" w:rsidRPr="00F8252B">
        <w:rPr>
          <w:bCs/>
          <w:iCs/>
          <w:snapToGrid w:val="0"/>
          <w:kern w:val="22"/>
          <w:lang w:val="fr-FR"/>
        </w:rPr>
        <w:t xml:space="preserve">les informations fournies en réponse à la question 11 du cinquième rapport national </w:t>
      </w:r>
      <w:r>
        <w:rPr>
          <w:bCs/>
          <w:iCs/>
          <w:snapToGrid w:val="0"/>
          <w:kern w:val="22"/>
          <w:lang w:val="fr-FR"/>
        </w:rPr>
        <w:t xml:space="preserve">qui </w:t>
      </w:r>
      <w:r w:rsidR="000106F3" w:rsidRPr="00F8252B">
        <w:rPr>
          <w:bCs/>
          <w:iCs/>
          <w:snapToGrid w:val="0"/>
          <w:kern w:val="22"/>
          <w:lang w:val="fr-FR"/>
        </w:rPr>
        <w:t>ont été utilisées pour évaluer les progrès réalisés à cet égard. Les informations supplémentaires fournies dans les réponses aux questions 12 et 99 du cinquième rapport national ont également été prises en compte</w:t>
      </w:r>
      <w:r w:rsidR="007D6BD6" w:rsidRPr="00F8252B">
        <w:rPr>
          <w:bCs/>
          <w:iCs/>
          <w:snapToGrid w:val="0"/>
          <w:kern w:val="22"/>
          <w:lang w:val="fr-FR"/>
        </w:rPr>
        <w:t>.</w:t>
      </w:r>
    </w:p>
    <w:p w14:paraId="0158A6F2" w14:textId="79799614" w:rsidR="00961BB4" w:rsidRPr="00F8252B" w:rsidRDefault="00C953EC" w:rsidP="00FA2932">
      <w:pPr>
        <w:pStyle w:val="CBDNormalNumber"/>
        <w:rPr>
          <w:bCs/>
          <w:iCs/>
          <w:snapToGrid w:val="0"/>
          <w:kern w:val="22"/>
          <w:lang w:val="fr-FR"/>
        </w:rPr>
      </w:pPr>
      <w:r w:rsidRPr="00F8252B">
        <w:rPr>
          <w:bCs/>
          <w:iCs/>
          <w:snapToGrid w:val="0"/>
          <w:kern w:val="22"/>
          <w:lang w:val="fr-FR"/>
        </w:rPr>
        <w:t>Au total, 91</w:t>
      </w:r>
      <w:r w:rsidR="00667501">
        <w:rPr>
          <w:bCs/>
          <w:iCs/>
          <w:snapToGrid w:val="0"/>
          <w:kern w:val="22"/>
          <w:lang w:val="fr-FR"/>
        </w:rPr>
        <w:t> %</w:t>
      </w:r>
      <w:r w:rsidRPr="00F8252B">
        <w:rPr>
          <w:bCs/>
          <w:iCs/>
          <w:snapToGrid w:val="0"/>
          <w:kern w:val="22"/>
          <w:lang w:val="fr-FR"/>
        </w:rPr>
        <w:t xml:space="preserve"> des Parties ont déclaré disposer d’un personnel qualifié pour gérer les fonctions directement liées à la prévention des risques biotechnologiques, soit une augmentation de 3</w:t>
      </w:r>
      <w:r w:rsidR="00667501">
        <w:rPr>
          <w:bCs/>
          <w:iCs/>
          <w:snapToGrid w:val="0"/>
          <w:kern w:val="22"/>
          <w:lang w:val="fr-FR"/>
        </w:rPr>
        <w:t> %</w:t>
      </w:r>
      <w:r w:rsidRPr="00F8252B">
        <w:rPr>
          <w:bCs/>
          <w:iCs/>
          <w:snapToGrid w:val="0"/>
          <w:kern w:val="22"/>
          <w:lang w:val="fr-FR"/>
        </w:rPr>
        <w:t xml:space="preserve"> par rapport à la situation de référence. Au niveau régional, peu de variations ont été observées</w:t>
      </w:r>
      <w:r w:rsidR="00CA1B90">
        <w:rPr>
          <w:bCs/>
          <w:iCs/>
          <w:snapToGrid w:val="0"/>
          <w:kern w:val="22"/>
          <w:lang w:val="fr-FR"/>
        </w:rPr>
        <w:t> :</w:t>
      </w:r>
      <w:r w:rsidRPr="00F8252B">
        <w:rPr>
          <w:bCs/>
          <w:iCs/>
          <w:snapToGrid w:val="0"/>
          <w:kern w:val="22"/>
          <w:lang w:val="fr-FR"/>
        </w:rPr>
        <w:t xml:space="preserve"> dans la région Amérique latine et Caraïbes, 85</w:t>
      </w:r>
      <w:r w:rsidR="00667501">
        <w:rPr>
          <w:bCs/>
          <w:iCs/>
          <w:snapToGrid w:val="0"/>
          <w:kern w:val="22"/>
          <w:lang w:val="fr-FR"/>
        </w:rPr>
        <w:t> %</w:t>
      </w:r>
      <w:r w:rsidRPr="00F8252B">
        <w:rPr>
          <w:bCs/>
          <w:iCs/>
          <w:snapToGrid w:val="0"/>
          <w:kern w:val="22"/>
          <w:lang w:val="fr-FR"/>
        </w:rPr>
        <w:t xml:space="preserve"> des Parties ont déclaré disposer d’un personnel qualifié (+5</w:t>
      </w:r>
      <w:r w:rsidR="00667501">
        <w:rPr>
          <w:bCs/>
          <w:iCs/>
          <w:snapToGrid w:val="0"/>
          <w:kern w:val="22"/>
          <w:lang w:val="fr-FR"/>
        </w:rPr>
        <w:t> %</w:t>
      </w:r>
      <w:r w:rsidRPr="00F8252B">
        <w:rPr>
          <w:bCs/>
          <w:iCs/>
          <w:snapToGrid w:val="0"/>
          <w:kern w:val="22"/>
          <w:lang w:val="fr-FR"/>
        </w:rPr>
        <w:t>)</w:t>
      </w:r>
      <w:r w:rsidR="00D560E8">
        <w:rPr>
          <w:bCs/>
          <w:iCs/>
          <w:snapToGrid w:val="0"/>
          <w:kern w:val="22"/>
          <w:lang w:val="fr-FR"/>
        </w:rPr>
        <w:t> ;</w:t>
      </w:r>
      <w:r w:rsidRPr="00F8252B">
        <w:rPr>
          <w:bCs/>
          <w:iCs/>
          <w:snapToGrid w:val="0"/>
          <w:kern w:val="22"/>
          <w:lang w:val="fr-FR"/>
        </w:rPr>
        <w:t xml:space="preserve"> dans la région Asie-Pacifique, 85</w:t>
      </w:r>
      <w:r w:rsidR="00667501">
        <w:rPr>
          <w:bCs/>
          <w:iCs/>
          <w:snapToGrid w:val="0"/>
          <w:kern w:val="22"/>
          <w:lang w:val="fr-FR"/>
        </w:rPr>
        <w:t> %</w:t>
      </w:r>
      <w:r w:rsidRPr="00F8252B">
        <w:rPr>
          <w:bCs/>
          <w:iCs/>
          <w:snapToGrid w:val="0"/>
          <w:kern w:val="22"/>
          <w:lang w:val="fr-FR"/>
        </w:rPr>
        <w:t xml:space="preserve"> (aucun changement par rapport à la référence)</w:t>
      </w:r>
      <w:r w:rsidR="00D560E8">
        <w:rPr>
          <w:bCs/>
          <w:iCs/>
          <w:snapToGrid w:val="0"/>
          <w:kern w:val="22"/>
          <w:lang w:val="fr-FR"/>
        </w:rPr>
        <w:t> ;</w:t>
      </w:r>
      <w:r w:rsidRPr="00F8252B">
        <w:rPr>
          <w:bCs/>
          <w:iCs/>
          <w:snapToGrid w:val="0"/>
          <w:kern w:val="22"/>
          <w:lang w:val="fr-FR"/>
        </w:rPr>
        <w:t xml:space="preserve"> dans la région Afrique, 92</w:t>
      </w:r>
      <w:r w:rsidR="00667501">
        <w:rPr>
          <w:bCs/>
          <w:iCs/>
          <w:snapToGrid w:val="0"/>
          <w:kern w:val="22"/>
          <w:lang w:val="fr-FR"/>
        </w:rPr>
        <w:t> %</w:t>
      </w:r>
      <w:r w:rsidRPr="00F8252B">
        <w:rPr>
          <w:bCs/>
          <w:iCs/>
          <w:snapToGrid w:val="0"/>
          <w:kern w:val="22"/>
          <w:lang w:val="fr-FR"/>
        </w:rPr>
        <w:t xml:space="preserve"> (+7</w:t>
      </w:r>
      <w:r w:rsidR="00667501">
        <w:rPr>
          <w:bCs/>
          <w:iCs/>
          <w:snapToGrid w:val="0"/>
          <w:kern w:val="22"/>
          <w:lang w:val="fr-FR"/>
        </w:rPr>
        <w:t> %</w:t>
      </w:r>
      <w:r w:rsidRPr="00F8252B">
        <w:rPr>
          <w:bCs/>
          <w:iCs/>
          <w:snapToGrid w:val="0"/>
          <w:kern w:val="22"/>
          <w:lang w:val="fr-FR"/>
        </w:rPr>
        <w:t>)</w:t>
      </w:r>
      <w:r w:rsidR="00D560E8">
        <w:rPr>
          <w:bCs/>
          <w:iCs/>
          <w:snapToGrid w:val="0"/>
          <w:kern w:val="22"/>
          <w:lang w:val="fr-FR"/>
        </w:rPr>
        <w:t> ;</w:t>
      </w:r>
      <w:r w:rsidRPr="00F8252B">
        <w:rPr>
          <w:bCs/>
          <w:iCs/>
          <w:snapToGrid w:val="0"/>
          <w:kern w:val="22"/>
          <w:lang w:val="fr-FR"/>
        </w:rPr>
        <w:t xml:space="preserve"> dans la région Europe de l’Est, 95</w:t>
      </w:r>
      <w:r w:rsidR="00667501">
        <w:rPr>
          <w:bCs/>
          <w:iCs/>
          <w:snapToGrid w:val="0"/>
          <w:kern w:val="22"/>
          <w:lang w:val="fr-FR"/>
        </w:rPr>
        <w:t> %</w:t>
      </w:r>
      <w:r w:rsidRPr="00F8252B">
        <w:rPr>
          <w:bCs/>
          <w:iCs/>
          <w:snapToGrid w:val="0"/>
          <w:kern w:val="22"/>
          <w:lang w:val="fr-FR"/>
        </w:rPr>
        <w:t xml:space="preserve"> (aucun changement par rapport à la référence)</w:t>
      </w:r>
      <w:r w:rsidR="00D560E8">
        <w:rPr>
          <w:bCs/>
          <w:iCs/>
          <w:snapToGrid w:val="0"/>
          <w:kern w:val="22"/>
          <w:lang w:val="fr-FR"/>
        </w:rPr>
        <w:t> ;</w:t>
      </w:r>
      <w:r w:rsidRPr="00F8252B">
        <w:rPr>
          <w:bCs/>
          <w:iCs/>
          <w:snapToGrid w:val="0"/>
          <w:kern w:val="22"/>
          <w:lang w:val="fr-FR"/>
        </w:rPr>
        <w:t xml:space="preserve"> et dans la région Europe occidentale et autres États, 100</w:t>
      </w:r>
      <w:r w:rsidR="00667501">
        <w:rPr>
          <w:bCs/>
          <w:iCs/>
          <w:snapToGrid w:val="0"/>
          <w:kern w:val="22"/>
          <w:lang w:val="fr-FR"/>
        </w:rPr>
        <w:t> %</w:t>
      </w:r>
      <w:r w:rsidRPr="00F8252B">
        <w:rPr>
          <w:bCs/>
          <w:iCs/>
          <w:snapToGrid w:val="0"/>
          <w:kern w:val="22"/>
          <w:lang w:val="fr-FR"/>
        </w:rPr>
        <w:t xml:space="preserve"> (aucun changement par rapport à la référence).</w:t>
      </w:r>
    </w:p>
    <w:p w14:paraId="587768ED" w14:textId="5DCF3869" w:rsidR="00AA63B4" w:rsidRPr="00F8252B" w:rsidRDefault="00751FCF" w:rsidP="00FA2932">
      <w:pPr>
        <w:pStyle w:val="CBDNormalNumber"/>
        <w:rPr>
          <w:bCs/>
          <w:iCs/>
          <w:snapToGrid w:val="0"/>
          <w:kern w:val="22"/>
          <w:lang w:val="fr-FR"/>
        </w:rPr>
      </w:pPr>
      <w:r w:rsidRPr="00F8252B">
        <w:rPr>
          <w:bCs/>
          <w:iCs/>
          <w:snapToGrid w:val="0"/>
          <w:kern w:val="22"/>
          <w:lang w:val="fr-FR"/>
        </w:rPr>
        <w:t>Sur les parties ayant indiqué disposer d'un personnel qualifié pour assumer des fonctions directement liées à la prévention des risques biotechnologiques, 42</w:t>
      </w:r>
      <w:r w:rsidR="00667501">
        <w:rPr>
          <w:bCs/>
          <w:iCs/>
          <w:snapToGrid w:val="0"/>
          <w:kern w:val="22"/>
          <w:lang w:val="fr-FR"/>
        </w:rPr>
        <w:t> %</w:t>
      </w:r>
      <w:r w:rsidRPr="00F8252B">
        <w:rPr>
          <w:bCs/>
          <w:iCs/>
          <w:snapToGrid w:val="0"/>
          <w:kern w:val="22"/>
          <w:lang w:val="fr-FR"/>
        </w:rPr>
        <w:t xml:space="preserve"> ont déclaré que les effectifs étaient suffisants</w:t>
      </w:r>
      <w:r w:rsidR="00971682" w:rsidRPr="00F8252B">
        <w:rPr>
          <w:vertAlign w:val="superscript"/>
          <w:lang w:val="fr-FR"/>
        </w:rPr>
        <w:footnoteReference w:id="8"/>
      </w:r>
      <w:r w:rsidRPr="00F8252B">
        <w:rPr>
          <w:bCs/>
          <w:iCs/>
          <w:snapToGrid w:val="0"/>
          <w:kern w:val="22"/>
          <w:lang w:val="fr-FR"/>
        </w:rPr>
        <w:t>.</w:t>
      </w:r>
      <w:r w:rsidR="00911F5C" w:rsidRPr="00F8252B">
        <w:rPr>
          <w:bCs/>
          <w:iCs/>
          <w:snapToGrid w:val="0"/>
          <w:kern w:val="22"/>
          <w:lang w:val="fr-FR"/>
        </w:rPr>
        <w:t xml:space="preserve"> </w:t>
      </w:r>
    </w:p>
    <w:p w14:paraId="52288620" w14:textId="200C395F" w:rsidR="00C37876" w:rsidRPr="00F8252B" w:rsidRDefault="00122A0B" w:rsidP="00FA2932">
      <w:pPr>
        <w:pStyle w:val="CBDNormalNumber"/>
        <w:rPr>
          <w:bCs/>
          <w:iCs/>
          <w:snapToGrid w:val="0"/>
          <w:kern w:val="22"/>
          <w:lang w:val="fr-FR"/>
        </w:rPr>
      </w:pPr>
      <w:r w:rsidRPr="00F8252B">
        <w:rPr>
          <w:bCs/>
          <w:iCs/>
          <w:snapToGrid w:val="0"/>
          <w:kern w:val="22"/>
          <w:lang w:val="fr-FR"/>
        </w:rPr>
        <w:t>Les Parties ont fourni des informations complémentaires en réponse à la question 99 du cinquième rapport national, qui portait sur la mise en place de capacités institutionnelles adéquates permettant à l’autorité nationale compétente d’exercer les fonctions requises par le Protocole de Cartagena sur la prévention des risques biotechnologiques. Cinquante-six pour cent des Parties indiquaient l'avoir fait (-1</w:t>
      </w:r>
      <w:r w:rsidR="00667501">
        <w:rPr>
          <w:bCs/>
          <w:iCs/>
          <w:snapToGrid w:val="0"/>
          <w:kern w:val="22"/>
          <w:lang w:val="fr-FR"/>
        </w:rPr>
        <w:t> %</w:t>
      </w:r>
      <w:r w:rsidRPr="00F8252B">
        <w:rPr>
          <w:bCs/>
          <w:iCs/>
          <w:snapToGrid w:val="0"/>
          <w:kern w:val="22"/>
          <w:lang w:val="fr-FR"/>
        </w:rPr>
        <w:t>), tandis que 31</w:t>
      </w:r>
      <w:r w:rsidR="00667501">
        <w:rPr>
          <w:bCs/>
          <w:iCs/>
          <w:snapToGrid w:val="0"/>
          <w:kern w:val="22"/>
          <w:lang w:val="fr-FR"/>
        </w:rPr>
        <w:t> %</w:t>
      </w:r>
      <w:r w:rsidRPr="00F8252B">
        <w:rPr>
          <w:bCs/>
          <w:iCs/>
          <w:snapToGrid w:val="0"/>
          <w:kern w:val="22"/>
          <w:lang w:val="fr-FR"/>
        </w:rPr>
        <w:t xml:space="preserve"> déclaraient l'avoir fait dans une certaine mesure (+5</w:t>
      </w:r>
      <w:r w:rsidR="00667501">
        <w:rPr>
          <w:bCs/>
          <w:iCs/>
          <w:snapToGrid w:val="0"/>
          <w:kern w:val="22"/>
          <w:lang w:val="fr-FR"/>
        </w:rPr>
        <w:t> %</w:t>
      </w:r>
      <w:r w:rsidRPr="00F8252B">
        <w:rPr>
          <w:bCs/>
          <w:iCs/>
          <w:snapToGrid w:val="0"/>
          <w:kern w:val="22"/>
          <w:lang w:val="fr-FR"/>
        </w:rPr>
        <w:t>). Treize pour cent des Parties indiquaient ne pas l'avoir fait (-3</w:t>
      </w:r>
      <w:r w:rsidR="00667501">
        <w:rPr>
          <w:bCs/>
          <w:iCs/>
          <w:snapToGrid w:val="0"/>
          <w:kern w:val="22"/>
          <w:lang w:val="fr-FR"/>
        </w:rPr>
        <w:t> %</w:t>
      </w:r>
      <w:r w:rsidRPr="00F8252B">
        <w:rPr>
          <w:bCs/>
          <w:iCs/>
          <w:snapToGrid w:val="0"/>
          <w:kern w:val="22"/>
          <w:lang w:val="fr-FR"/>
        </w:rPr>
        <w:t>).</w:t>
      </w:r>
      <w:r w:rsidR="00C71D24" w:rsidRPr="00F8252B">
        <w:rPr>
          <w:bCs/>
          <w:iCs/>
          <w:snapToGrid w:val="0"/>
          <w:kern w:val="22"/>
          <w:lang w:val="fr-FR"/>
        </w:rPr>
        <w:t xml:space="preserve"> </w:t>
      </w:r>
    </w:p>
    <w:p w14:paraId="083ECE25" w14:textId="09F56B24" w:rsidR="001B5366" w:rsidRPr="00F8252B" w:rsidRDefault="00A119D4" w:rsidP="00FA2932">
      <w:pPr>
        <w:pStyle w:val="CBDNormalNumber"/>
        <w:rPr>
          <w:bCs/>
          <w:iCs/>
          <w:snapToGrid w:val="0"/>
          <w:kern w:val="22"/>
          <w:lang w:val="fr-FR"/>
        </w:rPr>
      </w:pPr>
      <w:r w:rsidRPr="00F8252B">
        <w:rPr>
          <w:bCs/>
          <w:iCs/>
          <w:snapToGrid w:val="0"/>
          <w:kern w:val="22"/>
          <w:lang w:val="fr-FR"/>
        </w:rPr>
        <w:t xml:space="preserve">Dans leurs contributions écrites, de nombreuses Parties ont décrit, de manière plus ou moins détaillée, le cadre juridique et institutionnel national en matière de prévention des risques biotechnologiques. Plusieurs Parties ont indiqué que d’autres instruments étaient en cours d’élaboration. Il ressort de ces descriptions que la plupart des Parties disposaient d’une gamme variée d’instruments applicables à la prévention des risques biotechnologiques, notamment des textes législatifs de première ou de deuxième main, des instruments d’orientation politique ou technique et, souvent, une combinaison de plusieurs de ces instruments. Plusieurs Parties ont toutefois indiqué que </w:t>
      </w:r>
      <w:r w:rsidRPr="00F8252B">
        <w:rPr>
          <w:bCs/>
          <w:iCs/>
          <w:snapToGrid w:val="0"/>
          <w:kern w:val="22"/>
          <w:lang w:val="fr-FR"/>
        </w:rPr>
        <w:lastRenderedPageBreak/>
        <w:t xml:space="preserve">le fait que l’adoption d’instruments juridiques importants en matière de </w:t>
      </w:r>
      <w:r w:rsidR="00E542F2" w:rsidRPr="00F8252B">
        <w:rPr>
          <w:bCs/>
          <w:iCs/>
          <w:snapToGrid w:val="0"/>
          <w:kern w:val="22"/>
          <w:lang w:val="fr-FR"/>
        </w:rPr>
        <w:t>prévention des risques biotechnologiques</w:t>
      </w:r>
      <w:r w:rsidRPr="00F8252B">
        <w:rPr>
          <w:bCs/>
          <w:iCs/>
          <w:snapToGrid w:val="0"/>
          <w:kern w:val="22"/>
          <w:lang w:val="fr-FR"/>
        </w:rPr>
        <w:t xml:space="preserve"> soit en suspens entravait la mise en œuvre du Protocole, et certaines de ces Parties ont expliqué qu’en attendant l’adoption d’une législation spécifique sur la prévention des risques biotechnologiques, d’autres instruments juridiques étaient utilisés pour mettre en œuvre certaines obligations découlant du Protocole. Plusieurs Parties ont mentionné que la biosécurité avait été intégrée dans divers instruments juridiques et politiques, notamment la stratégie et le plan d’action nationaux pour la biodiversité, dans le cadre des efforts visant à intégrer la biosécurité. Plusieurs Parties ont mentionné que l’élaboration de cibles nationales en matière de biodiversité dans le cadre du Cadre mondial de la biodiversité de Kunming-Montréal comprenait des travaux sur des cibles nationales consacrées à la </w:t>
      </w:r>
      <w:r w:rsidR="002B33FC" w:rsidRPr="00F8252B">
        <w:rPr>
          <w:bCs/>
          <w:iCs/>
          <w:snapToGrid w:val="0"/>
          <w:kern w:val="22"/>
          <w:lang w:val="fr-FR"/>
        </w:rPr>
        <w:t>prévention des risques biotechnologiques</w:t>
      </w:r>
      <w:r w:rsidRPr="00F8252B">
        <w:rPr>
          <w:bCs/>
          <w:iCs/>
          <w:snapToGrid w:val="0"/>
          <w:kern w:val="22"/>
          <w:lang w:val="fr-FR"/>
        </w:rPr>
        <w:t xml:space="preserve">. Si de nombreuses Parties ont indiqué disposer d’un personnel dédié, elles ont toutefois décrit comment, en raison de la rotation du personnel et du manque de formation, les capacités techniques étaient fragiles et les effectifs souvent insuffisants. Plusieurs Parties ont indiqué que leur personnel chargé de la </w:t>
      </w:r>
      <w:r w:rsidR="002B33FC" w:rsidRPr="00F8252B">
        <w:rPr>
          <w:bCs/>
          <w:iCs/>
          <w:snapToGrid w:val="0"/>
          <w:kern w:val="22"/>
          <w:lang w:val="fr-FR"/>
        </w:rPr>
        <w:t>sûreté biologique</w:t>
      </w:r>
      <w:r w:rsidRPr="00F8252B">
        <w:rPr>
          <w:bCs/>
          <w:iCs/>
          <w:snapToGrid w:val="0"/>
          <w:kern w:val="22"/>
          <w:lang w:val="fr-FR"/>
        </w:rPr>
        <w:t xml:space="preserve"> </w:t>
      </w:r>
      <w:r w:rsidR="002B33FC" w:rsidRPr="00F8252B">
        <w:rPr>
          <w:bCs/>
          <w:iCs/>
          <w:snapToGrid w:val="0"/>
          <w:kern w:val="22"/>
          <w:lang w:val="fr-FR"/>
        </w:rPr>
        <w:t>était affecté à des</w:t>
      </w:r>
      <w:r w:rsidRPr="00F8252B">
        <w:rPr>
          <w:bCs/>
          <w:iCs/>
          <w:snapToGrid w:val="0"/>
          <w:kern w:val="22"/>
          <w:lang w:val="fr-FR"/>
        </w:rPr>
        <w:t xml:space="preserve"> travaux </w:t>
      </w:r>
      <w:r w:rsidR="002B33FC" w:rsidRPr="00F8252B">
        <w:rPr>
          <w:bCs/>
          <w:iCs/>
          <w:snapToGrid w:val="0"/>
          <w:kern w:val="22"/>
          <w:lang w:val="fr-FR"/>
        </w:rPr>
        <w:t>sur</w:t>
      </w:r>
      <w:r w:rsidRPr="00F8252B">
        <w:rPr>
          <w:bCs/>
          <w:iCs/>
          <w:snapToGrid w:val="0"/>
          <w:kern w:val="22"/>
          <w:lang w:val="fr-FR"/>
        </w:rPr>
        <w:t xml:space="preserve"> divers sujets. Si de nombreuses Parties ont mentionné l’existence d’une allocation budgétaire nationale pour la biosécurité, plusieurs ont indiqué que les ressources financières étaient insuffisantes et imprévisibles. Quelques Parties ont mentionné que, compte tenu du développement rapide des biotechnologies et de l’augmentation du volume des échanges commerciaux, les capacités devaient être renforcées au-delà des niveaux actuels et que des ressources supplémentaires étaient nécessaires</w:t>
      </w:r>
      <w:r w:rsidR="00230361" w:rsidRPr="00F8252B">
        <w:rPr>
          <w:bCs/>
          <w:iCs/>
          <w:snapToGrid w:val="0"/>
          <w:kern w:val="22"/>
          <w:lang w:val="fr-FR"/>
        </w:rPr>
        <w:t xml:space="preserve">. </w:t>
      </w:r>
    </w:p>
    <w:p w14:paraId="484DF22C" w14:textId="54E8D2F1" w:rsidR="00C55968" w:rsidRPr="00F8252B" w:rsidRDefault="00E2501B" w:rsidP="00FA2932">
      <w:pPr>
        <w:pStyle w:val="CBDNormalNumber"/>
        <w:rPr>
          <w:bCs/>
          <w:iCs/>
          <w:snapToGrid w:val="0"/>
          <w:kern w:val="22"/>
          <w:lang w:val="fr-FR"/>
        </w:rPr>
      </w:pPr>
      <w:r w:rsidRPr="00F8252B">
        <w:rPr>
          <w:bCs/>
          <w:iCs/>
          <w:snapToGrid w:val="0"/>
          <w:kern w:val="22"/>
          <w:lang w:val="fr-FR"/>
        </w:rPr>
        <w:t>S'agissant de l'objectif A.1, dans le cadre du plan d'action pour le renforcement des capacités au titre du Protocole de Cartagena sur la prévention des risques biotechnologiques, les deux domaines clés suivants ont été identifiés pour le renforcement des capacités</w:t>
      </w:r>
      <w:r w:rsidR="00CA1B90">
        <w:rPr>
          <w:bCs/>
          <w:iCs/>
          <w:snapToGrid w:val="0"/>
          <w:kern w:val="22"/>
          <w:lang w:val="fr-FR"/>
        </w:rPr>
        <w:t> :</w:t>
      </w:r>
      <w:r w:rsidRPr="00F8252B">
        <w:rPr>
          <w:bCs/>
          <w:iCs/>
          <w:snapToGrid w:val="0"/>
          <w:kern w:val="22"/>
          <w:lang w:val="fr-FR"/>
        </w:rPr>
        <w:t xml:space="preserve"> l'élaboration et la mise en œuvre de mesures juridiques, administratives et autres visant à appliquer le Protocole</w:t>
      </w:r>
      <w:r w:rsidR="00D560E8">
        <w:rPr>
          <w:bCs/>
          <w:iCs/>
          <w:snapToGrid w:val="0"/>
          <w:kern w:val="22"/>
          <w:lang w:val="fr-FR"/>
        </w:rPr>
        <w:t> ;</w:t>
      </w:r>
      <w:r w:rsidRPr="00F8252B">
        <w:rPr>
          <w:bCs/>
          <w:iCs/>
          <w:snapToGrid w:val="0"/>
          <w:kern w:val="22"/>
          <w:lang w:val="fr-FR"/>
        </w:rPr>
        <w:t xml:space="preserve"> et le renforcement des capacités des autorités nationales compétentes</w:t>
      </w:r>
      <w:r w:rsidR="00C55968" w:rsidRPr="00F8252B">
        <w:rPr>
          <w:bCs/>
          <w:iCs/>
          <w:snapToGrid w:val="0"/>
          <w:kern w:val="22"/>
          <w:lang w:val="fr-FR"/>
        </w:rPr>
        <w:t>.</w:t>
      </w:r>
    </w:p>
    <w:p w14:paraId="71506017" w14:textId="331A7435" w:rsidR="00C55968" w:rsidRPr="00F8252B" w:rsidRDefault="006B50C5" w:rsidP="00FA2932">
      <w:pPr>
        <w:pStyle w:val="CBDNormalNumber"/>
        <w:rPr>
          <w:bCs/>
          <w:iCs/>
          <w:snapToGrid w:val="0"/>
          <w:kern w:val="22"/>
          <w:lang w:val="fr-FR"/>
        </w:rPr>
      </w:pPr>
      <w:r w:rsidRPr="00F8252B">
        <w:rPr>
          <w:bCs/>
          <w:iCs/>
          <w:snapToGrid w:val="0"/>
          <w:kern w:val="22"/>
          <w:lang w:val="fr-FR"/>
        </w:rPr>
        <w:t>Parmi les Parties ayant indiqué qu'elles avaient encore des besoins en matière de renforcement des capacités, 88</w:t>
      </w:r>
      <w:r w:rsidR="00667501">
        <w:rPr>
          <w:bCs/>
          <w:iCs/>
          <w:snapToGrid w:val="0"/>
          <w:kern w:val="22"/>
          <w:lang w:val="fr-FR"/>
        </w:rPr>
        <w:t> %</w:t>
      </w:r>
      <w:r w:rsidRPr="00F8252B">
        <w:rPr>
          <w:bCs/>
          <w:iCs/>
          <w:snapToGrid w:val="0"/>
          <w:kern w:val="22"/>
          <w:lang w:val="fr-FR"/>
        </w:rPr>
        <w:t xml:space="preserve"> ont signalé que ce renforcement était nécessaire dans le domaine des ressources institutionnelles et humaines (+5</w:t>
      </w:r>
      <w:r w:rsidR="00667501">
        <w:rPr>
          <w:bCs/>
          <w:iCs/>
          <w:snapToGrid w:val="0"/>
          <w:kern w:val="22"/>
          <w:lang w:val="fr-FR"/>
        </w:rPr>
        <w:t> %</w:t>
      </w:r>
      <w:r w:rsidRPr="00F8252B">
        <w:rPr>
          <w:bCs/>
          <w:iCs/>
          <w:snapToGrid w:val="0"/>
          <w:kern w:val="22"/>
          <w:lang w:val="fr-FR"/>
        </w:rPr>
        <w:t>) et 78</w:t>
      </w:r>
      <w:r w:rsidR="00667501">
        <w:rPr>
          <w:bCs/>
          <w:iCs/>
          <w:snapToGrid w:val="0"/>
          <w:kern w:val="22"/>
          <w:lang w:val="fr-FR"/>
        </w:rPr>
        <w:t> %</w:t>
      </w:r>
      <w:r w:rsidRPr="00F8252B">
        <w:rPr>
          <w:bCs/>
          <w:iCs/>
          <w:snapToGrid w:val="0"/>
          <w:kern w:val="22"/>
          <w:lang w:val="fr-FR"/>
        </w:rPr>
        <w:t xml:space="preserve"> ont indiqué qu'il était nécessaire pour l'intégration de la prévention des risques biotechnologiques dans la législation, les politiques et les institutions intersectorielles et sectorielles (+1</w:t>
      </w:r>
      <w:r w:rsidR="00667501">
        <w:rPr>
          <w:bCs/>
          <w:iCs/>
          <w:snapToGrid w:val="0"/>
          <w:kern w:val="22"/>
          <w:lang w:val="fr-FR"/>
        </w:rPr>
        <w:t> %</w:t>
      </w:r>
      <w:r w:rsidRPr="00F8252B">
        <w:rPr>
          <w:bCs/>
          <w:iCs/>
          <w:snapToGrid w:val="0"/>
          <w:kern w:val="22"/>
          <w:lang w:val="fr-FR"/>
        </w:rPr>
        <w:t>)</w:t>
      </w:r>
      <w:r w:rsidR="00C55968" w:rsidRPr="00F8252B">
        <w:rPr>
          <w:vertAlign w:val="superscript"/>
          <w:lang w:val="fr-FR"/>
        </w:rPr>
        <w:footnoteReference w:id="9"/>
      </w:r>
      <w:r w:rsidRPr="00F8252B">
        <w:rPr>
          <w:bCs/>
          <w:iCs/>
          <w:snapToGrid w:val="0"/>
          <w:kern w:val="22"/>
          <w:lang w:val="fr-FR"/>
        </w:rPr>
        <w:t>.</w:t>
      </w:r>
      <w:r w:rsidR="00C55968" w:rsidRPr="00F8252B">
        <w:rPr>
          <w:bCs/>
          <w:iCs/>
          <w:snapToGrid w:val="0"/>
          <w:kern w:val="22"/>
          <w:lang w:val="fr-FR"/>
        </w:rPr>
        <w:t xml:space="preserve"> </w:t>
      </w:r>
      <w:r w:rsidRPr="00F8252B">
        <w:rPr>
          <w:bCs/>
          <w:iCs/>
          <w:snapToGrid w:val="0"/>
          <w:kern w:val="22"/>
          <w:lang w:val="fr-FR"/>
        </w:rPr>
        <w:t xml:space="preserve">Sur les </w:t>
      </w:r>
      <w:r w:rsidR="00D701F3" w:rsidRPr="00F8252B">
        <w:rPr>
          <w:bCs/>
          <w:iCs/>
          <w:snapToGrid w:val="0"/>
          <w:kern w:val="22"/>
          <w:lang w:val="fr-FR"/>
        </w:rPr>
        <w:t>98</w:t>
      </w:r>
      <w:r w:rsidR="0061113B" w:rsidRPr="00F8252B">
        <w:rPr>
          <w:bCs/>
          <w:iCs/>
          <w:snapToGrid w:val="0"/>
          <w:kern w:val="22"/>
          <w:lang w:val="fr-FR"/>
        </w:rPr>
        <w:t> </w:t>
      </w:r>
      <w:r w:rsidR="00C55968" w:rsidRPr="00F8252B">
        <w:rPr>
          <w:bCs/>
          <w:iCs/>
          <w:snapToGrid w:val="0"/>
          <w:kern w:val="22"/>
          <w:lang w:val="fr-FR"/>
        </w:rPr>
        <w:t>Parties</w:t>
      </w:r>
      <w:r w:rsidR="00C55968" w:rsidRPr="00F8252B">
        <w:rPr>
          <w:vertAlign w:val="superscript"/>
          <w:lang w:val="fr-FR"/>
        </w:rPr>
        <w:footnoteReference w:id="10"/>
      </w:r>
      <w:r w:rsidR="00C55968" w:rsidRPr="00F8252B">
        <w:rPr>
          <w:bCs/>
          <w:iCs/>
          <w:snapToGrid w:val="0"/>
          <w:kern w:val="22"/>
          <w:lang w:val="fr-FR"/>
        </w:rPr>
        <w:t xml:space="preserve"> </w:t>
      </w:r>
      <w:r w:rsidR="00294BB3" w:rsidRPr="00F8252B">
        <w:rPr>
          <w:bCs/>
          <w:iCs/>
          <w:snapToGrid w:val="0"/>
          <w:kern w:val="22"/>
          <w:lang w:val="fr-FR"/>
        </w:rPr>
        <w:t>ayant déclaré avoir mené des activités visant à développer et/ou à renforcer les ressources humaines et les capacités institutionnelles en matière de prévention des risques biotechnologiques, 73</w:t>
      </w:r>
      <w:r w:rsidR="00667501">
        <w:rPr>
          <w:bCs/>
          <w:iCs/>
          <w:snapToGrid w:val="0"/>
          <w:kern w:val="22"/>
          <w:lang w:val="fr-FR"/>
        </w:rPr>
        <w:t> %</w:t>
      </w:r>
      <w:r w:rsidR="00294BB3" w:rsidRPr="00F8252B">
        <w:rPr>
          <w:bCs/>
          <w:iCs/>
          <w:snapToGrid w:val="0"/>
          <w:kern w:val="22"/>
          <w:lang w:val="fr-FR"/>
        </w:rPr>
        <w:t xml:space="preserve"> ont indiqué que ces activités avaient porté sur le domaine des capacités institutionnelles et des ressources humaines</w:t>
      </w:r>
      <w:r w:rsidR="006D693C" w:rsidRPr="00F8252B">
        <w:rPr>
          <w:rStyle w:val="Appelnotedebasdep"/>
          <w:bCs/>
          <w:iCs/>
          <w:snapToGrid w:val="0"/>
          <w:kern w:val="22"/>
          <w:lang w:val="fr-FR"/>
        </w:rPr>
        <w:footnoteReference w:id="11"/>
      </w:r>
      <w:r w:rsidR="00085335" w:rsidRPr="00F8252B">
        <w:rPr>
          <w:bCs/>
          <w:iCs/>
          <w:snapToGrid w:val="0"/>
          <w:kern w:val="22"/>
          <w:lang w:val="fr-FR"/>
        </w:rPr>
        <w:t xml:space="preserve"> </w:t>
      </w:r>
      <w:r w:rsidR="00C55968" w:rsidRPr="00F8252B">
        <w:rPr>
          <w:bCs/>
          <w:iCs/>
          <w:snapToGrid w:val="0"/>
          <w:kern w:val="22"/>
          <w:lang w:val="fr-FR"/>
        </w:rPr>
        <w:t>(</w:t>
      </w:r>
      <w:r w:rsidR="003E0183" w:rsidRPr="00F8252B">
        <w:rPr>
          <w:bCs/>
          <w:iCs/>
          <w:snapToGrid w:val="0"/>
          <w:kern w:val="22"/>
          <w:lang w:val="fr-FR"/>
        </w:rPr>
        <w:t>+7</w:t>
      </w:r>
      <w:r w:rsidR="00667501">
        <w:rPr>
          <w:bCs/>
          <w:iCs/>
          <w:snapToGrid w:val="0"/>
          <w:kern w:val="22"/>
          <w:lang w:val="fr-FR"/>
        </w:rPr>
        <w:t> %</w:t>
      </w:r>
      <w:r w:rsidR="00C51ED2" w:rsidRPr="00F8252B">
        <w:rPr>
          <w:bCs/>
          <w:iCs/>
          <w:snapToGrid w:val="0"/>
          <w:kern w:val="22"/>
          <w:lang w:val="fr-FR"/>
        </w:rPr>
        <w:t>)</w:t>
      </w:r>
      <w:r w:rsidR="00C55968" w:rsidRPr="00F8252B">
        <w:rPr>
          <w:bCs/>
          <w:iCs/>
          <w:snapToGrid w:val="0"/>
          <w:kern w:val="22"/>
          <w:lang w:val="fr-FR"/>
        </w:rPr>
        <w:t xml:space="preserve"> </w:t>
      </w:r>
      <w:r w:rsidR="00432874" w:rsidRPr="00F8252B">
        <w:rPr>
          <w:bCs/>
          <w:iCs/>
          <w:snapToGrid w:val="0"/>
          <w:kern w:val="22"/>
          <w:lang w:val="fr-FR"/>
        </w:rPr>
        <w:t>et 40</w:t>
      </w:r>
      <w:r w:rsidR="00667501">
        <w:rPr>
          <w:bCs/>
          <w:iCs/>
          <w:snapToGrid w:val="0"/>
          <w:kern w:val="22"/>
          <w:lang w:val="fr-FR"/>
        </w:rPr>
        <w:t> %</w:t>
      </w:r>
      <w:r w:rsidR="00432874" w:rsidRPr="00F8252B">
        <w:rPr>
          <w:bCs/>
          <w:iCs/>
          <w:snapToGrid w:val="0"/>
          <w:kern w:val="22"/>
          <w:lang w:val="fr-FR"/>
        </w:rPr>
        <w:t xml:space="preserve"> ont indiqué que ces activités avaient été menées dans le domaine de l'intégration de la prévention des risques biotechnologiques dans la législation, les politiques et les institutions intersectorielles et sectorielles (-6</w:t>
      </w:r>
      <w:r w:rsidR="00667501">
        <w:rPr>
          <w:bCs/>
          <w:iCs/>
          <w:snapToGrid w:val="0"/>
          <w:kern w:val="22"/>
          <w:lang w:val="fr-FR"/>
        </w:rPr>
        <w:t> %</w:t>
      </w:r>
      <w:r w:rsidR="00432874" w:rsidRPr="00F8252B">
        <w:rPr>
          <w:bCs/>
          <w:iCs/>
          <w:snapToGrid w:val="0"/>
          <w:kern w:val="22"/>
          <w:lang w:val="fr-FR"/>
        </w:rPr>
        <w:t>)</w:t>
      </w:r>
      <w:r w:rsidR="00C55968" w:rsidRPr="00F8252B">
        <w:rPr>
          <w:vertAlign w:val="superscript"/>
          <w:lang w:val="fr-FR"/>
        </w:rPr>
        <w:footnoteReference w:id="12"/>
      </w:r>
      <w:r w:rsidR="00432874" w:rsidRPr="00F8252B">
        <w:rPr>
          <w:bCs/>
          <w:iCs/>
          <w:snapToGrid w:val="0"/>
          <w:kern w:val="22"/>
          <w:lang w:val="fr-FR"/>
        </w:rPr>
        <w:t>.</w:t>
      </w:r>
      <w:r w:rsidR="00C55968" w:rsidRPr="00F8252B">
        <w:rPr>
          <w:bCs/>
          <w:iCs/>
          <w:snapToGrid w:val="0"/>
          <w:kern w:val="22"/>
          <w:lang w:val="fr-FR"/>
        </w:rPr>
        <w:t xml:space="preserve"> </w:t>
      </w:r>
      <w:r w:rsidR="003E124C" w:rsidRPr="00F8252B">
        <w:rPr>
          <w:bCs/>
          <w:iCs/>
          <w:snapToGrid w:val="0"/>
          <w:kern w:val="22"/>
          <w:lang w:val="fr-FR"/>
        </w:rPr>
        <w:t>Au cours de la période à l'étude, plusieurs initiatives ont été mises en œuvre, grâce auxquelles sept Parties ont bénéficié d'une assistance technique et juridique visant à renforcer leurs cadres de prévention des risques biotechnologiques, en collaboration avec le Programme des Nations Unies pour l'environnement (PNUE) et l'Organisation des Nations Unies pour l'alimentation et l'agriculture (FAO). En outre, le Secrétariat de la Convention a publié un ouvrage destiné à fournir un appui aux Parties dans leurs efforts pour intégrer la prévention des risques biotechnologiques dans divers instruments juridiques et politiques sectoriels et intersectoriels</w:t>
      </w:r>
      <w:r w:rsidR="00FE16BA" w:rsidRPr="00F8252B">
        <w:rPr>
          <w:rStyle w:val="Appelnotedebasdep"/>
          <w:bCs/>
          <w:iCs/>
          <w:snapToGrid w:val="0"/>
          <w:kern w:val="22"/>
          <w:lang w:val="fr-FR"/>
        </w:rPr>
        <w:footnoteReference w:id="13"/>
      </w:r>
      <w:r w:rsidR="003E124C" w:rsidRPr="00F8252B">
        <w:rPr>
          <w:bCs/>
          <w:iCs/>
          <w:snapToGrid w:val="0"/>
          <w:kern w:val="22"/>
          <w:lang w:val="fr-FR"/>
        </w:rPr>
        <w:t>.</w:t>
      </w:r>
      <w:r w:rsidR="00AA4EE1" w:rsidRPr="00F8252B">
        <w:rPr>
          <w:bCs/>
          <w:iCs/>
          <w:snapToGrid w:val="0"/>
          <w:kern w:val="22"/>
          <w:lang w:val="fr-FR"/>
        </w:rPr>
        <w:t xml:space="preserve"> </w:t>
      </w:r>
      <w:r w:rsidR="00937871" w:rsidRPr="00F8252B">
        <w:rPr>
          <w:bCs/>
          <w:iCs/>
          <w:snapToGrid w:val="0"/>
          <w:kern w:val="22"/>
          <w:lang w:val="fr-FR"/>
        </w:rPr>
        <w:t>De plus amples informations sont fournies dans le cadre de l’objectif A.4 (obligations) ci-dessous.</w:t>
      </w:r>
    </w:p>
    <w:p w14:paraId="4FEB3430" w14:textId="503C3E43" w:rsidR="007F1290" w:rsidRPr="00F8252B" w:rsidRDefault="00986389" w:rsidP="00FA2932">
      <w:pPr>
        <w:pStyle w:val="CBDH2"/>
        <w:jc w:val="left"/>
        <w:rPr>
          <w:snapToGrid w:val="0"/>
          <w:lang w:val="fr-FR"/>
        </w:rPr>
      </w:pPr>
      <w:r w:rsidRPr="00F8252B">
        <w:rPr>
          <w:snapToGrid w:val="0"/>
          <w:lang w:val="fr-FR"/>
        </w:rPr>
        <w:lastRenderedPageBreak/>
        <w:t xml:space="preserve">B. </w:t>
      </w:r>
      <w:r w:rsidRPr="00F8252B">
        <w:rPr>
          <w:snapToGrid w:val="0"/>
          <w:lang w:val="fr-FR"/>
        </w:rPr>
        <w:tab/>
      </w:r>
      <w:r w:rsidR="004E5BFB" w:rsidRPr="00F8252B">
        <w:rPr>
          <w:snapToGrid w:val="0"/>
          <w:lang w:val="fr-FR"/>
        </w:rPr>
        <w:t>But</w:t>
      </w:r>
      <w:r w:rsidR="00B00A13" w:rsidRPr="00F8252B">
        <w:rPr>
          <w:snapToGrid w:val="0"/>
          <w:lang w:val="fr-FR"/>
        </w:rPr>
        <w:t> </w:t>
      </w:r>
      <w:r w:rsidRPr="00F8252B">
        <w:rPr>
          <w:snapToGrid w:val="0"/>
          <w:lang w:val="fr-FR"/>
        </w:rPr>
        <w:t>A.2</w:t>
      </w:r>
      <w:r w:rsidR="003223E9" w:rsidRPr="00F8252B">
        <w:rPr>
          <w:snapToGrid w:val="0"/>
          <w:lang w:val="fr-FR"/>
        </w:rPr>
        <w:t>.</w:t>
      </w:r>
      <w:r w:rsidR="00602ED4" w:rsidRPr="00F8252B">
        <w:rPr>
          <w:snapToGrid w:val="0"/>
          <w:lang w:val="fr-FR"/>
        </w:rPr>
        <w:t xml:space="preserve"> </w:t>
      </w:r>
      <w:r w:rsidR="00B00A13" w:rsidRPr="00F8252B">
        <w:rPr>
          <w:snapToGrid w:val="0"/>
          <w:lang w:val="fr-FR"/>
        </w:rPr>
        <w:t>Les Parties ont amélioré la disponibilité et l’échange d’informations pertinentes par l’intermédiaire du Centre d’échange pour la prévention des risques biotechnologiques</w:t>
      </w:r>
    </w:p>
    <w:p w14:paraId="590038E0" w14:textId="111E8CD3" w:rsidR="00E43C72" w:rsidRPr="00F8252B" w:rsidRDefault="008C2A13" w:rsidP="00CF1455">
      <w:pPr>
        <w:pStyle w:val="CBDH4"/>
        <w:rPr>
          <w:snapToGrid w:val="0"/>
          <w:lang w:val="fr-FR"/>
        </w:rPr>
      </w:pPr>
      <w:r w:rsidRPr="00F8252B">
        <w:rPr>
          <w:snapToGrid w:val="0"/>
          <w:lang w:val="fr-FR"/>
        </w:rPr>
        <w:t>a)</w:t>
      </w:r>
      <w:r w:rsidRPr="00F8252B">
        <w:rPr>
          <w:snapToGrid w:val="0"/>
          <w:lang w:val="fr-FR"/>
        </w:rPr>
        <w:tab/>
      </w:r>
      <w:r w:rsidR="005C5FA8" w:rsidRPr="00F8252B">
        <w:rPr>
          <w:iCs/>
          <w:snapToGrid w:val="0"/>
          <w:kern w:val="22"/>
          <w:lang w:val="fr-FR"/>
        </w:rPr>
        <w:t xml:space="preserve">Chiffres clés et </w:t>
      </w:r>
      <w:r w:rsidR="0035077E" w:rsidRPr="00F8252B">
        <w:rPr>
          <w:iCs/>
          <w:snapToGrid w:val="0"/>
          <w:kern w:val="22"/>
          <w:lang w:val="fr-FR"/>
        </w:rPr>
        <w:t>éléments importants</w:t>
      </w:r>
      <w:r w:rsidRPr="00F8252B">
        <w:rPr>
          <w:iCs/>
          <w:snapToGrid w:val="0"/>
          <w:kern w:val="22"/>
          <w:lang w:val="fr-FR"/>
        </w:rPr>
        <w:t xml:space="preserve"> </w:t>
      </w:r>
    </w:p>
    <w:p w14:paraId="4A7B926D" w14:textId="422A2C4C" w:rsidR="00A60FC2" w:rsidRPr="00F8252B" w:rsidRDefault="007B3123" w:rsidP="00FA2932">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i/>
          <w:iCs/>
          <w:snapToGrid w:val="0"/>
          <w:kern w:val="22"/>
          <w:u w:val="single"/>
          <w:lang w:val="fr-FR"/>
        </w:rPr>
      </w:pPr>
      <w:r w:rsidRPr="00F8252B">
        <w:rPr>
          <w:snapToGrid w:val="0"/>
          <w:kern w:val="22"/>
          <w:lang w:val="fr-FR"/>
        </w:rPr>
        <w:t xml:space="preserve">La majorité des Parties a indiqué que toutes les informations requises, lorsqu’elles étaient disponibles, étaient publiées sur le Centre d’échange pour la prévention des risques biotechnologiques </w:t>
      </w:r>
      <w:r w:rsidR="000D64B1">
        <w:rPr>
          <w:snapToGrid w:val="0"/>
          <w:kern w:val="22"/>
          <w:lang w:val="fr-FR"/>
        </w:rPr>
        <w:t>sur les sujets suivants</w:t>
      </w:r>
      <w:r w:rsidR="00CA1B90">
        <w:rPr>
          <w:snapToGrid w:val="0"/>
          <w:kern w:val="22"/>
          <w:lang w:val="fr-FR"/>
        </w:rPr>
        <w:t> :</w:t>
      </w:r>
      <w:r w:rsidRPr="00F8252B">
        <w:rPr>
          <w:snapToGrid w:val="0"/>
          <w:kern w:val="22"/>
          <w:lang w:val="fr-FR"/>
        </w:rPr>
        <w:t xml:space="preserve"> </w:t>
      </w:r>
      <w:r w:rsidR="000D64B1">
        <w:rPr>
          <w:snapToGrid w:val="0"/>
          <w:kern w:val="22"/>
          <w:lang w:val="fr-FR"/>
        </w:rPr>
        <w:t xml:space="preserve">la </w:t>
      </w:r>
      <w:r w:rsidRPr="00F8252B">
        <w:rPr>
          <w:snapToGrid w:val="0"/>
          <w:kern w:val="22"/>
          <w:lang w:val="fr-FR"/>
        </w:rPr>
        <w:t xml:space="preserve">législation, </w:t>
      </w:r>
      <w:r w:rsidR="000D64B1">
        <w:rPr>
          <w:snapToGrid w:val="0"/>
          <w:kern w:val="22"/>
          <w:lang w:val="fr-FR"/>
        </w:rPr>
        <w:t xml:space="preserve">la </w:t>
      </w:r>
      <w:r w:rsidRPr="00F8252B">
        <w:rPr>
          <w:snapToGrid w:val="0"/>
          <w:kern w:val="22"/>
          <w:lang w:val="fr-FR"/>
        </w:rPr>
        <w:t xml:space="preserve">réglementation et </w:t>
      </w:r>
      <w:r w:rsidR="000D64B1">
        <w:rPr>
          <w:snapToGrid w:val="0"/>
          <w:kern w:val="22"/>
          <w:lang w:val="fr-FR"/>
        </w:rPr>
        <w:t xml:space="preserve">les </w:t>
      </w:r>
      <w:r w:rsidRPr="00F8252B">
        <w:rPr>
          <w:snapToGrid w:val="0"/>
          <w:kern w:val="22"/>
          <w:lang w:val="fr-FR"/>
        </w:rPr>
        <w:t xml:space="preserve">lignes directrices </w:t>
      </w:r>
      <w:r w:rsidR="00504E14">
        <w:rPr>
          <w:snapToGrid w:val="0"/>
          <w:kern w:val="22"/>
          <w:lang w:val="fr-FR"/>
        </w:rPr>
        <w:t>aux fins de</w:t>
      </w:r>
      <w:r w:rsidR="00FE0C07">
        <w:rPr>
          <w:snapToGrid w:val="0"/>
          <w:kern w:val="22"/>
          <w:lang w:val="fr-FR"/>
        </w:rPr>
        <w:t xml:space="preserve"> la mise en œuvre</w:t>
      </w:r>
      <w:r w:rsidRPr="00F8252B">
        <w:rPr>
          <w:snapToGrid w:val="0"/>
          <w:kern w:val="22"/>
          <w:lang w:val="fr-FR"/>
        </w:rPr>
        <w:t>, y compris les procédures de consentement préalable en connaissance de cause (70</w:t>
      </w:r>
      <w:r w:rsidR="00667501">
        <w:rPr>
          <w:snapToGrid w:val="0"/>
          <w:kern w:val="22"/>
          <w:lang w:val="fr-FR"/>
        </w:rPr>
        <w:t> %</w:t>
      </w:r>
      <w:r w:rsidRPr="00F8252B">
        <w:rPr>
          <w:snapToGrid w:val="0"/>
          <w:kern w:val="22"/>
          <w:lang w:val="fr-FR"/>
        </w:rPr>
        <w:t xml:space="preserve"> des Parties ont indiqué avoir publié ces informations sur le Centre d’échange pour la prévention des risques biotechnologiques)</w:t>
      </w:r>
      <w:r w:rsidR="00D560E8">
        <w:rPr>
          <w:snapToGrid w:val="0"/>
          <w:kern w:val="22"/>
          <w:lang w:val="fr-FR"/>
        </w:rPr>
        <w:t> ;</w:t>
      </w:r>
      <w:r w:rsidRPr="00F8252B">
        <w:rPr>
          <w:snapToGrid w:val="0"/>
          <w:kern w:val="22"/>
          <w:lang w:val="fr-FR"/>
        </w:rPr>
        <w:t xml:space="preserve"> la législation, la réglementation et les lignes directrices applicables à l’importation d’organismes vivants modifiés destinés à être utilisés directement pour l’alimentation humaine ou animale, ou à être transformés (67</w:t>
      </w:r>
      <w:r w:rsidR="00667501">
        <w:rPr>
          <w:snapToGrid w:val="0"/>
          <w:kern w:val="22"/>
          <w:lang w:val="fr-FR"/>
        </w:rPr>
        <w:t> %</w:t>
      </w:r>
      <w:r w:rsidRPr="00F8252B">
        <w:rPr>
          <w:snapToGrid w:val="0"/>
          <w:kern w:val="22"/>
          <w:lang w:val="fr-FR"/>
        </w:rPr>
        <w:t xml:space="preserve"> des Parties)</w:t>
      </w:r>
      <w:r w:rsidR="00D560E8">
        <w:rPr>
          <w:snapToGrid w:val="0"/>
          <w:kern w:val="22"/>
          <w:lang w:val="fr-FR"/>
        </w:rPr>
        <w:t> ;</w:t>
      </w:r>
      <w:r w:rsidRPr="00F8252B">
        <w:rPr>
          <w:snapToGrid w:val="0"/>
          <w:kern w:val="22"/>
          <w:lang w:val="fr-FR"/>
        </w:rPr>
        <w:t xml:space="preserve"> les décisions concernant l’importation d’organismes vivants modifiés en vue de leur introduction intentionnelle dans l’environnement (63</w:t>
      </w:r>
      <w:r w:rsidR="00667501">
        <w:rPr>
          <w:snapToGrid w:val="0"/>
          <w:kern w:val="22"/>
          <w:lang w:val="fr-FR"/>
        </w:rPr>
        <w:t> %</w:t>
      </w:r>
      <w:r w:rsidRPr="00F8252B">
        <w:rPr>
          <w:snapToGrid w:val="0"/>
          <w:kern w:val="22"/>
          <w:lang w:val="fr-FR"/>
        </w:rPr>
        <w:t xml:space="preserve"> des Parties)</w:t>
      </w:r>
      <w:r w:rsidR="00D560E8">
        <w:rPr>
          <w:snapToGrid w:val="0"/>
          <w:kern w:val="22"/>
          <w:lang w:val="fr-FR"/>
        </w:rPr>
        <w:t> ;</w:t>
      </w:r>
      <w:r w:rsidRPr="00F8252B">
        <w:rPr>
          <w:snapToGrid w:val="0"/>
          <w:kern w:val="22"/>
          <w:lang w:val="fr-FR"/>
        </w:rPr>
        <w:t xml:space="preserve"> les décisions concernant l’utilisation nationale d’organismes vivants modifiés susceptibles de faire l’objet de mouvements transfrontières en vue d’une utilisation directe comme denrées alimentaires ou aliments pour animaux, ou en vue de leur transformation (63</w:t>
      </w:r>
      <w:r w:rsidR="00667501">
        <w:rPr>
          <w:snapToGrid w:val="0"/>
          <w:kern w:val="22"/>
          <w:lang w:val="fr-FR"/>
        </w:rPr>
        <w:t> %</w:t>
      </w:r>
      <w:r w:rsidRPr="00F8252B">
        <w:rPr>
          <w:snapToGrid w:val="0"/>
          <w:kern w:val="22"/>
          <w:lang w:val="fr-FR"/>
        </w:rPr>
        <w:t xml:space="preserve"> des Parties)</w:t>
      </w:r>
      <w:r w:rsidR="00D560E8">
        <w:rPr>
          <w:snapToGrid w:val="0"/>
          <w:kern w:val="22"/>
          <w:lang w:val="fr-FR"/>
        </w:rPr>
        <w:t> ;</w:t>
      </w:r>
      <w:r w:rsidRPr="00F8252B">
        <w:rPr>
          <w:snapToGrid w:val="0"/>
          <w:kern w:val="22"/>
          <w:lang w:val="fr-FR"/>
        </w:rPr>
        <w:t xml:space="preserve"> les décisions concernant l’importation d’organismes vivants modifiés destinés à être utilisés directement pour l’alimentation humaine ou animale, ou à être transformés, qui ont été prises en vertu de cadres réglementaires nationaux (article 11, paragraphe 4 du Protocole de Cartagena) ou conformément à l’annexe III du Protocole (en vertu de l’article 11, paragraphe 6) (69</w:t>
      </w:r>
      <w:r w:rsidR="00667501">
        <w:rPr>
          <w:snapToGrid w:val="0"/>
          <w:kern w:val="22"/>
          <w:lang w:val="fr-FR"/>
        </w:rPr>
        <w:t> %</w:t>
      </w:r>
      <w:r w:rsidRPr="00F8252B">
        <w:rPr>
          <w:snapToGrid w:val="0"/>
          <w:kern w:val="22"/>
          <w:lang w:val="fr-FR"/>
        </w:rPr>
        <w:t xml:space="preserve"> des Parties)</w:t>
      </w:r>
      <w:r w:rsidR="00D560E8">
        <w:rPr>
          <w:snapToGrid w:val="0"/>
          <w:kern w:val="22"/>
          <w:lang w:val="fr-FR"/>
        </w:rPr>
        <w:t> ;</w:t>
      </w:r>
      <w:r w:rsidRPr="00F8252B">
        <w:rPr>
          <w:snapToGrid w:val="0"/>
          <w:kern w:val="22"/>
          <w:lang w:val="fr-FR"/>
        </w:rPr>
        <w:t xml:space="preserve"> et les sommaires des évaluations des risques ou des études environnementales relatives aux organismes vivants modifiés, issus des processus réglementaires, ainsi que les informations pertinentes concernant les produits qui en découlent (65</w:t>
      </w:r>
      <w:r w:rsidR="00667501">
        <w:rPr>
          <w:snapToGrid w:val="0"/>
          <w:kern w:val="22"/>
          <w:lang w:val="fr-FR"/>
        </w:rPr>
        <w:t> %</w:t>
      </w:r>
      <w:r w:rsidRPr="00F8252B">
        <w:rPr>
          <w:snapToGrid w:val="0"/>
          <w:kern w:val="22"/>
          <w:lang w:val="fr-FR"/>
        </w:rPr>
        <w:t xml:space="preserve"> des Parties).</w:t>
      </w:r>
    </w:p>
    <w:p w14:paraId="020AACBC" w14:textId="322311BA" w:rsidR="001F2FDA" w:rsidRPr="00F8252B" w:rsidRDefault="004E5C1D" w:rsidP="00FA2932">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i/>
          <w:iCs/>
          <w:snapToGrid w:val="0"/>
          <w:kern w:val="22"/>
          <w:lang w:val="fr-FR"/>
        </w:rPr>
      </w:pPr>
      <w:r w:rsidRPr="00F8252B">
        <w:rPr>
          <w:snapToGrid w:val="0"/>
          <w:kern w:val="22"/>
          <w:lang w:val="fr-FR"/>
        </w:rPr>
        <w:t>La disponibilité des informations relatives aux mouvements transfrontières illicites et aux mouvements transfrontières non intentionnels d’organismes vivants modifiés était faible, l’établissement de rapports par le Centre d’échange pour la prévention des risques biotechnologiques étant peu fréquent. Seules 10 Parties ont indiqué que des informations étaient disponibles concernant les mouvements transfrontières non intentionnels, dont 50</w:t>
      </w:r>
      <w:r w:rsidR="00667501">
        <w:rPr>
          <w:snapToGrid w:val="0"/>
          <w:kern w:val="22"/>
          <w:lang w:val="fr-FR"/>
        </w:rPr>
        <w:t> %</w:t>
      </w:r>
      <w:r w:rsidRPr="00F8252B">
        <w:rPr>
          <w:snapToGrid w:val="0"/>
          <w:kern w:val="22"/>
          <w:lang w:val="fr-FR"/>
        </w:rPr>
        <w:t xml:space="preserve"> ont déclaré avoir publié toutes les informations pertinentes par l’intermédiaire du Centre d’échange. Vingt</w:t>
      </w:r>
      <w:r w:rsidR="004B216A" w:rsidRPr="00F8252B">
        <w:rPr>
          <w:snapToGrid w:val="0"/>
          <w:kern w:val="22"/>
          <w:lang w:val="fr-FR"/>
        </w:rPr>
        <w:noBreakHyphen/>
      </w:r>
      <w:r w:rsidRPr="00F8252B">
        <w:rPr>
          <w:snapToGrid w:val="0"/>
          <w:kern w:val="22"/>
          <w:lang w:val="fr-FR"/>
        </w:rPr>
        <w:t>et</w:t>
      </w:r>
      <w:r w:rsidR="004B216A" w:rsidRPr="00F8252B">
        <w:rPr>
          <w:snapToGrid w:val="0"/>
          <w:kern w:val="22"/>
          <w:lang w:val="fr-FR"/>
        </w:rPr>
        <w:noBreakHyphen/>
      </w:r>
      <w:r w:rsidRPr="00F8252B">
        <w:rPr>
          <w:snapToGrid w:val="0"/>
          <w:kern w:val="22"/>
          <w:lang w:val="fr-FR"/>
        </w:rPr>
        <w:t>une</w:t>
      </w:r>
      <w:r w:rsidR="004B216A" w:rsidRPr="00F8252B">
        <w:rPr>
          <w:snapToGrid w:val="0"/>
          <w:kern w:val="22"/>
          <w:lang w:val="fr-FR"/>
        </w:rPr>
        <w:t xml:space="preserve"> </w:t>
      </w:r>
      <w:r w:rsidRPr="00F8252B">
        <w:rPr>
          <w:snapToGrid w:val="0"/>
          <w:kern w:val="22"/>
          <w:lang w:val="fr-FR"/>
        </w:rPr>
        <w:t>Parties ont indiqué que des informations étaient disponibles concernant les mouvements transfrontières illicites, 38</w:t>
      </w:r>
      <w:r w:rsidR="00667501">
        <w:rPr>
          <w:snapToGrid w:val="0"/>
          <w:kern w:val="22"/>
          <w:lang w:val="fr-FR"/>
        </w:rPr>
        <w:t> %</w:t>
      </w:r>
      <w:r w:rsidRPr="00F8252B">
        <w:rPr>
          <w:snapToGrid w:val="0"/>
          <w:kern w:val="22"/>
          <w:lang w:val="fr-FR"/>
        </w:rPr>
        <w:t xml:space="preserve"> d’entre elles précisant qu’elles avaient publié toutes les informations pertinentes par l’intermédiaire du Centre d’échange</w:t>
      </w:r>
      <w:r w:rsidR="00FB35C2" w:rsidRPr="00F8252B">
        <w:rPr>
          <w:snapToGrid w:val="0"/>
          <w:kern w:val="22"/>
          <w:lang w:val="fr-FR"/>
        </w:rPr>
        <w:t>.</w:t>
      </w:r>
    </w:p>
    <w:p w14:paraId="7BC0F9FB" w14:textId="00B63B8C" w:rsidR="00BA4AB3" w:rsidRPr="00F8252B" w:rsidRDefault="008D5837" w:rsidP="00FA2932">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fr-FR"/>
        </w:rPr>
      </w:pPr>
      <w:r w:rsidRPr="00F8252B">
        <w:rPr>
          <w:snapToGrid w:val="0"/>
          <w:kern w:val="22"/>
          <w:lang w:val="fr-FR"/>
        </w:rPr>
        <w:t>L'utilisation du Centre d'échange pour la prévention des risques biotechnologiques a considérablement augmenté</w:t>
      </w:r>
      <w:r w:rsidR="00CA1B90">
        <w:rPr>
          <w:snapToGrid w:val="0"/>
          <w:kern w:val="22"/>
          <w:lang w:val="fr-FR"/>
        </w:rPr>
        <w:t> :</w:t>
      </w:r>
      <w:r w:rsidRPr="00F8252B">
        <w:rPr>
          <w:snapToGrid w:val="0"/>
          <w:kern w:val="22"/>
          <w:lang w:val="fr-FR"/>
        </w:rPr>
        <w:t xml:space="preserve"> entre le 1</w:t>
      </w:r>
      <w:r w:rsidRPr="00F8252B">
        <w:rPr>
          <w:snapToGrid w:val="0"/>
          <w:kern w:val="22"/>
          <w:vertAlign w:val="superscript"/>
          <w:lang w:val="fr-FR"/>
        </w:rPr>
        <w:t>er</w:t>
      </w:r>
      <w:r w:rsidRPr="00F8252B">
        <w:rPr>
          <w:snapToGrid w:val="0"/>
          <w:kern w:val="22"/>
          <w:lang w:val="fr-FR"/>
        </w:rPr>
        <w:t> mars 2025 et le 28 février 2026, le nombre d’utilisateurs actifs a augmenté de 88</w:t>
      </w:r>
      <w:r w:rsidR="00667501">
        <w:rPr>
          <w:snapToGrid w:val="0"/>
          <w:kern w:val="22"/>
          <w:lang w:val="fr-FR"/>
        </w:rPr>
        <w:t> %</w:t>
      </w:r>
      <w:r w:rsidRPr="00F8252B">
        <w:rPr>
          <w:snapToGrid w:val="0"/>
          <w:kern w:val="22"/>
          <w:lang w:val="fr-FR"/>
        </w:rPr>
        <w:t xml:space="preserve"> et le nombre de pages consultées de 33</w:t>
      </w:r>
      <w:r w:rsidR="00667501">
        <w:rPr>
          <w:snapToGrid w:val="0"/>
          <w:kern w:val="22"/>
          <w:lang w:val="fr-FR"/>
        </w:rPr>
        <w:t> %</w:t>
      </w:r>
      <w:r w:rsidRPr="00F8252B">
        <w:rPr>
          <w:snapToGrid w:val="0"/>
          <w:kern w:val="22"/>
          <w:lang w:val="fr-FR"/>
        </w:rPr>
        <w:t xml:space="preserve"> par rapport à la période allant du 7 juin 2023 au 6 juin 2024, première période pour laquelle les nouvelles statistiques de mesure d’audience de Google Analytics</w:t>
      </w:r>
      <w:r w:rsidR="002D6F68" w:rsidRPr="00F8252B">
        <w:rPr>
          <w:snapToGrid w:val="0"/>
          <w:kern w:val="22"/>
          <w:lang w:val="fr-FR"/>
        </w:rPr>
        <w:t> </w:t>
      </w:r>
      <w:r w:rsidRPr="00F8252B">
        <w:rPr>
          <w:snapToGrid w:val="0"/>
          <w:kern w:val="22"/>
          <w:lang w:val="fr-FR"/>
        </w:rPr>
        <w:t>4 étaient disponibles.</w:t>
      </w:r>
    </w:p>
    <w:p w14:paraId="5C37CCBF" w14:textId="0DAAD220" w:rsidR="006C7FC7" w:rsidRPr="00F8252B" w:rsidRDefault="006C7FC7" w:rsidP="00CB6046">
      <w:pPr>
        <w:pStyle w:val="CBDH4"/>
        <w:rPr>
          <w:iCs/>
          <w:snapToGrid w:val="0"/>
          <w:kern w:val="22"/>
          <w:lang w:val="fr-FR"/>
        </w:rPr>
      </w:pPr>
      <w:r w:rsidRPr="00F8252B">
        <w:rPr>
          <w:snapToGrid w:val="0"/>
          <w:lang w:val="fr-FR"/>
        </w:rPr>
        <w:t>b)</w:t>
      </w:r>
      <w:r w:rsidRPr="00F8252B">
        <w:rPr>
          <w:snapToGrid w:val="0"/>
          <w:lang w:val="fr-FR"/>
        </w:rPr>
        <w:tab/>
        <w:t>Analys</w:t>
      </w:r>
      <w:r w:rsidR="00A25E64" w:rsidRPr="00F8252B">
        <w:rPr>
          <w:snapToGrid w:val="0"/>
          <w:lang w:val="fr-FR"/>
        </w:rPr>
        <w:t xml:space="preserve">e des </w:t>
      </w:r>
      <w:r w:rsidRPr="00F8252B">
        <w:rPr>
          <w:snapToGrid w:val="0"/>
          <w:lang w:val="fr-FR"/>
        </w:rPr>
        <w:t>information</w:t>
      </w:r>
      <w:r w:rsidR="00A25E64" w:rsidRPr="00F8252B">
        <w:rPr>
          <w:snapToGrid w:val="0"/>
          <w:lang w:val="fr-FR"/>
        </w:rPr>
        <w:t>s</w:t>
      </w:r>
    </w:p>
    <w:p w14:paraId="11FD5219" w14:textId="0BA72A8A" w:rsidR="00872844" w:rsidRPr="00F8252B" w:rsidRDefault="007D617E" w:rsidP="00FA2932">
      <w:pPr>
        <w:pStyle w:val="CBDNormalNumber"/>
        <w:rPr>
          <w:snapToGrid w:val="0"/>
          <w:kern w:val="22"/>
          <w:lang w:val="fr-FR"/>
        </w:rPr>
      </w:pPr>
      <w:r w:rsidRPr="00F8252B">
        <w:rPr>
          <w:bCs/>
          <w:iCs/>
          <w:snapToGrid w:val="0"/>
          <w:kern w:val="22"/>
          <w:lang w:val="fr-FR"/>
        </w:rPr>
        <w:t xml:space="preserve">Le but A.2 comprend deux objectifs à atteindre ainsi que quatre indicateurs permettant de mesurer les progrès accomplis dans la réalisation de ces objectifs. </w:t>
      </w:r>
      <w:r w:rsidR="001B19F8">
        <w:rPr>
          <w:bCs/>
          <w:iCs/>
          <w:snapToGrid w:val="0"/>
          <w:kern w:val="22"/>
          <w:lang w:val="fr-FR"/>
        </w:rPr>
        <w:t>Pour</w:t>
      </w:r>
      <w:r w:rsidRPr="00F8252B">
        <w:rPr>
          <w:bCs/>
          <w:iCs/>
          <w:snapToGrid w:val="0"/>
          <w:kern w:val="22"/>
          <w:lang w:val="fr-FR"/>
        </w:rPr>
        <w:t xml:space="preserve"> l'indicateur A.2 a) (pourcentage des Parties qui communiquent les informations obligatoires au Centre d'échange pour la prévention des risques biotechnologiques), </w:t>
      </w:r>
      <w:r w:rsidR="001B19F8">
        <w:rPr>
          <w:bCs/>
          <w:iCs/>
          <w:snapToGrid w:val="0"/>
          <w:kern w:val="22"/>
          <w:lang w:val="fr-FR"/>
        </w:rPr>
        <w:t xml:space="preserve">ce sont </w:t>
      </w:r>
      <w:r w:rsidRPr="00F8252B">
        <w:rPr>
          <w:bCs/>
          <w:iCs/>
          <w:snapToGrid w:val="0"/>
          <w:kern w:val="22"/>
          <w:lang w:val="fr-FR"/>
        </w:rPr>
        <w:t xml:space="preserve">les informations fournies en réponse aux questions 112 du quatrième rapport national et 102 du cinquième rapport national </w:t>
      </w:r>
      <w:r w:rsidR="001B19F8">
        <w:rPr>
          <w:bCs/>
          <w:iCs/>
          <w:snapToGrid w:val="0"/>
          <w:kern w:val="22"/>
          <w:lang w:val="fr-FR"/>
        </w:rPr>
        <w:t xml:space="preserve">qui </w:t>
      </w:r>
      <w:r w:rsidRPr="00F8252B">
        <w:rPr>
          <w:bCs/>
          <w:iCs/>
          <w:snapToGrid w:val="0"/>
          <w:kern w:val="22"/>
          <w:lang w:val="fr-FR"/>
        </w:rPr>
        <w:t>ont été utilisées pour mesurer les progrès accomplis</w:t>
      </w:r>
      <w:r w:rsidR="00B30CAC" w:rsidRPr="00F8252B">
        <w:rPr>
          <w:snapToGrid w:val="0"/>
          <w:kern w:val="22"/>
          <w:lang w:val="fr-FR"/>
        </w:rPr>
        <w:t xml:space="preserve">. </w:t>
      </w:r>
    </w:p>
    <w:p w14:paraId="7B11C812" w14:textId="7525290F" w:rsidR="003572E8" w:rsidRPr="00F8252B" w:rsidRDefault="00C94976" w:rsidP="00FA2932">
      <w:pPr>
        <w:pStyle w:val="CBDNormalNumber"/>
        <w:rPr>
          <w:snapToGrid w:val="0"/>
          <w:kern w:val="22"/>
          <w:lang w:val="fr-FR"/>
        </w:rPr>
      </w:pPr>
      <w:r w:rsidRPr="00F8252B">
        <w:rPr>
          <w:snapToGrid w:val="0"/>
          <w:kern w:val="22"/>
          <w:lang w:val="fr-FR"/>
        </w:rPr>
        <w:t>Sur les 115 Parties ayant indiqué que ces informations étaient disponibles, 70</w:t>
      </w:r>
      <w:r w:rsidR="00667501">
        <w:rPr>
          <w:snapToGrid w:val="0"/>
          <w:kern w:val="22"/>
          <w:lang w:val="fr-FR"/>
        </w:rPr>
        <w:t> %</w:t>
      </w:r>
      <w:r w:rsidRPr="00F8252B">
        <w:rPr>
          <w:snapToGrid w:val="0"/>
          <w:kern w:val="22"/>
          <w:lang w:val="fr-FR"/>
        </w:rPr>
        <w:t xml:space="preserve"> ont déclaré avoir publié sur le Centre d’échange pour la prévention des risques biotechnologiques toutes les informations relatives à la législation, à la réglementation et aux lignes directrices nécessaires à la mise en œuvre du Protocole, ainsi que les informations requises par les Parties dans le cadre des </w:t>
      </w:r>
      <w:r w:rsidRPr="00F8252B">
        <w:rPr>
          <w:snapToGrid w:val="0"/>
          <w:kern w:val="22"/>
          <w:lang w:val="fr-FR"/>
        </w:rPr>
        <w:lastRenderedPageBreak/>
        <w:t>procédures de consentement préalable en connaissance de cause. Cela représente une baisse de 2</w:t>
      </w:r>
      <w:r w:rsidR="00667501">
        <w:rPr>
          <w:snapToGrid w:val="0"/>
          <w:kern w:val="22"/>
          <w:lang w:val="fr-FR"/>
        </w:rPr>
        <w:t> %</w:t>
      </w:r>
      <w:r w:rsidRPr="00F8252B">
        <w:rPr>
          <w:snapToGrid w:val="0"/>
          <w:kern w:val="22"/>
          <w:lang w:val="fr-FR"/>
        </w:rPr>
        <w:t xml:space="preserve"> par rapport à la référence. 24</w:t>
      </w:r>
      <w:r w:rsidR="00667501">
        <w:rPr>
          <w:snapToGrid w:val="0"/>
          <w:kern w:val="22"/>
          <w:lang w:val="fr-FR"/>
        </w:rPr>
        <w:t> %</w:t>
      </w:r>
      <w:r w:rsidRPr="00F8252B">
        <w:rPr>
          <w:snapToGrid w:val="0"/>
          <w:kern w:val="22"/>
          <w:lang w:val="fr-FR"/>
        </w:rPr>
        <w:t xml:space="preserve"> supplémentaires des Parties ont indiqué que ces informations n’avaient été mises à disposition que partiellement sur le Centre d’échange, ce qui représentait une augmentation de 6</w:t>
      </w:r>
      <w:r w:rsidR="00667501">
        <w:rPr>
          <w:snapToGrid w:val="0"/>
          <w:kern w:val="22"/>
          <w:lang w:val="fr-FR"/>
        </w:rPr>
        <w:t> %</w:t>
      </w:r>
      <w:r w:rsidRPr="00F8252B">
        <w:rPr>
          <w:snapToGrid w:val="0"/>
          <w:kern w:val="22"/>
          <w:lang w:val="fr-FR"/>
        </w:rPr>
        <w:t xml:space="preserve"> par rapport à la référence.</w:t>
      </w:r>
    </w:p>
    <w:p w14:paraId="0E6DE151" w14:textId="4BCE197D" w:rsidR="007636F8" w:rsidRPr="00F8252B" w:rsidRDefault="00B57E3B" w:rsidP="00FA2932">
      <w:pPr>
        <w:pStyle w:val="CBDNormalNumber"/>
        <w:rPr>
          <w:snapToGrid w:val="0"/>
          <w:kern w:val="22"/>
          <w:lang w:val="fr-FR"/>
        </w:rPr>
      </w:pPr>
      <w:r w:rsidRPr="00F8252B">
        <w:rPr>
          <w:snapToGrid w:val="0"/>
          <w:kern w:val="22"/>
          <w:lang w:val="fr-FR"/>
        </w:rPr>
        <w:t>En ce qui concerne la législation, la réglementation et les lignes directrices applicables à l’importation d’organismes vivants modifiés destinés à être utilisés directement pour l’alimentation humaine ou animale, ou à être transformés, sur les 100 Parties ayant indiqué que ces informations étaient disponibles, 67</w:t>
      </w:r>
      <w:r w:rsidR="00667501">
        <w:rPr>
          <w:snapToGrid w:val="0"/>
          <w:kern w:val="22"/>
          <w:lang w:val="fr-FR"/>
        </w:rPr>
        <w:t> %</w:t>
      </w:r>
      <w:r w:rsidRPr="00F8252B">
        <w:rPr>
          <w:snapToGrid w:val="0"/>
          <w:kern w:val="22"/>
          <w:lang w:val="fr-FR"/>
        </w:rPr>
        <w:t xml:space="preserve"> ont signalé que toutes les informations avaient été publiées sur le Centre d’échange pour la prévention des risques biotechnologiques, soit une baisse de 6</w:t>
      </w:r>
      <w:r w:rsidR="00667501">
        <w:rPr>
          <w:snapToGrid w:val="0"/>
          <w:kern w:val="22"/>
          <w:lang w:val="fr-FR"/>
        </w:rPr>
        <w:t> %</w:t>
      </w:r>
      <w:r w:rsidRPr="00F8252B">
        <w:rPr>
          <w:snapToGrid w:val="0"/>
          <w:kern w:val="22"/>
          <w:lang w:val="fr-FR"/>
        </w:rPr>
        <w:t xml:space="preserve"> par rapport à la référence. 24</w:t>
      </w:r>
      <w:r w:rsidR="00667501">
        <w:rPr>
          <w:snapToGrid w:val="0"/>
          <w:kern w:val="22"/>
          <w:lang w:val="fr-FR"/>
        </w:rPr>
        <w:t> %</w:t>
      </w:r>
      <w:r w:rsidRPr="00F8252B">
        <w:rPr>
          <w:snapToGrid w:val="0"/>
          <w:kern w:val="22"/>
          <w:lang w:val="fr-FR"/>
        </w:rPr>
        <w:t xml:space="preserve"> </w:t>
      </w:r>
      <w:r w:rsidR="00FA66B1" w:rsidRPr="00F8252B">
        <w:rPr>
          <w:snapToGrid w:val="0"/>
          <w:kern w:val="22"/>
          <w:lang w:val="fr-FR"/>
        </w:rPr>
        <w:t xml:space="preserve">supplémentaires </w:t>
      </w:r>
      <w:r w:rsidRPr="00F8252B">
        <w:rPr>
          <w:snapToGrid w:val="0"/>
          <w:kern w:val="22"/>
          <w:lang w:val="fr-FR"/>
        </w:rPr>
        <w:t>des Parties ont indiqué que ces informations avaient été partiellement mises à disposition sur le Centre d'échange, soit une augmentation de 12</w:t>
      </w:r>
      <w:r w:rsidR="00667501">
        <w:rPr>
          <w:snapToGrid w:val="0"/>
          <w:kern w:val="22"/>
          <w:lang w:val="fr-FR"/>
        </w:rPr>
        <w:t> %</w:t>
      </w:r>
      <w:r w:rsidRPr="00F8252B">
        <w:rPr>
          <w:snapToGrid w:val="0"/>
          <w:kern w:val="22"/>
          <w:lang w:val="fr-FR"/>
        </w:rPr>
        <w:t xml:space="preserve"> par rapport à la situation de référence</w:t>
      </w:r>
      <w:r w:rsidR="00E24E32" w:rsidRPr="00F8252B">
        <w:rPr>
          <w:snapToGrid w:val="0"/>
          <w:kern w:val="22"/>
          <w:lang w:val="fr-FR"/>
        </w:rPr>
        <w:t>.</w:t>
      </w:r>
    </w:p>
    <w:p w14:paraId="3A4336EB" w14:textId="3B14A0A5" w:rsidR="004A5280" w:rsidRPr="00F8252B" w:rsidRDefault="003B107E" w:rsidP="00FA2932">
      <w:pPr>
        <w:pStyle w:val="CBDNormalNumber"/>
        <w:rPr>
          <w:snapToGrid w:val="0"/>
          <w:kern w:val="22"/>
          <w:lang w:val="fr-FR"/>
        </w:rPr>
      </w:pPr>
      <w:r w:rsidRPr="00F8252B">
        <w:rPr>
          <w:snapToGrid w:val="0"/>
          <w:kern w:val="22"/>
          <w:lang w:val="fr-FR"/>
        </w:rPr>
        <w:t>Quant à l'état des informations obligatoires communiquées au Centre d'échange pour la prévention des risques biotechnologiques concernant les accords et les arrangements bilatéraux, multilatéraux et régionaux, parmi les Parties ayant indiqué que ces informations étaient disponibles (43 Parties), 35</w:t>
      </w:r>
      <w:r w:rsidR="00667501">
        <w:rPr>
          <w:snapToGrid w:val="0"/>
          <w:kern w:val="22"/>
          <w:lang w:val="fr-FR"/>
        </w:rPr>
        <w:t> %</w:t>
      </w:r>
      <w:r w:rsidRPr="00F8252B">
        <w:rPr>
          <w:snapToGrid w:val="0"/>
          <w:kern w:val="22"/>
          <w:lang w:val="fr-FR"/>
        </w:rPr>
        <w:t xml:space="preserve"> ont signalé que toutes les informations avaient été publiées sur le Centre d'échange, ce qui ne représente aucun changement par rapport à la référence. En outre, 16</w:t>
      </w:r>
      <w:r w:rsidR="00667501">
        <w:rPr>
          <w:snapToGrid w:val="0"/>
          <w:kern w:val="22"/>
          <w:lang w:val="fr-FR"/>
        </w:rPr>
        <w:t> %</w:t>
      </w:r>
      <w:r w:rsidRPr="00F8252B">
        <w:rPr>
          <w:snapToGrid w:val="0"/>
          <w:kern w:val="22"/>
          <w:lang w:val="fr-FR"/>
        </w:rPr>
        <w:t xml:space="preserve"> des Parties ont indiqué que ces informations avaient été partiellement mises à disposition sur le Centre d'échange, ce qui représente une augmentation de 2</w:t>
      </w:r>
      <w:r w:rsidR="00667501">
        <w:rPr>
          <w:snapToGrid w:val="0"/>
          <w:kern w:val="22"/>
          <w:lang w:val="fr-FR"/>
        </w:rPr>
        <w:t> %</w:t>
      </w:r>
      <w:r w:rsidRPr="00F8252B">
        <w:rPr>
          <w:snapToGrid w:val="0"/>
          <w:kern w:val="22"/>
          <w:lang w:val="fr-FR"/>
        </w:rPr>
        <w:t xml:space="preserve"> par rapport à la référence.</w:t>
      </w:r>
    </w:p>
    <w:p w14:paraId="010693E6" w14:textId="71CAD644" w:rsidR="004F374E" w:rsidRPr="00F8252B" w:rsidRDefault="001B19F8" w:rsidP="00FA2932">
      <w:pPr>
        <w:pStyle w:val="CBDNormalNumber"/>
        <w:rPr>
          <w:snapToGrid w:val="0"/>
          <w:kern w:val="22"/>
          <w:lang w:val="fr-FR"/>
        </w:rPr>
      </w:pPr>
      <w:r>
        <w:rPr>
          <w:snapToGrid w:val="0"/>
          <w:kern w:val="22"/>
          <w:lang w:val="fr-FR"/>
        </w:rPr>
        <w:t>Pour ce qui est des</w:t>
      </w:r>
      <w:r w:rsidR="00B956D2" w:rsidRPr="00F8252B">
        <w:rPr>
          <w:snapToGrid w:val="0"/>
          <w:kern w:val="22"/>
          <w:lang w:val="fr-FR"/>
        </w:rPr>
        <w:t xml:space="preserve"> notifications relatives à des disséminations susceptibles d’entraîner </w:t>
      </w:r>
      <w:r w:rsidR="00951576" w:rsidRPr="00F8252B">
        <w:rPr>
          <w:snapToGrid w:val="0"/>
          <w:kern w:val="22"/>
          <w:lang w:val="fr-FR"/>
        </w:rPr>
        <w:t>le</w:t>
      </w:r>
      <w:r w:rsidR="00B956D2" w:rsidRPr="00F8252B">
        <w:rPr>
          <w:snapToGrid w:val="0"/>
          <w:kern w:val="22"/>
          <w:lang w:val="fr-FR"/>
        </w:rPr>
        <w:t xml:space="preserve"> mouvement transfrontière non intentionnel d’un organisme vivant modifié susceptible d’avoir des effets défavorables importants sur la diversité biologique (article</w:t>
      </w:r>
      <w:r w:rsidR="00951576" w:rsidRPr="00F8252B">
        <w:rPr>
          <w:snapToGrid w:val="0"/>
          <w:kern w:val="22"/>
          <w:lang w:val="fr-FR"/>
        </w:rPr>
        <w:t> </w:t>
      </w:r>
      <w:r w:rsidR="00B956D2" w:rsidRPr="00F8252B">
        <w:rPr>
          <w:snapToGrid w:val="0"/>
          <w:kern w:val="22"/>
          <w:lang w:val="fr-FR"/>
        </w:rPr>
        <w:t>17, paragraphe</w:t>
      </w:r>
      <w:r w:rsidR="00951576" w:rsidRPr="00F8252B">
        <w:rPr>
          <w:snapToGrid w:val="0"/>
          <w:kern w:val="22"/>
          <w:lang w:val="fr-FR"/>
        </w:rPr>
        <w:t> </w:t>
      </w:r>
      <w:r w:rsidR="00B956D2" w:rsidRPr="00F8252B">
        <w:rPr>
          <w:snapToGrid w:val="0"/>
          <w:kern w:val="22"/>
          <w:lang w:val="fr-FR"/>
        </w:rPr>
        <w:t>1), sur les 10</w:t>
      </w:r>
      <w:r w:rsidR="00951576" w:rsidRPr="00F8252B">
        <w:rPr>
          <w:snapToGrid w:val="0"/>
          <w:kern w:val="22"/>
          <w:lang w:val="fr-FR"/>
        </w:rPr>
        <w:t> </w:t>
      </w:r>
      <w:r w:rsidR="00B956D2" w:rsidRPr="00F8252B">
        <w:rPr>
          <w:snapToGrid w:val="0"/>
          <w:kern w:val="22"/>
          <w:lang w:val="fr-FR"/>
        </w:rPr>
        <w:t>Parties ayant indiqué que ces informations étaient disponibles, 50</w:t>
      </w:r>
      <w:r w:rsidR="00667501">
        <w:rPr>
          <w:snapToGrid w:val="0"/>
          <w:kern w:val="22"/>
          <w:lang w:val="fr-FR"/>
        </w:rPr>
        <w:t> %</w:t>
      </w:r>
      <w:r w:rsidR="00B956D2" w:rsidRPr="00F8252B">
        <w:rPr>
          <w:snapToGrid w:val="0"/>
          <w:kern w:val="22"/>
          <w:lang w:val="fr-FR"/>
        </w:rPr>
        <w:t xml:space="preserve"> ont signalé que toutes les informations avaient été publiées sur le Centre d’échange, soit une baisse de 4</w:t>
      </w:r>
      <w:r w:rsidR="00667501">
        <w:rPr>
          <w:snapToGrid w:val="0"/>
          <w:kern w:val="22"/>
          <w:lang w:val="fr-FR"/>
        </w:rPr>
        <w:t> %</w:t>
      </w:r>
      <w:r w:rsidR="00B956D2" w:rsidRPr="00F8252B">
        <w:rPr>
          <w:snapToGrid w:val="0"/>
          <w:kern w:val="22"/>
          <w:lang w:val="fr-FR"/>
        </w:rPr>
        <w:t xml:space="preserve"> par rapport à la référence. Dix pour cent des Parties (1</w:t>
      </w:r>
      <w:r w:rsidR="00951576" w:rsidRPr="00F8252B">
        <w:rPr>
          <w:snapToGrid w:val="0"/>
          <w:kern w:val="22"/>
          <w:lang w:val="fr-FR"/>
        </w:rPr>
        <w:t> </w:t>
      </w:r>
      <w:r w:rsidR="00B956D2" w:rsidRPr="00F8252B">
        <w:rPr>
          <w:snapToGrid w:val="0"/>
          <w:kern w:val="22"/>
          <w:lang w:val="fr-FR"/>
        </w:rPr>
        <w:t>Partie) ont indiqué que ces informations avaient été partiellement mises à disposition sur le Centre d'échange, ce qui représente une augmentation de 10</w:t>
      </w:r>
      <w:r w:rsidR="00667501">
        <w:rPr>
          <w:snapToGrid w:val="0"/>
          <w:kern w:val="22"/>
          <w:lang w:val="fr-FR"/>
        </w:rPr>
        <w:t> %</w:t>
      </w:r>
      <w:r w:rsidR="00B956D2" w:rsidRPr="00F8252B">
        <w:rPr>
          <w:snapToGrid w:val="0"/>
          <w:kern w:val="22"/>
          <w:lang w:val="fr-FR"/>
        </w:rPr>
        <w:t xml:space="preserve"> par rapport à la référence</w:t>
      </w:r>
      <w:r w:rsidR="00A408D0" w:rsidRPr="00F8252B">
        <w:rPr>
          <w:rStyle w:val="Appelnotedebasdep"/>
          <w:snapToGrid w:val="0"/>
          <w:kern w:val="22"/>
          <w:lang w:val="fr-FR"/>
        </w:rPr>
        <w:footnoteReference w:id="14"/>
      </w:r>
      <w:r w:rsidR="00A06C51" w:rsidRPr="00F8252B">
        <w:rPr>
          <w:snapToGrid w:val="0"/>
          <w:kern w:val="22"/>
          <w:lang w:val="fr-FR"/>
        </w:rPr>
        <w:t>.</w:t>
      </w:r>
    </w:p>
    <w:p w14:paraId="137EA91A" w14:textId="68549CEF" w:rsidR="007636F8" w:rsidRPr="00F8252B" w:rsidRDefault="00972E2E" w:rsidP="00FA2932">
      <w:pPr>
        <w:pStyle w:val="CBDNormalNumber"/>
        <w:rPr>
          <w:snapToGrid w:val="0"/>
          <w:kern w:val="22"/>
          <w:lang w:val="fr-FR"/>
        </w:rPr>
      </w:pPr>
      <w:r w:rsidRPr="00F8252B">
        <w:rPr>
          <w:snapToGrid w:val="0"/>
          <w:kern w:val="22"/>
          <w:lang w:val="fr-FR"/>
        </w:rPr>
        <w:t>Parmi les Parties ayant indiqué que des informations concernant des cas de mouvements transfrontières illicites d’organismes vivants modifiés étaient disponibles (21 Parties), 38</w:t>
      </w:r>
      <w:r w:rsidR="00667501">
        <w:rPr>
          <w:snapToGrid w:val="0"/>
          <w:kern w:val="22"/>
          <w:lang w:val="fr-FR"/>
        </w:rPr>
        <w:t> %</w:t>
      </w:r>
      <w:r w:rsidRPr="00F8252B">
        <w:rPr>
          <w:snapToGrid w:val="0"/>
          <w:kern w:val="22"/>
          <w:lang w:val="fr-FR"/>
        </w:rPr>
        <w:t xml:space="preserve"> ont signalé que toutes ces informations avaient été publiées sur le Centre d’échange, ce qui représente une augmentation de 8</w:t>
      </w:r>
      <w:r w:rsidR="00667501">
        <w:rPr>
          <w:snapToGrid w:val="0"/>
          <w:kern w:val="22"/>
          <w:lang w:val="fr-FR"/>
        </w:rPr>
        <w:t> %</w:t>
      </w:r>
      <w:r w:rsidRPr="00F8252B">
        <w:rPr>
          <w:snapToGrid w:val="0"/>
          <w:kern w:val="22"/>
          <w:lang w:val="fr-FR"/>
        </w:rPr>
        <w:t xml:space="preserve"> par rapport à la référence. Quatorze pour cent supplémentaires ont indiqué que ces informations étaient partiellement disponibles sur le Centre d’échange, ce qui représente une baisse de 3</w:t>
      </w:r>
      <w:r w:rsidR="00667501">
        <w:rPr>
          <w:snapToGrid w:val="0"/>
          <w:kern w:val="22"/>
          <w:lang w:val="fr-FR"/>
        </w:rPr>
        <w:t> %</w:t>
      </w:r>
      <w:r w:rsidRPr="00F8252B">
        <w:rPr>
          <w:snapToGrid w:val="0"/>
          <w:kern w:val="22"/>
          <w:lang w:val="fr-FR"/>
        </w:rPr>
        <w:t xml:space="preserve"> par rapport à la situation de référence. De plus amples informations à ce sujet sont fournies au titre d</w:t>
      </w:r>
      <w:r w:rsidR="00CA71D6" w:rsidRPr="00F8252B">
        <w:rPr>
          <w:snapToGrid w:val="0"/>
          <w:kern w:val="22"/>
          <w:lang w:val="fr-FR"/>
        </w:rPr>
        <w:t>u but </w:t>
      </w:r>
      <w:r w:rsidRPr="00F8252B">
        <w:rPr>
          <w:snapToGrid w:val="0"/>
          <w:kern w:val="22"/>
          <w:lang w:val="fr-FR"/>
        </w:rPr>
        <w:t>A.6 ci-dessous</w:t>
      </w:r>
      <w:r w:rsidR="00D62066" w:rsidRPr="00F8252B">
        <w:rPr>
          <w:snapToGrid w:val="0"/>
          <w:kern w:val="22"/>
          <w:lang w:val="fr-FR"/>
        </w:rPr>
        <w:t xml:space="preserve">. </w:t>
      </w:r>
    </w:p>
    <w:p w14:paraId="405AD71D" w14:textId="277B72F0" w:rsidR="00092FDE" w:rsidRPr="00F8252B" w:rsidRDefault="00CA71D6" w:rsidP="00FA2932">
      <w:pPr>
        <w:pStyle w:val="CBDNormalNumber"/>
        <w:rPr>
          <w:snapToGrid w:val="0"/>
          <w:kern w:val="22"/>
          <w:lang w:val="fr-FR"/>
        </w:rPr>
      </w:pPr>
      <w:r w:rsidRPr="00F8252B">
        <w:rPr>
          <w:snapToGrid w:val="0"/>
          <w:kern w:val="22"/>
          <w:lang w:val="fr-FR"/>
        </w:rPr>
        <w:t>Parmi les Parties ayant indiqué que les décisions relatives à l'importation d'organismes vivants modifiés en vue de leur introduction intentionnelle dans l'environnement étaient disponibles (46), 63</w:t>
      </w:r>
      <w:r w:rsidR="00667501">
        <w:rPr>
          <w:snapToGrid w:val="0"/>
          <w:kern w:val="22"/>
          <w:lang w:val="fr-FR"/>
        </w:rPr>
        <w:t> %</w:t>
      </w:r>
      <w:r w:rsidRPr="00F8252B">
        <w:rPr>
          <w:snapToGrid w:val="0"/>
          <w:kern w:val="22"/>
          <w:lang w:val="fr-FR"/>
        </w:rPr>
        <w:t xml:space="preserve"> ont signalé que toutes les informations avaient été publiées sur le Centre d'échange, ce qui ne représente aucun changement par rapport à la situation de référence, tandis que 20</w:t>
      </w:r>
      <w:r w:rsidR="00667501">
        <w:rPr>
          <w:snapToGrid w:val="0"/>
          <w:kern w:val="22"/>
          <w:lang w:val="fr-FR"/>
        </w:rPr>
        <w:t> %</w:t>
      </w:r>
      <w:r w:rsidRPr="00F8252B">
        <w:rPr>
          <w:snapToGrid w:val="0"/>
          <w:kern w:val="22"/>
          <w:lang w:val="fr-FR"/>
        </w:rPr>
        <w:t xml:space="preserve"> supplémentaires des Parties ont indiqué que ces informations avaient été partiellement mises à disposition sur le Centre d'échange, ce qui représente une augmentation de 11</w:t>
      </w:r>
      <w:r w:rsidR="00667501">
        <w:rPr>
          <w:snapToGrid w:val="0"/>
          <w:kern w:val="22"/>
          <w:lang w:val="fr-FR"/>
        </w:rPr>
        <w:t> %</w:t>
      </w:r>
      <w:r w:rsidRPr="00F8252B">
        <w:rPr>
          <w:snapToGrid w:val="0"/>
          <w:kern w:val="22"/>
          <w:lang w:val="fr-FR"/>
        </w:rPr>
        <w:t xml:space="preserve"> par rapport à la référence</w:t>
      </w:r>
      <w:r w:rsidR="00EE70FD" w:rsidRPr="00F8252B">
        <w:rPr>
          <w:snapToGrid w:val="0"/>
          <w:kern w:val="22"/>
          <w:lang w:val="fr-FR"/>
        </w:rPr>
        <w:t xml:space="preserve">. </w:t>
      </w:r>
    </w:p>
    <w:p w14:paraId="72AA2DA2" w14:textId="4D80BC52" w:rsidR="00092FDE" w:rsidRPr="00F8252B" w:rsidRDefault="00727867" w:rsidP="00FA2932">
      <w:pPr>
        <w:pStyle w:val="CBDNormalNumber"/>
        <w:rPr>
          <w:snapToGrid w:val="0"/>
          <w:kern w:val="22"/>
          <w:lang w:val="fr-FR"/>
        </w:rPr>
      </w:pPr>
      <w:r w:rsidRPr="00F8252B">
        <w:rPr>
          <w:snapToGrid w:val="0"/>
          <w:kern w:val="22"/>
          <w:lang w:val="fr-FR"/>
        </w:rPr>
        <w:t>Parmi les Parties ayant indiqué que des décisions concernant l’utilisation nationale d’organismes vivants modifiés susceptibles de mouvements transfrontières en vue d’une utilisation directe comme denrées alimentaires ou aliments pour animaux, ou à des fins de transformation, étaient disponibles (51 Parties), 63</w:t>
      </w:r>
      <w:r w:rsidR="00667501">
        <w:rPr>
          <w:snapToGrid w:val="0"/>
          <w:kern w:val="22"/>
          <w:lang w:val="fr-FR"/>
        </w:rPr>
        <w:t> %</w:t>
      </w:r>
      <w:r w:rsidRPr="00F8252B">
        <w:rPr>
          <w:snapToGrid w:val="0"/>
          <w:kern w:val="22"/>
          <w:lang w:val="fr-FR"/>
        </w:rPr>
        <w:t xml:space="preserve"> ont signalé que toutes les informations avaient été publiées sur le Centre d’échange, soit une baisse de 7</w:t>
      </w:r>
      <w:r w:rsidR="00667501">
        <w:rPr>
          <w:snapToGrid w:val="0"/>
          <w:kern w:val="22"/>
          <w:lang w:val="fr-FR"/>
        </w:rPr>
        <w:t> %</w:t>
      </w:r>
      <w:r w:rsidRPr="00F8252B">
        <w:rPr>
          <w:snapToGrid w:val="0"/>
          <w:kern w:val="22"/>
          <w:lang w:val="fr-FR"/>
        </w:rPr>
        <w:t xml:space="preserve"> par rapport à la situation de référence. Seize pour cent supplémentaires des Parties ont indiqué que ces informations étaient partiellement disponibles sur le Centre d’échange, soit une augmentation de 14</w:t>
      </w:r>
      <w:r w:rsidR="00667501">
        <w:rPr>
          <w:snapToGrid w:val="0"/>
          <w:kern w:val="22"/>
          <w:lang w:val="fr-FR"/>
        </w:rPr>
        <w:t> %</w:t>
      </w:r>
      <w:r w:rsidRPr="00F8252B">
        <w:rPr>
          <w:snapToGrid w:val="0"/>
          <w:kern w:val="22"/>
          <w:lang w:val="fr-FR"/>
        </w:rPr>
        <w:t>.</w:t>
      </w:r>
    </w:p>
    <w:p w14:paraId="762D43DE" w14:textId="7AE17744" w:rsidR="00092FDE" w:rsidRPr="00F8252B" w:rsidRDefault="00EA11E4" w:rsidP="00FA2932">
      <w:pPr>
        <w:pStyle w:val="CBDNormalNumber"/>
        <w:rPr>
          <w:snapToGrid w:val="0"/>
          <w:kern w:val="22"/>
          <w:lang w:val="fr-FR"/>
        </w:rPr>
      </w:pPr>
      <w:r w:rsidRPr="00F8252B">
        <w:rPr>
          <w:snapToGrid w:val="0"/>
          <w:kern w:val="22"/>
          <w:lang w:val="fr-FR"/>
        </w:rPr>
        <w:lastRenderedPageBreak/>
        <w:t>Parmi les Parties ayant indiqué que les décisions relatives à l’importation d’organismes vivants modifiés destinés à être utilisés directement pour l’alimentation humaine ou animale, ou à être transformés, et qui ont été prises dans le cadre des législations nationales (article 11, paragraphe 4) ou conformément à l’annexe III du Protocole (en vertu de l’article 11, paragraphe 6), étaient disponibles (55 Parties), 69</w:t>
      </w:r>
      <w:r w:rsidR="00667501">
        <w:rPr>
          <w:snapToGrid w:val="0"/>
          <w:kern w:val="22"/>
          <w:lang w:val="fr-FR"/>
        </w:rPr>
        <w:t> %</w:t>
      </w:r>
      <w:r w:rsidRPr="00F8252B">
        <w:rPr>
          <w:snapToGrid w:val="0"/>
          <w:kern w:val="22"/>
          <w:lang w:val="fr-FR"/>
        </w:rPr>
        <w:t xml:space="preserve"> ont indiqué que toutes les informations avaient été publiées sur le Centre d’échange, ce qui ne représente aucun changement par rapport à la référence, tandis que 11</w:t>
      </w:r>
      <w:r w:rsidR="00667501">
        <w:rPr>
          <w:snapToGrid w:val="0"/>
          <w:kern w:val="22"/>
          <w:lang w:val="fr-FR"/>
        </w:rPr>
        <w:t> %</w:t>
      </w:r>
      <w:r w:rsidRPr="00F8252B">
        <w:rPr>
          <w:snapToGrid w:val="0"/>
          <w:kern w:val="22"/>
          <w:lang w:val="fr-FR"/>
        </w:rPr>
        <w:t xml:space="preserve"> des Parties ont indiqué que ces informations avaient été partiellement mises à disposition sur le Centre d’échange, ce qui représente une augmentation de 2</w:t>
      </w:r>
      <w:r w:rsidR="00667501">
        <w:rPr>
          <w:snapToGrid w:val="0"/>
          <w:kern w:val="22"/>
          <w:lang w:val="fr-FR"/>
        </w:rPr>
        <w:t> %</w:t>
      </w:r>
      <w:r w:rsidRPr="00F8252B">
        <w:rPr>
          <w:snapToGrid w:val="0"/>
          <w:kern w:val="22"/>
          <w:lang w:val="fr-FR"/>
        </w:rPr>
        <w:t xml:space="preserve"> par rapport à la référence</w:t>
      </w:r>
      <w:r w:rsidR="00E30626" w:rsidRPr="00F8252B">
        <w:rPr>
          <w:snapToGrid w:val="0"/>
          <w:kern w:val="22"/>
          <w:lang w:val="fr-FR"/>
        </w:rPr>
        <w:t>.</w:t>
      </w:r>
      <w:r w:rsidR="00A71BC2" w:rsidRPr="00F8252B">
        <w:rPr>
          <w:snapToGrid w:val="0"/>
          <w:kern w:val="22"/>
          <w:lang w:val="fr-FR"/>
        </w:rPr>
        <w:t xml:space="preserve"> </w:t>
      </w:r>
    </w:p>
    <w:p w14:paraId="53D50F83" w14:textId="01F335F8" w:rsidR="001B144E" w:rsidRPr="00F8252B" w:rsidRDefault="00C17D4D" w:rsidP="00FA2932">
      <w:pPr>
        <w:pStyle w:val="CBDNormalNumber"/>
        <w:rPr>
          <w:snapToGrid w:val="0"/>
          <w:kern w:val="22"/>
          <w:lang w:val="fr-FR"/>
        </w:rPr>
      </w:pPr>
      <w:r w:rsidRPr="00F8252B">
        <w:rPr>
          <w:snapToGrid w:val="0"/>
          <w:kern w:val="22"/>
          <w:lang w:val="fr-FR"/>
        </w:rPr>
        <w:t>Dans les cas où un mouvement transfrontière intentionnel peut avoir lieu au moment même où il est notifié à la Partie importatrice (article 13, paragraphe 1</w:t>
      </w:r>
      <w:r w:rsidR="00C65E3A" w:rsidRPr="00F8252B">
        <w:rPr>
          <w:snapToGrid w:val="0"/>
          <w:kern w:val="22"/>
          <w:lang w:val="fr-FR"/>
        </w:rPr>
        <w:t>, point</w:t>
      </w:r>
      <w:r w:rsidRPr="00F8252B">
        <w:rPr>
          <w:snapToGrid w:val="0"/>
          <w:kern w:val="22"/>
          <w:lang w:val="fr-FR"/>
        </w:rPr>
        <w:t> a)), sur les 13</w:t>
      </w:r>
      <w:r w:rsidR="00C65E3A" w:rsidRPr="00F8252B">
        <w:rPr>
          <w:snapToGrid w:val="0"/>
          <w:kern w:val="22"/>
          <w:lang w:val="fr-FR"/>
        </w:rPr>
        <w:t> </w:t>
      </w:r>
      <w:r w:rsidRPr="00F8252B">
        <w:rPr>
          <w:snapToGrid w:val="0"/>
          <w:kern w:val="22"/>
          <w:lang w:val="fr-FR"/>
        </w:rPr>
        <w:t>Parties ayant indiqué que ces informations étaient disponibles, 54</w:t>
      </w:r>
      <w:r w:rsidR="00667501">
        <w:rPr>
          <w:snapToGrid w:val="0"/>
          <w:kern w:val="22"/>
          <w:lang w:val="fr-FR"/>
        </w:rPr>
        <w:t> %</w:t>
      </w:r>
      <w:r w:rsidRPr="00F8252B">
        <w:rPr>
          <w:snapToGrid w:val="0"/>
          <w:kern w:val="22"/>
          <w:lang w:val="fr-FR"/>
        </w:rPr>
        <w:t xml:space="preserve"> ont signalé que toutes les informations avaient été publiées sur le Centre d'échange, ce qui représente une augmentation de 25</w:t>
      </w:r>
      <w:r w:rsidR="00667501">
        <w:rPr>
          <w:snapToGrid w:val="0"/>
          <w:kern w:val="22"/>
          <w:lang w:val="fr-FR"/>
        </w:rPr>
        <w:t> %</w:t>
      </w:r>
      <w:r w:rsidRPr="00F8252B">
        <w:rPr>
          <w:snapToGrid w:val="0"/>
          <w:kern w:val="22"/>
          <w:lang w:val="fr-FR"/>
        </w:rPr>
        <w:t xml:space="preserve"> par rapport à la situation de référence. Huit pour cent des Parties (1</w:t>
      </w:r>
      <w:r w:rsidR="00C65E3A" w:rsidRPr="00F8252B">
        <w:rPr>
          <w:snapToGrid w:val="0"/>
          <w:kern w:val="22"/>
          <w:lang w:val="fr-FR"/>
        </w:rPr>
        <w:t> </w:t>
      </w:r>
      <w:r w:rsidRPr="00F8252B">
        <w:rPr>
          <w:snapToGrid w:val="0"/>
          <w:kern w:val="22"/>
          <w:lang w:val="fr-FR"/>
        </w:rPr>
        <w:t>Partie) ont indiqué que ces informations avaient été partiellement mises à disposition sur le Centre d'échange, ce qui représente une diminution de 8</w:t>
      </w:r>
      <w:r w:rsidR="00667501">
        <w:rPr>
          <w:snapToGrid w:val="0"/>
          <w:kern w:val="22"/>
          <w:lang w:val="fr-FR"/>
        </w:rPr>
        <w:t> %</w:t>
      </w:r>
      <w:r w:rsidRPr="00F8252B">
        <w:rPr>
          <w:snapToGrid w:val="0"/>
          <w:kern w:val="22"/>
          <w:lang w:val="fr-FR"/>
        </w:rPr>
        <w:t xml:space="preserve"> par rapport à la situation de référence</w:t>
      </w:r>
      <w:r w:rsidR="00D372C3" w:rsidRPr="00F8252B">
        <w:rPr>
          <w:rStyle w:val="Appelnotedebasdep"/>
          <w:snapToGrid w:val="0"/>
          <w:kern w:val="22"/>
          <w:lang w:val="fr-FR"/>
        </w:rPr>
        <w:footnoteReference w:id="15"/>
      </w:r>
      <w:r w:rsidR="007E51CA" w:rsidRPr="00F8252B">
        <w:rPr>
          <w:snapToGrid w:val="0"/>
          <w:kern w:val="22"/>
          <w:lang w:val="fr-FR"/>
        </w:rPr>
        <w:t>.</w:t>
      </w:r>
    </w:p>
    <w:p w14:paraId="60B747AE" w14:textId="2BC5916A" w:rsidR="00974FAD" w:rsidRPr="00F8252B" w:rsidRDefault="004E4CC1" w:rsidP="00FA2932">
      <w:pPr>
        <w:pStyle w:val="CBDNormalNumber"/>
        <w:rPr>
          <w:snapToGrid w:val="0"/>
          <w:kern w:val="22"/>
          <w:lang w:val="fr-FR"/>
        </w:rPr>
      </w:pPr>
      <w:r>
        <w:rPr>
          <w:snapToGrid w:val="0"/>
          <w:kern w:val="22"/>
          <w:lang w:val="fr-FR"/>
        </w:rPr>
        <w:t xml:space="preserve">Quant aux </w:t>
      </w:r>
      <w:r w:rsidR="00982125" w:rsidRPr="00F8252B">
        <w:rPr>
          <w:snapToGrid w:val="0"/>
          <w:kern w:val="22"/>
          <w:lang w:val="fr-FR"/>
        </w:rPr>
        <w:t>organismes vivants modifiés exemptés de la procédure de consentement préalable en connaissance de cause (article</w:t>
      </w:r>
      <w:r w:rsidR="007F3EB6" w:rsidRPr="00F8252B">
        <w:rPr>
          <w:snapToGrid w:val="0"/>
          <w:kern w:val="22"/>
          <w:lang w:val="fr-FR"/>
        </w:rPr>
        <w:t> </w:t>
      </w:r>
      <w:r w:rsidR="00982125" w:rsidRPr="00F8252B">
        <w:rPr>
          <w:snapToGrid w:val="0"/>
          <w:kern w:val="22"/>
          <w:lang w:val="fr-FR"/>
        </w:rPr>
        <w:t>13, paragraphe</w:t>
      </w:r>
      <w:r w:rsidR="007F3EB6" w:rsidRPr="00F8252B">
        <w:rPr>
          <w:snapToGrid w:val="0"/>
          <w:kern w:val="22"/>
          <w:lang w:val="fr-FR"/>
        </w:rPr>
        <w:t> </w:t>
      </w:r>
      <w:r w:rsidR="00982125" w:rsidRPr="00F8252B">
        <w:rPr>
          <w:snapToGrid w:val="0"/>
          <w:kern w:val="22"/>
          <w:lang w:val="fr-FR"/>
        </w:rPr>
        <w:t>1, point</w:t>
      </w:r>
      <w:r w:rsidR="007F3EB6" w:rsidRPr="00F8252B">
        <w:rPr>
          <w:snapToGrid w:val="0"/>
          <w:kern w:val="22"/>
          <w:lang w:val="fr-FR"/>
        </w:rPr>
        <w:t> </w:t>
      </w:r>
      <w:r w:rsidR="00982125" w:rsidRPr="00F8252B">
        <w:rPr>
          <w:snapToGrid w:val="0"/>
          <w:kern w:val="22"/>
          <w:lang w:val="fr-FR"/>
        </w:rPr>
        <w:t>b)), sur les neuf Parties ayant indiqué que ces informations étaient disponibles, 44</w:t>
      </w:r>
      <w:r w:rsidR="00667501">
        <w:rPr>
          <w:snapToGrid w:val="0"/>
          <w:kern w:val="22"/>
          <w:lang w:val="fr-FR"/>
        </w:rPr>
        <w:t> %</w:t>
      </w:r>
      <w:r w:rsidR="00982125" w:rsidRPr="00F8252B">
        <w:rPr>
          <w:snapToGrid w:val="0"/>
          <w:kern w:val="22"/>
          <w:lang w:val="fr-FR"/>
        </w:rPr>
        <w:t xml:space="preserve"> ont signalé que toutes les informations avaient été publiées sur le Centre d'échange, ce qui représente une augmentation de 7</w:t>
      </w:r>
      <w:r w:rsidR="00667501">
        <w:rPr>
          <w:snapToGrid w:val="0"/>
          <w:kern w:val="22"/>
          <w:lang w:val="fr-FR"/>
        </w:rPr>
        <w:t> %</w:t>
      </w:r>
      <w:r w:rsidR="00982125" w:rsidRPr="00F8252B">
        <w:rPr>
          <w:snapToGrid w:val="0"/>
          <w:kern w:val="22"/>
          <w:lang w:val="fr-FR"/>
        </w:rPr>
        <w:t xml:space="preserve"> par rapport à la référence. Aucune Partie n'a indiqué que ces informations avaient été partiellement mises à disposition sur le Centre d'échange, ce qui ne représente aucun changement par rapport à la référence</w:t>
      </w:r>
      <w:r w:rsidR="00322B0A" w:rsidRPr="00F8252B">
        <w:rPr>
          <w:rStyle w:val="Appelnotedebasdep"/>
          <w:snapToGrid w:val="0"/>
          <w:kern w:val="22"/>
          <w:lang w:val="fr-FR"/>
        </w:rPr>
        <w:footnoteReference w:id="16"/>
      </w:r>
      <w:r w:rsidR="007F3EB6" w:rsidRPr="00F8252B">
        <w:rPr>
          <w:snapToGrid w:val="0"/>
          <w:kern w:val="22"/>
          <w:lang w:val="fr-FR"/>
        </w:rPr>
        <w:t>.</w:t>
      </w:r>
    </w:p>
    <w:p w14:paraId="22492709" w14:textId="652F38B3" w:rsidR="00B30CAC" w:rsidRPr="00F8252B" w:rsidRDefault="00676F47" w:rsidP="00FA2932">
      <w:pPr>
        <w:pStyle w:val="CBDNormalNumber"/>
        <w:rPr>
          <w:snapToGrid w:val="0"/>
          <w:kern w:val="22"/>
          <w:lang w:val="fr-FR"/>
        </w:rPr>
      </w:pPr>
      <w:r w:rsidRPr="00F8252B">
        <w:rPr>
          <w:snapToGrid w:val="0"/>
          <w:kern w:val="22"/>
          <w:lang w:val="fr-FR"/>
        </w:rPr>
        <w:t>Parmi les Parties ayant indiqué que des sommaires des évaluations des risques ou des études environnementales relatives aux organismes vivants modifiés, issus des procédures réglementaires, ainsi que les informations pertinentes concernant les produits qui en découlent, étaient disponibles (60 Parties), 65</w:t>
      </w:r>
      <w:r w:rsidR="00667501">
        <w:rPr>
          <w:snapToGrid w:val="0"/>
          <w:kern w:val="22"/>
          <w:lang w:val="fr-FR"/>
        </w:rPr>
        <w:t> %</w:t>
      </w:r>
      <w:r w:rsidRPr="00F8252B">
        <w:rPr>
          <w:snapToGrid w:val="0"/>
          <w:kern w:val="22"/>
          <w:lang w:val="fr-FR"/>
        </w:rPr>
        <w:t xml:space="preserve"> ont signalé que toutes ces informations avaient été publiées sur le Centre d'échange, ce qui représente une baisse de 3</w:t>
      </w:r>
      <w:r w:rsidR="00667501">
        <w:rPr>
          <w:snapToGrid w:val="0"/>
          <w:kern w:val="22"/>
          <w:lang w:val="fr-FR"/>
        </w:rPr>
        <w:t> %</w:t>
      </w:r>
      <w:r w:rsidRPr="00F8252B">
        <w:rPr>
          <w:snapToGrid w:val="0"/>
          <w:kern w:val="22"/>
          <w:lang w:val="fr-FR"/>
        </w:rPr>
        <w:t xml:space="preserve"> par rapport à la situation de référence, tandis que 20</w:t>
      </w:r>
      <w:r w:rsidR="00667501">
        <w:rPr>
          <w:snapToGrid w:val="0"/>
          <w:kern w:val="22"/>
          <w:lang w:val="fr-FR"/>
        </w:rPr>
        <w:t> %</w:t>
      </w:r>
      <w:r w:rsidRPr="00F8252B">
        <w:rPr>
          <w:snapToGrid w:val="0"/>
          <w:kern w:val="22"/>
          <w:lang w:val="fr-FR"/>
        </w:rPr>
        <w:t xml:space="preserve"> ont indiqué que ces informations étaient partiellement disponibles sur le Centre d'échange, ce qui représente une augmentation de 4</w:t>
      </w:r>
      <w:r w:rsidR="00667501">
        <w:rPr>
          <w:snapToGrid w:val="0"/>
          <w:kern w:val="22"/>
          <w:lang w:val="fr-FR"/>
        </w:rPr>
        <w:t> %</w:t>
      </w:r>
      <w:r w:rsidRPr="00F8252B">
        <w:rPr>
          <w:snapToGrid w:val="0"/>
          <w:kern w:val="22"/>
          <w:lang w:val="fr-FR"/>
        </w:rPr>
        <w:t xml:space="preserve"> par rapport à la situation de référence</w:t>
      </w:r>
      <w:r w:rsidR="00A71BC2" w:rsidRPr="00F8252B">
        <w:rPr>
          <w:snapToGrid w:val="0"/>
          <w:kern w:val="22"/>
          <w:lang w:val="fr-FR"/>
        </w:rPr>
        <w:t>.</w:t>
      </w:r>
    </w:p>
    <w:p w14:paraId="10F7847E" w14:textId="4EADFCED" w:rsidR="00925E83" w:rsidRPr="00F8252B" w:rsidRDefault="004C250C" w:rsidP="00FA2932">
      <w:pPr>
        <w:pStyle w:val="CBDNormalNumber"/>
        <w:rPr>
          <w:lang w:val="fr-FR"/>
        </w:rPr>
      </w:pPr>
      <w:r w:rsidRPr="00F8252B">
        <w:rPr>
          <w:lang w:val="fr-FR"/>
        </w:rPr>
        <w:t>Soixante-dix-huit Parties ont fourni une réponse sous forme de texte libre à la question 103, dans laquelle il leur était demandé d’expliquer pourquoi des informations pouvaient être disponibles mais ne figuraient pas sur la plateforme d’échange d’informations, ou n’y figuraient que partiellement. De nombreuses Parties ont indiqué que des informations pertinentes existaient au niveau national mais n’avaient pas encore été entièrement téléchargées sur la Plateforme d’échange d’informations. Parmi les raisons les plus fréquemment invoquées par les Parties figuraient les retards administratifs, la nécessité de compiler et de valider des informations provenant de multiples institutions, ainsi que des capacités techniques et/ou humaines limitées pour assurer la maintenance et la révision de leurs dossiers sur la Plateforme d’échange d’informations. Quelques Parties ont invoqué des considérations de confidentialité pour expliquer pourquoi les informations n’avaient pas été publiées sur le Centre d’échange</w:t>
      </w:r>
      <w:r w:rsidR="00925E83" w:rsidRPr="00F8252B">
        <w:rPr>
          <w:lang w:val="fr-FR"/>
        </w:rPr>
        <w:t xml:space="preserve">. </w:t>
      </w:r>
    </w:p>
    <w:p w14:paraId="1B7245F1" w14:textId="6F4668B6" w:rsidR="008D1054" w:rsidRPr="00F8252B" w:rsidRDefault="00B95590" w:rsidP="00FA2932">
      <w:pPr>
        <w:pStyle w:val="CBDNormalNumber"/>
        <w:rPr>
          <w:snapToGrid w:val="0"/>
          <w:kern w:val="22"/>
          <w:lang w:val="fr-FR"/>
        </w:rPr>
      </w:pPr>
      <w:r w:rsidRPr="00F8252B">
        <w:rPr>
          <w:snapToGrid w:val="0"/>
          <w:kern w:val="22"/>
          <w:lang w:val="fr-FR"/>
        </w:rPr>
        <w:t>Le Comité chargé du respect des obligations a pris note d'incohérences entre les informations fournies par les Parties dans leurs rapports nationaux et celles publiées par celles-ci via le Centre d'échange pour la prévention des risques biotechnologiques. De plus, le Comité vérifie régulièrement que les informations disponibles sur le Centre d'échange pour la prévention des risques biotechnologiques sont complètes. Vous trouverez de plus amples informations à ce sujet dans la section consacrée au but A.4 (respect des obligations) ci-dessous</w:t>
      </w:r>
      <w:r w:rsidR="00DC413E" w:rsidRPr="00F8252B">
        <w:rPr>
          <w:bCs/>
          <w:iCs/>
          <w:snapToGrid w:val="0"/>
          <w:kern w:val="22"/>
          <w:lang w:val="fr-FR"/>
        </w:rPr>
        <w:t>.</w:t>
      </w:r>
    </w:p>
    <w:p w14:paraId="0E021358" w14:textId="6AC1E474" w:rsidR="00EC17AC" w:rsidRPr="00F8252B" w:rsidRDefault="0063088C" w:rsidP="00FA2932">
      <w:pPr>
        <w:pStyle w:val="CBDNormalNumber"/>
        <w:rPr>
          <w:lang w:val="fr-FR"/>
        </w:rPr>
      </w:pPr>
      <w:r>
        <w:rPr>
          <w:snapToGrid w:val="0"/>
          <w:kern w:val="22"/>
          <w:lang w:val="fr-FR"/>
        </w:rPr>
        <w:lastRenderedPageBreak/>
        <w:t>Pour</w:t>
      </w:r>
      <w:r w:rsidR="005859CF" w:rsidRPr="00F8252B">
        <w:rPr>
          <w:snapToGrid w:val="0"/>
          <w:kern w:val="22"/>
          <w:lang w:val="fr-FR"/>
        </w:rPr>
        <w:t xml:space="preserve"> l’indicateur A.2 b) (pourcentage des Parties qui publient des informations non obligatoires relatives à la prévention des risques biotechnologiques par l’intermédiaire du Centre d’échange pour la prévention des risques biotechnologiques), </w:t>
      </w:r>
      <w:r w:rsidR="00900324">
        <w:rPr>
          <w:snapToGrid w:val="0"/>
          <w:kern w:val="22"/>
          <w:lang w:val="fr-FR"/>
        </w:rPr>
        <w:t xml:space="preserve">ce sont </w:t>
      </w:r>
      <w:r w:rsidR="005859CF" w:rsidRPr="00F8252B">
        <w:rPr>
          <w:snapToGrid w:val="0"/>
          <w:kern w:val="22"/>
          <w:lang w:val="fr-FR"/>
        </w:rPr>
        <w:t xml:space="preserve">les informations non obligatoires fournies en réponse aux questions 112 du quatrième rapport national et 102 du cinquième rapport national </w:t>
      </w:r>
      <w:r w:rsidR="00900324">
        <w:rPr>
          <w:snapToGrid w:val="0"/>
          <w:kern w:val="22"/>
          <w:lang w:val="fr-FR"/>
        </w:rPr>
        <w:t xml:space="preserve">qui </w:t>
      </w:r>
      <w:r w:rsidR="005859CF" w:rsidRPr="00F8252B">
        <w:rPr>
          <w:snapToGrid w:val="0"/>
          <w:kern w:val="22"/>
          <w:lang w:val="fr-FR"/>
        </w:rPr>
        <w:t>ont été utilisées pour mesurer les progrès accomplis. Sur la base des réponses fournies aux sous-questions de la question</w:t>
      </w:r>
      <w:r w:rsidR="00604A05" w:rsidRPr="00F8252B">
        <w:rPr>
          <w:snapToGrid w:val="0"/>
          <w:kern w:val="22"/>
          <w:lang w:val="fr-FR"/>
        </w:rPr>
        <w:t> </w:t>
      </w:r>
      <w:r w:rsidR="005859CF" w:rsidRPr="00F8252B">
        <w:rPr>
          <w:snapToGrid w:val="0"/>
          <w:kern w:val="22"/>
          <w:lang w:val="fr-FR"/>
        </w:rPr>
        <w:t>102 du cinquième rapport national, relatives aux informations non obligatoires, 35</w:t>
      </w:r>
      <w:r w:rsidR="00667501">
        <w:rPr>
          <w:snapToGrid w:val="0"/>
          <w:kern w:val="22"/>
          <w:lang w:val="fr-FR"/>
        </w:rPr>
        <w:t> %</w:t>
      </w:r>
      <w:r w:rsidR="005859CF" w:rsidRPr="00F8252B">
        <w:rPr>
          <w:snapToGrid w:val="0"/>
          <w:kern w:val="22"/>
          <w:lang w:val="fr-FR"/>
        </w:rPr>
        <w:t xml:space="preserve"> des Parties (61</w:t>
      </w:r>
      <w:r w:rsidR="00604A05" w:rsidRPr="00F8252B">
        <w:rPr>
          <w:snapToGrid w:val="0"/>
          <w:kern w:val="22"/>
          <w:lang w:val="fr-FR"/>
        </w:rPr>
        <w:t> </w:t>
      </w:r>
      <w:r w:rsidR="005859CF" w:rsidRPr="00F8252B">
        <w:rPr>
          <w:snapToGrid w:val="0"/>
          <w:kern w:val="22"/>
          <w:lang w:val="fr-FR"/>
        </w:rPr>
        <w:t>Parties) ont indiqué avoir publié des informations non obligatoires par l’intermédiaire du Centre d’échange, ce qui représente une baisse de 8</w:t>
      </w:r>
      <w:r w:rsidR="00667501">
        <w:rPr>
          <w:snapToGrid w:val="0"/>
          <w:kern w:val="22"/>
          <w:lang w:val="fr-FR"/>
        </w:rPr>
        <w:t> %</w:t>
      </w:r>
      <w:r w:rsidR="005859CF" w:rsidRPr="00F8252B">
        <w:rPr>
          <w:snapToGrid w:val="0"/>
          <w:kern w:val="22"/>
          <w:lang w:val="fr-FR"/>
        </w:rPr>
        <w:t xml:space="preserve"> par rapport à la référence</w:t>
      </w:r>
      <w:r w:rsidR="00DE2C41" w:rsidRPr="00F8252B">
        <w:rPr>
          <w:snapToGrid w:val="0"/>
          <w:kern w:val="22"/>
          <w:lang w:val="fr-FR"/>
        </w:rPr>
        <w:t>.</w:t>
      </w:r>
    </w:p>
    <w:p w14:paraId="0E46EDD3" w14:textId="48F0494E" w:rsidR="00FC0D8F" w:rsidRPr="00F8252B" w:rsidRDefault="0063088C" w:rsidP="00FA2932">
      <w:pPr>
        <w:pStyle w:val="CBDNormalNumber"/>
        <w:rPr>
          <w:lang w:val="fr-FR"/>
        </w:rPr>
      </w:pPr>
      <w:r>
        <w:rPr>
          <w:snapToGrid w:val="0"/>
          <w:kern w:val="22"/>
          <w:lang w:val="fr-FR"/>
        </w:rPr>
        <w:t>Pour</w:t>
      </w:r>
      <w:r w:rsidR="00B21164" w:rsidRPr="00F8252B">
        <w:rPr>
          <w:snapToGrid w:val="0"/>
          <w:kern w:val="22"/>
          <w:lang w:val="fr-FR"/>
        </w:rPr>
        <w:t xml:space="preserve"> l'indicateur </w:t>
      </w:r>
      <w:r w:rsidR="00B51921" w:rsidRPr="00F8252B">
        <w:rPr>
          <w:snapToGrid w:val="0"/>
          <w:kern w:val="22"/>
          <w:lang w:val="fr-FR"/>
        </w:rPr>
        <w:t>A.2 </w:t>
      </w:r>
      <w:r w:rsidR="00B21164" w:rsidRPr="00F8252B">
        <w:rPr>
          <w:snapToGrid w:val="0"/>
          <w:kern w:val="22"/>
          <w:lang w:val="fr-FR"/>
        </w:rPr>
        <w:t>c) (nombre d'utilisateurs actifs et de visites sur le Centre d'échange pour la prévention des risques biotechnologiques), des données issues de Google Analytics ont été fournies afin de mesurer les progrès réalisés</w:t>
      </w:r>
      <w:r w:rsidR="001D3080" w:rsidRPr="00F8252B">
        <w:rPr>
          <w:lang w:val="fr-FR"/>
        </w:rPr>
        <w:t>.</w:t>
      </w:r>
    </w:p>
    <w:p w14:paraId="4F865E02" w14:textId="31E900AF" w:rsidR="00F713AD" w:rsidRPr="00F8252B" w:rsidRDefault="00C54109" w:rsidP="007523FB">
      <w:pPr>
        <w:pStyle w:val="CBDNormalNumber"/>
        <w:rPr>
          <w:lang w:val="fr-FR"/>
        </w:rPr>
      </w:pPr>
      <w:r w:rsidRPr="00F8252B">
        <w:rPr>
          <w:lang w:val="fr-FR"/>
        </w:rPr>
        <w:t>Les statistiques relatives au nombre d'utilisateurs actifs et de visites sur le Centre d'échange pour la prévention des risques biotechnologiques ont été obtenues via Google Analytics, qui était passé à un nouveau système de mesure du trafic (Google Analytics 4). Cela a rendu inaccessibles les données historiques antérieures à juin 2023. En conséquence, l’indicateur a comparé la période la plus récente de trafic et d’activité sur la plateforme (1</w:t>
      </w:r>
      <w:r w:rsidRPr="00F8252B">
        <w:rPr>
          <w:vertAlign w:val="superscript"/>
          <w:lang w:val="fr-FR"/>
        </w:rPr>
        <w:t>er</w:t>
      </w:r>
      <w:r w:rsidRPr="00F8252B">
        <w:rPr>
          <w:lang w:val="fr-FR"/>
        </w:rPr>
        <w:t xml:space="preserve"> mars 2025 – 28 février 2026) avec la première période complète pour laquelle des statistiques étaient disponibles en tant que référence (7 juin 2023 – 6 juin 2024). Le nombre d’utilisateurs actifs sur le Centre d’échange d’informations est passé de 86 147 au cours de la première période à 162 371 au cours de la seconde, soit une augmentation de 88</w:t>
      </w:r>
      <w:r w:rsidR="00667501">
        <w:rPr>
          <w:lang w:val="fr-FR"/>
        </w:rPr>
        <w:t> %</w:t>
      </w:r>
      <w:r w:rsidRPr="00F8252B">
        <w:rPr>
          <w:lang w:val="fr-FR"/>
        </w:rPr>
        <w:t>, et le nombre de pages vues est passé de 578 140 au cours de la première période à 771 499 au cours de la seconde, soit une augmentation de 33</w:t>
      </w:r>
      <w:r w:rsidR="00667501">
        <w:rPr>
          <w:lang w:val="fr-FR"/>
        </w:rPr>
        <w:t> %</w:t>
      </w:r>
      <w:r w:rsidRPr="00F8252B">
        <w:rPr>
          <w:lang w:val="fr-FR"/>
        </w:rPr>
        <w:t xml:space="preserve"> (voir Figure II)</w:t>
      </w:r>
      <w:r w:rsidR="00272CC9" w:rsidRPr="00F8252B">
        <w:rPr>
          <w:lang w:val="fr-FR"/>
        </w:rPr>
        <w:t>.</w:t>
      </w:r>
    </w:p>
    <w:p w14:paraId="2B27057F" w14:textId="2756B17B" w:rsidR="004C18B5" w:rsidRPr="00F8252B" w:rsidRDefault="004C18B5">
      <w:pPr>
        <w:pStyle w:val="CBDTableTitle"/>
        <w:rPr>
          <w:lang w:val="fr-FR"/>
        </w:rPr>
      </w:pPr>
      <w:r w:rsidRPr="00F8252B">
        <w:rPr>
          <w:b w:val="0"/>
          <w:bCs/>
          <w:lang w:val="fr-FR"/>
        </w:rPr>
        <w:t>Figure II</w:t>
      </w:r>
      <w:r w:rsidRPr="00F8252B">
        <w:rPr>
          <w:lang w:val="fr-FR"/>
        </w:rPr>
        <w:t xml:space="preserve"> </w:t>
      </w:r>
      <w:r w:rsidRPr="00F8252B">
        <w:rPr>
          <w:lang w:val="fr-FR"/>
        </w:rPr>
        <w:br/>
      </w:r>
      <w:r w:rsidR="00C06C8C" w:rsidRPr="00F8252B">
        <w:rPr>
          <w:lang w:val="fr-FR"/>
        </w:rPr>
        <w:t>Visites</w:t>
      </w:r>
      <w:r w:rsidRPr="00F8252B">
        <w:rPr>
          <w:lang w:val="fr-FR"/>
        </w:rPr>
        <w:t xml:space="preserve"> </w:t>
      </w:r>
      <w:r w:rsidR="00F67BF3" w:rsidRPr="00F8252B">
        <w:rPr>
          <w:lang w:val="fr-FR"/>
        </w:rPr>
        <w:t>sur le Centre d’échange sur la prévention des risques biotechnologiques</w:t>
      </w:r>
    </w:p>
    <w:p w14:paraId="6E725E45" w14:textId="37E3BD31" w:rsidR="00507BC4" w:rsidRPr="00F8252B" w:rsidRDefault="00381673" w:rsidP="00FA2932">
      <w:pPr>
        <w:ind w:left="567"/>
        <w:jc w:val="left"/>
        <w:rPr>
          <w:lang w:val="fr-FR"/>
        </w:rPr>
      </w:pPr>
      <w:r w:rsidRPr="00F8252B">
        <w:rPr>
          <w:noProof/>
          <w:highlight w:val="yellow"/>
          <w:lang w:val="fr-FR"/>
        </w:rPr>
        <w:drawing>
          <wp:inline distT="0" distB="0" distL="0" distR="0" wp14:anchorId="271AFD3F" wp14:editId="36DDCD01">
            <wp:extent cx="5615940" cy="3600685"/>
            <wp:effectExtent l="0" t="0" r="3810" b="0"/>
            <wp:docPr id="190656410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664253" cy="3631661"/>
                    </a:xfrm>
                    <a:prstGeom prst="rect">
                      <a:avLst/>
                    </a:prstGeom>
                    <a:noFill/>
                    <a:ln>
                      <a:noFill/>
                    </a:ln>
                  </pic:spPr>
                </pic:pic>
              </a:graphicData>
            </a:graphic>
          </wp:inline>
        </w:drawing>
      </w:r>
    </w:p>
    <w:p w14:paraId="6D1F8345" w14:textId="7ED5E8EA" w:rsidR="00FC0D8F" w:rsidRPr="00F8252B" w:rsidRDefault="0063088C" w:rsidP="00FA2932">
      <w:pPr>
        <w:pStyle w:val="CBDNormalNumber"/>
        <w:rPr>
          <w:lang w:val="fr-FR"/>
        </w:rPr>
      </w:pPr>
      <w:r>
        <w:rPr>
          <w:snapToGrid w:val="0"/>
          <w:kern w:val="22"/>
          <w:lang w:val="fr-FR"/>
        </w:rPr>
        <w:t>Pour</w:t>
      </w:r>
      <w:r w:rsidR="00871D4A" w:rsidRPr="00F8252B">
        <w:rPr>
          <w:snapToGrid w:val="0"/>
          <w:kern w:val="22"/>
          <w:lang w:val="fr-FR"/>
        </w:rPr>
        <w:t xml:space="preserve"> l'indicateur A.2</w:t>
      </w:r>
      <w:r w:rsidR="003F74C6" w:rsidRPr="00F8252B">
        <w:rPr>
          <w:snapToGrid w:val="0"/>
          <w:kern w:val="22"/>
          <w:lang w:val="fr-FR"/>
        </w:rPr>
        <w:t> </w:t>
      </w:r>
      <w:r w:rsidR="00871D4A" w:rsidRPr="00F8252B">
        <w:rPr>
          <w:snapToGrid w:val="0"/>
          <w:kern w:val="22"/>
          <w:lang w:val="fr-FR"/>
        </w:rPr>
        <w:t xml:space="preserve">d) (pourcentage de décisions relatives au Centre d'échange pour la prévention des risques biotechnologiques accompagnées de rapports d'évaluation des risques), les données issues du Centre d'échange ont été utilisées pour mesurer les progrès accomplis. Le rapport entre le nombre de rapports d'évaluation des risques et le nombre de décisions concernant les </w:t>
      </w:r>
      <w:r w:rsidR="00871D4A" w:rsidRPr="00F8252B">
        <w:rPr>
          <w:snapToGrid w:val="0"/>
          <w:kern w:val="22"/>
          <w:lang w:val="fr-FR"/>
        </w:rPr>
        <w:lastRenderedPageBreak/>
        <w:t>organismes vivants modifiés</w:t>
      </w:r>
      <w:r w:rsidR="004347AB" w:rsidRPr="00F8252B">
        <w:rPr>
          <w:rStyle w:val="Appelnotedebasdep"/>
          <w:snapToGrid w:val="0"/>
          <w:kern w:val="22"/>
          <w:lang w:val="fr-FR"/>
        </w:rPr>
        <w:footnoteReference w:id="17"/>
      </w:r>
      <w:r w:rsidR="00957D77" w:rsidRPr="00F8252B">
        <w:rPr>
          <w:snapToGrid w:val="0"/>
          <w:kern w:val="22"/>
          <w:lang w:val="fr-FR"/>
        </w:rPr>
        <w:t xml:space="preserve"> </w:t>
      </w:r>
      <w:r w:rsidR="003F74C6" w:rsidRPr="00F8252B">
        <w:rPr>
          <w:snapToGrid w:val="0"/>
          <w:kern w:val="22"/>
          <w:lang w:val="fr-FR"/>
        </w:rPr>
        <w:t>sur le Centre d'échange a augmenté, de 92</w:t>
      </w:r>
      <w:r w:rsidR="00667501">
        <w:rPr>
          <w:snapToGrid w:val="0"/>
          <w:kern w:val="22"/>
          <w:lang w:val="fr-FR"/>
        </w:rPr>
        <w:t> %</w:t>
      </w:r>
      <w:r w:rsidR="003F74C6" w:rsidRPr="00F8252B">
        <w:rPr>
          <w:snapToGrid w:val="0"/>
          <w:kern w:val="22"/>
          <w:lang w:val="fr-FR"/>
        </w:rPr>
        <w:t xml:space="preserve"> (1</w:t>
      </w:r>
      <w:r w:rsidR="00303737" w:rsidRPr="00F8252B">
        <w:rPr>
          <w:snapToGrid w:val="0"/>
          <w:kern w:val="22"/>
          <w:lang w:val="fr-FR"/>
        </w:rPr>
        <w:t> </w:t>
      </w:r>
      <w:r w:rsidR="003F74C6" w:rsidRPr="00F8252B">
        <w:rPr>
          <w:snapToGrid w:val="0"/>
          <w:kern w:val="22"/>
          <w:lang w:val="fr-FR"/>
        </w:rPr>
        <w:t>198 évaluations des risques pour 1</w:t>
      </w:r>
      <w:r w:rsidR="00303737" w:rsidRPr="00F8252B">
        <w:rPr>
          <w:snapToGrid w:val="0"/>
          <w:kern w:val="22"/>
          <w:lang w:val="fr-FR"/>
        </w:rPr>
        <w:t> </w:t>
      </w:r>
      <w:r w:rsidR="003F74C6" w:rsidRPr="00F8252B">
        <w:rPr>
          <w:snapToGrid w:val="0"/>
          <w:kern w:val="22"/>
          <w:lang w:val="fr-FR"/>
        </w:rPr>
        <w:t>299 décisions) en janvier 2020 à 99</w:t>
      </w:r>
      <w:r w:rsidR="00667501">
        <w:rPr>
          <w:snapToGrid w:val="0"/>
          <w:kern w:val="22"/>
          <w:lang w:val="fr-FR"/>
        </w:rPr>
        <w:t> %</w:t>
      </w:r>
      <w:r w:rsidR="003F74C6" w:rsidRPr="00F8252B">
        <w:rPr>
          <w:snapToGrid w:val="0"/>
          <w:kern w:val="22"/>
          <w:lang w:val="fr-FR"/>
        </w:rPr>
        <w:t xml:space="preserve"> (1</w:t>
      </w:r>
      <w:r w:rsidR="00303737" w:rsidRPr="00F8252B">
        <w:rPr>
          <w:snapToGrid w:val="0"/>
          <w:kern w:val="22"/>
          <w:lang w:val="fr-FR"/>
        </w:rPr>
        <w:t> </w:t>
      </w:r>
      <w:r w:rsidR="003F74C6" w:rsidRPr="00F8252B">
        <w:rPr>
          <w:snapToGrid w:val="0"/>
          <w:kern w:val="22"/>
          <w:lang w:val="fr-FR"/>
        </w:rPr>
        <w:t>402 évaluations des risques pour 1</w:t>
      </w:r>
      <w:r w:rsidR="00303737" w:rsidRPr="00F8252B">
        <w:rPr>
          <w:snapToGrid w:val="0"/>
          <w:kern w:val="22"/>
          <w:lang w:val="fr-FR"/>
        </w:rPr>
        <w:t> </w:t>
      </w:r>
      <w:r w:rsidR="003F74C6" w:rsidRPr="00F8252B">
        <w:rPr>
          <w:snapToGrid w:val="0"/>
          <w:kern w:val="22"/>
          <w:lang w:val="fr-FR"/>
        </w:rPr>
        <w:t>414 décisions) au 28</w:t>
      </w:r>
      <w:r w:rsidR="00303737" w:rsidRPr="00F8252B">
        <w:rPr>
          <w:snapToGrid w:val="0"/>
          <w:kern w:val="22"/>
          <w:lang w:val="fr-FR"/>
        </w:rPr>
        <w:t> </w:t>
      </w:r>
      <w:r w:rsidR="003F74C6" w:rsidRPr="00F8252B">
        <w:rPr>
          <w:snapToGrid w:val="0"/>
          <w:kern w:val="22"/>
          <w:lang w:val="fr-FR"/>
        </w:rPr>
        <w:t>février 2026, soit une augmentation de 7</w:t>
      </w:r>
      <w:r w:rsidR="00667501">
        <w:rPr>
          <w:snapToGrid w:val="0"/>
          <w:kern w:val="22"/>
          <w:lang w:val="fr-FR"/>
        </w:rPr>
        <w:t> %</w:t>
      </w:r>
      <w:r w:rsidR="00957D77" w:rsidRPr="00F8252B">
        <w:rPr>
          <w:snapToGrid w:val="0"/>
          <w:kern w:val="22"/>
          <w:lang w:val="fr-FR"/>
        </w:rPr>
        <w:t xml:space="preserve">. </w:t>
      </w:r>
    </w:p>
    <w:p w14:paraId="3CF22024" w14:textId="5BE3F668" w:rsidR="00586919" w:rsidRPr="00F8252B" w:rsidRDefault="004A7362" w:rsidP="00FA2932">
      <w:pPr>
        <w:pStyle w:val="CBDNormalNumber"/>
        <w:rPr>
          <w:lang w:val="fr-FR"/>
        </w:rPr>
      </w:pPr>
      <w:r>
        <w:rPr>
          <w:lang w:val="fr-FR"/>
        </w:rPr>
        <w:t xml:space="preserve">Pour le </w:t>
      </w:r>
      <w:r w:rsidR="00C97745" w:rsidRPr="00F8252B">
        <w:rPr>
          <w:lang w:val="fr-FR"/>
        </w:rPr>
        <w:t>but A.2, dans le cadre du plan d'action pour le renforcement des capacités, deux domaines clés ont été identifiés</w:t>
      </w:r>
      <w:r w:rsidR="00CA1B90">
        <w:rPr>
          <w:lang w:val="fr-FR"/>
        </w:rPr>
        <w:t> :</w:t>
      </w:r>
      <w:r w:rsidR="00C97745" w:rsidRPr="00F8252B">
        <w:rPr>
          <w:lang w:val="fr-FR"/>
        </w:rPr>
        <w:t xml:space="preserve"> la publication d'informations sur le Centre d'échange d'informations, ainsi que l'accès à ces informations et leur utilisation</w:t>
      </w:r>
      <w:r w:rsidR="4BA6DE94" w:rsidRPr="00F8252B">
        <w:rPr>
          <w:lang w:val="fr-FR"/>
        </w:rPr>
        <w:t>.</w:t>
      </w:r>
    </w:p>
    <w:p w14:paraId="548F6E03" w14:textId="11F5047F" w:rsidR="00476DD1" w:rsidRPr="00F8252B" w:rsidRDefault="002135C5" w:rsidP="00FA2932">
      <w:pPr>
        <w:pStyle w:val="CBDNormalNumber"/>
        <w:rPr>
          <w:lang w:val="fr-FR"/>
        </w:rPr>
      </w:pPr>
      <w:r w:rsidRPr="00F8252B">
        <w:rPr>
          <w:lang w:val="fr-FR"/>
        </w:rPr>
        <w:t>Sur les 98 Parties ayant indiqué avoir mené des activités visant à développer et/ou à renforcer les ressources humaines et les capacités institutionnelles en matière de prévention des risques biotechnologiques, 55</w:t>
      </w:r>
      <w:r w:rsidR="00667501">
        <w:rPr>
          <w:lang w:val="fr-FR"/>
        </w:rPr>
        <w:t> %</w:t>
      </w:r>
      <w:r w:rsidRPr="00F8252B">
        <w:rPr>
          <w:lang w:val="fr-FR"/>
        </w:rPr>
        <w:t xml:space="preserve"> ont précisé que ces activités concernaient l’échange d’informations et la gestion des données, y compris la participation au Centre d’échange, ce qui représente une baisse de 1</w:t>
      </w:r>
      <w:r w:rsidR="00667501">
        <w:rPr>
          <w:lang w:val="fr-FR"/>
        </w:rPr>
        <w:t> %</w:t>
      </w:r>
      <w:r w:rsidRPr="00F8252B">
        <w:rPr>
          <w:lang w:val="fr-FR"/>
        </w:rPr>
        <w:t>. Sur les 100 Parties ayant indiqué qu’elles avaient encore des besoins en matière de renforcement des capacités, 72</w:t>
      </w:r>
      <w:r w:rsidR="00667501">
        <w:rPr>
          <w:lang w:val="fr-FR"/>
        </w:rPr>
        <w:t> %</w:t>
      </w:r>
      <w:r w:rsidRPr="00F8252B">
        <w:rPr>
          <w:lang w:val="fr-FR"/>
        </w:rPr>
        <w:t xml:space="preserve"> ont signalé que ces besoins concernaient le domaine de l’échange d’informations et de la gestion des données, y compris la participation au Centre d’échange, ce qui ne représente aucun changement par rapport à la situation de référence.</w:t>
      </w:r>
    </w:p>
    <w:p w14:paraId="781866C3" w14:textId="2D6CD1D1" w:rsidR="001A058D" w:rsidRPr="00F8252B" w:rsidRDefault="004A7F64" w:rsidP="00FA2932">
      <w:pPr>
        <w:pStyle w:val="CBDNormalNumber"/>
        <w:rPr>
          <w:lang w:val="fr-FR"/>
        </w:rPr>
      </w:pPr>
      <w:r w:rsidRPr="00F8252B">
        <w:rPr>
          <w:lang w:val="fr-FR"/>
        </w:rPr>
        <w:t>La nouvelle plateforme du Centre d'échange pour la prévention des risques biotechnologiques a été lancée en novembre 2021. Dans le cadre de ce lancement, de nombreux documents d'aide ont été élaborés afin d'aider les utilisateurs à naviguer sur le nouveau site. Ces documents d'aide comprenaient des articles disponibles dans les six langues officielles des Nations Unies ainsi que 44</w:t>
      </w:r>
      <w:r w:rsidR="00D01DE5" w:rsidRPr="00F8252B">
        <w:rPr>
          <w:lang w:val="fr-FR"/>
        </w:rPr>
        <w:t> </w:t>
      </w:r>
      <w:r w:rsidRPr="00F8252B">
        <w:rPr>
          <w:lang w:val="fr-FR"/>
        </w:rPr>
        <w:t>tutoriels vidéo (voir la base de connaissances du Centre d'échange pour la prévention des risques biotechnologiques à l'adresse</w:t>
      </w:r>
      <w:r w:rsidR="00CA1B90">
        <w:rPr>
          <w:lang w:val="fr-FR"/>
        </w:rPr>
        <w:t> :</w:t>
      </w:r>
      <w:r w:rsidR="001A058D" w:rsidRPr="00F8252B">
        <w:rPr>
          <w:lang w:val="fr-FR"/>
        </w:rPr>
        <w:t xml:space="preserve"> </w:t>
      </w:r>
      <w:hyperlink r:id="rId22" w:history="1">
        <w:r w:rsidR="00E8297A">
          <w:rPr>
            <w:rStyle w:val="Lienhypertexte"/>
            <w:lang w:val="fr-FR"/>
          </w:rPr>
          <w:t>https://bch.cbd.int/fr/kb</w:t>
        </w:r>
      </w:hyperlink>
      <w:r w:rsidR="001A058D" w:rsidRPr="00F8252B">
        <w:rPr>
          <w:lang w:val="fr-FR"/>
        </w:rPr>
        <w:t xml:space="preserve">). </w:t>
      </w:r>
      <w:r w:rsidR="00262059" w:rsidRPr="00F8252B">
        <w:rPr>
          <w:lang w:val="fr-FR"/>
        </w:rPr>
        <w:t>Depuis le lancement de la nouvelle plateforme, plusieurs ateliers en présentiel comprenant des sessions de formation consacrées au Centre d'échange ont été organisés afin de fournir des instructions et de l'appui pour l'utilisation de ce dernier. Dans le cadre du projet du PNUE et du Fonds pour l’environnement mondial (FEM) sur le renforcement durable des capacités en vue d’une participation efficace au Centre d’échange pour la prévention des risques biotechnologiques, mis en œuvre entre 2016 et 2025, une série d’ateliers de formation nationaux, régionaux et mondiaux a été organisée pour fournir un appui aux Parties éligibles dans l’utilisation efficace du Centre d’échange</w:t>
      </w:r>
      <w:r w:rsidR="002434BB" w:rsidRPr="00F8252B">
        <w:rPr>
          <w:rStyle w:val="Appelnotedebasdep"/>
          <w:snapToGrid w:val="0"/>
          <w:kern w:val="22"/>
          <w:lang w:val="fr-FR"/>
        </w:rPr>
        <w:footnoteReference w:id="18"/>
      </w:r>
      <w:r w:rsidR="00262059" w:rsidRPr="00F8252B">
        <w:rPr>
          <w:lang w:val="fr-FR"/>
        </w:rPr>
        <w:t>.</w:t>
      </w:r>
      <w:r w:rsidR="002434BB" w:rsidRPr="00F8252B">
        <w:rPr>
          <w:lang w:val="fr-FR"/>
        </w:rPr>
        <w:t xml:space="preserve"> </w:t>
      </w:r>
      <w:r w:rsidR="00055B93" w:rsidRPr="00F8252B">
        <w:rPr>
          <w:lang w:val="fr-FR"/>
        </w:rPr>
        <w:t>De plus, des sessions de formation consacrées au Centre d'échange d'informations ont été intégrées à des ateliers sur des questions connexes, notamment l'évaluation des risques et les douanes, ainsi qu'à des ateliers régionaux sur l'établissement de rapports nationaux, en amont de la date limite de soumission du cinquième rapport national. Des ateliers de formation spécifiquement consacrés au Centre d'échange ont été organisés en marge de la dixième réunion de la Conférence des Parties siégeant en tant que réunion des Parties au Protocole en décembre 2022 et en marge de la onzième réunion de la Conférence des Parties siégeant en tant que réunion des Parties au Protocole en octobre 2024. Le Secrétariat a organisé une série de webinaires sur diverses caractéristiques et fonctions du Centre d’échange en 2023 et 2024, couvrant des sujets tels que la manière d’effectuer des recherches dans le Centre d’échange et de publier des informations, y compris des informations scientifiques, sur le Centre d’échange, ainsi qu’un webinaire spécifique à la recherche de documents d’aide sur la plateforme.</w:t>
      </w:r>
    </w:p>
    <w:p w14:paraId="231567FE" w14:textId="246B2F97" w:rsidR="001A058D" w:rsidRPr="00F8252B" w:rsidRDefault="009649F2" w:rsidP="00FA2932">
      <w:pPr>
        <w:pStyle w:val="CBDNormalNumber"/>
        <w:rPr>
          <w:lang w:val="fr-FR"/>
        </w:rPr>
      </w:pPr>
      <w:r w:rsidRPr="00F8252B">
        <w:rPr>
          <w:lang w:val="fr-FR"/>
        </w:rPr>
        <w:t>Les ressources d'aide disponibles sur le Centre d'échange sont régulièrement consultées. En date du 2 mars 2026, les 44 tutoriels vidéo avaient enregistré un total de 2 055 visionnages engagés. Au cours de la période allant du 1</w:t>
      </w:r>
      <w:r w:rsidRPr="00F8252B">
        <w:rPr>
          <w:vertAlign w:val="superscript"/>
          <w:lang w:val="fr-FR"/>
        </w:rPr>
        <w:t>er</w:t>
      </w:r>
      <w:r w:rsidR="00B774CD" w:rsidRPr="00F8252B">
        <w:rPr>
          <w:lang w:val="fr-FR"/>
        </w:rPr>
        <w:t> </w:t>
      </w:r>
      <w:r w:rsidRPr="00F8252B">
        <w:rPr>
          <w:lang w:val="fr-FR"/>
        </w:rPr>
        <w:t xml:space="preserve">mars 2025 au 28 février 2026, la base de connaissances a </w:t>
      </w:r>
      <w:r w:rsidRPr="00F8252B">
        <w:rPr>
          <w:lang w:val="fr-FR"/>
        </w:rPr>
        <w:lastRenderedPageBreak/>
        <w:t>enregistré 47</w:t>
      </w:r>
      <w:r w:rsidR="0062136A" w:rsidRPr="00F8252B">
        <w:rPr>
          <w:lang w:val="fr-FR"/>
        </w:rPr>
        <w:t> </w:t>
      </w:r>
      <w:r w:rsidRPr="00F8252B">
        <w:rPr>
          <w:lang w:val="fr-FR"/>
        </w:rPr>
        <w:t>719 consultations par 20</w:t>
      </w:r>
      <w:r w:rsidR="0062136A" w:rsidRPr="00F8252B">
        <w:rPr>
          <w:lang w:val="fr-FR"/>
        </w:rPr>
        <w:t> </w:t>
      </w:r>
      <w:r w:rsidRPr="00F8252B">
        <w:rPr>
          <w:lang w:val="fr-FR"/>
        </w:rPr>
        <w:t>508 utilisateurs actifs (soit 13</w:t>
      </w:r>
      <w:r w:rsidR="00667501">
        <w:rPr>
          <w:lang w:val="fr-FR"/>
        </w:rPr>
        <w:t> %</w:t>
      </w:r>
      <w:r w:rsidRPr="00F8252B">
        <w:rPr>
          <w:lang w:val="fr-FR"/>
        </w:rPr>
        <w:t xml:space="preserve"> des utilisateurs actifs du Centre d'échange pour la prévention des risques biotechnologiques</w:t>
      </w:r>
      <w:r w:rsidR="0011511D" w:rsidRPr="00F8252B">
        <w:rPr>
          <w:lang w:val="fr-FR"/>
        </w:rPr>
        <w:t>)</w:t>
      </w:r>
      <w:r w:rsidR="007957CA" w:rsidRPr="00F8252B">
        <w:rPr>
          <w:rStyle w:val="Appelnotedebasdep"/>
          <w:snapToGrid w:val="0"/>
          <w:kern w:val="22"/>
          <w:lang w:val="fr-FR"/>
        </w:rPr>
        <w:footnoteReference w:id="19"/>
      </w:r>
      <w:r w:rsidRPr="00F8252B">
        <w:rPr>
          <w:lang w:val="fr-FR"/>
        </w:rPr>
        <w:t>.</w:t>
      </w:r>
      <w:r w:rsidR="001A058D" w:rsidRPr="00F8252B">
        <w:rPr>
          <w:lang w:val="fr-FR"/>
        </w:rPr>
        <w:t xml:space="preserve"> </w:t>
      </w:r>
    </w:p>
    <w:p w14:paraId="47B4C0FF" w14:textId="77EA8DA8" w:rsidR="009E6F8E" w:rsidRPr="00F8252B" w:rsidRDefault="009D4198" w:rsidP="00FA2932">
      <w:pPr>
        <w:pStyle w:val="CBDNormalNumber"/>
        <w:rPr>
          <w:lang w:val="fr-FR"/>
        </w:rPr>
      </w:pPr>
      <w:r w:rsidRPr="00F8252B">
        <w:rPr>
          <w:lang w:val="fr-FR"/>
        </w:rPr>
        <w:t>Quatre-vingt-neuf Parties ont fourni une réponse sous forme de texte libre à la question 108, laquelle les invitait à donner des précisions sur la mise en œuvre de l’article 20 dans leur pays. La mise en œuvre du Centre d’échange d’informations présentait de grandes disparités</w:t>
      </w:r>
      <w:r w:rsidR="00CA1B90">
        <w:rPr>
          <w:lang w:val="fr-FR"/>
        </w:rPr>
        <w:t> :</w:t>
      </w:r>
      <w:r w:rsidRPr="00F8252B">
        <w:rPr>
          <w:lang w:val="fr-FR"/>
        </w:rPr>
        <w:t xml:space="preserve"> certaines Parties ont indiqué disposer de systèmes solides et bien coordonnés, tandis que d’autres ont fait état de difficultés en entravant la mise en œuvre effective à cet égard. Les Parties disposant de systèmes plus solides ont souvent fait référence à la publication régulière d’informations obligatoires et non obligatoires par le biais du Centre d’échange d’informations, soutenue par des cadres nationaux bien établis et une coordination interinstitutionnelle efficace. Les Parties confrontées à des contraintes ont couramment cité des difficultés liées aux capacités, notamment des ressources humaines et techniques limitées, ainsi que des difficultés liées à la coordination interinstitutionnelle. Plusieurs Parties confrontées à des contraintes ont souligné la nécessité de sessions de formation continues et d’activités de développement des capacités afin de consolider leur mise en œuvre de l’article 20.</w:t>
      </w:r>
    </w:p>
    <w:p w14:paraId="1F4FFD08" w14:textId="4CDB9DE6" w:rsidR="00024383" w:rsidRPr="00F8252B" w:rsidRDefault="00024383" w:rsidP="00FA2932">
      <w:pPr>
        <w:pStyle w:val="CBDH2"/>
        <w:jc w:val="left"/>
        <w:rPr>
          <w:snapToGrid w:val="0"/>
          <w:lang w:val="fr-FR"/>
        </w:rPr>
      </w:pPr>
      <w:r w:rsidRPr="00F8252B">
        <w:rPr>
          <w:snapToGrid w:val="0"/>
          <w:lang w:val="fr-FR"/>
        </w:rPr>
        <w:t>C.</w:t>
      </w:r>
      <w:r w:rsidRPr="00F8252B">
        <w:rPr>
          <w:snapToGrid w:val="0"/>
          <w:lang w:val="fr-FR"/>
        </w:rPr>
        <w:tab/>
      </w:r>
      <w:r w:rsidR="004E5BFB" w:rsidRPr="00F8252B">
        <w:rPr>
          <w:snapToGrid w:val="0"/>
          <w:lang w:val="fr-FR"/>
        </w:rPr>
        <w:t>But</w:t>
      </w:r>
      <w:r w:rsidRPr="00F8252B">
        <w:rPr>
          <w:snapToGrid w:val="0"/>
          <w:lang w:val="fr-FR"/>
        </w:rPr>
        <w:t xml:space="preserve"> A.3. </w:t>
      </w:r>
      <w:r w:rsidR="00DC3466" w:rsidRPr="00F8252B">
        <w:rPr>
          <w:snapToGrid w:val="0"/>
          <w:lang w:val="fr-FR"/>
        </w:rPr>
        <w:t>Des informations complètes sur la mise en œuvre du Protocole sont mises à disposition par</w:t>
      </w:r>
      <w:r w:rsidR="00544085" w:rsidRPr="00F8252B">
        <w:rPr>
          <w:snapToGrid w:val="0"/>
          <w:lang w:val="fr-FR"/>
        </w:rPr>
        <w:t xml:space="preserve"> </w:t>
      </w:r>
      <w:r w:rsidR="004669AF" w:rsidRPr="00F8252B">
        <w:rPr>
          <w:snapToGrid w:val="0"/>
          <w:lang w:val="fr-FR"/>
        </w:rPr>
        <w:t>les Parties en temps opportun</w:t>
      </w:r>
    </w:p>
    <w:p w14:paraId="1ED8B590" w14:textId="02F13FAB" w:rsidR="00785E34" w:rsidRPr="00F8252B" w:rsidRDefault="00785E34" w:rsidP="00FA2932">
      <w:pPr>
        <w:pStyle w:val="CBDH4"/>
        <w:rPr>
          <w:bCs/>
          <w:snapToGrid w:val="0"/>
          <w:lang w:val="fr-FR"/>
        </w:rPr>
      </w:pPr>
      <w:r w:rsidRPr="00F8252B">
        <w:rPr>
          <w:bCs/>
          <w:snapToGrid w:val="0"/>
          <w:lang w:val="fr-FR"/>
        </w:rPr>
        <w:t>a)</w:t>
      </w:r>
      <w:r w:rsidRPr="00F8252B">
        <w:rPr>
          <w:bCs/>
          <w:snapToGrid w:val="0"/>
          <w:lang w:val="fr-FR"/>
        </w:rPr>
        <w:tab/>
      </w:r>
      <w:r w:rsidR="005C5FA8" w:rsidRPr="00F8252B">
        <w:rPr>
          <w:snapToGrid w:val="0"/>
          <w:lang w:val="fr-FR"/>
        </w:rPr>
        <w:t xml:space="preserve">Chiffres clés et </w:t>
      </w:r>
      <w:r w:rsidR="0035077E" w:rsidRPr="00F8252B">
        <w:rPr>
          <w:snapToGrid w:val="0"/>
          <w:lang w:val="fr-FR"/>
        </w:rPr>
        <w:t>éléments importants</w:t>
      </w:r>
      <w:r w:rsidR="00AB2BDC" w:rsidRPr="00F8252B">
        <w:rPr>
          <w:snapToGrid w:val="0"/>
          <w:lang w:val="fr-FR"/>
        </w:rPr>
        <w:t xml:space="preserve">  </w:t>
      </w:r>
    </w:p>
    <w:p w14:paraId="2593A6AD" w14:textId="156B7E2A" w:rsidR="00785E34" w:rsidRPr="00F8252B" w:rsidRDefault="00570E2E" w:rsidP="003B1F18">
      <w:pPr>
        <w:pStyle w:val="Paragraphedeliste"/>
        <w:numPr>
          <w:ilvl w:val="0"/>
          <w:numId w:val="11"/>
        </w:numPr>
        <w:ind w:left="993" w:hanging="426"/>
        <w:rPr>
          <w:snapToGrid w:val="0"/>
          <w:kern w:val="22"/>
          <w:lang w:val="fr-FR"/>
        </w:rPr>
      </w:pPr>
      <w:r w:rsidRPr="00F8252B">
        <w:rPr>
          <w:snapToGrid w:val="0"/>
          <w:kern w:val="22"/>
          <w:lang w:val="fr-FR"/>
        </w:rPr>
        <w:t>Soixante-neuf pour cent des Parties (119</w:t>
      </w:r>
      <w:r w:rsidR="003B1F18" w:rsidRPr="00F8252B">
        <w:rPr>
          <w:snapToGrid w:val="0"/>
          <w:kern w:val="22"/>
          <w:lang w:val="fr-FR"/>
        </w:rPr>
        <w:t> </w:t>
      </w:r>
      <w:r w:rsidRPr="00F8252B">
        <w:rPr>
          <w:snapToGrid w:val="0"/>
          <w:kern w:val="22"/>
          <w:lang w:val="fr-FR"/>
        </w:rPr>
        <w:t>Parties) ont présenté leur cinquième rapport national avant la date limite, contre 23</w:t>
      </w:r>
      <w:r w:rsidR="00667501">
        <w:rPr>
          <w:snapToGrid w:val="0"/>
          <w:kern w:val="22"/>
          <w:lang w:val="fr-FR"/>
        </w:rPr>
        <w:t> %</w:t>
      </w:r>
      <w:r w:rsidRPr="00F8252B">
        <w:rPr>
          <w:snapToGrid w:val="0"/>
          <w:kern w:val="22"/>
          <w:lang w:val="fr-FR"/>
        </w:rPr>
        <w:t xml:space="preserve"> des Parties (39</w:t>
      </w:r>
      <w:r w:rsidR="003B1F18" w:rsidRPr="00F8252B">
        <w:rPr>
          <w:snapToGrid w:val="0"/>
          <w:kern w:val="22"/>
          <w:lang w:val="fr-FR"/>
        </w:rPr>
        <w:t> </w:t>
      </w:r>
      <w:r w:rsidRPr="00F8252B">
        <w:rPr>
          <w:snapToGrid w:val="0"/>
          <w:kern w:val="22"/>
          <w:lang w:val="fr-FR"/>
        </w:rPr>
        <w:t>Parties) qui avaient présenté leur quatrième rapport national à la date prévue, ce qui représente une augmentation du taux de soumission de 46</w:t>
      </w:r>
      <w:r w:rsidR="00667501">
        <w:rPr>
          <w:snapToGrid w:val="0"/>
          <w:kern w:val="22"/>
          <w:lang w:val="fr-FR"/>
        </w:rPr>
        <w:t> %</w:t>
      </w:r>
      <w:r w:rsidR="003B1F18" w:rsidRPr="00F8252B">
        <w:rPr>
          <w:snapToGrid w:val="0"/>
          <w:kern w:val="22"/>
          <w:lang w:val="fr-FR"/>
        </w:rPr>
        <w:t>.</w:t>
      </w:r>
    </w:p>
    <w:p w14:paraId="6F309E46" w14:textId="30B4D79B" w:rsidR="00FA33AC" w:rsidRPr="00F8252B" w:rsidRDefault="006051D0" w:rsidP="00FA2932">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fr-FR"/>
        </w:rPr>
      </w:pPr>
      <w:r w:rsidRPr="00F8252B">
        <w:rPr>
          <w:snapToGrid w:val="0"/>
          <w:kern w:val="22"/>
          <w:lang w:val="fr-FR"/>
        </w:rPr>
        <w:t>À la mi-février 2026, 71 parties éligibles avaient reçu le premier décaissement de fonds destiné à la préparation de leur cinquième rapport national. À titre de comparaison, aucune des parties éligibles n'avait reçu de fonds pour la préparation de son quatrième rapport national à la date limite de soumission d'octobre 2019</w:t>
      </w:r>
      <w:r w:rsidR="00BA7DDF" w:rsidRPr="00F8252B">
        <w:rPr>
          <w:snapToGrid w:val="0"/>
          <w:kern w:val="22"/>
          <w:lang w:val="fr-FR"/>
        </w:rPr>
        <w:t>.</w:t>
      </w:r>
    </w:p>
    <w:p w14:paraId="00234078" w14:textId="0EFBC14B" w:rsidR="00785E34" w:rsidRPr="00F8252B" w:rsidRDefault="00785E34" w:rsidP="00FA2932">
      <w:pPr>
        <w:pStyle w:val="CBDH4"/>
        <w:rPr>
          <w:snapToGrid w:val="0"/>
          <w:lang w:val="fr-FR"/>
        </w:rPr>
      </w:pPr>
      <w:r w:rsidRPr="00F8252B">
        <w:rPr>
          <w:snapToGrid w:val="0"/>
          <w:lang w:val="fr-FR"/>
        </w:rPr>
        <w:t>b)</w:t>
      </w:r>
      <w:r w:rsidRPr="00F8252B">
        <w:rPr>
          <w:snapToGrid w:val="0"/>
          <w:lang w:val="fr-FR"/>
        </w:rPr>
        <w:tab/>
        <w:t>Analys</w:t>
      </w:r>
      <w:r w:rsidR="00F04C5B" w:rsidRPr="00F8252B">
        <w:rPr>
          <w:snapToGrid w:val="0"/>
          <w:lang w:val="fr-FR"/>
        </w:rPr>
        <w:t xml:space="preserve">e des </w:t>
      </w:r>
      <w:r w:rsidRPr="00F8252B">
        <w:rPr>
          <w:snapToGrid w:val="0"/>
          <w:lang w:val="fr-FR"/>
        </w:rPr>
        <w:t>information</w:t>
      </w:r>
      <w:r w:rsidR="00F04C5B" w:rsidRPr="00F8252B">
        <w:rPr>
          <w:snapToGrid w:val="0"/>
          <w:lang w:val="fr-FR"/>
        </w:rPr>
        <w:t>s</w:t>
      </w:r>
    </w:p>
    <w:p w14:paraId="0C4F4101" w14:textId="18ADEACD" w:rsidR="00B47B20" w:rsidRPr="00F8252B" w:rsidRDefault="00BA7DDF" w:rsidP="00B47B20">
      <w:pPr>
        <w:pStyle w:val="CBDNormalNumber"/>
        <w:rPr>
          <w:bCs/>
          <w:iCs/>
          <w:snapToGrid w:val="0"/>
          <w:kern w:val="22"/>
          <w:lang w:val="fr-FR"/>
        </w:rPr>
      </w:pPr>
      <w:r w:rsidRPr="00F8252B">
        <w:rPr>
          <w:bCs/>
          <w:iCs/>
          <w:snapToGrid w:val="0"/>
          <w:kern w:val="22"/>
          <w:lang w:val="fr-FR"/>
        </w:rPr>
        <w:t>Le but </w:t>
      </w:r>
      <w:r w:rsidR="008A6697" w:rsidRPr="00F8252B">
        <w:rPr>
          <w:bCs/>
          <w:iCs/>
          <w:snapToGrid w:val="0"/>
          <w:kern w:val="22"/>
          <w:lang w:val="fr-FR"/>
        </w:rPr>
        <w:t xml:space="preserve">A.3. </w:t>
      </w:r>
      <w:r w:rsidR="00B47B20" w:rsidRPr="00F8252B">
        <w:rPr>
          <w:bCs/>
          <w:iCs/>
          <w:snapToGrid w:val="0"/>
          <w:kern w:val="22"/>
          <w:lang w:val="fr-FR"/>
        </w:rPr>
        <w:t xml:space="preserve">comprend un objectif à remplir pour l'atteindre et deux indicateurs permettant de mesurer les progrès accomplis dans la réalisation de cet objectif. </w:t>
      </w:r>
      <w:r w:rsidR="0063088C">
        <w:rPr>
          <w:bCs/>
          <w:iCs/>
          <w:snapToGrid w:val="0"/>
          <w:kern w:val="22"/>
          <w:lang w:val="fr-FR"/>
        </w:rPr>
        <w:t>Pour</w:t>
      </w:r>
      <w:r w:rsidR="00B47B20" w:rsidRPr="00F8252B">
        <w:rPr>
          <w:bCs/>
          <w:iCs/>
          <w:snapToGrid w:val="0"/>
          <w:kern w:val="22"/>
          <w:lang w:val="fr-FR"/>
        </w:rPr>
        <w:t xml:space="preserve"> l’indicateur</w:t>
      </w:r>
      <w:r w:rsidR="00BA597E" w:rsidRPr="00F8252B">
        <w:rPr>
          <w:bCs/>
          <w:iCs/>
          <w:snapToGrid w:val="0"/>
          <w:kern w:val="22"/>
          <w:lang w:val="fr-FR"/>
        </w:rPr>
        <w:t> </w:t>
      </w:r>
      <w:r w:rsidR="00B47B20" w:rsidRPr="00F8252B">
        <w:rPr>
          <w:bCs/>
          <w:iCs/>
          <w:snapToGrid w:val="0"/>
          <w:kern w:val="22"/>
          <w:lang w:val="fr-FR"/>
        </w:rPr>
        <w:t>A.3</w:t>
      </w:r>
      <w:r w:rsidR="00BA597E" w:rsidRPr="00F8252B">
        <w:rPr>
          <w:bCs/>
          <w:iCs/>
          <w:snapToGrid w:val="0"/>
          <w:kern w:val="22"/>
          <w:lang w:val="fr-FR"/>
        </w:rPr>
        <w:t> </w:t>
      </w:r>
      <w:r w:rsidR="00B47B20" w:rsidRPr="00F8252B">
        <w:rPr>
          <w:bCs/>
          <w:iCs/>
          <w:snapToGrid w:val="0"/>
          <w:kern w:val="22"/>
          <w:lang w:val="fr-FR"/>
        </w:rPr>
        <w:t>a) (pourcentage des Parties ayant soumis un rapport national complet dans le délai imparti), les informations utilisées pour mesurer les progrès accomplis correspondaient au pourcentage des Parties ayant présenté un rapport national complet dans les délais fixés.</w:t>
      </w:r>
    </w:p>
    <w:p w14:paraId="771F4C4C" w14:textId="512D6024" w:rsidR="007E621E" w:rsidRPr="00F8252B" w:rsidRDefault="00AF1B75" w:rsidP="00FA2932">
      <w:pPr>
        <w:pStyle w:val="CBDNormalNumber"/>
        <w:rPr>
          <w:snapToGrid w:val="0"/>
          <w:kern w:val="22"/>
          <w:lang w:val="fr-FR"/>
        </w:rPr>
      </w:pPr>
      <w:r w:rsidRPr="00F8252B">
        <w:rPr>
          <w:snapToGrid w:val="0"/>
          <w:kern w:val="22"/>
          <w:lang w:val="fr-FR"/>
        </w:rPr>
        <w:t>La date limite de présentation du cinquième rapport national était fixée au 28</w:t>
      </w:r>
      <w:r w:rsidR="00452F48">
        <w:rPr>
          <w:snapToGrid w:val="0"/>
          <w:kern w:val="22"/>
          <w:lang w:val="fr-FR"/>
        </w:rPr>
        <w:t> </w:t>
      </w:r>
      <w:r w:rsidRPr="00F8252B">
        <w:rPr>
          <w:snapToGrid w:val="0"/>
          <w:kern w:val="22"/>
          <w:lang w:val="fr-FR"/>
        </w:rPr>
        <w:t>février 2026. À cette date, 119</w:t>
      </w:r>
      <w:r w:rsidR="0060794C" w:rsidRPr="00F8252B">
        <w:rPr>
          <w:snapToGrid w:val="0"/>
          <w:kern w:val="22"/>
          <w:lang w:val="fr-FR"/>
        </w:rPr>
        <w:t> </w:t>
      </w:r>
      <w:r w:rsidRPr="00F8252B">
        <w:rPr>
          <w:snapToGrid w:val="0"/>
          <w:kern w:val="22"/>
          <w:lang w:val="fr-FR"/>
        </w:rPr>
        <w:t>Parties sur les 173 tenues de le faire avaient présenté leur cinquième rapport national, ce qui représente un taux de soumission de 69</w:t>
      </w:r>
      <w:r w:rsidR="00667501">
        <w:rPr>
          <w:snapToGrid w:val="0"/>
          <w:kern w:val="22"/>
          <w:lang w:val="fr-FR"/>
        </w:rPr>
        <w:t> %</w:t>
      </w:r>
      <w:r w:rsidRPr="00F8252B">
        <w:rPr>
          <w:snapToGrid w:val="0"/>
          <w:kern w:val="22"/>
          <w:lang w:val="fr-FR"/>
        </w:rPr>
        <w:t>. Un État non</w:t>
      </w:r>
      <w:r w:rsidR="0060794C" w:rsidRPr="00F8252B">
        <w:rPr>
          <w:snapToGrid w:val="0"/>
          <w:kern w:val="22"/>
          <w:lang w:val="fr-FR"/>
        </w:rPr>
        <w:t>-</w:t>
      </w:r>
      <w:r w:rsidRPr="00F8252B">
        <w:rPr>
          <w:snapToGrid w:val="0"/>
          <w:kern w:val="22"/>
          <w:lang w:val="fr-FR"/>
        </w:rPr>
        <w:t>Partie avait présenté un cinquième rapport national. La date limite de présentation du quatrième rapport national était fixée au 1</w:t>
      </w:r>
      <w:r w:rsidRPr="00F8252B">
        <w:rPr>
          <w:snapToGrid w:val="0"/>
          <w:kern w:val="22"/>
          <w:vertAlign w:val="superscript"/>
          <w:lang w:val="fr-FR"/>
        </w:rPr>
        <w:t>er</w:t>
      </w:r>
      <w:r w:rsidR="00B7511F" w:rsidRPr="00F8252B">
        <w:rPr>
          <w:snapToGrid w:val="0"/>
          <w:kern w:val="22"/>
          <w:vertAlign w:val="superscript"/>
          <w:lang w:val="fr-FR"/>
        </w:rPr>
        <w:t> </w:t>
      </w:r>
      <w:r w:rsidRPr="00F8252B">
        <w:rPr>
          <w:snapToGrid w:val="0"/>
          <w:kern w:val="22"/>
          <w:lang w:val="fr-FR"/>
        </w:rPr>
        <w:t>octobre 2019</w:t>
      </w:r>
      <w:r w:rsidR="0080087B" w:rsidRPr="00F8252B">
        <w:rPr>
          <w:rStyle w:val="Appelnotedebasdep"/>
          <w:snapToGrid w:val="0"/>
          <w:kern w:val="22"/>
          <w:lang w:val="fr-FR"/>
        </w:rPr>
        <w:footnoteReference w:id="20"/>
      </w:r>
      <w:r w:rsidR="00914791" w:rsidRPr="00F8252B">
        <w:rPr>
          <w:snapToGrid w:val="0"/>
          <w:kern w:val="22"/>
          <w:lang w:val="fr-FR"/>
        </w:rPr>
        <w:t xml:space="preserve"> </w:t>
      </w:r>
      <w:r w:rsidR="0060794C" w:rsidRPr="00F8252B">
        <w:rPr>
          <w:snapToGrid w:val="0"/>
          <w:kern w:val="22"/>
          <w:lang w:val="fr-FR"/>
        </w:rPr>
        <w:t>et à cette date, 39</w:t>
      </w:r>
      <w:r w:rsidR="00B7511F" w:rsidRPr="00F8252B">
        <w:rPr>
          <w:snapToGrid w:val="0"/>
          <w:kern w:val="22"/>
          <w:lang w:val="fr-FR"/>
        </w:rPr>
        <w:t> </w:t>
      </w:r>
      <w:r w:rsidR="0060794C" w:rsidRPr="00F8252B">
        <w:rPr>
          <w:snapToGrid w:val="0"/>
          <w:kern w:val="22"/>
          <w:lang w:val="fr-FR"/>
        </w:rPr>
        <w:t>quatrièmes rapports nationaux avaient été présentés, ce qui représentait un taux de soumission de 23</w:t>
      </w:r>
      <w:r w:rsidR="00667501">
        <w:rPr>
          <w:snapToGrid w:val="0"/>
          <w:kern w:val="22"/>
          <w:lang w:val="fr-FR"/>
        </w:rPr>
        <w:t> %</w:t>
      </w:r>
      <w:r w:rsidR="00AA0020" w:rsidRPr="00F8252B">
        <w:rPr>
          <w:rStyle w:val="Appelnotedebasdep"/>
          <w:snapToGrid w:val="0"/>
          <w:kern w:val="22"/>
          <w:lang w:val="fr-FR"/>
        </w:rPr>
        <w:footnoteReference w:id="21"/>
      </w:r>
      <w:r w:rsidR="0060794C" w:rsidRPr="00F8252B">
        <w:rPr>
          <w:snapToGrid w:val="0"/>
          <w:kern w:val="22"/>
          <w:lang w:val="fr-FR"/>
        </w:rPr>
        <w:t>.</w:t>
      </w:r>
      <w:r w:rsidR="00B52856" w:rsidRPr="00F8252B">
        <w:rPr>
          <w:snapToGrid w:val="0"/>
          <w:kern w:val="22"/>
          <w:lang w:val="fr-FR"/>
        </w:rPr>
        <w:t xml:space="preserve"> </w:t>
      </w:r>
      <w:r w:rsidR="00B7511F" w:rsidRPr="00F8252B">
        <w:rPr>
          <w:snapToGrid w:val="0"/>
          <w:kern w:val="22"/>
          <w:lang w:val="fr-FR"/>
        </w:rPr>
        <w:t>Par rapport au taux de soumission enregistré au début de l'étude, le taux d'établissement de rapports pour le cinquième rapport national a augmenté de 46</w:t>
      </w:r>
      <w:r w:rsidR="00667501">
        <w:rPr>
          <w:snapToGrid w:val="0"/>
          <w:kern w:val="22"/>
          <w:lang w:val="fr-FR"/>
        </w:rPr>
        <w:t> %</w:t>
      </w:r>
      <w:r w:rsidR="00B7511F" w:rsidRPr="00F8252B">
        <w:rPr>
          <w:snapToGrid w:val="0"/>
          <w:kern w:val="22"/>
          <w:lang w:val="fr-FR"/>
        </w:rPr>
        <w:t>.</w:t>
      </w:r>
    </w:p>
    <w:p w14:paraId="5466ACB0" w14:textId="49A06402" w:rsidR="00F361B3" w:rsidRPr="00F8252B" w:rsidRDefault="0063088C" w:rsidP="00FA2932">
      <w:pPr>
        <w:pStyle w:val="CBDNormalNumber"/>
        <w:rPr>
          <w:snapToGrid w:val="0"/>
          <w:kern w:val="22"/>
          <w:lang w:val="fr-FR"/>
        </w:rPr>
      </w:pPr>
      <w:r>
        <w:rPr>
          <w:snapToGrid w:val="0"/>
          <w:kern w:val="22"/>
          <w:lang w:val="fr-FR"/>
        </w:rPr>
        <w:t>Pour</w:t>
      </w:r>
      <w:r w:rsidR="00771E5F" w:rsidRPr="00F8252B">
        <w:rPr>
          <w:snapToGrid w:val="0"/>
          <w:kern w:val="22"/>
          <w:lang w:val="fr-FR"/>
        </w:rPr>
        <w:t xml:space="preserve"> l'indicateur A.3 b) (pourcentage des Parties éligibles ayant eu accès dans les délais prescrits à un financement du Fonds pour l'environnement mondial (FEM) pour l'élaboration de leur </w:t>
      </w:r>
      <w:r w:rsidR="00771E5F" w:rsidRPr="00F8252B">
        <w:rPr>
          <w:snapToGrid w:val="0"/>
          <w:kern w:val="22"/>
          <w:lang w:val="fr-FR"/>
        </w:rPr>
        <w:lastRenderedPageBreak/>
        <w:t>rapport national), le PNUE-FEM a fourni des informations sur l'accès des Parties éligibles à un appui financier du FEM pour l'élaboration de leur rapport national.</w:t>
      </w:r>
      <w:r w:rsidR="00670EA2" w:rsidRPr="00F8252B">
        <w:rPr>
          <w:snapToGrid w:val="0"/>
          <w:kern w:val="22"/>
          <w:lang w:val="fr-FR"/>
        </w:rPr>
        <w:t xml:space="preserve"> </w:t>
      </w:r>
    </w:p>
    <w:p w14:paraId="10B6D67E" w14:textId="26AD3FEE" w:rsidR="00EB3195" w:rsidRPr="00F8252B" w:rsidRDefault="008A57FE" w:rsidP="00FA2932">
      <w:pPr>
        <w:pStyle w:val="CBDNormalNumber"/>
        <w:rPr>
          <w:snapToGrid w:val="0"/>
          <w:kern w:val="22"/>
          <w:lang w:val="fr-FR"/>
        </w:rPr>
      </w:pPr>
      <w:r w:rsidRPr="00F8252B">
        <w:rPr>
          <w:snapToGrid w:val="0"/>
          <w:kern w:val="22"/>
          <w:lang w:val="fr-FR"/>
        </w:rPr>
        <w:t>Le FEM a débloqué des fonds pour fournir un appui aux Parties dans l’élaboration de leur cinquième rapport national, ce qui a bénéficié à 105 Parties éligibles au total. Chaque Partie participant au projet devait conclure un accord de financement à petite échelle avec le PNUE, à l’issue duquel les fonds pouvaient être versés. Le premier décaissement de fonds au premier groupe de Parties a débuté à la fin du troisième trimestre 2025. En particulier</w:t>
      </w:r>
      <w:r w:rsidR="00CA1B90">
        <w:rPr>
          <w:snapToGrid w:val="0"/>
          <w:kern w:val="22"/>
          <w:lang w:val="fr-FR"/>
        </w:rPr>
        <w:t> :</w:t>
      </w:r>
    </w:p>
    <w:p w14:paraId="4ECD4914" w14:textId="2D6B33E7" w:rsidR="00541EBB" w:rsidRPr="00F8252B" w:rsidRDefault="005F420B" w:rsidP="00FA2932">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fr-FR"/>
        </w:rPr>
      </w:pPr>
      <w:r>
        <w:rPr>
          <w:snapToGrid w:val="0"/>
          <w:kern w:val="22"/>
          <w:lang w:val="fr-FR"/>
        </w:rPr>
        <w:t>En date du</w:t>
      </w:r>
      <w:r w:rsidR="0052542A" w:rsidRPr="00F8252B">
        <w:rPr>
          <w:snapToGrid w:val="0"/>
          <w:kern w:val="22"/>
          <w:lang w:val="fr-FR"/>
        </w:rPr>
        <w:t xml:space="preserve"> 10</w:t>
      </w:r>
      <w:r w:rsidR="00C072A0">
        <w:rPr>
          <w:snapToGrid w:val="0"/>
          <w:kern w:val="22"/>
          <w:lang w:val="fr-FR"/>
        </w:rPr>
        <w:t> </w:t>
      </w:r>
      <w:r w:rsidR="0052542A" w:rsidRPr="00F8252B">
        <w:rPr>
          <w:snapToGrid w:val="0"/>
          <w:kern w:val="22"/>
          <w:lang w:val="fr-FR"/>
        </w:rPr>
        <w:t>décembre 2025, 33</w:t>
      </w:r>
      <w:r w:rsidR="007B3812" w:rsidRPr="00F8252B">
        <w:rPr>
          <w:snapToGrid w:val="0"/>
          <w:kern w:val="22"/>
          <w:lang w:val="fr-FR"/>
        </w:rPr>
        <w:t> </w:t>
      </w:r>
      <w:r w:rsidR="0052542A" w:rsidRPr="00F8252B">
        <w:rPr>
          <w:snapToGrid w:val="0"/>
          <w:kern w:val="22"/>
          <w:lang w:val="fr-FR"/>
        </w:rPr>
        <w:t>Parties avaient reçu leur premier décaissement, tandis que les décaissements destinés à 19</w:t>
      </w:r>
      <w:r w:rsidR="007B3812" w:rsidRPr="00F8252B">
        <w:rPr>
          <w:snapToGrid w:val="0"/>
          <w:kern w:val="22"/>
          <w:lang w:val="fr-FR"/>
        </w:rPr>
        <w:t xml:space="preserve"> </w:t>
      </w:r>
      <w:r w:rsidR="0052542A" w:rsidRPr="00F8252B">
        <w:rPr>
          <w:snapToGrid w:val="0"/>
          <w:kern w:val="22"/>
          <w:lang w:val="fr-FR"/>
        </w:rPr>
        <w:t>autres Parties étaient en cours de traitement. Sur les 53</w:t>
      </w:r>
      <w:r w:rsidR="007B3812" w:rsidRPr="00F8252B">
        <w:rPr>
          <w:snapToGrid w:val="0"/>
          <w:kern w:val="22"/>
          <w:lang w:val="fr-FR"/>
        </w:rPr>
        <w:t> </w:t>
      </w:r>
      <w:r w:rsidR="0052542A" w:rsidRPr="00F8252B">
        <w:rPr>
          <w:snapToGrid w:val="0"/>
          <w:kern w:val="22"/>
          <w:lang w:val="fr-FR"/>
        </w:rPr>
        <w:t>Parties restantes, 37 en étaient à différentes phases de la préparation de l'accord de financement à petite échelle, tandis que le PNUE n'avait reçu aucune réponse de la part de 16</w:t>
      </w:r>
      <w:r w:rsidR="007B3812" w:rsidRPr="00F8252B">
        <w:rPr>
          <w:snapToGrid w:val="0"/>
          <w:kern w:val="22"/>
          <w:lang w:val="fr-FR"/>
        </w:rPr>
        <w:t> </w:t>
      </w:r>
      <w:r w:rsidR="0052542A" w:rsidRPr="00F8252B">
        <w:rPr>
          <w:snapToGrid w:val="0"/>
          <w:kern w:val="22"/>
          <w:lang w:val="fr-FR"/>
        </w:rPr>
        <w:t>Parties concernant la préparation de cet accord de financement.</w:t>
      </w:r>
    </w:p>
    <w:p w14:paraId="7C6E5216" w14:textId="513F4CAF" w:rsidR="00737E2F" w:rsidRPr="00F8252B" w:rsidRDefault="00A41377" w:rsidP="00FA2932">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fr-FR"/>
        </w:rPr>
      </w:pPr>
      <w:r>
        <w:rPr>
          <w:snapToGrid w:val="0"/>
          <w:kern w:val="22"/>
          <w:lang w:val="fr-FR"/>
        </w:rPr>
        <w:t>En date du</w:t>
      </w:r>
      <w:r w:rsidR="00B83AD9" w:rsidRPr="00F8252B">
        <w:rPr>
          <w:snapToGrid w:val="0"/>
          <w:kern w:val="22"/>
          <w:lang w:val="fr-FR"/>
        </w:rPr>
        <w:t xml:space="preserve"> 11</w:t>
      </w:r>
      <w:r w:rsidR="00C072A0">
        <w:rPr>
          <w:snapToGrid w:val="0"/>
          <w:kern w:val="22"/>
          <w:lang w:val="fr-FR"/>
        </w:rPr>
        <w:t> </w:t>
      </w:r>
      <w:r w:rsidR="00B83AD9" w:rsidRPr="00F8252B">
        <w:rPr>
          <w:snapToGrid w:val="0"/>
          <w:kern w:val="22"/>
          <w:lang w:val="fr-FR"/>
        </w:rPr>
        <w:t xml:space="preserve">février 2026, 71 Parties avaient reçu le premier décaissement </w:t>
      </w:r>
      <w:r w:rsidR="00BB45D7" w:rsidRPr="00F8252B">
        <w:rPr>
          <w:snapToGrid w:val="0"/>
          <w:kern w:val="22"/>
          <w:lang w:val="fr-FR"/>
        </w:rPr>
        <w:t>issu</w:t>
      </w:r>
      <w:r w:rsidR="00B83AD9" w:rsidRPr="00F8252B">
        <w:rPr>
          <w:snapToGrid w:val="0"/>
          <w:kern w:val="22"/>
          <w:lang w:val="fr-FR"/>
        </w:rPr>
        <w:t xml:space="preserve"> du financement du FEM </w:t>
      </w:r>
      <w:r w:rsidR="00231E9D" w:rsidRPr="00F8252B">
        <w:rPr>
          <w:snapToGrid w:val="0"/>
          <w:kern w:val="22"/>
          <w:lang w:val="fr-FR"/>
        </w:rPr>
        <w:t xml:space="preserve">pour </w:t>
      </w:r>
      <w:r w:rsidR="00B83AD9" w:rsidRPr="00F8252B">
        <w:rPr>
          <w:snapToGrid w:val="0"/>
          <w:kern w:val="22"/>
          <w:lang w:val="fr-FR"/>
        </w:rPr>
        <w:t>l'élaboration de leur cinquième rapport national</w:t>
      </w:r>
      <w:r w:rsidR="00771726">
        <w:rPr>
          <w:snapToGrid w:val="0"/>
          <w:kern w:val="22"/>
          <w:lang w:val="fr-FR"/>
        </w:rPr>
        <w:t>.</w:t>
      </w:r>
    </w:p>
    <w:p w14:paraId="48C08554" w14:textId="23F9280F" w:rsidR="00DD68DB" w:rsidRPr="00F8252B" w:rsidRDefault="00D65485" w:rsidP="00FA2932">
      <w:pPr>
        <w:pStyle w:val="CBDNormalNumber"/>
        <w:rPr>
          <w:snapToGrid w:val="0"/>
          <w:kern w:val="22"/>
          <w:lang w:val="fr-FR"/>
        </w:rPr>
      </w:pPr>
      <w:r w:rsidRPr="00F8252B">
        <w:rPr>
          <w:snapToGrid w:val="0"/>
          <w:kern w:val="22"/>
          <w:lang w:val="fr-FR"/>
        </w:rPr>
        <w:t>En comparaison, à la date limite de soumission des quatrièmes rapports nationaux, aucune Partie n’avait encore bénéficié d’un financement du FEM et, à la fin du mois de février 2020, les Parties n’avaient toujours pas bénéficié d’un tel financement. À l’époque, ce retard avait été attribué en partie à des retards dans l’obtention des lettres d’engagement de la part des Parties éligibles, ce qui avait entraîné des retards dans la présentation des projets au FEM pour approbation.</w:t>
      </w:r>
    </w:p>
    <w:p w14:paraId="5B2C19AB" w14:textId="704806CA" w:rsidR="00FE5B97" w:rsidRPr="00F8252B" w:rsidRDefault="0063088C" w:rsidP="00FA2932">
      <w:pPr>
        <w:pStyle w:val="CBDNormalNumber"/>
        <w:rPr>
          <w:snapToGrid w:val="0"/>
          <w:kern w:val="22"/>
          <w:lang w:val="fr-FR"/>
        </w:rPr>
      </w:pPr>
      <w:r>
        <w:rPr>
          <w:bCs/>
          <w:iCs/>
          <w:snapToGrid w:val="0"/>
          <w:kern w:val="22"/>
          <w:lang w:val="fr-FR"/>
        </w:rPr>
        <w:t>Pour</w:t>
      </w:r>
      <w:r w:rsidR="00D14570" w:rsidRPr="00F8252B">
        <w:rPr>
          <w:bCs/>
          <w:iCs/>
          <w:snapToGrid w:val="0"/>
          <w:kern w:val="22"/>
          <w:lang w:val="fr-FR"/>
        </w:rPr>
        <w:t xml:space="preserve"> </w:t>
      </w:r>
      <w:r w:rsidR="00721E86">
        <w:rPr>
          <w:bCs/>
          <w:iCs/>
          <w:snapToGrid w:val="0"/>
          <w:kern w:val="22"/>
          <w:lang w:val="fr-FR"/>
        </w:rPr>
        <w:t>le but</w:t>
      </w:r>
      <w:r w:rsidR="00D14570" w:rsidRPr="00F8252B">
        <w:rPr>
          <w:bCs/>
          <w:iCs/>
          <w:snapToGrid w:val="0"/>
          <w:kern w:val="22"/>
          <w:lang w:val="fr-FR"/>
        </w:rPr>
        <w:t> A.3, deux domaines clés pour le renforcement des capacités ont été identifiés dans le plan d'action pour le renforcement des capacités</w:t>
      </w:r>
      <w:r w:rsidR="00CA1B90">
        <w:rPr>
          <w:bCs/>
          <w:iCs/>
          <w:snapToGrid w:val="0"/>
          <w:kern w:val="22"/>
          <w:lang w:val="fr-FR"/>
        </w:rPr>
        <w:t> :</w:t>
      </w:r>
      <w:r w:rsidR="00D14570" w:rsidRPr="00F8252B">
        <w:rPr>
          <w:bCs/>
          <w:iCs/>
          <w:snapToGrid w:val="0"/>
          <w:kern w:val="22"/>
          <w:lang w:val="fr-FR"/>
        </w:rPr>
        <w:t xml:space="preserve"> la mise en place et le renforcement de systèmes nationaux de coordination destinés à recueillir des informations sur la prévention des risques biotechnologiques</w:t>
      </w:r>
      <w:r w:rsidR="00D560E8">
        <w:rPr>
          <w:bCs/>
          <w:iCs/>
          <w:snapToGrid w:val="0"/>
          <w:kern w:val="22"/>
          <w:lang w:val="fr-FR"/>
        </w:rPr>
        <w:t> ;</w:t>
      </w:r>
      <w:r w:rsidR="00D14570" w:rsidRPr="00F8252B">
        <w:rPr>
          <w:bCs/>
          <w:iCs/>
          <w:snapToGrid w:val="0"/>
          <w:kern w:val="22"/>
          <w:lang w:val="fr-FR"/>
        </w:rPr>
        <w:t xml:space="preserve"> et l'élaboration d'un rapport national.</w:t>
      </w:r>
    </w:p>
    <w:p w14:paraId="6357F3FE" w14:textId="53FA15A9" w:rsidR="00F3221A" w:rsidRPr="00F8252B" w:rsidRDefault="003E38B6" w:rsidP="00FA2932">
      <w:pPr>
        <w:pStyle w:val="CBDNormalNumber"/>
        <w:rPr>
          <w:snapToGrid w:val="0"/>
          <w:kern w:val="22"/>
          <w:lang w:val="fr-FR"/>
        </w:rPr>
      </w:pPr>
      <w:r w:rsidRPr="00F8252B">
        <w:rPr>
          <w:snapToGrid w:val="0"/>
          <w:kern w:val="22"/>
          <w:lang w:val="fr-FR"/>
        </w:rPr>
        <w:t>Un certain nombre d'outils, de vidéos et de documents d'orientation ont été élaborés afin d'offrir un appui aux Parties dans le cadre du processus d'établissement des rapports nationaux. Ces documents étaient disponibles via le Centre d'échange pour la prévention des risques biotechnologiques dans les langues officielles des Nations Unies</w:t>
      </w:r>
      <w:r w:rsidR="002B737B" w:rsidRPr="00F8252B">
        <w:rPr>
          <w:rStyle w:val="Appelnotedebasdep"/>
          <w:snapToGrid w:val="0"/>
          <w:kern w:val="22"/>
          <w:lang w:val="fr-FR"/>
        </w:rPr>
        <w:footnoteReference w:id="22"/>
      </w:r>
      <w:r w:rsidRPr="00F8252B">
        <w:rPr>
          <w:snapToGrid w:val="0"/>
          <w:kern w:val="22"/>
          <w:lang w:val="fr-FR"/>
        </w:rPr>
        <w:t>.</w:t>
      </w:r>
      <w:r w:rsidR="00D71D5E" w:rsidRPr="00F8252B">
        <w:rPr>
          <w:snapToGrid w:val="0"/>
          <w:kern w:val="22"/>
          <w:lang w:val="fr-FR"/>
        </w:rPr>
        <w:t xml:space="preserve"> </w:t>
      </w:r>
      <w:r w:rsidR="002840F8" w:rsidRPr="00F8252B">
        <w:rPr>
          <w:snapToGrid w:val="0"/>
          <w:kern w:val="22"/>
          <w:lang w:val="fr-FR"/>
        </w:rPr>
        <w:t>Le projet financé par le FEM visant à aider les Parties éligibles à établir leur cinquième rapport national comprenait un service d'assistance chargé de répondre aux questions des Parties.</w:t>
      </w:r>
    </w:p>
    <w:p w14:paraId="6BE40442" w14:textId="52770EC9" w:rsidR="00187FB5" w:rsidRPr="00F8252B" w:rsidRDefault="008533FF" w:rsidP="00FA2932">
      <w:pPr>
        <w:pStyle w:val="CBDNormalNumber"/>
        <w:rPr>
          <w:b/>
          <w:bCs/>
          <w:snapToGrid w:val="0"/>
          <w:kern w:val="22"/>
          <w:lang w:val="fr-FR"/>
        </w:rPr>
      </w:pPr>
      <w:r w:rsidRPr="00F8252B">
        <w:rPr>
          <w:snapToGrid w:val="0"/>
          <w:kern w:val="22"/>
          <w:lang w:val="fr-FR"/>
        </w:rPr>
        <w:t>En outre, le projet financé par le FEM visant à fournir de l'appui à la préparation et à la soumission des cinquièmes rapports nationaux comprenait le financement de quatre ateliers régionaux destinés aux Parties participant au projet. Ces ateliers se sont tenus à Nairobi en octobre 2025, à Lima en novembre 2025, à Chisinau en janvier 2026 et à Bangkok en janvier 2026. Les ateliers régionaux ont été organisés par le PNUE, en sa qualité d’agence d’exécution, avec l’appui technique du Secrétariat et du FEM. Ces ateliers ont permis d’aborder des questions relatives à l’accès au financement, à la préparation du rapport national et à la mise en ligne de ce rapport sur le Centre d’échange pour la prévention des risques biotechnologiques. Les ateliers, auxquels ont participé des représentants de 76 Parties, ont reçu une évaluation positive en ce qui concerne leur pertinence et leur efficacité, leur organisation, la promotion de l’acquisition de connaissances et de compétences, l’engagement et l’interaction des participants, ainsi que les résultats et le suivi.</w:t>
      </w:r>
    </w:p>
    <w:p w14:paraId="6BF0044C" w14:textId="615374E8" w:rsidR="00AF1807" w:rsidRPr="00F8252B" w:rsidRDefault="00AF1807" w:rsidP="00FA2932">
      <w:pPr>
        <w:pStyle w:val="CBDH2"/>
        <w:jc w:val="left"/>
        <w:rPr>
          <w:snapToGrid w:val="0"/>
          <w:lang w:val="fr-FR"/>
        </w:rPr>
      </w:pPr>
      <w:r w:rsidRPr="00F8252B">
        <w:rPr>
          <w:snapToGrid w:val="0"/>
          <w:lang w:val="fr-FR"/>
        </w:rPr>
        <w:t>D.</w:t>
      </w:r>
      <w:r w:rsidRPr="00F8252B">
        <w:rPr>
          <w:snapToGrid w:val="0"/>
          <w:lang w:val="fr-FR"/>
        </w:rPr>
        <w:tab/>
      </w:r>
      <w:r w:rsidR="00A54BB0" w:rsidRPr="00F8252B">
        <w:rPr>
          <w:snapToGrid w:val="0"/>
          <w:lang w:val="fr-FR"/>
        </w:rPr>
        <w:t>But </w:t>
      </w:r>
      <w:r w:rsidRPr="00F8252B">
        <w:rPr>
          <w:snapToGrid w:val="0"/>
          <w:lang w:val="fr-FR"/>
        </w:rPr>
        <w:t xml:space="preserve">A.4. </w:t>
      </w:r>
      <w:r w:rsidR="00196102" w:rsidRPr="00F8252B">
        <w:rPr>
          <w:lang w:val="fr-FR"/>
        </w:rPr>
        <w:t>Les Parties se conforment aux exigences du Protocole</w:t>
      </w:r>
    </w:p>
    <w:p w14:paraId="77E0B56E" w14:textId="1696E302" w:rsidR="00785E34" w:rsidRPr="00F8252B" w:rsidRDefault="00785E34" w:rsidP="00FA2932">
      <w:pPr>
        <w:pStyle w:val="CBDH4"/>
        <w:rPr>
          <w:bCs/>
          <w:snapToGrid w:val="0"/>
          <w:lang w:val="fr-FR"/>
        </w:rPr>
      </w:pPr>
      <w:r w:rsidRPr="00F8252B">
        <w:rPr>
          <w:bCs/>
          <w:snapToGrid w:val="0"/>
          <w:lang w:val="fr-FR"/>
        </w:rPr>
        <w:t>a)</w:t>
      </w:r>
      <w:r w:rsidRPr="00F8252B">
        <w:rPr>
          <w:bCs/>
          <w:snapToGrid w:val="0"/>
          <w:lang w:val="fr-FR"/>
        </w:rPr>
        <w:tab/>
      </w:r>
      <w:r w:rsidR="00196102" w:rsidRPr="00F8252B">
        <w:rPr>
          <w:snapToGrid w:val="0"/>
          <w:lang w:val="fr-FR"/>
        </w:rPr>
        <w:t xml:space="preserve">Chiffres clés et </w:t>
      </w:r>
      <w:r w:rsidR="0035077E" w:rsidRPr="00F8252B">
        <w:rPr>
          <w:snapToGrid w:val="0"/>
          <w:lang w:val="fr-FR"/>
        </w:rPr>
        <w:t>éléments importants</w:t>
      </w:r>
      <w:r w:rsidR="00AB2BDC" w:rsidRPr="00F8252B">
        <w:rPr>
          <w:snapToGrid w:val="0"/>
          <w:lang w:val="fr-FR"/>
        </w:rPr>
        <w:t xml:space="preserve"> </w:t>
      </w:r>
    </w:p>
    <w:p w14:paraId="36E7EFBB" w14:textId="4DBC9C14" w:rsidR="006215AD" w:rsidRPr="00F8252B" w:rsidRDefault="005B2A46" w:rsidP="00FA2932">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fr-FR"/>
        </w:rPr>
      </w:pPr>
      <w:r w:rsidRPr="00F8252B">
        <w:rPr>
          <w:snapToGrid w:val="0"/>
          <w:kern w:val="22"/>
          <w:lang w:val="fr-FR"/>
        </w:rPr>
        <w:t>Grâce à l'appui du Comité chargé du respect des obligations, le nombre de quatrièmes rapports nationaux présentés a continué à augmenter, avec 59 rapports supplémentaires, ce qui porte le total à 162 (sur 171)</w:t>
      </w:r>
      <w:r w:rsidR="00CE6C66" w:rsidRPr="00F8252B">
        <w:rPr>
          <w:snapToGrid w:val="0"/>
          <w:kern w:val="22"/>
          <w:lang w:val="fr-FR"/>
        </w:rPr>
        <w:t>.</w:t>
      </w:r>
    </w:p>
    <w:p w14:paraId="5875CA6C" w14:textId="27C96F17" w:rsidR="00BA1FD5" w:rsidRPr="00F8252B" w:rsidRDefault="00C432A3" w:rsidP="00FA2932">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bCs/>
          <w:snapToGrid w:val="0"/>
          <w:kern w:val="22"/>
          <w:lang w:val="fr-FR"/>
        </w:rPr>
      </w:pPr>
      <w:r w:rsidRPr="00F8252B">
        <w:rPr>
          <w:snapToGrid w:val="0"/>
          <w:kern w:val="22"/>
          <w:lang w:val="fr-FR"/>
        </w:rPr>
        <w:lastRenderedPageBreak/>
        <w:t>Le Comité a recensé sept cas particuliers de non-respect des obligations relatives à la présentation des rapports nationaux, dont six ont été résolus.</w:t>
      </w:r>
    </w:p>
    <w:p w14:paraId="6E3306A7" w14:textId="11AFACAF" w:rsidR="00CD153E" w:rsidRPr="00F8252B" w:rsidRDefault="00366B92" w:rsidP="00FA2932">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bCs/>
          <w:snapToGrid w:val="0"/>
          <w:kern w:val="22"/>
          <w:lang w:val="fr-FR"/>
        </w:rPr>
      </w:pPr>
      <w:r w:rsidRPr="00F8252B">
        <w:rPr>
          <w:snapToGrid w:val="0"/>
          <w:kern w:val="22"/>
          <w:lang w:val="fr-FR"/>
        </w:rPr>
        <w:t>Le Comité a relevé deux cas particuliers de non-respect de l'obligation de désigner un correspondant national pour le Protocole de Cartagena, et ces deux cas ont été résolus.</w:t>
      </w:r>
    </w:p>
    <w:p w14:paraId="33B0FEDC" w14:textId="796A5B1F" w:rsidR="00BA1FD5" w:rsidRPr="00F8252B" w:rsidRDefault="00366B92" w:rsidP="00FA2932">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snapToGrid w:val="0"/>
          <w:kern w:val="22"/>
          <w:lang w:val="fr-FR"/>
        </w:rPr>
      </w:pPr>
      <w:r w:rsidRPr="00F8252B">
        <w:rPr>
          <w:snapToGrid w:val="0"/>
          <w:kern w:val="22"/>
          <w:lang w:val="fr-FR"/>
        </w:rPr>
        <w:t xml:space="preserve">Le Comité a recensé trente-quatre cas individuels de non-respect de l'obligation de prendre des mesures </w:t>
      </w:r>
      <w:r w:rsidR="00001859" w:rsidRPr="00F8252B">
        <w:rPr>
          <w:snapToGrid w:val="0"/>
          <w:kern w:val="22"/>
          <w:lang w:val="fr-FR"/>
        </w:rPr>
        <w:t>de mise en œuvre d</w:t>
      </w:r>
      <w:r w:rsidRPr="00F8252B">
        <w:rPr>
          <w:snapToGrid w:val="0"/>
          <w:kern w:val="22"/>
          <w:lang w:val="fr-FR"/>
        </w:rPr>
        <w:t>es obligations découlant du Protocole</w:t>
      </w:r>
      <w:r w:rsidR="00D560E8">
        <w:rPr>
          <w:snapToGrid w:val="0"/>
          <w:kern w:val="22"/>
          <w:lang w:val="fr-FR"/>
        </w:rPr>
        <w:t> ;</w:t>
      </w:r>
      <w:r w:rsidRPr="00F8252B">
        <w:rPr>
          <w:snapToGrid w:val="0"/>
          <w:kern w:val="22"/>
          <w:lang w:val="fr-FR"/>
        </w:rPr>
        <w:t xml:space="preserve"> huit d'entre eux ont été résolus ou n'étaient plus considérés comme non résolus.</w:t>
      </w:r>
    </w:p>
    <w:p w14:paraId="641273A8" w14:textId="3C5D6356" w:rsidR="00785E34" w:rsidRPr="00F8252B" w:rsidRDefault="00785E34" w:rsidP="00FA2932">
      <w:pPr>
        <w:pStyle w:val="CBDH4"/>
        <w:rPr>
          <w:snapToGrid w:val="0"/>
          <w:lang w:val="fr-FR"/>
        </w:rPr>
      </w:pPr>
      <w:r w:rsidRPr="00F8252B">
        <w:rPr>
          <w:snapToGrid w:val="0"/>
          <w:lang w:val="fr-FR"/>
        </w:rPr>
        <w:t>b)</w:t>
      </w:r>
      <w:r w:rsidRPr="00F8252B">
        <w:rPr>
          <w:snapToGrid w:val="0"/>
          <w:lang w:val="fr-FR"/>
        </w:rPr>
        <w:tab/>
        <w:t>Analys</w:t>
      </w:r>
      <w:r w:rsidR="00196102" w:rsidRPr="00F8252B">
        <w:rPr>
          <w:snapToGrid w:val="0"/>
          <w:lang w:val="fr-FR"/>
        </w:rPr>
        <w:t xml:space="preserve">e des </w:t>
      </w:r>
      <w:r w:rsidRPr="00F8252B">
        <w:rPr>
          <w:snapToGrid w:val="0"/>
          <w:lang w:val="fr-FR"/>
        </w:rPr>
        <w:t>information</w:t>
      </w:r>
      <w:r w:rsidR="00196102" w:rsidRPr="00F8252B">
        <w:rPr>
          <w:snapToGrid w:val="0"/>
          <w:lang w:val="fr-FR"/>
        </w:rPr>
        <w:t>s</w:t>
      </w:r>
    </w:p>
    <w:p w14:paraId="65840381" w14:textId="30E1039C" w:rsidR="0003709C" w:rsidRPr="00F8252B" w:rsidRDefault="00F24036" w:rsidP="0003709C">
      <w:pPr>
        <w:pStyle w:val="CBDNormalNumber"/>
        <w:rPr>
          <w:b/>
          <w:bCs/>
          <w:snapToGrid w:val="0"/>
          <w:lang w:val="fr-FR"/>
        </w:rPr>
      </w:pPr>
      <w:r>
        <w:rPr>
          <w:snapToGrid w:val="0"/>
          <w:lang w:val="fr-FR"/>
        </w:rPr>
        <w:t>Le but </w:t>
      </w:r>
      <w:r w:rsidR="0003709C" w:rsidRPr="00F8252B">
        <w:rPr>
          <w:snapToGrid w:val="0"/>
          <w:lang w:val="fr-FR"/>
        </w:rPr>
        <w:t xml:space="preserve">A.4. </w:t>
      </w:r>
      <w:r w:rsidR="00A06235" w:rsidRPr="00A06235">
        <w:rPr>
          <w:snapToGrid w:val="0"/>
          <w:lang w:val="fr-FR"/>
        </w:rPr>
        <w:t xml:space="preserve">comprend deux objectifs à atteindre pour réaliser le but visé et deux indicateurs permettant de mesurer les progrès accomplis dans la réalisation de ces objectifs. </w:t>
      </w:r>
      <w:r w:rsidR="0063088C">
        <w:rPr>
          <w:snapToGrid w:val="0"/>
          <w:lang w:val="fr-FR"/>
        </w:rPr>
        <w:t>Pour</w:t>
      </w:r>
      <w:r w:rsidR="00A06235" w:rsidRPr="00A06235">
        <w:rPr>
          <w:snapToGrid w:val="0"/>
          <w:lang w:val="fr-FR"/>
        </w:rPr>
        <w:t xml:space="preserve"> l’indicateur A.4</w:t>
      </w:r>
      <w:r w:rsidR="00A06235">
        <w:rPr>
          <w:snapToGrid w:val="0"/>
          <w:lang w:val="fr-FR"/>
        </w:rPr>
        <w:t> </w:t>
      </w:r>
      <w:r w:rsidR="00A06235" w:rsidRPr="00A06235">
        <w:rPr>
          <w:snapToGrid w:val="0"/>
          <w:lang w:val="fr-FR"/>
        </w:rPr>
        <w:t>a) (pourcentage des Parties respectant leurs obligations au titre du Protocole), les informations fournies portaient sur les obligations clés sur lesquelles le Comité chargé du respect des obligations avait concentré ses efforts, à savoir</w:t>
      </w:r>
      <w:r w:rsidR="00CA1B90">
        <w:rPr>
          <w:snapToGrid w:val="0"/>
          <w:lang w:val="fr-FR"/>
        </w:rPr>
        <w:t> :</w:t>
      </w:r>
      <w:r w:rsidR="00A06235" w:rsidRPr="00A06235">
        <w:rPr>
          <w:snapToGrid w:val="0"/>
          <w:lang w:val="fr-FR"/>
        </w:rPr>
        <w:t xml:space="preserve"> a) l’obligation de prendre les mesures juridiques, administratives et autres mesures nécessaires pour mettre en œuvre les obligations découlant du Protocole</w:t>
      </w:r>
      <w:r w:rsidR="00D560E8">
        <w:rPr>
          <w:snapToGrid w:val="0"/>
          <w:lang w:val="fr-FR"/>
        </w:rPr>
        <w:t> ;</w:t>
      </w:r>
      <w:r w:rsidR="00A06235" w:rsidRPr="00A06235">
        <w:rPr>
          <w:snapToGrid w:val="0"/>
          <w:lang w:val="fr-FR"/>
        </w:rPr>
        <w:t xml:space="preserve"> b) l’obligation de communiquer certaines informations au Centre d’échange pour la prévention des risques biotechnologiques</w:t>
      </w:r>
      <w:r w:rsidR="00D560E8">
        <w:rPr>
          <w:snapToGrid w:val="0"/>
          <w:lang w:val="fr-FR"/>
        </w:rPr>
        <w:t> ;</w:t>
      </w:r>
      <w:r w:rsidR="00A06235" w:rsidRPr="00A06235">
        <w:rPr>
          <w:snapToGrid w:val="0"/>
          <w:lang w:val="fr-FR"/>
        </w:rPr>
        <w:t xml:space="preserve"> c) l’obligation de désigner des correspondants nationaux et des autorités nationales compétentes</w:t>
      </w:r>
      <w:r w:rsidR="00D560E8">
        <w:rPr>
          <w:snapToGrid w:val="0"/>
          <w:lang w:val="fr-FR"/>
        </w:rPr>
        <w:t> ;</w:t>
      </w:r>
      <w:r w:rsidR="00A06235" w:rsidRPr="00A06235">
        <w:rPr>
          <w:snapToGrid w:val="0"/>
          <w:lang w:val="fr-FR"/>
        </w:rPr>
        <w:t xml:space="preserve"> et d) l’obligation d’établir des rapports sur la mise en œuvre du Protocole. Les informations relatives à ces obligations sont fournies ci-dessus pour les indicateurs A.1</w:t>
      </w:r>
      <w:r w:rsidR="00A06235">
        <w:rPr>
          <w:snapToGrid w:val="0"/>
          <w:lang w:val="fr-FR"/>
        </w:rPr>
        <w:t> </w:t>
      </w:r>
      <w:r w:rsidR="00A06235" w:rsidRPr="00A06235">
        <w:rPr>
          <w:snapToGrid w:val="0"/>
          <w:lang w:val="fr-FR"/>
        </w:rPr>
        <w:t>a), A.2</w:t>
      </w:r>
      <w:r w:rsidR="00A06235">
        <w:rPr>
          <w:snapToGrid w:val="0"/>
          <w:lang w:val="fr-FR"/>
        </w:rPr>
        <w:t> </w:t>
      </w:r>
      <w:r w:rsidR="00A06235" w:rsidRPr="00A06235">
        <w:rPr>
          <w:snapToGrid w:val="0"/>
          <w:lang w:val="fr-FR"/>
        </w:rPr>
        <w:t>a), A.2</w:t>
      </w:r>
      <w:r w:rsidR="00A06235">
        <w:rPr>
          <w:snapToGrid w:val="0"/>
          <w:lang w:val="fr-FR"/>
        </w:rPr>
        <w:t> </w:t>
      </w:r>
      <w:r w:rsidR="00A06235" w:rsidRPr="00A06235">
        <w:rPr>
          <w:snapToGrid w:val="0"/>
          <w:lang w:val="fr-FR"/>
        </w:rPr>
        <w:t>d) et A.3</w:t>
      </w:r>
      <w:r w:rsidR="00A06235">
        <w:rPr>
          <w:snapToGrid w:val="0"/>
          <w:lang w:val="fr-FR"/>
        </w:rPr>
        <w:t> </w:t>
      </w:r>
      <w:r w:rsidR="00A06235" w:rsidRPr="00A06235">
        <w:rPr>
          <w:snapToGrid w:val="0"/>
          <w:lang w:val="fr-FR"/>
        </w:rPr>
        <w:t>a). Des informations sur le rôle du Comité chargé du respect des obligations à cet égard sont fournies ci-dessous.</w:t>
      </w:r>
      <w:r w:rsidR="0003709C" w:rsidRPr="00F8252B">
        <w:rPr>
          <w:snapToGrid w:val="0"/>
          <w:lang w:val="fr-FR"/>
        </w:rPr>
        <w:t xml:space="preserve"> </w:t>
      </w:r>
    </w:p>
    <w:p w14:paraId="1487555E" w14:textId="524B61A4" w:rsidR="0003709C" w:rsidRPr="00F8252B" w:rsidRDefault="002C6EDB" w:rsidP="0003709C">
      <w:pPr>
        <w:pStyle w:val="CBDNormalNumber"/>
        <w:rPr>
          <w:snapToGrid w:val="0"/>
          <w:lang w:val="fr-FR"/>
        </w:rPr>
      </w:pPr>
      <w:r w:rsidRPr="002C6EDB">
        <w:rPr>
          <w:snapToGrid w:val="0"/>
          <w:lang w:val="fr-FR"/>
        </w:rPr>
        <w:t>Le Comité a entrepris l'examen du respect de l'obligation de prendre les mesures nécessaires à la mise en œuvre du Protocole principalement dans le cadre de son examen des cas individuels de non-respect. De plus amples informations sont fournies dans l'analyse de l'indicateur A.4</w:t>
      </w:r>
      <w:r>
        <w:rPr>
          <w:snapToGrid w:val="0"/>
          <w:lang w:val="fr-FR"/>
        </w:rPr>
        <w:t> </w:t>
      </w:r>
      <w:r w:rsidRPr="002C6EDB">
        <w:rPr>
          <w:snapToGrid w:val="0"/>
          <w:lang w:val="fr-FR"/>
        </w:rPr>
        <w:t>b) ci-dessous</w:t>
      </w:r>
      <w:r w:rsidR="0003709C" w:rsidRPr="00F8252B">
        <w:rPr>
          <w:snapToGrid w:val="0"/>
          <w:lang w:val="fr-FR"/>
        </w:rPr>
        <w:t xml:space="preserve">. </w:t>
      </w:r>
    </w:p>
    <w:p w14:paraId="26E2A109" w14:textId="2A7F95B9" w:rsidR="0003709C" w:rsidRPr="00F8252B" w:rsidRDefault="00F23EFD" w:rsidP="0003709C">
      <w:pPr>
        <w:pStyle w:val="CBDNormalNumber"/>
        <w:rPr>
          <w:snapToGrid w:val="0"/>
          <w:lang w:val="fr-FR"/>
        </w:rPr>
      </w:pPr>
      <w:r w:rsidRPr="00F23EFD">
        <w:rPr>
          <w:snapToGrid w:val="0"/>
          <w:lang w:val="fr-FR"/>
        </w:rPr>
        <w:t>Le Comité chargé du respect des obligations a examiné les questions de conformité concernant l'exhaustivité des informations figurant sur le Centre d'échange d'informations et la cohérence des informations obligatoires fournies dans les quatrièmes rapports nationaux, ainsi que des informations publiées par les Parties par l'intermédiaire du Centre d'échange d'informations sur la prévention des risques biotechnologiques. En outre, à cet égard, un suivi a été assuré sur les points soulevés par le Comité concernant divers types d'informations, notamment les coordonnées des correspondants et des autorités nationales compétentes</w:t>
      </w:r>
      <w:r w:rsidR="00D560E8">
        <w:rPr>
          <w:snapToGrid w:val="0"/>
          <w:lang w:val="fr-FR"/>
        </w:rPr>
        <w:t> ;</w:t>
      </w:r>
      <w:r w:rsidRPr="00F23EFD">
        <w:rPr>
          <w:snapToGrid w:val="0"/>
          <w:lang w:val="fr-FR"/>
        </w:rPr>
        <w:t xml:space="preserve"> les mesures juridiques visant à mettre en œuvre le Protocole</w:t>
      </w:r>
      <w:r w:rsidR="00D560E8">
        <w:rPr>
          <w:snapToGrid w:val="0"/>
          <w:lang w:val="fr-FR"/>
        </w:rPr>
        <w:t> ;</w:t>
      </w:r>
      <w:r w:rsidRPr="00F23EFD">
        <w:rPr>
          <w:snapToGrid w:val="0"/>
          <w:lang w:val="fr-FR"/>
        </w:rPr>
        <w:t xml:space="preserve"> les décisions concernant les organismes vivants modifiés destinés à être introduits intentionnellement dans l’environnement dans le cadre de la procédure d’accord préalable en connaissance de cause</w:t>
      </w:r>
      <w:r w:rsidR="00D560E8">
        <w:rPr>
          <w:snapToGrid w:val="0"/>
          <w:lang w:val="fr-FR"/>
        </w:rPr>
        <w:t> ;</w:t>
      </w:r>
      <w:r w:rsidRPr="00F23EFD">
        <w:rPr>
          <w:snapToGrid w:val="0"/>
          <w:lang w:val="fr-FR"/>
        </w:rPr>
        <w:t xml:space="preserve"> les décisions relatives à l’utilisation nationale, y compris la mise sur le marché, d’organismes vivants modifiés destinés à être utilisés directement pour l’alimentation humaine ou animale, ou à être transformés, et susceptibles de faire l’objet de mouvements transfrontières</w:t>
      </w:r>
      <w:r w:rsidR="00D560E8">
        <w:rPr>
          <w:snapToGrid w:val="0"/>
          <w:lang w:val="fr-FR"/>
        </w:rPr>
        <w:t> ;</w:t>
      </w:r>
      <w:r w:rsidRPr="00F23EFD">
        <w:rPr>
          <w:snapToGrid w:val="0"/>
          <w:lang w:val="fr-FR"/>
        </w:rPr>
        <w:t xml:space="preserve"> les décisions concernant l’importation de ces organismes</w:t>
      </w:r>
      <w:r w:rsidR="00D560E8">
        <w:rPr>
          <w:snapToGrid w:val="0"/>
          <w:lang w:val="fr-FR"/>
        </w:rPr>
        <w:t> ;</w:t>
      </w:r>
      <w:r w:rsidRPr="00F23EFD">
        <w:rPr>
          <w:snapToGrid w:val="0"/>
          <w:lang w:val="fr-FR"/>
        </w:rPr>
        <w:t xml:space="preserve"> les sommaires des évaluations des risques relatives à certaines décisions</w:t>
      </w:r>
      <w:r w:rsidR="00D560E8">
        <w:rPr>
          <w:snapToGrid w:val="0"/>
          <w:lang w:val="fr-FR"/>
        </w:rPr>
        <w:t> ;</w:t>
      </w:r>
      <w:r w:rsidRPr="00F23EFD">
        <w:rPr>
          <w:snapToGrid w:val="0"/>
          <w:lang w:val="fr-FR"/>
        </w:rPr>
        <w:t xml:space="preserve"> et les cas de mouvements transfrontières non intentionnels et illégaux d’organismes vivants modifiés.</w:t>
      </w:r>
    </w:p>
    <w:p w14:paraId="5F489E59" w14:textId="32D43656" w:rsidR="0003709C" w:rsidRPr="00F8252B" w:rsidRDefault="00593E56" w:rsidP="0003709C">
      <w:pPr>
        <w:pStyle w:val="CBDNormalNumber"/>
        <w:rPr>
          <w:snapToGrid w:val="0"/>
          <w:lang w:val="fr-FR"/>
        </w:rPr>
      </w:pPr>
      <w:r w:rsidRPr="00593E56">
        <w:rPr>
          <w:snapToGrid w:val="0"/>
          <w:lang w:val="fr-FR"/>
        </w:rPr>
        <w:t>Le Comité chargé du respect des obligations a examiné le respect par les Parties de l’obligation de présenter leurs troisième et quatrième rapports nationaux et a pris une série de mesures de suivi supplémentaires à cet égard. Dans le cadre de l’examen des questions générales de conformité, le suivi de la présentation des quatrièmes rapports nationaux a débuté en juin 2020, à la suite de la dix-septième réunion du Comité, qui s’est tenue en avril 2020. Le suivi s’est poursuivi après la dix-huitième réunion du Comité, qui s’est tenue en octobre 2023. Entre juin 2020 et le 2</w:t>
      </w:r>
      <w:r>
        <w:rPr>
          <w:snapToGrid w:val="0"/>
          <w:lang w:val="fr-FR"/>
        </w:rPr>
        <w:t> </w:t>
      </w:r>
      <w:r w:rsidRPr="00593E56">
        <w:rPr>
          <w:snapToGrid w:val="0"/>
          <w:lang w:val="fr-FR"/>
        </w:rPr>
        <w:t>mars 2026, 59</w:t>
      </w:r>
      <w:r>
        <w:rPr>
          <w:snapToGrid w:val="0"/>
          <w:lang w:val="fr-FR"/>
        </w:rPr>
        <w:t> </w:t>
      </w:r>
      <w:r w:rsidRPr="00593E56">
        <w:rPr>
          <w:snapToGrid w:val="0"/>
          <w:lang w:val="fr-FR"/>
        </w:rPr>
        <w:t>quatrièmes rapports nationaux au total ont été présentés. Parmi ces rapports, environ la moitié a été présentée entre juin 2020 et le 31</w:t>
      </w:r>
      <w:r>
        <w:rPr>
          <w:snapToGrid w:val="0"/>
          <w:lang w:val="fr-FR"/>
        </w:rPr>
        <w:t> </w:t>
      </w:r>
      <w:r w:rsidRPr="00593E56">
        <w:rPr>
          <w:snapToGrid w:val="0"/>
          <w:lang w:val="fr-FR"/>
        </w:rPr>
        <w:t>décembre 2022, et environ la moitié entre le 1</w:t>
      </w:r>
      <w:r w:rsidRPr="00593E56">
        <w:rPr>
          <w:snapToGrid w:val="0"/>
          <w:vertAlign w:val="superscript"/>
          <w:lang w:val="fr-FR"/>
        </w:rPr>
        <w:t>er</w:t>
      </w:r>
      <w:r>
        <w:rPr>
          <w:snapToGrid w:val="0"/>
          <w:vertAlign w:val="superscript"/>
          <w:lang w:val="fr-FR"/>
        </w:rPr>
        <w:t> </w:t>
      </w:r>
      <w:r w:rsidRPr="00593E56">
        <w:rPr>
          <w:snapToGrid w:val="0"/>
          <w:lang w:val="fr-FR"/>
        </w:rPr>
        <w:t>janvier 2023 et le 2</w:t>
      </w:r>
      <w:r w:rsidR="00671376">
        <w:rPr>
          <w:snapToGrid w:val="0"/>
          <w:lang w:val="fr-FR"/>
        </w:rPr>
        <w:t> </w:t>
      </w:r>
      <w:r w:rsidRPr="00593E56">
        <w:rPr>
          <w:snapToGrid w:val="0"/>
          <w:lang w:val="fr-FR"/>
        </w:rPr>
        <w:t xml:space="preserve">mars 2026. Il convient de prendre note que la première partie de la période de référence a coïncidé avec la pandémie de COVID-19 et que cela, conjugué aux retards dans l’accès au financement du </w:t>
      </w:r>
      <w:r w:rsidRPr="00593E56">
        <w:rPr>
          <w:snapToGrid w:val="0"/>
          <w:lang w:val="fr-FR"/>
        </w:rPr>
        <w:lastRenderedPageBreak/>
        <w:t>FEM pour la préparation des quatrièmes rapports nationaux, a pu contribuer aux retards dans la soumission de ces rapports. Si la soumission d’un si grand nombre de quatrièmes rapports nationaux ne peut être attribuée uniquement au suivi assuré par le Comité, les efforts de ce dernier ont été importants, en particulier en ce qui concerne les Parties dont les rapports étaient attendus depuis longtemps. De plus amples informations sur l’examen du respect de l’obligation de rapport sont fournies dans l’analyse de l’indicateur A.4</w:t>
      </w:r>
      <w:r w:rsidR="00671376">
        <w:rPr>
          <w:snapToGrid w:val="0"/>
          <w:lang w:val="fr-FR"/>
        </w:rPr>
        <w:t> </w:t>
      </w:r>
      <w:r w:rsidRPr="00593E56">
        <w:rPr>
          <w:snapToGrid w:val="0"/>
          <w:lang w:val="fr-FR"/>
        </w:rPr>
        <w:t>b) ci-dessous.</w:t>
      </w:r>
    </w:p>
    <w:p w14:paraId="7FEFB27E" w14:textId="7AD3FC36" w:rsidR="0003709C" w:rsidRPr="00F8252B" w:rsidRDefault="008B1633" w:rsidP="0003709C">
      <w:pPr>
        <w:pStyle w:val="CBDNormalNumber"/>
        <w:rPr>
          <w:snapToGrid w:val="0"/>
          <w:lang w:val="fr-FR"/>
        </w:rPr>
      </w:pPr>
      <w:r w:rsidRPr="008B1633">
        <w:rPr>
          <w:snapToGrid w:val="0"/>
          <w:lang w:val="fr-FR"/>
        </w:rPr>
        <w:t>Le rôle d’appui joué par le Comité a été salué par la Conférence des Parties siégeant en tant que réunion des Parties au Protocole, qui y a vu une contribution aux progrès signalés par les Parties dans la mise en œuvre de leurs obligations au titre du Protocole</w:t>
      </w:r>
      <w:r w:rsidR="0003709C" w:rsidRPr="00F8252B">
        <w:rPr>
          <w:rStyle w:val="Appelnotedebasdep"/>
          <w:snapToGrid w:val="0"/>
          <w:kern w:val="22"/>
          <w:lang w:val="fr-FR"/>
        </w:rPr>
        <w:footnoteReference w:id="23"/>
      </w:r>
      <w:r>
        <w:rPr>
          <w:snapToGrid w:val="0"/>
          <w:lang w:val="fr-FR"/>
        </w:rPr>
        <w:t>.</w:t>
      </w:r>
    </w:p>
    <w:p w14:paraId="299F76C6" w14:textId="14EA712D" w:rsidR="0003709C" w:rsidRPr="00F8252B" w:rsidRDefault="0063088C" w:rsidP="0003709C">
      <w:pPr>
        <w:pStyle w:val="CBDNormalNumber"/>
        <w:rPr>
          <w:snapToGrid w:val="0"/>
          <w:lang w:val="fr-FR"/>
        </w:rPr>
      </w:pPr>
      <w:r>
        <w:rPr>
          <w:snapToGrid w:val="0"/>
          <w:lang w:val="fr-FR"/>
        </w:rPr>
        <w:t>Pour</w:t>
      </w:r>
      <w:r w:rsidR="00926982" w:rsidRPr="00926982">
        <w:rPr>
          <w:snapToGrid w:val="0"/>
          <w:lang w:val="fr-FR"/>
        </w:rPr>
        <w:t xml:space="preserve"> l’indicateur A.4</w:t>
      </w:r>
      <w:r w:rsidR="00D02230">
        <w:rPr>
          <w:snapToGrid w:val="0"/>
          <w:lang w:val="fr-FR"/>
        </w:rPr>
        <w:t> </w:t>
      </w:r>
      <w:r w:rsidR="00926982" w:rsidRPr="00926982">
        <w:rPr>
          <w:snapToGrid w:val="0"/>
          <w:lang w:val="fr-FR"/>
        </w:rPr>
        <w:t>b) (pourcentage des Parties ayant résolu les cas de non-conformité identifiés par le Comité chargé du respect des obligations), les données permettant de mesurer les progrès réalisés reposaient sur le nombre de cas individuels de non-conformité identifiés par le Comité chargé du respect des obligations qui ont été réglés. Les cas individuels de non-respect étaient des cas qui n’avaient pas pu être résolus par les mesures générales de suivi du Comité et concernaient généralement des situations de non-respect de la part de Parties spécifiques qui persistaient depuis plusieurs années.</w:t>
      </w:r>
    </w:p>
    <w:p w14:paraId="659C4C17" w14:textId="1104EB97" w:rsidR="0003709C" w:rsidRPr="00F8252B" w:rsidRDefault="00BC402E" w:rsidP="0003709C">
      <w:pPr>
        <w:pStyle w:val="CBDNormalNumber"/>
        <w:rPr>
          <w:snapToGrid w:val="0"/>
          <w:lang w:val="fr-FR"/>
        </w:rPr>
      </w:pPr>
      <w:r w:rsidRPr="00BC402E">
        <w:rPr>
          <w:snapToGrid w:val="0"/>
          <w:lang w:val="fr-FR"/>
        </w:rPr>
        <w:t>Des cas de non-respect individuels ont été constatés concernant les obligations suivantes</w:t>
      </w:r>
      <w:r w:rsidR="00CA1B90">
        <w:rPr>
          <w:snapToGrid w:val="0"/>
          <w:lang w:val="fr-FR"/>
        </w:rPr>
        <w:t> :</w:t>
      </w:r>
      <w:r w:rsidRPr="00BC402E">
        <w:rPr>
          <w:snapToGrid w:val="0"/>
          <w:lang w:val="fr-FR"/>
        </w:rPr>
        <w:t xml:space="preserve"> l'obligation de présenter un rapport national conformément à l'article</w:t>
      </w:r>
      <w:r>
        <w:rPr>
          <w:snapToGrid w:val="0"/>
          <w:lang w:val="fr-FR"/>
        </w:rPr>
        <w:t> </w:t>
      </w:r>
      <w:r w:rsidRPr="00BC402E">
        <w:rPr>
          <w:snapToGrid w:val="0"/>
          <w:lang w:val="fr-FR"/>
        </w:rPr>
        <w:t>33 du Protocole de Cartagena sur la prévention des risques biotechnologiques</w:t>
      </w:r>
      <w:r w:rsidR="00D560E8">
        <w:rPr>
          <w:snapToGrid w:val="0"/>
          <w:lang w:val="fr-FR"/>
        </w:rPr>
        <w:t> ;</w:t>
      </w:r>
      <w:r w:rsidRPr="00BC402E">
        <w:rPr>
          <w:snapToGrid w:val="0"/>
          <w:lang w:val="fr-FR"/>
        </w:rPr>
        <w:t xml:space="preserve"> l'obligation de désigner un correspondant national pour le Protocole de Cartagena et de communiquer ses coordonnées par l'intermédiaire du Centre d'échange pour la prévention des risques biotechnologiques, conformément à l'article</w:t>
      </w:r>
      <w:r>
        <w:rPr>
          <w:snapToGrid w:val="0"/>
          <w:lang w:val="fr-FR"/>
        </w:rPr>
        <w:t> </w:t>
      </w:r>
      <w:r w:rsidRPr="00BC402E">
        <w:rPr>
          <w:snapToGrid w:val="0"/>
          <w:lang w:val="fr-FR"/>
        </w:rPr>
        <w:t>19 du Protocole</w:t>
      </w:r>
      <w:r w:rsidR="00D560E8">
        <w:rPr>
          <w:snapToGrid w:val="0"/>
          <w:lang w:val="fr-FR"/>
        </w:rPr>
        <w:t> ;</w:t>
      </w:r>
      <w:r w:rsidRPr="00BC402E">
        <w:rPr>
          <w:snapToGrid w:val="0"/>
          <w:lang w:val="fr-FR"/>
        </w:rPr>
        <w:t xml:space="preserve"> et l'obligation de prendre les mesures juridiques, administratives et autres nécessaires et appropriées pour la mise en œuvre des obligations du Protocole, conformément à l'article</w:t>
      </w:r>
      <w:r>
        <w:rPr>
          <w:snapToGrid w:val="0"/>
          <w:lang w:val="fr-FR"/>
        </w:rPr>
        <w:t> </w:t>
      </w:r>
      <w:r w:rsidRPr="00BC402E">
        <w:rPr>
          <w:snapToGrid w:val="0"/>
          <w:lang w:val="fr-FR"/>
        </w:rPr>
        <w:t>2, paragraphe</w:t>
      </w:r>
      <w:r>
        <w:rPr>
          <w:snapToGrid w:val="0"/>
          <w:lang w:val="fr-FR"/>
        </w:rPr>
        <w:t> </w:t>
      </w:r>
      <w:r w:rsidRPr="00BC402E">
        <w:rPr>
          <w:snapToGrid w:val="0"/>
          <w:lang w:val="fr-FR"/>
        </w:rPr>
        <w:t>1, du Protocole.</w:t>
      </w:r>
      <w:r w:rsidR="0003709C" w:rsidRPr="00F8252B">
        <w:rPr>
          <w:snapToGrid w:val="0"/>
          <w:lang w:val="fr-FR"/>
        </w:rPr>
        <w:t xml:space="preserve"> </w:t>
      </w:r>
    </w:p>
    <w:p w14:paraId="381FF71B" w14:textId="31A75394" w:rsidR="0003709C" w:rsidRPr="00F8252B" w:rsidRDefault="00120098" w:rsidP="0003709C">
      <w:pPr>
        <w:pStyle w:val="CBDNormalNumber"/>
        <w:rPr>
          <w:snapToGrid w:val="0"/>
          <w:lang w:val="fr-FR"/>
        </w:rPr>
      </w:pPr>
      <w:r w:rsidRPr="00120098">
        <w:rPr>
          <w:snapToGrid w:val="0"/>
          <w:lang w:val="fr-FR"/>
        </w:rPr>
        <w:t>En ce qui concerne les cas individuels de non-respect de l’article</w:t>
      </w:r>
      <w:r w:rsidR="008C4F04">
        <w:rPr>
          <w:snapToGrid w:val="0"/>
          <w:lang w:val="fr-FR"/>
        </w:rPr>
        <w:t> </w:t>
      </w:r>
      <w:r w:rsidRPr="00120098">
        <w:rPr>
          <w:snapToGrid w:val="0"/>
          <w:lang w:val="fr-FR"/>
        </w:rPr>
        <w:t>33 du Protocole, le Comité</w:t>
      </w:r>
      <w:r w:rsidR="00A9689C">
        <w:rPr>
          <w:snapToGrid w:val="0"/>
          <w:lang w:val="fr-FR"/>
        </w:rPr>
        <w:t xml:space="preserve"> </w:t>
      </w:r>
      <w:r w:rsidRPr="00120098">
        <w:rPr>
          <w:snapToGrid w:val="0"/>
          <w:lang w:val="fr-FR"/>
        </w:rPr>
        <w:t>a pris note</w:t>
      </w:r>
      <w:r w:rsidR="00A9689C" w:rsidRPr="00120098">
        <w:rPr>
          <w:snapToGrid w:val="0"/>
          <w:lang w:val="fr-FR"/>
        </w:rPr>
        <w:t xml:space="preserve"> lors de sa dix-neuvième réunion </w:t>
      </w:r>
      <w:r w:rsidRPr="00120098">
        <w:rPr>
          <w:snapToGrid w:val="0"/>
          <w:lang w:val="fr-FR"/>
        </w:rPr>
        <w:t>que sept Parties n’avaient toujours pas présenté ni leur troisième ni leur quatrième rapport national, malgré les efforts déployés par le Comité pour leur rappeler, à de multiples reprises et depuis de nombreuses années, leur obligation d’établir des rapports en vertu de l’article</w:t>
      </w:r>
      <w:r w:rsidR="008C4F04">
        <w:rPr>
          <w:snapToGrid w:val="0"/>
          <w:lang w:val="fr-FR"/>
        </w:rPr>
        <w:t> </w:t>
      </w:r>
      <w:r w:rsidRPr="00120098">
        <w:rPr>
          <w:snapToGrid w:val="0"/>
          <w:lang w:val="fr-FR"/>
        </w:rPr>
        <w:t>33. Reconnaissant que le suivi auprès de ces sept Parties s’était déroulé de manière progressive, le Comité a décidé de recommander à la Conférence des Parties siégeant en tant que réunion des Parties au Protocole, lors de sa onzième réunion, d’adresser un avertissement</w:t>
      </w:r>
      <w:r w:rsidR="0003709C" w:rsidRPr="00F8252B">
        <w:rPr>
          <w:rStyle w:val="Appelnotedebasdep"/>
          <w:snapToGrid w:val="0"/>
          <w:kern w:val="22"/>
          <w:lang w:val="fr-FR"/>
        </w:rPr>
        <w:footnoteReference w:id="24"/>
      </w:r>
      <w:r w:rsidR="0003709C" w:rsidRPr="00F8252B">
        <w:rPr>
          <w:snapToGrid w:val="0"/>
          <w:lang w:val="fr-FR"/>
        </w:rPr>
        <w:t xml:space="preserve"> </w:t>
      </w:r>
      <w:r>
        <w:rPr>
          <w:snapToGrid w:val="0"/>
          <w:lang w:val="fr-FR"/>
        </w:rPr>
        <w:t>à ces sept Parties</w:t>
      </w:r>
      <w:r w:rsidR="0003709C" w:rsidRPr="00F8252B">
        <w:rPr>
          <w:snapToGrid w:val="0"/>
          <w:lang w:val="fr-FR"/>
        </w:rPr>
        <w:t xml:space="preserve">, </w:t>
      </w:r>
      <w:r w:rsidR="00747AFA" w:rsidRPr="00747AFA">
        <w:rPr>
          <w:snapToGrid w:val="0"/>
          <w:lang w:val="fr-FR"/>
        </w:rPr>
        <w:t>à moins qu'un rapport n'ait été présenté avant la onzième réunion</w:t>
      </w:r>
      <w:r w:rsidR="0003709C" w:rsidRPr="00F8252B">
        <w:rPr>
          <w:rStyle w:val="Appelnotedebasdep"/>
          <w:snapToGrid w:val="0"/>
          <w:kern w:val="22"/>
          <w:lang w:val="fr-FR"/>
        </w:rPr>
        <w:footnoteReference w:id="25"/>
      </w:r>
      <w:r w:rsidR="00747AFA">
        <w:rPr>
          <w:snapToGrid w:val="0"/>
          <w:lang w:val="fr-FR"/>
        </w:rPr>
        <w:t>.</w:t>
      </w:r>
      <w:r w:rsidR="0003709C" w:rsidRPr="00F8252B">
        <w:rPr>
          <w:snapToGrid w:val="0"/>
          <w:lang w:val="fr-FR"/>
        </w:rPr>
        <w:t xml:space="preserve"> </w:t>
      </w:r>
      <w:r w:rsidR="00DD369E" w:rsidRPr="00DD369E">
        <w:rPr>
          <w:snapToGrid w:val="0"/>
          <w:lang w:val="fr-FR"/>
        </w:rPr>
        <w:t>Le Comité a demandé à son président d’informer les Parties concernées de sa recommandation, tout en les exhortant à présenter leur quatrième rapport national dans les meilleurs délais. Au moment où s’est tenue la onzième réunion de la Conférence des Parties siégeant en tant que réunion des Parties au Protocole de Cartagena, quatre de ces Parties avaient présenté leur quatrième rapport national. Conformément à la décision</w:t>
      </w:r>
      <w:r w:rsidR="00DD369E">
        <w:rPr>
          <w:snapToGrid w:val="0"/>
          <w:lang w:val="fr-FR"/>
        </w:rPr>
        <w:t> </w:t>
      </w:r>
      <w:r w:rsidR="00DD369E" w:rsidRPr="00DD369E">
        <w:rPr>
          <w:snapToGrid w:val="0"/>
          <w:lang w:val="fr-FR"/>
        </w:rPr>
        <w:t>CP-11/1 B, les trois autres Parties ont reçu un avertissement pour ne pas avoir présenté leurs troisième et quatrième rapports nationaux et ont été instamment priées de présenter leur quatrième rapport national de toute urgence. À la suite de la onzième réunion, le FEM a accordé une aide financière à ces Parties afin de leur permettre de préparer leur quatrième rapport national, et deux des trois Parties ayant fait l’objet d’un avertissement ont par la suite présenté leur quatrième rapport national.  En conséquence, six des sept cas individuels de non-conformité identifiés par le Comité ont été résolus.</w:t>
      </w:r>
    </w:p>
    <w:p w14:paraId="3D579E1A" w14:textId="7F53EA56" w:rsidR="0003709C" w:rsidRPr="00F8252B" w:rsidRDefault="00141541" w:rsidP="0003709C">
      <w:pPr>
        <w:pStyle w:val="CBDNormalNumber"/>
        <w:rPr>
          <w:snapToGrid w:val="0"/>
          <w:lang w:val="fr-FR"/>
        </w:rPr>
      </w:pPr>
      <w:r w:rsidRPr="00141541">
        <w:rPr>
          <w:snapToGrid w:val="0"/>
          <w:lang w:val="fr-FR"/>
        </w:rPr>
        <w:t>En ce qui concerne les cas individuels de non-respect de l’article</w:t>
      </w:r>
      <w:r w:rsidR="005E68FF">
        <w:rPr>
          <w:snapToGrid w:val="0"/>
          <w:lang w:val="fr-FR"/>
        </w:rPr>
        <w:t> </w:t>
      </w:r>
      <w:r w:rsidRPr="00141541">
        <w:rPr>
          <w:snapToGrid w:val="0"/>
          <w:lang w:val="fr-FR"/>
        </w:rPr>
        <w:t xml:space="preserve">19, le Comité, lors de sa dix-neuvième réunion, constatant que deux Parties n’avaient pas désigné de correspondant national pour </w:t>
      </w:r>
      <w:r w:rsidRPr="00141541">
        <w:rPr>
          <w:snapToGrid w:val="0"/>
          <w:lang w:val="fr-FR"/>
        </w:rPr>
        <w:lastRenderedPageBreak/>
        <w:t>le Protocole de Cartagena depuis plusieurs années malgré de nombreuses communications de suivi émanant du secrétariat et du président du Comité, a demandé à son président d’écrire au ministre chargé de superviser les correspondants nationaux pour la Convention afin de les exhorter à désigner leurs correspondants nationaux</w:t>
      </w:r>
      <w:r w:rsidR="0003709C" w:rsidRPr="00F8252B">
        <w:rPr>
          <w:rStyle w:val="Appelnotedebasdep"/>
          <w:snapToGrid w:val="0"/>
          <w:kern w:val="22"/>
          <w:lang w:val="fr-FR"/>
        </w:rPr>
        <w:footnoteReference w:id="26"/>
      </w:r>
      <w:r>
        <w:rPr>
          <w:snapToGrid w:val="0"/>
          <w:lang w:val="fr-FR"/>
        </w:rPr>
        <w:t>.</w:t>
      </w:r>
      <w:r w:rsidR="0003709C" w:rsidRPr="00F8252B">
        <w:rPr>
          <w:snapToGrid w:val="0"/>
          <w:lang w:val="fr-FR"/>
        </w:rPr>
        <w:t xml:space="preserve"> </w:t>
      </w:r>
      <w:r w:rsidR="00C00D7F" w:rsidRPr="00C00D7F">
        <w:rPr>
          <w:snapToGrid w:val="0"/>
          <w:lang w:val="fr-FR"/>
        </w:rPr>
        <w:t>À la suite de ces échanges, les deux Parties ont désigné un correspondant et ont communiqué leurs coordonnées par l'intermédiaire du Centre d'échange pour la prévention des risques biotechnologiques. Les deux cas de non-conformité identifiés par le Comité ont ainsi été résolus.</w:t>
      </w:r>
    </w:p>
    <w:p w14:paraId="6559165F" w14:textId="2255A08F" w:rsidR="0003709C" w:rsidRPr="00F8252B" w:rsidRDefault="00295C48" w:rsidP="0003709C">
      <w:pPr>
        <w:pStyle w:val="CBDNormalNumber"/>
        <w:rPr>
          <w:snapToGrid w:val="0"/>
          <w:lang w:val="fr-FR"/>
        </w:rPr>
      </w:pPr>
      <w:r w:rsidRPr="00295C48">
        <w:rPr>
          <w:snapToGrid w:val="0"/>
          <w:lang w:val="fr-FR"/>
        </w:rPr>
        <w:t>En ce qui concerne les cas individuels de non-respect de l'obligation prévue à l'article</w:t>
      </w:r>
      <w:r w:rsidR="00E2521B">
        <w:rPr>
          <w:snapToGrid w:val="0"/>
          <w:lang w:val="fr-FR"/>
        </w:rPr>
        <w:t> </w:t>
      </w:r>
      <w:r w:rsidRPr="00295C48">
        <w:rPr>
          <w:snapToGrid w:val="0"/>
          <w:lang w:val="fr-FR"/>
        </w:rPr>
        <w:t>2, paragraphe</w:t>
      </w:r>
      <w:r w:rsidR="00E2521B">
        <w:rPr>
          <w:snapToGrid w:val="0"/>
          <w:lang w:val="fr-FR"/>
        </w:rPr>
        <w:t> </w:t>
      </w:r>
      <w:r w:rsidRPr="00295C48">
        <w:rPr>
          <w:snapToGrid w:val="0"/>
          <w:lang w:val="fr-FR"/>
        </w:rPr>
        <w:t xml:space="preserve">1, le Comité a concentré ses efforts sur les Parties qui ont indiqué n'avoir pris aucune mesure pour s'acquitter de leurs obligations au titre du Protocole ou avoir pris à cet égard </w:t>
      </w:r>
      <w:r>
        <w:rPr>
          <w:snapToGrid w:val="0"/>
          <w:lang w:val="fr-FR"/>
        </w:rPr>
        <w:t xml:space="preserve">uniquement </w:t>
      </w:r>
      <w:r w:rsidRPr="00295C48">
        <w:rPr>
          <w:snapToGrid w:val="0"/>
          <w:lang w:val="fr-FR"/>
        </w:rPr>
        <w:t>des mesures provisoires ou à l'état de projet.</w:t>
      </w:r>
      <w:r w:rsidR="0003709C" w:rsidRPr="00F8252B">
        <w:rPr>
          <w:snapToGrid w:val="0"/>
          <w:lang w:val="fr-FR"/>
        </w:rPr>
        <w:t xml:space="preserve"> </w:t>
      </w:r>
    </w:p>
    <w:p w14:paraId="25BC2CEE" w14:textId="5A0CDAE0" w:rsidR="0003709C" w:rsidRPr="00F8252B" w:rsidRDefault="005540C5" w:rsidP="0003709C">
      <w:pPr>
        <w:pStyle w:val="CBDNormalNumber"/>
        <w:rPr>
          <w:snapToGrid w:val="0"/>
          <w:lang w:val="fr-FR"/>
        </w:rPr>
      </w:pPr>
      <w:r w:rsidRPr="005540C5">
        <w:rPr>
          <w:snapToGrid w:val="0"/>
          <w:lang w:val="fr-FR"/>
        </w:rPr>
        <w:t>Dans le cadre de son examen du respect de l'obligation de mettre en place des mesures visant à mettre en œuvre le Protocole et de son analyse des informations fournies par les Parties dans leurs rapports nationaux à cet égard, le Comité a demandé à 34</w:t>
      </w:r>
      <w:r>
        <w:rPr>
          <w:snapToGrid w:val="0"/>
          <w:lang w:val="fr-FR"/>
        </w:rPr>
        <w:t> </w:t>
      </w:r>
      <w:r w:rsidRPr="005540C5">
        <w:rPr>
          <w:snapToGrid w:val="0"/>
          <w:lang w:val="fr-FR"/>
        </w:rPr>
        <w:t>Parties d'élaborer un plan d'action pour la mise en conformité. Ces plans définissent les actions à mener et le calendrier à respecter pour l'adoption des mesures nécessaires à la mise en œuvre du Protocole, conformément à l'obligation prévue à l'article</w:t>
      </w:r>
      <w:r>
        <w:rPr>
          <w:snapToGrid w:val="0"/>
          <w:lang w:val="fr-FR"/>
        </w:rPr>
        <w:t> </w:t>
      </w:r>
      <w:r w:rsidRPr="005540C5">
        <w:rPr>
          <w:snapToGrid w:val="0"/>
          <w:lang w:val="fr-FR"/>
        </w:rPr>
        <w:t>2, paragraphe</w:t>
      </w:r>
      <w:r w:rsidR="00001875">
        <w:rPr>
          <w:snapToGrid w:val="0"/>
          <w:lang w:val="fr-FR"/>
        </w:rPr>
        <w:t> </w:t>
      </w:r>
      <w:r w:rsidRPr="005540C5">
        <w:rPr>
          <w:snapToGrid w:val="0"/>
          <w:lang w:val="fr-FR"/>
        </w:rPr>
        <w:t>1</w:t>
      </w:r>
      <w:r w:rsidR="0003709C" w:rsidRPr="00F8252B">
        <w:rPr>
          <w:snapToGrid w:val="0"/>
          <w:lang w:val="fr-FR"/>
        </w:rPr>
        <w:t>.</w:t>
      </w:r>
    </w:p>
    <w:p w14:paraId="3F1467F3" w14:textId="428598E8" w:rsidR="0003709C" w:rsidRPr="00F8252B" w:rsidRDefault="002E41E6" w:rsidP="0003709C">
      <w:pPr>
        <w:pStyle w:val="CBDNormalNumber"/>
        <w:rPr>
          <w:snapToGrid w:val="0"/>
          <w:lang w:val="fr-FR"/>
        </w:rPr>
      </w:pPr>
      <w:r w:rsidRPr="002E41E6">
        <w:rPr>
          <w:snapToGrid w:val="0"/>
          <w:lang w:val="fr-FR"/>
        </w:rPr>
        <w:t>Sur les 34</w:t>
      </w:r>
      <w:r>
        <w:rPr>
          <w:snapToGrid w:val="0"/>
          <w:lang w:val="fr-FR"/>
        </w:rPr>
        <w:t> </w:t>
      </w:r>
      <w:r w:rsidRPr="002E41E6">
        <w:rPr>
          <w:snapToGrid w:val="0"/>
          <w:lang w:val="fr-FR"/>
        </w:rPr>
        <w:t xml:space="preserve">Parties auxquelles </w:t>
      </w:r>
      <w:r w:rsidR="00DB1826">
        <w:rPr>
          <w:snapToGrid w:val="0"/>
          <w:lang w:val="fr-FR"/>
        </w:rPr>
        <w:t>l</w:t>
      </w:r>
      <w:r w:rsidRPr="002E41E6">
        <w:rPr>
          <w:snapToGrid w:val="0"/>
          <w:lang w:val="fr-FR"/>
        </w:rPr>
        <w:t>’élabor</w:t>
      </w:r>
      <w:r w:rsidR="00DB1826">
        <w:rPr>
          <w:snapToGrid w:val="0"/>
          <w:lang w:val="fr-FR"/>
        </w:rPr>
        <w:t>ation d’</w:t>
      </w:r>
      <w:r w:rsidRPr="002E41E6">
        <w:rPr>
          <w:snapToGrid w:val="0"/>
          <w:lang w:val="fr-FR"/>
        </w:rPr>
        <w:t>un plan d’action pour la mise en conformité</w:t>
      </w:r>
      <w:r w:rsidR="00DB1826">
        <w:rPr>
          <w:snapToGrid w:val="0"/>
          <w:lang w:val="fr-FR"/>
        </w:rPr>
        <w:t xml:space="preserve"> avait été demandée</w:t>
      </w:r>
      <w:r w:rsidRPr="002E41E6">
        <w:rPr>
          <w:snapToGrid w:val="0"/>
          <w:lang w:val="fr-FR"/>
        </w:rPr>
        <w:t xml:space="preserve">, 19 </w:t>
      </w:r>
      <w:r w:rsidR="00DB1826">
        <w:rPr>
          <w:snapToGrid w:val="0"/>
          <w:lang w:val="fr-FR"/>
        </w:rPr>
        <w:t xml:space="preserve">en </w:t>
      </w:r>
      <w:r w:rsidRPr="002E41E6">
        <w:rPr>
          <w:snapToGrid w:val="0"/>
          <w:lang w:val="fr-FR"/>
        </w:rPr>
        <w:t>ont présenté un. L’une de ces 19</w:t>
      </w:r>
      <w:r>
        <w:rPr>
          <w:snapToGrid w:val="0"/>
          <w:lang w:val="fr-FR"/>
        </w:rPr>
        <w:t> </w:t>
      </w:r>
      <w:r w:rsidRPr="002E41E6">
        <w:rPr>
          <w:snapToGrid w:val="0"/>
          <w:lang w:val="fr-FR"/>
        </w:rPr>
        <w:t>Parties a achevé les activités prévues dans son plan, tandis que les 18 autres plans font actuellement l’objet d’un examen approfondi par le Comité. Sept des 34</w:t>
      </w:r>
      <w:r>
        <w:rPr>
          <w:snapToGrid w:val="0"/>
          <w:lang w:val="fr-FR"/>
        </w:rPr>
        <w:t> </w:t>
      </w:r>
      <w:r w:rsidRPr="002E41E6">
        <w:rPr>
          <w:snapToGrid w:val="0"/>
          <w:lang w:val="fr-FR"/>
        </w:rPr>
        <w:t xml:space="preserve">Parties n’étaient plus tenues d’élaborer un plan d’action de mise en conformité, des informations ultérieures ayant indiqué qu’elles avaient réalisé des progrès </w:t>
      </w:r>
      <w:r w:rsidR="00D01D03">
        <w:rPr>
          <w:snapToGrid w:val="0"/>
          <w:lang w:val="fr-FR"/>
        </w:rPr>
        <w:t>en termes</w:t>
      </w:r>
      <w:r w:rsidRPr="002E41E6">
        <w:rPr>
          <w:snapToGrid w:val="0"/>
          <w:lang w:val="fr-FR"/>
        </w:rPr>
        <w:t xml:space="preserve"> </w:t>
      </w:r>
      <w:r w:rsidR="00D01D03">
        <w:rPr>
          <w:snapToGrid w:val="0"/>
          <w:lang w:val="fr-FR"/>
        </w:rPr>
        <w:t>d</w:t>
      </w:r>
      <w:r w:rsidRPr="002E41E6">
        <w:rPr>
          <w:snapToGrid w:val="0"/>
          <w:lang w:val="fr-FR"/>
        </w:rPr>
        <w:t>’adoption de mesures. Les huit Parties restantes n’ont pas encore présenté de plan d’action de mise en conformité. Le Comité continue à assurer le suivi auprès des Parties restantes à ce sujet.</w:t>
      </w:r>
    </w:p>
    <w:p w14:paraId="0CE4A5AE" w14:textId="616816B6" w:rsidR="0003709C" w:rsidRPr="00F8252B" w:rsidRDefault="006877E6" w:rsidP="0003709C">
      <w:pPr>
        <w:pStyle w:val="CBDNormalNumber"/>
        <w:rPr>
          <w:snapToGrid w:val="0"/>
          <w:lang w:val="fr-FR"/>
        </w:rPr>
      </w:pPr>
      <w:r w:rsidRPr="006877E6">
        <w:rPr>
          <w:snapToGrid w:val="0"/>
          <w:lang w:val="fr-FR"/>
        </w:rPr>
        <w:t>Le Comité chargé du respect des obligations a mené des échanges informels en ligne avec six Parties ayant présenté un plan d’action de conformité. Ces échanges ont permis de discuter avec les Parties concernées des progrès accomplis et des éventuelles difficultés liées à la mise en œuvre de leurs plans. Des échanges informels en ligne avec six autres Parties dont les plans d’action de conformité font actuellement l’objet d’un examen approfondi ont été programmés pour la vingt et unième réunion du Comité. En collaboration avec le Programme de Montevideo du PNUE pour le développement et l’examen périodique du droit de l’environnement, le Comité a encouragé les Parties dont les plans d’action de conformité sont en cours d’examen à envisager de solliciter une aide financière auprès du PNUE en vue de renforcer leurs cadres juridiques en matière de prévention des risques biotechnologiques. Trois Parties ont bénéficié d’un appui à cet égard, tel qu'indiqué dans le texte ci-dessous</w:t>
      </w:r>
      <w:r w:rsidR="0003709C" w:rsidRPr="00F8252B">
        <w:rPr>
          <w:snapToGrid w:val="0"/>
          <w:lang w:val="fr-FR"/>
        </w:rPr>
        <w:t>.</w:t>
      </w:r>
    </w:p>
    <w:p w14:paraId="3AB4B3DE" w14:textId="04C0F550" w:rsidR="0003709C" w:rsidRPr="00F8252B" w:rsidRDefault="008258FA" w:rsidP="0003709C">
      <w:pPr>
        <w:pStyle w:val="CBDNormalNumber"/>
        <w:rPr>
          <w:snapToGrid w:val="0"/>
          <w:lang w:val="fr-FR"/>
        </w:rPr>
      </w:pPr>
      <w:r w:rsidRPr="008258FA">
        <w:rPr>
          <w:snapToGrid w:val="0"/>
          <w:lang w:val="fr-FR"/>
        </w:rPr>
        <w:t>Sur les 34</w:t>
      </w:r>
      <w:r>
        <w:rPr>
          <w:snapToGrid w:val="0"/>
          <w:lang w:val="fr-FR"/>
        </w:rPr>
        <w:t> </w:t>
      </w:r>
      <w:r w:rsidRPr="008258FA">
        <w:rPr>
          <w:snapToGrid w:val="0"/>
          <w:lang w:val="fr-FR"/>
        </w:rPr>
        <w:t>cas individuels de non-respect de l'obligation prévue à l'article</w:t>
      </w:r>
      <w:r>
        <w:rPr>
          <w:snapToGrid w:val="0"/>
          <w:lang w:val="fr-FR"/>
        </w:rPr>
        <w:t> </w:t>
      </w:r>
      <w:r w:rsidRPr="008258FA">
        <w:rPr>
          <w:snapToGrid w:val="0"/>
          <w:lang w:val="fr-FR"/>
        </w:rPr>
        <w:t>2, paragraphe</w:t>
      </w:r>
      <w:r>
        <w:rPr>
          <w:snapToGrid w:val="0"/>
          <w:lang w:val="fr-FR"/>
        </w:rPr>
        <w:t> </w:t>
      </w:r>
      <w:r w:rsidRPr="008258FA">
        <w:rPr>
          <w:snapToGrid w:val="0"/>
          <w:lang w:val="fr-FR"/>
        </w:rPr>
        <w:t>1, pour lesquels il avait été demandé d'élaborer un plan d'action visant à remédier à cette situation, 8</w:t>
      </w:r>
      <w:r>
        <w:rPr>
          <w:snapToGrid w:val="0"/>
          <w:lang w:val="fr-FR"/>
        </w:rPr>
        <w:t> </w:t>
      </w:r>
      <w:r w:rsidRPr="008258FA">
        <w:rPr>
          <w:snapToGrid w:val="0"/>
          <w:lang w:val="fr-FR"/>
        </w:rPr>
        <w:t>cas au total (24</w:t>
      </w:r>
      <w:r w:rsidR="00667501">
        <w:rPr>
          <w:snapToGrid w:val="0"/>
          <w:lang w:val="fr-FR"/>
        </w:rPr>
        <w:t> %</w:t>
      </w:r>
      <w:r w:rsidRPr="008258FA">
        <w:rPr>
          <w:snapToGrid w:val="0"/>
          <w:lang w:val="fr-FR"/>
        </w:rPr>
        <w:t>) ont abouti à une résolution satisfaisante ou n'étaient plus considérés comme des cas individuels de non-respect</w:t>
      </w:r>
      <w:r w:rsidR="0003709C" w:rsidRPr="00F8252B">
        <w:rPr>
          <w:snapToGrid w:val="0"/>
          <w:lang w:val="fr-FR"/>
        </w:rPr>
        <w:t xml:space="preserve">. </w:t>
      </w:r>
    </w:p>
    <w:p w14:paraId="41651335" w14:textId="6D07FA12" w:rsidR="0003709C" w:rsidRPr="00F8252B" w:rsidRDefault="0063088C" w:rsidP="0003709C">
      <w:pPr>
        <w:pStyle w:val="CBDNormalNumber"/>
        <w:rPr>
          <w:snapToGrid w:val="0"/>
          <w:lang w:val="fr-FR"/>
        </w:rPr>
      </w:pPr>
      <w:r>
        <w:rPr>
          <w:snapToGrid w:val="0"/>
          <w:lang w:val="fr-FR"/>
        </w:rPr>
        <w:t>Pour</w:t>
      </w:r>
      <w:r w:rsidR="00EA0505" w:rsidRPr="00EA0505">
        <w:rPr>
          <w:snapToGrid w:val="0"/>
          <w:lang w:val="fr-FR"/>
        </w:rPr>
        <w:t xml:space="preserve"> </w:t>
      </w:r>
      <w:r w:rsidR="009C14A1">
        <w:rPr>
          <w:snapToGrid w:val="0"/>
          <w:lang w:val="fr-FR"/>
        </w:rPr>
        <w:t>le but </w:t>
      </w:r>
      <w:r w:rsidR="00EA0505" w:rsidRPr="00EA0505">
        <w:rPr>
          <w:snapToGrid w:val="0"/>
          <w:lang w:val="fr-FR"/>
        </w:rPr>
        <w:t>A.4, un domaine clé du renforcement des capacités a été identifié dans le cadre du plan d'action pour le renforcement des capacités, à savoir «</w:t>
      </w:r>
      <w:r w:rsidR="00EA0505">
        <w:rPr>
          <w:snapToGrid w:val="0"/>
          <w:lang w:val="fr-FR"/>
        </w:rPr>
        <w:t> </w:t>
      </w:r>
      <w:r w:rsidR="00EA0505" w:rsidRPr="00EA0505">
        <w:rPr>
          <w:snapToGrid w:val="0"/>
          <w:lang w:val="fr-FR"/>
        </w:rPr>
        <w:t xml:space="preserve">traiter les </w:t>
      </w:r>
      <w:r w:rsidR="00EA0505">
        <w:rPr>
          <w:snapToGrid w:val="0"/>
          <w:lang w:val="fr-FR"/>
        </w:rPr>
        <w:t xml:space="preserve">questions </w:t>
      </w:r>
      <w:r w:rsidR="00EA0505" w:rsidRPr="00EA0505">
        <w:rPr>
          <w:snapToGrid w:val="0"/>
          <w:lang w:val="fr-FR"/>
        </w:rPr>
        <w:t>de non-conformité relevé</w:t>
      </w:r>
      <w:r w:rsidR="00EA0505">
        <w:rPr>
          <w:snapToGrid w:val="0"/>
          <w:lang w:val="fr-FR"/>
        </w:rPr>
        <w:t>e</w:t>
      </w:r>
      <w:r w:rsidR="00EA0505" w:rsidRPr="00EA0505">
        <w:rPr>
          <w:snapToGrid w:val="0"/>
          <w:lang w:val="fr-FR"/>
        </w:rPr>
        <w:t>s par le Comité chargé du respect des obligations</w:t>
      </w:r>
      <w:r w:rsidR="00EA0505">
        <w:rPr>
          <w:snapToGrid w:val="0"/>
          <w:lang w:val="fr-FR"/>
        </w:rPr>
        <w:t> </w:t>
      </w:r>
      <w:r w:rsidR="00EA0505" w:rsidRPr="00EA0505">
        <w:rPr>
          <w:snapToGrid w:val="0"/>
          <w:lang w:val="fr-FR"/>
        </w:rPr>
        <w:t>».</w:t>
      </w:r>
    </w:p>
    <w:p w14:paraId="12528F9C" w14:textId="5CF96482" w:rsidR="00B953F3" w:rsidRPr="00F8252B" w:rsidRDefault="00283A1C" w:rsidP="00FA2932">
      <w:pPr>
        <w:pStyle w:val="CBDNormalNumber"/>
        <w:rPr>
          <w:b/>
          <w:bCs/>
          <w:snapToGrid w:val="0"/>
          <w:kern w:val="22"/>
          <w:lang w:val="fr-FR"/>
        </w:rPr>
      </w:pPr>
      <w:r w:rsidRPr="00283A1C">
        <w:rPr>
          <w:snapToGrid w:val="0"/>
          <w:lang w:val="fr-FR"/>
        </w:rPr>
        <w:t xml:space="preserve">Trois Parties dont les plans d’action en matière de conformité faisaient l’objet d’un examen actif ont bénéficié de l’appui du PNUE par le biais de son Programme de Montevideo pour le développement et l’examen périodique du droit de l’environnement. Cet appui a permis à ces Parties d’engager les processus législatifs nationaux nécessaires, y compris des consultations, en vue d’élaborer une législation sur la prévention des risques biotechnologiques avec l’aide d’un consultant. L’un des projets a été mené à bien et un projet de loi sur la prévention des risques </w:t>
      </w:r>
      <w:r w:rsidRPr="00283A1C">
        <w:rPr>
          <w:snapToGrid w:val="0"/>
          <w:lang w:val="fr-FR"/>
        </w:rPr>
        <w:lastRenderedPageBreak/>
        <w:t>biotechnologiques a été présenté au gouvernement pour être examiné par le pouvoir législatif.  En outre, la FAO a apporté un appui technique à quatre Parties afin de les aider à renforcer leur législation en matière de prévention des risques biotechnologiques. Ces activités ont été cofinancées par le Fonds japonais pour la biodiversité et le PNUE dans le cadre de son Programme de Montevideo sur le droit de l’environnement. L’une de ces Parties était une Partie dont le cas avait été examiné au titre des cas individuels de non-conformité concernant le respect du paragraphe</w:t>
      </w:r>
      <w:r w:rsidR="00DC6A8D">
        <w:rPr>
          <w:snapToGrid w:val="0"/>
          <w:lang w:val="fr-FR"/>
        </w:rPr>
        <w:t> </w:t>
      </w:r>
      <w:r w:rsidRPr="00283A1C">
        <w:rPr>
          <w:snapToGrid w:val="0"/>
          <w:lang w:val="fr-FR"/>
        </w:rPr>
        <w:t>1 de l’article</w:t>
      </w:r>
      <w:r w:rsidR="00DC6A8D">
        <w:rPr>
          <w:snapToGrid w:val="0"/>
          <w:lang w:val="fr-FR"/>
        </w:rPr>
        <w:t> </w:t>
      </w:r>
      <w:r w:rsidRPr="00283A1C">
        <w:rPr>
          <w:snapToGrid w:val="0"/>
          <w:lang w:val="fr-FR"/>
        </w:rPr>
        <w:t>2 du Protocole.</w:t>
      </w:r>
    </w:p>
    <w:p w14:paraId="6F7A0B7B" w14:textId="72FE3974" w:rsidR="00AF1807" w:rsidRPr="00F8252B" w:rsidRDefault="00E0169E" w:rsidP="00FA2932">
      <w:pPr>
        <w:pStyle w:val="CBDH2"/>
        <w:jc w:val="left"/>
        <w:rPr>
          <w:snapToGrid w:val="0"/>
          <w:lang w:val="fr-FR"/>
        </w:rPr>
      </w:pPr>
      <w:r w:rsidRPr="00F8252B">
        <w:rPr>
          <w:snapToGrid w:val="0"/>
          <w:lang w:val="fr-FR"/>
        </w:rPr>
        <w:t>E.</w:t>
      </w:r>
      <w:r w:rsidRPr="00F8252B">
        <w:rPr>
          <w:snapToGrid w:val="0"/>
          <w:lang w:val="fr-FR"/>
        </w:rPr>
        <w:tab/>
      </w:r>
      <w:r w:rsidR="00394AFB" w:rsidRPr="00F8252B">
        <w:rPr>
          <w:snapToGrid w:val="0"/>
          <w:lang w:val="fr-FR"/>
        </w:rPr>
        <w:t>But</w:t>
      </w:r>
      <w:r w:rsidR="00966A6C">
        <w:rPr>
          <w:snapToGrid w:val="0"/>
          <w:lang w:val="fr-FR"/>
        </w:rPr>
        <w:t> </w:t>
      </w:r>
      <w:r w:rsidR="00BE013A" w:rsidRPr="00F8252B">
        <w:rPr>
          <w:snapToGrid w:val="0"/>
          <w:lang w:val="fr-FR"/>
        </w:rPr>
        <w:t xml:space="preserve">A.5. </w:t>
      </w:r>
      <w:r w:rsidR="00394AFB" w:rsidRPr="00F8252B">
        <w:rPr>
          <w:lang w:val="fr-FR"/>
        </w:rPr>
        <w:t>Les Parties procèdent à des évaluations scientifiquement fondées des risques relatifs aux organismes vivants modifiés (OVM), et gèrent et contrôlent les risques identifiés pour prévenir les effets néfastes des OVM sur la conservation et l’utilisation durable de la diversité biologique, en tenant compte des risques pour la santé humaine</w:t>
      </w:r>
    </w:p>
    <w:p w14:paraId="4513D5A3" w14:textId="5A9AE60C" w:rsidR="008D6C1F" w:rsidRPr="00F8252B" w:rsidRDefault="003802A8" w:rsidP="00FA2932">
      <w:pPr>
        <w:pStyle w:val="CBDH4"/>
        <w:rPr>
          <w:snapToGrid w:val="0"/>
          <w:lang w:val="fr-FR"/>
        </w:rPr>
      </w:pPr>
      <w:r w:rsidRPr="00F8252B">
        <w:rPr>
          <w:snapToGrid w:val="0"/>
          <w:lang w:val="fr-FR"/>
        </w:rPr>
        <w:t>a)</w:t>
      </w:r>
      <w:r w:rsidRPr="00F8252B">
        <w:rPr>
          <w:snapToGrid w:val="0"/>
          <w:lang w:val="fr-FR"/>
        </w:rPr>
        <w:tab/>
      </w:r>
      <w:r w:rsidR="00C054E6" w:rsidRPr="00F8252B">
        <w:rPr>
          <w:snapToGrid w:val="0"/>
          <w:lang w:val="fr-FR"/>
        </w:rPr>
        <w:t xml:space="preserve">Chiffres clés et </w:t>
      </w:r>
      <w:r w:rsidR="0035077E" w:rsidRPr="00F8252B">
        <w:rPr>
          <w:snapToGrid w:val="0"/>
          <w:lang w:val="fr-FR"/>
        </w:rPr>
        <w:t>éléments importants</w:t>
      </w:r>
      <w:r w:rsidR="00930C63" w:rsidRPr="00F8252B">
        <w:rPr>
          <w:snapToGrid w:val="0"/>
          <w:lang w:val="fr-FR"/>
        </w:rPr>
        <w:t xml:space="preserve">  </w:t>
      </w:r>
    </w:p>
    <w:p w14:paraId="62E71F3D" w14:textId="165EC68B" w:rsidR="004807DD" w:rsidRPr="00F8252B" w:rsidRDefault="00486977" w:rsidP="004807DD">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fr-FR"/>
        </w:rPr>
      </w:pPr>
      <w:r w:rsidRPr="00486977">
        <w:rPr>
          <w:snapToGrid w:val="0"/>
          <w:kern w:val="22"/>
          <w:lang w:val="fr-FR"/>
        </w:rPr>
        <w:t>Parmi les Parties qui procèdent à des évaluations des risques liés aux organismes vivants modifiés, 91</w:t>
      </w:r>
      <w:r w:rsidR="00667501">
        <w:rPr>
          <w:snapToGrid w:val="0"/>
          <w:kern w:val="22"/>
          <w:lang w:val="fr-FR"/>
        </w:rPr>
        <w:t> %</w:t>
      </w:r>
      <w:r w:rsidRPr="00486977">
        <w:rPr>
          <w:snapToGrid w:val="0"/>
          <w:kern w:val="22"/>
          <w:lang w:val="fr-FR"/>
        </w:rPr>
        <w:t xml:space="preserve"> ont indiqué qu'elles effectuaient ces évaluations conformément au Protocole</w:t>
      </w:r>
      <w:r w:rsidR="0049454D">
        <w:rPr>
          <w:snapToGrid w:val="0"/>
          <w:kern w:val="22"/>
          <w:lang w:val="fr-FR"/>
        </w:rPr>
        <w:t>.</w:t>
      </w:r>
    </w:p>
    <w:p w14:paraId="57A6548E" w14:textId="351E0AD1" w:rsidR="004807DD" w:rsidRPr="00F8252B" w:rsidRDefault="000E18FC" w:rsidP="004807DD">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fr-FR"/>
        </w:rPr>
      </w:pPr>
      <w:r w:rsidRPr="000E18FC">
        <w:rPr>
          <w:snapToGrid w:val="0"/>
          <w:kern w:val="22"/>
          <w:lang w:val="fr-FR"/>
        </w:rPr>
        <w:t xml:space="preserve">Soixante-sept pour cent des Parties ont indiqué avoir mis en place des mesures visant à identifier les organismes vivants modifiés ou les caractères spécifiques susceptibles d'avoir des effets néfastes sur la conservation et l'utilisation durable de la diversité biologique. La proportion des Parties ayant déclaré disposer de telles mesures variait considérablement d'une région à l'autre, </w:t>
      </w:r>
      <w:r>
        <w:rPr>
          <w:snapToGrid w:val="0"/>
          <w:kern w:val="22"/>
          <w:lang w:val="fr-FR"/>
        </w:rPr>
        <w:t>entre</w:t>
      </w:r>
      <w:r w:rsidRPr="000E18FC">
        <w:rPr>
          <w:snapToGrid w:val="0"/>
          <w:kern w:val="22"/>
          <w:lang w:val="fr-FR"/>
        </w:rPr>
        <w:t xml:space="preserve"> 50 </w:t>
      </w:r>
      <w:r>
        <w:rPr>
          <w:snapToGrid w:val="0"/>
          <w:kern w:val="22"/>
          <w:lang w:val="fr-FR"/>
        </w:rPr>
        <w:t>et</w:t>
      </w:r>
      <w:r w:rsidRPr="000E18FC">
        <w:rPr>
          <w:snapToGrid w:val="0"/>
          <w:kern w:val="22"/>
          <w:lang w:val="fr-FR"/>
        </w:rPr>
        <w:t xml:space="preserve"> 9</w:t>
      </w:r>
      <w:r w:rsidR="009E7C98">
        <w:rPr>
          <w:snapToGrid w:val="0"/>
          <w:kern w:val="22"/>
          <w:lang w:val="fr-FR"/>
        </w:rPr>
        <w:t>5</w:t>
      </w:r>
      <w:r w:rsidR="00667501">
        <w:rPr>
          <w:snapToGrid w:val="0"/>
          <w:kern w:val="22"/>
          <w:lang w:val="fr-FR"/>
        </w:rPr>
        <w:t> %</w:t>
      </w:r>
      <w:r w:rsidR="001628BF">
        <w:rPr>
          <w:snapToGrid w:val="0"/>
          <w:kern w:val="22"/>
          <w:lang w:val="fr-FR"/>
        </w:rPr>
        <w:t>.</w:t>
      </w:r>
    </w:p>
    <w:p w14:paraId="2306ACEB" w14:textId="5F5EF795" w:rsidR="004807DD" w:rsidRPr="00F8252B" w:rsidRDefault="00FE3622" w:rsidP="004807DD">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fr-FR"/>
        </w:rPr>
      </w:pPr>
      <w:r w:rsidRPr="00FE3622">
        <w:rPr>
          <w:snapToGrid w:val="0"/>
          <w:kern w:val="22"/>
          <w:lang w:val="fr-FR"/>
        </w:rPr>
        <w:t>Soixante-sept pour cent des Parties ont déclaré avoir eu accès à des ressources techniques pour l'évaluation des risques et les avoir utilisées, et soixante-quatre pour cent, à des ressources de gestion du risque qu'elles ont utilisées. Au niveau régional, la proportion des Parties ayant déclaré avoir eu accès à des ressources techniques et les avoir utilisées à la fois pour l'évaluation des risques et pour la gestion des risques variait entre 46 et 100</w:t>
      </w:r>
      <w:r w:rsidR="00667501">
        <w:rPr>
          <w:snapToGrid w:val="0"/>
          <w:kern w:val="22"/>
          <w:lang w:val="fr-FR"/>
        </w:rPr>
        <w:t> %</w:t>
      </w:r>
      <w:r w:rsidRPr="00FE3622">
        <w:rPr>
          <w:snapToGrid w:val="0"/>
          <w:kern w:val="22"/>
          <w:lang w:val="fr-FR"/>
        </w:rPr>
        <w:t>.</w:t>
      </w:r>
    </w:p>
    <w:p w14:paraId="15F9B1CB" w14:textId="594D49E8" w:rsidR="00ED5814" w:rsidRPr="00F8252B" w:rsidRDefault="007524A1" w:rsidP="004807DD">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fr-FR"/>
        </w:rPr>
      </w:pPr>
      <w:r w:rsidRPr="007524A1">
        <w:rPr>
          <w:snapToGrid w:val="0"/>
          <w:kern w:val="22"/>
          <w:lang w:val="fr-FR"/>
        </w:rPr>
        <w:t>Les Parties ont continué à souligner la nécessité de renforcer les capacités en matière d’évaluation et de gestion des risques liés aux organismes vivants modifiés. Parmi les Parties ayant des besoins en matière de renforcement des capacités, 96</w:t>
      </w:r>
      <w:r w:rsidR="00667501">
        <w:rPr>
          <w:snapToGrid w:val="0"/>
          <w:kern w:val="22"/>
          <w:lang w:val="fr-FR"/>
        </w:rPr>
        <w:t> %</w:t>
      </w:r>
      <w:r w:rsidRPr="007524A1">
        <w:rPr>
          <w:snapToGrid w:val="0"/>
          <w:kern w:val="22"/>
          <w:lang w:val="fr-FR"/>
        </w:rPr>
        <w:t xml:space="preserve"> ont identifié l’évaluation des risques et 94</w:t>
      </w:r>
      <w:r w:rsidR="00667501">
        <w:rPr>
          <w:snapToGrid w:val="0"/>
          <w:kern w:val="22"/>
          <w:lang w:val="fr-FR"/>
        </w:rPr>
        <w:t> %</w:t>
      </w:r>
      <w:r>
        <w:rPr>
          <w:snapToGrid w:val="0"/>
          <w:kern w:val="22"/>
          <w:lang w:val="fr-FR"/>
        </w:rPr>
        <w:t>,</w:t>
      </w:r>
      <w:r w:rsidRPr="007524A1">
        <w:rPr>
          <w:snapToGrid w:val="0"/>
          <w:kern w:val="22"/>
          <w:lang w:val="fr-FR"/>
        </w:rPr>
        <w:t xml:space="preserve"> la gestion des risques comme des domaines nécessitant un renforcement des capacités. Alors que 76</w:t>
      </w:r>
      <w:r w:rsidR="00667501">
        <w:rPr>
          <w:snapToGrid w:val="0"/>
          <w:kern w:val="22"/>
          <w:lang w:val="fr-FR"/>
        </w:rPr>
        <w:t> %</w:t>
      </w:r>
      <w:r w:rsidRPr="007524A1">
        <w:rPr>
          <w:snapToGrid w:val="0"/>
          <w:kern w:val="22"/>
          <w:lang w:val="fr-FR"/>
        </w:rPr>
        <w:t xml:space="preserve"> des Parties ont indiqué qu’une formation avait été dispensée en matière d’évaluation des risques, seules 40</w:t>
      </w:r>
      <w:r w:rsidR="00667501">
        <w:rPr>
          <w:snapToGrid w:val="0"/>
          <w:kern w:val="22"/>
          <w:sz w:val="24"/>
          <w:szCs w:val="24"/>
          <w:lang w:val="fr-FR"/>
        </w:rPr>
        <w:t> %</w:t>
      </w:r>
      <w:r w:rsidRPr="007524A1">
        <w:rPr>
          <w:snapToGrid w:val="0"/>
          <w:kern w:val="22"/>
          <w:lang w:val="fr-FR"/>
        </w:rPr>
        <w:t xml:space="preserve"> d’entre elles ont estimé que le nombre de personnes formées était suffisant. De même, alors que 70</w:t>
      </w:r>
      <w:r w:rsidR="00667501">
        <w:rPr>
          <w:snapToGrid w:val="0"/>
          <w:kern w:val="22"/>
          <w:lang w:val="fr-FR"/>
        </w:rPr>
        <w:t> %</w:t>
      </w:r>
      <w:r w:rsidRPr="007524A1">
        <w:rPr>
          <w:snapToGrid w:val="0"/>
          <w:kern w:val="22"/>
          <w:lang w:val="fr-FR"/>
        </w:rPr>
        <w:t xml:space="preserve"> des Parties ont indiqué qu’une formation avait été dispensée en matière de gestion des risques, seules 44</w:t>
      </w:r>
      <w:r w:rsidR="00667501">
        <w:rPr>
          <w:snapToGrid w:val="0"/>
          <w:kern w:val="22"/>
          <w:lang w:val="fr-FR"/>
        </w:rPr>
        <w:t> %</w:t>
      </w:r>
      <w:r w:rsidRPr="007524A1">
        <w:rPr>
          <w:snapToGrid w:val="0"/>
          <w:kern w:val="22"/>
          <w:lang w:val="fr-FR"/>
        </w:rPr>
        <w:t xml:space="preserve"> d’entre elles ont estimé que le nombre de personnes formées était suffisant.</w:t>
      </w:r>
    </w:p>
    <w:p w14:paraId="0780D860" w14:textId="41305075" w:rsidR="008D6C1F" w:rsidRPr="00F8252B" w:rsidRDefault="008D6C1F" w:rsidP="00FA2932">
      <w:pPr>
        <w:pStyle w:val="CBDH4"/>
        <w:rPr>
          <w:snapToGrid w:val="0"/>
          <w:lang w:val="fr-FR"/>
        </w:rPr>
      </w:pPr>
      <w:r w:rsidRPr="00F8252B">
        <w:rPr>
          <w:snapToGrid w:val="0"/>
          <w:lang w:val="fr-FR"/>
        </w:rPr>
        <w:t>(b)</w:t>
      </w:r>
      <w:r w:rsidRPr="00F8252B">
        <w:rPr>
          <w:snapToGrid w:val="0"/>
          <w:lang w:val="fr-FR"/>
        </w:rPr>
        <w:tab/>
        <w:t>Analys</w:t>
      </w:r>
      <w:r w:rsidR="00C054E6" w:rsidRPr="00F8252B">
        <w:rPr>
          <w:snapToGrid w:val="0"/>
          <w:lang w:val="fr-FR"/>
        </w:rPr>
        <w:t>e des</w:t>
      </w:r>
      <w:r w:rsidRPr="00F8252B">
        <w:rPr>
          <w:snapToGrid w:val="0"/>
          <w:lang w:val="fr-FR"/>
        </w:rPr>
        <w:t xml:space="preserve"> information</w:t>
      </w:r>
      <w:r w:rsidR="00C054E6" w:rsidRPr="00F8252B">
        <w:rPr>
          <w:snapToGrid w:val="0"/>
          <w:lang w:val="fr-FR"/>
        </w:rPr>
        <w:t>s</w:t>
      </w:r>
    </w:p>
    <w:p w14:paraId="58346705" w14:textId="0087306D" w:rsidR="00F52BCF" w:rsidRPr="00F8252B" w:rsidRDefault="00494B7B" w:rsidP="00F52BCF">
      <w:pPr>
        <w:pStyle w:val="CBDNormalNumber"/>
        <w:rPr>
          <w:b/>
          <w:snapToGrid w:val="0"/>
          <w:lang w:val="fr-FR"/>
        </w:rPr>
      </w:pPr>
      <w:r w:rsidRPr="00494B7B">
        <w:rPr>
          <w:snapToGrid w:val="0"/>
          <w:lang w:val="fr-FR"/>
        </w:rPr>
        <w:t>Le but</w:t>
      </w:r>
      <w:r>
        <w:rPr>
          <w:snapToGrid w:val="0"/>
          <w:lang w:val="fr-FR"/>
        </w:rPr>
        <w:t> </w:t>
      </w:r>
      <w:r w:rsidRPr="00494B7B">
        <w:rPr>
          <w:snapToGrid w:val="0"/>
          <w:lang w:val="fr-FR"/>
        </w:rPr>
        <w:t>A.5 comprend deux objectifs à atteindre pour réaliser ce but, ainsi que quatre indicateurs permettant de mesurer les progrès accomplis dans la réalisation de ces objectifs</w:t>
      </w:r>
      <w:r w:rsidR="00F52BCF" w:rsidRPr="00F8252B">
        <w:rPr>
          <w:snapToGrid w:val="0"/>
          <w:lang w:val="fr-FR"/>
        </w:rPr>
        <w:t>.</w:t>
      </w:r>
    </w:p>
    <w:p w14:paraId="6D6103FB" w14:textId="444FF61F" w:rsidR="00F52BCF" w:rsidRPr="00F8252B" w:rsidRDefault="0063088C" w:rsidP="00F52BCF">
      <w:pPr>
        <w:pStyle w:val="CBDNormalNumber"/>
        <w:rPr>
          <w:b/>
          <w:bCs/>
          <w:snapToGrid w:val="0"/>
          <w:lang w:val="fr-FR"/>
        </w:rPr>
      </w:pPr>
      <w:r>
        <w:rPr>
          <w:snapToGrid w:val="0"/>
          <w:lang w:val="fr-FR"/>
        </w:rPr>
        <w:t>Pour</w:t>
      </w:r>
      <w:r w:rsidR="004617CA" w:rsidRPr="004617CA">
        <w:rPr>
          <w:snapToGrid w:val="0"/>
          <w:lang w:val="fr-FR"/>
        </w:rPr>
        <w:t xml:space="preserve"> l'indicateur A.5</w:t>
      </w:r>
      <w:r w:rsidR="004617CA">
        <w:rPr>
          <w:snapToGrid w:val="0"/>
          <w:lang w:val="fr-FR"/>
        </w:rPr>
        <w:t> </w:t>
      </w:r>
      <w:r w:rsidR="004617CA" w:rsidRPr="004617CA">
        <w:rPr>
          <w:snapToGrid w:val="0"/>
          <w:lang w:val="fr-FR"/>
        </w:rPr>
        <w:t>a) (pourcentage des Parties procédant à une évaluation des risques aux fins de l'élaboration des politiques relatives aux organismes vivants modifiés, lorsque le Protocole l'exige), les informations fournies en réponse aux questions</w:t>
      </w:r>
      <w:r w:rsidR="00F05CED">
        <w:rPr>
          <w:snapToGrid w:val="0"/>
          <w:lang w:val="fr-FR"/>
        </w:rPr>
        <w:t> </w:t>
      </w:r>
      <w:r w:rsidR="004617CA" w:rsidRPr="004617CA">
        <w:rPr>
          <w:snapToGrid w:val="0"/>
          <w:lang w:val="fr-FR"/>
        </w:rPr>
        <w:t>55 et 58 du cinquième rapport national ont été utilisées pour mesurer les progrès réalisés à cet égard.</w:t>
      </w:r>
    </w:p>
    <w:p w14:paraId="3DE293DE" w14:textId="4812BE09" w:rsidR="00F52BCF" w:rsidRPr="00F8252B" w:rsidRDefault="005C0BD1" w:rsidP="00F52BCF">
      <w:pPr>
        <w:pStyle w:val="CBDNormalNumber"/>
        <w:rPr>
          <w:snapToGrid w:val="0"/>
          <w:lang w:val="fr-FR"/>
        </w:rPr>
      </w:pPr>
      <w:r w:rsidRPr="005C0BD1">
        <w:rPr>
          <w:snapToGrid w:val="0"/>
          <w:lang w:val="fr-FR"/>
        </w:rPr>
        <w:t>Cinquante-trois pour cent des Parties ont indiqué avoir réalisé une évaluation, sous une forme ou une autre, des risques liés aux organismes vivants modifiés au cours de la période considérée, ce qui représente une augmentation de 5</w:t>
      </w:r>
      <w:r w:rsidR="00667501">
        <w:rPr>
          <w:snapToGrid w:val="0"/>
          <w:lang w:val="fr-FR"/>
        </w:rPr>
        <w:t> %</w:t>
      </w:r>
      <w:r w:rsidRPr="005C0BD1">
        <w:rPr>
          <w:snapToGrid w:val="0"/>
          <w:lang w:val="fr-FR"/>
        </w:rPr>
        <w:t xml:space="preserve"> par rapport à la référence. Au niveau régional, la répartition de la proportion des Parties ayant déclaré avoir réalisé une évaluation, sous une forme ou une autre, des risques liés aux organismes vivants modifiés était la suivante</w:t>
      </w:r>
      <w:r w:rsidR="00CA1B90">
        <w:rPr>
          <w:snapToGrid w:val="0"/>
          <w:lang w:val="fr-FR"/>
        </w:rPr>
        <w:t> :</w:t>
      </w:r>
      <w:r w:rsidRPr="005C0BD1">
        <w:rPr>
          <w:snapToGrid w:val="0"/>
          <w:lang w:val="fr-FR"/>
        </w:rPr>
        <w:t xml:space="preserve"> 26</w:t>
      </w:r>
      <w:r w:rsidR="00667501">
        <w:rPr>
          <w:snapToGrid w:val="0"/>
          <w:lang w:val="fr-FR"/>
        </w:rPr>
        <w:t> %</w:t>
      </w:r>
      <w:r w:rsidRPr="005C0BD1">
        <w:rPr>
          <w:snapToGrid w:val="0"/>
          <w:lang w:val="fr-FR"/>
        </w:rPr>
        <w:t xml:space="preserve"> des Parties de la région Asie-Pacifique (+11</w:t>
      </w:r>
      <w:r w:rsidR="00667501">
        <w:rPr>
          <w:snapToGrid w:val="0"/>
          <w:lang w:val="fr-FR"/>
        </w:rPr>
        <w:t> %</w:t>
      </w:r>
      <w:r w:rsidRPr="005C0BD1">
        <w:rPr>
          <w:snapToGrid w:val="0"/>
          <w:lang w:val="fr-FR"/>
        </w:rPr>
        <w:t>)</w:t>
      </w:r>
      <w:r w:rsidR="00D560E8">
        <w:rPr>
          <w:snapToGrid w:val="0"/>
          <w:lang w:val="fr-FR"/>
        </w:rPr>
        <w:t> ;</w:t>
      </w:r>
      <w:r w:rsidRPr="005C0BD1">
        <w:rPr>
          <w:snapToGrid w:val="0"/>
          <w:lang w:val="fr-FR"/>
        </w:rPr>
        <w:t xml:space="preserve"> 35</w:t>
      </w:r>
      <w:r w:rsidR="00667501">
        <w:rPr>
          <w:snapToGrid w:val="0"/>
          <w:lang w:val="fr-FR"/>
        </w:rPr>
        <w:t> %</w:t>
      </w:r>
      <w:r w:rsidRPr="005C0BD1">
        <w:rPr>
          <w:snapToGrid w:val="0"/>
          <w:lang w:val="fr-FR"/>
        </w:rPr>
        <w:t xml:space="preserve"> des Parties de la région Amérique latine et Caraïbes (+5</w:t>
      </w:r>
      <w:r w:rsidR="00667501">
        <w:rPr>
          <w:snapToGrid w:val="0"/>
          <w:lang w:val="fr-FR"/>
        </w:rPr>
        <w:t> %</w:t>
      </w:r>
      <w:r w:rsidRPr="005C0BD1">
        <w:rPr>
          <w:snapToGrid w:val="0"/>
          <w:lang w:val="fr-FR"/>
        </w:rPr>
        <w:t>)</w:t>
      </w:r>
      <w:r w:rsidR="00D560E8">
        <w:rPr>
          <w:snapToGrid w:val="0"/>
          <w:lang w:val="fr-FR"/>
        </w:rPr>
        <w:t> ;</w:t>
      </w:r>
      <w:r w:rsidRPr="005C0BD1">
        <w:rPr>
          <w:snapToGrid w:val="0"/>
          <w:lang w:val="fr-FR"/>
        </w:rPr>
        <w:t xml:space="preserve"> 44</w:t>
      </w:r>
      <w:r w:rsidR="00667501">
        <w:rPr>
          <w:snapToGrid w:val="0"/>
          <w:lang w:val="fr-FR"/>
        </w:rPr>
        <w:t> %</w:t>
      </w:r>
      <w:r w:rsidRPr="005C0BD1">
        <w:rPr>
          <w:snapToGrid w:val="0"/>
          <w:lang w:val="fr-FR"/>
        </w:rPr>
        <w:t xml:space="preserve"> des </w:t>
      </w:r>
      <w:r w:rsidRPr="005C0BD1">
        <w:rPr>
          <w:snapToGrid w:val="0"/>
          <w:lang w:val="fr-FR"/>
        </w:rPr>
        <w:lastRenderedPageBreak/>
        <w:t>Parties de la  région Afrique (+3</w:t>
      </w:r>
      <w:r w:rsidR="00667501">
        <w:rPr>
          <w:snapToGrid w:val="0"/>
          <w:lang w:val="fr-FR"/>
        </w:rPr>
        <w:t> %</w:t>
      </w:r>
      <w:r w:rsidRPr="005C0BD1">
        <w:rPr>
          <w:snapToGrid w:val="0"/>
          <w:lang w:val="fr-FR"/>
        </w:rPr>
        <w:t>)</w:t>
      </w:r>
      <w:r w:rsidR="00D560E8">
        <w:rPr>
          <w:snapToGrid w:val="0"/>
          <w:lang w:val="fr-FR"/>
        </w:rPr>
        <w:t> ;</w:t>
      </w:r>
      <w:r w:rsidRPr="005C0BD1">
        <w:rPr>
          <w:snapToGrid w:val="0"/>
          <w:lang w:val="fr-FR"/>
        </w:rPr>
        <w:t xml:space="preserve"> 53</w:t>
      </w:r>
      <w:r w:rsidR="00667501">
        <w:rPr>
          <w:snapToGrid w:val="0"/>
          <w:lang w:val="fr-FR"/>
        </w:rPr>
        <w:t> %</w:t>
      </w:r>
      <w:r w:rsidRPr="005C0BD1">
        <w:rPr>
          <w:snapToGrid w:val="0"/>
          <w:lang w:val="fr-FR"/>
        </w:rPr>
        <w:t xml:space="preserve"> des Parties de la région Europe de l’Est (aucun changement par rapport à la référence)</w:t>
      </w:r>
      <w:r w:rsidR="00D560E8">
        <w:rPr>
          <w:snapToGrid w:val="0"/>
          <w:lang w:val="fr-FR"/>
        </w:rPr>
        <w:t> ;</w:t>
      </w:r>
      <w:r w:rsidRPr="005C0BD1">
        <w:rPr>
          <w:snapToGrid w:val="0"/>
          <w:lang w:val="fr-FR"/>
        </w:rPr>
        <w:t xml:space="preserve"> et 100</w:t>
      </w:r>
      <w:r w:rsidR="00667501">
        <w:rPr>
          <w:snapToGrid w:val="0"/>
          <w:lang w:val="fr-FR"/>
        </w:rPr>
        <w:t> %</w:t>
      </w:r>
      <w:r w:rsidRPr="005C0BD1">
        <w:rPr>
          <w:snapToGrid w:val="0"/>
          <w:lang w:val="fr-FR"/>
        </w:rPr>
        <w:t xml:space="preserve"> des Parties de la région Europe occidentale et autres États (+5</w:t>
      </w:r>
      <w:r w:rsidR="00667501">
        <w:rPr>
          <w:snapToGrid w:val="0"/>
          <w:lang w:val="fr-FR"/>
        </w:rPr>
        <w:t> %</w:t>
      </w:r>
      <w:r w:rsidRPr="005C0BD1">
        <w:rPr>
          <w:snapToGrid w:val="0"/>
          <w:lang w:val="fr-FR"/>
        </w:rPr>
        <w:t>).</w:t>
      </w:r>
      <w:r w:rsidR="00F52BCF" w:rsidRPr="00F8252B">
        <w:rPr>
          <w:snapToGrid w:val="0"/>
          <w:lang w:val="fr-FR"/>
        </w:rPr>
        <w:t xml:space="preserve"> </w:t>
      </w:r>
    </w:p>
    <w:p w14:paraId="384F83D7" w14:textId="05423145" w:rsidR="00F52BCF" w:rsidRPr="00F8252B" w:rsidRDefault="0034328E" w:rsidP="00F52BCF">
      <w:pPr>
        <w:pStyle w:val="CBDNormalNumber"/>
        <w:rPr>
          <w:snapToGrid w:val="0"/>
          <w:lang w:val="fr-FR"/>
        </w:rPr>
      </w:pPr>
      <w:r w:rsidRPr="0034328E">
        <w:rPr>
          <w:snapToGrid w:val="0"/>
          <w:lang w:val="fr-FR"/>
        </w:rPr>
        <w:t>Parmi les Parties ayant déclaré avoir procédé à une forme quelconque d’évaluation des risques visée au paragraphe</w:t>
      </w:r>
      <w:r>
        <w:rPr>
          <w:snapToGrid w:val="0"/>
          <w:lang w:val="fr-FR"/>
        </w:rPr>
        <w:t> </w:t>
      </w:r>
      <w:r w:rsidRPr="0034328E">
        <w:rPr>
          <w:snapToGrid w:val="0"/>
          <w:lang w:val="fr-FR"/>
        </w:rPr>
        <w:t>83 ci-dessus, 91</w:t>
      </w:r>
      <w:r w:rsidR="00667501">
        <w:rPr>
          <w:snapToGrid w:val="0"/>
          <w:lang w:val="fr-FR"/>
        </w:rPr>
        <w:t> %</w:t>
      </w:r>
      <w:r w:rsidRPr="0034328E">
        <w:rPr>
          <w:snapToGrid w:val="0"/>
          <w:lang w:val="fr-FR"/>
        </w:rPr>
        <w:t xml:space="preserve"> ont indiqué avoir systématiquement procédé à une évaluation des risques pour toutes les décisions prises concernant des organismes vivants modifiés destinés à être introduits intentionnellement dans l’environnement</w:t>
      </w:r>
      <w:r w:rsidR="00D560E8">
        <w:rPr>
          <w:snapToGrid w:val="0"/>
          <w:lang w:val="fr-FR"/>
        </w:rPr>
        <w:t> ;</w:t>
      </w:r>
      <w:r w:rsidRPr="0034328E">
        <w:rPr>
          <w:snapToGrid w:val="0"/>
          <w:lang w:val="fr-FR"/>
        </w:rPr>
        <w:t xml:space="preserve"> ou l’utilisation nationale d’organismes vivants modifiés susceptibles de faire l’objet de mouvements transfrontières en vue d’une utilisation directe comme denrées alimentaires ou aliments pour animaux, ou à des fins de transformation, ce qui représente une baisse de 2</w:t>
      </w:r>
      <w:r w:rsidR="00667501">
        <w:rPr>
          <w:snapToGrid w:val="0"/>
          <w:lang w:val="fr-FR"/>
        </w:rPr>
        <w:t> %</w:t>
      </w:r>
      <w:r w:rsidRPr="0034328E">
        <w:rPr>
          <w:snapToGrid w:val="0"/>
          <w:lang w:val="fr-FR"/>
        </w:rPr>
        <w:t xml:space="preserve"> par rapport à la valeur de référence. Au niveau régional, la répartition de la proportion de Parties ayant systématiquement procédé à une évaluation des risques pour toutes ces décisions était la suivante</w:t>
      </w:r>
      <w:r w:rsidR="00CA1B90">
        <w:rPr>
          <w:snapToGrid w:val="0"/>
          <w:lang w:val="fr-FR"/>
        </w:rPr>
        <w:t> :</w:t>
      </w:r>
      <w:r w:rsidRPr="0034328E">
        <w:rPr>
          <w:snapToGrid w:val="0"/>
          <w:lang w:val="fr-FR"/>
        </w:rPr>
        <w:t xml:space="preserve"> 67</w:t>
      </w:r>
      <w:r w:rsidR="00667501">
        <w:rPr>
          <w:snapToGrid w:val="0"/>
          <w:lang w:val="fr-FR"/>
        </w:rPr>
        <w:t> %</w:t>
      </w:r>
      <w:r w:rsidRPr="0034328E">
        <w:rPr>
          <w:snapToGrid w:val="0"/>
          <w:lang w:val="fr-FR"/>
        </w:rPr>
        <w:t xml:space="preserve"> des Parties de la région Amérique latine et Caraïbes (-16</w:t>
      </w:r>
      <w:r w:rsidR="00667501">
        <w:rPr>
          <w:snapToGrid w:val="0"/>
          <w:lang w:val="fr-FR"/>
        </w:rPr>
        <w:t> %</w:t>
      </w:r>
      <w:r w:rsidRPr="0034328E">
        <w:rPr>
          <w:snapToGrid w:val="0"/>
          <w:lang w:val="fr-FR"/>
        </w:rPr>
        <w:t>)</w:t>
      </w:r>
      <w:r w:rsidR="00D560E8">
        <w:rPr>
          <w:snapToGrid w:val="0"/>
          <w:lang w:val="fr-FR"/>
        </w:rPr>
        <w:t> ;</w:t>
      </w:r>
      <w:r w:rsidRPr="0034328E">
        <w:rPr>
          <w:snapToGrid w:val="0"/>
          <w:lang w:val="fr-FR"/>
        </w:rPr>
        <w:t xml:space="preserve"> 89</w:t>
      </w:r>
      <w:r w:rsidR="00667501">
        <w:rPr>
          <w:snapToGrid w:val="0"/>
          <w:lang w:val="fr-FR"/>
        </w:rPr>
        <w:t> %</w:t>
      </w:r>
      <w:r w:rsidRPr="0034328E">
        <w:rPr>
          <w:snapToGrid w:val="0"/>
          <w:lang w:val="fr-FR"/>
        </w:rPr>
        <w:t xml:space="preserve"> des Parties de la région Asie-Pacifique (aucun changement par rapport à la valeur de référence)</w:t>
      </w:r>
      <w:r w:rsidR="00D560E8">
        <w:rPr>
          <w:snapToGrid w:val="0"/>
          <w:lang w:val="fr-FR"/>
        </w:rPr>
        <w:t> ;</w:t>
      </w:r>
      <w:r w:rsidRPr="0034328E">
        <w:rPr>
          <w:snapToGrid w:val="0"/>
          <w:lang w:val="fr-FR"/>
        </w:rPr>
        <w:t xml:space="preserve"> 90</w:t>
      </w:r>
      <w:r w:rsidR="00667501">
        <w:rPr>
          <w:snapToGrid w:val="0"/>
          <w:lang w:val="fr-FR"/>
        </w:rPr>
        <w:t> %</w:t>
      </w:r>
      <w:r w:rsidRPr="0034328E">
        <w:rPr>
          <w:snapToGrid w:val="0"/>
          <w:lang w:val="fr-FR"/>
        </w:rPr>
        <w:t xml:space="preserve"> des Parties de la région Europe de l’Est (-10</w:t>
      </w:r>
      <w:r w:rsidR="00667501">
        <w:rPr>
          <w:snapToGrid w:val="0"/>
          <w:lang w:val="fr-FR"/>
        </w:rPr>
        <w:t> %</w:t>
      </w:r>
      <w:r w:rsidRPr="0034328E">
        <w:rPr>
          <w:snapToGrid w:val="0"/>
          <w:lang w:val="fr-FR"/>
        </w:rPr>
        <w:t>)</w:t>
      </w:r>
      <w:r w:rsidR="00D560E8">
        <w:rPr>
          <w:snapToGrid w:val="0"/>
          <w:lang w:val="fr-FR"/>
        </w:rPr>
        <w:t> ;</w:t>
      </w:r>
      <w:r w:rsidRPr="0034328E">
        <w:rPr>
          <w:snapToGrid w:val="0"/>
          <w:lang w:val="fr-FR"/>
        </w:rPr>
        <w:t xml:space="preserve"> 92</w:t>
      </w:r>
      <w:r w:rsidR="00667501">
        <w:rPr>
          <w:snapToGrid w:val="0"/>
          <w:lang w:val="fr-FR"/>
        </w:rPr>
        <w:t> %</w:t>
      </w:r>
      <w:r w:rsidRPr="0034328E">
        <w:rPr>
          <w:snapToGrid w:val="0"/>
          <w:lang w:val="fr-FR"/>
        </w:rPr>
        <w:t xml:space="preserve"> des Parties de la région Afrique (+9</w:t>
      </w:r>
      <w:r w:rsidR="00667501">
        <w:rPr>
          <w:snapToGrid w:val="0"/>
          <w:lang w:val="fr-FR"/>
        </w:rPr>
        <w:t> %</w:t>
      </w:r>
      <w:r w:rsidRPr="0034328E">
        <w:rPr>
          <w:snapToGrid w:val="0"/>
          <w:lang w:val="fr-FR"/>
        </w:rPr>
        <w:t>)</w:t>
      </w:r>
      <w:r w:rsidR="00D560E8">
        <w:rPr>
          <w:snapToGrid w:val="0"/>
          <w:lang w:val="fr-FR"/>
        </w:rPr>
        <w:t> ;</w:t>
      </w:r>
      <w:r w:rsidRPr="0034328E">
        <w:rPr>
          <w:snapToGrid w:val="0"/>
          <w:lang w:val="fr-FR"/>
        </w:rPr>
        <w:t xml:space="preserve"> et 100</w:t>
      </w:r>
      <w:r w:rsidR="00667501">
        <w:rPr>
          <w:snapToGrid w:val="0"/>
          <w:lang w:val="fr-FR"/>
        </w:rPr>
        <w:t> %</w:t>
      </w:r>
      <w:r w:rsidRPr="0034328E">
        <w:rPr>
          <w:snapToGrid w:val="0"/>
          <w:lang w:val="fr-FR"/>
        </w:rPr>
        <w:t xml:space="preserve"> des Parties de la région Europe occidentale et autres États (aucun changement par rapport à la référence).</w:t>
      </w:r>
    </w:p>
    <w:p w14:paraId="5D81A0ED" w14:textId="3F83966B" w:rsidR="00F52BCF" w:rsidRPr="00F8252B" w:rsidRDefault="0063088C" w:rsidP="00F52BCF">
      <w:pPr>
        <w:pStyle w:val="CBDNormalNumber"/>
        <w:rPr>
          <w:b/>
          <w:bCs/>
          <w:snapToGrid w:val="0"/>
          <w:lang w:val="fr-FR"/>
        </w:rPr>
      </w:pPr>
      <w:r>
        <w:rPr>
          <w:snapToGrid w:val="0"/>
          <w:lang w:val="fr-FR"/>
        </w:rPr>
        <w:t>Pour</w:t>
      </w:r>
      <w:r w:rsidR="00251CE4" w:rsidRPr="00251CE4">
        <w:rPr>
          <w:snapToGrid w:val="0"/>
          <w:lang w:val="fr-FR"/>
        </w:rPr>
        <w:t xml:space="preserve"> l'indicateur A.5</w:t>
      </w:r>
      <w:r w:rsidR="00251CE4">
        <w:rPr>
          <w:snapToGrid w:val="0"/>
          <w:lang w:val="fr-FR"/>
        </w:rPr>
        <w:t> </w:t>
      </w:r>
      <w:r w:rsidR="00251CE4" w:rsidRPr="00251CE4">
        <w:rPr>
          <w:snapToGrid w:val="0"/>
          <w:lang w:val="fr-FR"/>
        </w:rPr>
        <w:t>b) (pourcentage des Parties ayant accès à des ressources pertinentes en matière d'évaluation et de gestion des risques et les utilisant), les informations fournies en réponse à la question</w:t>
      </w:r>
      <w:r w:rsidR="004C3970">
        <w:rPr>
          <w:snapToGrid w:val="0"/>
          <w:lang w:val="fr-FR"/>
        </w:rPr>
        <w:t> </w:t>
      </w:r>
      <w:r w:rsidR="00251CE4" w:rsidRPr="00251CE4">
        <w:rPr>
          <w:snapToGrid w:val="0"/>
          <w:lang w:val="fr-FR"/>
        </w:rPr>
        <w:t>66 du cinquième rapport national ont été utilisées pour mesurer les progrès réalisés à cet égard.</w:t>
      </w:r>
    </w:p>
    <w:p w14:paraId="51078B6C" w14:textId="3D1AD3D5" w:rsidR="00F52BCF" w:rsidRPr="00F8252B" w:rsidRDefault="003D749A" w:rsidP="00F52BCF">
      <w:pPr>
        <w:pStyle w:val="CBDNormalNumber"/>
        <w:rPr>
          <w:snapToGrid w:val="0"/>
          <w:lang w:val="fr-FR"/>
        </w:rPr>
      </w:pPr>
      <w:r w:rsidRPr="003D749A">
        <w:rPr>
          <w:snapToGrid w:val="0"/>
          <w:lang w:val="fr-FR"/>
        </w:rPr>
        <w:t>En ce qui concerne l’évaluation des risques, 67</w:t>
      </w:r>
      <w:r w:rsidR="00667501">
        <w:rPr>
          <w:snapToGrid w:val="0"/>
          <w:lang w:val="fr-FR"/>
        </w:rPr>
        <w:t> %</w:t>
      </w:r>
      <w:r w:rsidRPr="003D749A">
        <w:rPr>
          <w:snapToGrid w:val="0"/>
          <w:lang w:val="fr-FR"/>
        </w:rPr>
        <w:t xml:space="preserve"> des Parties au total ont indiqué avoir eu accès à des ressources documentaires, notamment des documents d’orientation, ou les avoir utilisées dans le but de mener une évaluation des risques ou d’examiner les rapports d’évaluation des risques présentés par les </w:t>
      </w:r>
      <w:r w:rsidR="007C3076">
        <w:rPr>
          <w:snapToGrid w:val="0"/>
          <w:lang w:val="fr-FR"/>
        </w:rPr>
        <w:t xml:space="preserve">instances </w:t>
      </w:r>
      <w:r w:rsidR="00F15139">
        <w:rPr>
          <w:snapToGrid w:val="0"/>
          <w:lang w:val="fr-FR"/>
        </w:rPr>
        <w:t>de notification</w:t>
      </w:r>
      <w:r w:rsidRPr="003D749A">
        <w:rPr>
          <w:snapToGrid w:val="0"/>
          <w:lang w:val="fr-FR"/>
        </w:rPr>
        <w:t xml:space="preserve"> (voir la Figure</w:t>
      </w:r>
      <w:r w:rsidR="00F15139">
        <w:rPr>
          <w:snapToGrid w:val="0"/>
          <w:lang w:val="fr-FR"/>
        </w:rPr>
        <w:t> </w:t>
      </w:r>
      <w:r w:rsidRPr="003D749A">
        <w:rPr>
          <w:snapToGrid w:val="0"/>
          <w:lang w:val="fr-FR"/>
        </w:rPr>
        <w:t>III ci-dessous). Cela représente une augmentation de 5</w:t>
      </w:r>
      <w:r w:rsidR="00667501">
        <w:rPr>
          <w:snapToGrid w:val="0"/>
          <w:lang w:val="fr-FR"/>
        </w:rPr>
        <w:t> %</w:t>
      </w:r>
      <w:r w:rsidRPr="003D749A">
        <w:rPr>
          <w:snapToGrid w:val="0"/>
          <w:lang w:val="fr-FR"/>
        </w:rPr>
        <w:t xml:space="preserve"> par rapport à la référence. Au niveau régional, les variations considérables observées dans la proportion de Parties ayant déclaré avoir eu accès à ces ressources sont les suivantes</w:t>
      </w:r>
      <w:r w:rsidR="00CA1B90">
        <w:rPr>
          <w:snapToGrid w:val="0"/>
          <w:lang w:val="fr-FR"/>
        </w:rPr>
        <w:t> :</w:t>
      </w:r>
      <w:r w:rsidRPr="003D749A">
        <w:rPr>
          <w:snapToGrid w:val="0"/>
          <w:lang w:val="fr-FR"/>
        </w:rPr>
        <w:t xml:space="preserve"> 46</w:t>
      </w:r>
      <w:r w:rsidR="00667501">
        <w:rPr>
          <w:snapToGrid w:val="0"/>
          <w:lang w:val="fr-FR"/>
        </w:rPr>
        <w:t> %</w:t>
      </w:r>
      <w:r w:rsidRPr="003D749A">
        <w:rPr>
          <w:snapToGrid w:val="0"/>
          <w:lang w:val="fr-FR"/>
        </w:rPr>
        <w:t xml:space="preserve"> des Parties de la région Asie-Pacifique (-8</w:t>
      </w:r>
      <w:r w:rsidR="00667501">
        <w:rPr>
          <w:snapToGrid w:val="0"/>
          <w:lang w:val="fr-FR"/>
        </w:rPr>
        <w:t> %</w:t>
      </w:r>
      <w:r w:rsidRPr="003D749A">
        <w:rPr>
          <w:snapToGrid w:val="0"/>
          <w:lang w:val="fr-FR"/>
        </w:rPr>
        <w:t>)</w:t>
      </w:r>
      <w:r w:rsidR="00D560E8">
        <w:rPr>
          <w:snapToGrid w:val="0"/>
          <w:lang w:val="fr-FR"/>
        </w:rPr>
        <w:t> ;</w:t>
      </w:r>
      <w:r w:rsidRPr="003D749A">
        <w:rPr>
          <w:snapToGrid w:val="0"/>
          <w:lang w:val="fr-FR"/>
        </w:rPr>
        <w:t xml:space="preserve"> 56</w:t>
      </w:r>
      <w:r w:rsidR="00667501">
        <w:rPr>
          <w:snapToGrid w:val="0"/>
          <w:lang w:val="fr-FR"/>
        </w:rPr>
        <w:t> %</w:t>
      </w:r>
      <w:r w:rsidRPr="003D749A">
        <w:rPr>
          <w:snapToGrid w:val="0"/>
          <w:lang w:val="fr-FR"/>
        </w:rPr>
        <w:t xml:space="preserve"> des Parties de la région Afrique (+5</w:t>
      </w:r>
      <w:r w:rsidR="00667501">
        <w:rPr>
          <w:snapToGrid w:val="0"/>
          <w:lang w:val="fr-FR"/>
        </w:rPr>
        <w:t> %</w:t>
      </w:r>
      <w:r w:rsidRPr="003D749A">
        <w:rPr>
          <w:snapToGrid w:val="0"/>
          <w:lang w:val="fr-FR"/>
        </w:rPr>
        <w:t>)</w:t>
      </w:r>
      <w:r w:rsidR="00D560E8">
        <w:rPr>
          <w:snapToGrid w:val="0"/>
          <w:lang w:val="fr-FR"/>
        </w:rPr>
        <w:t> ;</w:t>
      </w:r>
      <w:r w:rsidRPr="003D749A">
        <w:rPr>
          <w:snapToGrid w:val="0"/>
          <w:lang w:val="fr-FR"/>
        </w:rPr>
        <w:t xml:space="preserve"> 60</w:t>
      </w:r>
      <w:r w:rsidR="00667501">
        <w:rPr>
          <w:snapToGrid w:val="0"/>
          <w:lang w:val="fr-FR"/>
        </w:rPr>
        <w:t> %</w:t>
      </w:r>
      <w:r w:rsidRPr="003D749A">
        <w:rPr>
          <w:snapToGrid w:val="0"/>
          <w:lang w:val="fr-FR"/>
        </w:rPr>
        <w:t xml:space="preserve"> des Parties de la région Amérique latine et Caraïbes (+25</w:t>
      </w:r>
      <w:r w:rsidR="00667501">
        <w:rPr>
          <w:snapToGrid w:val="0"/>
          <w:lang w:val="fr-FR"/>
        </w:rPr>
        <w:t> %</w:t>
      </w:r>
      <w:r w:rsidRPr="003D749A">
        <w:rPr>
          <w:snapToGrid w:val="0"/>
          <w:lang w:val="fr-FR"/>
        </w:rPr>
        <w:t>)</w:t>
      </w:r>
      <w:r w:rsidR="00D560E8">
        <w:rPr>
          <w:snapToGrid w:val="0"/>
          <w:lang w:val="fr-FR"/>
        </w:rPr>
        <w:t> ;</w:t>
      </w:r>
      <w:r w:rsidRPr="003D749A">
        <w:rPr>
          <w:snapToGrid w:val="0"/>
          <w:lang w:val="fr-FR"/>
        </w:rPr>
        <w:t xml:space="preserve"> 95</w:t>
      </w:r>
      <w:r w:rsidR="00667501">
        <w:rPr>
          <w:snapToGrid w:val="0"/>
          <w:lang w:val="fr-FR"/>
        </w:rPr>
        <w:t> %</w:t>
      </w:r>
      <w:r w:rsidRPr="003D749A">
        <w:rPr>
          <w:snapToGrid w:val="0"/>
          <w:lang w:val="fr-FR"/>
        </w:rPr>
        <w:t xml:space="preserve"> des Parties de la région Europe de l’Est (+11</w:t>
      </w:r>
      <w:r w:rsidR="00667501">
        <w:rPr>
          <w:snapToGrid w:val="0"/>
          <w:lang w:val="fr-FR"/>
        </w:rPr>
        <w:t> %</w:t>
      </w:r>
      <w:r w:rsidRPr="003D749A">
        <w:rPr>
          <w:snapToGrid w:val="0"/>
          <w:lang w:val="fr-FR"/>
        </w:rPr>
        <w:t>)</w:t>
      </w:r>
      <w:r w:rsidR="00D560E8">
        <w:rPr>
          <w:snapToGrid w:val="0"/>
          <w:lang w:val="fr-FR"/>
        </w:rPr>
        <w:t> ;</w:t>
      </w:r>
      <w:r w:rsidRPr="003D749A">
        <w:rPr>
          <w:snapToGrid w:val="0"/>
          <w:lang w:val="fr-FR"/>
        </w:rPr>
        <w:t xml:space="preserve"> et 100</w:t>
      </w:r>
      <w:r w:rsidR="00667501">
        <w:rPr>
          <w:snapToGrid w:val="0"/>
          <w:lang w:val="fr-FR"/>
        </w:rPr>
        <w:t> %</w:t>
      </w:r>
      <w:r w:rsidRPr="003D749A">
        <w:rPr>
          <w:snapToGrid w:val="0"/>
          <w:lang w:val="fr-FR"/>
        </w:rPr>
        <w:t xml:space="preserve"> des Parties de la région Europe occidentale et autres États (aucun changement par rapport à la référence)</w:t>
      </w:r>
    </w:p>
    <w:p w14:paraId="450F994D" w14:textId="27439404" w:rsidR="00880D28" w:rsidRPr="00F8252B" w:rsidRDefault="000D2542">
      <w:pPr>
        <w:pStyle w:val="CBDNormalNumber"/>
        <w:rPr>
          <w:snapToGrid w:val="0"/>
          <w:kern w:val="22"/>
          <w:lang w:val="fr-FR"/>
        </w:rPr>
      </w:pPr>
      <w:r>
        <w:rPr>
          <w:snapToGrid w:val="0"/>
          <w:lang w:val="fr-FR"/>
        </w:rPr>
        <w:t>Quant à</w:t>
      </w:r>
      <w:r w:rsidR="00DF1E7A" w:rsidRPr="00DF1E7A">
        <w:rPr>
          <w:snapToGrid w:val="0"/>
          <w:lang w:val="fr-FR"/>
        </w:rPr>
        <w:t xml:space="preserve"> la gestion des risques, 64</w:t>
      </w:r>
      <w:r w:rsidR="00667501">
        <w:rPr>
          <w:snapToGrid w:val="0"/>
          <w:lang w:val="fr-FR"/>
        </w:rPr>
        <w:t> %</w:t>
      </w:r>
      <w:r w:rsidR="00DF1E7A" w:rsidRPr="00DF1E7A">
        <w:rPr>
          <w:snapToGrid w:val="0"/>
          <w:lang w:val="fr-FR"/>
        </w:rPr>
        <w:t xml:space="preserve"> des Parties au total ont indiqué avoir eu accès à des ressources documentaires, notamment des documents d’orientation, ou les avoir utilisées aux fins de la gestion des risques (voir la Figure</w:t>
      </w:r>
      <w:r w:rsidR="00DF1E7A">
        <w:rPr>
          <w:snapToGrid w:val="0"/>
          <w:lang w:val="fr-FR"/>
        </w:rPr>
        <w:t> </w:t>
      </w:r>
      <w:r w:rsidR="00DF1E7A" w:rsidRPr="00DF1E7A">
        <w:rPr>
          <w:snapToGrid w:val="0"/>
          <w:lang w:val="fr-FR"/>
        </w:rPr>
        <w:t>III ci-dessous), ce qui représente une augmentation de 5</w:t>
      </w:r>
      <w:r w:rsidR="00667501">
        <w:rPr>
          <w:snapToGrid w:val="0"/>
          <w:lang w:val="fr-FR"/>
        </w:rPr>
        <w:t> %</w:t>
      </w:r>
      <w:r w:rsidR="00DF1E7A" w:rsidRPr="00DF1E7A">
        <w:rPr>
          <w:snapToGrid w:val="0"/>
          <w:lang w:val="fr-FR"/>
        </w:rPr>
        <w:t xml:space="preserve"> par rapport à la situation de référence. Au niveau régional, les variations considérables observées dans la proportion des Parties qui ont établi des rapports sur leur accès à ces ressources peuvent être ventilées comme suit</w:t>
      </w:r>
      <w:r w:rsidR="00CA1B90">
        <w:rPr>
          <w:snapToGrid w:val="0"/>
          <w:lang w:val="fr-FR"/>
        </w:rPr>
        <w:t> :</w:t>
      </w:r>
      <w:r w:rsidR="00DF1E7A" w:rsidRPr="00DF1E7A">
        <w:rPr>
          <w:snapToGrid w:val="0"/>
          <w:lang w:val="fr-FR"/>
        </w:rPr>
        <w:t xml:space="preserve"> 46</w:t>
      </w:r>
      <w:r w:rsidR="00667501">
        <w:rPr>
          <w:snapToGrid w:val="0"/>
          <w:lang w:val="fr-FR"/>
        </w:rPr>
        <w:t> %</w:t>
      </w:r>
      <w:r w:rsidR="00DF1E7A" w:rsidRPr="00DF1E7A">
        <w:rPr>
          <w:snapToGrid w:val="0"/>
          <w:lang w:val="fr-FR"/>
        </w:rPr>
        <w:t xml:space="preserve"> des Parties de la région Asie-Pacifique (aucun changement par rapport à la référence)</w:t>
      </w:r>
      <w:r w:rsidR="00D560E8">
        <w:rPr>
          <w:snapToGrid w:val="0"/>
          <w:lang w:val="fr-FR"/>
        </w:rPr>
        <w:t> ;</w:t>
      </w:r>
      <w:r w:rsidR="00DF1E7A" w:rsidRPr="00DF1E7A">
        <w:rPr>
          <w:snapToGrid w:val="0"/>
          <w:lang w:val="fr-FR"/>
        </w:rPr>
        <w:t xml:space="preserve"> 50</w:t>
      </w:r>
      <w:r w:rsidR="00667501">
        <w:rPr>
          <w:snapToGrid w:val="0"/>
          <w:lang w:val="fr-FR"/>
        </w:rPr>
        <w:t> %</w:t>
      </w:r>
      <w:r w:rsidR="00DF1E7A" w:rsidRPr="00DF1E7A">
        <w:rPr>
          <w:snapToGrid w:val="0"/>
          <w:lang w:val="fr-FR"/>
        </w:rPr>
        <w:t xml:space="preserve"> des Parties de la région Amérique latine et Caraïbes (+20</w:t>
      </w:r>
      <w:r w:rsidR="00667501">
        <w:rPr>
          <w:snapToGrid w:val="0"/>
          <w:lang w:val="fr-FR"/>
        </w:rPr>
        <w:t> %</w:t>
      </w:r>
      <w:r w:rsidR="00DF1E7A" w:rsidRPr="00DF1E7A">
        <w:rPr>
          <w:snapToGrid w:val="0"/>
          <w:lang w:val="fr-FR"/>
        </w:rPr>
        <w:t>)</w:t>
      </w:r>
      <w:r w:rsidR="00D560E8">
        <w:rPr>
          <w:snapToGrid w:val="0"/>
          <w:lang w:val="fr-FR"/>
        </w:rPr>
        <w:t> ;</w:t>
      </w:r>
      <w:r w:rsidR="00DF1E7A" w:rsidRPr="00DF1E7A">
        <w:rPr>
          <w:snapToGrid w:val="0"/>
          <w:lang w:val="fr-FR"/>
        </w:rPr>
        <w:t xml:space="preserve"> 56</w:t>
      </w:r>
      <w:r w:rsidR="00667501">
        <w:rPr>
          <w:snapToGrid w:val="0"/>
          <w:lang w:val="fr-FR"/>
        </w:rPr>
        <w:t> %</w:t>
      </w:r>
      <w:r w:rsidR="00DF1E7A" w:rsidRPr="00DF1E7A">
        <w:rPr>
          <w:snapToGrid w:val="0"/>
          <w:lang w:val="fr-FR"/>
        </w:rPr>
        <w:t xml:space="preserve"> des Parties de la région Afrique (+5</w:t>
      </w:r>
      <w:r w:rsidR="00667501">
        <w:rPr>
          <w:snapToGrid w:val="0"/>
          <w:lang w:val="fr-FR"/>
        </w:rPr>
        <w:t> %</w:t>
      </w:r>
      <w:r w:rsidR="00DF1E7A" w:rsidRPr="00DF1E7A">
        <w:rPr>
          <w:snapToGrid w:val="0"/>
          <w:lang w:val="fr-FR"/>
        </w:rPr>
        <w:t>)</w:t>
      </w:r>
      <w:r w:rsidR="00D560E8">
        <w:rPr>
          <w:snapToGrid w:val="0"/>
          <w:lang w:val="fr-FR"/>
        </w:rPr>
        <w:t> ;</w:t>
      </w:r>
      <w:r w:rsidR="00DF1E7A" w:rsidRPr="00DF1E7A">
        <w:rPr>
          <w:snapToGrid w:val="0"/>
          <w:lang w:val="fr-FR"/>
        </w:rPr>
        <w:t xml:space="preserve"> 84</w:t>
      </w:r>
      <w:r w:rsidR="00667501">
        <w:rPr>
          <w:snapToGrid w:val="0"/>
          <w:lang w:val="fr-FR"/>
        </w:rPr>
        <w:t> %</w:t>
      </w:r>
      <w:r w:rsidR="00DF1E7A" w:rsidRPr="00DF1E7A">
        <w:rPr>
          <w:snapToGrid w:val="0"/>
          <w:lang w:val="fr-FR"/>
        </w:rPr>
        <w:t xml:space="preserve"> des Parties de la région Europe de l’Est (+5</w:t>
      </w:r>
      <w:r w:rsidR="00667501">
        <w:rPr>
          <w:snapToGrid w:val="0"/>
          <w:lang w:val="fr-FR"/>
        </w:rPr>
        <w:t> %</w:t>
      </w:r>
      <w:r w:rsidR="00DF1E7A" w:rsidRPr="00DF1E7A">
        <w:rPr>
          <w:snapToGrid w:val="0"/>
          <w:lang w:val="fr-FR"/>
        </w:rPr>
        <w:t>)</w:t>
      </w:r>
      <w:r w:rsidR="00D560E8">
        <w:rPr>
          <w:snapToGrid w:val="0"/>
          <w:lang w:val="fr-FR"/>
        </w:rPr>
        <w:t> ;</w:t>
      </w:r>
      <w:r w:rsidR="00DF1E7A" w:rsidRPr="00DF1E7A">
        <w:rPr>
          <w:snapToGrid w:val="0"/>
          <w:lang w:val="fr-FR"/>
        </w:rPr>
        <w:t xml:space="preserve"> et 100</w:t>
      </w:r>
      <w:r w:rsidR="00667501">
        <w:rPr>
          <w:snapToGrid w:val="0"/>
          <w:lang w:val="fr-FR"/>
        </w:rPr>
        <w:t> %</w:t>
      </w:r>
      <w:r w:rsidR="00DF1E7A" w:rsidRPr="00DF1E7A">
        <w:rPr>
          <w:snapToGrid w:val="0"/>
          <w:lang w:val="fr-FR"/>
        </w:rPr>
        <w:t xml:space="preserve"> des Parties de la région Europe occidentale et autres États (aucun changement par rapport à la référence)</w:t>
      </w:r>
    </w:p>
    <w:p w14:paraId="4B4F6BDD" w14:textId="33B32C6C" w:rsidR="008B60C7" w:rsidRPr="00F8252B" w:rsidRDefault="008B60C7">
      <w:pPr>
        <w:pStyle w:val="CBDTableTitle"/>
        <w:rPr>
          <w:snapToGrid w:val="0"/>
          <w:lang w:val="fr-FR"/>
        </w:rPr>
      </w:pPr>
      <w:r w:rsidRPr="00F8252B">
        <w:rPr>
          <w:b w:val="0"/>
          <w:bCs/>
          <w:snapToGrid w:val="0"/>
          <w:lang w:val="fr-FR"/>
        </w:rPr>
        <w:lastRenderedPageBreak/>
        <w:t>Figure III</w:t>
      </w:r>
      <w:r w:rsidRPr="00F8252B">
        <w:rPr>
          <w:snapToGrid w:val="0"/>
          <w:lang w:val="fr-FR"/>
        </w:rPr>
        <w:t xml:space="preserve"> </w:t>
      </w:r>
      <w:r w:rsidRPr="00F8252B">
        <w:rPr>
          <w:snapToGrid w:val="0"/>
          <w:lang w:val="fr-FR"/>
        </w:rPr>
        <w:br/>
      </w:r>
      <w:r w:rsidR="00993DB5" w:rsidRPr="00F8252B">
        <w:rPr>
          <w:snapToGrid w:val="0"/>
          <w:lang w:val="fr-FR"/>
        </w:rPr>
        <w:t>Pourcentage des parties déclarant disposer de ressources documentaires aux fins de l'évaluation et de la gestion des risques</w:t>
      </w:r>
    </w:p>
    <w:p w14:paraId="2C58B752" w14:textId="1825E186" w:rsidR="002D2271" w:rsidRPr="00F8252B" w:rsidRDefault="002A704F" w:rsidP="00FA2932">
      <w:pPr>
        <w:pStyle w:val="CBDTableTitle"/>
        <w:tabs>
          <w:tab w:val="clear" w:pos="567"/>
        </w:tabs>
        <w:rPr>
          <w:snapToGrid w:val="0"/>
          <w:kern w:val="22"/>
          <w:lang w:val="fr-FR"/>
        </w:rPr>
      </w:pPr>
      <w:r>
        <w:rPr>
          <w:noProof/>
          <w:snapToGrid w:val="0"/>
          <w:lang w:val="fr-FR"/>
        </w:rPr>
        <w:drawing>
          <wp:inline distT="0" distB="0" distL="0" distR="0" wp14:anchorId="203A6AD2" wp14:editId="00499738">
            <wp:extent cx="5697855" cy="3378628"/>
            <wp:effectExtent l="0" t="0" r="0" b="0"/>
            <wp:docPr id="128256403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09921" cy="3385783"/>
                    </a:xfrm>
                    <a:prstGeom prst="rect">
                      <a:avLst/>
                    </a:prstGeom>
                    <a:noFill/>
                    <a:ln>
                      <a:noFill/>
                    </a:ln>
                  </pic:spPr>
                </pic:pic>
              </a:graphicData>
            </a:graphic>
          </wp:inline>
        </w:drawing>
      </w:r>
    </w:p>
    <w:p w14:paraId="4694B27B" w14:textId="59E46333" w:rsidR="003F1FFD" w:rsidRPr="00A00280" w:rsidRDefault="00AC754E" w:rsidP="00A00280">
      <w:pPr>
        <w:pStyle w:val="CBDNormalNumber"/>
        <w:rPr>
          <w:snapToGrid w:val="0"/>
          <w:kern w:val="22"/>
          <w:lang w:val="fr-FR"/>
        </w:rPr>
      </w:pPr>
      <w:r>
        <w:rPr>
          <w:snapToGrid w:val="0"/>
          <w:kern w:val="22"/>
          <w:lang w:val="fr-FR"/>
        </w:rPr>
        <w:t>Pour</w:t>
      </w:r>
      <w:r w:rsidR="00A00280" w:rsidRPr="00A00280">
        <w:rPr>
          <w:snapToGrid w:val="0"/>
          <w:kern w:val="22"/>
          <w:lang w:val="fr-FR"/>
        </w:rPr>
        <w:t xml:space="preserve"> l’indicateur A.5</w:t>
      </w:r>
      <w:r w:rsidR="001923A4">
        <w:rPr>
          <w:snapToGrid w:val="0"/>
          <w:kern w:val="22"/>
          <w:lang w:val="fr-FR"/>
        </w:rPr>
        <w:t> </w:t>
      </w:r>
      <w:r w:rsidR="00A00280" w:rsidRPr="00A00280">
        <w:rPr>
          <w:snapToGrid w:val="0"/>
          <w:kern w:val="22"/>
          <w:lang w:val="fr-FR"/>
        </w:rPr>
        <w:t>c) (pourcentage des Parties qui entreprennent des évaluations des risques, en tenant compte des autres données scientifiques disponibles, visées à l’article</w:t>
      </w:r>
      <w:r w:rsidR="001923A4">
        <w:rPr>
          <w:snapToGrid w:val="0"/>
          <w:kern w:val="22"/>
          <w:lang w:val="fr-FR"/>
        </w:rPr>
        <w:t> </w:t>
      </w:r>
      <w:r w:rsidR="00A00280" w:rsidRPr="00A00280">
        <w:rPr>
          <w:snapToGrid w:val="0"/>
          <w:kern w:val="22"/>
          <w:lang w:val="fr-FR"/>
        </w:rPr>
        <w:t>15), les informations fournies en réponse à la question</w:t>
      </w:r>
      <w:r w:rsidR="001923A4">
        <w:rPr>
          <w:snapToGrid w:val="0"/>
          <w:kern w:val="22"/>
          <w:lang w:val="fr-FR"/>
        </w:rPr>
        <w:t> </w:t>
      </w:r>
      <w:r w:rsidR="00A00280" w:rsidRPr="00A00280">
        <w:rPr>
          <w:snapToGrid w:val="0"/>
          <w:kern w:val="22"/>
          <w:lang w:val="fr-FR"/>
        </w:rPr>
        <w:t>59</w:t>
      </w:r>
      <w:r w:rsidR="001923A4">
        <w:rPr>
          <w:snapToGrid w:val="0"/>
          <w:kern w:val="22"/>
          <w:lang w:val="fr-FR"/>
        </w:rPr>
        <w:t> </w:t>
      </w:r>
      <w:r w:rsidR="00A00280" w:rsidRPr="00A00280">
        <w:rPr>
          <w:snapToGrid w:val="0"/>
          <w:kern w:val="22"/>
          <w:lang w:val="fr-FR"/>
        </w:rPr>
        <w:t>a) du cinquième rapport national ont été utilisées pour mesurer les progrès accomplis. Sur les 68</w:t>
      </w:r>
      <w:r w:rsidR="001923A4">
        <w:rPr>
          <w:snapToGrid w:val="0"/>
          <w:kern w:val="22"/>
          <w:lang w:val="fr-FR"/>
        </w:rPr>
        <w:t> </w:t>
      </w:r>
      <w:r w:rsidR="00A00280" w:rsidRPr="00A00280">
        <w:rPr>
          <w:snapToGrid w:val="0"/>
          <w:kern w:val="22"/>
          <w:lang w:val="fr-FR"/>
        </w:rPr>
        <w:t>Parties ayant déclaré avoir entrepris une forme quelconque d’évaluation des risques au cours de la période considérée, 54</w:t>
      </w:r>
      <w:r w:rsidR="00667501">
        <w:rPr>
          <w:snapToGrid w:val="0"/>
          <w:kern w:val="22"/>
          <w:lang w:val="fr-FR"/>
        </w:rPr>
        <w:t> %</w:t>
      </w:r>
      <w:r w:rsidR="00A00280" w:rsidRPr="00A00280">
        <w:rPr>
          <w:snapToGrid w:val="0"/>
          <w:kern w:val="22"/>
          <w:lang w:val="fr-FR"/>
        </w:rPr>
        <w:t xml:space="preserve"> ont indiqué avoir pris en compte d’autres données scientifiques disponibles, comme le prévoit l’article</w:t>
      </w:r>
      <w:r w:rsidR="001923A4">
        <w:rPr>
          <w:snapToGrid w:val="0"/>
          <w:kern w:val="22"/>
          <w:lang w:val="fr-FR"/>
        </w:rPr>
        <w:t> </w:t>
      </w:r>
      <w:r w:rsidR="00A00280" w:rsidRPr="00A00280">
        <w:rPr>
          <w:snapToGrid w:val="0"/>
          <w:kern w:val="22"/>
          <w:lang w:val="fr-FR"/>
        </w:rPr>
        <w:t>15 du Protocole, dans tous les cas, et 32</w:t>
      </w:r>
      <w:r w:rsidR="00667501">
        <w:rPr>
          <w:snapToGrid w:val="0"/>
          <w:kern w:val="22"/>
          <w:lang w:val="fr-FR"/>
        </w:rPr>
        <w:t> %</w:t>
      </w:r>
      <w:r w:rsidR="00A00280" w:rsidRPr="00A00280">
        <w:rPr>
          <w:snapToGrid w:val="0"/>
          <w:kern w:val="22"/>
          <w:lang w:val="fr-FR"/>
        </w:rPr>
        <w:t xml:space="preserve"> ont déclaré l’avoir fait dans certains cas. Aucune information à cet égard n’était disponible pour la situation de référence.</w:t>
      </w:r>
    </w:p>
    <w:p w14:paraId="518FF8E4" w14:textId="55BF69C2" w:rsidR="003F1FFD" w:rsidRPr="00F8252B" w:rsidRDefault="00AC754E" w:rsidP="003F1FFD">
      <w:pPr>
        <w:pStyle w:val="CBDNormalNumber"/>
        <w:numPr>
          <w:ilvl w:val="0"/>
          <w:numId w:val="4"/>
        </w:numPr>
        <w:rPr>
          <w:snapToGrid w:val="0"/>
          <w:kern w:val="22"/>
          <w:lang w:val="fr-FR"/>
        </w:rPr>
      </w:pPr>
      <w:r>
        <w:rPr>
          <w:snapToGrid w:val="0"/>
          <w:kern w:val="22"/>
          <w:lang w:val="fr-FR"/>
        </w:rPr>
        <w:t>Pour</w:t>
      </w:r>
      <w:r w:rsidR="008F2764" w:rsidRPr="008F2764">
        <w:rPr>
          <w:snapToGrid w:val="0"/>
          <w:kern w:val="22"/>
          <w:lang w:val="fr-FR"/>
        </w:rPr>
        <w:t xml:space="preserve"> l’indicateur A.5</w:t>
      </w:r>
      <w:r w:rsidR="008F2764">
        <w:rPr>
          <w:snapToGrid w:val="0"/>
          <w:kern w:val="22"/>
          <w:lang w:val="fr-FR"/>
        </w:rPr>
        <w:t> </w:t>
      </w:r>
      <w:r w:rsidR="008F2764" w:rsidRPr="008F2764">
        <w:rPr>
          <w:snapToGrid w:val="0"/>
          <w:kern w:val="22"/>
          <w:lang w:val="fr-FR"/>
        </w:rPr>
        <w:t>d) (pourcentage des Parties ayant mis en place des mesures visant à identifier les organismes vivants modifiés ou les caractères spécifiques susceptibles d’avoir des effets néfastes sur la conservation et l’utilisation durable de la diversité biologique, et adoptant des mesures d’atténuation des risques), ce sont les informations fournies en réponse à la question</w:t>
      </w:r>
      <w:r w:rsidR="008F2764">
        <w:rPr>
          <w:snapToGrid w:val="0"/>
          <w:kern w:val="22"/>
          <w:lang w:val="fr-FR"/>
        </w:rPr>
        <w:t> </w:t>
      </w:r>
      <w:r w:rsidR="008F2764" w:rsidRPr="008F2764">
        <w:rPr>
          <w:snapToGrid w:val="0"/>
          <w:kern w:val="22"/>
          <w:lang w:val="fr-FR"/>
        </w:rPr>
        <w:t>65 du cinquième rapport national qui ont servi à évaluer les progrès accomplis. Soixante-sept pour cent des Parties ont indiqué avoir mis en place des mesures pour identifier les organismes vivants modifiés ou les caractères spécifiques susceptibles d’avoir des effets négatifs sur la conservation et l’utilisation durable de la diversité biologique. Par région, 50</w:t>
      </w:r>
      <w:r w:rsidR="00667501">
        <w:rPr>
          <w:snapToGrid w:val="0"/>
          <w:kern w:val="22"/>
          <w:lang w:val="fr-FR"/>
        </w:rPr>
        <w:t> %</w:t>
      </w:r>
      <w:r w:rsidR="008F2764" w:rsidRPr="008F2764">
        <w:rPr>
          <w:snapToGrid w:val="0"/>
          <w:kern w:val="22"/>
          <w:lang w:val="fr-FR"/>
        </w:rPr>
        <w:t xml:space="preserve"> des Parties de la région Asie-Pacifique</w:t>
      </w:r>
      <w:r w:rsidR="00D560E8">
        <w:rPr>
          <w:snapToGrid w:val="0"/>
          <w:kern w:val="22"/>
          <w:lang w:val="fr-FR"/>
        </w:rPr>
        <w:t> ;</w:t>
      </w:r>
      <w:r w:rsidR="008F2764" w:rsidRPr="008F2764">
        <w:rPr>
          <w:snapToGrid w:val="0"/>
          <w:kern w:val="22"/>
          <w:lang w:val="fr-FR"/>
        </w:rPr>
        <w:t xml:space="preserve"> 61</w:t>
      </w:r>
      <w:r w:rsidR="00667501">
        <w:rPr>
          <w:snapToGrid w:val="0"/>
          <w:kern w:val="22"/>
          <w:lang w:val="fr-FR"/>
        </w:rPr>
        <w:t> %</w:t>
      </w:r>
      <w:r w:rsidR="008F2764" w:rsidRPr="008F2764">
        <w:rPr>
          <w:snapToGrid w:val="0"/>
          <w:kern w:val="22"/>
          <w:lang w:val="fr-FR"/>
        </w:rPr>
        <w:t xml:space="preserve"> des Parties de la région Amérique latine et Caraïbes</w:t>
      </w:r>
      <w:r w:rsidR="00D560E8">
        <w:rPr>
          <w:snapToGrid w:val="0"/>
          <w:kern w:val="22"/>
          <w:lang w:val="fr-FR"/>
        </w:rPr>
        <w:t> ;</w:t>
      </w:r>
      <w:r w:rsidR="008F2764" w:rsidRPr="008F2764">
        <w:rPr>
          <w:snapToGrid w:val="0"/>
          <w:kern w:val="22"/>
          <w:lang w:val="fr-FR"/>
        </w:rPr>
        <w:t xml:space="preserve"> 66</w:t>
      </w:r>
      <w:r w:rsidR="00667501">
        <w:rPr>
          <w:snapToGrid w:val="0"/>
          <w:kern w:val="22"/>
          <w:lang w:val="fr-FR"/>
        </w:rPr>
        <w:t> %</w:t>
      </w:r>
      <w:r w:rsidR="008F2764" w:rsidRPr="008F2764">
        <w:rPr>
          <w:snapToGrid w:val="0"/>
          <w:kern w:val="22"/>
          <w:lang w:val="fr-FR"/>
        </w:rPr>
        <w:t xml:space="preserve"> des Parties de la région Afrique</w:t>
      </w:r>
      <w:r w:rsidR="00D560E8">
        <w:rPr>
          <w:snapToGrid w:val="0"/>
          <w:kern w:val="22"/>
          <w:lang w:val="fr-FR"/>
        </w:rPr>
        <w:t> ;</w:t>
      </w:r>
      <w:r w:rsidR="008F2764" w:rsidRPr="008F2764">
        <w:rPr>
          <w:snapToGrid w:val="0"/>
          <w:kern w:val="22"/>
          <w:lang w:val="fr-FR"/>
        </w:rPr>
        <w:t xml:space="preserve"> 74</w:t>
      </w:r>
      <w:r w:rsidR="00667501">
        <w:rPr>
          <w:snapToGrid w:val="0"/>
          <w:kern w:val="22"/>
          <w:lang w:val="fr-FR"/>
        </w:rPr>
        <w:t> %</w:t>
      </w:r>
      <w:r w:rsidR="008F2764" w:rsidRPr="008F2764">
        <w:rPr>
          <w:snapToGrid w:val="0"/>
          <w:kern w:val="22"/>
          <w:lang w:val="fr-FR"/>
        </w:rPr>
        <w:t xml:space="preserve"> des Parties de la région Europe de l’Est</w:t>
      </w:r>
      <w:r w:rsidR="00D560E8">
        <w:rPr>
          <w:snapToGrid w:val="0"/>
          <w:kern w:val="22"/>
          <w:lang w:val="fr-FR"/>
        </w:rPr>
        <w:t> ;</w:t>
      </w:r>
      <w:r w:rsidR="008F2764" w:rsidRPr="008F2764">
        <w:rPr>
          <w:snapToGrid w:val="0"/>
          <w:kern w:val="22"/>
          <w:lang w:val="fr-FR"/>
        </w:rPr>
        <w:t xml:space="preserve"> et 95</w:t>
      </w:r>
      <w:r w:rsidR="00667501">
        <w:rPr>
          <w:snapToGrid w:val="0"/>
          <w:kern w:val="22"/>
          <w:lang w:val="fr-FR"/>
        </w:rPr>
        <w:t> %</w:t>
      </w:r>
      <w:r w:rsidR="008F2764" w:rsidRPr="008F2764">
        <w:rPr>
          <w:snapToGrid w:val="0"/>
          <w:kern w:val="22"/>
          <w:lang w:val="fr-FR"/>
        </w:rPr>
        <w:t xml:space="preserve"> des Parties de la région Europe occidentale et autres États ont déclaré disposer de ces mesures. Aucune information de référence n’était disponible</w:t>
      </w:r>
      <w:r w:rsidR="003415F6" w:rsidRPr="003415F6">
        <w:rPr>
          <w:snapToGrid w:val="0"/>
          <w:kern w:val="22"/>
          <w:lang w:val="fr-FR"/>
        </w:rPr>
        <w:t xml:space="preserve"> </w:t>
      </w:r>
      <w:r w:rsidR="003415F6" w:rsidRPr="008F2764">
        <w:rPr>
          <w:snapToGrid w:val="0"/>
          <w:kern w:val="22"/>
          <w:lang w:val="fr-FR"/>
        </w:rPr>
        <w:t>à cet égard</w:t>
      </w:r>
      <w:r w:rsidR="008F2764" w:rsidRPr="008F2764">
        <w:rPr>
          <w:snapToGrid w:val="0"/>
          <w:kern w:val="22"/>
          <w:lang w:val="fr-FR"/>
        </w:rPr>
        <w:t>.</w:t>
      </w:r>
    </w:p>
    <w:p w14:paraId="1B4C255D" w14:textId="40659BC5" w:rsidR="003F1FFD" w:rsidRPr="00F8252B" w:rsidRDefault="00A930BA" w:rsidP="003F1FFD">
      <w:pPr>
        <w:pStyle w:val="CBDNormalNumber"/>
        <w:numPr>
          <w:ilvl w:val="0"/>
          <w:numId w:val="4"/>
        </w:numPr>
        <w:rPr>
          <w:b/>
          <w:bCs/>
          <w:snapToGrid w:val="0"/>
          <w:kern w:val="22"/>
          <w:lang w:val="fr-FR"/>
        </w:rPr>
      </w:pPr>
      <w:r w:rsidRPr="00A930BA">
        <w:rPr>
          <w:snapToGrid w:val="0"/>
          <w:kern w:val="22"/>
          <w:lang w:val="fr-FR"/>
        </w:rPr>
        <w:t>Dans leurs réponses sous forme de texte libre, les Parties ont souligné l’importance de l’évaluation des risques pour la mise en œuvre du Protocole et pour la prise de décision concernant les organismes vivants modifiés. Bon nombre d’entre elles ont indiqué que leurs cadres juridiques prévoyaient une évaluation des risques et certaines ont mis en avant la modification de certains instruments. Les Parties ont décrit les institutions nationales chargées de la prévention des risques biotechnologiques, les systèmes régionaux, les initiatives de coopération et les ressources documentaires qui offraient un appui à la mise en œuvre des articles</w:t>
      </w:r>
      <w:r>
        <w:rPr>
          <w:snapToGrid w:val="0"/>
          <w:kern w:val="22"/>
          <w:lang w:val="fr-FR"/>
        </w:rPr>
        <w:t> </w:t>
      </w:r>
      <w:r w:rsidRPr="00A930BA">
        <w:rPr>
          <w:snapToGrid w:val="0"/>
          <w:kern w:val="22"/>
          <w:lang w:val="fr-FR"/>
        </w:rPr>
        <w:t xml:space="preserve">15 et 16 du Protocole de </w:t>
      </w:r>
      <w:r w:rsidRPr="00A930BA">
        <w:rPr>
          <w:snapToGrid w:val="0"/>
          <w:kern w:val="22"/>
          <w:lang w:val="fr-FR"/>
        </w:rPr>
        <w:lastRenderedPageBreak/>
        <w:t>Cartagena sur la prévention des risques biotechnologiques et son annexe</w:t>
      </w:r>
      <w:r>
        <w:rPr>
          <w:snapToGrid w:val="0"/>
          <w:kern w:val="22"/>
          <w:lang w:val="fr-FR"/>
        </w:rPr>
        <w:t> </w:t>
      </w:r>
      <w:r w:rsidRPr="00A930BA">
        <w:rPr>
          <w:snapToGrid w:val="0"/>
          <w:kern w:val="22"/>
          <w:lang w:val="fr-FR"/>
        </w:rPr>
        <w:t>III. Si d’autres Parties ont pris note de progrès dans la mise en place ou le renforcement de ces institutions et cadres, de nombreuses Parties ont parallèlement souligné des lacunes en matière de capacités qui entravaient la mise en œuvre des dispositions relatives à l’évaluation et à la gestion des risques, notamment le manque de personnel scientifique qualifié, des installations de laboratoire inadéquates ou non opérationnelles, des ressources financières limitées et des cadres réglementaires incomplets. De nombreuses Parties ont donc insisté sur la nécessité de poursuivre le renforcement des capacités en matière d’évaluation des risques, de gestion des risques et de suivi</w:t>
      </w:r>
      <w:r w:rsidR="00D560E8">
        <w:rPr>
          <w:snapToGrid w:val="0"/>
          <w:kern w:val="22"/>
          <w:lang w:val="fr-FR"/>
        </w:rPr>
        <w:t> ;</w:t>
      </w:r>
      <w:r w:rsidRPr="00A930BA">
        <w:rPr>
          <w:snapToGrid w:val="0"/>
          <w:kern w:val="22"/>
          <w:lang w:val="fr-FR"/>
        </w:rPr>
        <w:t xml:space="preserve"> d’améliorer l’accès à des infrastructures techniques adéquates pour la recherche et l’analyse (par exemple, des laboratoires et des réactifs)</w:t>
      </w:r>
      <w:r w:rsidR="00D560E8">
        <w:rPr>
          <w:snapToGrid w:val="0"/>
          <w:kern w:val="22"/>
          <w:lang w:val="fr-FR"/>
        </w:rPr>
        <w:t> ;</w:t>
      </w:r>
      <w:r w:rsidRPr="00A930BA">
        <w:rPr>
          <w:snapToGrid w:val="0"/>
          <w:kern w:val="22"/>
          <w:lang w:val="fr-FR"/>
        </w:rPr>
        <w:t xml:space="preserve"> d’apporter une aide financière</w:t>
      </w:r>
      <w:r w:rsidR="00D560E8">
        <w:rPr>
          <w:snapToGrid w:val="0"/>
          <w:kern w:val="22"/>
          <w:lang w:val="fr-FR"/>
        </w:rPr>
        <w:t> ;</w:t>
      </w:r>
      <w:r w:rsidRPr="00A930BA">
        <w:rPr>
          <w:snapToGrid w:val="0"/>
          <w:kern w:val="22"/>
          <w:lang w:val="fr-FR"/>
        </w:rPr>
        <w:t xml:space="preserve"> de faciliter l’accès aux ressources techniques</w:t>
      </w:r>
      <w:r w:rsidR="00D560E8">
        <w:rPr>
          <w:snapToGrid w:val="0"/>
          <w:kern w:val="22"/>
          <w:lang w:val="fr-FR"/>
        </w:rPr>
        <w:t> ;</w:t>
      </w:r>
      <w:r w:rsidRPr="00A930BA">
        <w:rPr>
          <w:snapToGrid w:val="0"/>
          <w:kern w:val="22"/>
          <w:lang w:val="fr-FR"/>
        </w:rPr>
        <w:t xml:space="preserve"> et de renforcer les cadres nationaux de prévention des risques biotechnologiques.</w:t>
      </w:r>
      <w:r w:rsidR="003F1FFD" w:rsidRPr="00F8252B">
        <w:rPr>
          <w:b/>
          <w:bCs/>
          <w:snapToGrid w:val="0"/>
          <w:kern w:val="22"/>
          <w:lang w:val="fr-FR"/>
        </w:rPr>
        <w:t xml:space="preserve"> </w:t>
      </w:r>
    </w:p>
    <w:p w14:paraId="53420ECA" w14:textId="14104B48" w:rsidR="003F1FFD" w:rsidRPr="00F8252B" w:rsidRDefault="00AC754E" w:rsidP="003F1FFD">
      <w:pPr>
        <w:pStyle w:val="CBDNormalNumber"/>
        <w:numPr>
          <w:ilvl w:val="0"/>
          <w:numId w:val="4"/>
        </w:numPr>
        <w:rPr>
          <w:snapToGrid w:val="0"/>
          <w:kern w:val="22"/>
          <w:lang w:val="fr-FR"/>
        </w:rPr>
      </w:pPr>
      <w:r>
        <w:rPr>
          <w:snapToGrid w:val="0"/>
          <w:kern w:val="22"/>
          <w:lang w:val="fr-FR"/>
        </w:rPr>
        <w:t>Pour</w:t>
      </w:r>
      <w:r w:rsidR="00153EF4" w:rsidRPr="00153EF4">
        <w:rPr>
          <w:snapToGrid w:val="0"/>
          <w:kern w:val="22"/>
          <w:lang w:val="fr-FR"/>
        </w:rPr>
        <w:t xml:space="preserve"> </w:t>
      </w:r>
      <w:r w:rsidR="0053486D">
        <w:rPr>
          <w:snapToGrid w:val="0"/>
          <w:kern w:val="22"/>
          <w:lang w:val="fr-FR"/>
        </w:rPr>
        <w:t>le but</w:t>
      </w:r>
      <w:r w:rsidR="00153EF4" w:rsidRPr="00153EF4">
        <w:rPr>
          <w:snapToGrid w:val="0"/>
          <w:kern w:val="22"/>
          <w:lang w:val="fr-FR"/>
        </w:rPr>
        <w:t xml:space="preserve"> A.5, dans le cadre du plan d’action pour le renforcement des capacités, cinq domaines clés ont été identifiés</w:t>
      </w:r>
      <w:r w:rsidR="00CA1B90">
        <w:rPr>
          <w:snapToGrid w:val="0"/>
          <w:kern w:val="22"/>
          <w:lang w:val="fr-FR"/>
        </w:rPr>
        <w:t> :</w:t>
      </w:r>
      <w:r w:rsidR="00153EF4" w:rsidRPr="00153EF4">
        <w:rPr>
          <w:snapToGrid w:val="0"/>
          <w:kern w:val="22"/>
          <w:lang w:val="fr-FR"/>
        </w:rPr>
        <w:t xml:space="preserve"> a) la réalisation et l’examen d’évaluations des risques scientifiquement fondées</w:t>
      </w:r>
      <w:r w:rsidR="00D560E8">
        <w:rPr>
          <w:snapToGrid w:val="0"/>
          <w:kern w:val="22"/>
          <w:lang w:val="fr-FR"/>
        </w:rPr>
        <w:t> ;</w:t>
      </w:r>
      <w:r w:rsidR="00153EF4" w:rsidRPr="00153EF4">
        <w:rPr>
          <w:snapToGrid w:val="0"/>
          <w:kern w:val="22"/>
          <w:lang w:val="fr-FR"/>
        </w:rPr>
        <w:t xml:space="preserve"> b) la réglementation, la gestion et le contrôle des risques identifiés</w:t>
      </w:r>
      <w:r w:rsidR="00D560E8">
        <w:rPr>
          <w:snapToGrid w:val="0"/>
          <w:kern w:val="22"/>
          <w:lang w:val="fr-FR"/>
        </w:rPr>
        <w:t> ;</w:t>
      </w:r>
      <w:r w:rsidR="00153EF4" w:rsidRPr="00153EF4">
        <w:rPr>
          <w:snapToGrid w:val="0"/>
          <w:kern w:val="22"/>
          <w:lang w:val="fr-FR"/>
        </w:rPr>
        <w:t xml:space="preserve"> c) l’accès aux infrastructures et à l’expertise technique nécessaires à l’évaluation et à la gestion des risques</w:t>
      </w:r>
      <w:r w:rsidR="00D560E8">
        <w:rPr>
          <w:snapToGrid w:val="0"/>
          <w:kern w:val="22"/>
          <w:lang w:val="fr-FR"/>
        </w:rPr>
        <w:t> ;</w:t>
      </w:r>
      <w:r w:rsidR="00153EF4" w:rsidRPr="00153EF4">
        <w:rPr>
          <w:snapToGrid w:val="0"/>
          <w:kern w:val="22"/>
          <w:lang w:val="fr-FR"/>
        </w:rPr>
        <w:t xml:space="preserve"> d) l'accès aux données scientifiques pertinentes pour l'évaluation et la gestion des risques</w:t>
      </w:r>
      <w:r w:rsidR="00D560E8">
        <w:rPr>
          <w:snapToGrid w:val="0"/>
          <w:kern w:val="22"/>
          <w:lang w:val="fr-FR"/>
        </w:rPr>
        <w:t> ;</w:t>
      </w:r>
      <w:r w:rsidR="00153EF4" w:rsidRPr="00153EF4">
        <w:rPr>
          <w:snapToGrid w:val="0"/>
          <w:kern w:val="22"/>
          <w:lang w:val="fr-FR"/>
        </w:rPr>
        <w:t xml:space="preserve"> e) la mise à disposition, par les Parties, de personnel qualifié pour mener à bien l'évaluation et la gestion des risques au cas par cas.</w:t>
      </w:r>
    </w:p>
    <w:p w14:paraId="283E4974" w14:textId="7C281659" w:rsidR="003F1FFD" w:rsidRPr="0022226D" w:rsidRDefault="0022226D" w:rsidP="0022226D">
      <w:pPr>
        <w:pStyle w:val="CBDNormalNumber"/>
        <w:rPr>
          <w:lang w:val="fr-FR"/>
        </w:rPr>
      </w:pPr>
      <w:r w:rsidRPr="0022226D">
        <w:rPr>
          <w:lang w:val="fr-FR"/>
        </w:rPr>
        <w:t>Sur les 98</w:t>
      </w:r>
      <w:r w:rsidR="00196DB2">
        <w:rPr>
          <w:lang w:val="fr-FR"/>
        </w:rPr>
        <w:t> </w:t>
      </w:r>
      <w:r w:rsidRPr="0022226D">
        <w:rPr>
          <w:lang w:val="fr-FR"/>
        </w:rPr>
        <w:t>Parties ayant indiqué avoir mené des activités visant à développer et/ou à renforcer les ressources humaines et les capacités institutionnelles en matière de prévention des risques biotechnologiques, 62</w:t>
      </w:r>
      <w:r w:rsidR="00667501">
        <w:rPr>
          <w:lang w:val="fr-FR"/>
        </w:rPr>
        <w:t> %</w:t>
      </w:r>
      <w:r w:rsidRPr="0022226D">
        <w:rPr>
          <w:lang w:val="fr-FR"/>
        </w:rPr>
        <w:t xml:space="preserve"> (63</w:t>
      </w:r>
      <w:r w:rsidR="00196DB2">
        <w:rPr>
          <w:lang w:val="fr-FR"/>
        </w:rPr>
        <w:t> </w:t>
      </w:r>
      <w:r w:rsidRPr="0022226D">
        <w:rPr>
          <w:lang w:val="fr-FR"/>
        </w:rPr>
        <w:t>Parties) ont précisé que ces activités concernaient le domaine de l’évaluation des risques et d’autres compétences scientifiques et techniques (soit une baisse de 3</w:t>
      </w:r>
      <w:r w:rsidR="00667501">
        <w:rPr>
          <w:lang w:val="fr-FR"/>
        </w:rPr>
        <w:t> %</w:t>
      </w:r>
      <w:r w:rsidRPr="0022226D">
        <w:rPr>
          <w:lang w:val="fr-FR"/>
        </w:rPr>
        <w:t xml:space="preserve"> par rapport </w:t>
      </w:r>
      <w:r w:rsidR="00196DB2">
        <w:rPr>
          <w:lang w:val="fr-FR"/>
        </w:rPr>
        <w:t xml:space="preserve">à la </w:t>
      </w:r>
      <w:r w:rsidRPr="0022226D">
        <w:rPr>
          <w:lang w:val="fr-FR"/>
        </w:rPr>
        <w:t>référence) et 43</w:t>
      </w:r>
      <w:r w:rsidR="00667501">
        <w:rPr>
          <w:lang w:val="fr-FR"/>
        </w:rPr>
        <w:t> %</w:t>
      </w:r>
      <w:r w:rsidRPr="0022226D">
        <w:rPr>
          <w:lang w:val="fr-FR"/>
        </w:rPr>
        <w:t xml:space="preserve"> (42</w:t>
      </w:r>
      <w:r w:rsidR="00196DB2">
        <w:rPr>
          <w:lang w:val="fr-FR"/>
        </w:rPr>
        <w:t> </w:t>
      </w:r>
      <w:r w:rsidRPr="0022226D">
        <w:rPr>
          <w:lang w:val="fr-FR"/>
        </w:rPr>
        <w:t>Parties) le domaine de la gestion des risques (soit une baisse de 6</w:t>
      </w:r>
      <w:r w:rsidR="00667501">
        <w:rPr>
          <w:lang w:val="fr-FR"/>
        </w:rPr>
        <w:t> %</w:t>
      </w:r>
      <w:r w:rsidRPr="0022226D">
        <w:rPr>
          <w:lang w:val="fr-FR"/>
        </w:rPr>
        <w:t xml:space="preserve"> par rapport à la référence)</w:t>
      </w:r>
      <w:r w:rsidR="00D560E8">
        <w:rPr>
          <w:lang w:val="fr-FR"/>
        </w:rPr>
        <w:t> ;</w:t>
      </w:r>
      <w:r w:rsidRPr="0022226D">
        <w:rPr>
          <w:lang w:val="fr-FR"/>
        </w:rPr>
        <w:t xml:space="preserve"> sur les</w:t>
      </w:r>
      <w:r w:rsidR="00196DB2">
        <w:rPr>
          <w:lang w:val="fr-FR"/>
        </w:rPr>
        <w:t> </w:t>
      </w:r>
      <w:r w:rsidRPr="0022226D">
        <w:rPr>
          <w:lang w:val="fr-FR"/>
        </w:rPr>
        <w:t>100 Parties ayant indiqué qu’elles avaient encore des besoins en matière de renforcement des capacités, 96</w:t>
      </w:r>
      <w:r w:rsidR="00667501">
        <w:rPr>
          <w:lang w:val="fr-FR"/>
        </w:rPr>
        <w:t> %</w:t>
      </w:r>
      <w:r w:rsidRPr="0022226D">
        <w:rPr>
          <w:lang w:val="fr-FR"/>
        </w:rPr>
        <w:t xml:space="preserve"> ont établi des rapports indiquant que ces besoins concernaient le domaine de l’évaluation des risques et d’autres compétences scientifiques et techniques (soit une augmentation de 9</w:t>
      </w:r>
      <w:r w:rsidR="00667501">
        <w:rPr>
          <w:lang w:val="fr-FR"/>
        </w:rPr>
        <w:t> %</w:t>
      </w:r>
      <w:r w:rsidRPr="0022226D">
        <w:rPr>
          <w:lang w:val="fr-FR"/>
        </w:rPr>
        <w:t xml:space="preserve"> par rapport à la référence) et 94</w:t>
      </w:r>
      <w:r w:rsidR="00667501">
        <w:rPr>
          <w:lang w:val="fr-FR"/>
        </w:rPr>
        <w:t> %</w:t>
      </w:r>
      <w:r w:rsidRPr="0022226D">
        <w:rPr>
          <w:lang w:val="fr-FR"/>
        </w:rPr>
        <w:t xml:space="preserve"> le domaine de la gestion des risques (soit une augmentation de</w:t>
      </w:r>
      <w:r w:rsidR="00196DB2">
        <w:rPr>
          <w:lang w:val="fr-FR"/>
        </w:rPr>
        <w:t> </w:t>
      </w:r>
      <w:r w:rsidRPr="0022226D">
        <w:rPr>
          <w:lang w:val="fr-FR"/>
        </w:rPr>
        <w:t>11</w:t>
      </w:r>
      <w:r w:rsidR="00667501">
        <w:rPr>
          <w:lang w:val="fr-FR"/>
        </w:rPr>
        <w:t> %</w:t>
      </w:r>
      <w:r w:rsidRPr="0022226D">
        <w:rPr>
          <w:lang w:val="fr-FR"/>
        </w:rPr>
        <w:t xml:space="preserve"> par rapport à la référence).</w:t>
      </w:r>
    </w:p>
    <w:p w14:paraId="7894BA75" w14:textId="4FED7CA8" w:rsidR="003F1FFD" w:rsidRPr="00F8252B" w:rsidRDefault="00F36DA6" w:rsidP="003F1FFD">
      <w:pPr>
        <w:pStyle w:val="CBDNormalNumber"/>
        <w:numPr>
          <w:ilvl w:val="0"/>
          <w:numId w:val="4"/>
        </w:numPr>
        <w:rPr>
          <w:snapToGrid w:val="0"/>
          <w:kern w:val="22"/>
          <w:lang w:val="fr-FR"/>
        </w:rPr>
      </w:pPr>
      <w:r w:rsidRPr="00F36DA6">
        <w:rPr>
          <w:snapToGrid w:val="0"/>
          <w:kern w:val="22"/>
          <w:lang w:val="fr-FR"/>
        </w:rPr>
        <w:t>Dans leur cinquième rapport national, les Parties ont fourni des informations complémentaires concernant les indicateurs du plan d'action pour le renforcement des capacités, en réponse aux questions 66</w:t>
      </w:r>
      <w:r>
        <w:rPr>
          <w:snapToGrid w:val="0"/>
          <w:kern w:val="22"/>
          <w:lang w:val="fr-FR"/>
        </w:rPr>
        <w:t> </w:t>
      </w:r>
      <w:r w:rsidRPr="00F36DA6">
        <w:rPr>
          <w:snapToGrid w:val="0"/>
          <w:kern w:val="22"/>
          <w:lang w:val="fr-FR"/>
        </w:rPr>
        <w:t>a), 66</w:t>
      </w:r>
      <w:r>
        <w:rPr>
          <w:snapToGrid w:val="0"/>
          <w:kern w:val="22"/>
          <w:lang w:val="fr-FR"/>
        </w:rPr>
        <w:t> </w:t>
      </w:r>
      <w:r w:rsidRPr="00F36DA6">
        <w:rPr>
          <w:snapToGrid w:val="0"/>
          <w:kern w:val="22"/>
          <w:lang w:val="fr-FR"/>
        </w:rPr>
        <w:t>b), 69</w:t>
      </w:r>
      <w:r>
        <w:rPr>
          <w:snapToGrid w:val="0"/>
          <w:kern w:val="22"/>
          <w:lang w:val="fr-FR"/>
        </w:rPr>
        <w:t> </w:t>
      </w:r>
      <w:r w:rsidRPr="00F36DA6">
        <w:rPr>
          <w:snapToGrid w:val="0"/>
          <w:kern w:val="22"/>
          <w:lang w:val="fr-FR"/>
        </w:rPr>
        <w:t>c), 70</w:t>
      </w:r>
      <w:r>
        <w:rPr>
          <w:snapToGrid w:val="0"/>
          <w:kern w:val="22"/>
          <w:lang w:val="fr-FR"/>
        </w:rPr>
        <w:t> </w:t>
      </w:r>
      <w:r w:rsidRPr="00F36DA6">
        <w:rPr>
          <w:snapToGrid w:val="0"/>
          <w:kern w:val="22"/>
          <w:lang w:val="fr-FR"/>
        </w:rPr>
        <w:t>a) et 70</w:t>
      </w:r>
      <w:r>
        <w:rPr>
          <w:snapToGrid w:val="0"/>
          <w:kern w:val="22"/>
          <w:lang w:val="fr-FR"/>
        </w:rPr>
        <w:t> </w:t>
      </w:r>
      <w:r w:rsidRPr="00F36DA6">
        <w:rPr>
          <w:snapToGrid w:val="0"/>
          <w:kern w:val="22"/>
          <w:lang w:val="fr-FR"/>
        </w:rPr>
        <w:t>b)</w:t>
      </w:r>
      <w:r w:rsidR="003F1FFD" w:rsidRPr="00F8252B">
        <w:rPr>
          <w:snapToGrid w:val="0"/>
          <w:kern w:val="22"/>
          <w:lang w:val="fr-FR"/>
        </w:rPr>
        <w:t xml:space="preserve">. </w:t>
      </w:r>
    </w:p>
    <w:p w14:paraId="7CC21A1A" w14:textId="3B42F601" w:rsidR="003F1FFD" w:rsidRPr="00F8252B" w:rsidRDefault="00430FD6" w:rsidP="003F1FFD">
      <w:pPr>
        <w:pStyle w:val="CBDNormalNumber"/>
        <w:numPr>
          <w:ilvl w:val="0"/>
          <w:numId w:val="4"/>
        </w:numPr>
        <w:rPr>
          <w:snapToGrid w:val="0"/>
          <w:lang w:val="fr-FR"/>
        </w:rPr>
      </w:pPr>
      <w:r w:rsidRPr="00430FD6">
        <w:rPr>
          <w:snapToGrid w:val="0"/>
          <w:lang w:val="fr-FR"/>
        </w:rPr>
        <w:t>Soixante-huit pour cent des Parties ont établi des rapports selon lesquels leur pays disposait des capacités nécessaires pour évaluer les risques liés aux organismes vivants modifiés ou à des caractères spécifiques susceptibles d'avoir des effets néfastes sur la conservation et l'utilisation durable de la diversité biologique, en tenant compte des risques pour la santé humaine</w:t>
      </w:r>
      <w:r w:rsidR="003F1FFD" w:rsidRPr="00F8252B">
        <w:rPr>
          <w:rStyle w:val="Appelnotedebasdep"/>
          <w:snapToGrid w:val="0"/>
          <w:lang w:val="fr-FR"/>
        </w:rPr>
        <w:footnoteReference w:id="27"/>
      </w:r>
      <w:r>
        <w:rPr>
          <w:snapToGrid w:val="0"/>
          <w:lang w:val="fr-FR"/>
        </w:rPr>
        <w:t>.</w:t>
      </w:r>
      <w:r w:rsidR="003F1FFD" w:rsidRPr="00F8252B">
        <w:rPr>
          <w:snapToGrid w:val="0"/>
          <w:lang w:val="fr-FR"/>
        </w:rPr>
        <w:t xml:space="preserve"> </w:t>
      </w:r>
      <w:r w:rsidR="002063C0" w:rsidRPr="002063C0">
        <w:rPr>
          <w:snapToGrid w:val="0"/>
          <w:lang w:val="fr-FR"/>
        </w:rPr>
        <w:t>Cela représentait une augmentation de 1</w:t>
      </w:r>
      <w:r w:rsidR="00667501">
        <w:rPr>
          <w:snapToGrid w:val="0"/>
          <w:lang w:val="fr-FR"/>
        </w:rPr>
        <w:t> %</w:t>
      </w:r>
      <w:r w:rsidR="002063C0" w:rsidRPr="002063C0">
        <w:rPr>
          <w:snapToGrid w:val="0"/>
          <w:lang w:val="fr-FR"/>
        </w:rPr>
        <w:t xml:space="preserve"> par rapport à la situation de référence. Au niveau régional, la proportion des Parties ayant déclaré disposer de ces capacités se répartit comme suit</w:t>
      </w:r>
      <w:r w:rsidR="00CA1B90">
        <w:rPr>
          <w:snapToGrid w:val="0"/>
          <w:lang w:val="fr-FR"/>
        </w:rPr>
        <w:t> :</w:t>
      </w:r>
      <w:r w:rsidR="002063C0" w:rsidRPr="002063C0">
        <w:rPr>
          <w:snapToGrid w:val="0"/>
          <w:lang w:val="fr-FR"/>
        </w:rPr>
        <w:t xml:space="preserve"> 50</w:t>
      </w:r>
      <w:r w:rsidR="00667501">
        <w:rPr>
          <w:snapToGrid w:val="0"/>
          <w:lang w:val="fr-FR"/>
        </w:rPr>
        <w:t> %</w:t>
      </w:r>
      <w:r w:rsidR="002063C0" w:rsidRPr="002063C0">
        <w:rPr>
          <w:snapToGrid w:val="0"/>
          <w:lang w:val="fr-FR"/>
        </w:rPr>
        <w:t xml:space="preserve"> des Parties de la région Asie-Pacifique (-4</w:t>
      </w:r>
      <w:r w:rsidR="00667501">
        <w:rPr>
          <w:snapToGrid w:val="0"/>
          <w:lang w:val="fr-FR"/>
        </w:rPr>
        <w:t> %</w:t>
      </w:r>
      <w:r w:rsidR="002063C0" w:rsidRPr="002063C0">
        <w:rPr>
          <w:snapToGrid w:val="0"/>
          <w:lang w:val="fr-FR"/>
        </w:rPr>
        <w:t>)</w:t>
      </w:r>
      <w:r w:rsidR="00D560E8">
        <w:rPr>
          <w:snapToGrid w:val="0"/>
          <w:lang w:val="fr-FR"/>
        </w:rPr>
        <w:t> ;</w:t>
      </w:r>
      <w:r w:rsidR="002063C0" w:rsidRPr="002063C0">
        <w:rPr>
          <w:snapToGrid w:val="0"/>
          <w:lang w:val="fr-FR"/>
        </w:rPr>
        <w:t xml:space="preserve"> 60</w:t>
      </w:r>
      <w:r w:rsidR="00667501">
        <w:rPr>
          <w:snapToGrid w:val="0"/>
          <w:lang w:val="fr-FR"/>
        </w:rPr>
        <w:t> %</w:t>
      </w:r>
      <w:r w:rsidR="002063C0" w:rsidRPr="002063C0">
        <w:rPr>
          <w:snapToGrid w:val="0"/>
          <w:lang w:val="fr-FR"/>
        </w:rPr>
        <w:t xml:space="preserve"> des Parties de la région Amérique latine et Caraïbes (-5</w:t>
      </w:r>
      <w:r w:rsidR="00667501">
        <w:rPr>
          <w:snapToGrid w:val="0"/>
          <w:lang w:val="fr-FR"/>
        </w:rPr>
        <w:t> %</w:t>
      </w:r>
      <w:r w:rsidR="002063C0" w:rsidRPr="002063C0">
        <w:rPr>
          <w:snapToGrid w:val="0"/>
          <w:lang w:val="fr-FR"/>
        </w:rPr>
        <w:t>)</w:t>
      </w:r>
      <w:r w:rsidR="00D560E8">
        <w:rPr>
          <w:snapToGrid w:val="0"/>
          <w:lang w:val="fr-FR"/>
        </w:rPr>
        <w:t> ;</w:t>
      </w:r>
      <w:r w:rsidR="002063C0" w:rsidRPr="002063C0">
        <w:rPr>
          <w:snapToGrid w:val="0"/>
          <w:lang w:val="fr-FR"/>
        </w:rPr>
        <w:t xml:space="preserve"> 63</w:t>
      </w:r>
      <w:r w:rsidR="00667501">
        <w:rPr>
          <w:snapToGrid w:val="0"/>
          <w:lang w:val="fr-FR"/>
        </w:rPr>
        <w:t> %</w:t>
      </w:r>
      <w:r w:rsidR="002063C0" w:rsidRPr="002063C0">
        <w:rPr>
          <w:snapToGrid w:val="0"/>
          <w:lang w:val="fr-FR"/>
        </w:rPr>
        <w:t xml:space="preserve"> des Parties de la région Afrique (+8</w:t>
      </w:r>
      <w:r w:rsidR="00667501">
        <w:rPr>
          <w:snapToGrid w:val="0"/>
          <w:lang w:val="fr-FR"/>
        </w:rPr>
        <w:t> %</w:t>
      </w:r>
      <w:r w:rsidR="002063C0" w:rsidRPr="002063C0">
        <w:rPr>
          <w:snapToGrid w:val="0"/>
          <w:lang w:val="fr-FR"/>
        </w:rPr>
        <w:t>)</w:t>
      </w:r>
      <w:r w:rsidR="00D560E8">
        <w:rPr>
          <w:snapToGrid w:val="0"/>
          <w:lang w:val="fr-FR"/>
        </w:rPr>
        <w:t> ;</w:t>
      </w:r>
      <w:r w:rsidR="002063C0" w:rsidRPr="002063C0">
        <w:rPr>
          <w:snapToGrid w:val="0"/>
          <w:lang w:val="fr-FR"/>
        </w:rPr>
        <w:t xml:space="preserve"> 78</w:t>
      </w:r>
      <w:r w:rsidR="00667501">
        <w:rPr>
          <w:snapToGrid w:val="0"/>
          <w:lang w:val="fr-FR"/>
        </w:rPr>
        <w:t> %</w:t>
      </w:r>
      <w:r w:rsidR="002063C0" w:rsidRPr="002063C0">
        <w:rPr>
          <w:snapToGrid w:val="0"/>
          <w:lang w:val="fr-FR"/>
        </w:rPr>
        <w:t xml:space="preserve"> des Parties de la région Europe de l’Est (aucun changement par rapport à la référence)</w:t>
      </w:r>
      <w:r w:rsidR="00D560E8">
        <w:rPr>
          <w:snapToGrid w:val="0"/>
          <w:lang w:val="fr-FR"/>
        </w:rPr>
        <w:t> ;</w:t>
      </w:r>
      <w:r w:rsidR="002063C0" w:rsidRPr="002063C0">
        <w:rPr>
          <w:snapToGrid w:val="0"/>
          <w:lang w:val="fr-FR"/>
        </w:rPr>
        <w:t xml:space="preserve"> et 100</w:t>
      </w:r>
      <w:r w:rsidR="00667501">
        <w:rPr>
          <w:snapToGrid w:val="0"/>
          <w:lang w:val="fr-FR"/>
        </w:rPr>
        <w:t> %</w:t>
      </w:r>
      <w:r w:rsidR="002063C0" w:rsidRPr="002063C0">
        <w:rPr>
          <w:snapToGrid w:val="0"/>
          <w:lang w:val="fr-FR"/>
        </w:rPr>
        <w:t xml:space="preserve"> des Parties de la région Europe occidentale et autres États (aucun changement par rapport à la référence)</w:t>
      </w:r>
    </w:p>
    <w:p w14:paraId="3D706489" w14:textId="24F44434" w:rsidR="003F1FFD" w:rsidRPr="00F35DB9" w:rsidRDefault="002157B0" w:rsidP="003F1FFD">
      <w:pPr>
        <w:pStyle w:val="CBDNormalNumber"/>
        <w:numPr>
          <w:ilvl w:val="0"/>
          <w:numId w:val="4"/>
        </w:numPr>
        <w:rPr>
          <w:snapToGrid w:val="0"/>
          <w:lang w:val="fr-FR"/>
        </w:rPr>
      </w:pPr>
      <w:r w:rsidRPr="00F35DB9">
        <w:rPr>
          <w:snapToGrid w:val="0"/>
          <w:lang w:val="fr-FR"/>
        </w:rPr>
        <w:t>Au cours de la période visée par le présent rapport, 76</w:t>
      </w:r>
      <w:r w:rsidR="00667501">
        <w:rPr>
          <w:snapToGrid w:val="0"/>
          <w:lang w:val="fr-FR"/>
        </w:rPr>
        <w:t> %</w:t>
      </w:r>
      <w:r w:rsidRPr="00F35DB9">
        <w:rPr>
          <w:snapToGrid w:val="0"/>
          <w:lang w:val="fr-FR"/>
        </w:rPr>
        <w:t xml:space="preserve"> des Parties ont indiqué avoir formé au moins une personne à l'évaluation des risques, ce qui représente une baisse de</w:t>
      </w:r>
      <w:r w:rsidR="00B814F6" w:rsidRPr="00F35DB9">
        <w:rPr>
          <w:snapToGrid w:val="0"/>
          <w:lang w:val="fr-FR"/>
        </w:rPr>
        <w:t xml:space="preserve"> </w:t>
      </w:r>
      <w:r w:rsidRPr="00F35DB9">
        <w:rPr>
          <w:snapToGrid w:val="0"/>
          <w:lang w:val="fr-FR"/>
        </w:rPr>
        <w:t>6</w:t>
      </w:r>
      <w:r w:rsidR="00667501">
        <w:rPr>
          <w:snapToGrid w:val="0"/>
          <w:lang w:val="fr-FR"/>
        </w:rPr>
        <w:t> %</w:t>
      </w:r>
      <w:r w:rsidRPr="00F35DB9">
        <w:rPr>
          <w:snapToGrid w:val="0"/>
          <w:lang w:val="fr-FR"/>
        </w:rPr>
        <w:t xml:space="preserve"> par rapport à la référence</w:t>
      </w:r>
      <w:r w:rsidR="003F1FFD" w:rsidRPr="00F35DB9">
        <w:rPr>
          <w:rStyle w:val="Appelnotedebasdep"/>
          <w:snapToGrid w:val="0"/>
          <w:lang w:val="fr-FR"/>
        </w:rPr>
        <w:footnoteReference w:id="28"/>
      </w:r>
      <w:r w:rsidRPr="00F35DB9">
        <w:rPr>
          <w:snapToGrid w:val="0"/>
          <w:lang w:val="fr-FR"/>
        </w:rPr>
        <w:t>.</w:t>
      </w:r>
      <w:r w:rsidR="003F1FFD" w:rsidRPr="00F35DB9">
        <w:rPr>
          <w:snapToGrid w:val="0"/>
          <w:lang w:val="fr-FR"/>
        </w:rPr>
        <w:t xml:space="preserve"> </w:t>
      </w:r>
      <w:r w:rsidR="00B814F6" w:rsidRPr="00F35DB9">
        <w:rPr>
          <w:snapToGrid w:val="0"/>
          <w:lang w:val="fr-FR"/>
        </w:rPr>
        <w:t>Quarante pour cent de ces Parties ont indiqué que le nombre de personnes formées était suffisant, ce qui représente une baisse de 6</w:t>
      </w:r>
      <w:r w:rsidR="00667501">
        <w:rPr>
          <w:snapToGrid w:val="0"/>
          <w:lang w:val="fr-FR"/>
        </w:rPr>
        <w:t> %</w:t>
      </w:r>
      <w:r w:rsidR="00B814F6" w:rsidRPr="00F35DB9">
        <w:rPr>
          <w:snapToGrid w:val="0"/>
          <w:lang w:val="fr-FR"/>
        </w:rPr>
        <w:t xml:space="preserve"> par rapport </w:t>
      </w:r>
      <w:r w:rsidR="00F35DB9" w:rsidRPr="00F35DB9">
        <w:rPr>
          <w:snapToGrid w:val="0"/>
          <w:lang w:val="fr-FR"/>
        </w:rPr>
        <w:t xml:space="preserve">à la </w:t>
      </w:r>
      <w:r w:rsidR="00B814F6" w:rsidRPr="00F35DB9">
        <w:rPr>
          <w:snapToGrid w:val="0"/>
          <w:lang w:val="fr-FR"/>
        </w:rPr>
        <w:t>référence.</w:t>
      </w:r>
    </w:p>
    <w:p w14:paraId="1BCDB6CF" w14:textId="47C02E6F" w:rsidR="003F1FFD" w:rsidRPr="00B757BB" w:rsidRDefault="005F314B" w:rsidP="003F1FFD">
      <w:pPr>
        <w:pStyle w:val="CBDNormalNumber"/>
        <w:numPr>
          <w:ilvl w:val="0"/>
          <w:numId w:val="4"/>
        </w:numPr>
        <w:rPr>
          <w:snapToGrid w:val="0"/>
          <w:lang w:val="fr-FR"/>
        </w:rPr>
      </w:pPr>
      <w:r w:rsidRPr="00B757BB">
        <w:rPr>
          <w:snapToGrid w:val="0"/>
          <w:lang w:val="fr-FR"/>
        </w:rPr>
        <w:t>Au cours de la période considérée, 70</w:t>
      </w:r>
      <w:r w:rsidR="00667501">
        <w:rPr>
          <w:snapToGrid w:val="0"/>
          <w:lang w:val="fr-FR"/>
        </w:rPr>
        <w:t> %</w:t>
      </w:r>
      <w:r w:rsidRPr="00B757BB">
        <w:rPr>
          <w:snapToGrid w:val="0"/>
          <w:lang w:val="fr-FR"/>
        </w:rPr>
        <w:t xml:space="preserve"> des Parties ont établi un rapport indiquant avoir formé au moins une personne à la gestion des risques liés aux organismes vivants modifiés</w:t>
      </w:r>
      <w:r w:rsidR="003F1FFD" w:rsidRPr="00B757BB">
        <w:rPr>
          <w:rStyle w:val="Appelnotedebasdep"/>
          <w:snapToGrid w:val="0"/>
          <w:lang w:val="fr-FR"/>
        </w:rPr>
        <w:footnoteReference w:id="29"/>
      </w:r>
      <w:r w:rsidRPr="00B757BB">
        <w:rPr>
          <w:snapToGrid w:val="0"/>
          <w:lang w:val="fr-FR"/>
        </w:rPr>
        <w:t>,</w:t>
      </w:r>
      <w:r w:rsidR="003F1FFD" w:rsidRPr="00B757BB">
        <w:rPr>
          <w:snapToGrid w:val="0"/>
          <w:lang w:val="fr-FR"/>
        </w:rPr>
        <w:t xml:space="preserve"> </w:t>
      </w:r>
      <w:r w:rsidR="004D4B70" w:rsidRPr="00B757BB">
        <w:rPr>
          <w:snapToGrid w:val="0"/>
          <w:lang w:val="fr-FR"/>
        </w:rPr>
        <w:t xml:space="preserve">ce qui </w:t>
      </w:r>
      <w:r w:rsidR="004D4B70" w:rsidRPr="00B757BB">
        <w:rPr>
          <w:snapToGrid w:val="0"/>
          <w:lang w:val="fr-FR"/>
        </w:rPr>
        <w:lastRenderedPageBreak/>
        <w:t>représente une baisse de 5</w:t>
      </w:r>
      <w:r w:rsidR="00667501">
        <w:rPr>
          <w:snapToGrid w:val="0"/>
          <w:lang w:val="fr-FR"/>
        </w:rPr>
        <w:t> %</w:t>
      </w:r>
      <w:r w:rsidR="004D4B70" w:rsidRPr="00B757BB">
        <w:rPr>
          <w:snapToGrid w:val="0"/>
          <w:lang w:val="fr-FR"/>
        </w:rPr>
        <w:t xml:space="preserve"> par rapport à la référence. Quarante-cinq pour cent des Parties ont indiqué que le nombre de personnes formées à la gestion des risques était suffisant, ce qui représente une baisse de 4</w:t>
      </w:r>
      <w:r w:rsidR="00667501">
        <w:rPr>
          <w:snapToGrid w:val="0"/>
          <w:lang w:val="fr-FR"/>
        </w:rPr>
        <w:t> %</w:t>
      </w:r>
      <w:r w:rsidR="004D4B70" w:rsidRPr="00B757BB">
        <w:rPr>
          <w:snapToGrid w:val="0"/>
          <w:lang w:val="fr-FR"/>
        </w:rPr>
        <w:t xml:space="preserve"> par rapport à la référence.</w:t>
      </w:r>
    </w:p>
    <w:p w14:paraId="3DEAF146" w14:textId="31C1E343" w:rsidR="003F1FFD" w:rsidRPr="00F8252B" w:rsidRDefault="00867EE7" w:rsidP="003F1FFD">
      <w:pPr>
        <w:pStyle w:val="CBDNormalNumber"/>
        <w:numPr>
          <w:ilvl w:val="0"/>
          <w:numId w:val="4"/>
        </w:numPr>
        <w:rPr>
          <w:snapToGrid w:val="0"/>
          <w:kern w:val="22"/>
          <w:lang w:val="fr-FR"/>
        </w:rPr>
      </w:pPr>
      <w:r w:rsidRPr="00867EE7">
        <w:rPr>
          <w:snapToGrid w:val="0"/>
          <w:kern w:val="22"/>
          <w:lang w:val="fr-FR"/>
        </w:rPr>
        <w:t>Au cours de la période considérée, le Secrétariat a organisé les cinq ateliers de formation suivants sur l'évaluation des risques liés aux organismes vivants modifiés</w:t>
      </w:r>
      <w:r w:rsidR="00CA1B90">
        <w:rPr>
          <w:snapToGrid w:val="0"/>
          <w:kern w:val="22"/>
          <w:lang w:val="fr-FR"/>
        </w:rPr>
        <w:t> :</w:t>
      </w:r>
    </w:p>
    <w:p w14:paraId="7936EE9B" w14:textId="61B1D029" w:rsidR="003F1FFD" w:rsidRPr="00F8252B" w:rsidRDefault="00867EE7" w:rsidP="009505FC">
      <w:pPr>
        <w:pStyle w:val="CBDNormalNumber"/>
        <w:numPr>
          <w:ilvl w:val="1"/>
          <w:numId w:val="4"/>
        </w:numPr>
        <w:ind w:left="567" w:firstLine="567"/>
        <w:rPr>
          <w:snapToGrid w:val="0"/>
          <w:lang w:val="fr-FR"/>
        </w:rPr>
      </w:pPr>
      <w:r w:rsidRPr="00867EE7">
        <w:rPr>
          <w:snapToGrid w:val="0"/>
          <w:lang w:val="fr-FR"/>
        </w:rPr>
        <w:t>Formation sur l'évaluation des risques liés aux organismes vivants modifiés en Afrique francophone (septembre 2022), à laquelle ont participé 21</w:t>
      </w:r>
      <w:r w:rsidR="00CE0F9B">
        <w:rPr>
          <w:snapToGrid w:val="0"/>
          <w:lang w:val="fr-FR"/>
        </w:rPr>
        <w:t> </w:t>
      </w:r>
      <w:r w:rsidRPr="00867EE7">
        <w:rPr>
          <w:snapToGrid w:val="0"/>
          <w:lang w:val="fr-FR"/>
        </w:rPr>
        <w:t>personnes issues de 13</w:t>
      </w:r>
      <w:r w:rsidR="00CE0F9B">
        <w:rPr>
          <w:snapToGrid w:val="0"/>
          <w:lang w:val="fr-FR"/>
        </w:rPr>
        <w:t> </w:t>
      </w:r>
      <w:r w:rsidRPr="00867EE7">
        <w:rPr>
          <w:snapToGrid w:val="0"/>
          <w:lang w:val="fr-FR"/>
        </w:rPr>
        <w:t>Parties</w:t>
      </w:r>
      <w:r w:rsidR="003F1FFD" w:rsidRPr="00F8252B">
        <w:rPr>
          <w:rStyle w:val="Appelnotedebasdep"/>
          <w:snapToGrid w:val="0"/>
          <w:lang w:val="fr-FR"/>
        </w:rPr>
        <w:footnoteReference w:id="30"/>
      </w:r>
      <w:r>
        <w:rPr>
          <w:snapToGrid w:val="0"/>
          <w:lang w:val="fr-FR"/>
        </w:rPr>
        <w:t>,</w:t>
      </w:r>
    </w:p>
    <w:p w14:paraId="4B6CAAE4" w14:textId="6F1FBEC8" w:rsidR="003F1FFD" w:rsidRPr="00F8252B" w:rsidRDefault="00CE0F9B" w:rsidP="009505FC">
      <w:pPr>
        <w:pStyle w:val="CBDNormalNumber"/>
        <w:numPr>
          <w:ilvl w:val="1"/>
          <w:numId w:val="4"/>
        </w:numPr>
        <w:ind w:left="567" w:firstLine="567"/>
        <w:rPr>
          <w:snapToGrid w:val="0"/>
          <w:lang w:val="fr-FR"/>
        </w:rPr>
      </w:pPr>
      <w:r w:rsidRPr="00CE0F9B">
        <w:rPr>
          <w:snapToGrid w:val="0"/>
          <w:lang w:val="fr-FR"/>
        </w:rPr>
        <w:t>Formation sur l'évaluation des risques liés aux organismes vivants modifiés, organisée pour l'Asie occidentale, centrale et orientale (octobre 2022), à laquelle ont participé</w:t>
      </w:r>
      <w:r>
        <w:rPr>
          <w:snapToGrid w:val="0"/>
          <w:lang w:val="fr-FR"/>
        </w:rPr>
        <w:t> </w:t>
      </w:r>
      <w:r w:rsidRPr="00CE0F9B">
        <w:rPr>
          <w:snapToGrid w:val="0"/>
          <w:lang w:val="fr-FR"/>
        </w:rPr>
        <w:t>17 personnes issues de 12</w:t>
      </w:r>
      <w:r>
        <w:rPr>
          <w:snapToGrid w:val="0"/>
          <w:lang w:val="fr-FR"/>
        </w:rPr>
        <w:t> </w:t>
      </w:r>
      <w:r w:rsidRPr="00CE0F9B">
        <w:rPr>
          <w:snapToGrid w:val="0"/>
          <w:lang w:val="fr-FR"/>
        </w:rPr>
        <w:t>Parties</w:t>
      </w:r>
      <w:r w:rsidR="003F1FFD" w:rsidRPr="00F8252B">
        <w:rPr>
          <w:rStyle w:val="Appelnotedebasdep"/>
          <w:snapToGrid w:val="0"/>
          <w:lang w:val="fr-FR"/>
        </w:rPr>
        <w:footnoteReference w:id="31"/>
      </w:r>
      <w:r>
        <w:rPr>
          <w:snapToGrid w:val="0"/>
          <w:lang w:val="fr-FR"/>
        </w:rPr>
        <w:t>,</w:t>
      </w:r>
    </w:p>
    <w:p w14:paraId="22E4CCF7" w14:textId="3794D54F" w:rsidR="003F1FFD" w:rsidRPr="00F8252B" w:rsidRDefault="00746D93" w:rsidP="009505FC">
      <w:pPr>
        <w:pStyle w:val="CBDNormalNumber"/>
        <w:numPr>
          <w:ilvl w:val="1"/>
          <w:numId w:val="4"/>
        </w:numPr>
        <w:ind w:left="567" w:firstLine="567"/>
        <w:rPr>
          <w:snapToGrid w:val="0"/>
          <w:lang w:val="fr-FR"/>
        </w:rPr>
      </w:pPr>
      <w:r w:rsidRPr="00746D93">
        <w:rPr>
          <w:snapToGrid w:val="0"/>
          <w:lang w:val="fr-FR"/>
        </w:rPr>
        <w:t>Formation sur l'évaluation des risques liés aux organismes vivants modifiés destinée aux pays d'Asie du Sud, du Sud-Est et du Pacifique (novembre 2022), à laquelle ont participé 20</w:t>
      </w:r>
      <w:r>
        <w:rPr>
          <w:snapToGrid w:val="0"/>
          <w:lang w:val="fr-FR"/>
        </w:rPr>
        <w:t> </w:t>
      </w:r>
      <w:r w:rsidRPr="00746D93">
        <w:rPr>
          <w:snapToGrid w:val="0"/>
          <w:lang w:val="fr-FR"/>
        </w:rPr>
        <w:t>personnes issues de 12</w:t>
      </w:r>
      <w:r>
        <w:rPr>
          <w:snapToGrid w:val="0"/>
          <w:lang w:val="fr-FR"/>
        </w:rPr>
        <w:t> </w:t>
      </w:r>
      <w:r w:rsidRPr="00746D93">
        <w:rPr>
          <w:snapToGrid w:val="0"/>
          <w:lang w:val="fr-FR"/>
        </w:rPr>
        <w:t>Parties</w:t>
      </w:r>
      <w:r w:rsidR="003F1FFD" w:rsidRPr="00F8252B">
        <w:rPr>
          <w:vertAlign w:val="superscript"/>
          <w:lang w:val="fr-FR"/>
        </w:rPr>
        <w:footnoteReference w:id="32"/>
      </w:r>
      <w:r>
        <w:rPr>
          <w:snapToGrid w:val="0"/>
          <w:lang w:val="fr-FR"/>
        </w:rPr>
        <w:t>,</w:t>
      </w:r>
    </w:p>
    <w:p w14:paraId="3E97D4EE" w14:textId="75D8D353" w:rsidR="003F1FFD" w:rsidRPr="00F8252B" w:rsidRDefault="006F11DE" w:rsidP="009505FC">
      <w:pPr>
        <w:pStyle w:val="CBDNormalNumber"/>
        <w:numPr>
          <w:ilvl w:val="1"/>
          <w:numId w:val="4"/>
        </w:numPr>
        <w:ind w:left="567" w:firstLine="567"/>
        <w:rPr>
          <w:snapToGrid w:val="0"/>
          <w:lang w:val="fr-FR"/>
        </w:rPr>
      </w:pPr>
      <w:r w:rsidRPr="006F11DE">
        <w:rPr>
          <w:snapToGrid w:val="0"/>
          <w:lang w:val="fr-FR"/>
        </w:rPr>
        <w:t>Formation destinée aux États des Caraïbes sur l'évaluation des risques liés aux organismes vivants modifiés (décembre 2024), à laquelle ont participé 22</w:t>
      </w:r>
      <w:r>
        <w:rPr>
          <w:snapToGrid w:val="0"/>
          <w:lang w:val="fr-FR"/>
        </w:rPr>
        <w:t> </w:t>
      </w:r>
      <w:r w:rsidRPr="006F11DE">
        <w:rPr>
          <w:snapToGrid w:val="0"/>
          <w:lang w:val="fr-FR"/>
        </w:rPr>
        <w:t>personnes issues de neuf Parties</w:t>
      </w:r>
      <w:r w:rsidR="003F1FFD" w:rsidRPr="00F8252B">
        <w:rPr>
          <w:vertAlign w:val="superscript"/>
          <w:lang w:val="fr-FR"/>
        </w:rPr>
        <w:footnoteReference w:id="33"/>
      </w:r>
      <w:r>
        <w:rPr>
          <w:snapToGrid w:val="0"/>
          <w:lang w:val="fr-FR"/>
        </w:rPr>
        <w:t>,</w:t>
      </w:r>
    </w:p>
    <w:p w14:paraId="371E394F" w14:textId="3F621886" w:rsidR="007D5C50" w:rsidRPr="00F8252B" w:rsidRDefault="003F1FFD" w:rsidP="003F1FFD">
      <w:pPr>
        <w:pStyle w:val="CBDNormalNumber"/>
        <w:numPr>
          <w:ilvl w:val="0"/>
          <w:numId w:val="0"/>
        </w:numPr>
        <w:ind w:left="567" w:firstLine="567"/>
        <w:rPr>
          <w:snapToGrid w:val="0"/>
          <w:lang w:val="fr-FR"/>
        </w:rPr>
      </w:pPr>
      <w:r w:rsidRPr="00F8252B">
        <w:rPr>
          <w:snapToGrid w:val="0"/>
          <w:lang w:val="fr-FR"/>
        </w:rPr>
        <w:t>e)</w:t>
      </w:r>
      <w:r w:rsidRPr="00F8252B">
        <w:rPr>
          <w:snapToGrid w:val="0"/>
          <w:lang w:val="fr-FR"/>
        </w:rPr>
        <w:tab/>
      </w:r>
      <w:r w:rsidR="006F11DE" w:rsidRPr="006F11DE">
        <w:rPr>
          <w:snapToGrid w:val="0"/>
          <w:lang w:val="fr-FR"/>
        </w:rPr>
        <w:t>Formation internationale sur l'évaluation des risques liés aux organismes vivants modifiés (juin 2025), à laquelle ont participé 44</w:t>
      </w:r>
      <w:r w:rsidR="006F11DE">
        <w:rPr>
          <w:snapToGrid w:val="0"/>
          <w:lang w:val="fr-FR"/>
        </w:rPr>
        <w:t> </w:t>
      </w:r>
      <w:r w:rsidR="006F11DE" w:rsidRPr="006F11DE">
        <w:rPr>
          <w:snapToGrid w:val="0"/>
          <w:lang w:val="fr-FR"/>
        </w:rPr>
        <w:t>personnes issues de 24</w:t>
      </w:r>
      <w:r w:rsidR="006F11DE">
        <w:rPr>
          <w:snapToGrid w:val="0"/>
          <w:lang w:val="fr-FR"/>
        </w:rPr>
        <w:t> </w:t>
      </w:r>
      <w:r w:rsidR="006F11DE" w:rsidRPr="006F11DE">
        <w:rPr>
          <w:snapToGrid w:val="0"/>
          <w:lang w:val="fr-FR"/>
        </w:rPr>
        <w:t>Parties</w:t>
      </w:r>
      <w:r w:rsidRPr="00F8252B">
        <w:rPr>
          <w:rStyle w:val="Appelnotedebasdep"/>
          <w:snapToGrid w:val="0"/>
          <w:lang w:val="fr-FR"/>
        </w:rPr>
        <w:footnoteReference w:id="34"/>
      </w:r>
      <w:r w:rsidR="006F11DE">
        <w:rPr>
          <w:snapToGrid w:val="0"/>
          <w:lang w:val="fr-FR"/>
        </w:rPr>
        <w:t>.</w:t>
      </w:r>
    </w:p>
    <w:p w14:paraId="0AE0C5E2" w14:textId="2066E5E9" w:rsidR="00F14A29" w:rsidRPr="00F8252B" w:rsidRDefault="00BE013A" w:rsidP="00294CB4">
      <w:pPr>
        <w:pStyle w:val="CBDH2"/>
        <w:jc w:val="left"/>
        <w:rPr>
          <w:b w:val="0"/>
          <w:lang w:val="fr-FR"/>
        </w:rPr>
      </w:pPr>
      <w:r w:rsidRPr="00F8252B">
        <w:rPr>
          <w:lang w:val="fr-FR"/>
        </w:rPr>
        <w:t>F.</w:t>
      </w:r>
      <w:r w:rsidRPr="00F8252B">
        <w:rPr>
          <w:lang w:val="fr-FR"/>
        </w:rPr>
        <w:tab/>
      </w:r>
      <w:r w:rsidR="00F26154" w:rsidRPr="00F8252B">
        <w:rPr>
          <w:lang w:val="fr-FR"/>
        </w:rPr>
        <w:t>But </w:t>
      </w:r>
      <w:r w:rsidRPr="00F8252B">
        <w:rPr>
          <w:lang w:val="fr-FR"/>
        </w:rPr>
        <w:t>A.6.</w:t>
      </w:r>
      <w:r w:rsidRPr="00F8252B">
        <w:rPr>
          <w:b w:val="0"/>
          <w:lang w:val="fr-FR"/>
        </w:rPr>
        <w:t xml:space="preserve"> </w:t>
      </w:r>
      <w:r w:rsidR="00594132" w:rsidRPr="00F8252B">
        <w:rPr>
          <w:lang w:val="fr-FR"/>
        </w:rPr>
        <w:t>Les Parties préviennent et réduisent les mouvements transfrontières illicites et non intentionnels d’OVM</w:t>
      </w:r>
    </w:p>
    <w:p w14:paraId="30D6D744" w14:textId="359418E8" w:rsidR="000571A8" w:rsidRPr="00F8252B" w:rsidRDefault="00FA2C01" w:rsidP="00FA2932">
      <w:pPr>
        <w:pStyle w:val="CBDH4"/>
        <w:rPr>
          <w:snapToGrid w:val="0"/>
          <w:lang w:val="fr-FR"/>
        </w:rPr>
      </w:pPr>
      <w:r w:rsidRPr="00F8252B">
        <w:rPr>
          <w:snapToGrid w:val="0"/>
          <w:lang w:val="fr-FR"/>
        </w:rPr>
        <w:t>a)</w:t>
      </w:r>
      <w:r w:rsidRPr="00F8252B">
        <w:rPr>
          <w:snapToGrid w:val="0"/>
          <w:lang w:val="fr-FR"/>
        </w:rPr>
        <w:tab/>
      </w:r>
      <w:r w:rsidR="00D856C7" w:rsidRPr="00F8252B">
        <w:rPr>
          <w:snapToGrid w:val="0"/>
          <w:lang w:val="fr-FR"/>
        </w:rPr>
        <w:t xml:space="preserve">Chiffres clés et </w:t>
      </w:r>
      <w:r w:rsidR="0035077E" w:rsidRPr="00F8252B">
        <w:rPr>
          <w:snapToGrid w:val="0"/>
          <w:lang w:val="fr-FR"/>
        </w:rPr>
        <w:t>éléments importants</w:t>
      </w:r>
    </w:p>
    <w:p w14:paraId="03CF78EF" w14:textId="1D3C6BFA" w:rsidR="00C03AEF" w:rsidRPr="00441E09" w:rsidRDefault="0099591E" w:rsidP="00C03AEF">
      <w:pPr>
        <w:pStyle w:val="Paragraphedeliste"/>
        <w:numPr>
          <w:ilvl w:val="0"/>
          <w:numId w:val="11"/>
        </w:numPr>
        <w:suppressLineNumbers/>
        <w:suppressAutoHyphens/>
        <w:snapToGrid w:val="0"/>
        <w:spacing w:before="120" w:after="120"/>
        <w:ind w:left="993" w:hanging="425"/>
        <w:contextualSpacing w:val="0"/>
        <w:rPr>
          <w:snapToGrid w:val="0"/>
          <w:kern w:val="22"/>
          <w:lang w:val="fr-FR"/>
        </w:rPr>
      </w:pPr>
      <w:r w:rsidRPr="00441E09">
        <w:rPr>
          <w:snapToGrid w:val="0"/>
          <w:kern w:val="22"/>
          <w:lang w:val="fr-FR"/>
        </w:rPr>
        <w:t>Cinquante-huit pour cent des Parties ont indiqué avoir pris des mesures appropriées pour prévenir les mouvements transfrontières non intentionnels d’organismes vivants modifiés, et 16</w:t>
      </w:r>
      <w:r w:rsidR="00667501">
        <w:rPr>
          <w:snapToGrid w:val="0"/>
          <w:kern w:val="22"/>
          <w:lang w:val="fr-FR"/>
        </w:rPr>
        <w:t> %</w:t>
      </w:r>
      <w:r w:rsidRPr="00441E09">
        <w:rPr>
          <w:snapToGrid w:val="0"/>
          <w:kern w:val="22"/>
          <w:lang w:val="fr-FR"/>
        </w:rPr>
        <w:t xml:space="preserve"> des Parties ont indiqué avoir pris de telles mesures à un certain degré. Si l’on considère ces chiffres dans leur ensemble, on obtient un pourcentage global de 74</w:t>
      </w:r>
      <w:r w:rsidR="00667501">
        <w:rPr>
          <w:snapToGrid w:val="0"/>
          <w:kern w:val="22"/>
          <w:lang w:val="fr-FR"/>
        </w:rPr>
        <w:t> %</w:t>
      </w:r>
      <w:r w:rsidRPr="00441E09">
        <w:rPr>
          <w:snapToGrid w:val="0"/>
          <w:kern w:val="22"/>
          <w:lang w:val="fr-FR"/>
        </w:rPr>
        <w:t xml:space="preserve"> (+10</w:t>
      </w:r>
      <w:r w:rsidR="00667501">
        <w:rPr>
          <w:snapToGrid w:val="0"/>
          <w:kern w:val="22"/>
          <w:lang w:val="fr-FR"/>
        </w:rPr>
        <w:t> %</w:t>
      </w:r>
      <w:r w:rsidRPr="00441E09">
        <w:rPr>
          <w:snapToGrid w:val="0"/>
          <w:kern w:val="22"/>
          <w:lang w:val="fr-FR"/>
        </w:rPr>
        <w:t>)</w:t>
      </w:r>
      <w:r w:rsidR="00C03AEF" w:rsidRPr="00F8252B">
        <w:rPr>
          <w:rStyle w:val="Appelnotedebasdep"/>
          <w:snapToGrid w:val="0"/>
          <w:kern w:val="22"/>
          <w:lang w:val="fr-FR"/>
        </w:rPr>
        <w:footnoteReference w:id="35"/>
      </w:r>
      <w:r w:rsidRPr="00441E09">
        <w:rPr>
          <w:snapToGrid w:val="0"/>
          <w:kern w:val="22"/>
          <w:lang w:val="fr-FR"/>
        </w:rPr>
        <w:t>.</w:t>
      </w:r>
      <w:r w:rsidR="00C03AEF" w:rsidRPr="00441E09">
        <w:rPr>
          <w:snapToGrid w:val="0"/>
          <w:kern w:val="22"/>
          <w:lang w:val="fr-FR"/>
        </w:rPr>
        <w:t xml:space="preserve"> </w:t>
      </w:r>
      <w:r w:rsidR="00441E09" w:rsidRPr="00441E09">
        <w:rPr>
          <w:snapToGrid w:val="0"/>
          <w:kern w:val="22"/>
          <w:lang w:val="fr-FR"/>
        </w:rPr>
        <w:t>Au niveau régional, entre 58 et 100</w:t>
      </w:r>
      <w:r w:rsidR="00667501">
        <w:rPr>
          <w:snapToGrid w:val="0"/>
          <w:kern w:val="22"/>
          <w:lang w:val="fr-FR"/>
        </w:rPr>
        <w:t> %</w:t>
      </w:r>
      <w:r w:rsidR="00441E09" w:rsidRPr="00441E09">
        <w:rPr>
          <w:snapToGrid w:val="0"/>
          <w:kern w:val="22"/>
          <w:lang w:val="fr-FR"/>
        </w:rPr>
        <w:t xml:space="preserve"> des Parties ont indiqué que des mesures appropriées étaient en place ou qu'elles l'étaient à un certain degré</w:t>
      </w:r>
      <w:r w:rsidR="00441E09">
        <w:rPr>
          <w:snapToGrid w:val="0"/>
          <w:kern w:val="22"/>
          <w:lang w:val="fr-FR"/>
        </w:rPr>
        <w:t>.</w:t>
      </w:r>
    </w:p>
    <w:p w14:paraId="495F08AB" w14:textId="30CAEDDF" w:rsidR="00C03AEF" w:rsidRPr="00F8252B" w:rsidRDefault="00A567AF" w:rsidP="00C03AEF">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fr-FR"/>
        </w:rPr>
      </w:pPr>
      <w:r w:rsidRPr="00A567AF">
        <w:rPr>
          <w:snapToGrid w:val="0"/>
          <w:kern w:val="22"/>
          <w:lang w:val="fr-FR"/>
        </w:rPr>
        <w:t>Soixante et un pour cent des Parties ont indiqué avoir adopté des mesures visant à prévenir les mouvements transfrontières illicites d’organismes vivants modifiés (+2</w:t>
      </w:r>
      <w:r w:rsidR="00667501">
        <w:rPr>
          <w:snapToGrid w:val="0"/>
          <w:kern w:val="22"/>
          <w:lang w:val="fr-FR"/>
        </w:rPr>
        <w:t> %</w:t>
      </w:r>
      <w:r w:rsidRPr="00A567AF">
        <w:rPr>
          <w:snapToGrid w:val="0"/>
          <w:kern w:val="22"/>
          <w:lang w:val="fr-FR"/>
        </w:rPr>
        <w:t>) et 13</w:t>
      </w:r>
      <w:r w:rsidR="00667501">
        <w:rPr>
          <w:snapToGrid w:val="0"/>
          <w:kern w:val="22"/>
          <w:lang w:val="fr-FR"/>
        </w:rPr>
        <w:t> %</w:t>
      </w:r>
      <w:r w:rsidRPr="00A567AF">
        <w:rPr>
          <w:snapToGrid w:val="0"/>
          <w:kern w:val="22"/>
          <w:lang w:val="fr-FR"/>
        </w:rPr>
        <w:t xml:space="preserve"> des Parties (16</w:t>
      </w:r>
      <w:r>
        <w:rPr>
          <w:snapToGrid w:val="0"/>
          <w:kern w:val="22"/>
          <w:lang w:val="fr-FR"/>
        </w:rPr>
        <w:t> </w:t>
      </w:r>
      <w:r w:rsidRPr="00A567AF">
        <w:rPr>
          <w:snapToGrid w:val="0"/>
          <w:kern w:val="22"/>
          <w:lang w:val="fr-FR"/>
        </w:rPr>
        <w:t>Parties) ont indiqué l’avoir fait dans une certaine mesure (-1</w:t>
      </w:r>
      <w:r w:rsidR="00667501">
        <w:rPr>
          <w:snapToGrid w:val="0"/>
          <w:kern w:val="22"/>
          <w:lang w:val="fr-FR"/>
        </w:rPr>
        <w:t> %</w:t>
      </w:r>
      <w:r w:rsidRPr="00A567AF">
        <w:rPr>
          <w:snapToGrid w:val="0"/>
          <w:kern w:val="22"/>
          <w:lang w:val="fr-FR"/>
        </w:rPr>
        <w:t>). Au niveau régional, entre 40 et 100</w:t>
      </w:r>
      <w:r w:rsidR="00667501">
        <w:rPr>
          <w:snapToGrid w:val="0"/>
          <w:kern w:val="22"/>
          <w:lang w:val="fr-FR"/>
        </w:rPr>
        <w:t> %</w:t>
      </w:r>
      <w:r w:rsidRPr="00A567AF">
        <w:rPr>
          <w:snapToGrid w:val="0"/>
          <w:kern w:val="22"/>
          <w:lang w:val="fr-FR"/>
        </w:rPr>
        <w:t xml:space="preserve"> des Parties ont indiqué avoir adopté de telles mesures ou l’avoir fait </w:t>
      </w:r>
      <w:r w:rsidR="005C7639">
        <w:rPr>
          <w:snapToGrid w:val="0"/>
          <w:kern w:val="22"/>
          <w:lang w:val="fr-FR"/>
        </w:rPr>
        <w:t>à un certain degré.</w:t>
      </w:r>
    </w:p>
    <w:p w14:paraId="5DDC6987" w14:textId="0FDCEA65" w:rsidR="00C03AEF" w:rsidRPr="00F8252B" w:rsidRDefault="00112E4C" w:rsidP="00C03AEF">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fr-FR"/>
        </w:rPr>
      </w:pPr>
      <w:r w:rsidRPr="00112E4C">
        <w:rPr>
          <w:snapToGrid w:val="0"/>
          <w:kern w:val="22"/>
          <w:lang w:val="fr-FR"/>
        </w:rPr>
        <w:t>Six Parties ont signalé des cas de mouvements transfrontières non intentionnels d’organismes vivants modifiés et 26</w:t>
      </w:r>
      <w:r>
        <w:rPr>
          <w:snapToGrid w:val="0"/>
          <w:kern w:val="22"/>
          <w:lang w:val="fr-FR"/>
        </w:rPr>
        <w:t> </w:t>
      </w:r>
      <w:r w:rsidRPr="00112E4C">
        <w:rPr>
          <w:snapToGrid w:val="0"/>
          <w:kern w:val="22"/>
          <w:lang w:val="fr-FR"/>
        </w:rPr>
        <w:t>Parties ont signalé des cas de mouvements transfrontières illicites d’organismes vivants modifiés au cours de la période couverte par leurs cinquièmes rapports nationaux. Seuls deux dossiers concernant des cas de mouvements transfrontières illicites ont été communiqués sur le Centre d’échange pour la prévention des risques biotechnologiques au cours de cette période, et aucun dossier relatif à des mouvements transfrontières non intentionnels n’a été présenté au Centre d’échange.</w:t>
      </w:r>
    </w:p>
    <w:p w14:paraId="28DCBE2C" w14:textId="37F5A448" w:rsidR="00D45FF4" w:rsidRPr="00F8252B" w:rsidRDefault="00B45F3B" w:rsidP="00C03AEF">
      <w:pPr>
        <w:pStyle w:val="CBDNormalNumber"/>
        <w:rPr>
          <w:snapToGrid w:val="0"/>
          <w:kern w:val="22"/>
          <w:lang w:val="fr-FR"/>
        </w:rPr>
      </w:pPr>
      <w:r w:rsidRPr="00B45F3B">
        <w:rPr>
          <w:snapToGrid w:val="0"/>
          <w:kern w:val="22"/>
          <w:lang w:val="fr-FR"/>
        </w:rPr>
        <w:t xml:space="preserve">Alors que plusieurs Parties ont indiqué que des mesures étaient en place ou en cours d'élaboration concernant les mouvements transfrontières illicites et non intentionnels, nombre d'entre </w:t>
      </w:r>
      <w:r w:rsidRPr="00B45F3B">
        <w:rPr>
          <w:snapToGrid w:val="0"/>
          <w:kern w:val="22"/>
          <w:lang w:val="fr-FR"/>
        </w:rPr>
        <w:lastRenderedPageBreak/>
        <w:t>elles ont fait état de difficultés dans la mise en œuvre de ces mesures en raison de diverses contraintes liées aux ressources et aux capacités, notamment le manque de capacités de détection en laboratoire, le manque de ressources humaines, la porosité des frontières, le manque d'équipements techniques aux points d'entrée, l'insuffisance des ressources financières et institutionnelles, ainsi que</w:t>
      </w:r>
      <w:r>
        <w:rPr>
          <w:snapToGrid w:val="0"/>
          <w:kern w:val="22"/>
          <w:lang w:val="fr-FR"/>
        </w:rPr>
        <w:t xml:space="preserve"> le caractère limité de</w:t>
      </w:r>
      <w:r w:rsidRPr="00B45F3B">
        <w:rPr>
          <w:snapToGrid w:val="0"/>
          <w:kern w:val="22"/>
          <w:lang w:val="fr-FR"/>
        </w:rPr>
        <w:t xml:space="preserve"> la collaboration interinstitutionnelle</w:t>
      </w:r>
      <w:r w:rsidR="00C03AEF" w:rsidRPr="00F8252B">
        <w:rPr>
          <w:snapToGrid w:val="0"/>
          <w:kern w:val="22"/>
          <w:lang w:val="fr-FR"/>
        </w:rPr>
        <w:t>.</w:t>
      </w:r>
    </w:p>
    <w:p w14:paraId="37786970" w14:textId="5D31CF5F" w:rsidR="00D45FF4" w:rsidRPr="00F8252B" w:rsidRDefault="00D45FF4" w:rsidP="00FA2932">
      <w:pPr>
        <w:pStyle w:val="CBDH4"/>
        <w:rPr>
          <w:snapToGrid w:val="0"/>
          <w:lang w:val="fr-FR"/>
        </w:rPr>
      </w:pPr>
      <w:r w:rsidRPr="00F8252B">
        <w:rPr>
          <w:snapToGrid w:val="0"/>
          <w:lang w:val="fr-FR"/>
        </w:rPr>
        <w:t>b)</w:t>
      </w:r>
      <w:r w:rsidRPr="00F8252B">
        <w:rPr>
          <w:snapToGrid w:val="0"/>
          <w:lang w:val="fr-FR"/>
        </w:rPr>
        <w:tab/>
        <w:t>Analys</w:t>
      </w:r>
      <w:r w:rsidR="00540868" w:rsidRPr="00F8252B">
        <w:rPr>
          <w:snapToGrid w:val="0"/>
          <w:lang w:val="fr-FR"/>
        </w:rPr>
        <w:t>e des</w:t>
      </w:r>
      <w:r w:rsidRPr="00F8252B">
        <w:rPr>
          <w:snapToGrid w:val="0"/>
          <w:lang w:val="fr-FR"/>
        </w:rPr>
        <w:t xml:space="preserve"> information</w:t>
      </w:r>
      <w:r w:rsidR="00540868" w:rsidRPr="00F8252B">
        <w:rPr>
          <w:snapToGrid w:val="0"/>
          <w:lang w:val="fr-FR"/>
        </w:rPr>
        <w:t>s</w:t>
      </w:r>
    </w:p>
    <w:p w14:paraId="0668BFEF" w14:textId="34C79BBB" w:rsidR="00607078" w:rsidRPr="00F8252B" w:rsidRDefault="002820D8" w:rsidP="00607078">
      <w:pPr>
        <w:pStyle w:val="CBDNormalNumber"/>
        <w:rPr>
          <w:b/>
          <w:bCs/>
          <w:snapToGrid w:val="0"/>
          <w:lang w:val="fr-FR"/>
        </w:rPr>
      </w:pPr>
      <w:r w:rsidRPr="002820D8">
        <w:rPr>
          <w:snapToGrid w:val="0"/>
          <w:lang w:val="fr-FR"/>
        </w:rPr>
        <w:t>Le but</w:t>
      </w:r>
      <w:r>
        <w:rPr>
          <w:snapToGrid w:val="0"/>
          <w:lang w:val="fr-FR"/>
        </w:rPr>
        <w:t> </w:t>
      </w:r>
      <w:r w:rsidRPr="002820D8">
        <w:rPr>
          <w:snapToGrid w:val="0"/>
          <w:lang w:val="fr-FR"/>
        </w:rPr>
        <w:t xml:space="preserve">A.6 comprend un objectif à atteindre pour la réalisation de ce but et un indicateur permettant de mesurer les progrès accomplis dans la réalisation de cet objectif. </w:t>
      </w:r>
      <w:r w:rsidR="00AC754E">
        <w:rPr>
          <w:snapToGrid w:val="0"/>
          <w:lang w:val="fr-FR"/>
        </w:rPr>
        <w:t>Pour</w:t>
      </w:r>
      <w:r w:rsidRPr="002820D8">
        <w:rPr>
          <w:snapToGrid w:val="0"/>
          <w:lang w:val="fr-FR"/>
        </w:rPr>
        <w:t xml:space="preserve"> l’indicateur A.6</w:t>
      </w:r>
      <w:r>
        <w:rPr>
          <w:snapToGrid w:val="0"/>
          <w:lang w:val="fr-FR"/>
        </w:rPr>
        <w:t> </w:t>
      </w:r>
      <w:r w:rsidRPr="002820D8">
        <w:rPr>
          <w:snapToGrid w:val="0"/>
          <w:lang w:val="fr-FR"/>
        </w:rPr>
        <w:t>a) (pourcentage des Parties ayant mis en place des mesures visant à prévenir et à traiter les mouvements transfrontières illicites et non intentionnels d’organismes vivants modifiés), ce sont les informations fournies en réponse aux questions</w:t>
      </w:r>
      <w:r>
        <w:rPr>
          <w:snapToGrid w:val="0"/>
          <w:lang w:val="fr-FR"/>
        </w:rPr>
        <w:t> </w:t>
      </w:r>
      <w:r w:rsidRPr="002820D8">
        <w:rPr>
          <w:snapToGrid w:val="0"/>
          <w:lang w:val="fr-FR"/>
        </w:rPr>
        <w:t>62 et 145 du cinquième rapport national qui ont été utilisées pour mesurer les progrès accomplis.</w:t>
      </w:r>
    </w:p>
    <w:p w14:paraId="7B97DA2F" w14:textId="0855BA38" w:rsidR="00607078" w:rsidRPr="00F8252B" w:rsidRDefault="00827BA2" w:rsidP="00607078">
      <w:pPr>
        <w:pStyle w:val="CBDNormalNumber"/>
        <w:rPr>
          <w:snapToGrid w:val="0"/>
          <w:lang w:val="fr-FR"/>
        </w:rPr>
      </w:pPr>
      <w:r w:rsidRPr="00827BA2">
        <w:rPr>
          <w:snapToGrid w:val="0"/>
          <w:lang w:val="fr-FR"/>
        </w:rPr>
        <w:t xml:space="preserve">Cinquante-huit pour cent des Parties ont indiqué avoir pris des mesures appropriées pour prévenir les mouvements transfrontières non intentionnels d’organismes vivants modifiés, notamment en exigeant que l’évaluation des risques soit entreprise avant la première dissémination d’un organisme vivant modifié. Seize pour cent des Parties ont indiqué avoir pris de telles mesures </w:t>
      </w:r>
      <w:r w:rsidR="00117C03">
        <w:rPr>
          <w:snapToGrid w:val="0"/>
          <w:lang w:val="fr-FR"/>
        </w:rPr>
        <w:t>à un certain degré</w:t>
      </w:r>
      <w:r w:rsidR="00607078" w:rsidRPr="00F8252B">
        <w:rPr>
          <w:rStyle w:val="Appelnotedebasdep"/>
          <w:snapToGrid w:val="0"/>
          <w:kern w:val="22"/>
          <w:lang w:val="fr-FR"/>
        </w:rPr>
        <w:footnoteReference w:id="36"/>
      </w:r>
      <w:r>
        <w:rPr>
          <w:snapToGrid w:val="0"/>
          <w:lang w:val="fr-FR"/>
        </w:rPr>
        <w:t>.</w:t>
      </w:r>
    </w:p>
    <w:p w14:paraId="0B9A3D48" w14:textId="317DFFB8" w:rsidR="00607078" w:rsidRPr="00F8252B" w:rsidRDefault="008661C1" w:rsidP="00607078">
      <w:pPr>
        <w:pStyle w:val="CBDNormalNumber"/>
        <w:rPr>
          <w:snapToGrid w:val="0"/>
          <w:lang w:val="fr-FR"/>
        </w:rPr>
      </w:pPr>
      <w:r w:rsidRPr="008661C1">
        <w:rPr>
          <w:snapToGrid w:val="0"/>
          <w:lang w:val="fr-FR"/>
        </w:rPr>
        <w:t>Lorsque l'on a considéré ensemble les Parties ayant déclaré avoir pris des mesures et celles ayant déclaré avoir pris des mesures dans une certaine mesure, le chiffre global s'élevait à 74</w:t>
      </w:r>
      <w:r w:rsidR="00667501">
        <w:rPr>
          <w:snapToGrid w:val="0"/>
          <w:lang w:val="fr-FR"/>
        </w:rPr>
        <w:t> %</w:t>
      </w:r>
      <w:r w:rsidRPr="008661C1">
        <w:rPr>
          <w:snapToGrid w:val="0"/>
          <w:lang w:val="fr-FR"/>
        </w:rPr>
        <w:t xml:space="preserve"> (soit une augmentation de 10</w:t>
      </w:r>
      <w:r w:rsidR="00667501">
        <w:rPr>
          <w:snapToGrid w:val="0"/>
          <w:lang w:val="fr-FR"/>
        </w:rPr>
        <w:t> %</w:t>
      </w:r>
      <w:r w:rsidRPr="008661C1">
        <w:rPr>
          <w:snapToGrid w:val="0"/>
          <w:lang w:val="fr-FR"/>
        </w:rPr>
        <w:t>), comme l'indique la Figure</w:t>
      </w:r>
      <w:r>
        <w:rPr>
          <w:snapToGrid w:val="0"/>
          <w:lang w:val="fr-FR"/>
        </w:rPr>
        <w:t> </w:t>
      </w:r>
      <w:r w:rsidRPr="008661C1">
        <w:rPr>
          <w:snapToGrid w:val="0"/>
          <w:lang w:val="fr-FR"/>
        </w:rPr>
        <w:t>IV ci-dessous. La répartition régionale des Parties ayant déclaré avoir pris des mesures et de celles ayant déclaré avoir pris des mesures à un certain degré, prises ensemble, était la suivante</w:t>
      </w:r>
      <w:r w:rsidR="00CA1B90">
        <w:rPr>
          <w:snapToGrid w:val="0"/>
          <w:lang w:val="fr-FR"/>
        </w:rPr>
        <w:t> :</w:t>
      </w:r>
      <w:r w:rsidRPr="008661C1">
        <w:rPr>
          <w:snapToGrid w:val="0"/>
          <w:lang w:val="fr-FR"/>
        </w:rPr>
        <w:t xml:space="preserve"> 58</w:t>
      </w:r>
      <w:r w:rsidR="00667501">
        <w:rPr>
          <w:snapToGrid w:val="0"/>
          <w:lang w:val="fr-FR"/>
        </w:rPr>
        <w:t> %</w:t>
      </w:r>
      <w:r w:rsidRPr="008661C1">
        <w:rPr>
          <w:snapToGrid w:val="0"/>
          <w:lang w:val="fr-FR"/>
        </w:rPr>
        <w:t xml:space="preserve"> des Parties de la région Afrique (+5</w:t>
      </w:r>
      <w:r w:rsidR="00667501">
        <w:rPr>
          <w:snapToGrid w:val="0"/>
          <w:lang w:val="fr-FR"/>
        </w:rPr>
        <w:t> %</w:t>
      </w:r>
      <w:r w:rsidRPr="008661C1">
        <w:rPr>
          <w:snapToGrid w:val="0"/>
          <w:lang w:val="fr-FR"/>
        </w:rPr>
        <w:t>)</w:t>
      </w:r>
      <w:r w:rsidR="00D560E8">
        <w:rPr>
          <w:snapToGrid w:val="0"/>
          <w:lang w:val="fr-FR"/>
        </w:rPr>
        <w:t> ;</w:t>
      </w:r>
      <w:r w:rsidRPr="008661C1">
        <w:rPr>
          <w:snapToGrid w:val="0"/>
          <w:lang w:val="fr-FR"/>
        </w:rPr>
        <w:t xml:space="preserve"> 68</w:t>
      </w:r>
      <w:r w:rsidR="00667501">
        <w:rPr>
          <w:snapToGrid w:val="0"/>
          <w:lang w:val="fr-FR"/>
        </w:rPr>
        <w:t> %</w:t>
      </w:r>
      <w:r w:rsidRPr="008661C1">
        <w:rPr>
          <w:snapToGrid w:val="0"/>
          <w:lang w:val="fr-FR"/>
        </w:rPr>
        <w:t xml:space="preserve"> des Parties de la région Asie-Pacifique (+8</w:t>
      </w:r>
      <w:r w:rsidR="00667501">
        <w:rPr>
          <w:snapToGrid w:val="0"/>
          <w:lang w:val="fr-FR"/>
        </w:rPr>
        <w:t> %</w:t>
      </w:r>
      <w:r w:rsidRPr="008661C1">
        <w:rPr>
          <w:snapToGrid w:val="0"/>
          <w:lang w:val="fr-FR"/>
        </w:rPr>
        <w:t>)</w:t>
      </w:r>
      <w:r w:rsidR="00D560E8">
        <w:rPr>
          <w:snapToGrid w:val="0"/>
          <w:lang w:val="fr-FR"/>
        </w:rPr>
        <w:t> ;</w:t>
      </w:r>
      <w:r w:rsidRPr="008661C1">
        <w:rPr>
          <w:snapToGrid w:val="0"/>
          <w:lang w:val="fr-FR"/>
        </w:rPr>
        <w:t xml:space="preserve"> 70</w:t>
      </w:r>
      <w:r w:rsidR="00667501">
        <w:rPr>
          <w:snapToGrid w:val="0"/>
          <w:lang w:val="fr-FR"/>
        </w:rPr>
        <w:t> %</w:t>
      </w:r>
      <w:r w:rsidRPr="008661C1">
        <w:rPr>
          <w:snapToGrid w:val="0"/>
          <w:lang w:val="fr-FR"/>
        </w:rPr>
        <w:t xml:space="preserve"> des Parties de la région Amérique latine et Caraïbes (+35</w:t>
      </w:r>
      <w:r w:rsidR="00667501">
        <w:rPr>
          <w:snapToGrid w:val="0"/>
          <w:lang w:val="fr-FR"/>
        </w:rPr>
        <w:t> %</w:t>
      </w:r>
      <w:r w:rsidRPr="008661C1">
        <w:rPr>
          <w:snapToGrid w:val="0"/>
          <w:lang w:val="fr-FR"/>
        </w:rPr>
        <w:t>)</w:t>
      </w:r>
      <w:r w:rsidR="00D560E8">
        <w:rPr>
          <w:snapToGrid w:val="0"/>
          <w:lang w:val="fr-FR"/>
        </w:rPr>
        <w:t> ;</w:t>
      </w:r>
      <w:r w:rsidRPr="008661C1">
        <w:rPr>
          <w:snapToGrid w:val="0"/>
          <w:lang w:val="fr-FR"/>
        </w:rPr>
        <w:t xml:space="preserve"> 89</w:t>
      </w:r>
      <w:r w:rsidR="00667501">
        <w:rPr>
          <w:snapToGrid w:val="0"/>
          <w:lang w:val="fr-FR"/>
        </w:rPr>
        <w:t> %</w:t>
      </w:r>
      <w:r w:rsidRPr="008661C1">
        <w:rPr>
          <w:snapToGrid w:val="0"/>
          <w:lang w:val="fr-FR"/>
        </w:rPr>
        <w:t xml:space="preserve"> des Parties de la région Europe de l'Est (+5</w:t>
      </w:r>
      <w:r w:rsidR="00667501">
        <w:rPr>
          <w:snapToGrid w:val="0"/>
          <w:lang w:val="fr-FR"/>
        </w:rPr>
        <w:t> %</w:t>
      </w:r>
      <w:r w:rsidRPr="008661C1">
        <w:rPr>
          <w:snapToGrid w:val="0"/>
          <w:lang w:val="fr-FR"/>
        </w:rPr>
        <w:t>)</w:t>
      </w:r>
      <w:r w:rsidR="00D560E8">
        <w:rPr>
          <w:snapToGrid w:val="0"/>
          <w:lang w:val="fr-FR"/>
        </w:rPr>
        <w:t> ;</w:t>
      </w:r>
      <w:r w:rsidRPr="008661C1">
        <w:rPr>
          <w:snapToGrid w:val="0"/>
          <w:lang w:val="fr-FR"/>
        </w:rPr>
        <w:t xml:space="preserve"> et 100</w:t>
      </w:r>
      <w:r w:rsidR="00667501">
        <w:rPr>
          <w:snapToGrid w:val="0"/>
          <w:lang w:val="fr-FR"/>
        </w:rPr>
        <w:t> %</w:t>
      </w:r>
      <w:r w:rsidRPr="008661C1">
        <w:rPr>
          <w:snapToGrid w:val="0"/>
          <w:lang w:val="fr-FR"/>
        </w:rPr>
        <w:t xml:space="preserve"> des Parties de la région Europe occidentale et autres États (aucun changement par rapport à la référence).</w:t>
      </w:r>
    </w:p>
    <w:p w14:paraId="372D9E8A" w14:textId="1C6B8ECD" w:rsidR="00607078" w:rsidRPr="00F8252B" w:rsidRDefault="005811DD" w:rsidP="00607078">
      <w:pPr>
        <w:pStyle w:val="CBDNormalNumber"/>
        <w:rPr>
          <w:snapToGrid w:val="0"/>
          <w:lang w:val="fr-FR"/>
        </w:rPr>
      </w:pPr>
      <w:r w:rsidRPr="005811DD">
        <w:rPr>
          <w:snapToGrid w:val="0"/>
          <w:lang w:val="fr-FR"/>
        </w:rPr>
        <w:t>Dans leurs réponses sous forme de texte libre concernant la mise en œuvre de l’article</w:t>
      </w:r>
      <w:r>
        <w:rPr>
          <w:snapToGrid w:val="0"/>
          <w:lang w:val="fr-FR"/>
        </w:rPr>
        <w:t> </w:t>
      </w:r>
      <w:r w:rsidRPr="005811DD">
        <w:rPr>
          <w:snapToGrid w:val="0"/>
          <w:lang w:val="fr-FR"/>
        </w:rPr>
        <w:t>17, les Parties ont fait état de niveaux de mise en œuvre variables. De nombreuses Parties, en particulier celles du groupe des États d’Europe occidentale et autres États, ont indiqué s’appuyer sur des cadres réglementaires régionaux existants prévoyant des mesures de prévention, de notification et d’intervention d’urgence. Plusieurs Parties issues de pays en développement ont indiqué qu’elles avaient promulgué ou étaient en train d’élaborer des lois nationales sur la prévention des risques biotechnologiques comprenant des dispositions relatives aux interventions d’urgence, des obligations de notification et la désignation de correspondants, bien que nombre d’entre elles aient signalé que la mise en œuvre était partielle. Quelques Parties ont mentionné avoir détecté, au cours de la période considérée, des cultures vivantes modifiées non autorisées (par exemple, du coton, du maïs et du soja) ou des semences à proximité des zones frontalières. Certaines Parties ont fait état de lacunes en matière de mise en œuvre, notamment des capacités de détection en laboratoire limitées, une insuffisance en personnel formé, des frontières poreuses, un manque d’équipements techniques aux points d’entrée, des ressources financières insuffisantes, un manque d’appui institutionnel et une collaboration interinstitutionnelle limitée. Certains pays ont pris note que, bien que des structures institutionnelles existent sur le papier, les méthodes d’intervention formalisées n’avaient pas encore été testées ni pleinement mises en œuvre.</w:t>
      </w:r>
    </w:p>
    <w:p w14:paraId="294D8C2B" w14:textId="62D3CD4B" w:rsidR="002E6A6F" w:rsidRPr="00843E40" w:rsidRDefault="008D488A" w:rsidP="00607078">
      <w:pPr>
        <w:pStyle w:val="CBDNormalNumber"/>
        <w:rPr>
          <w:snapToGrid w:val="0"/>
          <w:lang w:val="fr-FR"/>
        </w:rPr>
      </w:pPr>
      <w:r w:rsidRPr="00843E40">
        <w:rPr>
          <w:snapToGrid w:val="0"/>
          <w:lang w:val="fr-FR"/>
        </w:rPr>
        <w:t>Soixante et un pour cent des Parties ont indiqué avoir adopté des mesures nationales visant à prévenir et/ou à sanctionner les mouvements transfrontières d’organismes vivants modifiés entrepris en violation de leurs mesures nationales de mise en œuvre du Protocole de Cartagena (soit une augmentation de 2</w:t>
      </w:r>
      <w:r w:rsidR="00667501">
        <w:rPr>
          <w:snapToGrid w:val="0"/>
          <w:lang w:val="fr-FR"/>
        </w:rPr>
        <w:t> %</w:t>
      </w:r>
      <w:r w:rsidRPr="00843E40">
        <w:rPr>
          <w:snapToGrid w:val="0"/>
          <w:lang w:val="fr-FR"/>
        </w:rPr>
        <w:t xml:space="preserve"> par rapport à la situation de référence). Treize pour cent des Parties (16</w:t>
      </w:r>
      <w:r w:rsidR="00615384">
        <w:rPr>
          <w:snapToGrid w:val="0"/>
          <w:lang w:val="fr-FR"/>
        </w:rPr>
        <w:t> </w:t>
      </w:r>
      <w:r w:rsidRPr="00843E40">
        <w:rPr>
          <w:snapToGrid w:val="0"/>
          <w:lang w:val="fr-FR"/>
        </w:rPr>
        <w:t>Parties) ont indiqué l’avoir fait dans une certaine mesure (soit une baisse de 1</w:t>
      </w:r>
      <w:r w:rsidR="00667501">
        <w:rPr>
          <w:snapToGrid w:val="0"/>
          <w:lang w:val="fr-FR"/>
        </w:rPr>
        <w:t> %</w:t>
      </w:r>
      <w:r w:rsidRPr="00843E40">
        <w:rPr>
          <w:snapToGrid w:val="0"/>
          <w:lang w:val="fr-FR"/>
        </w:rPr>
        <w:t xml:space="preserve"> par rapport à la référence). </w:t>
      </w:r>
      <w:r w:rsidRPr="00843E40">
        <w:rPr>
          <w:snapToGrid w:val="0"/>
          <w:lang w:val="fr-FR"/>
        </w:rPr>
        <w:lastRenderedPageBreak/>
        <w:t>Lorsque l’on considère ensemble les Parties ayant déclaré avoir adopté de telles mesures et celles ayant déclaré les avoir adoptées dans une certaine mesure, le chiffre global s’élève à 74</w:t>
      </w:r>
      <w:r w:rsidR="00667501">
        <w:rPr>
          <w:snapToGrid w:val="0"/>
          <w:lang w:val="fr-FR"/>
        </w:rPr>
        <w:t> %</w:t>
      </w:r>
      <w:r w:rsidRPr="00843E40">
        <w:rPr>
          <w:snapToGrid w:val="0"/>
          <w:lang w:val="fr-FR"/>
        </w:rPr>
        <w:t xml:space="preserve"> (soit une augmentation de 1</w:t>
      </w:r>
      <w:r w:rsidR="00667501">
        <w:rPr>
          <w:snapToGrid w:val="0"/>
          <w:lang w:val="fr-FR"/>
        </w:rPr>
        <w:t> %</w:t>
      </w:r>
      <w:r w:rsidRPr="00843E40">
        <w:rPr>
          <w:snapToGrid w:val="0"/>
          <w:lang w:val="fr-FR"/>
        </w:rPr>
        <w:t>), comme l’indique la Figure IV ci-dessous. La répartition régionale des Parties ayant déclaré avoir adopté des mesures et de celles ayant déclaré l’avoir fait dans une certaine mesure, considérées ensemble, était la suivante</w:t>
      </w:r>
      <w:r w:rsidR="00CA1B90">
        <w:rPr>
          <w:snapToGrid w:val="0"/>
          <w:lang w:val="fr-FR"/>
        </w:rPr>
        <w:t> :</w:t>
      </w:r>
      <w:r w:rsidRPr="00843E40">
        <w:rPr>
          <w:snapToGrid w:val="0"/>
          <w:lang w:val="fr-FR"/>
        </w:rPr>
        <w:t xml:space="preserve"> 40</w:t>
      </w:r>
      <w:r w:rsidR="00667501">
        <w:rPr>
          <w:snapToGrid w:val="0"/>
          <w:lang w:val="fr-FR"/>
        </w:rPr>
        <w:t> %</w:t>
      </w:r>
      <w:r w:rsidRPr="00843E40">
        <w:rPr>
          <w:snapToGrid w:val="0"/>
          <w:lang w:val="fr-FR"/>
        </w:rPr>
        <w:t xml:space="preserve"> des Parties dans la région Amérique latine et Caraïbes (-20</w:t>
      </w:r>
      <w:r w:rsidR="00667501">
        <w:rPr>
          <w:snapToGrid w:val="0"/>
          <w:lang w:val="fr-FR"/>
        </w:rPr>
        <w:t> %</w:t>
      </w:r>
      <w:r w:rsidRPr="00843E40">
        <w:rPr>
          <w:snapToGrid w:val="0"/>
          <w:lang w:val="fr-FR"/>
        </w:rPr>
        <w:t>)</w:t>
      </w:r>
      <w:r w:rsidR="00D560E8">
        <w:rPr>
          <w:snapToGrid w:val="0"/>
          <w:lang w:val="fr-FR"/>
        </w:rPr>
        <w:t> ;</w:t>
      </w:r>
      <w:r w:rsidRPr="00843E40">
        <w:rPr>
          <w:snapToGrid w:val="0"/>
          <w:lang w:val="fr-FR"/>
        </w:rPr>
        <w:t xml:space="preserve"> 69</w:t>
      </w:r>
      <w:r w:rsidR="00667501">
        <w:rPr>
          <w:snapToGrid w:val="0"/>
          <w:lang w:val="fr-FR"/>
        </w:rPr>
        <w:t> %</w:t>
      </w:r>
      <w:r w:rsidRPr="00843E40">
        <w:rPr>
          <w:snapToGrid w:val="0"/>
          <w:lang w:val="fr-FR"/>
        </w:rPr>
        <w:t xml:space="preserve"> dans la région Asie-Pacifique (+4</w:t>
      </w:r>
      <w:r w:rsidR="00667501">
        <w:rPr>
          <w:snapToGrid w:val="0"/>
          <w:lang w:val="fr-FR"/>
        </w:rPr>
        <w:t> %</w:t>
      </w:r>
      <w:r w:rsidRPr="00843E40">
        <w:rPr>
          <w:snapToGrid w:val="0"/>
          <w:lang w:val="fr-FR"/>
        </w:rPr>
        <w:t>)</w:t>
      </w:r>
      <w:r w:rsidR="00D560E8">
        <w:rPr>
          <w:snapToGrid w:val="0"/>
          <w:lang w:val="fr-FR"/>
        </w:rPr>
        <w:t> ;</w:t>
      </w:r>
      <w:r w:rsidRPr="00843E40">
        <w:rPr>
          <w:snapToGrid w:val="0"/>
          <w:lang w:val="fr-FR"/>
        </w:rPr>
        <w:t xml:space="preserve"> 72</w:t>
      </w:r>
      <w:r w:rsidR="00667501">
        <w:rPr>
          <w:snapToGrid w:val="0"/>
          <w:lang w:val="fr-FR"/>
        </w:rPr>
        <w:t> %</w:t>
      </w:r>
      <w:r w:rsidRPr="00843E40">
        <w:rPr>
          <w:snapToGrid w:val="0"/>
          <w:lang w:val="fr-FR"/>
        </w:rPr>
        <w:t xml:space="preserve"> dans la région Afrique (+8</w:t>
      </w:r>
      <w:r w:rsidR="00667501">
        <w:rPr>
          <w:snapToGrid w:val="0"/>
          <w:lang w:val="fr-FR"/>
        </w:rPr>
        <w:t> %</w:t>
      </w:r>
      <w:r w:rsidRPr="00843E40">
        <w:rPr>
          <w:snapToGrid w:val="0"/>
          <w:lang w:val="fr-FR"/>
        </w:rPr>
        <w:t>)</w:t>
      </w:r>
      <w:r w:rsidR="00D560E8">
        <w:rPr>
          <w:snapToGrid w:val="0"/>
          <w:lang w:val="fr-FR"/>
        </w:rPr>
        <w:t> ;</w:t>
      </w:r>
      <w:r w:rsidRPr="00843E40">
        <w:rPr>
          <w:snapToGrid w:val="0"/>
          <w:lang w:val="fr-FR"/>
        </w:rPr>
        <w:t xml:space="preserve"> 95</w:t>
      </w:r>
      <w:r w:rsidR="00667501">
        <w:rPr>
          <w:snapToGrid w:val="0"/>
          <w:lang w:val="fr-FR"/>
        </w:rPr>
        <w:t> %</w:t>
      </w:r>
      <w:r w:rsidRPr="00843E40">
        <w:rPr>
          <w:snapToGrid w:val="0"/>
          <w:lang w:val="fr-FR"/>
        </w:rPr>
        <w:t xml:space="preserve"> dans la région Europe de l’Est (+6</w:t>
      </w:r>
      <w:r w:rsidR="00667501">
        <w:rPr>
          <w:snapToGrid w:val="0"/>
          <w:lang w:val="fr-FR"/>
        </w:rPr>
        <w:t> %</w:t>
      </w:r>
      <w:r w:rsidRPr="00843E40">
        <w:rPr>
          <w:snapToGrid w:val="0"/>
          <w:lang w:val="fr-FR"/>
        </w:rPr>
        <w:t>)</w:t>
      </w:r>
      <w:r w:rsidR="00D560E8">
        <w:rPr>
          <w:snapToGrid w:val="0"/>
          <w:lang w:val="fr-FR"/>
        </w:rPr>
        <w:t> ;</w:t>
      </w:r>
      <w:r w:rsidRPr="00843E40">
        <w:rPr>
          <w:snapToGrid w:val="0"/>
          <w:lang w:val="fr-FR"/>
        </w:rPr>
        <w:t xml:space="preserve"> et 100</w:t>
      </w:r>
      <w:r w:rsidR="00667501">
        <w:rPr>
          <w:snapToGrid w:val="0"/>
          <w:lang w:val="fr-FR"/>
        </w:rPr>
        <w:t> %</w:t>
      </w:r>
      <w:r w:rsidRPr="00843E40">
        <w:rPr>
          <w:snapToGrid w:val="0"/>
          <w:lang w:val="fr-FR"/>
        </w:rPr>
        <w:t xml:space="preserve"> dans la région Europe occidentale et autres États (aucun changement par rapport à la référence).</w:t>
      </w:r>
    </w:p>
    <w:p w14:paraId="3456238E" w14:textId="72EC20AC" w:rsidR="0047594A" w:rsidRPr="00F8252B" w:rsidRDefault="0047594A" w:rsidP="00FA2932">
      <w:pPr>
        <w:pStyle w:val="CBDTableTitle"/>
        <w:rPr>
          <w:snapToGrid w:val="0"/>
          <w:lang w:val="fr-FR"/>
        </w:rPr>
      </w:pPr>
      <w:r w:rsidRPr="00F8252B">
        <w:rPr>
          <w:b w:val="0"/>
          <w:bCs/>
          <w:snapToGrid w:val="0"/>
          <w:lang w:val="fr-FR"/>
        </w:rPr>
        <w:t xml:space="preserve">Figure IV </w:t>
      </w:r>
      <w:r w:rsidRPr="00F8252B">
        <w:rPr>
          <w:b w:val="0"/>
          <w:bCs/>
          <w:snapToGrid w:val="0"/>
          <w:lang w:val="fr-FR"/>
        </w:rPr>
        <w:br/>
      </w:r>
      <w:r w:rsidR="00C26673" w:rsidRPr="00F8252B">
        <w:rPr>
          <w:snapToGrid w:val="0"/>
          <w:lang w:val="fr-FR"/>
        </w:rPr>
        <w:t>Parties ayant mis en place des mesures visant à prévenir les mouvements transfrontaliers involontaires et illicites</w:t>
      </w:r>
    </w:p>
    <w:p w14:paraId="0A91D813" w14:textId="56707181" w:rsidR="00D45FF4" w:rsidRPr="00F8252B" w:rsidRDefault="00CF45B9" w:rsidP="002E6A6F">
      <w:pPr>
        <w:pStyle w:val="Paragraphedeliste"/>
        <w:suppressLineNumbers/>
        <w:tabs>
          <w:tab w:val="clear" w:pos="567"/>
          <w:tab w:val="clear" w:pos="1134"/>
          <w:tab w:val="clear" w:pos="1701"/>
          <w:tab w:val="clear" w:pos="2268"/>
        </w:tabs>
        <w:suppressAutoHyphens/>
        <w:snapToGrid w:val="0"/>
        <w:spacing w:before="120" w:after="120"/>
        <w:ind w:left="567"/>
        <w:contextualSpacing w:val="0"/>
        <w:rPr>
          <w:snapToGrid w:val="0"/>
          <w:kern w:val="22"/>
          <w:lang w:val="fr-FR"/>
        </w:rPr>
      </w:pPr>
      <w:r>
        <w:rPr>
          <w:noProof/>
          <w:snapToGrid w:val="0"/>
          <w:lang w:val="fr-FR"/>
        </w:rPr>
        <w:drawing>
          <wp:inline distT="0" distB="0" distL="0" distR="0" wp14:anchorId="7DB09F4D" wp14:editId="129677FA">
            <wp:extent cx="5620752" cy="3509889"/>
            <wp:effectExtent l="0" t="0" r="0" b="0"/>
            <wp:docPr id="8618244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632983" cy="3517527"/>
                    </a:xfrm>
                    <a:prstGeom prst="rect">
                      <a:avLst/>
                    </a:prstGeom>
                    <a:noFill/>
                    <a:ln>
                      <a:noFill/>
                    </a:ln>
                  </pic:spPr>
                </pic:pic>
              </a:graphicData>
            </a:graphic>
          </wp:inline>
        </w:drawing>
      </w:r>
    </w:p>
    <w:p w14:paraId="493ACCD1" w14:textId="6757D7AA" w:rsidR="00FD5507" w:rsidRPr="00F8252B" w:rsidRDefault="000A3EB4" w:rsidP="00FD5507">
      <w:pPr>
        <w:pStyle w:val="CBDNormalNumber"/>
        <w:rPr>
          <w:snapToGrid w:val="0"/>
          <w:lang w:val="fr-FR"/>
        </w:rPr>
      </w:pPr>
      <w:r w:rsidRPr="000A3EB4">
        <w:rPr>
          <w:snapToGrid w:val="0"/>
          <w:lang w:val="fr-FR"/>
        </w:rPr>
        <w:t>La plupart des Parties ayant fourni des réponses sous forme de texte libre concernant la mise en œuvre de l’article</w:t>
      </w:r>
      <w:r w:rsidR="007A0F89">
        <w:rPr>
          <w:snapToGrid w:val="0"/>
          <w:lang w:val="fr-FR"/>
        </w:rPr>
        <w:t> </w:t>
      </w:r>
      <w:r w:rsidRPr="000A3EB4">
        <w:rPr>
          <w:snapToGrid w:val="0"/>
          <w:lang w:val="fr-FR"/>
        </w:rPr>
        <w:t>25 ont indiqué qu’elles avaient adopté ou étaient en train d’élaborer des cadres juridiques et institutionnels nationaux visant à prévenir et à sanctionner les mouvements transfrontières illicites d’organismes vivants modifiés. Si de nombreuses Parties ont indiqué n’avoir détecté aucun cas de mouvement transfrontière illicite au cours de la période considérée, certaines ont signalé des incidents spécifiques concernant diverses espèces, notamment les poissons d’ornement, le soja, la tomate, le lin, le coton, les vecteurs lentiviraux, le colza et la papaye. Il a été noté que certains de ces incidents résultaient d’importations involontaires, de la contrebande de semences par des frontières poreuses ou survenaient en période de conflit. Plusieurs Parties ont reconnu l’existence de lacunes sur le plan des capacités, notamment l’insuffisance des moyens de détection aux frontières et des capacités d’analyse en laboratoire, l’absence de systèmes de traçabilité, l’absence de règlements d’application de la législation existante, la porosité des frontières et le manque de personnel qualifié. Les Parties ont indiqué que ces difficultés entravaient l’application effective de l’article</w:t>
      </w:r>
      <w:r w:rsidR="007A0F89">
        <w:rPr>
          <w:snapToGrid w:val="0"/>
          <w:lang w:val="fr-FR"/>
        </w:rPr>
        <w:t> </w:t>
      </w:r>
      <w:r w:rsidRPr="000A3EB4">
        <w:rPr>
          <w:snapToGrid w:val="0"/>
          <w:lang w:val="fr-FR"/>
        </w:rPr>
        <w:t>25 et pouvaient conduire à une sous-déclaration des mouvements illicites</w:t>
      </w:r>
      <w:r w:rsidR="00FD5507" w:rsidRPr="00F8252B">
        <w:rPr>
          <w:snapToGrid w:val="0"/>
          <w:lang w:val="fr-FR"/>
        </w:rPr>
        <w:t>.</w:t>
      </w:r>
    </w:p>
    <w:p w14:paraId="6FD045AA" w14:textId="0952CC49" w:rsidR="00FD5507" w:rsidRPr="00F8252B" w:rsidRDefault="00AC754E" w:rsidP="00FD5507">
      <w:pPr>
        <w:pStyle w:val="CBDNormalNumber"/>
        <w:rPr>
          <w:snapToGrid w:val="0"/>
          <w:lang w:val="fr-FR"/>
        </w:rPr>
      </w:pPr>
      <w:r>
        <w:rPr>
          <w:snapToGrid w:val="0"/>
          <w:lang w:val="fr-FR"/>
        </w:rPr>
        <w:t>Pour</w:t>
      </w:r>
      <w:r w:rsidR="004B3251" w:rsidRPr="004B3251">
        <w:rPr>
          <w:snapToGrid w:val="0"/>
          <w:lang w:val="fr-FR"/>
        </w:rPr>
        <w:t xml:space="preserve"> </w:t>
      </w:r>
      <w:r w:rsidR="004B3251">
        <w:rPr>
          <w:snapToGrid w:val="0"/>
          <w:lang w:val="fr-FR"/>
        </w:rPr>
        <w:t>le but </w:t>
      </w:r>
      <w:r w:rsidR="004B3251" w:rsidRPr="004B3251">
        <w:rPr>
          <w:snapToGrid w:val="0"/>
          <w:lang w:val="fr-FR"/>
        </w:rPr>
        <w:t>A.6, dans le cadre du plan d'action pour le renforcement des capacités, les deux domaines clés suivants ont été identifiés</w:t>
      </w:r>
      <w:r w:rsidR="00CA1B90">
        <w:rPr>
          <w:snapToGrid w:val="0"/>
          <w:lang w:val="fr-FR"/>
        </w:rPr>
        <w:t> :</w:t>
      </w:r>
      <w:r w:rsidR="004B3251" w:rsidRPr="004B3251">
        <w:rPr>
          <w:snapToGrid w:val="0"/>
          <w:lang w:val="fr-FR"/>
        </w:rPr>
        <w:t xml:space="preserve"> la mise en place de systèmes nationaux opérationnels de détection, de notification et d'intervention appropriée en cas de mouvements transfrontières non </w:t>
      </w:r>
      <w:r w:rsidR="004B3251" w:rsidRPr="004B3251">
        <w:rPr>
          <w:snapToGrid w:val="0"/>
          <w:lang w:val="fr-FR"/>
        </w:rPr>
        <w:lastRenderedPageBreak/>
        <w:t>intentionnels, conformément à l'article</w:t>
      </w:r>
      <w:r w:rsidR="004B3251">
        <w:rPr>
          <w:snapToGrid w:val="0"/>
          <w:lang w:val="fr-FR"/>
        </w:rPr>
        <w:t> </w:t>
      </w:r>
      <w:r w:rsidR="004B3251" w:rsidRPr="004B3251">
        <w:rPr>
          <w:snapToGrid w:val="0"/>
          <w:lang w:val="fr-FR"/>
        </w:rPr>
        <w:t>17 du Protocole</w:t>
      </w:r>
      <w:r w:rsidR="00D560E8">
        <w:rPr>
          <w:snapToGrid w:val="0"/>
          <w:lang w:val="fr-FR"/>
        </w:rPr>
        <w:t> ;</w:t>
      </w:r>
      <w:r w:rsidR="004B3251" w:rsidRPr="004B3251">
        <w:rPr>
          <w:snapToGrid w:val="0"/>
          <w:lang w:val="fr-FR"/>
        </w:rPr>
        <w:t xml:space="preserve"> et la mise en place de mesures nationales opérationnelles visant à prévenir et à lutter contre les mouvements transfrontières illicites, conformément à l'article</w:t>
      </w:r>
      <w:r w:rsidR="004B3251">
        <w:rPr>
          <w:snapToGrid w:val="0"/>
          <w:lang w:val="fr-FR"/>
        </w:rPr>
        <w:t> </w:t>
      </w:r>
      <w:r w:rsidR="004B3251" w:rsidRPr="004B3251">
        <w:rPr>
          <w:snapToGrid w:val="0"/>
          <w:lang w:val="fr-FR"/>
        </w:rPr>
        <w:t>25 du Protocole.</w:t>
      </w:r>
    </w:p>
    <w:p w14:paraId="240D7F80" w14:textId="72B0A387" w:rsidR="00FD5507" w:rsidRPr="00F8252B" w:rsidRDefault="00B1513C" w:rsidP="00FD5507">
      <w:pPr>
        <w:pStyle w:val="CBDNormalNumber"/>
        <w:rPr>
          <w:snapToGrid w:val="0"/>
          <w:lang w:val="fr-FR"/>
        </w:rPr>
      </w:pPr>
      <w:r w:rsidRPr="00B1513C">
        <w:rPr>
          <w:snapToGrid w:val="0"/>
          <w:lang w:val="fr-FR"/>
        </w:rPr>
        <w:t>Vingt-six pour cent des Parties ont indiqué avoir entrepris des activités de développement des capacités dans le domaine des mesures visant à lutter contre les mouvements transfrontières non intentionnels ou illégaux d’organismes vivants modifiés, ce qui représente une augmentation de 2</w:t>
      </w:r>
      <w:r w:rsidR="00667501">
        <w:rPr>
          <w:snapToGrid w:val="0"/>
          <w:lang w:val="fr-FR"/>
        </w:rPr>
        <w:t> %</w:t>
      </w:r>
      <w:r w:rsidRPr="00B1513C">
        <w:rPr>
          <w:snapToGrid w:val="0"/>
          <w:lang w:val="fr-FR"/>
        </w:rPr>
        <w:t xml:space="preserve"> par rapport à la situation de référence. Parmi ces Parties, 81</w:t>
      </w:r>
      <w:r w:rsidR="00667501">
        <w:rPr>
          <w:snapToGrid w:val="0"/>
          <w:lang w:val="fr-FR"/>
        </w:rPr>
        <w:t> %</w:t>
      </w:r>
      <w:r w:rsidRPr="00B1513C">
        <w:rPr>
          <w:snapToGrid w:val="0"/>
          <w:lang w:val="fr-FR"/>
        </w:rPr>
        <w:t xml:space="preserve"> ont indiqué avoir adopté des mesures nationales visant à prévenir et/ou à sanctionner les mouvements transfrontières d’organismes vivants modifiés entrepris en violation de leurs mesures nationales d’application du Protocole de Cartagena, tandis que 4</w:t>
      </w:r>
      <w:r w:rsidR="00667501">
        <w:rPr>
          <w:snapToGrid w:val="0"/>
          <w:lang w:val="fr-FR"/>
        </w:rPr>
        <w:t> %</w:t>
      </w:r>
      <w:r w:rsidRPr="00B1513C">
        <w:rPr>
          <w:snapToGrid w:val="0"/>
          <w:lang w:val="fr-FR"/>
        </w:rPr>
        <w:t xml:space="preserve"> ont indiqué avoir adopté de telles mesures </w:t>
      </w:r>
      <w:r w:rsidR="00096F54">
        <w:rPr>
          <w:snapToGrid w:val="0"/>
          <w:lang w:val="fr-FR"/>
        </w:rPr>
        <w:t>à un certain degré</w:t>
      </w:r>
      <w:r w:rsidR="00FD5507" w:rsidRPr="00F8252B">
        <w:rPr>
          <w:snapToGrid w:val="0"/>
          <w:lang w:val="fr-FR"/>
        </w:rPr>
        <w:t>.</w:t>
      </w:r>
    </w:p>
    <w:p w14:paraId="34E104FA" w14:textId="627EE533" w:rsidR="00FD5507" w:rsidRPr="00F8252B" w:rsidRDefault="002404C8" w:rsidP="00FD5507">
      <w:pPr>
        <w:pStyle w:val="CBDNormalNumber"/>
        <w:rPr>
          <w:snapToGrid w:val="0"/>
          <w:kern w:val="22"/>
          <w:lang w:val="fr-FR"/>
        </w:rPr>
      </w:pPr>
      <w:r w:rsidRPr="002404C8">
        <w:rPr>
          <w:lang w:val="fr-FR"/>
        </w:rPr>
        <w:t>Parmi les Parties ayant indiqué qu'elles avaient encore des besoins en matière de renforcement des capacités, 82</w:t>
      </w:r>
      <w:r w:rsidR="00667501">
        <w:rPr>
          <w:lang w:val="fr-FR"/>
        </w:rPr>
        <w:t> %</w:t>
      </w:r>
      <w:r w:rsidRPr="002404C8">
        <w:rPr>
          <w:lang w:val="fr-FR"/>
        </w:rPr>
        <w:t xml:space="preserve"> ont précisé que ces besoins concernaient les mesures visant à lutter contre les mouvements transfrontières non intentionnels et/ou illicites d'organismes vivants modifiés, ce qui représente une augmentation de 2</w:t>
      </w:r>
      <w:r w:rsidR="00667501">
        <w:rPr>
          <w:lang w:val="fr-FR"/>
        </w:rPr>
        <w:t> %</w:t>
      </w:r>
      <w:r w:rsidRPr="002404C8">
        <w:rPr>
          <w:lang w:val="fr-FR"/>
        </w:rPr>
        <w:t xml:space="preserve"> par rapport à la référence</w:t>
      </w:r>
      <w:r w:rsidR="00FD5507" w:rsidRPr="00F8252B">
        <w:rPr>
          <w:lang w:val="fr-FR"/>
        </w:rPr>
        <w:t xml:space="preserve">.  </w:t>
      </w:r>
    </w:p>
    <w:p w14:paraId="3788BC7E" w14:textId="57BC766E" w:rsidR="00FD5507" w:rsidRPr="00F8252B" w:rsidRDefault="00040AD0" w:rsidP="00FD5507">
      <w:pPr>
        <w:pStyle w:val="CBDNormalNumber"/>
        <w:rPr>
          <w:snapToGrid w:val="0"/>
          <w:lang w:val="fr-FR"/>
        </w:rPr>
      </w:pPr>
      <w:r w:rsidRPr="00040AD0">
        <w:rPr>
          <w:snapToGrid w:val="0"/>
          <w:lang w:val="fr-FR"/>
        </w:rPr>
        <w:t>Dans leurs cinquièmes rapports nationaux, six Parties au total ont signalé des cas de mouvements transfrontières non intentionnels d'organismes vivants modifiés</w:t>
      </w:r>
      <w:r w:rsidR="00FD5507" w:rsidRPr="00F8252B">
        <w:rPr>
          <w:rStyle w:val="Appelnotedebasdep"/>
          <w:snapToGrid w:val="0"/>
          <w:kern w:val="22"/>
          <w:lang w:val="fr-FR"/>
        </w:rPr>
        <w:footnoteReference w:id="37"/>
      </w:r>
      <w:r w:rsidR="00FD5507" w:rsidRPr="00F8252B">
        <w:rPr>
          <w:snapToGrid w:val="0"/>
          <w:lang w:val="fr-FR"/>
        </w:rPr>
        <w:t xml:space="preserve"> </w:t>
      </w:r>
      <w:r w:rsidRPr="00040AD0">
        <w:rPr>
          <w:snapToGrid w:val="0"/>
          <w:lang w:val="fr-FR"/>
        </w:rPr>
        <w:t>et 26</w:t>
      </w:r>
      <w:r w:rsidR="00C8270E">
        <w:rPr>
          <w:snapToGrid w:val="0"/>
          <w:lang w:val="fr-FR"/>
        </w:rPr>
        <w:t> </w:t>
      </w:r>
      <w:r w:rsidRPr="00040AD0">
        <w:rPr>
          <w:snapToGrid w:val="0"/>
          <w:lang w:val="fr-FR"/>
        </w:rPr>
        <w:t>Parties ont signalé des cas de mouvements transfrontières illicites d’organismes vivants modifiés</w:t>
      </w:r>
      <w:r w:rsidR="00FD5507" w:rsidRPr="00F8252B">
        <w:rPr>
          <w:rStyle w:val="Appelnotedebasdep"/>
          <w:snapToGrid w:val="0"/>
          <w:kern w:val="22"/>
          <w:lang w:val="fr-FR"/>
        </w:rPr>
        <w:footnoteReference w:id="38"/>
      </w:r>
      <w:r>
        <w:rPr>
          <w:snapToGrid w:val="0"/>
          <w:lang w:val="fr-FR"/>
        </w:rPr>
        <w:t>.</w:t>
      </w:r>
      <w:r w:rsidR="00FD5507" w:rsidRPr="00F8252B">
        <w:rPr>
          <w:snapToGrid w:val="0"/>
          <w:lang w:val="fr-FR"/>
        </w:rPr>
        <w:t xml:space="preserve"> </w:t>
      </w:r>
      <w:r w:rsidR="00C8270E" w:rsidRPr="00C8270E">
        <w:rPr>
          <w:snapToGrid w:val="0"/>
          <w:lang w:val="fr-FR"/>
        </w:rPr>
        <w:t>Toutefois, deux dossiers concernant la communication d'informations relatives à un mouvement transfrontière illégal de poissons d'ornement génétiquement modifiés ont été présentés au Centre d'échange pour la prévention des risques biotechnologiques, et aucun dossier n'a été présenté concernant des mouvements transfrontières non intentionnels</w:t>
      </w:r>
      <w:r w:rsidR="00FD5507" w:rsidRPr="00F8252B">
        <w:rPr>
          <w:rStyle w:val="Appelnotedebasdep"/>
          <w:snapToGrid w:val="0"/>
          <w:kern w:val="22"/>
          <w:lang w:val="fr-FR"/>
        </w:rPr>
        <w:footnoteReference w:id="39"/>
      </w:r>
      <w:r w:rsidR="00C8270E">
        <w:rPr>
          <w:snapToGrid w:val="0"/>
          <w:lang w:val="fr-FR"/>
        </w:rPr>
        <w:t>.</w:t>
      </w:r>
    </w:p>
    <w:p w14:paraId="2D898D18" w14:textId="5EFE77C5" w:rsidR="00CE01CD" w:rsidRPr="00F8252B" w:rsidRDefault="005F4F3A" w:rsidP="00FD5507">
      <w:pPr>
        <w:pStyle w:val="CBDNormalNumber"/>
        <w:rPr>
          <w:lang w:val="fr-FR"/>
        </w:rPr>
      </w:pPr>
      <w:r w:rsidRPr="005F4F3A">
        <w:rPr>
          <w:snapToGrid w:val="0"/>
          <w:lang w:val="fr-FR"/>
        </w:rPr>
        <w:t>Dans le contexte des mouvements transfrontières illicites et non intentionnels, les informations relatives à la formation dans le domaine des capacités de suivi peuvent s’avérer pertinentes. Soixante-huit pour cent des Parties ont indiqué que des personnes avaient suivi une formation sur le suivi des organismes vivants modifiés, ce qui représente une baisse de 4</w:t>
      </w:r>
      <w:r w:rsidR="00667501">
        <w:rPr>
          <w:snapToGrid w:val="0"/>
          <w:lang w:val="fr-FR"/>
        </w:rPr>
        <w:t> %</w:t>
      </w:r>
      <w:r w:rsidRPr="005F4F3A">
        <w:rPr>
          <w:snapToGrid w:val="0"/>
          <w:lang w:val="fr-FR"/>
        </w:rPr>
        <w:t xml:space="preserve"> par rapport </w:t>
      </w:r>
      <w:r>
        <w:rPr>
          <w:snapToGrid w:val="0"/>
          <w:lang w:val="fr-FR"/>
        </w:rPr>
        <w:t xml:space="preserve">à la </w:t>
      </w:r>
      <w:r w:rsidRPr="005F4F3A">
        <w:rPr>
          <w:snapToGrid w:val="0"/>
          <w:lang w:val="fr-FR"/>
        </w:rPr>
        <w:t>référence</w:t>
      </w:r>
      <w:r w:rsidR="00FD5507" w:rsidRPr="00F8252B">
        <w:rPr>
          <w:rStyle w:val="Appelnotedebasdep"/>
          <w:snapToGrid w:val="0"/>
          <w:kern w:val="22"/>
          <w:lang w:val="fr-FR"/>
        </w:rPr>
        <w:footnoteReference w:id="40"/>
      </w:r>
      <w:r w:rsidR="00386558">
        <w:rPr>
          <w:snapToGrid w:val="0"/>
          <w:lang w:val="fr-FR"/>
        </w:rPr>
        <w:t>.</w:t>
      </w:r>
    </w:p>
    <w:p w14:paraId="4D8A3C7A" w14:textId="05862F7C" w:rsidR="00BE013A" w:rsidRPr="00F8252B" w:rsidRDefault="00BE013A" w:rsidP="00FA2932">
      <w:pPr>
        <w:pStyle w:val="CBDH2"/>
        <w:jc w:val="left"/>
        <w:rPr>
          <w:snapToGrid w:val="0"/>
          <w:lang w:val="fr-FR"/>
        </w:rPr>
      </w:pPr>
      <w:r w:rsidRPr="00F8252B">
        <w:rPr>
          <w:snapToGrid w:val="0"/>
          <w:lang w:val="fr-FR"/>
        </w:rPr>
        <w:t>G.</w:t>
      </w:r>
      <w:r w:rsidRPr="00F8252B">
        <w:rPr>
          <w:snapToGrid w:val="0"/>
          <w:lang w:val="fr-FR"/>
        </w:rPr>
        <w:tab/>
      </w:r>
      <w:r w:rsidR="002556B7" w:rsidRPr="00F8252B">
        <w:rPr>
          <w:snapToGrid w:val="0"/>
          <w:lang w:val="fr-FR"/>
        </w:rPr>
        <w:t>But </w:t>
      </w:r>
      <w:r w:rsidR="00303307" w:rsidRPr="00F8252B">
        <w:rPr>
          <w:snapToGrid w:val="0"/>
          <w:lang w:val="fr-FR"/>
        </w:rPr>
        <w:t xml:space="preserve">A.7. </w:t>
      </w:r>
      <w:r w:rsidR="002556B7" w:rsidRPr="00F8252B">
        <w:rPr>
          <w:lang w:val="fr-FR"/>
        </w:rPr>
        <w:t>Les Parties ont mis en place des mesures pour satisfaire aux exigences en matière de manipulation, de transport, d’emballage et d’identification des OVM au titre de l’article 18 du Protocole</w:t>
      </w:r>
    </w:p>
    <w:p w14:paraId="3A64FA2B" w14:textId="5B523A9F" w:rsidR="005B5614" w:rsidRPr="00F8252B" w:rsidRDefault="001B714F" w:rsidP="00FA2932">
      <w:pPr>
        <w:pStyle w:val="CBDH4"/>
        <w:rPr>
          <w:snapToGrid w:val="0"/>
          <w:lang w:val="fr-FR"/>
        </w:rPr>
      </w:pPr>
      <w:r w:rsidRPr="00F8252B">
        <w:rPr>
          <w:snapToGrid w:val="0"/>
          <w:lang w:val="fr-FR"/>
        </w:rPr>
        <w:t>a)</w:t>
      </w:r>
      <w:r w:rsidRPr="00F8252B">
        <w:rPr>
          <w:snapToGrid w:val="0"/>
          <w:lang w:val="fr-FR"/>
        </w:rPr>
        <w:tab/>
      </w:r>
      <w:r w:rsidR="00AA571E" w:rsidRPr="00F8252B">
        <w:rPr>
          <w:snapToGrid w:val="0"/>
          <w:lang w:val="fr-FR"/>
        </w:rPr>
        <w:t xml:space="preserve">Chiffres clés et </w:t>
      </w:r>
      <w:r w:rsidR="0035077E" w:rsidRPr="00F8252B">
        <w:rPr>
          <w:snapToGrid w:val="0"/>
          <w:lang w:val="fr-FR"/>
        </w:rPr>
        <w:t>éléments importants</w:t>
      </w:r>
    </w:p>
    <w:p w14:paraId="3CA24D3E" w14:textId="13BB2AAD" w:rsidR="006C2486" w:rsidRPr="00F8252B" w:rsidRDefault="00EE24E1" w:rsidP="006C2486">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fr-FR"/>
        </w:rPr>
      </w:pPr>
      <w:r w:rsidRPr="00EE24E1">
        <w:rPr>
          <w:snapToGrid w:val="0"/>
          <w:kern w:val="22"/>
          <w:lang w:val="fr-FR"/>
        </w:rPr>
        <w:t>Soixante pour cent des Parties avaient pris des mesures pour exiger que les organismes vivants modifiés sujets à des mouvements transfrontières soient manipulés, emballés et transportés dans des conditions sûres. Des écarts considérables ont été observés entre les régions, 15</w:t>
      </w:r>
      <w:r w:rsidR="00667501">
        <w:rPr>
          <w:snapToGrid w:val="0"/>
          <w:kern w:val="22"/>
          <w:lang w:val="fr-FR"/>
        </w:rPr>
        <w:t> %</w:t>
      </w:r>
      <w:r w:rsidRPr="00EE24E1">
        <w:rPr>
          <w:snapToGrid w:val="0"/>
          <w:kern w:val="22"/>
          <w:lang w:val="fr-FR"/>
        </w:rPr>
        <w:t xml:space="preserve"> des Parties d'une </w:t>
      </w:r>
      <w:r>
        <w:rPr>
          <w:snapToGrid w:val="0"/>
          <w:kern w:val="22"/>
          <w:lang w:val="fr-FR"/>
        </w:rPr>
        <w:t xml:space="preserve">des </w:t>
      </w:r>
      <w:r w:rsidRPr="00EE24E1">
        <w:rPr>
          <w:snapToGrid w:val="0"/>
          <w:kern w:val="22"/>
          <w:lang w:val="fr-FR"/>
        </w:rPr>
        <w:t>région</w:t>
      </w:r>
      <w:r>
        <w:rPr>
          <w:snapToGrid w:val="0"/>
          <w:kern w:val="22"/>
          <w:lang w:val="fr-FR"/>
        </w:rPr>
        <w:t>s</w:t>
      </w:r>
      <w:r w:rsidRPr="00EE24E1">
        <w:rPr>
          <w:snapToGrid w:val="0"/>
          <w:kern w:val="22"/>
          <w:lang w:val="fr-FR"/>
        </w:rPr>
        <w:t xml:space="preserve"> ayant établi des rapports sur l'adoption de telles mesures, contre 100</w:t>
      </w:r>
      <w:r w:rsidR="00667501">
        <w:rPr>
          <w:snapToGrid w:val="0"/>
          <w:kern w:val="22"/>
          <w:lang w:val="fr-FR"/>
        </w:rPr>
        <w:t> %</w:t>
      </w:r>
      <w:r w:rsidRPr="00EE24E1">
        <w:rPr>
          <w:snapToGrid w:val="0"/>
          <w:kern w:val="22"/>
          <w:lang w:val="fr-FR"/>
        </w:rPr>
        <w:t xml:space="preserve"> des Parties d'une autre région</w:t>
      </w:r>
    </w:p>
    <w:p w14:paraId="397A1772" w14:textId="383BA047" w:rsidR="006C2486" w:rsidRPr="00F8252B" w:rsidRDefault="00A83120" w:rsidP="006C2486">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fr-FR"/>
        </w:rPr>
      </w:pPr>
      <w:r w:rsidRPr="00A83120">
        <w:rPr>
          <w:snapToGrid w:val="0"/>
          <w:kern w:val="22"/>
          <w:lang w:val="fr-FR"/>
        </w:rPr>
        <w:t>Cinquante</w:t>
      </w:r>
      <w:r w:rsidR="00D8657B">
        <w:rPr>
          <w:snapToGrid w:val="0"/>
          <w:kern w:val="22"/>
          <w:lang w:val="fr-FR"/>
        </w:rPr>
        <w:t>-</w:t>
      </w:r>
      <w:r w:rsidRPr="00A83120">
        <w:rPr>
          <w:snapToGrid w:val="0"/>
          <w:kern w:val="22"/>
          <w:lang w:val="fr-FR"/>
        </w:rPr>
        <w:t>et</w:t>
      </w:r>
      <w:r w:rsidR="00D8657B">
        <w:rPr>
          <w:snapToGrid w:val="0"/>
          <w:kern w:val="22"/>
          <w:lang w:val="fr-FR"/>
        </w:rPr>
        <w:t>-</w:t>
      </w:r>
      <w:r w:rsidRPr="00A83120">
        <w:rPr>
          <w:snapToGrid w:val="0"/>
          <w:kern w:val="22"/>
          <w:lang w:val="fr-FR"/>
        </w:rPr>
        <w:t>un pour cent des Parties ont déclaré disposer des moyens nécessaires pour faire respecter les exigences en matière d'identification et de documentation des organismes vivants modifiés, et 28</w:t>
      </w:r>
      <w:r w:rsidR="00667501">
        <w:rPr>
          <w:snapToGrid w:val="0"/>
          <w:kern w:val="22"/>
          <w:lang w:val="fr-FR"/>
        </w:rPr>
        <w:t> %</w:t>
      </w:r>
      <w:r w:rsidRPr="00A83120">
        <w:rPr>
          <w:snapToGrid w:val="0"/>
          <w:kern w:val="22"/>
          <w:lang w:val="fr-FR"/>
        </w:rPr>
        <w:t xml:space="preserve"> des Parties ont déclaré disposer de ces moyens dans une certaine mesure</w:t>
      </w:r>
    </w:p>
    <w:p w14:paraId="7B21F391" w14:textId="7BCA3A68" w:rsidR="003E1498" w:rsidRPr="00F8252B" w:rsidRDefault="00A0366F" w:rsidP="006C2486">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lang w:val="fr-FR"/>
        </w:rPr>
      </w:pPr>
      <w:r w:rsidRPr="00A0366F">
        <w:rPr>
          <w:snapToGrid w:val="0"/>
          <w:kern w:val="22"/>
          <w:lang w:val="fr-FR"/>
        </w:rPr>
        <w:t>Au cours de la période considérée, très peu d'activités de renforcement des capacités concernant la mise en œuvre des exigences en matière de documentation prévues au paragraphe</w:t>
      </w:r>
      <w:r>
        <w:rPr>
          <w:snapToGrid w:val="0"/>
          <w:kern w:val="22"/>
          <w:lang w:val="fr-FR"/>
        </w:rPr>
        <w:t> </w:t>
      </w:r>
      <w:r w:rsidRPr="00A0366F">
        <w:rPr>
          <w:snapToGrid w:val="0"/>
          <w:kern w:val="22"/>
          <w:lang w:val="fr-FR"/>
        </w:rPr>
        <w:t>2 de l'article</w:t>
      </w:r>
      <w:r>
        <w:rPr>
          <w:snapToGrid w:val="0"/>
          <w:kern w:val="22"/>
          <w:lang w:val="fr-FR"/>
        </w:rPr>
        <w:t> </w:t>
      </w:r>
      <w:r w:rsidRPr="00A0366F">
        <w:rPr>
          <w:snapToGrid w:val="0"/>
          <w:kern w:val="22"/>
          <w:lang w:val="fr-FR"/>
        </w:rPr>
        <w:t>18 du Protocole ont été entreprises, seules 16</w:t>
      </w:r>
      <w:r w:rsidR="00667501">
        <w:rPr>
          <w:snapToGrid w:val="0"/>
          <w:kern w:val="22"/>
          <w:lang w:val="fr-FR"/>
        </w:rPr>
        <w:t> %</w:t>
      </w:r>
      <w:r w:rsidRPr="00A0366F">
        <w:rPr>
          <w:snapToGrid w:val="0"/>
          <w:kern w:val="22"/>
          <w:lang w:val="fr-FR"/>
        </w:rPr>
        <w:t xml:space="preserve"> des Parties ayant fait état d'activités dans ce domaine</w:t>
      </w:r>
    </w:p>
    <w:p w14:paraId="608A083F" w14:textId="0BE18B1C" w:rsidR="003E1498" w:rsidRPr="00F8252B" w:rsidRDefault="003E1498" w:rsidP="00FA2932">
      <w:pPr>
        <w:pStyle w:val="CBDH4"/>
        <w:rPr>
          <w:snapToGrid w:val="0"/>
          <w:lang w:val="fr-FR"/>
        </w:rPr>
      </w:pPr>
      <w:r w:rsidRPr="00F8252B">
        <w:rPr>
          <w:snapToGrid w:val="0"/>
          <w:lang w:val="fr-FR"/>
        </w:rPr>
        <w:lastRenderedPageBreak/>
        <w:t>b)</w:t>
      </w:r>
      <w:r w:rsidRPr="00F8252B">
        <w:rPr>
          <w:snapToGrid w:val="0"/>
          <w:lang w:val="fr-FR"/>
        </w:rPr>
        <w:tab/>
        <w:t>Analys</w:t>
      </w:r>
      <w:r w:rsidR="00554F79" w:rsidRPr="00F8252B">
        <w:rPr>
          <w:snapToGrid w:val="0"/>
          <w:lang w:val="fr-FR"/>
        </w:rPr>
        <w:t xml:space="preserve">e des </w:t>
      </w:r>
      <w:r w:rsidRPr="00F8252B">
        <w:rPr>
          <w:snapToGrid w:val="0"/>
          <w:lang w:val="fr-FR"/>
        </w:rPr>
        <w:t>information</w:t>
      </w:r>
      <w:r w:rsidR="00554F79" w:rsidRPr="00F8252B">
        <w:rPr>
          <w:snapToGrid w:val="0"/>
          <w:lang w:val="fr-FR"/>
        </w:rPr>
        <w:t>s</w:t>
      </w:r>
    </w:p>
    <w:p w14:paraId="61B1BAE3" w14:textId="58AD4F04" w:rsidR="009050BD" w:rsidRPr="00F8252B" w:rsidRDefault="00656658" w:rsidP="009050BD">
      <w:pPr>
        <w:pStyle w:val="CBDNormalNumber"/>
        <w:rPr>
          <w:b/>
          <w:bCs/>
          <w:snapToGrid w:val="0"/>
          <w:lang w:val="fr-FR"/>
        </w:rPr>
      </w:pPr>
      <w:r w:rsidRPr="00656658">
        <w:rPr>
          <w:snapToGrid w:val="0"/>
          <w:lang w:val="fr-FR"/>
        </w:rPr>
        <w:t>Le but</w:t>
      </w:r>
      <w:r>
        <w:rPr>
          <w:snapToGrid w:val="0"/>
          <w:lang w:val="fr-FR"/>
        </w:rPr>
        <w:t> </w:t>
      </w:r>
      <w:r w:rsidRPr="00656658">
        <w:rPr>
          <w:snapToGrid w:val="0"/>
          <w:lang w:val="fr-FR"/>
        </w:rPr>
        <w:t xml:space="preserve">A.7 comprend deux objectifs à atteindre pour réaliser ce but, ainsi que quatre indicateurs permettant de mesurer les progrès accomplis dans la réalisation de ces objectifs. </w:t>
      </w:r>
      <w:r w:rsidR="00AC754E">
        <w:rPr>
          <w:snapToGrid w:val="0"/>
          <w:lang w:val="fr-FR"/>
        </w:rPr>
        <w:t>Pour</w:t>
      </w:r>
      <w:r w:rsidRPr="00656658">
        <w:rPr>
          <w:snapToGrid w:val="0"/>
          <w:lang w:val="fr-FR"/>
        </w:rPr>
        <w:t xml:space="preserve"> l'indicateur A.7</w:t>
      </w:r>
      <w:r>
        <w:rPr>
          <w:snapToGrid w:val="0"/>
          <w:lang w:val="fr-FR"/>
        </w:rPr>
        <w:t> </w:t>
      </w:r>
      <w:r w:rsidRPr="00656658">
        <w:rPr>
          <w:snapToGrid w:val="0"/>
          <w:lang w:val="fr-FR"/>
        </w:rPr>
        <w:t>a) (pourcentage des Parties ayant pris les mesures nécessaires pour exiger que les organismes vivants modifiés sujets à des mouvements transfrontières soient manipulés, emballés et transportés dans des conditions sûres, en tenant compte, le cas échéant, des règles et normes internationales pertinentes), ce sont les informations fournies en réponse à la question</w:t>
      </w:r>
      <w:r w:rsidR="00A3187C">
        <w:rPr>
          <w:snapToGrid w:val="0"/>
          <w:lang w:val="fr-FR"/>
        </w:rPr>
        <w:t> </w:t>
      </w:r>
      <w:r w:rsidRPr="00656658">
        <w:rPr>
          <w:snapToGrid w:val="0"/>
          <w:lang w:val="fr-FR"/>
        </w:rPr>
        <w:t xml:space="preserve">79 du cinquième rapport national qui ont été utilisées pour mesurer les progrès </w:t>
      </w:r>
      <w:r w:rsidR="00096F54">
        <w:rPr>
          <w:snapToGrid w:val="0"/>
          <w:lang w:val="fr-FR"/>
        </w:rPr>
        <w:t>accomplis</w:t>
      </w:r>
      <w:r w:rsidR="00096F54" w:rsidRPr="00096F54">
        <w:rPr>
          <w:snapToGrid w:val="0"/>
          <w:lang w:val="fr-FR"/>
        </w:rPr>
        <w:t xml:space="preserve"> </w:t>
      </w:r>
      <w:r w:rsidRPr="00656658">
        <w:rPr>
          <w:snapToGrid w:val="0"/>
          <w:lang w:val="fr-FR"/>
        </w:rPr>
        <w:t>à cet égard.</w:t>
      </w:r>
    </w:p>
    <w:p w14:paraId="7A5B8342" w14:textId="0F88364B" w:rsidR="009050BD" w:rsidRPr="00F8252B" w:rsidRDefault="00AB303D" w:rsidP="009050BD">
      <w:pPr>
        <w:pStyle w:val="CBDNormalNumber"/>
        <w:rPr>
          <w:b/>
          <w:bCs/>
          <w:snapToGrid w:val="0"/>
          <w:lang w:val="fr-FR"/>
        </w:rPr>
      </w:pPr>
      <w:r w:rsidRPr="00AB303D">
        <w:rPr>
          <w:snapToGrid w:val="0"/>
          <w:lang w:val="fr-FR"/>
        </w:rPr>
        <w:t>Soixante pour cent des Parties ont indiqué avoir pris des mesures visant à exiger que les organismes vivants modifiés faisant l’objet de mouvements transfrontières soient manipulés, emballés et transportés dans des conditions sûres, en tenant compte des règles et normes internationales pertinentes, ce qui représente une augmentation de 5</w:t>
      </w:r>
      <w:r w:rsidR="00667501">
        <w:rPr>
          <w:snapToGrid w:val="0"/>
          <w:lang w:val="fr-FR"/>
        </w:rPr>
        <w:t> %</w:t>
      </w:r>
      <w:r w:rsidRPr="00AB303D">
        <w:rPr>
          <w:snapToGrid w:val="0"/>
          <w:lang w:val="fr-FR"/>
        </w:rPr>
        <w:t xml:space="preserve"> par rapport à la référence. On observe une variabilité régionale considérable, la répartition régionale des Parties ayant déclaré avoir pris ces mesures se présentant comme suit</w:t>
      </w:r>
      <w:r w:rsidR="00CA1B90">
        <w:rPr>
          <w:snapToGrid w:val="0"/>
          <w:lang w:val="fr-FR"/>
        </w:rPr>
        <w:t> :</w:t>
      </w:r>
      <w:r w:rsidRPr="00AB303D">
        <w:rPr>
          <w:snapToGrid w:val="0"/>
          <w:lang w:val="fr-FR"/>
        </w:rPr>
        <w:t xml:space="preserve"> 15</w:t>
      </w:r>
      <w:r w:rsidR="00667501">
        <w:rPr>
          <w:snapToGrid w:val="0"/>
          <w:lang w:val="fr-FR"/>
        </w:rPr>
        <w:t> %</w:t>
      </w:r>
      <w:r w:rsidRPr="00AB303D">
        <w:rPr>
          <w:snapToGrid w:val="0"/>
          <w:lang w:val="fr-FR"/>
        </w:rPr>
        <w:t xml:space="preserve"> des Parties de la région Amérique latine et Caraïbes (aucun changement par rapport à la situation de référence)</w:t>
      </w:r>
      <w:r w:rsidR="00D560E8">
        <w:rPr>
          <w:snapToGrid w:val="0"/>
          <w:lang w:val="fr-FR"/>
        </w:rPr>
        <w:t> ;</w:t>
      </w:r>
      <w:r w:rsidRPr="00AB303D">
        <w:rPr>
          <w:snapToGrid w:val="0"/>
          <w:lang w:val="fr-FR"/>
        </w:rPr>
        <w:t xml:space="preserve"> 54</w:t>
      </w:r>
      <w:r w:rsidR="00667501">
        <w:rPr>
          <w:snapToGrid w:val="0"/>
          <w:lang w:val="fr-FR"/>
        </w:rPr>
        <w:t> %</w:t>
      </w:r>
      <w:r w:rsidRPr="00AB303D">
        <w:rPr>
          <w:snapToGrid w:val="0"/>
          <w:lang w:val="fr-FR"/>
        </w:rPr>
        <w:t xml:space="preserve"> des Parties de la région Asie-Pacifique (+8</w:t>
      </w:r>
      <w:r w:rsidR="00667501">
        <w:rPr>
          <w:snapToGrid w:val="0"/>
          <w:lang w:val="fr-FR"/>
        </w:rPr>
        <w:t> %</w:t>
      </w:r>
      <w:r w:rsidRPr="00AB303D">
        <w:rPr>
          <w:snapToGrid w:val="0"/>
          <w:lang w:val="fr-FR"/>
        </w:rPr>
        <w:t>)</w:t>
      </w:r>
      <w:r w:rsidR="00D560E8">
        <w:rPr>
          <w:snapToGrid w:val="0"/>
          <w:lang w:val="fr-FR"/>
        </w:rPr>
        <w:t> ;</w:t>
      </w:r>
      <w:r w:rsidRPr="00AB303D">
        <w:rPr>
          <w:snapToGrid w:val="0"/>
          <w:lang w:val="fr-FR"/>
        </w:rPr>
        <w:t xml:space="preserve"> 59</w:t>
      </w:r>
      <w:r w:rsidR="00667501">
        <w:rPr>
          <w:snapToGrid w:val="0"/>
          <w:lang w:val="fr-FR"/>
        </w:rPr>
        <w:t> %</w:t>
      </w:r>
      <w:r w:rsidRPr="00AB303D">
        <w:rPr>
          <w:snapToGrid w:val="0"/>
          <w:lang w:val="fr-FR"/>
        </w:rPr>
        <w:t xml:space="preserve"> des Parties de la région Afrique (+5</w:t>
      </w:r>
      <w:r w:rsidR="00667501">
        <w:rPr>
          <w:snapToGrid w:val="0"/>
          <w:lang w:val="fr-FR"/>
        </w:rPr>
        <w:t> %</w:t>
      </w:r>
      <w:r w:rsidRPr="00AB303D">
        <w:rPr>
          <w:snapToGrid w:val="0"/>
          <w:lang w:val="fr-FR"/>
        </w:rPr>
        <w:t>)</w:t>
      </w:r>
      <w:r w:rsidR="00D560E8">
        <w:rPr>
          <w:snapToGrid w:val="0"/>
          <w:lang w:val="fr-FR"/>
        </w:rPr>
        <w:t> ;</w:t>
      </w:r>
      <w:r w:rsidRPr="00AB303D">
        <w:rPr>
          <w:snapToGrid w:val="0"/>
          <w:lang w:val="fr-FR"/>
        </w:rPr>
        <w:t xml:space="preserve"> 79</w:t>
      </w:r>
      <w:r w:rsidR="00667501">
        <w:rPr>
          <w:snapToGrid w:val="0"/>
          <w:lang w:val="fr-FR"/>
        </w:rPr>
        <w:t> %</w:t>
      </w:r>
      <w:r w:rsidRPr="00AB303D">
        <w:rPr>
          <w:snapToGrid w:val="0"/>
          <w:lang w:val="fr-FR"/>
        </w:rPr>
        <w:t xml:space="preserve"> des Parties de la région d’Europe de l’Est (+11</w:t>
      </w:r>
      <w:r w:rsidR="00667501">
        <w:rPr>
          <w:snapToGrid w:val="0"/>
          <w:lang w:val="fr-FR"/>
        </w:rPr>
        <w:t> %</w:t>
      </w:r>
      <w:r w:rsidRPr="00AB303D">
        <w:rPr>
          <w:snapToGrid w:val="0"/>
          <w:lang w:val="fr-FR"/>
        </w:rPr>
        <w:t>)</w:t>
      </w:r>
      <w:r w:rsidR="00D560E8">
        <w:rPr>
          <w:snapToGrid w:val="0"/>
          <w:lang w:val="fr-FR"/>
        </w:rPr>
        <w:t> ;</w:t>
      </w:r>
      <w:r w:rsidRPr="00AB303D">
        <w:rPr>
          <w:snapToGrid w:val="0"/>
          <w:lang w:val="fr-FR"/>
        </w:rPr>
        <w:t xml:space="preserve"> et 100</w:t>
      </w:r>
      <w:r w:rsidR="00667501">
        <w:rPr>
          <w:snapToGrid w:val="0"/>
          <w:lang w:val="fr-FR"/>
        </w:rPr>
        <w:t> %</w:t>
      </w:r>
      <w:r w:rsidRPr="00AB303D">
        <w:rPr>
          <w:snapToGrid w:val="0"/>
          <w:lang w:val="fr-FR"/>
        </w:rPr>
        <w:t xml:space="preserve"> des Parties de la région d’Europe occidentale et des autres États (pas de changement par rapport au niveau de référence) ont établi des rapports sur les mesures prises. 15</w:t>
      </w:r>
      <w:r w:rsidR="00667501">
        <w:rPr>
          <w:snapToGrid w:val="0"/>
          <w:lang w:val="fr-FR"/>
        </w:rPr>
        <w:t> %</w:t>
      </w:r>
      <w:r w:rsidRPr="00AB303D">
        <w:rPr>
          <w:snapToGrid w:val="0"/>
          <w:lang w:val="fr-FR"/>
        </w:rPr>
        <w:t xml:space="preserve"> supplémentaires des Parties ont établi des rapports sur les mesures prises dans une certaine mesure, ce qui représentait une diminution de 2</w:t>
      </w:r>
      <w:r w:rsidR="00667501">
        <w:rPr>
          <w:snapToGrid w:val="0"/>
          <w:lang w:val="fr-FR"/>
        </w:rPr>
        <w:t> %</w:t>
      </w:r>
      <w:r w:rsidRPr="00AB303D">
        <w:rPr>
          <w:snapToGrid w:val="0"/>
          <w:lang w:val="fr-FR"/>
        </w:rPr>
        <w:t xml:space="preserve"> par rapport au niveau de référence. Lorsque l’on examine conjointement les Parties ayant déclaré avoir pris de telles mesures et celles ayant déclaré les avoir prises dans une certaine mesure, la proportion de Parties ayant déclaré avoir pris de telles mesures, au moins dans une certaine mesure, s’élevait à 75</w:t>
      </w:r>
      <w:r w:rsidR="00667501">
        <w:rPr>
          <w:snapToGrid w:val="0"/>
          <w:lang w:val="fr-FR"/>
        </w:rPr>
        <w:t> %</w:t>
      </w:r>
      <w:r w:rsidRPr="00AB303D">
        <w:rPr>
          <w:snapToGrid w:val="0"/>
          <w:lang w:val="fr-FR"/>
        </w:rPr>
        <w:t xml:space="preserve"> (soit une augmentation de 3</w:t>
      </w:r>
      <w:r w:rsidR="00667501">
        <w:rPr>
          <w:snapToGrid w:val="0"/>
          <w:lang w:val="fr-FR"/>
        </w:rPr>
        <w:t> %</w:t>
      </w:r>
      <w:r w:rsidRPr="00AB303D">
        <w:rPr>
          <w:snapToGrid w:val="0"/>
          <w:lang w:val="fr-FR"/>
        </w:rPr>
        <w:t xml:space="preserve"> par rapport à la référence), comme l’indique la Figure</w:t>
      </w:r>
      <w:r w:rsidR="00FB539B">
        <w:rPr>
          <w:snapToGrid w:val="0"/>
          <w:lang w:val="fr-FR"/>
        </w:rPr>
        <w:t> </w:t>
      </w:r>
      <w:r w:rsidRPr="00AB303D">
        <w:rPr>
          <w:snapToGrid w:val="0"/>
          <w:lang w:val="fr-FR"/>
        </w:rPr>
        <w:t xml:space="preserve">V ci-dessous, </w:t>
      </w:r>
      <w:r w:rsidR="00FB539B">
        <w:rPr>
          <w:snapToGrid w:val="0"/>
          <w:lang w:val="fr-FR"/>
        </w:rPr>
        <w:t>avec une atténuation d</w:t>
      </w:r>
      <w:r w:rsidRPr="00AB303D">
        <w:rPr>
          <w:snapToGrid w:val="0"/>
          <w:lang w:val="fr-FR"/>
        </w:rPr>
        <w:t>es différences régionales</w:t>
      </w:r>
      <w:r w:rsidR="00FB539B">
        <w:rPr>
          <w:snapToGrid w:val="0"/>
          <w:lang w:val="fr-FR"/>
        </w:rPr>
        <w:t>.</w:t>
      </w:r>
    </w:p>
    <w:p w14:paraId="23C7714A" w14:textId="4C91E28C" w:rsidR="009050BD" w:rsidRPr="00F8252B" w:rsidRDefault="00096F54" w:rsidP="009050BD">
      <w:pPr>
        <w:pStyle w:val="CBDNormalNumber"/>
        <w:rPr>
          <w:b/>
          <w:snapToGrid w:val="0"/>
          <w:lang w:val="fr-FR"/>
        </w:rPr>
      </w:pPr>
      <w:r w:rsidRPr="00096F54">
        <w:rPr>
          <w:snapToGrid w:val="0"/>
          <w:lang w:val="fr-FR"/>
        </w:rPr>
        <w:t>Les indicateurs A.7</w:t>
      </w:r>
      <w:r w:rsidR="004350C6">
        <w:rPr>
          <w:snapToGrid w:val="0"/>
          <w:lang w:val="fr-FR"/>
        </w:rPr>
        <w:t> </w:t>
      </w:r>
      <w:r w:rsidRPr="00096F54">
        <w:rPr>
          <w:snapToGrid w:val="0"/>
          <w:lang w:val="fr-FR"/>
        </w:rPr>
        <w:t>b), c) et d) étaient respectivement les suivants</w:t>
      </w:r>
      <w:r w:rsidR="00CA1B90">
        <w:rPr>
          <w:snapToGrid w:val="0"/>
          <w:lang w:val="fr-FR"/>
        </w:rPr>
        <w:t> :</w:t>
      </w:r>
      <w:r w:rsidRPr="00096F54">
        <w:rPr>
          <w:snapToGrid w:val="0"/>
          <w:lang w:val="fr-FR"/>
        </w:rPr>
        <w:t xml:space="preserve"> b) pourcentage des Parties ayant mis en place des exigences en matière de documentation pour les organismes vivants modifiés destinés à être utilisés directement pour l’alimentation humaine ou animale, ou à être transformés</w:t>
      </w:r>
      <w:r w:rsidR="00D560E8">
        <w:rPr>
          <w:snapToGrid w:val="0"/>
          <w:lang w:val="fr-FR"/>
        </w:rPr>
        <w:t> ;</w:t>
      </w:r>
      <w:r w:rsidRPr="00096F54">
        <w:rPr>
          <w:snapToGrid w:val="0"/>
          <w:lang w:val="fr-FR"/>
        </w:rPr>
        <w:t xml:space="preserve"> c) pourcentage des Parties ayant mis en place des exigences en matière de documentation pour les organismes vivants modifiés destinés à une utilisation confinée</w:t>
      </w:r>
      <w:r w:rsidR="00D560E8">
        <w:rPr>
          <w:snapToGrid w:val="0"/>
          <w:lang w:val="fr-FR"/>
        </w:rPr>
        <w:t> ;</w:t>
      </w:r>
      <w:r w:rsidRPr="00096F54">
        <w:rPr>
          <w:snapToGrid w:val="0"/>
          <w:lang w:val="fr-FR"/>
        </w:rPr>
        <w:t xml:space="preserve"> et d) pourcentage des Parties ayant mis en place des exigences en matière de documentation pour les organismes vivants modifiés destinés à une introduction intentionnelle dans l’environnement et pour d’autres organismes vivants modifiés. Ce sont les informations fournies en réponse aux questions 80, 81, 83 et 85 du cinquième rapport national qui ont été utilisées pour mesurer les progrès </w:t>
      </w:r>
      <w:r>
        <w:rPr>
          <w:snapToGrid w:val="0"/>
          <w:lang w:val="fr-FR"/>
        </w:rPr>
        <w:t>accomplis</w:t>
      </w:r>
      <w:r w:rsidRPr="00096F54">
        <w:rPr>
          <w:snapToGrid w:val="0"/>
          <w:lang w:val="fr-FR"/>
        </w:rPr>
        <w:t xml:space="preserve"> à cet égard.</w:t>
      </w:r>
    </w:p>
    <w:p w14:paraId="3551F688" w14:textId="2D286482" w:rsidR="009050BD" w:rsidRPr="00F8252B" w:rsidRDefault="004D12C2" w:rsidP="009050BD">
      <w:pPr>
        <w:pStyle w:val="CBDNormalNumber"/>
        <w:rPr>
          <w:snapToGrid w:val="0"/>
          <w:lang w:val="fr-FR"/>
        </w:rPr>
      </w:pPr>
      <w:r w:rsidRPr="004D12C2">
        <w:rPr>
          <w:snapToGrid w:val="0"/>
          <w:lang w:val="fr-FR"/>
        </w:rPr>
        <w:t>Cinquante pour cent des Parties ont indiqué avoir pris des mesures visant à exiger que la documentation accompagnant les organismes vivants modifiés destinés à être utilisés directement pour l’alimentation humaine ou animale, ou à être transformés, dans les cas où l’identité de ces organismes n’était pas connue, précise clairement que l’envoi pouvait contenir des organismes vivants modifiés et que ceux-ci n’étaient pas destinés à être introduits intentionnellement dans l’environnement. Ce chiffre représentait une augmentation de</w:t>
      </w:r>
      <w:r>
        <w:rPr>
          <w:snapToGrid w:val="0"/>
          <w:lang w:val="fr-FR"/>
        </w:rPr>
        <w:t> </w:t>
      </w:r>
      <w:r w:rsidRPr="004D12C2">
        <w:rPr>
          <w:snapToGrid w:val="0"/>
          <w:lang w:val="fr-FR"/>
        </w:rPr>
        <w:t>4</w:t>
      </w:r>
      <w:r w:rsidR="00667501">
        <w:rPr>
          <w:snapToGrid w:val="0"/>
          <w:lang w:val="fr-FR"/>
        </w:rPr>
        <w:t> %</w:t>
      </w:r>
      <w:r w:rsidRPr="004D12C2">
        <w:rPr>
          <w:snapToGrid w:val="0"/>
          <w:lang w:val="fr-FR"/>
        </w:rPr>
        <w:t xml:space="preserve"> par rapport à la valeur de référence. Des variations régionales considérables ont été observées, la répartition régionale des Parties ayant déclaré avoir pris des mesures étant la suivante</w:t>
      </w:r>
      <w:r w:rsidR="00CA1B90">
        <w:rPr>
          <w:snapToGrid w:val="0"/>
          <w:lang w:val="fr-FR"/>
        </w:rPr>
        <w:t> :</w:t>
      </w:r>
      <w:r w:rsidRPr="004D12C2">
        <w:rPr>
          <w:snapToGrid w:val="0"/>
          <w:lang w:val="fr-FR"/>
        </w:rPr>
        <w:t xml:space="preserve"> 15</w:t>
      </w:r>
      <w:r w:rsidR="00667501">
        <w:rPr>
          <w:snapToGrid w:val="0"/>
          <w:lang w:val="fr-FR"/>
        </w:rPr>
        <w:t> %</w:t>
      </w:r>
      <w:r w:rsidRPr="004D12C2">
        <w:rPr>
          <w:snapToGrid w:val="0"/>
          <w:lang w:val="fr-FR"/>
        </w:rPr>
        <w:t xml:space="preserve"> des Parties de la région Amérique latine et Caraïbes (+5</w:t>
      </w:r>
      <w:r w:rsidR="00667501">
        <w:rPr>
          <w:snapToGrid w:val="0"/>
          <w:lang w:val="fr-FR"/>
        </w:rPr>
        <w:t> %</w:t>
      </w:r>
      <w:r w:rsidRPr="004D12C2">
        <w:rPr>
          <w:snapToGrid w:val="0"/>
          <w:lang w:val="fr-FR"/>
        </w:rPr>
        <w:t>)</w:t>
      </w:r>
      <w:r w:rsidR="00D560E8">
        <w:rPr>
          <w:snapToGrid w:val="0"/>
          <w:lang w:val="fr-FR"/>
        </w:rPr>
        <w:t> ;</w:t>
      </w:r>
      <w:r w:rsidRPr="004D12C2">
        <w:rPr>
          <w:snapToGrid w:val="0"/>
          <w:lang w:val="fr-FR"/>
        </w:rPr>
        <w:t xml:space="preserve"> 46</w:t>
      </w:r>
      <w:r w:rsidR="00667501">
        <w:rPr>
          <w:snapToGrid w:val="0"/>
          <w:lang w:val="fr-FR"/>
        </w:rPr>
        <w:t> %</w:t>
      </w:r>
      <w:r w:rsidRPr="004D12C2">
        <w:rPr>
          <w:snapToGrid w:val="0"/>
          <w:lang w:val="fr-FR"/>
        </w:rPr>
        <w:t xml:space="preserve"> des Parties de la région Afrique (+5</w:t>
      </w:r>
      <w:r w:rsidR="00667501">
        <w:rPr>
          <w:snapToGrid w:val="0"/>
          <w:lang w:val="fr-FR"/>
        </w:rPr>
        <w:t> %</w:t>
      </w:r>
      <w:r w:rsidRPr="004D12C2">
        <w:rPr>
          <w:snapToGrid w:val="0"/>
          <w:lang w:val="fr-FR"/>
        </w:rPr>
        <w:t>)</w:t>
      </w:r>
      <w:r w:rsidR="00D560E8">
        <w:rPr>
          <w:snapToGrid w:val="0"/>
          <w:lang w:val="fr-FR"/>
        </w:rPr>
        <w:t> ;</w:t>
      </w:r>
      <w:r w:rsidRPr="004D12C2">
        <w:rPr>
          <w:snapToGrid w:val="0"/>
          <w:lang w:val="fr-FR"/>
        </w:rPr>
        <w:t xml:space="preserve"> 46</w:t>
      </w:r>
      <w:r w:rsidR="00667501">
        <w:rPr>
          <w:snapToGrid w:val="0"/>
          <w:lang w:val="fr-FR"/>
        </w:rPr>
        <w:t> %</w:t>
      </w:r>
      <w:r w:rsidRPr="004D12C2">
        <w:rPr>
          <w:snapToGrid w:val="0"/>
          <w:lang w:val="fr-FR"/>
        </w:rPr>
        <w:t xml:space="preserve"> des Parties de la région Asie-Pacifique (+11</w:t>
      </w:r>
      <w:r w:rsidR="00667501">
        <w:rPr>
          <w:snapToGrid w:val="0"/>
          <w:lang w:val="fr-FR"/>
        </w:rPr>
        <w:t> %</w:t>
      </w:r>
      <w:r w:rsidRPr="004D12C2">
        <w:rPr>
          <w:snapToGrid w:val="0"/>
          <w:lang w:val="fr-FR"/>
        </w:rPr>
        <w:t>)</w:t>
      </w:r>
      <w:r w:rsidR="00D560E8">
        <w:rPr>
          <w:snapToGrid w:val="0"/>
          <w:lang w:val="fr-FR"/>
        </w:rPr>
        <w:t> ;</w:t>
      </w:r>
      <w:r w:rsidRPr="004D12C2">
        <w:rPr>
          <w:snapToGrid w:val="0"/>
          <w:lang w:val="fr-FR"/>
        </w:rPr>
        <w:t xml:space="preserve"> 74</w:t>
      </w:r>
      <w:r w:rsidR="00667501">
        <w:rPr>
          <w:snapToGrid w:val="0"/>
          <w:lang w:val="fr-FR"/>
        </w:rPr>
        <w:t> %</w:t>
      </w:r>
      <w:r w:rsidRPr="004D12C2">
        <w:rPr>
          <w:snapToGrid w:val="0"/>
          <w:lang w:val="fr-FR"/>
        </w:rPr>
        <w:t xml:space="preserve"> des Parties de la région Europe de l’Est (+11</w:t>
      </w:r>
      <w:r w:rsidR="00667501">
        <w:rPr>
          <w:snapToGrid w:val="0"/>
          <w:lang w:val="fr-FR"/>
        </w:rPr>
        <w:t> %</w:t>
      </w:r>
      <w:r w:rsidRPr="004D12C2">
        <w:rPr>
          <w:snapToGrid w:val="0"/>
          <w:lang w:val="fr-FR"/>
        </w:rPr>
        <w:t>)</w:t>
      </w:r>
      <w:r w:rsidR="00D560E8">
        <w:rPr>
          <w:snapToGrid w:val="0"/>
          <w:lang w:val="fr-FR"/>
        </w:rPr>
        <w:t> ;</w:t>
      </w:r>
      <w:r w:rsidRPr="004D12C2">
        <w:rPr>
          <w:snapToGrid w:val="0"/>
          <w:lang w:val="fr-FR"/>
        </w:rPr>
        <w:t xml:space="preserve"> et 79</w:t>
      </w:r>
      <w:r w:rsidR="00667501">
        <w:rPr>
          <w:snapToGrid w:val="0"/>
          <w:lang w:val="fr-FR"/>
        </w:rPr>
        <w:t> %</w:t>
      </w:r>
      <w:r w:rsidRPr="004D12C2">
        <w:rPr>
          <w:snapToGrid w:val="0"/>
          <w:lang w:val="fr-FR"/>
        </w:rPr>
        <w:t xml:space="preserve"> des Parties de la région Europe occidentale et autres États (-16</w:t>
      </w:r>
      <w:r w:rsidR="00667501">
        <w:rPr>
          <w:snapToGrid w:val="0"/>
          <w:lang w:val="fr-FR"/>
        </w:rPr>
        <w:t> %</w:t>
      </w:r>
      <w:r w:rsidRPr="004D12C2">
        <w:rPr>
          <w:snapToGrid w:val="0"/>
          <w:lang w:val="fr-FR"/>
        </w:rPr>
        <w:t>). Douze pour cent des Parties ont déclaré avoir pris ces mesures dans une certaine mesure (ce qui représente une baisse de 4</w:t>
      </w:r>
      <w:r w:rsidR="00667501">
        <w:rPr>
          <w:snapToGrid w:val="0"/>
          <w:lang w:val="fr-FR"/>
        </w:rPr>
        <w:t> %</w:t>
      </w:r>
      <w:r w:rsidRPr="004D12C2">
        <w:rPr>
          <w:snapToGrid w:val="0"/>
          <w:lang w:val="fr-FR"/>
        </w:rPr>
        <w:t xml:space="preserve"> par rapport à la référence)</w:t>
      </w:r>
      <w:r w:rsidR="00D560E8">
        <w:rPr>
          <w:snapToGrid w:val="0"/>
          <w:lang w:val="fr-FR"/>
        </w:rPr>
        <w:t> ;</w:t>
      </w:r>
      <w:r w:rsidRPr="004D12C2">
        <w:rPr>
          <w:snapToGrid w:val="0"/>
          <w:lang w:val="fr-FR"/>
        </w:rPr>
        <w:t xml:space="preserve"> lorsque l’on considère ensemble les Parties ayant déclaré avoir pris de telles mesures et celles ayant déclaré les avoir prises dans une certaine mesure, le total mondial s’élevait à 62</w:t>
      </w:r>
      <w:r w:rsidR="00667501">
        <w:rPr>
          <w:snapToGrid w:val="0"/>
          <w:lang w:val="fr-FR"/>
        </w:rPr>
        <w:t> %</w:t>
      </w:r>
      <w:r w:rsidRPr="004D12C2">
        <w:rPr>
          <w:snapToGrid w:val="0"/>
          <w:lang w:val="fr-FR"/>
        </w:rPr>
        <w:t xml:space="preserve"> (aucun changement par rapport à la référence), comme l’indique la Figure</w:t>
      </w:r>
      <w:r>
        <w:rPr>
          <w:snapToGrid w:val="0"/>
          <w:lang w:val="fr-FR"/>
        </w:rPr>
        <w:t> </w:t>
      </w:r>
      <w:r w:rsidRPr="004D12C2">
        <w:rPr>
          <w:snapToGrid w:val="0"/>
          <w:lang w:val="fr-FR"/>
        </w:rPr>
        <w:t>V ci-dessous.</w:t>
      </w:r>
    </w:p>
    <w:p w14:paraId="246B804C" w14:textId="1AE2A8A3" w:rsidR="009050BD" w:rsidRPr="00F8252B" w:rsidRDefault="00F364E9" w:rsidP="009050BD">
      <w:pPr>
        <w:pStyle w:val="CBDNormalNumber"/>
        <w:rPr>
          <w:snapToGrid w:val="0"/>
          <w:lang w:val="fr-FR"/>
        </w:rPr>
      </w:pPr>
      <w:r w:rsidRPr="00F364E9">
        <w:rPr>
          <w:snapToGrid w:val="0"/>
          <w:lang w:val="fr-FR"/>
        </w:rPr>
        <w:lastRenderedPageBreak/>
        <w:t>Cinquante-cinq pour cent des Parties ont indiqué avoir pris des mesures exigeant que la documentation accompagnant les organismes vivants modifiés destinés à être utilisés directement comme denrées alimentaires ou aliments pour animaux, ou à être transformés, dans les cas où l’identité de l’organisme vivant modifié est connue, indique clairement que l’envoi contient des organismes vivants modifiés et qu’ils ne sont pas destinés à être introduits intentionnellement dans l’environnement, et fournisse un point de contact pour toute information complémentaire. Cela représente une augmentation de 2</w:t>
      </w:r>
      <w:r w:rsidR="00667501">
        <w:rPr>
          <w:snapToGrid w:val="0"/>
          <w:lang w:val="fr-FR"/>
        </w:rPr>
        <w:t> %</w:t>
      </w:r>
      <w:r w:rsidRPr="00F364E9">
        <w:rPr>
          <w:snapToGrid w:val="0"/>
          <w:lang w:val="fr-FR"/>
        </w:rPr>
        <w:t xml:space="preserve"> par rapport à la référence. Plus précisément, 15</w:t>
      </w:r>
      <w:r w:rsidR="00667501">
        <w:rPr>
          <w:snapToGrid w:val="0"/>
          <w:lang w:val="fr-FR"/>
        </w:rPr>
        <w:t> %</w:t>
      </w:r>
      <w:r w:rsidRPr="00F364E9">
        <w:rPr>
          <w:snapToGrid w:val="0"/>
          <w:lang w:val="fr-FR"/>
        </w:rPr>
        <w:t xml:space="preserve"> des Parties de la région Amérique latine et Caraïbes (-10</w:t>
      </w:r>
      <w:r w:rsidR="00667501">
        <w:rPr>
          <w:snapToGrid w:val="0"/>
          <w:lang w:val="fr-FR"/>
        </w:rPr>
        <w:t> %</w:t>
      </w:r>
      <w:r w:rsidRPr="00F364E9">
        <w:rPr>
          <w:snapToGrid w:val="0"/>
          <w:lang w:val="fr-FR"/>
        </w:rPr>
        <w:t>), 38</w:t>
      </w:r>
      <w:r w:rsidR="00667501">
        <w:rPr>
          <w:snapToGrid w:val="0"/>
          <w:lang w:val="fr-FR"/>
        </w:rPr>
        <w:t> %</w:t>
      </w:r>
      <w:r w:rsidRPr="00F364E9">
        <w:rPr>
          <w:snapToGrid w:val="0"/>
          <w:lang w:val="fr-FR"/>
        </w:rPr>
        <w:t xml:space="preserve"> des Parties de la région Asie-Pacifique (+3</w:t>
      </w:r>
      <w:r w:rsidR="00667501">
        <w:rPr>
          <w:snapToGrid w:val="0"/>
          <w:lang w:val="fr-FR"/>
        </w:rPr>
        <w:t> %</w:t>
      </w:r>
      <w:r w:rsidRPr="00F364E9">
        <w:rPr>
          <w:snapToGrid w:val="0"/>
          <w:lang w:val="fr-FR"/>
        </w:rPr>
        <w:t>), 54</w:t>
      </w:r>
      <w:r w:rsidR="00667501">
        <w:rPr>
          <w:snapToGrid w:val="0"/>
          <w:lang w:val="fr-FR"/>
        </w:rPr>
        <w:t> %</w:t>
      </w:r>
      <w:r w:rsidRPr="00F364E9">
        <w:rPr>
          <w:snapToGrid w:val="0"/>
          <w:lang w:val="fr-FR"/>
        </w:rPr>
        <w:t xml:space="preserve"> des Parties de la région Afrique (+5</w:t>
      </w:r>
      <w:r w:rsidR="00667501">
        <w:rPr>
          <w:snapToGrid w:val="0"/>
          <w:lang w:val="fr-FR"/>
        </w:rPr>
        <w:t> %</w:t>
      </w:r>
      <w:r w:rsidRPr="00F364E9">
        <w:rPr>
          <w:snapToGrid w:val="0"/>
          <w:lang w:val="fr-FR"/>
        </w:rPr>
        <w:t>), 79</w:t>
      </w:r>
      <w:r w:rsidR="00667501">
        <w:rPr>
          <w:snapToGrid w:val="0"/>
          <w:lang w:val="fr-FR"/>
        </w:rPr>
        <w:t> %</w:t>
      </w:r>
      <w:r w:rsidRPr="00F364E9">
        <w:rPr>
          <w:snapToGrid w:val="0"/>
          <w:lang w:val="fr-FR"/>
        </w:rPr>
        <w:t xml:space="preserve"> des Parties de la région Europe de l’Est (+11</w:t>
      </w:r>
      <w:r w:rsidR="00667501">
        <w:rPr>
          <w:snapToGrid w:val="0"/>
          <w:lang w:val="fr-FR"/>
        </w:rPr>
        <w:t> %</w:t>
      </w:r>
      <w:r w:rsidRPr="00F364E9">
        <w:rPr>
          <w:snapToGrid w:val="0"/>
          <w:lang w:val="fr-FR"/>
        </w:rPr>
        <w:t>) et 100</w:t>
      </w:r>
      <w:r w:rsidR="00667501">
        <w:rPr>
          <w:snapToGrid w:val="0"/>
          <w:lang w:val="fr-FR"/>
        </w:rPr>
        <w:t> %</w:t>
      </w:r>
      <w:r w:rsidRPr="00F364E9">
        <w:rPr>
          <w:snapToGrid w:val="0"/>
          <w:lang w:val="fr-FR"/>
        </w:rPr>
        <w:t xml:space="preserve"> des Parties de la région Europe occidentale et autres États (aucun changement par rapport à la référence) ont </w:t>
      </w:r>
      <w:r w:rsidR="00B91D3E">
        <w:rPr>
          <w:snapToGrid w:val="0"/>
          <w:lang w:val="fr-FR"/>
        </w:rPr>
        <w:t xml:space="preserve">rapporté avoir pris de telles </w:t>
      </w:r>
      <w:r w:rsidRPr="00F364E9">
        <w:rPr>
          <w:snapToGrid w:val="0"/>
          <w:lang w:val="fr-FR"/>
        </w:rPr>
        <w:t xml:space="preserve">mesures. Treize pour cent des Parties ont déclaré avoir pris de telles mesures </w:t>
      </w:r>
      <w:r>
        <w:rPr>
          <w:snapToGrid w:val="0"/>
          <w:lang w:val="fr-FR"/>
        </w:rPr>
        <w:t>à un certain degré</w:t>
      </w:r>
      <w:r w:rsidRPr="00F364E9">
        <w:rPr>
          <w:snapToGrid w:val="0"/>
          <w:lang w:val="fr-FR"/>
        </w:rPr>
        <w:t>, ce qui représente une baisse de 4</w:t>
      </w:r>
      <w:r w:rsidR="00667501">
        <w:rPr>
          <w:snapToGrid w:val="0"/>
          <w:lang w:val="fr-FR"/>
        </w:rPr>
        <w:t> %</w:t>
      </w:r>
      <w:r w:rsidRPr="00F364E9">
        <w:rPr>
          <w:snapToGrid w:val="0"/>
          <w:lang w:val="fr-FR"/>
        </w:rPr>
        <w:t xml:space="preserve"> par rapport à la référence. Lorsque l’on considère ensemble les Parties ayant déclaré avoir pris de telles mesures et celles ayant déclaré l’avoir fait dans une certaine mesure, le total </w:t>
      </w:r>
      <w:r>
        <w:rPr>
          <w:snapToGrid w:val="0"/>
          <w:lang w:val="fr-FR"/>
        </w:rPr>
        <w:t xml:space="preserve">global </w:t>
      </w:r>
      <w:r w:rsidRPr="00F364E9">
        <w:rPr>
          <w:snapToGrid w:val="0"/>
          <w:lang w:val="fr-FR"/>
        </w:rPr>
        <w:t>s’élève à 68</w:t>
      </w:r>
      <w:r w:rsidR="00667501">
        <w:rPr>
          <w:snapToGrid w:val="0"/>
          <w:lang w:val="fr-FR"/>
        </w:rPr>
        <w:t> %</w:t>
      </w:r>
      <w:r w:rsidRPr="00F364E9">
        <w:rPr>
          <w:snapToGrid w:val="0"/>
          <w:lang w:val="fr-FR"/>
        </w:rPr>
        <w:t xml:space="preserve"> (soit une baisse de 2</w:t>
      </w:r>
      <w:r w:rsidR="00667501">
        <w:rPr>
          <w:snapToGrid w:val="0"/>
          <w:lang w:val="fr-FR"/>
        </w:rPr>
        <w:t> %</w:t>
      </w:r>
      <w:r w:rsidRPr="00F364E9">
        <w:rPr>
          <w:snapToGrid w:val="0"/>
          <w:lang w:val="fr-FR"/>
        </w:rPr>
        <w:t xml:space="preserve"> par rapport à la référence), comme l’indique la Figure</w:t>
      </w:r>
      <w:r>
        <w:rPr>
          <w:snapToGrid w:val="0"/>
          <w:lang w:val="fr-FR"/>
        </w:rPr>
        <w:t> </w:t>
      </w:r>
      <w:r w:rsidRPr="00F364E9">
        <w:rPr>
          <w:snapToGrid w:val="0"/>
          <w:lang w:val="fr-FR"/>
        </w:rPr>
        <w:t>V ci-dessous.</w:t>
      </w:r>
    </w:p>
    <w:p w14:paraId="4B25A2A0" w14:textId="6EDE5E41" w:rsidR="009050BD" w:rsidRPr="00F8252B" w:rsidRDefault="00AF726B" w:rsidP="009050BD">
      <w:pPr>
        <w:pStyle w:val="CBDNormalNumber"/>
        <w:rPr>
          <w:snapToGrid w:val="0"/>
          <w:lang w:val="fr-FR"/>
        </w:rPr>
      </w:pPr>
      <w:r w:rsidRPr="00AF726B">
        <w:rPr>
          <w:snapToGrid w:val="0"/>
          <w:lang w:val="fr-FR"/>
        </w:rPr>
        <w:t xml:space="preserve">Soixante-deux pour cent des Parties ont indiqué avoir pris des mesures pour exiger que la documentation accompagnant les organismes vivants modifiés destinés à une utilisation confinée les identifie clairement comme tels et précise les exigences en matière de manipulation, de stockage, de transport et d’utilisation en toute sécurité, ainsi que le </w:t>
      </w:r>
      <w:r w:rsidR="008E146F">
        <w:rPr>
          <w:snapToGrid w:val="0"/>
          <w:lang w:val="fr-FR"/>
        </w:rPr>
        <w:t>correspondant</w:t>
      </w:r>
      <w:r w:rsidRPr="00AF726B">
        <w:rPr>
          <w:snapToGrid w:val="0"/>
          <w:lang w:val="fr-FR"/>
        </w:rPr>
        <w:t xml:space="preserve"> pour toute information complémentaire, y compris le nom et l’adresse de la personne et de l’institution auxquelles les organismes vivants modifiés sont expédiés. Ce chiffre représente une augmentation de 8</w:t>
      </w:r>
      <w:r w:rsidR="00667501">
        <w:rPr>
          <w:snapToGrid w:val="0"/>
          <w:lang w:val="fr-FR"/>
        </w:rPr>
        <w:t> %</w:t>
      </w:r>
      <w:r w:rsidRPr="00AF726B">
        <w:rPr>
          <w:snapToGrid w:val="0"/>
          <w:lang w:val="fr-FR"/>
        </w:rPr>
        <w:t xml:space="preserve"> par rapport à la référence. </w:t>
      </w:r>
      <w:r w:rsidR="00554E38">
        <w:rPr>
          <w:snapToGrid w:val="0"/>
          <w:lang w:val="fr-FR"/>
        </w:rPr>
        <w:t>On observe d</w:t>
      </w:r>
      <w:r w:rsidRPr="00AF726B">
        <w:rPr>
          <w:snapToGrid w:val="0"/>
          <w:lang w:val="fr-FR"/>
        </w:rPr>
        <w:t>es variations régionales considérables</w:t>
      </w:r>
      <w:r w:rsidR="00CA1B90">
        <w:rPr>
          <w:snapToGrid w:val="0"/>
          <w:lang w:val="fr-FR"/>
        </w:rPr>
        <w:t> :</w:t>
      </w:r>
      <w:r w:rsidRPr="00AF726B">
        <w:rPr>
          <w:snapToGrid w:val="0"/>
          <w:lang w:val="fr-FR"/>
        </w:rPr>
        <w:t xml:space="preserve"> 25</w:t>
      </w:r>
      <w:r w:rsidR="00667501">
        <w:rPr>
          <w:snapToGrid w:val="0"/>
          <w:lang w:val="fr-FR"/>
        </w:rPr>
        <w:t> %</w:t>
      </w:r>
      <w:r w:rsidRPr="00AF726B">
        <w:rPr>
          <w:snapToGrid w:val="0"/>
          <w:lang w:val="fr-FR"/>
        </w:rPr>
        <w:t xml:space="preserve"> des Parties de la région Amérique latine et Caraïbes (+10</w:t>
      </w:r>
      <w:r w:rsidR="00667501">
        <w:rPr>
          <w:snapToGrid w:val="0"/>
          <w:lang w:val="fr-FR"/>
        </w:rPr>
        <w:t> %</w:t>
      </w:r>
      <w:r w:rsidRPr="00AF726B">
        <w:rPr>
          <w:snapToGrid w:val="0"/>
          <w:lang w:val="fr-FR"/>
        </w:rPr>
        <w:t>), 46</w:t>
      </w:r>
      <w:r w:rsidR="00667501">
        <w:rPr>
          <w:snapToGrid w:val="0"/>
          <w:lang w:val="fr-FR"/>
        </w:rPr>
        <w:t> %</w:t>
      </w:r>
      <w:r w:rsidRPr="00AF726B">
        <w:rPr>
          <w:snapToGrid w:val="0"/>
          <w:lang w:val="fr-FR"/>
        </w:rPr>
        <w:t xml:space="preserve"> des Parties de la région Asie-Pacifique (+11</w:t>
      </w:r>
      <w:r w:rsidR="00667501">
        <w:rPr>
          <w:snapToGrid w:val="0"/>
          <w:lang w:val="fr-FR"/>
        </w:rPr>
        <w:t> %</w:t>
      </w:r>
      <w:r w:rsidRPr="00AF726B">
        <w:rPr>
          <w:snapToGrid w:val="0"/>
          <w:lang w:val="fr-FR"/>
        </w:rPr>
        <w:t>), 62</w:t>
      </w:r>
      <w:r w:rsidR="00667501">
        <w:rPr>
          <w:snapToGrid w:val="0"/>
          <w:lang w:val="fr-FR"/>
        </w:rPr>
        <w:t> %</w:t>
      </w:r>
      <w:r w:rsidRPr="00AF726B">
        <w:rPr>
          <w:snapToGrid w:val="0"/>
          <w:lang w:val="fr-FR"/>
        </w:rPr>
        <w:t xml:space="preserve"> des Parties de la région Afrique (+8</w:t>
      </w:r>
      <w:r w:rsidR="00667501">
        <w:rPr>
          <w:snapToGrid w:val="0"/>
          <w:lang w:val="fr-FR"/>
        </w:rPr>
        <w:t> %</w:t>
      </w:r>
      <w:r w:rsidRPr="00AF726B">
        <w:rPr>
          <w:snapToGrid w:val="0"/>
          <w:lang w:val="fr-FR"/>
        </w:rPr>
        <w:t>), 84</w:t>
      </w:r>
      <w:r w:rsidR="00667501">
        <w:rPr>
          <w:snapToGrid w:val="0"/>
          <w:lang w:val="fr-FR"/>
        </w:rPr>
        <w:t> %</w:t>
      </w:r>
      <w:r w:rsidRPr="00AF726B">
        <w:rPr>
          <w:snapToGrid w:val="0"/>
          <w:lang w:val="fr-FR"/>
        </w:rPr>
        <w:t xml:space="preserve"> des Parties de la région d’Europe de l’Est (+10</w:t>
      </w:r>
      <w:r w:rsidR="00667501">
        <w:rPr>
          <w:snapToGrid w:val="0"/>
          <w:lang w:val="fr-FR"/>
        </w:rPr>
        <w:t> %</w:t>
      </w:r>
      <w:r w:rsidRPr="00AF726B">
        <w:rPr>
          <w:snapToGrid w:val="0"/>
          <w:lang w:val="fr-FR"/>
        </w:rPr>
        <w:t>) et 100</w:t>
      </w:r>
      <w:r w:rsidR="00667501">
        <w:rPr>
          <w:snapToGrid w:val="0"/>
          <w:lang w:val="fr-FR"/>
        </w:rPr>
        <w:t> %</w:t>
      </w:r>
      <w:r w:rsidRPr="00AF726B">
        <w:rPr>
          <w:snapToGrid w:val="0"/>
          <w:lang w:val="fr-FR"/>
        </w:rPr>
        <w:t xml:space="preserve"> des Parties de la région d’Europe occidentale et des autres États (aucun changement par rapport à la référence) ont déclaré avoir pris de telles mesures. Dix pour cent des Parties ont déclaré avoir pris des mesures à cet égard dans une certaine mesure, ce qui représente une baisse de 4</w:t>
      </w:r>
      <w:r w:rsidR="00667501">
        <w:rPr>
          <w:snapToGrid w:val="0"/>
          <w:lang w:val="fr-FR"/>
        </w:rPr>
        <w:t> %</w:t>
      </w:r>
      <w:r w:rsidRPr="00AF726B">
        <w:rPr>
          <w:snapToGrid w:val="0"/>
          <w:lang w:val="fr-FR"/>
        </w:rPr>
        <w:t xml:space="preserve"> par rapport à la référence. Lorsque l’on considère conjointement les Parties ayant déclaré avoir pris de telles mesures et celles ayant déclaré les avoir prises dans une certaine mesure, le total mondial s’élève à 72</w:t>
      </w:r>
      <w:r w:rsidR="00667501">
        <w:rPr>
          <w:snapToGrid w:val="0"/>
          <w:lang w:val="fr-FR"/>
        </w:rPr>
        <w:t> %</w:t>
      </w:r>
      <w:r w:rsidRPr="00AF726B">
        <w:rPr>
          <w:snapToGrid w:val="0"/>
          <w:lang w:val="fr-FR"/>
        </w:rPr>
        <w:t xml:space="preserve"> (soit une augmentation de 4</w:t>
      </w:r>
      <w:r w:rsidR="00667501">
        <w:rPr>
          <w:snapToGrid w:val="0"/>
          <w:lang w:val="fr-FR"/>
        </w:rPr>
        <w:t> %</w:t>
      </w:r>
      <w:r w:rsidRPr="00AF726B">
        <w:rPr>
          <w:snapToGrid w:val="0"/>
          <w:lang w:val="fr-FR"/>
        </w:rPr>
        <w:t xml:space="preserve"> par rapport à la référence), comme l’indique la Figure</w:t>
      </w:r>
      <w:r>
        <w:rPr>
          <w:snapToGrid w:val="0"/>
          <w:lang w:val="fr-FR"/>
        </w:rPr>
        <w:t> </w:t>
      </w:r>
      <w:r w:rsidRPr="00AF726B">
        <w:rPr>
          <w:snapToGrid w:val="0"/>
          <w:lang w:val="fr-FR"/>
        </w:rPr>
        <w:t>V ci-dessous.</w:t>
      </w:r>
    </w:p>
    <w:p w14:paraId="6D3DB820" w14:textId="410FAB00" w:rsidR="005F085C" w:rsidRPr="00F8252B" w:rsidRDefault="007E66DD" w:rsidP="009050BD">
      <w:pPr>
        <w:pStyle w:val="CBDNormalNumber"/>
        <w:rPr>
          <w:snapToGrid w:val="0"/>
          <w:lang w:val="fr-FR"/>
        </w:rPr>
      </w:pPr>
      <w:r w:rsidRPr="007E66DD">
        <w:rPr>
          <w:snapToGrid w:val="0"/>
          <w:lang w:val="fr-FR"/>
        </w:rPr>
        <w:t>Cinquante-sept pour cent des Parties avaient pris des mesures pour exiger que les documents accompagnant les organismes vivants modifiés destinés à être introduits intentionnellement dans l’environnement de la Partie importatrice les identifient clairement comme tels. Ce chiffre représentait une augmentation de 3</w:t>
      </w:r>
      <w:r w:rsidR="00667501">
        <w:rPr>
          <w:snapToGrid w:val="0"/>
          <w:lang w:val="fr-FR"/>
        </w:rPr>
        <w:t> %</w:t>
      </w:r>
      <w:r w:rsidRPr="007E66DD">
        <w:rPr>
          <w:snapToGrid w:val="0"/>
          <w:lang w:val="fr-FR"/>
        </w:rPr>
        <w:t xml:space="preserve"> par rapport à la référence. On observe des variations régionales considérables</w:t>
      </w:r>
      <w:r w:rsidR="00CA1B90">
        <w:rPr>
          <w:snapToGrid w:val="0"/>
          <w:lang w:val="fr-FR"/>
        </w:rPr>
        <w:t> :</w:t>
      </w:r>
      <w:r w:rsidRPr="007E66DD">
        <w:rPr>
          <w:snapToGrid w:val="0"/>
          <w:lang w:val="fr-FR"/>
        </w:rPr>
        <w:t xml:space="preserve"> 25</w:t>
      </w:r>
      <w:r w:rsidR="00667501">
        <w:rPr>
          <w:snapToGrid w:val="0"/>
          <w:lang w:val="fr-FR"/>
        </w:rPr>
        <w:t> %</w:t>
      </w:r>
      <w:r w:rsidRPr="007E66DD">
        <w:rPr>
          <w:snapToGrid w:val="0"/>
          <w:lang w:val="fr-FR"/>
        </w:rPr>
        <w:t xml:space="preserve"> des Parties de la région Amérique latine et Caraïbes (+5</w:t>
      </w:r>
      <w:r w:rsidR="00667501">
        <w:rPr>
          <w:snapToGrid w:val="0"/>
          <w:lang w:val="fr-FR"/>
        </w:rPr>
        <w:t> %</w:t>
      </w:r>
      <w:r w:rsidRPr="007E66DD">
        <w:rPr>
          <w:snapToGrid w:val="0"/>
          <w:lang w:val="fr-FR"/>
        </w:rPr>
        <w:t>), 35</w:t>
      </w:r>
      <w:r w:rsidR="00667501">
        <w:rPr>
          <w:snapToGrid w:val="0"/>
          <w:lang w:val="fr-FR"/>
        </w:rPr>
        <w:t> %</w:t>
      </w:r>
      <w:r w:rsidRPr="007E66DD">
        <w:rPr>
          <w:snapToGrid w:val="0"/>
          <w:lang w:val="fr-FR"/>
        </w:rPr>
        <w:t xml:space="preserve"> des Parties de la région Asie-Pacifique (-7</w:t>
      </w:r>
      <w:r w:rsidR="00667501">
        <w:rPr>
          <w:snapToGrid w:val="0"/>
          <w:lang w:val="fr-FR"/>
        </w:rPr>
        <w:t> %</w:t>
      </w:r>
      <w:r w:rsidRPr="007E66DD">
        <w:rPr>
          <w:snapToGrid w:val="0"/>
          <w:lang w:val="fr-FR"/>
        </w:rPr>
        <w:t>), 59</w:t>
      </w:r>
      <w:r w:rsidR="00667501">
        <w:rPr>
          <w:snapToGrid w:val="0"/>
          <w:lang w:val="fr-FR"/>
        </w:rPr>
        <w:t> %</w:t>
      </w:r>
      <w:r w:rsidRPr="007E66DD">
        <w:rPr>
          <w:snapToGrid w:val="0"/>
          <w:lang w:val="fr-FR"/>
        </w:rPr>
        <w:t xml:space="preserve"> des Parties de la région Afrique (+8</w:t>
      </w:r>
      <w:r w:rsidR="00667501">
        <w:rPr>
          <w:snapToGrid w:val="0"/>
          <w:lang w:val="fr-FR"/>
        </w:rPr>
        <w:t> %</w:t>
      </w:r>
      <w:r w:rsidRPr="007E66DD">
        <w:rPr>
          <w:snapToGrid w:val="0"/>
          <w:lang w:val="fr-FR"/>
        </w:rPr>
        <w:t>), 74</w:t>
      </w:r>
      <w:r w:rsidR="00667501">
        <w:rPr>
          <w:snapToGrid w:val="0"/>
          <w:lang w:val="fr-FR"/>
        </w:rPr>
        <w:t> %</w:t>
      </w:r>
      <w:r w:rsidRPr="007E66DD">
        <w:rPr>
          <w:snapToGrid w:val="0"/>
          <w:lang w:val="fr-FR"/>
        </w:rPr>
        <w:t xml:space="preserve"> des Parties de la région Europe de l’Est (+6</w:t>
      </w:r>
      <w:r w:rsidR="00667501">
        <w:rPr>
          <w:snapToGrid w:val="0"/>
          <w:lang w:val="fr-FR"/>
        </w:rPr>
        <w:t> %</w:t>
      </w:r>
      <w:r w:rsidRPr="007E66DD">
        <w:rPr>
          <w:snapToGrid w:val="0"/>
          <w:lang w:val="fr-FR"/>
        </w:rPr>
        <w:t>) et 100</w:t>
      </w:r>
      <w:r w:rsidR="00667501">
        <w:rPr>
          <w:snapToGrid w:val="0"/>
          <w:lang w:val="fr-FR"/>
        </w:rPr>
        <w:t> %</w:t>
      </w:r>
      <w:r w:rsidRPr="007E66DD">
        <w:rPr>
          <w:snapToGrid w:val="0"/>
          <w:lang w:val="fr-FR"/>
        </w:rPr>
        <w:t xml:space="preserve"> des Parties de la région Europe occidentale et autres États (aucun changement par rapport à la référence) ont déclaré avoir pris de telles mesures. Quinze pour cent des Parties ont déclaré avoir pris des mesures à cet égard dans une certaine mesure, ce qui représente une baisse de 1</w:t>
      </w:r>
      <w:r w:rsidR="00667501">
        <w:rPr>
          <w:snapToGrid w:val="0"/>
          <w:lang w:val="fr-FR"/>
        </w:rPr>
        <w:t> %</w:t>
      </w:r>
      <w:r w:rsidRPr="007E66DD">
        <w:rPr>
          <w:snapToGrid w:val="0"/>
          <w:lang w:val="fr-FR"/>
        </w:rPr>
        <w:t xml:space="preserve"> par rapport à la valeur de référence. Lorsque l’on considère ensemble les Parties ayant déclaré avoir pris de telles mesures et celles ayant déclaré les avoir prises à un certain degré, le total global s’élève à 72</w:t>
      </w:r>
      <w:r w:rsidR="00667501">
        <w:rPr>
          <w:snapToGrid w:val="0"/>
          <w:lang w:val="fr-FR"/>
        </w:rPr>
        <w:t> %</w:t>
      </w:r>
      <w:r w:rsidRPr="007E66DD">
        <w:rPr>
          <w:snapToGrid w:val="0"/>
          <w:lang w:val="fr-FR"/>
        </w:rPr>
        <w:t xml:space="preserve"> (soit une augmentation de 2</w:t>
      </w:r>
      <w:r w:rsidR="00667501">
        <w:rPr>
          <w:snapToGrid w:val="0"/>
          <w:lang w:val="fr-FR"/>
        </w:rPr>
        <w:t> %</w:t>
      </w:r>
      <w:r w:rsidRPr="007E66DD">
        <w:rPr>
          <w:snapToGrid w:val="0"/>
          <w:lang w:val="fr-FR"/>
        </w:rPr>
        <w:t xml:space="preserve"> par rapport à la valeur de référence), comme l’indique la Figure</w:t>
      </w:r>
      <w:r w:rsidR="00590479">
        <w:rPr>
          <w:snapToGrid w:val="0"/>
          <w:lang w:val="fr-FR"/>
        </w:rPr>
        <w:t> </w:t>
      </w:r>
      <w:r w:rsidRPr="007E66DD">
        <w:rPr>
          <w:snapToGrid w:val="0"/>
          <w:lang w:val="fr-FR"/>
        </w:rPr>
        <w:t>V ci-dessous.</w:t>
      </w:r>
    </w:p>
    <w:p w14:paraId="118426C8" w14:textId="7952BFE1" w:rsidR="00A32328" w:rsidRPr="00F8252B" w:rsidRDefault="00A32328">
      <w:pPr>
        <w:pStyle w:val="CBDTableTitle"/>
        <w:rPr>
          <w:snapToGrid w:val="0"/>
          <w:lang w:val="fr-FR"/>
        </w:rPr>
      </w:pPr>
      <w:r w:rsidRPr="00F8252B">
        <w:rPr>
          <w:b w:val="0"/>
          <w:bCs/>
          <w:snapToGrid w:val="0"/>
          <w:lang w:val="fr-FR"/>
        </w:rPr>
        <w:lastRenderedPageBreak/>
        <w:t>Figure V</w:t>
      </w:r>
      <w:r w:rsidRPr="00F8252B">
        <w:rPr>
          <w:snapToGrid w:val="0"/>
          <w:lang w:val="fr-FR"/>
        </w:rPr>
        <w:t xml:space="preserve"> </w:t>
      </w:r>
      <w:r w:rsidRPr="00F8252B">
        <w:rPr>
          <w:snapToGrid w:val="0"/>
          <w:lang w:val="fr-FR"/>
        </w:rPr>
        <w:br/>
      </w:r>
      <w:r w:rsidR="00DB4CBC" w:rsidRPr="00F8252B">
        <w:rPr>
          <w:snapToGrid w:val="0"/>
          <w:lang w:val="fr-FR"/>
        </w:rPr>
        <w:t>Mesures prises par les Parties concernant la manipulation, le transport, l'emballage et l'identification des organismes vivants modifiés (article</w:t>
      </w:r>
      <w:r w:rsidR="007A53FB" w:rsidRPr="00F8252B">
        <w:rPr>
          <w:snapToGrid w:val="0"/>
          <w:lang w:val="fr-FR"/>
        </w:rPr>
        <w:t> </w:t>
      </w:r>
      <w:r w:rsidR="00DB4CBC" w:rsidRPr="00F8252B">
        <w:rPr>
          <w:snapToGrid w:val="0"/>
          <w:lang w:val="fr-FR"/>
        </w:rPr>
        <w:t>18)</w:t>
      </w:r>
    </w:p>
    <w:p w14:paraId="731664B1" w14:textId="181AB9D8" w:rsidR="00FD7F7C" w:rsidRPr="00F8252B" w:rsidRDefault="00EA5B5C" w:rsidP="00FA2932">
      <w:pPr>
        <w:pStyle w:val="CBDTableTitle"/>
        <w:rPr>
          <w:snapToGrid w:val="0"/>
          <w:lang w:val="fr-FR"/>
        </w:rPr>
      </w:pPr>
      <w:r>
        <w:rPr>
          <w:noProof/>
          <w:snapToGrid w:val="0"/>
          <w:lang w:val="fr-FR"/>
        </w:rPr>
        <w:drawing>
          <wp:inline distT="0" distB="0" distL="0" distR="0" wp14:anchorId="245F694D" wp14:editId="5458504F">
            <wp:extent cx="5586730" cy="3001674"/>
            <wp:effectExtent l="0" t="0" r="0" b="8255"/>
            <wp:docPr id="188649178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589548" cy="3003188"/>
                    </a:xfrm>
                    <a:prstGeom prst="rect">
                      <a:avLst/>
                    </a:prstGeom>
                    <a:noFill/>
                    <a:ln>
                      <a:noFill/>
                    </a:ln>
                  </pic:spPr>
                </pic:pic>
              </a:graphicData>
            </a:graphic>
          </wp:inline>
        </w:drawing>
      </w:r>
    </w:p>
    <w:p w14:paraId="4C4D38A9" w14:textId="7AB0B912" w:rsidR="002925F0" w:rsidRPr="00F8252B" w:rsidRDefault="00E11AAC" w:rsidP="00B50A55">
      <w:pPr>
        <w:pStyle w:val="Paragraphedeliste"/>
        <w:suppressLineNumbers/>
        <w:tabs>
          <w:tab w:val="clear" w:pos="567"/>
          <w:tab w:val="clear" w:pos="1134"/>
          <w:tab w:val="clear" w:pos="1701"/>
          <w:tab w:val="clear" w:pos="2268"/>
        </w:tabs>
        <w:suppressAutoHyphens/>
        <w:snapToGrid w:val="0"/>
        <w:spacing w:before="120" w:after="120"/>
        <w:ind w:left="567"/>
        <w:contextualSpacing w:val="0"/>
        <w:rPr>
          <w:snapToGrid w:val="0"/>
          <w:kern w:val="22"/>
          <w:sz w:val="18"/>
          <w:szCs w:val="18"/>
          <w:lang w:val="fr-FR"/>
        </w:rPr>
      </w:pPr>
      <w:r w:rsidRPr="00F8252B">
        <w:rPr>
          <w:snapToGrid w:val="0"/>
          <w:kern w:val="22"/>
          <w:sz w:val="18"/>
          <w:szCs w:val="18"/>
          <w:lang w:val="fr-FR"/>
        </w:rPr>
        <w:t>Abréviation</w:t>
      </w:r>
      <w:r w:rsidR="00CA1B90">
        <w:rPr>
          <w:snapToGrid w:val="0"/>
          <w:kern w:val="22"/>
          <w:sz w:val="18"/>
          <w:szCs w:val="18"/>
          <w:lang w:val="fr-FR"/>
        </w:rPr>
        <w:t> :</w:t>
      </w:r>
      <w:r w:rsidR="002925F0" w:rsidRPr="00F8252B">
        <w:rPr>
          <w:snapToGrid w:val="0"/>
          <w:kern w:val="22"/>
          <w:sz w:val="18"/>
          <w:szCs w:val="18"/>
          <w:lang w:val="fr-FR"/>
        </w:rPr>
        <w:t xml:space="preserve"> </w:t>
      </w:r>
      <w:r>
        <w:rPr>
          <w:snapToGrid w:val="0"/>
          <w:kern w:val="22"/>
          <w:sz w:val="18"/>
          <w:szCs w:val="18"/>
          <w:lang w:val="fr-FR"/>
        </w:rPr>
        <w:t>OVM</w:t>
      </w:r>
      <w:r w:rsidR="002925F0" w:rsidRPr="00F8252B">
        <w:rPr>
          <w:snapToGrid w:val="0"/>
          <w:kern w:val="22"/>
          <w:sz w:val="18"/>
          <w:szCs w:val="18"/>
          <w:lang w:val="fr-FR"/>
        </w:rPr>
        <w:t xml:space="preserve">, </w:t>
      </w:r>
      <w:r>
        <w:rPr>
          <w:snapToGrid w:val="0"/>
          <w:kern w:val="22"/>
          <w:sz w:val="18"/>
          <w:szCs w:val="18"/>
          <w:lang w:val="fr-FR"/>
        </w:rPr>
        <w:t>organismes vivants modifiés </w:t>
      </w:r>
      <w:r w:rsidR="0093162B">
        <w:rPr>
          <w:snapToGrid w:val="0"/>
          <w:kern w:val="22"/>
          <w:sz w:val="18"/>
          <w:szCs w:val="18"/>
          <w:lang w:val="fr-FR"/>
        </w:rPr>
        <w:t>.</w:t>
      </w:r>
    </w:p>
    <w:p w14:paraId="04A15274" w14:textId="654AA635" w:rsidR="00F37122" w:rsidRPr="00F8252B" w:rsidRDefault="0041550C" w:rsidP="00F37122">
      <w:pPr>
        <w:pStyle w:val="CBDNormalNumber"/>
        <w:rPr>
          <w:snapToGrid w:val="0"/>
          <w:lang w:val="fr-FR"/>
        </w:rPr>
      </w:pPr>
      <w:r w:rsidRPr="0041550C">
        <w:rPr>
          <w:snapToGrid w:val="0"/>
          <w:lang w:val="fr-FR"/>
        </w:rPr>
        <w:t>Dans leurs réponses sous forme de texte libre concernant la mise en œuvre de l’article</w:t>
      </w:r>
      <w:r>
        <w:rPr>
          <w:snapToGrid w:val="0"/>
          <w:lang w:val="fr-FR"/>
        </w:rPr>
        <w:t> </w:t>
      </w:r>
      <w:r w:rsidRPr="0041550C">
        <w:rPr>
          <w:snapToGrid w:val="0"/>
          <w:lang w:val="fr-FR"/>
        </w:rPr>
        <w:t>18, les Parties ont décrit un large éventail de difficultés auxquelles elles sont confrontées. De nombreuses Parties ont indiqué avoir mis en place des cadres juridiques et réglementaires régissant la manipulation, le transport, l’emballage, l’étiquetage et l’identification des organismes vivants modifiés</w:t>
      </w:r>
      <w:r w:rsidR="00D560E8">
        <w:rPr>
          <w:snapToGrid w:val="0"/>
          <w:lang w:val="fr-FR"/>
        </w:rPr>
        <w:t> ;</w:t>
      </w:r>
      <w:r w:rsidRPr="0041550C">
        <w:rPr>
          <w:snapToGrid w:val="0"/>
          <w:lang w:val="fr-FR"/>
        </w:rPr>
        <w:t xml:space="preserve"> certaines d’entre elles opèrent dans le cadre de dispositifs régionaux complets qui imposent la traçabilité, l’utilisation d’identificateurs uniques et la fourniture d’une documentation d’accompagnement détaillée pour toutes les catégories d’organismes vivants modifiés. Certaines Parties ont toutefois pris note que ces cadres n’étaient pas encore pleinement opérationnels ou effectivement appliqués, en particulier aux points d’entrée. À cet égard, les Parties ont observé que, souvent, les agents des douanes n’avaient pas reçu de formation spécifique relative aux organismes vivants modifiés et que les infrastructures de détection de ces organismes étaient inexistantes, limitées ou non fonctionnelles. Certaines Parties ont indiqué avoir eu recours à des laboratoires d’analyse étrangers pour la détection et l’identification des organismes vivants modifiés, ce qui pouvait entraîner des retards dans l’analyse et l’élaboration des politiques. Le renforcement des capacités, un appui financier durable, l’accès à des matériaux de référence certifiés, l’accréditation des laboratoires, la formation du personnel aux frontières et en laboratoire, ainsi que le renforcement de la coordination interinstitutionnelle ont été systématiquement identifiés comme des priorités urgentes dans toutes les régions. Plusieurs Parties ont mentionné que le coût élevé des réactifs spécialisés et les nouvelles avancées en biotechnologie constituaient des défis supplémentaires pour </w:t>
      </w:r>
      <w:r>
        <w:rPr>
          <w:snapToGrid w:val="0"/>
          <w:lang w:val="fr-FR"/>
        </w:rPr>
        <w:t xml:space="preserve">la mise en œuvre </w:t>
      </w:r>
      <w:r w:rsidRPr="0041550C">
        <w:rPr>
          <w:snapToGrid w:val="0"/>
          <w:lang w:val="fr-FR"/>
        </w:rPr>
        <w:t>effective de l’article</w:t>
      </w:r>
      <w:r w:rsidR="00FE7795">
        <w:rPr>
          <w:snapToGrid w:val="0"/>
          <w:lang w:val="fr-FR"/>
        </w:rPr>
        <w:t> </w:t>
      </w:r>
      <w:r w:rsidRPr="0041550C">
        <w:rPr>
          <w:snapToGrid w:val="0"/>
          <w:lang w:val="fr-FR"/>
        </w:rPr>
        <w:t>18</w:t>
      </w:r>
      <w:r w:rsidR="00F37122" w:rsidRPr="00F8252B">
        <w:rPr>
          <w:snapToGrid w:val="0"/>
          <w:lang w:val="fr-FR"/>
        </w:rPr>
        <w:t>.</w:t>
      </w:r>
    </w:p>
    <w:p w14:paraId="3BE4D0DB" w14:textId="18F851D7" w:rsidR="00F37122" w:rsidRPr="00F8252B" w:rsidRDefault="00AC754E" w:rsidP="00F37122">
      <w:pPr>
        <w:pStyle w:val="CBDNormalNumber"/>
        <w:rPr>
          <w:snapToGrid w:val="0"/>
          <w:lang w:val="fr-FR"/>
        </w:rPr>
      </w:pPr>
      <w:r>
        <w:rPr>
          <w:snapToGrid w:val="0"/>
          <w:lang w:val="fr-FR"/>
        </w:rPr>
        <w:t>Pour</w:t>
      </w:r>
      <w:r w:rsidR="001E5A5E" w:rsidRPr="001E5A5E">
        <w:rPr>
          <w:snapToGrid w:val="0"/>
          <w:lang w:val="fr-FR"/>
        </w:rPr>
        <w:t xml:space="preserve"> </w:t>
      </w:r>
      <w:r w:rsidR="00174EB9">
        <w:rPr>
          <w:snapToGrid w:val="0"/>
          <w:lang w:val="fr-FR"/>
        </w:rPr>
        <w:t>le but</w:t>
      </w:r>
      <w:r w:rsidR="001E5A5E">
        <w:rPr>
          <w:snapToGrid w:val="0"/>
          <w:lang w:val="fr-FR"/>
        </w:rPr>
        <w:t> </w:t>
      </w:r>
      <w:r w:rsidR="001E5A5E" w:rsidRPr="001E5A5E">
        <w:rPr>
          <w:snapToGrid w:val="0"/>
          <w:lang w:val="fr-FR"/>
        </w:rPr>
        <w:t>A.7, un domaine clé du renforcement des capacités a été identifié au titre du plan d'action pour le renforcement des capacités</w:t>
      </w:r>
      <w:r w:rsidR="00CA1B90">
        <w:rPr>
          <w:snapToGrid w:val="0"/>
          <w:lang w:val="fr-FR"/>
        </w:rPr>
        <w:t> :</w:t>
      </w:r>
      <w:r w:rsidR="001E5A5E" w:rsidRPr="001E5A5E">
        <w:rPr>
          <w:snapToGrid w:val="0"/>
          <w:lang w:val="fr-FR"/>
        </w:rPr>
        <w:t xml:space="preserve"> la mise en place de systèmes nationaux opérationnels pour la manutention, le transport, le conditionnement et l'identification, y compris en matière de documentation.</w:t>
      </w:r>
    </w:p>
    <w:p w14:paraId="542D3B8C" w14:textId="717D93AE" w:rsidR="00F37122" w:rsidRPr="00F8252B" w:rsidRDefault="00BB181C" w:rsidP="00F37122">
      <w:pPr>
        <w:pStyle w:val="CBDNormalNumber"/>
        <w:rPr>
          <w:snapToGrid w:val="0"/>
          <w:lang w:val="fr-FR"/>
        </w:rPr>
      </w:pPr>
      <w:r w:rsidRPr="00BB181C">
        <w:rPr>
          <w:snapToGrid w:val="0"/>
          <w:lang w:val="fr-FR"/>
        </w:rPr>
        <w:t>Sur les 98</w:t>
      </w:r>
      <w:r>
        <w:rPr>
          <w:snapToGrid w:val="0"/>
          <w:lang w:val="fr-FR"/>
        </w:rPr>
        <w:t> </w:t>
      </w:r>
      <w:r w:rsidRPr="00BB181C">
        <w:rPr>
          <w:snapToGrid w:val="0"/>
          <w:lang w:val="fr-FR"/>
        </w:rPr>
        <w:t>Parties ayant indiqué avoir mené des activités visant à développer et/ou à renforcer les ressources humaines et les capacités institutionnelles en matière de prévention des risques biotechnologiques au cours de la période considérée, 16</w:t>
      </w:r>
      <w:r w:rsidR="00667501">
        <w:rPr>
          <w:snapToGrid w:val="0"/>
          <w:lang w:val="fr-FR"/>
        </w:rPr>
        <w:t> %</w:t>
      </w:r>
      <w:r w:rsidRPr="00BB181C">
        <w:rPr>
          <w:snapToGrid w:val="0"/>
          <w:lang w:val="fr-FR"/>
        </w:rPr>
        <w:t xml:space="preserve"> ont précisé que ces activités avaient porté sur la mise en œuvre des exigences en matière de documentation prévues au paragraphe</w:t>
      </w:r>
      <w:r>
        <w:rPr>
          <w:snapToGrid w:val="0"/>
          <w:lang w:val="fr-FR"/>
        </w:rPr>
        <w:t> </w:t>
      </w:r>
      <w:r w:rsidRPr="00BB181C">
        <w:rPr>
          <w:snapToGrid w:val="0"/>
          <w:lang w:val="fr-FR"/>
        </w:rPr>
        <w:t xml:space="preserve">2 de </w:t>
      </w:r>
      <w:r w:rsidRPr="00BB181C">
        <w:rPr>
          <w:snapToGrid w:val="0"/>
          <w:lang w:val="fr-FR"/>
        </w:rPr>
        <w:lastRenderedPageBreak/>
        <w:t>l’article</w:t>
      </w:r>
      <w:r>
        <w:rPr>
          <w:snapToGrid w:val="0"/>
          <w:lang w:val="fr-FR"/>
        </w:rPr>
        <w:t> </w:t>
      </w:r>
      <w:r w:rsidRPr="00BB181C">
        <w:rPr>
          <w:snapToGrid w:val="0"/>
          <w:lang w:val="fr-FR"/>
        </w:rPr>
        <w:t>18 du Protocole (soit une augmentation de 3</w:t>
      </w:r>
      <w:r w:rsidR="00667501">
        <w:rPr>
          <w:snapToGrid w:val="0"/>
          <w:lang w:val="fr-FR"/>
        </w:rPr>
        <w:t> %</w:t>
      </w:r>
      <w:r w:rsidRPr="00BB181C">
        <w:rPr>
          <w:snapToGrid w:val="0"/>
          <w:lang w:val="fr-FR"/>
        </w:rPr>
        <w:t xml:space="preserve"> par rapport à la référence). Sur les 100</w:t>
      </w:r>
      <w:r>
        <w:rPr>
          <w:snapToGrid w:val="0"/>
          <w:lang w:val="fr-FR"/>
        </w:rPr>
        <w:t> </w:t>
      </w:r>
      <w:r w:rsidRPr="00BB181C">
        <w:rPr>
          <w:snapToGrid w:val="0"/>
          <w:lang w:val="fr-FR"/>
        </w:rPr>
        <w:t>Parties ayant indiqué qu’elles avaient encore des besoins en matière de renforcement des capacités, 72</w:t>
      </w:r>
      <w:r w:rsidR="00667501">
        <w:rPr>
          <w:snapToGrid w:val="0"/>
          <w:lang w:val="fr-FR"/>
        </w:rPr>
        <w:t> %</w:t>
      </w:r>
      <w:r w:rsidRPr="00BB181C">
        <w:rPr>
          <w:snapToGrid w:val="0"/>
          <w:lang w:val="fr-FR"/>
        </w:rPr>
        <w:t xml:space="preserve"> ont signalé que ce renforcement concernait les exigences en matière de documentation relatives à la manipulation, au transport, à l’emballage et à l’identification (soit une augmentation de 6</w:t>
      </w:r>
      <w:r w:rsidR="00667501">
        <w:rPr>
          <w:snapToGrid w:val="0"/>
          <w:lang w:val="fr-FR"/>
        </w:rPr>
        <w:t> %</w:t>
      </w:r>
      <w:r w:rsidRPr="00BB181C">
        <w:rPr>
          <w:snapToGrid w:val="0"/>
          <w:lang w:val="fr-FR"/>
        </w:rPr>
        <w:t xml:space="preserve"> par rapport à la référence).</w:t>
      </w:r>
      <w:r w:rsidR="00F37122" w:rsidRPr="00F8252B">
        <w:rPr>
          <w:snapToGrid w:val="0"/>
          <w:lang w:val="fr-FR"/>
        </w:rPr>
        <w:t xml:space="preserve"> </w:t>
      </w:r>
    </w:p>
    <w:p w14:paraId="4B19AEC8" w14:textId="02492CB3" w:rsidR="00C01EE1" w:rsidRPr="00F8252B" w:rsidRDefault="00D66DEE" w:rsidP="00F37122">
      <w:pPr>
        <w:pStyle w:val="CBDNormalNumber"/>
        <w:rPr>
          <w:snapToGrid w:val="0"/>
          <w:lang w:val="fr-FR"/>
        </w:rPr>
      </w:pPr>
      <w:r w:rsidRPr="00D66DEE">
        <w:rPr>
          <w:snapToGrid w:val="0"/>
          <w:lang w:val="fr-FR"/>
        </w:rPr>
        <w:t>Dans ce contexte, les réponses à la question</w:t>
      </w:r>
      <w:r>
        <w:rPr>
          <w:snapToGrid w:val="0"/>
          <w:lang w:val="fr-FR"/>
        </w:rPr>
        <w:t> </w:t>
      </w:r>
      <w:r w:rsidRPr="00D66DEE">
        <w:rPr>
          <w:snapToGrid w:val="0"/>
          <w:lang w:val="fr-FR"/>
        </w:rPr>
        <w:t>87 du cinquième rapport national ont fourni des informations complémentaires sur les capacités de mise en œuvre. Cinquante et un pour cent des Parties ont indiqué disposer des capacités nécessaires pour faire respecter les exigences en matière d’identification et de documentation des organismes vivants modifiés (soit une augmentation de 3</w:t>
      </w:r>
      <w:r w:rsidR="00667501">
        <w:rPr>
          <w:snapToGrid w:val="0"/>
          <w:lang w:val="fr-FR"/>
        </w:rPr>
        <w:t> %</w:t>
      </w:r>
      <w:r w:rsidRPr="00D66DEE">
        <w:rPr>
          <w:snapToGrid w:val="0"/>
          <w:lang w:val="fr-FR"/>
        </w:rPr>
        <w:t xml:space="preserve"> par rapport à la situation de référence), tandis que 28</w:t>
      </w:r>
      <w:r w:rsidR="00667501">
        <w:rPr>
          <w:snapToGrid w:val="0"/>
          <w:lang w:val="fr-FR"/>
        </w:rPr>
        <w:t> %</w:t>
      </w:r>
      <w:r w:rsidRPr="00D66DEE">
        <w:rPr>
          <w:snapToGrid w:val="0"/>
          <w:lang w:val="fr-FR"/>
        </w:rPr>
        <w:t xml:space="preserve"> des Parties ont déclaré disposer de ces capacités dans une certaine mesure (soit une augmentation de 3</w:t>
      </w:r>
      <w:r w:rsidR="00667501">
        <w:rPr>
          <w:snapToGrid w:val="0"/>
          <w:lang w:val="fr-FR"/>
        </w:rPr>
        <w:t> %</w:t>
      </w:r>
      <w:r w:rsidRPr="00D66DEE">
        <w:rPr>
          <w:snapToGrid w:val="0"/>
          <w:lang w:val="fr-FR"/>
        </w:rPr>
        <w:t xml:space="preserve"> par rapport à la référence).</w:t>
      </w:r>
    </w:p>
    <w:p w14:paraId="2B200F58" w14:textId="01A5A6A2" w:rsidR="00303307" w:rsidRPr="00F8252B" w:rsidRDefault="00303307" w:rsidP="00FA2932">
      <w:pPr>
        <w:pStyle w:val="CBDH2"/>
        <w:rPr>
          <w:snapToGrid w:val="0"/>
          <w:lang w:val="fr-FR"/>
        </w:rPr>
      </w:pPr>
      <w:r w:rsidRPr="00F8252B">
        <w:rPr>
          <w:snapToGrid w:val="0"/>
          <w:lang w:val="fr-FR"/>
        </w:rPr>
        <w:t>H.</w:t>
      </w:r>
      <w:r w:rsidRPr="00F8252B">
        <w:rPr>
          <w:snapToGrid w:val="0"/>
          <w:lang w:val="fr-FR"/>
        </w:rPr>
        <w:tab/>
      </w:r>
      <w:r w:rsidR="008312D0" w:rsidRPr="00F8252B">
        <w:rPr>
          <w:snapToGrid w:val="0"/>
          <w:lang w:val="fr-FR"/>
        </w:rPr>
        <w:t>But </w:t>
      </w:r>
      <w:r w:rsidRPr="00F8252B">
        <w:rPr>
          <w:snapToGrid w:val="0"/>
          <w:lang w:val="fr-FR"/>
        </w:rPr>
        <w:t xml:space="preserve">A.8. </w:t>
      </w:r>
      <w:r w:rsidR="008312D0" w:rsidRPr="00F8252B">
        <w:rPr>
          <w:snapToGrid w:val="0"/>
          <w:lang w:val="fr-FR"/>
        </w:rPr>
        <w:t>Les parties sont en mesure de détecter et d'identifier les OVM</w:t>
      </w:r>
    </w:p>
    <w:p w14:paraId="4FA4BE57" w14:textId="1BA25949" w:rsidR="008D56A2" w:rsidRPr="00F8252B" w:rsidRDefault="00A32328" w:rsidP="00FA2932">
      <w:pPr>
        <w:pStyle w:val="CBDH4"/>
        <w:rPr>
          <w:snapToGrid w:val="0"/>
          <w:lang w:val="fr-FR"/>
        </w:rPr>
      </w:pPr>
      <w:r w:rsidRPr="00F8252B">
        <w:rPr>
          <w:snapToGrid w:val="0"/>
          <w:lang w:val="fr-FR"/>
        </w:rPr>
        <w:t>a)</w:t>
      </w:r>
      <w:r w:rsidRPr="00F8252B">
        <w:rPr>
          <w:snapToGrid w:val="0"/>
          <w:lang w:val="fr-FR"/>
        </w:rPr>
        <w:tab/>
      </w:r>
      <w:r w:rsidR="007B7D09" w:rsidRPr="00F8252B">
        <w:rPr>
          <w:snapToGrid w:val="0"/>
          <w:lang w:val="fr-FR"/>
        </w:rPr>
        <w:t xml:space="preserve">Chiffres clés et </w:t>
      </w:r>
      <w:r w:rsidR="0035077E" w:rsidRPr="00F8252B">
        <w:rPr>
          <w:snapToGrid w:val="0"/>
          <w:lang w:val="fr-FR"/>
        </w:rPr>
        <w:t>éléments importants</w:t>
      </w:r>
    </w:p>
    <w:p w14:paraId="17A1AADC" w14:textId="073E7360" w:rsidR="009C3471" w:rsidRPr="00F8252B" w:rsidRDefault="00004BD0" w:rsidP="009C3471">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fr-FR"/>
        </w:rPr>
      </w:pPr>
      <w:r w:rsidRPr="00004BD0">
        <w:rPr>
          <w:snapToGrid w:val="0"/>
          <w:kern w:val="22"/>
          <w:lang w:val="fr-FR"/>
        </w:rPr>
        <w:t>Le Centre d'échange pour la prévention des risques biotechnologiques permet d'accéder à des méthodes de détection pour 56</w:t>
      </w:r>
      <w:r w:rsidR="00667501">
        <w:rPr>
          <w:snapToGrid w:val="0"/>
          <w:kern w:val="22"/>
          <w:lang w:val="fr-FR"/>
        </w:rPr>
        <w:t> %</w:t>
      </w:r>
      <w:r w:rsidRPr="00004BD0">
        <w:rPr>
          <w:snapToGrid w:val="0"/>
          <w:kern w:val="22"/>
          <w:lang w:val="fr-FR"/>
        </w:rPr>
        <w:t xml:space="preserve"> des dossiers d'organismes vivants modifiés qui y sont répertoriés</w:t>
      </w:r>
      <w:r w:rsidR="00D560E8">
        <w:rPr>
          <w:snapToGrid w:val="0"/>
          <w:kern w:val="22"/>
          <w:lang w:val="fr-FR"/>
        </w:rPr>
        <w:t> ;</w:t>
      </w:r>
      <w:r w:rsidRPr="00004BD0">
        <w:rPr>
          <w:snapToGrid w:val="0"/>
          <w:kern w:val="22"/>
          <w:lang w:val="fr-FR"/>
        </w:rPr>
        <w:t xml:space="preserve"> dans le cinquième rapport national, 80</w:t>
      </w:r>
      <w:r w:rsidR="00667501">
        <w:rPr>
          <w:snapToGrid w:val="0"/>
          <w:kern w:val="22"/>
          <w:lang w:val="fr-FR"/>
        </w:rPr>
        <w:t> %</w:t>
      </w:r>
      <w:r w:rsidRPr="00004BD0">
        <w:rPr>
          <w:snapToGrid w:val="0"/>
          <w:kern w:val="22"/>
          <w:lang w:val="fr-FR"/>
        </w:rPr>
        <w:t xml:space="preserve"> des Parties ont indiqué avoir eu accès à des ressources et à des méthodes de détection permettant de détecter et d'identifier les organismes vivants modifiés, et 75</w:t>
      </w:r>
      <w:r w:rsidR="00667501">
        <w:rPr>
          <w:snapToGrid w:val="0"/>
          <w:kern w:val="22"/>
          <w:lang w:val="fr-FR"/>
        </w:rPr>
        <w:t> %</w:t>
      </w:r>
      <w:r w:rsidRPr="00004BD0">
        <w:rPr>
          <w:snapToGrid w:val="0"/>
          <w:kern w:val="22"/>
          <w:lang w:val="fr-FR"/>
        </w:rPr>
        <w:t xml:space="preserve"> ont déclaré avoir utilisé ces ressources et ces méthodes</w:t>
      </w:r>
      <w:r w:rsidR="00CD7631">
        <w:rPr>
          <w:snapToGrid w:val="0"/>
          <w:kern w:val="22"/>
          <w:lang w:val="fr-FR"/>
        </w:rPr>
        <w:t>.</w:t>
      </w:r>
    </w:p>
    <w:p w14:paraId="30246B00" w14:textId="56EBDB44" w:rsidR="009C3471" w:rsidRPr="00F8252B" w:rsidRDefault="00CD7631" w:rsidP="009C3471">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fr-FR"/>
        </w:rPr>
      </w:pPr>
      <w:r w:rsidRPr="00CD7631">
        <w:rPr>
          <w:snapToGrid w:val="0"/>
          <w:kern w:val="22"/>
          <w:lang w:val="fr-FR"/>
        </w:rPr>
        <w:t>86</w:t>
      </w:r>
      <w:r w:rsidR="00667501">
        <w:rPr>
          <w:snapToGrid w:val="0"/>
          <w:kern w:val="22"/>
          <w:lang w:val="fr-FR"/>
        </w:rPr>
        <w:t> %</w:t>
      </w:r>
      <w:r w:rsidRPr="00CD7631">
        <w:rPr>
          <w:snapToGrid w:val="0"/>
          <w:kern w:val="22"/>
          <w:lang w:val="fr-FR"/>
        </w:rPr>
        <w:t xml:space="preserve"> des Parties ont indiqué disposer d'un accès fiable à des infrastructures techniques permettant la détection d'organismes vivants modifiés (+7</w:t>
      </w:r>
      <w:r w:rsidR="00667501">
        <w:rPr>
          <w:snapToGrid w:val="0"/>
          <w:kern w:val="22"/>
          <w:lang w:val="fr-FR"/>
        </w:rPr>
        <w:t> %</w:t>
      </w:r>
      <w:r w:rsidRPr="00CD7631">
        <w:rPr>
          <w:snapToGrid w:val="0"/>
          <w:kern w:val="22"/>
          <w:lang w:val="fr-FR"/>
        </w:rPr>
        <w:t>) et 75</w:t>
      </w:r>
      <w:r w:rsidR="00667501">
        <w:rPr>
          <w:snapToGrid w:val="0"/>
          <w:kern w:val="22"/>
          <w:lang w:val="fr-FR"/>
        </w:rPr>
        <w:t> %</w:t>
      </w:r>
      <w:r w:rsidRPr="00CD7631">
        <w:rPr>
          <w:snapToGrid w:val="0"/>
          <w:kern w:val="22"/>
          <w:lang w:val="fr-FR"/>
        </w:rPr>
        <w:t xml:space="preserve"> avaient accès à de telles infrastructures (aucune donnée de référence n'était disponible)</w:t>
      </w:r>
      <w:r>
        <w:rPr>
          <w:snapToGrid w:val="0"/>
          <w:kern w:val="22"/>
          <w:lang w:val="fr-FR"/>
        </w:rPr>
        <w:t>.</w:t>
      </w:r>
    </w:p>
    <w:p w14:paraId="0029B7DF" w14:textId="6B916252" w:rsidR="009C3471" w:rsidRPr="00F8252B" w:rsidRDefault="00E50482" w:rsidP="009C3471">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fr-FR"/>
        </w:rPr>
      </w:pPr>
      <w:r w:rsidRPr="00E50482">
        <w:rPr>
          <w:snapToGrid w:val="0"/>
          <w:kern w:val="22"/>
          <w:lang w:val="fr-FR"/>
        </w:rPr>
        <w:t>Soixante-quatorze pour cent des Parties avaient accès à des outils permettant de détecter et d’identifier les organismes vivants modifiés, et 67</w:t>
      </w:r>
      <w:r w:rsidR="00667501">
        <w:rPr>
          <w:snapToGrid w:val="0"/>
          <w:kern w:val="22"/>
          <w:lang w:val="fr-FR"/>
        </w:rPr>
        <w:t> %</w:t>
      </w:r>
      <w:r w:rsidRPr="00E50482">
        <w:rPr>
          <w:snapToGrid w:val="0"/>
          <w:kern w:val="22"/>
          <w:lang w:val="fr-FR"/>
        </w:rPr>
        <w:t xml:space="preserve"> des Parties avaient accès à des matériaux de référence certifiés. On a pu observer des variations régionales considérables entre les Parties de différentes régions en ce qui concerne l’établissement de rapports concernant l’accès et l’utilisation de matériaux de référence certifiés (respectivement entre 39 et 95</w:t>
      </w:r>
      <w:r w:rsidR="00667501">
        <w:rPr>
          <w:snapToGrid w:val="0"/>
          <w:kern w:val="22"/>
          <w:lang w:val="fr-FR"/>
        </w:rPr>
        <w:t> %</w:t>
      </w:r>
      <w:r w:rsidRPr="00E50482">
        <w:rPr>
          <w:snapToGrid w:val="0"/>
          <w:kern w:val="22"/>
          <w:lang w:val="fr-FR"/>
        </w:rPr>
        <w:t>, et entre 48 et 100</w:t>
      </w:r>
      <w:r w:rsidR="00667501">
        <w:rPr>
          <w:snapToGrid w:val="0"/>
          <w:kern w:val="22"/>
          <w:lang w:val="fr-FR"/>
        </w:rPr>
        <w:t> %</w:t>
      </w:r>
      <w:r w:rsidRPr="00E50482">
        <w:rPr>
          <w:snapToGrid w:val="0"/>
          <w:kern w:val="22"/>
          <w:lang w:val="fr-FR"/>
        </w:rPr>
        <w:t>).</w:t>
      </w:r>
    </w:p>
    <w:p w14:paraId="65324249" w14:textId="780AD242" w:rsidR="00683C97" w:rsidRPr="00F8252B" w:rsidRDefault="00C72834" w:rsidP="009C3471">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lang w:val="fr-FR"/>
        </w:rPr>
      </w:pPr>
      <w:r w:rsidRPr="00C72834">
        <w:rPr>
          <w:snapToGrid w:val="0"/>
          <w:kern w:val="22"/>
          <w:lang w:val="fr-FR"/>
        </w:rPr>
        <w:t>Le renforcement des capacités en matière d'échantillonnage, de détection et d'identification des organismes vivants modifiés constituait un besoin croissant pour les Parties (88</w:t>
      </w:r>
      <w:r w:rsidR="00667501">
        <w:rPr>
          <w:snapToGrid w:val="0"/>
          <w:kern w:val="22"/>
          <w:lang w:val="fr-FR"/>
        </w:rPr>
        <w:t> %</w:t>
      </w:r>
      <w:r w:rsidRPr="00C72834">
        <w:rPr>
          <w:snapToGrid w:val="0"/>
          <w:kern w:val="22"/>
          <w:lang w:val="fr-FR"/>
        </w:rPr>
        <w:t>, soit une augmentation de 8</w:t>
      </w:r>
      <w:r w:rsidR="00667501">
        <w:rPr>
          <w:snapToGrid w:val="0"/>
          <w:kern w:val="22"/>
          <w:lang w:val="fr-FR"/>
        </w:rPr>
        <w:t> %</w:t>
      </w:r>
      <w:r w:rsidRPr="00C72834">
        <w:rPr>
          <w:snapToGrid w:val="0"/>
          <w:kern w:val="22"/>
          <w:lang w:val="fr-FR"/>
        </w:rPr>
        <w:t xml:space="preserve"> par rapport à la référence)</w:t>
      </w:r>
    </w:p>
    <w:p w14:paraId="5425E7F3" w14:textId="4458BA2C" w:rsidR="00683C97" w:rsidRPr="00F8252B" w:rsidRDefault="00683C97" w:rsidP="00FA2932">
      <w:pPr>
        <w:pStyle w:val="CBDH4"/>
        <w:rPr>
          <w:snapToGrid w:val="0"/>
          <w:lang w:val="fr-FR"/>
        </w:rPr>
      </w:pPr>
      <w:r w:rsidRPr="00F8252B">
        <w:rPr>
          <w:snapToGrid w:val="0"/>
          <w:lang w:val="fr-FR"/>
        </w:rPr>
        <w:t>b)</w:t>
      </w:r>
      <w:r w:rsidRPr="00F8252B">
        <w:rPr>
          <w:snapToGrid w:val="0"/>
          <w:lang w:val="fr-FR"/>
        </w:rPr>
        <w:tab/>
        <w:t>Analys</w:t>
      </w:r>
      <w:r w:rsidR="00BC74DE" w:rsidRPr="00F8252B">
        <w:rPr>
          <w:snapToGrid w:val="0"/>
          <w:lang w:val="fr-FR"/>
        </w:rPr>
        <w:t xml:space="preserve">e des </w:t>
      </w:r>
      <w:r w:rsidRPr="00F8252B">
        <w:rPr>
          <w:snapToGrid w:val="0"/>
          <w:lang w:val="fr-FR"/>
        </w:rPr>
        <w:t>information</w:t>
      </w:r>
      <w:r w:rsidR="00BC74DE" w:rsidRPr="00F8252B">
        <w:rPr>
          <w:snapToGrid w:val="0"/>
          <w:lang w:val="fr-FR"/>
        </w:rPr>
        <w:t>s</w:t>
      </w:r>
    </w:p>
    <w:p w14:paraId="762DC1A5" w14:textId="446F04E7" w:rsidR="00D134C6" w:rsidRPr="003E6CBE" w:rsidRDefault="003E6CBE" w:rsidP="00D134C6">
      <w:pPr>
        <w:pStyle w:val="CBDNormalNumber"/>
        <w:rPr>
          <w:lang w:val="fr-FR"/>
        </w:rPr>
      </w:pPr>
      <w:r w:rsidRPr="003E6CBE">
        <w:rPr>
          <w:lang w:val="fr-FR"/>
        </w:rPr>
        <w:t>Le but</w:t>
      </w:r>
      <w:r w:rsidR="001A102C">
        <w:rPr>
          <w:lang w:val="fr-FR"/>
        </w:rPr>
        <w:t> </w:t>
      </w:r>
      <w:r w:rsidRPr="003E6CBE">
        <w:rPr>
          <w:lang w:val="fr-FR"/>
        </w:rPr>
        <w:t xml:space="preserve">A.8 comprenait trois objectifs à atteindre pour réaliser ce but, ainsi que quatre indicateurs permettant de mesurer les progrès accomplis dans la réalisation de ces objectifs. </w:t>
      </w:r>
      <w:r w:rsidR="00AC754E">
        <w:rPr>
          <w:lang w:val="fr-FR"/>
        </w:rPr>
        <w:t>Pour</w:t>
      </w:r>
      <w:r w:rsidRPr="003E6CBE">
        <w:rPr>
          <w:lang w:val="fr-FR"/>
        </w:rPr>
        <w:t xml:space="preserve"> l’indicateur A.8</w:t>
      </w:r>
      <w:r w:rsidR="001A102C">
        <w:rPr>
          <w:lang w:val="fr-FR"/>
        </w:rPr>
        <w:t> </w:t>
      </w:r>
      <w:r w:rsidRPr="003E6CBE">
        <w:rPr>
          <w:lang w:val="fr-FR"/>
        </w:rPr>
        <w:t>a) (pourcentage d’organismes vivants modifiés répertoriés dans le Centre d’échange pour la prévention des risques biotechnologiques pour lesquels des méthodes de détection sont disponibles), 569</w:t>
      </w:r>
      <w:r w:rsidR="001A102C">
        <w:rPr>
          <w:lang w:val="fr-FR"/>
        </w:rPr>
        <w:t> </w:t>
      </w:r>
      <w:r w:rsidRPr="003E6CBE">
        <w:rPr>
          <w:lang w:val="fr-FR"/>
        </w:rPr>
        <w:t>dossiers d’organismes vivants modifiés comportent des informations associées dans le champ «méthodes de détection» du format commun, sur un total de 1</w:t>
      </w:r>
      <w:r w:rsidR="001A102C">
        <w:rPr>
          <w:lang w:val="fr-FR"/>
        </w:rPr>
        <w:t> </w:t>
      </w:r>
      <w:r w:rsidRPr="003E6CBE">
        <w:rPr>
          <w:lang w:val="fr-FR"/>
        </w:rPr>
        <w:t>018</w:t>
      </w:r>
      <w:r w:rsidR="001A102C">
        <w:rPr>
          <w:lang w:val="fr-FR"/>
        </w:rPr>
        <w:t> </w:t>
      </w:r>
      <w:r w:rsidRPr="003E6CBE">
        <w:rPr>
          <w:lang w:val="fr-FR"/>
        </w:rPr>
        <w:t>dossiers d’organismes vivants modifiés publiés dans le Centre d’échange pour la prévention des risques biotechnologiques (soit 56</w:t>
      </w:r>
      <w:r w:rsidR="00667501">
        <w:rPr>
          <w:lang w:val="fr-FR"/>
        </w:rPr>
        <w:t> %</w:t>
      </w:r>
      <w:r w:rsidRPr="003E6CBE">
        <w:rPr>
          <w:lang w:val="fr-FR"/>
        </w:rPr>
        <w:t xml:space="preserve"> des dossiers d’organismes vivants modifiés). Aucune information de référence n’a pu être établie, car le champ des méthodes de détection utilisait la récupération dynamique d’informations</w:t>
      </w:r>
      <w:r w:rsidR="00D134C6" w:rsidRPr="00F8252B">
        <w:rPr>
          <w:rStyle w:val="Appelnotedebasdep"/>
          <w:snapToGrid w:val="0"/>
          <w:kern w:val="22"/>
          <w:lang w:val="fr-FR"/>
        </w:rPr>
        <w:footnoteReference w:id="41"/>
      </w:r>
      <w:r w:rsidR="00D134C6" w:rsidRPr="003E6CBE">
        <w:rPr>
          <w:snapToGrid w:val="0"/>
          <w:lang w:val="fr-FR"/>
        </w:rPr>
        <w:t xml:space="preserve"> </w:t>
      </w:r>
      <w:r w:rsidRPr="003E6CBE">
        <w:rPr>
          <w:snapToGrid w:val="0"/>
          <w:lang w:val="fr-FR"/>
        </w:rPr>
        <w:t xml:space="preserve">pour remplir le champ à l’aide de liens automatisés vers la base de données GMOMETHODS du Laboratoire de référence de l’Union européenne pour les denrées alimentaires et les aliments pour animaux génétiquement modifiés et vers la base de données des méthodes de détection </w:t>
      </w:r>
      <w:r w:rsidR="001A102C">
        <w:rPr>
          <w:snapToGrid w:val="0"/>
          <w:lang w:val="fr-FR"/>
        </w:rPr>
        <w:t xml:space="preserve">fournie par </w:t>
      </w:r>
      <w:r w:rsidRPr="003E6CBE">
        <w:rPr>
          <w:snapToGrid w:val="0"/>
          <w:lang w:val="fr-FR"/>
        </w:rPr>
        <w:t>CropLife International</w:t>
      </w:r>
      <w:r>
        <w:rPr>
          <w:snapToGrid w:val="0"/>
          <w:lang w:val="fr-FR"/>
        </w:rPr>
        <w:t>.</w:t>
      </w:r>
    </w:p>
    <w:p w14:paraId="546ADEB6" w14:textId="3444623F" w:rsidR="00D134C6" w:rsidRPr="00F8252B" w:rsidRDefault="00AC754E" w:rsidP="00D134C6">
      <w:pPr>
        <w:pStyle w:val="CBDNormalNumber"/>
        <w:rPr>
          <w:lang w:val="fr-FR"/>
        </w:rPr>
      </w:pPr>
      <w:r>
        <w:rPr>
          <w:snapToGrid w:val="0"/>
          <w:kern w:val="22"/>
          <w:lang w:val="fr-FR"/>
        </w:rPr>
        <w:lastRenderedPageBreak/>
        <w:t>Pour</w:t>
      </w:r>
      <w:r w:rsidR="00442C3C" w:rsidRPr="00442C3C">
        <w:rPr>
          <w:snapToGrid w:val="0"/>
          <w:kern w:val="22"/>
          <w:lang w:val="fr-FR"/>
        </w:rPr>
        <w:t xml:space="preserve"> l’indicateur A.8</w:t>
      </w:r>
      <w:r w:rsidR="00442C3C">
        <w:rPr>
          <w:snapToGrid w:val="0"/>
          <w:kern w:val="22"/>
          <w:lang w:val="fr-FR"/>
        </w:rPr>
        <w:t> </w:t>
      </w:r>
      <w:r w:rsidR="00442C3C" w:rsidRPr="00442C3C">
        <w:rPr>
          <w:snapToGrid w:val="0"/>
          <w:kern w:val="22"/>
          <w:lang w:val="fr-FR"/>
        </w:rPr>
        <w:t>b) (pourcentage des Parties ayant accès à des ressources documentaires et à des méthodes de détection permettant de détecter et d’identifier les organismes vivants modifiés et qui les utilisent), les informations fournies en réponse aux questions 90</w:t>
      </w:r>
      <w:r w:rsidR="00D42566">
        <w:rPr>
          <w:snapToGrid w:val="0"/>
          <w:kern w:val="22"/>
          <w:lang w:val="fr-FR"/>
        </w:rPr>
        <w:t> </w:t>
      </w:r>
      <w:r w:rsidR="00442C3C" w:rsidRPr="00442C3C">
        <w:rPr>
          <w:snapToGrid w:val="0"/>
          <w:kern w:val="22"/>
          <w:lang w:val="fr-FR"/>
        </w:rPr>
        <w:t>a) et 90</w:t>
      </w:r>
      <w:r w:rsidR="00D42566">
        <w:rPr>
          <w:snapToGrid w:val="0"/>
          <w:kern w:val="22"/>
          <w:lang w:val="fr-FR"/>
        </w:rPr>
        <w:t> </w:t>
      </w:r>
      <w:r w:rsidR="00442C3C" w:rsidRPr="00442C3C">
        <w:rPr>
          <w:snapToGrid w:val="0"/>
          <w:kern w:val="22"/>
          <w:lang w:val="fr-FR"/>
        </w:rPr>
        <w:t xml:space="preserve">b) des cinquièmes rapports nationaux ont été utilisées pour mesurer les progrès accomplis. Aucune donnée de référence n'était disponible, ces questions n'ayant pas été incluses dans le quatrième rapport national. </w:t>
      </w:r>
      <w:r w:rsidR="006C10B5" w:rsidRPr="00442C3C">
        <w:rPr>
          <w:snapToGrid w:val="0"/>
          <w:kern w:val="22"/>
          <w:lang w:val="fr-FR"/>
        </w:rPr>
        <w:t>Quatre-vingts</w:t>
      </w:r>
      <w:r w:rsidR="00442C3C" w:rsidRPr="00442C3C">
        <w:rPr>
          <w:snapToGrid w:val="0"/>
          <w:kern w:val="22"/>
          <w:lang w:val="fr-FR"/>
        </w:rPr>
        <w:t xml:space="preserve"> pour cent des Parties ont indiqué avoir eu accès à des ressources documentaires et à des méthodes de détection permettant de détecter et d'identifier les organismes vivants modifiés, et 75</w:t>
      </w:r>
      <w:r w:rsidR="00667501">
        <w:rPr>
          <w:snapToGrid w:val="0"/>
          <w:kern w:val="22"/>
          <w:lang w:val="fr-FR"/>
        </w:rPr>
        <w:t> %</w:t>
      </w:r>
      <w:r w:rsidR="00442C3C" w:rsidRPr="00442C3C">
        <w:rPr>
          <w:snapToGrid w:val="0"/>
          <w:kern w:val="22"/>
          <w:lang w:val="fr-FR"/>
        </w:rPr>
        <w:t xml:space="preserve"> des Parties ont indiqué avoir utilisé ces ressources documentaires et méthodes de détection </w:t>
      </w:r>
      <w:r w:rsidR="00017DAE">
        <w:rPr>
          <w:snapToGrid w:val="0"/>
          <w:kern w:val="22"/>
          <w:lang w:val="fr-FR"/>
        </w:rPr>
        <w:t>aux fins de la</w:t>
      </w:r>
      <w:r w:rsidR="00442C3C" w:rsidRPr="00442C3C">
        <w:rPr>
          <w:snapToGrid w:val="0"/>
          <w:kern w:val="22"/>
          <w:lang w:val="fr-FR"/>
        </w:rPr>
        <w:t xml:space="preserve"> détect</w:t>
      </w:r>
      <w:r w:rsidR="00017DAE">
        <w:rPr>
          <w:snapToGrid w:val="0"/>
          <w:kern w:val="22"/>
          <w:lang w:val="fr-FR"/>
        </w:rPr>
        <w:t>ion et de l’identification d</w:t>
      </w:r>
      <w:r w:rsidR="00442C3C" w:rsidRPr="00442C3C">
        <w:rPr>
          <w:snapToGrid w:val="0"/>
          <w:kern w:val="22"/>
          <w:lang w:val="fr-FR"/>
        </w:rPr>
        <w:t>es organismes vivants modifiés.</w:t>
      </w:r>
    </w:p>
    <w:p w14:paraId="22EECB0E" w14:textId="094E5C9F" w:rsidR="00D134C6" w:rsidRPr="00F8252B" w:rsidRDefault="00AC754E" w:rsidP="00D134C6">
      <w:pPr>
        <w:pStyle w:val="CBDNormalNumber"/>
        <w:rPr>
          <w:lang w:val="fr-FR"/>
        </w:rPr>
      </w:pPr>
      <w:r>
        <w:rPr>
          <w:snapToGrid w:val="0"/>
          <w:kern w:val="22"/>
          <w:lang w:val="fr-FR"/>
        </w:rPr>
        <w:t>Pour</w:t>
      </w:r>
      <w:r w:rsidR="00D40BD1" w:rsidRPr="00D40BD1">
        <w:rPr>
          <w:snapToGrid w:val="0"/>
          <w:kern w:val="22"/>
          <w:lang w:val="fr-FR"/>
        </w:rPr>
        <w:t xml:space="preserve"> l’indicateur A.8</w:t>
      </w:r>
      <w:r w:rsidR="00D40BD1">
        <w:rPr>
          <w:snapToGrid w:val="0"/>
          <w:kern w:val="22"/>
          <w:lang w:val="fr-FR"/>
        </w:rPr>
        <w:t> </w:t>
      </w:r>
      <w:r w:rsidR="00D40BD1" w:rsidRPr="00D40BD1">
        <w:rPr>
          <w:snapToGrid w:val="0"/>
          <w:kern w:val="22"/>
          <w:lang w:val="fr-FR"/>
        </w:rPr>
        <w:t>c) (pourcentage des Parties ayant accès aux ressources de référence certifiées nécessaires à la détection et à l’identification des organismes vivants modifiés et qui les utilisent), les informations fournies en réponse aux questions 92</w:t>
      </w:r>
      <w:r w:rsidR="00D40BD1">
        <w:rPr>
          <w:snapToGrid w:val="0"/>
          <w:kern w:val="22"/>
          <w:lang w:val="fr-FR"/>
        </w:rPr>
        <w:t> </w:t>
      </w:r>
      <w:r w:rsidR="00D40BD1" w:rsidRPr="00D40BD1">
        <w:rPr>
          <w:snapToGrid w:val="0"/>
          <w:kern w:val="22"/>
          <w:lang w:val="fr-FR"/>
        </w:rPr>
        <w:t>a) et 92</w:t>
      </w:r>
      <w:r w:rsidR="00D40BD1">
        <w:rPr>
          <w:snapToGrid w:val="0"/>
          <w:kern w:val="22"/>
          <w:lang w:val="fr-FR"/>
        </w:rPr>
        <w:t> </w:t>
      </w:r>
      <w:r w:rsidR="00D40BD1" w:rsidRPr="00D40BD1">
        <w:rPr>
          <w:snapToGrid w:val="0"/>
          <w:kern w:val="22"/>
          <w:lang w:val="fr-FR"/>
        </w:rPr>
        <w:t>b) du cinquième rapport national ont été utilisées pour mesurer les progrès accomplis. Aucune donnée de référence n’était disponible, ces questions n’ayant pas été incluses dans le quatrième rapport national. Soixante-sept pour cent des Parties ont indiqué avoir eu accès aux matériaux de référence certifiés nécessaires pour détecter et identifier les organismes vivants modifiés, tandis que 65</w:t>
      </w:r>
      <w:r w:rsidR="00667501">
        <w:rPr>
          <w:snapToGrid w:val="0"/>
          <w:kern w:val="22"/>
          <w:lang w:val="fr-FR"/>
        </w:rPr>
        <w:t> %</w:t>
      </w:r>
      <w:r w:rsidR="00D40BD1" w:rsidRPr="00D40BD1">
        <w:rPr>
          <w:snapToGrid w:val="0"/>
          <w:kern w:val="22"/>
          <w:lang w:val="fr-FR"/>
        </w:rPr>
        <w:t xml:space="preserve"> ont indiqué avoir utilisé ces matériaux de référence certifiés. Des variations considérables ont été observées dans la proportion de Parties des différentes régions ayant déclaré avoir eu accès à des matériaux de référence certifiés</w:t>
      </w:r>
      <w:r w:rsidR="00CA1B90">
        <w:rPr>
          <w:snapToGrid w:val="0"/>
          <w:kern w:val="22"/>
          <w:lang w:val="fr-FR"/>
        </w:rPr>
        <w:t> :</w:t>
      </w:r>
      <w:r w:rsidR="00D40BD1" w:rsidRPr="00D40BD1">
        <w:rPr>
          <w:snapToGrid w:val="0"/>
          <w:kern w:val="22"/>
          <w:lang w:val="fr-FR"/>
        </w:rPr>
        <w:t xml:space="preserve"> 48</w:t>
      </w:r>
      <w:r w:rsidR="00667501">
        <w:rPr>
          <w:snapToGrid w:val="0"/>
          <w:kern w:val="22"/>
          <w:lang w:val="fr-FR"/>
        </w:rPr>
        <w:t> %</w:t>
      </w:r>
      <w:r w:rsidR="00D40BD1" w:rsidRPr="00D40BD1">
        <w:rPr>
          <w:snapToGrid w:val="0"/>
          <w:kern w:val="22"/>
          <w:lang w:val="fr-FR"/>
        </w:rPr>
        <w:t xml:space="preserve"> des Parties de la région Amérique latine et Caraïbes</w:t>
      </w:r>
      <w:r w:rsidR="00D560E8">
        <w:rPr>
          <w:snapToGrid w:val="0"/>
          <w:kern w:val="22"/>
          <w:lang w:val="fr-FR"/>
        </w:rPr>
        <w:t> ;</w:t>
      </w:r>
      <w:r w:rsidR="00D40BD1" w:rsidRPr="00D40BD1">
        <w:rPr>
          <w:snapToGrid w:val="0"/>
          <w:kern w:val="22"/>
          <w:lang w:val="fr-FR"/>
        </w:rPr>
        <w:t xml:space="preserve"> 59</w:t>
      </w:r>
      <w:r w:rsidR="00667501">
        <w:rPr>
          <w:snapToGrid w:val="0"/>
          <w:kern w:val="22"/>
          <w:lang w:val="fr-FR"/>
        </w:rPr>
        <w:t> %</w:t>
      </w:r>
      <w:r w:rsidR="00D40BD1" w:rsidRPr="00D40BD1">
        <w:rPr>
          <w:snapToGrid w:val="0"/>
          <w:kern w:val="22"/>
          <w:lang w:val="fr-FR"/>
        </w:rPr>
        <w:t xml:space="preserve"> des Parties de la région Afrique</w:t>
      </w:r>
      <w:r w:rsidR="00D560E8">
        <w:rPr>
          <w:snapToGrid w:val="0"/>
          <w:kern w:val="22"/>
          <w:lang w:val="fr-FR"/>
        </w:rPr>
        <w:t> ;</w:t>
      </w:r>
      <w:r w:rsidR="00D40BD1" w:rsidRPr="00D40BD1">
        <w:rPr>
          <w:snapToGrid w:val="0"/>
          <w:kern w:val="22"/>
          <w:lang w:val="fr-FR"/>
        </w:rPr>
        <w:t xml:space="preserve"> 62</w:t>
      </w:r>
      <w:r w:rsidR="00667501">
        <w:rPr>
          <w:snapToGrid w:val="0"/>
          <w:kern w:val="22"/>
          <w:lang w:val="fr-FR"/>
        </w:rPr>
        <w:t> %</w:t>
      </w:r>
      <w:r w:rsidR="00D40BD1" w:rsidRPr="00D40BD1">
        <w:rPr>
          <w:snapToGrid w:val="0"/>
          <w:kern w:val="22"/>
          <w:lang w:val="fr-FR"/>
        </w:rPr>
        <w:t xml:space="preserve"> des Parties de la région Asie-Pacifique</w:t>
      </w:r>
      <w:r w:rsidR="00D560E8">
        <w:rPr>
          <w:snapToGrid w:val="0"/>
          <w:kern w:val="22"/>
          <w:lang w:val="fr-FR"/>
        </w:rPr>
        <w:t> ;</w:t>
      </w:r>
      <w:r w:rsidR="00D40BD1" w:rsidRPr="00D40BD1">
        <w:rPr>
          <w:snapToGrid w:val="0"/>
          <w:kern w:val="22"/>
          <w:lang w:val="fr-FR"/>
        </w:rPr>
        <w:t xml:space="preserve"> 84</w:t>
      </w:r>
      <w:r w:rsidR="00667501">
        <w:rPr>
          <w:snapToGrid w:val="0"/>
          <w:kern w:val="22"/>
          <w:lang w:val="fr-FR"/>
        </w:rPr>
        <w:t> %</w:t>
      </w:r>
      <w:r w:rsidR="00D40BD1" w:rsidRPr="00D40BD1">
        <w:rPr>
          <w:snapToGrid w:val="0"/>
          <w:kern w:val="22"/>
          <w:lang w:val="fr-FR"/>
        </w:rPr>
        <w:t xml:space="preserve"> des Parties de la région Europe de l’Est</w:t>
      </w:r>
      <w:r w:rsidR="00D560E8">
        <w:rPr>
          <w:snapToGrid w:val="0"/>
          <w:kern w:val="22"/>
          <w:lang w:val="fr-FR"/>
        </w:rPr>
        <w:t> ;</w:t>
      </w:r>
      <w:r w:rsidR="00D40BD1" w:rsidRPr="00D40BD1">
        <w:rPr>
          <w:snapToGrid w:val="0"/>
          <w:kern w:val="22"/>
          <w:lang w:val="fr-FR"/>
        </w:rPr>
        <w:t xml:space="preserve"> et 100</w:t>
      </w:r>
      <w:r w:rsidR="00667501">
        <w:rPr>
          <w:snapToGrid w:val="0"/>
          <w:kern w:val="22"/>
          <w:lang w:val="fr-FR"/>
        </w:rPr>
        <w:t> %</w:t>
      </w:r>
      <w:r w:rsidR="00D40BD1" w:rsidRPr="00D40BD1">
        <w:rPr>
          <w:snapToGrid w:val="0"/>
          <w:kern w:val="22"/>
          <w:lang w:val="fr-FR"/>
        </w:rPr>
        <w:t xml:space="preserve"> des Parties de la région Europe occidentale et autres États. Des écarts similaires ont été observés dans la proportion de Parties ayant déclaré avoir utilisé des </w:t>
      </w:r>
      <w:r w:rsidR="002C3859">
        <w:rPr>
          <w:snapToGrid w:val="0"/>
          <w:kern w:val="22"/>
          <w:lang w:val="fr-FR"/>
        </w:rPr>
        <w:t xml:space="preserve">documents </w:t>
      </w:r>
      <w:r w:rsidR="00D40BD1" w:rsidRPr="00D40BD1">
        <w:rPr>
          <w:snapToGrid w:val="0"/>
          <w:kern w:val="22"/>
          <w:lang w:val="fr-FR"/>
        </w:rPr>
        <w:t>de référence certifiés</w:t>
      </w:r>
      <w:r w:rsidR="00CA1B90">
        <w:rPr>
          <w:snapToGrid w:val="0"/>
          <w:kern w:val="22"/>
          <w:lang w:val="fr-FR"/>
        </w:rPr>
        <w:t> :</w:t>
      </w:r>
      <w:r w:rsidR="00D40BD1" w:rsidRPr="00D40BD1">
        <w:rPr>
          <w:snapToGrid w:val="0"/>
          <w:kern w:val="22"/>
          <w:lang w:val="fr-FR"/>
        </w:rPr>
        <w:t xml:space="preserve"> 39</w:t>
      </w:r>
      <w:r w:rsidR="00667501">
        <w:rPr>
          <w:snapToGrid w:val="0"/>
          <w:kern w:val="22"/>
          <w:lang w:val="fr-FR"/>
        </w:rPr>
        <w:t> %</w:t>
      </w:r>
      <w:r w:rsidR="00D40BD1" w:rsidRPr="00D40BD1">
        <w:rPr>
          <w:snapToGrid w:val="0"/>
          <w:kern w:val="22"/>
          <w:lang w:val="fr-FR"/>
        </w:rPr>
        <w:t xml:space="preserve"> des Parties dans la région Amérique latine et Caraïbes</w:t>
      </w:r>
      <w:r w:rsidR="00D560E8">
        <w:rPr>
          <w:snapToGrid w:val="0"/>
          <w:kern w:val="22"/>
          <w:lang w:val="fr-FR"/>
        </w:rPr>
        <w:t> ;</w:t>
      </w:r>
      <w:r w:rsidR="00D40BD1" w:rsidRPr="00D40BD1">
        <w:rPr>
          <w:snapToGrid w:val="0"/>
          <w:kern w:val="22"/>
          <w:lang w:val="fr-FR"/>
        </w:rPr>
        <w:t xml:space="preserve"> 51</w:t>
      </w:r>
      <w:r w:rsidR="00667501">
        <w:rPr>
          <w:snapToGrid w:val="0"/>
          <w:kern w:val="22"/>
          <w:lang w:val="fr-FR"/>
        </w:rPr>
        <w:t> %</w:t>
      </w:r>
      <w:r w:rsidR="00D40BD1" w:rsidRPr="00D40BD1">
        <w:rPr>
          <w:snapToGrid w:val="0"/>
          <w:kern w:val="22"/>
          <w:lang w:val="fr-FR"/>
        </w:rPr>
        <w:t xml:space="preserve"> des Parties dans la région Afrique</w:t>
      </w:r>
      <w:r w:rsidR="00D560E8">
        <w:rPr>
          <w:snapToGrid w:val="0"/>
          <w:kern w:val="22"/>
          <w:lang w:val="fr-FR"/>
        </w:rPr>
        <w:t> ;</w:t>
      </w:r>
      <w:r w:rsidR="00D40BD1" w:rsidRPr="00D40BD1">
        <w:rPr>
          <w:snapToGrid w:val="0"/>
          <w:kern w:val="22"/>
          <w:lang w:val="fr-FR"/>
        </w:rPr>
        <w:t xml:space="preserve"> 73</w:t>
      </w:r>
      <w:r w:rsidR="00667501">
        <w:rPr>
          <w:snapToGrid w:val="0"/>
          <w:kern w:val="22"/>
          <w:lang w:val="fr-FR"/>
        </w:rPr>
        <w:t> %</w:t>
      </w:r>
      <w:r w:rsidR="00D40BD1" w:rsidRPr="00D40BD1">
        <w:rPr>
          <w:snapToGrid w:val="0"/>
          <w:kern w:val="22"/>
          <w:lang w:val="fr-FR"/>
        </w:rPr>
        <w:t xml:space="preserve"> des Parties dans la région Asie-Pacifique</w:t>
      </w:r>
      <w:r w:rsidR="00D560E8">
        <w:rPr>
          <w:snapToGrid w:val="0"/>
          <w:kern w:val="22"/>
          <w:lang w:val="fr-FR"/>
        </w:rPr>
        <w:t> ;</w:t>
      </w:r>
      <w:r w:rsidR="00D40BD1" w:rsidRPr="00D40BD1">
        <w:rPr>
          <w:snapToGrid w:val="0"/>
          <w:kern w:val="22"/>
          <w:lang w:val="fr-FR"/>
        </w:rPr>
        <w:t xml:space="preserve"> 84</w:t>
      </w:r>
      <w:r w:rsidR="00667501">
        <w:rPr>
          <w:snapToGrid w:val="0"/>
          <w:kern w:val="22"/>
          <w:lang w:val="fr-FR"/>
        </w:rPr>
        <w:t> %</w:t>
      </w:r>
      <w:r w:rsidR="00D40BD1" w:rsidRPr="00D40BD1">
        <w:rPr>
          <w:snapToGrid w:val="0"/>
          <w:kern w:val="22"/>
          <w:lang w:val="fr-FR"/>
        </w:rPr>
        <w:t xml:space="preserve"> dans la région Europe de l’Est</w:t>
      </w:r>
      <w:r w:rsidR="00D560E8">
        <w:rPr>
          <w:snapToGrid w:val="0"/>
          <w:kern w:val="22"/>
          <w:lang w:val="fr-FR"/>
        </w:rPr>
        <w:t> ;</w:t>
      </w:r>
      <w:r w:rsidR="00D40BD1" w:rsidRPr="00D40BD1">
        <w:rPr>
          <w:snapToGrid w:val="0"/>
          <w:kern w:val="22"/>
          <w:lang w:val="fr-FR"/>
        </w:rPr>
        <w:t xml:space="preserve"> et 95</w:t>
      </w:r>
      <w:r w:rsidR="00667501">
        <w:rPr>
          <w:snapToGrid w:val="0"/>
          <w:kern w:val="22"/>
          <w:lang w:val="fr-FR"/>
        </w:rPr>
        <w:t> %</w:t>
      </w:r>
      <w:r w:rsidR="00D40BD1" w:rsidRPr="00D40BD1">
        <w:rPr>
          <w:snapToGrid w:val="0"/>
          <w:kern w:val="22"/>
          <w:lang w:val="fr-FR"/>
        </w:rPr>
        <w:t xml:space="preserve"> des Parties dans la région Europe occidentale et autres États.</w:t>
      </w:r>
    </w:p>
    <w:p w14:paraId="3DF090E2" w14:textId="72860D1E" w:rsidR="00D134C6" w:rsidRPr="00F8252B" w:rsidRDefault="00D134C6" w:rsidP="00D134C6">
      <w:pPr>
        <w:pStyle w:val="CBDNormalNumber"/>
        <w:rPr>
          <w:lang w:val="fr-FR"/>
        </w:rPr>
      </w:pPr>
      <w:r w:rsidRPr="00F8252B">
        <w:rPr>
          <w:snapToGrid w:val="0"/>
          <w:lang w:val="fr-FR"/>
        </w:rPr>
        <w:t xml:space="preserve"> </w:t>
      </w:r>
      <w:r w:rsidR="00AC754E">
        <w:rPr>
          <w:snapToGrid w:val="0"/>
          <w:lang w:val="fr-FR"/>
        </w:rPr>
        <w:t>Pour</w:t>
      </w:r>
      <w:r w:rsidR="00EA5D37" w:rsidRPr="00EA5D37">
        <w:rPr>
          <w:snapToGrid w:val="0"/>
          <w:lang w:val="fr-FR"/>
        </w:rPr>
        <w:t xml:space="preserve"> l’indicateur A.8</w:t>
      </w:r>
      <w:r w:rsidR="00EA5D37">
        <w:rPr>
          <w:snapToGrid w:val="0"/>
          <w:lang w:val="fr-FR"/>
        </w:rPr>
        <w:t> </w:t>
      </w:r>
      <w:r w:rsidR="00EA5D37" w:rsidRPr="00EA5D37">
        <w:rPr>
          <w:snapToGrid w:val="0"/>
          <w:lang w:val="fr-FR"/>
        </w:rPr>
        <w:t xml:space="preserve">d) (pourcentage des Parties ayant accès aux infrastructures techniques nécessaires pour </w:t>
      </w:r>
      <w:r w:rsidR="00EA5D37">
        <w:rPr>
          <w:snapToGrid w:val="0"/>
          <w:lang w:val="fr-FR"/>
        </w:rPr>
        <w:t xml:space="preserve">la </w:t>
      </w:r>
      <w:r w:rsidR="00EA5D37" w:rsidRPr="00EA5D37">
        <w:rPr>
          <w:snapToGrid w:val="0"/>
          <w:lang w:val="fr-FR"/>
        </w:rPr>
        <w:t>détect</w:t>
      </w:r>
      <w:r w:rsidR="00EA5D37">
        <w:rPr>
          <w:snapToGrid w:val="0"/>
          <w:lang w:val="fr-FR"/>
        </w:rPr>
        <w:t>ion</w:t>
      </w:r>
      <w:r w:rsidR="00EA5D37" w:rsidRPr="00EA5D37">
        <w:rPr>
          <w:snapToGrid w:val="0"/>
          <w:lang w:val="fr-FR"/>
        </w:rPr>
        <w:t xml:space="preserve"> et </w:t>
      </w:r>
      <w:r w:rsidR="00EA5D37">
        <w:rPr>
          <w:snapToGrid w:val="0"/>
          <w:lang w:val="fr-FR"/>
        </w:rPr>
        <w:t>l’</w:t>
      </w:r>
      <w:r w:rsidR="00EA5D37" w:rsidRPr="00EA5D37">
        <w:rPr>
          <w:snapToGrid w:val="0"/>
          <w:lang w:val="fr-FR"/>
        </w:rPr>
        <w:t>identifi</w:t>
      </w:r>
      <w:r w:rsidR="00EA5D37">
        <w:rPr>
          <w:snapToGrid w:val="0"/>
          <w:lang w:val="fr-FR"/>
        </w:rPr>
        <w:t>cation d</w:t>
      </w:r>
      <w:r w:rsidR="00EA5D37" w:rsidRPr="00EA5D37">
        <w:rPr>
          <w:snapToGrid w:val="0"/>
          <w:lang w:val="fr-FR"/>
        </w:rPr>
        <w:t>es organismes vivants modifiés), les informations fournies en réponse aux questions 94</w:t>
      </w:r>
      <w:r w:rsidR="00EA5D37">
        <w:rPr>
          <w:snapToGrid w:val="0"/>
          <w:lang w:val="fr-FR"/>
        </w:rPr>
        <w:t> </w:t>
      </w:r>
      <w:r w:rsidR="00EA5D37" w:rsidRPr="00EA5D37">
        <w:rPr>
          <w:snapToGrid w:val="0"/>
          <w:lang w:val="fr-FR"/>
        </w:rPr>
        <w:t>a) et 94</w:t>
      </w:r>
      <w:r w:rsidR="00EA5D37">
        <w:rPr>
          <w:snapToGrid w:val="0"/>
          <w:lang w:val="fr-FR"/>
        </w:rPr>
        <w:t> </w:t>
      </w:r>
      <w:r w:rsidR="00EA5D37" w:rsidRPr="00EA5D37">
        <w:rPr>
          <w:snapToGrid w:val="0"/>
          <w:lang w:val="fr-FR"/>
        </w:rPr>
        <w:t>b) du cinquième rapport national ont été utilisées pour mesurer les progrès accomplis. Quatre-vingt-six pour cent des Parties ont indiqué qu’elles disposaient d’un accès fiable à des infrastructures techniques, telles que des laboratoires, pour la détection d’organismes vivants modifiés (soit une augmentation de 7</w:t>
      </w:r>
      <w:r w:rsidR="00667501">
        <w:rPr>
          <w:snapToGrid w:val="0"/>
          <w:lang w:val="fr-FR"/>
        </w:rPr>
        <w:t> %</w:t>
      </w:r>
      <w:r w:rsidR="00EA5D37" w:rsidRPr="00EA5D37">
        <w:rPr>
          <w:snapToGrid w:val="0"/>
          <w:lang w:val="fr-FR"/>
        </w:rPr>
        <w:t xml:space="preserve"> par rapport à la référence), tandis que 75</w:t>
      </w:r>
      <w:r w:rsidR="00667501">
        <w:rPr>
          <w:snapToGrid w:val="0"/>
          <w:lang w:val="fr-FR"/>
        </w:rPr>
        <w:t> %</w:t>
      </w:r>
      <w:r w:rsidR="00EA5D37" w:rsidRPr="00EA5D37">
        <w:rPr>
          <w:snapToGrid w:val="0"/>
          <w:lang w:val="fr-FR"/>
        </w:rPr>
        <w:t xml:space="preserve"> des Parties ont indiqué qu’elles disposaient d’un accès fiable à des infrastructures techniques, telles que des laboratoires, pour l’identification d’organismes vivants modifiés. En ce qui concerne les infrastructures techniques pour l’identification d’organismes vivants modifiés, aucune </w:t>
      </w:r>
      <w:r w:rsidR="002C4D83">
        <w:rPr>
          <w:snapToGrid w:val="0"/>
          <w:lang w:val="fr-FR"/>
        </w:rPr>
        <w:t>donnée</w:t>
      </w:r>
      <w:r w:rsidR="00EA5D37" w:rsidRPr="00EA5D37">
        <w:rPr>
          <w:snapToGrid w:val="0"/>
          <w:lang w:val="fr-FR"/>
        </w:rPr>
        <w:t xml:space="preserve"> </w:t>
      </w:r>
      <w:r w:rsidR="00F471F2">
        <w:rPr>
          <w:snapToGrid w:val="0"/>
          <w:lang w:val="fr-FR"/>
        </w:rPr>
        <w:t xml:space="preserve">de référence </w:t>
      </w:r>
      <w:r w:rsidR="00EA5D37" w:rsidRPr="00EA5D37">
        <w:rPr>
          <w:snapToGrid w:val="0"/>
          <w:lang w:val="fr-FR"/>
        </w:rPr>
        <w:t>n’était disponible.</w:t>
      </w:r>
    </w:p>
    <w:p w14:paraId="50F2FBCD" w14:textId="5F891A80" w:rsidR="00D134C6" w:rsidRPr="00F8252B" w:rsidRDefault="009D0C18" w:rsidP="00D134C6">
      <w:pPr>
        <w:pStyle w:val="CBDNormalNumber"/>
        <w:rPr>
          <w:lang w:val="fr-FR"/>
        </w:rPr>
      </w:pPr>
      <w:r w:rsidRPr="009D0C18">
        <w:rPr>
          <w:lang w:val="fr-FR"/>
        </w:rPr>
        <w:t>Cet indicateur pourrait être complété par les informations fournies en réponse à la question 91</w:t>
      </w:r>
      <w:r w:rsidR="003909BF">
        <w:rPr>
          <w:lang w:val="fr-FR"/>
        </w:rPr>
        <w:t> </w:t>
      </w:r>
      <w:r w:rsidRPr="009D0C18">
        <w:rPr>
          <w:lang w:val="fr-FR"/>
        </w:rPr>
        <w:t>a) du cinquième rapport national concernant l’accès aux outils de détection et d’identification des organismes vivants modifiés. Soixante-quatorze pour cent des Parties ont déclaré avoir accès à des outils de détection et d’identification des organismes vivants modifiés</w:t>
      </w:r>
      <w:r w:rsidR="00D560E8">
        <w:rPr>
          <w:lang w:val="fr-FR"/>
        </w:rPr>
        <w:t> ;</w:t>
      </w:r>
      <w:r w:rsidRPr="009D0C18">
        <w:rPr>
          <w:lang w:val="fr-FR"/>
        </w:rPr>
        <w:t xml:space="preserve"> la répartition par région de la proportion des Parties ayant accès à ces outils était la suivante</w:t>
      </w:r>
      <w:r w:rsidR="00CA1B90">
        <w:rPr>
          <w:lang w:val="fr-FR"/>
        </w:rPr>
        <w:t> :</w:t>
      </w:r>
      <w:r w:rsidRPr="009D0C18">
        <w:rPr>
          <w:lang w:val="fr-FR"/>
        </w:rPr>
        <w:t xml:space="preserve"> 57</w:t>
      </w:r>
      <w:r w:rsidR="00667501">
        <w:rPr>
          <w:lang w:val="fr-FR"/>
        </w:rPr>
        <w:t> %</w:t>
      </w:r>
      <w:r w:rsidRPr="009D0C18">
        <w:rPr>
          <w:lang w:val="fr-FR"/>
        </w:rPr>
        <w:t xml:space="preserve"> des Parties de la région Amérique latine et Caraïbes</w:t>
      </w:r>
      <w:r w:rsidR="00D560E8">
        <w:rPr>
          <w:lang w:val="fr-FR"/>
        </w:rPr>
        <w:t> ;</w:t>
      </w:r>
      <w:r w:rsidRPr="009D0C18">
        <w:rPr>
          <w:lang w:val="fr-FR"/>
        </w:rPr>
        <w:t xml:space="preserve"> 66</w:t>
      </w:r>
      <w:r w:rsidR="00667501">
        <w:rPr>
          <w:lang w:val="fr-FR"/>
        </w:rPr>
        <w:t> %</w:t>
      </w:r>
      <w:r w:rsidRPr="009D0C18">
        <w:rPr>
          <w:lang w:val="fr-FR"/>
        </w:rPr>
        <w:t xml:space="preserve"> des Parties de la région Afrique</w:t>
      </w:r>
      <w:r w:rsidR="00D560E8">
        <w:rPr>
          <w:lang w:val="fr-FR"/>
        </w:rPr>
        <w:t> ;</w:t>
      </w:r>
      <w:r w:rsidRPr="009D0C18">
        <w:rPr>
          <w:lang w:val="fr-FR"/>
        </w:rPr>
        <w:t xml:space="preserve"> 69</w:t>
      </w:r>
      <w:r w:rsidR="00667501">
        <w:rPr>
          <w:lang w:val="fr-FR"/>
        </w:rPr>
        <w:t> %</w:t>
      </w:r>
      <w:r w:rsidRPr="009D0C18">
        <w:rPr>
          <w:lang w:val="fr-FR"/>
        </w:rPr>
        <w:t xml:space="preserve"> des Parties de la région Asie-Pacifique</w:t>
      </w:r>
      <w:r w:rsidR="00D560E8">
        <w:rPr>
          <w:lang w:val="fr-FR"/>
        </w:rPr>
        <w:t> ;</w:t>
      </w:r>
      <w:r w:rsidRPr="009D0C18">
        <w:rPr>
          <w:lang w:val="fr-FR"/>
        </w:rPr>
        <w:t xml:space="preserve"> 95</w:t>
      </w:r>
      <w:r w:rsidR="00667501">
        <w:rPr>
          <w:lang w:val="fr-FR"/>
        </w:rPr>
        <w:t> %</w:t>
      </w:r>
      <w:r w:rsidRPr="009D0C18">
        <w:rPr>
          <w:lang w:val="fr-FR"/>
        </w:rPr>
        <w:t xml:space="preserve"> des Parties de la région Europe de l’Est</w:t>
      </w:r>
      <w:r w:rsidR="00D560E8">
        <w:rPr>
          <w:lang w:val="fr-FR"/>
        </w:rPr>
        <w:t> ;</w:t>
      </w:r>
      <w:r w:rsidRPr="009D0C18">
        <w:rPr>
          <w:lang w:val="fr-FR"/>
        </w:rPr>
        <w:t xml:space="preserve"> et 100</w:t>
      </w:r>
      <w:r w:rsidR="00667501">
        <w:rPr>
          <w:lang w:val="fr-FR"/>
        </w:rPr>
        <w:t> %</w:t>
      </w:r>
      <w:r w:rsidRPr="009D0C18">
        <w:rPr>
          <w:lang w:val="fr-FR"/>
        </w:rPr>
        <w:t xml:space="preserve"> des Parties de la région Europe occidentale et autres États. Aucune information n’était disponible pour la situation de référence, cette question n’ayant pas été incluse dans le quatrième rapport national.</w:t>
      </w:r>
    </w:p>
    <w:p w14:paraId="14B2CF2D" w14:textId="25EEA9A3" w:rsidR="00D134C6" w:rsidRPr="00F8252B" w:rsidRDefault="00030542" w:rsidP="00D134C6">
      <w:pPr>
        <w:pStyle w:val="CBDNormalNumber"/>
        <w:rPr>
          <w:snapToGrid w:val="0"/>
          <w:lang w:val="fr-FR"/>
        </w:rPr>
      </w:pPr>
      <w:r w:rsidRPr="00030542">
        <w:rPr>
          <w:snapToGrid w:val="0"/>
          <w:lang w:val="fr-FR"/>
        </w:rPr>
        <w:t>Les Parties ont fourni des informations complémentaires concernant la détection et l’identification des organismes vivants modifiés dans leurs réponses sous forme de texte libre relatives à la mise en œuvre des articles</w:t>
      </w:r>
      <w:r>
        <w:rPr>
          <w:snapToGrid w:val="0"/>
          <w:lang w:val="fr-FR"/>
        </w:rPr>
        <w:t> </w:t>
      </w:r>
      <w:r w:rsidRPr="00030542">
        <w:rPr>
          <w:snapToGrid w:val="0"/>
          <w:lang w:val="fr-FR"/>
        </w:rPr>
        <w:t xml:space="preserve">15, 16, 17, 18 et 25. Plusieurs Parties ont établi des rapports sur des réseaux bien établis de laboratoires accrédités capables de détecter, d’identifier et de quantifier les organismes vivants modifiés, à l’aide de réactions en chaîne par polymérase en temps réel et d’autres techniques moléculaires, tandis que de nombreuses autres Parties ont indiqué que des laboratoires existaient mais qu’ils ne disposaient pas des accréditations, des matériaux de référence </w:t>
      </w:r>
      <w:r w:rsidRPr="00030542">
        <w:rPr>
          <w:snapToGrid w:val="0"/>
          <w:lang w:val="fr-FR"/>
        </w:rPr>
        <w:lastRenderedPageBreak/>
        <w:t>certifiés, des équipements adéquats ou d’un personnel suffisamment formé. De nombreuses Parties ont souligné la nécessité de renforcer davantage les capacités de détection et d’identification des organismes vivants modifiés afin d’apporter un appui à la mise en œuvre du Protocole de Cartagena. En particulier, les Parties qui sont des pays en développement ont mentionné la nécessité d’améliorer les infrastructures de laboratoire et de mettre en place des infrastructures techniques appropriées aux points d’entrée.</w:t>
      </w:r>
      <w:r w:rsidR="00D134C6" w:rsidRPr="00F8252B">
        <w:rPr>
          <w:snapToGrid w:val="0"/>
          <w:lang w:val="fr-FR"/>
        </w:rPr>
        <w:t xml:space="preserve"> </w:t>
      </w:r>
    </w:p>
    <w:p w14:paraId="2AC2B3D0" w14:textId="28860909" w:rsidR="00D134C6" w:rsidRPr="00F8252B" w:rsidRDefault="00AC754E" w:rsidP="00D134C6">
      <w:pPr>
        <w:pStyle w:val="CBDNormalNumber"/>
        <w:rPr>
          <w:lang w:val="fr-FR"/>
        </w:rPr>
      </w:pPr>
      <w:r>
        <w:rPr>
          <w:snapToGrid w:val="0"/>
          <w:lang w:val="fr-FR"/>
        </w:rPr>
        <w:t>Pour</w:t>
      </w:r>
      <w:r w:rsidR="002474EC" w:rsidRPr="002474EC">
        <w:rPr>
          <w:snapToGrid w:val="0"/>
          <w:lang w:val="fr-FR"/>
        </w:rPr>
        <w:t xml:space="preserve"> </w:t>
      </w:r>
      <w:r>
        <w:rPr>
          <w:snapToGrid w:val="0"/>
          <w:lang w:val="fr-FR"/>
        </w:rPr>
        <w:t>le but</w:t>
      </w:r>
      <w:r w:rsidR="002474EC">
        <w:rPr>
          <w:snapToGrid w:val="0"/>
          <w:lang w:val="fr-FR"/>
        </w:rPr>
        <w:t> </w:t>
      </w:r>
      <w:r w:rsidR="002474EC" w:rsidRPr="002474EC">
        <w:rPr>
          <w:snapToGrid w:val="0"/>
          <w:lang w:val="fr-FR"/>
        </w:rPr>
        <w:t>A.8, quatre domaines clés de renforcement des capacités ont été identifiés dans le cadre du plan d’action pour le renforcement des capacités</w:t>
      </w:r>
      <w:r w:rsidR="00CA1B90">
        <w:rPr>
          <w:snapToGrid w:val="0"/>
          <w:lang w:val="fr-FR"/>
        </w:rPr>
        <w:t> :</w:t>
      </w:r>
      <w:r w:rsidR="002474EC" w:rsidRPr="002474EC">
        <w:rPr>
          <w:snapToGrid w:val="0"/>
          <w:lang w:val="fr-FR"/>
        </w:rPr>
        <w:t xml:space="preserve"> a) l’élaboration, selon les besoins, et l’accès à des ressources documentaires, à des procédures et à des informations relatives à l’échantillonnage, à la détection et à l’identification des organismes vivants modifiés</w:t>
      </w:r>
      <w:r w:rsidR="00D560E8">
        <w:rPr>
          <w:snapToGrid w:val="0"/>
          <w:lang w:val="fr-FR"/>
        </w:rPr>
        <w:t> ;</w:t>
      </w:r>
      <w:r w:rsidR="002474EC" w:rsidRPr="002474EC">
        <w:rPr>
          <w:snapToGrid w:val="0"/>
          <w:lang w:val="fr-FR"/>
        </w:rPr>
        <w:t xml:space="preserve"> b) le renforcement des capacités des agents et du personnel de laboratoire en matière d’échantillonnage, de détection et d’identification</w:t>
      </w:r>
      <w:r w:rsidR="00D560E8">
        <w:rPr>
          <w:snapToGrid w:val="0"/>
          <w:lang w:val="fr-FR"/>
        </w:rPr>
        <w:t> ;</w:t>
      </w:r>
      <w:r w:rsidR="002474EC" w:rsidRPr="002474EC">
        <w:rPr>
          <w:snapToGrid w:val="0"/>
          <w:lang w:val="fr-FR"/>
        </w:rPr>
        <w:t xml:space="preserve"> c) l’accès à des infrastructures techniques pour la détection et l’identification, y compris des matériaux de référence certifiés</w:t>
      </w:r>
      <w:r w:rsidR="00D560E8">
        <w:rPr>
          <w:snapToGrid w:val="0"/>
          <w:lang w:val="fr-FR"/>
        </w:rPr>
        <w:t> ;</w:t>
      </w:r>
      <w:r w:rsidR="002474EC" w:rsidRPr="002474EC">
        <w:rPr>
          <w:snapToGrid w:val="0"/>
          <w:lang w:val="fr-FR"/>
        </w:rPr>
        <w:t xml:space="preserve"> et d) le renforcement de la collaboration, notamment par le biais de réseaux de laboratoires.</w:t>
      </w:r>
    </w:p>
    <w:p w14:paraId="0A78EA76" w14:textId="7D500D15" w:rsidR="00D134C6" w:rsidRPr="00F8252B" w:rsidRDefault="009A64B4" w:rsidP="00D134C6">
      <w:pPr>
        <w:pStyle w:val="CBDNormalNumber"/>
        <w:rPr>
          <w:lang w:val="fr-FR"/>
        </w:rPr>
      </w:pPr>
      <w:r w:rsidRPr="009A64B4">
        <w:rPr>
          <w:lang w:val="fr-FR"/>
        </w:rPr>
        <w:t>Parmi les Parties ayant établi des rapports indiquant avoir mené des activités visant à développer et/ou à renforcer les ressources humaines et les capacités institutionnelles en matière de prévention des risques biotechnologiques, 56</w:t>
      </w:r>
      <w:r w:rsidR="00667501">
        <w:rPr>
          <w:lang w:val="fr-FR"/>
        </w:rPr>
        <w:t> %</w:t>
      </w:r>
      <w:r w:rsidRPr="009A64B4">
        <w:rPr>
          <w:lang w:val="fr-FR"/>
        </w:rPr>
        <w:t xml:space="preserve"> ont précisé que ces activités concernaient le domaine de l’identification des organismes vivants modifiés, y compris leur détection (soit une augmentation de 6</w:t>
      </w:r>
      <w:r w:rsidR="00667501">
        <w:rPr>
          <w:lang w:val="fr-FR"/>
        </w:rPr>
        <w:t> %</w:t>
      </w:r>
      <w:r w:rsidRPr="009A64B4">
        <w:rPr>
          <w:lang w:val="fr-FR"/>
        </w:rPr>
        <w:t xml:space="preserve"> par rapport à la situation de référence). Parmi les Parties ayant indiqué qu’elles avaient encore des besoins en matière de renforcement des capacités, 88</w:t>
      </w:r>
      <w:r w:rsidR="00667501">
        <w:rPr>
          <w:lang w:val="fr-FR"/>
        </w:rPr>
        <w:t> %</w:t>
      </w:r>
      <w:r w:rsidRPr="009A64B4">
        <w:rPr>
          <w:lang w:val="fr-FR"/>
        </w:rPr>
        <w:t xml:space="preserve"> ont précisé que ces besoins concernaient le domaine de l’échantillonnage, de la détection et de l’identification des organismes vivants modifiés (soit une augmentation de 8</w:t>
      </w:r>
      <w:r w:rsidR="00667501">
        <w:rPr>
          <w:lang w:val="fr-FR"/>
        </w:rPr>
        <w:t> %</w:t>
      </w:r>
      <w:r w:rsidRPr="009A64B4">
        <w:rPr>
          <w:lang w:val="fr-FR"/>
        </w:rPr>
        <w:t xml:space="preserve"> par rapport à la situation de référence)</w:t>
      </w:r>
      <w:r w:rsidR="00D134C6" w:rsidRPr="00F8252B">
        <w:rPr>
          <w:lang w:val="fr-FR"/>
        </w:rPr>
        <w:t xml:space="preserve">. </w:t>
      </w:r>
    </w:p>
    <w:p w14:paraId="5BC777AC" w14:textId="741FAA6F" w:rsidR="00D134C6" w:rsidRPr="00F8252B" w:rsidRDefault="003763E3" w:rsidP="00D134C6">
      <w:pPr>
        <w:pStyle w:val="CBDNormalNumber"/>
        <w:rPr>
          <w:lang w:val="fr-FR"/>
        </w:rPr>
      </w:pPr>
      <w:r w:rsidRPr="003763E3">
        <w:rPr>
          <w:lang w:val="fr-FR"/>
        </w:rPr>
        <w:t>Des informations complémentaires sur les infrastructures techniques ont été fournies en réponse à la question</w:t>
      </w:r>
      <w:r>
        <w:rPr>
          <w:lang w:val="fr-FR"/>
        </w:rPr>
        <w:t> </w:t>
      </w:r>
      <w:r w:rsidRPr="003763E3">
        <w:rPr>
          <w:lang w:val="fr-FR"/>
        </w:rPr>
        <w:t>95 du cinquième rapport national, qui portait sur le nombre de laboratoires certifiés dans chaque pays pour la détection d’organismes vivants modifiés. En réponse à cette question, 63</w:t>
      </w:r>
      <w:r w:rsidR="00667501">
        <w:rPr>
          <w:lang w:val="fr-FR"/>
        </w:rPr>
        <w:t> %</w:t>
      </w:r>
      <w:r w:rsidRPr="003763E3">
        <w:rPr>
          <w:lang w:val="fr-FR"/>
        </w:rPr>
        <w:t xml:space="preserve"> des Parties ont indiqué qu’un ou plusieurs laboratoires de leur pays étaient certifiés pour la détection d’organismes vivants modifiés, soit une augmentation de 7</w:t>
      </w:r>
      <w:r w:rsidR="00667501">
        <w:rPr>
          <w:lang w:val="fr-FR"/>
        </w:rPr>
        <w:t> %</w:t>
      </w:r>
      <w:r w:rsidRPr="003763E3">
        <w:rPr>
          <w:lang w:val="fr-FR"/>
        </w:rPr>
        <w:t xml:space="preserve"> par rapport à la référence</w:t>
      </w:r>
      <w:r w:rsidR="00D560E8">
        <w:rPr>
          <w:lang w:val="fr-FR"/>
        </w:rPr>
        <w:t> ;</w:t>
      </w:r>
      <w:r w:rsidRPr="003763E3">
        <w:rPr>
          <w:lang w:val="fr-FR"/>
        </w:rPr>
        <w:t xml:space="preserve"> parmi ce groupe de Parties, les trois quarts ont indiqué qu’il y avait entre un et quatre laboratoires certifiés dans leur pays, ce qui représentait une augmentation de 5</w:t>
      </w:r>
      <w:r w:rsidR="00667501">
        <w:rPr>
          <w:lang w:val="fr-FR"/>
        </w:rPr>
        <w:t> %</w:t>
      </w:r>
      <w:r w:rsidR="00D134C6" w:rsidRPr="00F8252B">
        <w:rPr>
          <w:snapToGrid w:val="0"/>
          <w:kern w:val="22"/>
          <w:lang w:val="fr-FR"/>
        </w:rPr>
        <w:t>.</w:t>
      </w:r>
    </w:p>
    <w:p w14:paraId="0E46F447" w14:textId="31E73DCD" w:rsidR="00D134C6" w:rsidRPr="00F8252B" w:rsidRDefault="00F370C1" w:rsidP="00D134C6">
      <w:pPr>
        <w:pStyle w:val="CBDNormalNumber"/>
        <w:rPr>
          <w:lang w:val="fr-FR"/>
        </w:rPr>
      </w:pPr>
      <w:r w:rsidRPr="00F370C1">
        <w:rPr>
          <w:lang w:val="fr-FR"/>
        </w:rPr>
        <w:t xml:space="preserve">Le </w:t>
      </w:r>
      <w:r w:rsidR="00143DD6">
        <w:rPr>
          <w:lang w:val="fr-FR"/>
        </w:rPr>
        <w:t>s</w:t>
      </w:r>
      <w:r w:rsidRPr="00F370C1">
        <w:rPr>
          <w:lang w:val="fr-FR"/>
        </w:rPr>
        <w:t>ecrétariat a entrepris des activités afin d'aider les Parties à renforcer leurs capacités en matière de détection et d'identification des organismes vivants modifiés. Le Secrétariat a publié le Manuel de formation sur la détection et l'identification des organismes vivants modifiés dans le cadre du Protocole de Cartagena sur la prévention des risques biotechnologiques</w:t>
      </w:r>
      <w:r w:rsidR="00D134C6" w:rsidRPr="00F8252B">
        <w:rPr>
          <w:rStyle w:val="Appelnotedebasdep"/>
          <w:lang w:val="fr-FR"/>
        </w:rPr>
        <w:footnoteReference w:id="42"/>
      </w:r>
      <w:r>
        <w:rPr>
          <w:lang w:val="fr-FR"/>
        </w:rPr>
        <w:t>.</w:t>
      </w:r>
      <w:r w:rsidR="00D134C6" w:rsidRPr="00F8252B">
        <w:rPr>
          <w:lang w:val="fr-FR"/>
        </w:rPr>
        <w:t xml:space="preserve"> </w:t>
      </w:r>
      <w:r w:rsidR="00C875C8" w:rsidRPr="00C875C8">
        <w:rPr>
          <w:lang w:val="fr-FR"/>
        </w:rPr>
        <w:t>En mars 2023, le Secrétariat a coorganisé la Conférence internationale sur l'analyse des OGM et les nouvelles techniques génomiques, à laquelle ont participé 21</w:t>
      </w:r>
      <w:r w:rsidR="008143D2">
        <w:rPr>
          <w:lang w:val="fr-FR"/>
        </w:rPr>
        <w:t> </w:t>
      </w:r>
      <w:r w:rsidR="00C875C8" w:rsidRPr="00C875C8">
        <w:rPr>
          <w:lang w:val="fr-FR"/>
        </w:rPr>
        <w:t>représentants de 21</w:t>
      </w:r>
      <w:r w:rsidR="008143D2">
        <w:rPr>
          <w:lang w:val="fr-FR"/>
        </w:rPr>
        <w:t> </w:t>
      </w:r>
      <w:r w:rsidR="00C875C8" w:rsidRPr="00C875C8">
        <w:rPr>
          <w:lang w:val="fr-FR"/>
        </w:rPr>
        <w:t>Parties</w:t>
      </w:r>
      <w:r w:rsidR="00D134C6" w:rsidRPr="00F8252B">
        <w:rPr>
          <w:rStyle w:val="Appelnotedebasdep"/>
          <w:lang w:val="fr-FR"/>
        </w:rPr>
        <w:footnoteReference w:id="43"/>
      </w:r>
      <w:r w:rsidR="00C875C8">
        <w:rPr>
          <w:lang w:val="fr-FR"/>
        </w:rPr>
        <w:t>.</w:t>
      </w:r>
      <w:r w:rsidR="00D134C6" w:rsidRPr="00F8252B">
        <w:rPr>
          <w:lang w:val="fr-FR"/>
        </w:rPr>
        <w:t xml:space="preserve"> </w:t>
      </w:r>
      <w:r w:rsidR="00696FBE" w:rsidRPr="00696FBE">
        <w:rPr>
          <w:lang w:val="fr-FR"/>
        </w:rPr>
        <w:t>Un atelier international consacré à la détection et à l'identification des organismes vivants modifiés ainsi qu'au rôle des agents des douanes dans la mise en œuvre du Protocole de Cartagena sur la prévention des risques biotechnologiques, organisé par le Secrétariat de la Convention sur la diversité biologique à Ljubljana en septembre 2025, a réuni 32</w:t>
      </w:r>
      <w:r w:rsidR="008143D2">
        <w:rPr>
          <w:lang w:val="fr-FR"/>
        </w:rPr>
        <w:t> </w:t>
      </w:r>
      <w:r w:rsidR="00696FBE" w:rsidRPr="00696FBE">
        <w:rPr>
          <w:lang w:val="fr-FR"/>
        </w:rPr>
        <w:t>participants issus de 12</w:t>
      </w:r>
      <w:r w:rsidR="008143D2">
        <w:rPr>
          <w:lang w:val="fr-FR"/>
        </w:rPr>
        <w:t> </w:t>
      </w:r>
      <w:r w:rsidR="00696FBE" w:rsidRPr="00696FBE">
        <w:rPr>
          <w:lang w:val="fr-FR"/>
        </w:rPr>
        <w:t>Parties dans le but de favoriser l'apprentissage et le partage d'expériences en matière de détection et d'identification des organismes vivants modifiés</w:t>
      </w:r>
      <w:r w:rsidR="00D134C6" w:rsidRPr="00F8252B">
        <w:rPr>
          <w:rStyle w:val="Appelnotedebasdep"/>
          <w:lang w:val="fr-FR"/>
        </w:rPr>
        <w:footnoteReference w:id="44"/>
      </w:r>
      <w:r w:rsidR="00696FBE">
        <w:rPr>
          <w:lang w:val="fr-FR"/>
        </w:rPr>
        <w:t>.</w:t>
      </w:r>
    </w:p>
    <w:p w14:paraId="27B9D4A5" w14:textId="3A83D64B" w:rsidR="0085444C" w:rsidRPr="00F8252B" w:rsidRDefault="009943F1" w:rsidP="00D134C6">
      <w:pPr>
        <w:pStyle w:val="CBDNormalNumber"/>
        <w:rPr>
          <w:lang w:val="fr-FR"/>
        </w:rPr>
      </w:pPr>
      <w:r w:rsidRPr="009943F1">
        <w:rPr>
          <w:lang w:val="fr-FR"/>
        </w:rPr>
        <w:t xml:space="preserve">Le </w:t>
      </w:r>
      <w:r w:rsidR="00143DD6">
        <w:rPr>
          <w:lang w:val="fr-FR"/>
        </w:rPr>
        <w:t>s</w:t>
      </w:r>
      <w:r w:rsidRPr="009943F1">
        <w:rPr>
          <w:lang w:val="fr-FR"/>
        </w:rPr>
        <w:t>ecrétariat a mis en place, par l’intermédiaire du Centre d’échange pour la prévention des risques biotechnologiques, un réseau de laboratoires chargés de la détection et de l’identification des organismes vivants modifiés. Ce réseau compte actuellement plus de 80</w:t>
      </w:r>
      <w:r w:rsidR="00DB69F5">
        <w:rPr>
          <w:lang w:val="fr-FR"/>
        </w:rPr>
        <w:t> </w:t>
      </w:r>
      <w:r w:rsidRPr="009943F1">
        <w:rPr>
          <w:lang w:val="fr-FR"/>
        </w:rPr>
        <w:t>participants issus de 33</w:t>
      </w:r>
      <w:r w:rsidR="00DB69F5">
        <w:rPr>
          <w:lang w:val="fr-FR"/>
        </w:rPr>
        <w:t> </w:t>
      </w:r>
      <w:r w:rsidRPr="009943F1">
        <w:rPr>
          <w:lang w:val="fr-FR"/>
        </w:rPr>
        <w:t xml:space="preserve">Parties, ainsi que des participants provenant d’États non-Parties et d’organisations. Le </w:t>
      </w:r>
      <w:r w:rsidR="004237AD">
        <w:rPr>
          <w:lang w:val="fr-FR"/>
        </w:rPr>
        <w:t>s</w:t>
      </w:r>
      <w:r w:rsidRPr="009943F1">
        <w:rPr>
          <w:lang w:val="fr-FR"/>
        </w:rPr>
        <w:t xml:space="preserve">ecrétariat </w:t>
      </w:r>
      <w:r w:rsidRPr="009943F1">
        <w:rPr>
          <w:lang w:val="fr-FR"/>
        </w:rPr>
        <w:lastRenderedPageBreak/>
        <w:t>organise régulièrement des discussions en ligne au sein du réseau afin de permettre le partage d’expériences en matière de détection et d’identification des organismes vivants modifiés.</w:t>
      </w:r>
    </w:p>
    <w:p w14:paraId="11DECD16" w14:textId="301F1AE2" w:rsidR="00303307" w:rsidRPr="00F8252B" w:rsidRDefault="00B265AB" w:rsidP="00FA2932">
      <w:pPr>
        <w:pStyle w:val="CBDH2"/>
        <w:jc w:val="left"/>
        <w:rPr>
          <w:snapToGrid w:val="0"/>
          <w:lang w:val="fr-FR"/>
        </w:rPr>
      </w:pPr>
      <w:r w:rsidRPr="00F8252B">
        <w:rPr>
          <w:snapToGrid w:val="0"/>
          <w:lang w:val="fr-FR"/>
        </w:rPr>
        <w:t>I.</w:t>
      </w:r>
      <w:r w:rsidRPr="00F8252B">
        <w:rPr>
          <w:snapToGrid w:val="0"/>
          <w:lang w:val="fr-FR"/>
        </w:rPr>
        <w:tab/>
      </w:r>
      <w:r w:rsidR="000D368B" w:rsidRPr="00F8252B">
        <w:rPr>
          <w:snapToGrid w:val="0"/>
          <w:lang w:val="fr-FR"/>
        </w:rPr>
        <w:t>But </w:t>
      </w:r>
      <w:r w:rsidR="00303307" w:rsidRPr="00F8252B">
        <w:rPr>
          <w:snapToGrid w:val="0"/>
          <w:lang w:val="fr-FR"/>
        </w:rPr>
        <w:t>A.9.</w:t>
      </w:r>
      <w:r w:rsidR="00303307" w:rsidRPr="00F8252B">
        <w:rPr>
          <w:lang w:val="fr-FR"/>
        </w:rPr>
        <w:t xml:space="preserve"> </w:t>
      </w:r>
      <w:r w:rsidR="000D368B" w:rsidRPr="00F8252B">
        <w:rPr>
          <w:lang w:val="fr-FR"/>
        </w:rPr>
        <w:t>Les Parties qui choisissent de le faire tiennent compte des considérations socioéconomiques lorsqu’elles prennent des décisions sur l’importation d’OVM et coopèrent en matière de recherche et d’échange d’informations, conformément à l’article 26 du Protocole</w:t>
      </w:r>
    </w:p>
    <w:p w14:paraId="64B4F239" w14:textId="6E04F3D1" w:rsidR="00C4194B" w:rsidRPr="00F8252B" w:rsidRDefault="00B265AB" w:rsidP="00FA2932">
      <w:pPr>
        <w:pStyle w:val="CBDH4"/>
        <w:rPr>
          <w:snapToGrid w:val="0"/>
          <w:lang w:val="fr-FR"/>
        </w:rPr>
      </w:pPr>
      <w:r w:rsidRPr="00F8252B">
        <w:rPr>
          <w:snapToGrid w:val="0"/>
          <w:lang w:val="fr-FR"/>
        </w:rPr>
        <w:t>a)</w:t>
      </w:r>
      <w:r w:rsidRPr="00F8252B">
        <w:rPr>
          <w:snapToGrid w:val="0"/>
          <w:lang w:val="fr-FR"/>
        </w:rPr>
        <w:tab/>
      </w:r>
      <w:r w:rsidR="000D368B" w:rsidRPr="00F8252B">
        <w:rPr>
          <w:snapToGrid w:val="0"/>
          <w:lang w:val="fr-FR"/>
        </w:rPr>
        <w:t xml:space="preserve">Chiffres clés et </w:t>
      </w:r>
      <w:r w:rsidR="0035077E" w:rsidRPr="00F8252B">
        <w:rPr>
          <w:snapToGrid w:val="0"/>
          <w:lang w:val="fr-FR"/>
        </w:rPr>
        <w:t>éléments importants</w:t>
      </w:r>
      <w:r w:rsidR="00C4194B" w:rsidRPr="00F8252B">
        <w:rPr>
          <w:snapToGrid w:val="0"/>
          <w:lang w:val="fr-FR"/>
        </w:rPr>
        <w:t xml:space="preserve"> </w:t>
      </w:r>
    </w:p>
    <w:p w14:paraId="1951EA5A" w14:textId="44B86358" w:rsidR="00683C97" w:rsidRPr="00F8252B" w:rsidRDefault="00C8463C" w:rsidP="00FA2932">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fr-FR"/>
        </w:rPr>
      </w:pPr>
      <w:r w:rsidRPr="00C8463C">
        <w:rPr>
          <w:lang w:val="fr-FR"/>
        </w:rPr>
        <w:t>Trente-deux pour cent des Parties ayant pris des décisions concernant l'importation d'organismes vivants modifiés au cours de la période à l'étude ont indiqué avoir toujours tenu compte des considérations socio-économiques (+4</w:t>
      </w:r>
      <w:r w:rsidR="00667501">
        <w:rPr>
          <w:lang w:val="fr-FR"/>
        </w:rPr>
        <w:t> %</w:t>
      </w:r>
      <w:r w:rsidRPr="00C8463C">
        <w:rPr>
          <w:lang w:val="fr-FR"/>
        </w:rPr>
        <w:t>) et 35</w:t>
      </w:r>
      <w:r w:rsidR="00667501">
        <w:rPr>
          <w:lang w:val="fr-FR"/>
        </w:rPr>
        <w:t> %</w:t>
      </w:r>
      <w:r w:rsidRPr="00C8463C">
        <w:rPr>
          <w:lang w:val="fr-FR"/>
        </w:rPr>
        <w:t xml:space="preserve"> ont indiqué ne l'avoir fait que dans certains cas (+3</w:t>
      </w:r>
      <w:r w:rsidR="00667501">
        <w:rPr>
          <w:lang w:val="fr-FR"/>
        </w:rPr>
        <w:t> %</w:t>
      </w:r>
      <w:r w:rsidRPr="00C8463C">
        <w:rPr>
          <w:lang w:val="fr-FR"/>
        </w:rPr>
        <w:t>)</w:t>
      </w:r>
      <w:r>
        <w:rPr>
          <w:lang w:val="fr-FR"/>
        </w:rPr>
        <w:t>.</w:t>
      </w:r>
    </w:p>
    <w:p w14:paraId="1D123ECE" w14:textId="3C569FA8" w:rsidR="00B43BA4" w:rsidRPr="00F8252B" w:rsidRDefault="00000EC7" w:rsidP="00FA2932">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fr-FR"/>
        </w:rPr>
      </w:pPr>
      <w:r w:rsidRPr="00000EC7">
        <w:rPr>
          <w:lang w:val="fr-FR"/>
        </w:rPr>
        <w:t>Trente pour cent des Parties ont déclaré avoir utilisé des documents de référence pour prendre en compte les considérations socio-économiques (aucune donnée de référence)</w:t>
      </w:r>
      <w:r>
        <w:rPr>
          <w:lang w:val="fr-FR"/>
        </w:rPr>
        <w:t>.</w:t>
      </w:r>
    </w:p>
    <w:p w14:paraId="46FABA15" w14:textId="4623FC3B" w:rsidR="00F407A8" w:rsidRPr="00F8252B" w:rsidRDefault="00CD714D" w:rsidP="00FA2932">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fr-FR"/>
        </w:rPr>
      </w:pPr>
      <w:r w:rsidRPr="00CD714D">
        <w:rPr>
          <w:lang w:val="fr-FR"/>
        </w:rPr>
        <w:t>Vingt-neuf pour cent des Parties ont indiqué avoir coopéré avec d'autres Parties dans le cadre de travaux de recherche et d'échanges d'informations sur les éventuelles incidences socio-économiques des organismes vivants modifiés (+1</w:t>
      </w:r>
      <w:r w:rsidR="00667501">
        <w:rPr>
          <w:lang w:val="fr-FR"/>
        </w:rPr>
        <w:t> %</w:t>
      </w:r>
      <w:r w:rsidRPr="00CD714D">
        <w:rPr>
          <w:lang w:val="fr-FR"/>
        </w:rPr>
        <w:t>)</w:t>
      </w:r>
      <w:r>
        <w:rPr>
          <w:lang w:val="fr-FR"/>
        </w:rPr>
        <w:t>.</w:t>
      </w:r>
    </w:p>
    <w:p w14:paraId="4E564619" w14:textId="4E4DE5F3" w:rsidR="00067080" w:rsidRPr="00F8252B" w:rsidRDefault="006E2459" w:rsidP="00FA2932">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fr-FR"/>
        </w:rPr>
      </w:pPr>
      <w:r w:rsidRPr="006E2459">
        <w:rPr>
          <w:lang w:val="fr-FR"/>
        </w:rPr>
        <w:t>Vingt-six pour cent des Parties ayant déclaré avoir entrepris des activités de développement des capacités ont indiqué que ces activités concernaient le domaine des aspects socio-économiques (-3</w:t>
      </w:r>
      <w:r w:rsidR="00667501">
        <w:rPr>
          <w:lang w:val="fr-FR"/>
        </w:rPr>
        <w:t> %</w:t>
      </w:r>
      <w:r w:rsidRPr="006E2459">
        <w:rPr>
          <w:lang w:val="fr-FR"/>
        </w:rPr>
        <w:t>), tandis que 73</w:t>
      </w:r>
      <w:r w:rsidR="00667501">
        <w:rPr>
          <w:lang w:val="fr-FR"/>
        </w:rPr>
        <w:t> %</w:t>
      </w:r>
      <w:r w:rsidRPr="006E2459">
        <w:rPr>
          <w:lang w:val="fr-FR"/>
        </w:rPr>
        <w:t xml:space="preserve"> des Parties ayant des besoins en matière de développement des capacités ont déclaré que ces besoins concernaient le domaine des aspects socio-économiques (+3</w:t>
      </w:r>
      <w:r w:rsidR="00667501">
        <w:rPr>
          <w:lang w:val="fr-FR"/>
        </w:rPr>
        <w:t> %</w:t>
      </w:r>
      <w:r w:rsidRPr="006E2459">
        <w:rPr>
          <w:lang w:val="fr-FR"/>
        </w:rPr>
        <w:t>)</w:t>
      </w:r>
      <w:r>
        <w:rPr>
          <w:lang w:val="fr-FR"/>
        </w:rPr>
        <w:t>.</w:t>
      </w:r>
    </w:p>
    <w:p w14:paraId="76984979" w14:textId="174B1880" w:rsidR="00683C97" w:rsidRPr="00F8252B" w:rsidRDefault="00683C97" w:rsidP="00FA2932">
      <w:pPr>
        <w:pStyle w:val="CBDH4"/>
        <w:rPr>
          <w:snapToGrid w:val="0"/>
          <w:lang w:val="fr-FR"/>
        </w:rPr>
      </w:pPr>
      <w:r w:rsidRPr="00F8252B">
        <w:rPr>
          <w:snapToGrid w:val="0"/>
          <w:lang w:val="fr-FR"/>
        </w:rPr>
        <w:t>b)</w:t>
      </w:r>
      <w:r w:rsidRPr="00F8252B">
        <w:rPr>
          <w:snapToGrid w:val="0"/>
          <w:lang w:val="fr-FR"/>
        </w:rPr>
        <w:tab/>
        <w:t>Analys</w:t>
      </w:r>
      <w:r w:rsidR="0007484E" w:rsidRPr="00F8252B">
        <w:rPr>
          <w:snapToGrid w:val="0"/>
          <w:lang w:val="fr-FR"/>
        </w:rPr>
        <w:t xml:space="preserve">e des </w:t>
      </w:r>
      <w:r w:rsidRPr="00F8252B">
        <w:rPr>
          <w:snapToGrid w:val="0"/>
          <w:lang w:val="fr-FR"/>
        </w:rPr>
        <w:t>information</w:t>
      </w:r>
      <w:r w:rsidR="0007484E" w:rsidRPr="00F8252B">
        <w:rPr>
          <w:snapToGrid w:val="0"/>
          <w:lang w:val="fr-FR"/>
        </w:rPr>
        <w:t>s</w:t>
      </w:r>
    </w:p>
    <w:p w14:paraId="3D711F19" w14:textId="21CDCC06" w:rsidR="003831A3" w:rsidRPr="00F8252B" w:rsidRDefault="00E10E78" w:rsidP="00FA2932">
      <w:pPr>
        <w:pStyle w:val="CBDNormalNumber"/>
        <w:rPr>
          <w:lang w:val="fr-FR"/>
        </w:rPr>
      </w:pPr>
      <w:r>
        <w:rPr>
          <w:snapToGrid w:val="0"/>
          <w:kern w:val="22"/>
          <w:lang w:val="fr-FR"/>
        </w:rPr>
        <w:t>Le but</w:t>
      </w:r>
      <w:r w:rsidR="009D28EC">
        <w:rPr>
          <w:snapToGrid w:val="0"/>
          <w:kern w:val="22"/>
          <w:lang w:val="fr-FR"/>
        </w:rPr>
        <w:t> </w:t>
      </w:r>
      <w:r w:rsidR="009D28EC" w:rsidRPr="009D28EC">
        <w:rPr>
          <w:snapToGrid w:val="0"/>
          <w:kern w:val="22"/>
          <w:lang w:val="fr-FR"/>
        </w:rPr>
        <w:t xml:space="preserve">A.9 comprend trois </w:t>
      </w:r>
      <w:r>
        <w:rPr>
          <w:snapToGrid w:val="0"/>
          <w:kern w:val="22"/>
          <w:lang w:val="fr-FR"/>
        </w:rPr>
        <w:t xml:space="preserve">objectifs </w:t>
      </w:r>
      <w:r w:rsidR="009D28EC" w:rsidRPr="009D28EC">
        <w:rPr>
          <w:snapToGrid w:val="0"/>
          <w:kern w:val="22"/>
          <w:lang w:val="fr-FR"/>
        </w:rPr>
        <w:t>à atteindre pour réaliser ce</w:t>
      </w:r>
      <w:r>
        <w:rPr>
          <w:snapToGrid w:val="0"/>
          <w:kern w:val="22"/>
          <w:lang w:val="fr-FR"/>
        </w:rPr>
        <w:t xml:space="preserve"> but</w:t>
      </w:r>
      <w:r w:rsidR="009D28EC" w:rsidRPr="009D28EC">
        <w:rPr>
          <w:snapToGrid w:val="0"/>
          <w:kern w:val="22"/>
          <w:lang w:val="fr-FR"/>
        </w:rPr>
        <w:t xml:space="preserve">, ainsi que trois indicateurs permettant de mesurer les progrès accomplis dans la réalisation de ces </w:t>
      </w:r>
      <w:r w:rsidR="00816448">
        <w:rPr>
          <w:snapToGrid w:val="0"/>
          <w:kern w:val="22"/>
          <w:lang w:val="fr-FR"/>
        </w:rPr>
        <w:t>objectifs</w:t>
      </w:r>
      <w:r w:rsidR="000B4AAD" w:rsidRPr="00F8252B">
        <w:rPr>
          <w:bCs/>
          <w:iCs/>
          <w:snapToGrid w:val="0"/>
          <w:kern w:val="22"/>
          <w:lang w:val="fr-FR"/>
        </w:rPr>
        <w:t xml:space="preserve">. </w:t>
      </w:r>
    </w:p>
    <w:p w14:paraId="5759E4EC" w14:textId="23CD7BC2" w:rsidR="005C6FF6" w:rsidRPr="008A7082" w:rsidRDefault="008D45D6">
      <w:pPr>
        <w:pStyle w:val="CBDNormalNumber"/>
        <w:rPr>
          <w:lang w:val="fr-FR"/>
        </w:rPr>
      </w:pPr>
      <w:r>
        <w:rPr>
          <w:lang w:val="fr-FR"/>
        </w:rPr>
        <w:t>Pour</w:t>
      </w:r>
      <w:r w:rsidR="008A7082" w:rsidRPr="008A7082">
        <w:rPr>
          <w:lang w:val="fr-FR"/>
        </w:rPr>
        <w:t xml:space="preserve"> l’indicateur A.9</w:t>
      </w:r>
      <w:r w:rsidR="008A7082">
        <w:rPr>
          <w:lang w:val="fr-FR"/>
        </w:rPr>
        <w:t> </w:t>
      </w:r>
      <w:r w:rsidR="008A7082" w:rsidRPr="008A7082">
        <w:rPr>
          <w:lang w:val="fr-FR"/>
        </w:rPr>
        <w:t>a) (pourcentage des Parties qui tiennent compte des considérations socio-économiques dans l’élaboration des politiques conformément à l’article</w:t>
      </w:r>
      <w:r w:rsidR="007C1F45">
        <w:rPr>
          <w:lang w:val="fr-FR"/>
        </w:rPr>
        <w:t> </w:t>
      </w:r>
      <w:r w:rsidR="008A7082" w:rsidRPr="008A7082">
        <w:rPr>
          <w:lang w:val="fr-FR"/>
        </w:rPr>
        <w:t>26 du Protocole), ce sont les informations fournies en réponse à la question</w:t>
      </w:r>
      <w:r w:rsidR="007C1F45">
        <w:rPr>
          <w:lang w:val="fr-FR"/>
        </w:rPr>
        <w:t> </w:t>
      </w:r>
      <w:r w:rsidR="008A7082" w:rsidRPr="008A7082">
        <w:rPr>
          <w:lang w:val="fr-FR"/>
        </w:rPr>
        <w:t>151 du cinquième rapport national qui ont été utilisées pour mesurer les progrès accomplis. Sur les 123</w:t>
      </w:r>
      <w:r w:rsidR="007C1F45">
        <w:rPr>
          <w:lang w:val="fr-FR"/>
        </w:rPr>
        <w:t> </w:t>
      </w:r>
      <w:r w:rsidR="008A7082" w:rsidRPr="008A7082">
        <w:rPr>
          <w:lang w:val="fr-FR"/>
        </w:rPr>
        <w:t>Parties examinées, 56</w:t>
      </w:r>
      <w:r w:rsidR="00667501">
        <w:rPr>
          <w:lang w:val="fr-FR"/>
        </w:rPr>
        <w:t> %</w:t>
      </w:r>
      <w:r w:rsidR="008A7082" w:rsidRPr="008A7082">
        <w:rPr>
          <w:lang w:val="fr-FR"/>
        </w:rPr>
        <w:t xml:space="preserve"> (69</w:t>
      </w:r>
      <w:r w:rsidR="007C1F45">
        <w:rPr>
          <w:lang w:val="fr-FR"/>
        </w:rPr>
        <w:t> </w:t>
      </w:r>
      <w:r w:rsidR="008A7082" w:rsidRPr="008A7082">
        <w:rPr>
          <w:lang w:val="fr-FR"/>
        </w:rPr>
        <w:t>Parties) ont indiqué avoir pris des décisions au cours de la période considérée concernant l’importation d’organismes vivants modifiés. Parmi ces 69</w:t>
      </w:r>
      <w:r w:rsidR="007C1F45">
        <w:rPr>
          <w:lang w:val="fr-FR"/>
        </w:rPr>
        <w:t> </w:t>
      </w:r>
      <w:r w:rsidR="008A7082" w:rsidRPr="008A7082">
        <w:rPr>
          <w:lang w:val="fr-FR"/>
        </w:rPr>
        <w:t>Parties, 32</w:t>
      </w:r>
      <w:r w:rsidR="00667501">
        <w:rPr>
          <w:lang w:val="fr-FR"/>
        </w:rPr>
        <w:t> %</w:t>
      </w:r>
      <w:r w:rsidR="008A7082" w:rsidRPr="008A7082">
        <w:rPr>
          <w:lang w:val="fr-FR"/>
        </w:rPr>
        <w:t xml:space="preserve"> ont indiqué avoir toujours pris en compte, dans ces décisions, les considérations socio-économiques découlant de l’impact des organismes vivants modifiés (soit une augmentation de 4</w:t>
      </w:r>
      <w:r w:rsidR="00667501">
        <w:rPr>
          <w:lang w:val="fr-FR"/>
        </w:rPr>
        <w:t> %</w:t>
      </w:r>
      <w:r w:rsidR="008A7082" w:rsidRPr="008A7082">
        <w:rPr>
          <w:lang w:val="fr-FR"/>
        </w:rPr>
        <w:t xml:space="preserve"> par rapport à la référence)</w:t>
      </w:r>
      <w:r w:rsidR="00D560E8">
        <w:rPr>
          <w:lang w:val="fr-FR"/>
        </w:rPr>
        <w:t> ;</w:t>
      </w:r>
      <w:r w:rsidR="008A7082" w:rsidRPr="008A7082">
        <w:rPr>
          <w:lang w:val="fr-FR"/>
        </w:rPr>
        <w:t xml:space="preserve"> 35</w:t>
      </w:r>
      <w:r w:rsidR="00667501">
        <w:rPr>
          <w:lang w:val="fr-FR"/>
        </w:rPr>
        <w:t> %</w:t>
      </w:r>
      <w:r w:rsidR="008A7082" w:rsidRPr="008A7082">
        <w:rPr>
          <w:lang w:val="fr-FR"/>
        </w:rPr>
        <w:t xml:space="preserve"> ont déclaré ne l’avoir fait que dans certains cas (soit une augmentation de</w:t>
      </w:r>
      <w:r w:rsidR="00E414B1">
        <w:rPr>
          <w:lang w:val="fr-FR"/>
        </w:rPr>
        <w:t xml:space="preserve"> </w:t>
      </w:r>
      <w:r w:rsidR="008A7082" w:rsidRPr="008A7082">
        <w:rPr>
          <w:lang w:val="fr-FR"/>
        </w:rPr>
        <w:t>3</w:t>
      </w:r>
      <w:r w:rsidR="00667501">
        <w:rPr>
          <w:lang w:val="fr-FR"/>
        </w:rPr>
        <w:t> %</w:t>
      </w:r>
      <w:r w:rsidR="008A7082" w:rsidRPr="008A7082">
        <w:rPr>
          <w:lang w:val="fr-FR"/>
        </w:rPr>
        <w:t xml:space="preserve"> par rapport à la référence)</w:t>
      </w:r>
      <w:r w:rsidR="00D560E8">
        <w:rPr>
          <w:lang w:val="fr-FR"/>
        </w:rPr>
        <w:t> ;</w:t>
      </w:r>
      <w:r w:rsidR="008A7082" w:rsidRPr="008A7082">
        <w:rPr>
          <w:lang w:val="fr-FR"/>
        </w:rPr>
        <w:t xml:space="preserve"> et 33</w:t>
      </w:r>
      <w:r w:rsidR="00667501">
        <w:rPr>
          <w:lang w:val="fr-FR"/>
        </w:rPr>
        <w:t> %</w:t>
      </w:r>
      <w:r w:rsidR="008A7082" w:rsidRPr="008A7082">
        <w:rPr>
          <w:lang w:val="fr-FR"/>
        </w:rPr>
        <w:t xml:space="preserve"> ont déclaré ne pas l’avoir fait (soit une diminution de 8</w:t>
      </w:r>
      <w:r w:rsidR="00667501">
        <w:rPr>
          <w:lang w:val="fr-FR"/>
        </w:rPr>
        <w:t> %</w:t>
      </w:r>
      <w:r w:rsidR="008A7082" w:rsidRPr="008A7082">
        <w:rPr>
          <w:lang w:val="fr-FR"/>
        </w:rPr>
        <w:t>)</w:t>
      </w:r>
      <w:r w:rsidR="008D2E8E" w:rsidRPr="008A7082">
        <w:rPr>
          <w:vertAlign w:val="superscript"/>
          <w:lang w:val="fr-FR"/>
        </w:rPr>
        <w:footnoteReference w:id="45"/>
      </w:r>
      <w:r w:rsidR="008D2E8E" w:rsidRPr="008A7082">
        <w:rPr>
          <w:lang w:val="fr-FR"/>
        </w:rPr>
        <w:t xml:space="preserve"> (</w:t>
      </w:r>
      <w:r w:rsidR="00E86A95">
        <w:rPr>
          <w:lang w:val="fr-FR"/>
        </w:rPr>
        <w:t xml:space="preserve">voir la </w:t>
      </w:r>
      <w:r w:rsidR="008D2E8E" w:rsidRPr="008A7082">
        <w:rPr>
          <w:lang w:val="fr-FR"/>
        </w:rPr>
        <w:t>figure</w:t>
      </w:r>
      <w:r w:rsidR="00E86A95">
        <w:rPr>
          <w:lang w:val="fr-FR"/>
        </w:rPr>
        <w:t> </w:t>
      </w:r>
      <w:r w:rsidR="008D2E8E" w:rsidRPr="008A7082">
        <w:rPr>
          <w:lang w:val="fr-FR"/>
        </w:rPr>
        <w:t xml:space="preserve">VI </w:t>
      </w:r>
      <w:r w:rsidR="00E86A95">
        <w:rPr>
          <w:lang w:val="fr-FR"/>
        </w:rPr>
        <w:t>ci-dessous</w:t>
      </w:r>
      <w:r w:rsidR="008D2E8E" w:rsidRPr="008A7082">
        <w:rPr>
          <w:lang w:val="fr-FR"/>
        </w:rPr>
        <w:t>).</w:t>
      </w:r>
    </w:p>
    <w:p w14:paraId="71E1A18A" w14:textId="763D5CD7" w:rsidR="00F618E1" w:rsidRDefault="00B265AB" w:rsidP="00F92934">
      <w:pPr>
        <w:pStyle w:val="CBDTableTitle"/>
        <w:rPr>
          <w:lang w:val="fr-FR"/>
        </w:rPr>
      </w:pPr>
      <w:r w:rsidRPr="00F8252B">
        <w:rPr>
          <w:b w:val="0"/>
          <w:bCs/>
          <w:lang w:val="fr-FR"/>
        </w:rPr>
        <w:lastRenderedPageBreak/>
        <w:t>Figure VI</w:t>
      </w:r>
      <w:r w:rsidRPr="00F8252B">
        <w:rPr>
          <w:lang w:val="fr-FR"/>
        </w:rPr>
        <w:t xml:space="preserve"> </w:t>
      </w:r>
      <w:r w:rsidRPr="00F8252B">
        <w:rPr>
          <w:lang w:val="fr-FR"/>
        </w:rPr>
        <w:br/>
      </w:r>
      <w:r w:rsidR="00AA7C48" w:rsidRPr="00F8252B">
        <w:rPr>
          <w:lang w:val="fr-FR"/>
        </w:rPr>
        <w:t>Considérations socio-économiques lors des décisions d'importation</w:t>
      </w:r>
    </w:p>
    <w:p w14:paraId="10313844" w14:textId="72F89933" w:rsidR="00F92934" w:rsidRPr="00F8252B" w:rsidRDefault="00F92934" w:rsidP="00FB1FD8">
      <w:pPr>
        <w:suppressLineNumbers/>
        <w:tabs>
          <w:tab w:val="clear" w:pos="567"/>
          <w:tab w:val="clear" w:pos="1134"/>
          <w:tab w:val="clear" w:pos="1701"/>
          <w:tab w:val="clear" w:pos="2268"/>
        </w:tabs>
        <w:suppressAutoHyphens/>
        <w:snapToGrid w:val="0"/>
        <w:spacing w:before="120" w:after="120"/>
        <w:ind w:left="567"/>
        <w:rPr>
          <w:lang w:val="fr-FR"/>
        </w:rPr>
      </w:pPr>
      <w:r>
        <w:rPr>
          <w:noProof/>
          <w:lang w:val="fr-FR"/>
        </w:rPr>
        <w:drawing>
          <wp:inline distT="0" distB="0" distL="0" distR="0" wp14:anchorId="5E17B1F0" wp14:editId="7A4FD1EE">
            <wp:extent cx="6036310" cy="4062516"/>
            <wp:effectExtent l="0" t="0" r="2540" b="0"/>
            <wp:docPr id="1640313890"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037625" cy="4063401"/>
                    </a:xfrm>
                    <a:prstGeom prst="rect">
                      <a:avLst/>
                    </a:prstGeom>
                    <a:noFill/>
                    <a:ln>
                      <a:noFill/>
                    </a:ln>
                  </pic:spPr>
                </pic:pic>
              </a:graphicData>
            </a:graphic>
          </wp:inline>
        </w:drawing>
      </w:r>
    </w:p>
    <w:p w14:paraId="01417BC0" w14:textId="04A61D82" w:rsidR="00E245CD" w:rsidRPr="00F8252B" w:rsidRDefault="008D45D6" w:rsidP="00E245CD">
      <w:pPr>
        <w:pStyle w:val="CBDNormalNumber"/>
        <w:rPr>
          <w:lang w:val="fr-FR"/>
        </w:rPr>
      </w:pPr>
      <w:r>
        <w:rPr>
          <w:lang w:val="fr-FR"/>
        </w:rPr>
        <w:t>Pour</w:t>
      </w:r>
      <w:r w:rsidR="00652784" w:rsidRPr="00652784">
        <w:rPr>
          <w:lang w:val="fr-FR"/>
        </w:rPr>
        <w:t xml:space="preserve"> l’indicateur A.9</w:t>
      </w:r>
      <w:r w:rsidR="00652784">
        <w:rPr>
          <w:lang w:val="fr-FR"/>
        </w:rPr>
        <w:t> </w:t>
      </w:r>
      <w:r w:rsidR="00652784" w:rsidRPr="00652784">
        <w:rPr>
          <w:lang w:val="fr-FR"/>
        </w:rPr>
        <w:t xml:space="preserve">b) (pourcentage des Parties qui consultent et utilisent des documents de référence pour tenir compte des considérations socio-économiques), </w:t>
      </w:r>
      <w:r>
        <w:rPr>
          <w:lang w:val="fr-FR"/>
        </w:rPr>
        <w:t xml:space="preserve">ce sont </w:t>
      </w:r>
      <w:r w:rsidR="00652784" w:rsidRPr="00652784">
        <w:rPr>
          <w:lang w:val="fr-FR"/>
        </w:rPr>
        <w:t>les informations fournies en réponse à la question</w:t>
      </w:r>
      <w:r w:rsidR="00652784">
        <w:rPr>
          <w:lang w:val="fr-FR"/>
        </w:rPr>
        <w:t> </w:t>
      </w:r>
      <w:r w:rsidR="00652784" w:rsidRPr="00652784">
        <w:rPr>
          <w:lang w:val="fr-FR"/>
        </w:rPr>
        <w:t xml:space="preserve">150 du cinquième rapport national </w:t>
      </w:r>
      <w:r>
        <w:rPr>
          <w:lang w:val="fr-FR"/>
        </w:rPr>
        <w:t xml:space="preserve">qui </w:t>
      </w:r>
      <w:r w:rsidR="00652784" w:rsidRPr="00652784">
        <w:rPr>
          <w:lang w:val="fr-FR"/>
        </w:rPr>
        <w:t>ont été utilisées pour mesurer les progrès accomplis. Aucune question similaire n’ayant été incluse dans le quatrième rapport national, aucune information de référence n’était disponible. Trente pour cent des Parties ont indiqué avoir utilisé des documents de référence pour tenir compte des considérations socio-économiques. Au niveau régional, on a constaté des différences considérables dans la proportion des Parties ayant déclaré avoir consulté et utilisé ces documents de référence. La répartition était la suivante</w:t>
      </w:r>
      <w:r w:rsidR="00CA1B90">
        <w:rPr>
          <w:lang w:val="fr-FR"/>
        </w:rPr>
        <w:t> :</w:t>
      </w:r>
      <w:r w:rsidR="00652784" w:rsidRPr="00652784">
        <w:rPr>
          <w:lang w:val="fr-FR"/>
        </w:rPr>
        <w:t xml:space="preserve"> 11</w:t>
      </w:r>
      <w:r w:rsidR="00667501">
        <w:rPr>
          <w:lang w:val="fr-FR"/>
        </w:rPr>
        <w:t> %</w:t>
      </w:r>
      <w:r w:rsidR="00652784" w:rsidRPr="00652784">
        <w:rPr>
          <w:lang w:val="fr-FR"/>
        </w:rPr>
        <w:t xml:space="preserve"> dans la région d’Europe de l’Est</w:t>
      </w:r>
      <w:r w:rsidR="00D560E8">
        <w:rPr>
          <w:lang w:val="fr-FR"/>
        </w:rPr>
        <w:t> ;</w:t>
      </w:r>
      <w:r w:rsidR="00652784" w:rsidRPr="00652784">
        <w:rPr>
          <w:lang w:val="fr-FR"/>
        </w:rPr>
        <w:t xml:space="preserve"> 13</w:t>
      </w:r>
      <w:r w:rsidR="00667501">
        <w:rPr>
          <w:lang w:val="fr-FR"/>
        </w:rPr>
        <w:t> %</w:t>
      </w:r>
      <w:r w:rsidR="00652784" w:rsidRPr="00652784">
        <w:rPr>
          <w:lang w:val="fr-FR"/>
        </w:rPr>
        <w:t xml:space="preserve"> dans la région d’Amérique latine et des Caraïbes</w:t>
      </w:r>
      <w:r w:rsidR="00D560E8">
        <w:rPr>
          <w:lang w:val="fr-FR"/>
        </w:rPr>
        <w:t> ;</w:t>
      </w:r>
      <w:r w:rsidR="00652784" w:rsidRPr="00652784">
        <w:rPr>
          <w:lang w:val="fr-FR"/>
        </w:rPr>
        <w:t xml:space="preserve"> 16</w:t>
      </w:r>
      <w:r w:rsidR="00667501">
        <w:rPr>
          <w:lang w:val="fr-FR"/>
        </w:rPr>
        <w:t> %</w:t>
      </w:r>
      <w:r w:rsidR="00652784" w:rsidRPr="00652784">
        <w:rPr>
          <w:lang w:val="fr-FR"/>
        </w:rPr>
        <w:t xml:space="preserve"> dans la région d’Europe occidentale et des autres États</w:t>
      </w:r>
      <w:r w:rsidR="00D560E8">
        <w:rPr>
          <w:lang w:val="fr-FR"/>
        </w:rPr>
        <w:t> ;</w:t>
      </w:r>
      <w:r w:rsidR="00652784" w:rsidRPr="00652784">
        <w:rPr>
          <w:lang w:val="fr-FR"/>
        </w:rPr>
        <w:t xml:space="preserve"> 23</w:t>
      </w:r>
      <w:r w:rsidR="00667501">
        <w:rPr>
          <w:lang w:val="fr-FR"/>
        </w:rPr>
        <w:t> %</w:t>
      </w:r>
      <w:r w:rsidR="00652784" w:rsidRPr="00652784">
        <w:rPr>
          <w:lang w:val="fr-FR"/>
        </w:rPr>
        <w:t xml:space="preserve"> dans la région Asie-Pacifique</w:t>
      </w:r>
      <w:r w:rsidR="00D560E8">
        <w:rPr>
          <w:lang w:val="fr-FR"/>
        </w:rPr>
        <w:t> ;</w:t>
      </w:r>
      <w:r w:rsidR="00652784" w:rsidRPr="00652784">
        <w:rPr>
          <w:lang w:val="fr-FR"/>
        </w:rPr>
        <w:t xml:space="preserve"> et 59</w:t>
      </w:r>
      <w:r w:rsidR="00667501">
        <w:rPr>
          <w:lang w:val="fr-FR"/>
        </w:rPr>
        <w:t> %</w:t>
      </w:r>
      <w:r w:rsidR="00652784" w:rsidRPr="00652784">
        <w:rPr>
          <w:lang w:val="fr-FR"/>
        </w:rPr>
        <w:t xml:space="preserve"> dans la région africaine.</w:t>
      </w:r>
    </w:p>
    <w:p w14:paraId="483527A0" w14:textId="39EC7D85" w:rsidR="00E245CD" w:rsidRPr="00F8252B" w:rsidRDefault="008D45D6" w:rsidP="00E245CD">
      <w:pPr>
        <w:pStyle w:val="CBDNormalNumber"/>
        <w:rPr>
          <w:lang w:val="fr-FR"/>
        </w:rPr>
      </w:pPr>
      <w:r>
        <w:rPr>
          <w:lang w:val="fr-FR"/>
        </w:rPr>
        <w:t>Pour</w:t>
      </w:r>
      <w:r w:rsidR="006D58FF" w:rsidRPr="006D58FF">
        <w:rPr>
          <w:lang w:val="fr-FR"/>
        </w:rPr>
        <w:t xml:space="preserve"> l’indicateur A.9</w:t>
      </w:r>
      <w:r w:rsidR="006D58FF">
        <w:rPr>
          <w:lang w:val="fr-FR"/>
        </w:rPr>
        <w:t> </w:t>
      </w:r>
      <w:r w:rsidR="006D58FF" w:rsidRPr="006D58FF">
        <w:rPr>
          <w:lang w:val="fr-FR"/>
        </w:rPr>
        <w:t>c) (pourcentage des Parties qui coopèrent en matière de recherche et d’échange d’informations sur les impacts socio-économiques des organismes vivants modifiés sur la conservation et l’utilisation durable de la diversité biologique, en particulier sur les peuples autochtones et les communautés locales, conformément à l’article 26 du Protocole), ce sont les informations fournies en réponse à la question</w:t>
      </w:r>
      <w:r w:rsidR="00A466BD">
        <w:rPr>
          <w:lang w:val="fr-FR"/>
        </w:rPr>
        <w:t> </w:t>
      </w:r>
      <w:r w:rsidR="006D58FF" w:rsidRPr="006D58FF">
        <w:rPr>
          <w:lang w:val="fr-FR"/>
        </w:rPr>
        <w:t>155</w:t>
      </w:r>
      <w:r w:rsidR="00A466BD">
        <w:rPr>
          <w:lang w:val="fr-FR"/>
        </w:rPr>
        <w:t> </w:t>
      </w:r>
      <w:r w:rsidR="006D58FF" w:rsidRPr="006D58FF">
        <w:rPr>
          <w:lang w:val="fr-FR"/>
        </w:rPr>
        <w:t>c) du cinquième rapport national qui ont été utilisées pour mesurer les progrès accomplis. Vingt-neuf pour cent des Parties ont indiqué avoir coopéré avec d’autres Parties en matière de recherche et d’échange d’informations concernant les impacts socio-économiques des organismes vivants modifiés, ce qui représente une augmentation de 1</w:t>
      </w:r>
      <w:r w:rsidR="00667501">
        <w:rPr>
          <w:lang w:val="fr-FR"/>
        </w:rPr>
        <w:t> %</w:t>
      </w:r>
      <w:r w:rsidR="006D58FF" w:rsidRPr="006D58FF">
        <w:rPr>
          <w:lang w:val="fr-FR"/>
        </w:rPr>
        <w:t>. Des différences considérables ont été observées entre les régions quant à la proportion de Parties ayant déclaré avoir coopéré à cet égard. La répartition était la suivante</w:t>
      </w:r>
      <w:r w:rsidR="00CA1B90">
        <w:rPr>
          <w:lang w:val="fr-FR"/>
        </w:rPr>
        <w:t> :</w:t>
      </w:r>
      <w:r w:rsidR="006D58FF" w:rsidRPr="006D58FF">
        <w:rPr>
          <w:lang w:val="fr-FR"/>
        </w:rPr>
        <w:t xml:space="preserve"> 10</w:t>
      </w:r>
      <w:r w:rsidR="00667501">
        <w:rPr>
          <w:lang w:val="fr-FR"/>
        </w:rPr>
        <w:t> %</w:t>
      </w:r>
      <w:r w:rsidR="006D58FF" w:rsidRPr="006D58FF">
        <w:rPr>
          <w:lang w:val="fr-FR"/>
        </w:rPr>
        <w:t xml:space="preserve"> dans la région Amérique latine et des Caraïbes</w:t>
      </w:r>
      <w:r w:rsidR="00D560E8">
        <w:rPr>
          <w:lang w:val="fr-FR"/>
        </w:rPr>
        <w:t> ;</w:t>
      </w:r>
      <w:r w:rsidR="006D58FF" w:rsidRPr="006D58FF">
        <w:rPr>
          <w:lang w:val="fr-FR"/>
        </w:rPr>
        <w:t xml:space="preserve"> 26</w:t>
      </w:r>
      <w:r w:rsidR="00667501">
        <w:rPr>
          <w:lang w:val="fr-FR"/>
        </w:rPr>
        <w:t> %</w:t>
      </w:r>
      <w:r w:rsidR="006D58FF" w:rsidRPr="006D58FF">
        <w:rPr>
          <w:lang w:val="fr-FR"/>
        </w:rPr>
        <w:t xml:space="preserve"> dans la région africaine</w:t>
      </w:r>
      <w:r w:rsidR="00D560E8">
        <w:rPr>
          <w:lang w:val="fr-FR"/>
        </w:rPr>
        <w:t> ;</w:t>
      </w:r>
      <w:r w:rsidR="006D58FF" w:rsidRPr="006D58FF">
        <w:rPr>
          <w:lang w:val="fr-FR"/>
        </w:rPr>
        <w:t xml:space="preserve"> 26</w:t>
      </w:r>
      <w:r w:rsidR="00667501">
        <w:rPr>
          <w:lang w:val="fr-FR"/>
        </w:rPr>
        <w:t> %</w:t>
      </w:r>
      <w:r w:rsidR="006D58FF" w:rsidRPr="006D58FF">
        <w:rPr>
          <w:lang w:val="fr-FR"/>
        </w:rPr>
        <w:t xml:space="preserve"> dans la région Europe de l’Est</w:t>
      </w:r>
      <w:r w:rsidR="00D560E8">
        <w:rPr>
          <w:lang w:val="fr-FR"/>
        </w:rPr>
        <w:t> ;</w:t>
      </w:r>
      <w:r w:rsidR="006D58FF" w:rsidRPr="006D58FF">
        <w:rPr>
          <w:lang w:val="fr-FR"/>
        </w:rPr>
        <w:t xml:space="preserve"> 35</w:t>
      </w:r>
      <w:r w:rsidR="00667501">
        <w:rPr>
          <w:lang w:val="fr-FR"/>
        </w:rPr>
        <w:t> %</w:t>
      </w:r>
      <w:r w:rsidR="006D58FF" w:rsidRPr="006D58FF">
        <w:rPr>
          <w:lang w:val="fr-FR"/>
        </w:rPr>
        <w:t xml:space="preserve"> dans la région Asie-Pacifique</w:t>
      </w:r>
      <w:r w:rsidR="00D560E8">
        <w:rPr>
          <w:lang w:val="fr-FR"/>
        </w:rPr>
        <w:t> ;</w:t>
      </w:r>
      <w:r w:rsidR="006D58FF" w:rsidRPr="006D58FF">
        <w:rPr>
          <w:lang w:val="fr-FR"/>
        </w:rPr>
        <w:t xml:space="preserve"> et 53</w:t>
      </w:r>
      <w:r w:rsidR="00667501">
        <w:rPr>
          <w:lang w:val="fr-FR"/>
        </w:rPr>
        <w:t> %</w:t>
      </w:r>
      <w:r w:rsidR="006D58FF" w:rsidRPr="006D58FF">
        <w:rPr>
          <w:lang w:val="fr-FR"/>
        </w:rPr>
        <w:t xml:space="preserve"> dans la région Europe occidentale et autres États.</w:t>
      </w:r>
    </w:p>
    <w:p w14:paraId="3A3E0BC7" w14:textId="42BFD914" w:rsidR="00E245CD" w:rsidRPr="00F8252B" w:rsidRDefault="00DF7CBC" w:rsidP="00E245CD">
      <w:pPr>
        <w:pStyle w:val="CBDNormalNumber"/>
        <w:rPr>
          <w:lang w:val="fr-FR"/>
        </w:rPr>
      </w:pPr>
      <w:r w:rsidRPr="00DF7CBC">
        <w:rPr>
          <w:lang w:val="fr-FR"/>
        </w:rPr>
        <w:lastRenderedPageBreak/>
        <w:t>Dans leurs réponses sous forme de texte libre à la question</w:t>
      </w:r>
      <w:r w:rsidR="006F4EF3">
        <w:rPr>
          <w:lang w:val="fr-FR"/>
        </w:rPr>
        <w:t> </w:t>
      </w:r>
      <w:r w:rsidRPr="00DF7CBC">
        <w:rPr>
          <w:lang w:val="fr-FR"/>
        </w:rPr>
        <w:t>152 du cinquième rapport national, plusieurs Parties ont fourni des informations supplémentaires concernant les considérations socio-économiques. La plupart de ces Parties ont indiqué que leur cadre réglementaire permettait ou exigeait la prise en compte des aspects socio-économiques dans l’élaboration des politiques relatives aux organismes vivants modifiés. Certaines Parties ont mentionné que des documents d’orientation pour l’évaluation des aspects socio-économiques étaient déjà en place ou en cours d’élaboration. Plusieurs Parties ont indiqué que, au cours de la période couverte par l’établissement de rapports, les aspects socio-économiques avaient été pris en compte dans l’élaboration des politiques concernant les organismes vivants modifiés. Certaines de ces Parties ont décrit leur expérience à cet égard de manière plus détaillée et ont énuméré les éléments pris en compte dans leurs processus d’évaluation socio-économique, notamment</w:t>
      </w:r>
      <w:r w:rsidR="00CA1B90">
        <w:rPr>
          <w:lang w:val="fr-FR"/>
        </w:rPr>
        <w:t> :</w:t>
      </w:r>
      <w:r w:rsidRPr="00DF7CBC">
        <w:rPr>
          <w:lang w:val="fr-FR"/>
        </w:rPr>
        <w:t xml:space="preserve"> les revenus des agriculteurs</w:t>
      </w:r>
      <w:r w:rsidR="00D560E8">
        <w:rPr>
          <w:lang w:val="fr-FR"/>
        </w:rPr>
        <w:t> ;</w:t>
      </w:r>
      <w:r w:rsidRPr="00DF7CBC">
        <w:rPr>
          <w:lang w:val="fr-FR"/>
        </w:rPr>
        <w:t xml:space="preserve"> les revenus des ménages</w:t>
      </w:r>
      <w:r w:rsidR="00D560E8">
        <w:rPr>
          <w:lang w:val="fr-FR"/>
        </w:rPr>
        <w:t> ;</w:t>
      </w:r>
      <w:r w:rsidRPr="00DF7CBC">
        <w:rPr>
          <w:lang w:val="fr-FR"/>
        </w:rPr>
        <w:t xml:space="preserve"> les coûts de production et la rentabilité</w:t>
      </w:r>
      <w:r w:rsidR="00D560E8">
        <w:rPr>
          <w:lang w:val="fr-FR"/>
        </w:rPr>
        <w:t> ;</w:t>
      </w:r>
      <w:r w:rsidRPr="00DF7CBC">
        <w:rPr>
          <w:lang w:val="fr-FR"/>
        </w:rPr>
        <w:t xml:space="preserve"> la réduction de l’utilisation des pesticides et les cas d’empoisonnement par les pesticides</w:t>
      </w:r>
      <w:r w:rsidR="00D560E8">
        <w:rPr>
          <w:lang w:val="fr-FR"/>
        </w:rPr>
        <w:t> ;</w:t>
      </w:r>
      <w:r w:rsidRPr="00DF7CBC">
        <w:rPr>
          <w:lang w:val="fr-FR"/>
        </w:rPr>
        <w:t xml:space="preserve"> ainsi que les questions liées à l’acceptation par les communautés des organismes vivants modifiés. Une Partie a mentionné que les orientations élaborées par le Groupe spécial d’experts techniques sur les considérations socio-économiques avaient été prises en compte dans les évaluations des aspects socio-économiques au cours de l’élaboration des politiques concernant des micro-organismes vivants modifiés. Quelques Parties ont mentionné que le renforcement des capacités était nécessaire dans le domaine des considérations socio-économiques.</w:t>
      </w:r>
    </w:p>
    <w:p w14:paraId="7956B0C0" w14:textId="54776F19" w:rsidR="00E245CD" w:rsidRPr="00F8252B" w:rsidRDefault="00291F7C" w:rsidP="00E245CD">
      <w:pPr>
        <w:pStyle w:val="CBDNormalNumber"/>
        <w:rPr>
          <w:lang w:val="fr-FR"/>
        </w:rPr>
      </w:pPr>
      <w:r w:rsidRPr="00291F7C">
        <w:rPr>
          <w:lang w:val="fr-FR"/>
        </w:rPr>
        <w:t xml:space="preserve">Dans </w:t>
      </w:r>
      <w:r w:rsidR="009F4499">
        <w:rPr>
          <w:lang w:val="fr-FR"/>
        </w:rPr>
        <w:t>ces</w:t>
      </w:r>
      <w:r w:rsidRPr="00291F7C">
        <w:rPr>
          <w:lang w:val="fr-FR"/>
        </w:rPr>
        <w:t xml:space="preserve"> réponses sous forme de texte libre, plusieurs des Parties qui avaient indiqué que leur cadre réglementaire permettait la prise en compte de considérations socio-économiques ont précisé qu’aucune décision n’avait été prise au cours de la période considérée et que, par conséquent, ces considérations n’avaient pas été prises en compte. Certaines Parties ont indiqué que, bien que leur cadre réglementaire permette la prise en compte de considérations socio-économiques, dans la pratique, cette question n’était pas toujours examinée ou posait des difficultés d’ordre pratique.</w:t>
      </w:r>
    </w:p>
    <w:p w14:paraId="0DC79F54" w14:textId="1BD769DA" w:rsidR="00E245CD" w:rsidRPr="00F8252B" w:rsidRDefault="00F80604" w:rsidP="00E245CD">
      <w:pPr>
        <w:pStyle w:val="CBDNormalNumber"/>
        <w:rPr>
          <w:lang w:val="fr-FR"/>
        </w:rPr>
      </w:pPr>
      <w:r w:rsidRPr="00F80604">
        <w:rPr>
          <w:lang w:val="fr-FR"/>
        </w:rPr>
        <w:t>Plusieurs Parties ont indiqué que leur cadre réglementaire ne prévoyait pas la prise en compte de considérations socio-économiques. Certaines de ces Parties ont précisé que des mesures étaient en cours ou prévues pour leur permettre de tenir compte de ces considérations à l'avenir.</w:t>
      </w:r>
    </w:p>
    <w:p w14:paraId="3E380A72" w14:textId="3F3218B6" w:rsidR="00E245CD" w:rsidRPr="00F8252B" w:rsidRDefault="008D45D6" w:rsidP="00E245CD">
      <w:pPr>
        <w:pStyle w:val="CBDNormalNumber"/>
        <w:rPr>
          <w:lang w:val="fr-FR"/>
        </w:rPr>
      </w:pPr>
      <w:r>
        <w:rPr>
          <w:snapToGrid w:val="0"/>
          <w:lang w:val="fr-FR"/>
        </w:rPr>
        <w:t>Pour</w:t>
      </w:r>
      <w:r w:rsidR="00F80604" w:rsidRPr="00F80604">
        <w:rPr>
          <w:snapToGrid w:val="0"/>
          <w:lang w:val="fr-FR"/>
        </w:rPr>
        <w:t xml:space="preserve"> </w:t>
      </w:r>
      <w:r>
        <w:rPr>
          <w:snapToGrid w:val="0"/>
          <w:lang w:val="fr-FR"/>
        </w:rPr>
        <w:t>le but </w:t>
      </w:r>
      <w:r w:rsidR="00F80604" w:rsidRPr="00F80604">
        <w:rPr>
          <w:snapToGrid w:val="0"/>
          <w:lang w:val="fr-FR"/>
        </w:rPr>
        <w:t>A.9, deux domaines clés de renforcement des capacités ont été identifiés dans le cadre du plan d'action pour le renforcement des capacités</w:t>
      </w:r>
      <w:r w:rsidR="00CA1B90">
        <w:rPr>
          <w:snapToGrid w:val="0"/>
          <w:lang w:val="fr-FR"/>
        </w:rPr>
        <w:t> :</w:t>
      </w:r>
      <w:r w:rsidR="00F80604" w:rsidRPr="00F80604">
        <w:rPr>
          <w:snapToGrid w:val="0"/>
          <w:lang w:val="fr-FR"/>
        </w:rPr>
        <w:t xml:space="preserve"> a) le renforcement des capacités permettant de prendre en compte les considérations socio-économiques conformément à l'article</w:t>
      </w:r>
      <w:r w:rsidR="00F80604">
        <w:rPr>
          <w:snapToGrid w:val="0"/>
          <w:lang w:val="fr-FR"/>
        </w:rPr>
        <w:t> </w:t>
      </w:r>
      <w:r w:rsidR="00F80604" w:rsidRPr="00F80604">
        <w:rPr>
          <w:snapToGrid w:val="0"/>
          <w:lang w:val="fr-FR"/>
        </w:rPr>
        <w:t>26</w:t>
      </w:r>
      <w:r w:rsidR="00D560E8">
        <w:rPr>
          <w:snapToGrid w:val="0"/>
          <w:lang w:val="fr-FR"/>
        </w:rPr>
        <w:t> ;</w:t>
      </w:r>
      <w:r w:rsidR="00F80604" w:rsidRPr="00F80604">
        <w:rPr>
          <w:snapToGrid w:val="0"/>
          <w:lang w:val="fr-FR"/>
        </w:rPr>
        <w:t xml:space="preserve"> et b) l'élaboration de documents de référence sur les considérations socio-économiques et l'accès à ces derniers.</w:t>
      </w:r>
    </w:p>
    <w:p w14:paraId="26D6E240" w14:textId="133F725B" w:rsidR="00160529" w:rsidRPr="00F8252B" w:rsidRDefault="008C33AB" w:rsidP="00E245CD">
      <w:pPr>
        <w:pStyle w:val="CBDNormalNumber"/>
        <w:rPr>
          <w:lang w:val="fr-FR"/>
        </w:rPr>
      </w:pPr>
      <w:r w:rsidRPr="008C33AB">
        <w:rPr>
          <w:snapToGrid w:val="0"/>
          <w:kern w:val="22"/>
          <w:lang w:val="fr-FR"/>
        </w:rPr>
        <w:t>Sur les 100</w:t>
      </w:r>
      <w:r w:rsidR="00BD4BB6">
        <w:rPr>
          <w:snapToGrid w:val="0"/>
          <w:kern w:val="22"/>
          <w:lang w:val="fr-FR"/>
        </w:rPr>
        <w:t> </w:t>
      </w:r>
      <w:r w:rsidRPr="008C33AB">
        <w:rPr>
          <w:snapToGrid w:val="0"/>
          <w:kern w:val="22"/>
          <w:lang w:val="fr-FR"/>
        </w:rPr>
        <w:t>Parties ayant indiqué qu'elles avaient encore des besoins de renforcement des capacités, 73</w:t>
      </w:r>
      <w:r w:rsidR="00667501">
        <w:rPr>
          <w:snapToGrid w:val="0"/>
          <w:kern w:val="22"/>
          <w:lang w:val="fr-FR"/>
        </w:rPr>
        <w:t> %</w:t>
      </w:r>
      <w:r w:rsidRPr="008C33AB">
        <w:rPr>
          <w:snapToGrid w:val="0"/>
          <w:kern w:val="22"/>
          <w:lang w:val="fr-FR"/>
        </w:rPr>
        <w:t xml:space="preserve"> ont précisé que ces besoins concernaient le développement des capacités dans le domaine des aspects socio-économiques (soit une augmentation de 3</w:t>
      </w:r>
      <w:r w:rsidR="00667501">
        <w:rPr>
          <w:snapToGrid w:val="0"/>
          <w:kern w:val="22"/>
          <w:lang w:val="fr-FR"/>
        </w:rPr>
        <w:t> %</w:t>
      </w:r>
      <w:r w:rsidRPr="008C33AB">
        <w:rPr>
          <w:snapToGrid w:val="0"/>
          <w:kern w:val="22"/>
          <w:lang w:val="fr-FR"/>
        </w:rPr>
        <w:t xml:space="preserve"> par rapport à la référence). Sur les 98</w:t>
      </w:r>
      <w:r w:rsidR="00BD4BB6">
        <w:rPr>
          <w:snapToGrid w:val="0"/>
          <w:kern w:val="22"/>
          <w:lang w:val="fr-FR"/>
        </w:rPr>
        <w:t> </w:t>
      </w:r>
      <w:r w:rsidRPr="008C33AB">
        <w:rPr>
          <w:snapToGrid w:val="0"/>
          <w:kern w:val="22"/>
          <w:lang w:val="fr-FR"/>
        </w:rPr>
        <w:t>Parties</w:t>
      </w:r>
      <w:r w:rsidR="00E245CD" w:rsidRPr="00F8252B">
        <w:rPr>
          <w:vertAlign w:val="superscript"/>
          <w:lang w:val="fr-FR"/>
        </w:rPr>
        <w:footnoteReference w:id="46"/>
      </w:r>
      <w:r w:rsidR="00E245CD" w:rsidRPr="00F8252B">
        <w:rPr>
          <w:snapToGrid w:val="0"/>
          <w:kern w:val="22"/>
          <w:lang w:val="fr-FR"/>
        </w:rPr>
        <w:t xml:space="preserve"> </w:t>
      </w:r>
      <w:r w:rsidR="00BD4BB6" w:rsidRPr="00BD4BB6">
        <w:rPr>
          <w:snapToGrid w:val="0"/>
          <w:kern w:val="22"/>
          <w:lang w:val="fr-FR"/>
        </w:rPr>
        <w:t>qui ont déclaré avoir mené des activités visant à développer et/ou à renforcer les ressources humaines et les capacités institutionnelles en matière de prévention des risques biotechnologiques, 26</w:t>
      </w:r>
      <w:r w:rsidR="00667501">
        <w:rPr>
          <w:snapToGrid w:val="0"/>
          <w:kern w:val="22"/>
          <w:lang w:val="fr-FR"/>
        </w:rPr>
        <w:t> %</w:t>
      </w:r>
      <w:r w:rsidR="00BD4BB6" w:rsidRPr="00BD4BB6">
        <w:rPr>
          <w:snapToGrid w:val="0"/>
          <w:kern w:val="22"/>
          <w:lang w:val="fr-FR"/>
        </w:rPr>
        <w:t xml:space="preserve"> ont indiqué que ces activités avaient porté sur les aspects socio-économiques (soit une baisse de </w:t>
      </w:r>
      <w:r w:rsidR="00C12257">
        <w:rPr>
          <w:snapToGrid w:val="0"/>
          <w:kern w:val="22"/>
          <w:lang w:val="fr-FR"/>
        </w:rPr>
        <w:t> </w:t>
      </w:r>
      <w:r w:rsidR="00667501">
        <w:rPr>
          <w:snapToGrid w:val="0"/>
          <w:kern w:val="22"/>
          <w:lang w:val="fr-FR"/>
        </w:rPr>
        <w:t> %</w:t>
      </w:r>
      <w:r w:rsidR="00BD4BB6" w:rsidRPr="00BD4BB6">
        <w:rPr>
          <w:snapToGrid w:val="0"/>
          <w:kern w:val="22"/>
          <w:lang w:val="fr-FR"/>
        </w:rPr>
        <w:t xml:space="preserve"> par rapport à la situation de référence).</w:t>
      </w:r>
      <w:r w:rsidR="00160529" w:rsidRPr="00F8252B">
        <w:rPr>
          <w:bCs/>
          <w:iCs/>
          <w:snapToGrid w:val="0"/>
          <w:kern w:val="22"/>
          <w:lang w:val="fr-FR"/>
        </w:rPr>
        <w:t xml:space="preserve"> </w:t>
      </w:r>
    </w:p>
    <w:p w14:paraId="3869C8B4" w14:textId="5AE65B4A" w:rsidR="00A57B39" w:rsidRPr="00F8252B" w:rsidRDefault="00B265AB" w:rsidP="00FA2932">
      <w:pPr>
        <w:pStyle w:val="CBDH2"/>
        <w:rPr>
          <w:snapToGrid w:val="0"/>
          <w:lang w:val="fr-FR"/>
        </w:rPr>
      </w:pPr>
      <w:r w:rsidRPr="00F8252B">
        <w:rPr>
          <w:snapToGrid w:val="0"/>
          <w:lang w:val="fr-FR"/>
        </w:rPr>
        <w:t>J.</w:t>
      </w:r>
      <w:r w:rsidRPr="00F8252B">
        <w:rPr>
          <w:snapToGrid w:val="0"/>
          <w:lang w:val="fr-FR"/>
        </w:rPr>
        <w:tab/>
      </w:r>
      <w:r w:rsidR="00E245CD" w:rsidRPr="00F8252B">
        <w:rPr>
          <w:snapToGrid w:val="0"/>
          <w:lang w:val="fr-FR"/>
        </w:rPr>
        <w:t>But </w:t>
      </w:r>
      <w:r w:rsidR="00CE1F70" w:rsidRPr="00F8252B">
        <w:rPr>
          <w:snapToGrid w:val="0"/>
          <w:lang w:val="fr-FR"/>
        </w:rPr>
        <w:t xml:space="preserve">A.10. </w:t>
      </w:r>
      <w:r w:rsidR="00626DFC" w:rsidRPr="00F8252B">
        <w:rPr>
          <w:lang w:val="fr-FR"/>
        </w:rPr>
        <w:t>Les Parties au Protocole de Cartagena deviennent Parties au Protocole additionnel de Nagoya – Kuala Lumpur sur la responsabilité et la réparation, et ont mis en place des mesures pour s’acquitter de leurs obligations au titre du</w:t>
      </w:r>
      <w:r w:rsidR="00CE1F70" w:rsidRPr="00F8252B">
        <w:rPr>
          <w:snapToGrid w:val="0"/>
          <w:lang w:val="fr-FR"/>
        </w:rPr>
        <w:t xml:space="preserve"> </w:t>
      </w:r>
      <w:r w:rsidR="002E6BA1" w:rsidRPr="00F8252B">
        <w:rPr>
          <w:lang w:val="fr-FR"/>
        </w:rPr>
        <w:t>Protocole additionnel</w:t>
      </w:r>
    </w:p>
    <w:p w14:paraId="1394CC92" w14:textId="64D51668" w:rsidR="00907F27" w:rsidRPr="00F8252B" w:rsidRDefault="00B265AB" w:rsidP="00FA2932">
      <w:pPr>
        <w:pStyle w:val="CBDH4"/>
        <w:rPr>
          <w:snapToGrid w:val="0"/>
          <w:lang w:val="fr-FR"/>
        </w:rPr>
      </w:pPr>
      <w:r w:rsidRPr="00F8252B">
        <w:rPr>
          <w:snapToGrid w:val="0"/>
          <w:lang w:val="fr-FR"/>
        </w:rPr>
        <w:t>a)</w:t>
      </w:r>
      <w:r w:rsidRPr="00F8252B">
        <w:rPr>
          <w:snapToGrid w:val="0"/>
          <w:lang w:val="fr-FR"/>
        </w:rPr>
        <w:tab/>
      </w:r>
      <w:r w:rsidR="002E6BA1" w:rsidRPr="00F8252B">
        <w:rPr>
          <w:snapToGrid w:val="0"/>
          <w:lang w:val="fr-FR"/>
        </w:rPr>
        <w:t xml:space="preserve">Chiffres clés et </w:t>
      </w:r>
      <w:r w:rsidR="0035077E" w:rsidRPr="00F8252B">
        <w:rPr>
          <w:snapToGrid w:val="0"/>
          <w:lang w:val="fr-FR"/>
        </w:rPr>
        <w:t>éléments importants</w:t>
      </w:r>
      <w:r w:rsidR="00907F27" w:rsidRPr="00F8252B">
        <w:rPr>
          <w:snapToGrid w:val="0"/>
          <w:lang w:val="fr-FR"/>
        </w:rPr>
        <w:t xml:space="preserve"> </w:t>
      </w:r>
    </w:p>
    <w:p w14:paraId="7311EAFB" w14:textId="363E47E5" w:rsidR="00794D93" w:rsidRPr="00F8252B" w:rsidRDefault="00E8266E" w:rsidP="00794D93">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fr-FR"/>
        </w:rPr>
      </w:pPr>
      <w:r w:rsidRPr="00E8266E">
        <w:rPr>
          <w:lang w:val="fr-FR"/>
        </w:rPr>
        <w:t>Entre 2020 et 2025, huit pays ont adhéré au Protocole additionnel de Nagoya-Kuala Lumpur sur la responsabilité et la réparation, portant ainsi à 55 le nombre total de Parties au Protocole additionnel</w:t>
      </w:r>
      <w:r>
        <w:rPr>
          <w:lang w:val="fr-FR"/>
        </w:rPr>
        <w:t>.</w:t>
      </w:r>
    </w:p>
    <w:p w14:paraId="1170A4EF" w14:textId="63A06FAA" w:rsidR="00794D93" w:rsidRPr="00F8252B" w:rsidRDefault="00670277" w:rsidP="00794D93">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fr-FR"/>
        </w:rPr>
      </w:pPr>
      <w:r w:rsidRPr="00670277">
        <w:rPr>
          <w:snapToGrid w:val="0"/>
          <w:kern w:val="22"/>
          <w:lang w:val="fr-FR"/>
        </w:rPr>
        <w:lastRenderedPageBreak/>
        <w:t>Vingt-cinq pays ont indiqué qu'un processus national visant à devenir partie au Protocole additionnel était en cours</w:t>
      </w:r>
      <w:r>
        <w:rPr>
          <w:snapToGrid w:val="0"/>
          <w:kern w:val="22"/>
          <w:lang w:val="fr-FR"/>
        </w:rPr>
        <w:t>.</w:t>
      </w:r>
    </w:p>
    <w:p w14:paraId="29742125" w14:textId="2257BE64" w:rsidR="00794D93" w:rsidRPr="000B203E" w:rsidRDefault="000B203E" w:rsidP="00794D93">
      <w:pPr>
        <w:pStyle w:val="Paragraphedeliste"/>
        <w:numPr>
          <w:ilvl w:val="0"/>
          <w:numId w:val="11"/>
        </w:numPr>
        <w:suppressLineNumbers/>
        <w:suppressAutoHyphens/>
        <w:snapToGrid w:val="0"/>
        <w:spacing w:before="120" w:after="120"/>
        <w:ind w:left="993" w:hanging="425"/>
        <w:contextualSpacing w:val="0"/>
        <w:rPr>
          <w:iCs/>
          <w:snapToGrid w:val="0"/>
          <w:kern w:val="22"/>
          <w:lang w:val="fr-FR"/>
        </w:rPr>
      </w:pPr>
      <w:r w:rsidRPr="000B203E">
        <w:rPr>
          <w:lang w:val="fr-FR"/>
        </w:rPr>
        <w:t>Parmi les Parties au Protocole additionnel, 60</w:t>
      </w:r>
      <w:r w:rsidR="00667501">
        <w:rPr>
          <w:lang w:val="fr-FR"/>
        </w:rPr>
        <w:t> %</w:t>
      </w:r>
      <w:r w:rsidRPr="000B203E">
        <w:rPr>
          <w:lang w:val="fr-FR"/>
        </w:rPr>
        <w:t xml:space="preserve"> ont indiqué avoir pleinement mis en place les mesures nécessaires à la mise en œuvre du Protocole additionnel (+2</w:t>
      </w:r>
      <w:r w:rsidR="00667501">
        <w:rPr>
          <w:lang w:val="fr-FR"/>
        </w:rPr>
        <w:t> %</w:t>
      </w:r>
      <w:r w:rsidRPr="000B203E">
        <w:rPr>
          <w:lang w:val="fr-FR"/>
        </w:rPr>
        <w:t>)</w:t>
      </w:r>
      <w:r w:rsidR="00D560E8">
        <w:rPr>
          <w:lang w:val="fr-FR"/>
        </w:rPr>
        <w:t> ;</w:t>
      </w:r>
      <w:r w:rsidRPr="000B203E">
        <w:rPr>
          <w:lang w:val="fr-FR"/>
        </w:rPr>
        <w:t xml:space="preserve"> 7</w:t>
      </w:r>
      <w:r w:rsidR="00667501">
        <w:rPr>
          <w:lang w:val="fr-FR"/>
        </w:rPr>
        <w:t> %</w:t>
      </w:r>
      <w:r w:rsidRPr="000B203E">
        <w:rPr>
          <w:lang w:val="fr-FR"/>
        </w:rPr>
        <w:t xml:space="preserve"> ont indiqué que des mesures nationales étaient partiellement en place (aucun changement par rapport à la situation de référence)</w:t>
      </w:r>
      <w:r w:rsidR="00D560E8">
        <w:rPr>
          <w:lang w:val="fr-FR"/>
        </w:rPr>
        <w:t> ;</w:t>
      </w:r>
      <w:r w:rsidRPr="000B203E">
        <w:rPr>
          <w:lang w:val="fr-FR"/>
        </w:rPr>
        <w:t xml:space="preserve"> 2</w:t>
      </w:r>
      <w:r w:rsidR="00667501">
        <w:rPr>
          <w:lang w:val="fr-FR"/>
        </w:rPr>
        <w:t> %</w:t>
      </w:r>
      <w:r w:rsidRPr="000B203E">
        <w:rPr>
          <w:lang w:val="fr-FR"/>
        </w:rPr>
        <w:t xml:space="preserve"> ont indiqué que seuls des projets de mesures existaient et 2</w:t>
      </w:r>
      <w:r w:rsidR="00667501">
        <w:rPr>
          <w:lang w:val="fr-FR"/>
        </w:rPr>
        <w:t> %</w:t>
      </w:r>
      <w:r w:rsidRPr="000B203E">
        <w:rPr>
          <w:lang w:val="fr-FR"/>
        </w:rPr>
        <w:t xml:space="preserve"> ont indiqué que seules des mesures temporaires avaient été prises (aucun changement par rapport à la situation de référence dans les deux cas)</w:t>
      </w:r>
      <w:r w:rsidR="00D560E8">
        <w:rPr>
          <w:lang w:val="fr-FR"/>
        </w:rPr>
        <w:t> ;</w:t>
      </w:r>
      <w:r w:rsidRPr="000B203E">
        <w:rPr>
          <w:lang w:val="fr-FR"/>
        </w:rPr>
        <w:t xml:space="preserve"> et 29</w:t>
      </w:r>
      <w:r w:rsidR="00667501">
        <w:rPr>
          <w:lang w:val="fr-FR"/>
        </w:rPr>
        <w:t> %</w:t>
      </w:r>
      <w:r w:rsidRPr="000B203E">
        <w:rPr>
          <w:lang w:val="fr-FR"/>
        </w:rPr>
        <w:t xml:space="preserve"> ont indiqué qu’aucune mesure n’avait encore été prise (-2</w:t>
      </w:r>
      <w:r w:rsidR="00667501">
        <w:rPr>
          <w:lang w:val="fr-FR"/>
        </w:rPr>
        <w:t> %</w:t>
      </w:r>
      <w:r w:rsidRPr="000B203E">
        <w:rPr>
          <w:lang w:val="fr-FR"/>
        </w:rPr>
        <w:t>)</w:t>
      </w:r>
      <w:r w:rsidR="0085060F">
        <w:rPr>
          <w:lang w:val="fr-FR"/>
        </w:rPr>
        <w:t>.</w:t>
      </w:r>
    </w:p>
    <w:p w14:paraId="63B7718D" w14:textId="1DF3EF29" w:rsidR="001A205D" w:rsidRPr="00F8252B" w:rsidRDefault="0085060F" w:rsidP="00794D93">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iCs/>
          <w:snapToGrid w:val="0"/>
          <w:kern w:val="22"/>
          <w:lang w:val="fr-FR"/>
        </w:rPr>
      </w:pPr>
      <w:r w:rsidRPr="0085060F">
        <w:rPr>
          <w:iCs/>
          <w:snapToGrid w:val="0"/>
          <w:kern w:val="22"/>
          <w:lang w:val="fr-FR"/>
        </w:rPr>
        <w:t>Quatre-vingt-deux pour cent des Parties au Protocole additionnel de Nagoya-Kuala Lumpur sur la responsabilité et la réparation ont rendu compte de l'application dudit protocole dans leur cinquième rapport national.</w:t>
      </w:r>
    </w:p>
    <w:p w14:paraId="08E14D49" w14:textId="5342032A" w:rsidR="00683C97" w:rsidRPr="00F8252B" w:rsidRDefault="00683C97" w:rsidP="00FA2932">
      <w:pPr>
        <w:pStyle w:val="CBDH4"/>
        <w:rPr>
          <w:snapToGrid w:val="0"/>
          <w:lang w:val="fr-FR"/>
        </w:rPr>
      </w:pPr>
      <w:r w:rsidRPr="00F8252B">
        <w:rPr>
          <w:snapToGrid w:val="0"/>
          <w:lang w:val="fr-FR"/>
        </w:rPr>
        <w:t>b)</w:t>
      </w:r>
      <w:r w:rsidRPr="00F8252B">
        <w:rPr>
          <w:snapToGrid w:val="0"/>
          <w:lang w:val="fr-FR"/>
        </w:rPr>
        <w:tab/>
        <w:t>Analys</w:t>
      </w:r>
      <w:r w:rsidR="002E6BA1" w:rsidRPr="00F8252B">
        <w:rPr>
          <w:snapToGrid w:val="0"/>
          <w:lang w:val="fr-FR"/>
        </w:rPr>
        <w:t xml:space="preserve">e des </w:t>
      </w:r>
      <w:r w:rsidRPr="00F8252B">
        <w:rPr>
          <w:snapToGrid w:val="0"/>
          <w:lang w:val="fr-FR"/>
        </w:rPr>
        <w:t>information</w:t>
      </w:r>
      <w:r w:rsidR="002E6BA1" w:rsidRPr="00F8252B">
        <w:rPr>
          <w:snapToGrid w:val="0"/>
          <w:lang w:val="fr-FR"/>
        </w:rPr>
        <w:t>s</w:t>
      </w:r>
    </w:p>
    <w:p w14:paraId="4B1AE070" w14:textId="3AF8FD00" w:rsidR="00BE43E7" w:rsidRPr="009378CE" w:rsidRDefault="009378CE" w:rsidP="00BE43E7">
      <w:pPr>
        <w:pStyle w:val="CBDNormalNumber"/>
        <w:numPr>
          <w:ilvl w:val="0"/>
          <w:numId w:val="4"/>
        </w:numPr>
        <w:rPr>
          <w:lang w:val="fr-FR"/>
        </w:rPr>
      </w:pPr>
      <w:r w:rsidRPr="009378CE">
        <w:rPr>
          <w:snapToGrid w:val="0"/>
          <w:kern w:val="22"/>
          <w:lang w:val="fr-FR"/>
        </w:rPr>
        <w:t>Le but A.10 comprend trois objectifs à atteindre pour réaliser ce but, ainsi que trois indicateurs permettant de mesurer les progrès accomplis dans la réalisation de ces objectifs.</w:t>
      </w:r>
    </w:p>
    <w:p w14:paraId="612106F2" w14:textId="1304D2FD" w:rsidR="00BE43E7" w:rsidRPr="00F8252B" w:rsidRDefault="00E438BA" w:rsidP="00BE43E7">
      <w:pPr>
        <w:pStyle w:val="CBDNormalNumber"/>
        <w:numPr>
          <w:ilvl w:val="0"/>
          <w:numId w:val="4"/>
        </w:numPr>
        <w:rPr>
          <w:lang w:val="fr-FR"/>
        </w:rPr>
      </w:pPr>
      <w:r>
        <w:rPr>
          <w:bCs/>
          <w:iCs/>
          <w:snapToGrid w:val="0"/>
          <w:kern w:val="22"/>
          <w:lang w:val="fr-FR"/>
        </w:rPr>
        <w:t>Pour</w:t>
      </w:r>
      <w:r w:rsidR="0028584A" w:rsidRPr="0028584A">
        <w:rPr>
          <w:bCs/>
          <w:iCs/>
          <w:snapToGrid w:val="0"/>
          <w:kern w:val="22"/>
          <w:lang w:val="fr-FR"/>
        </w:rPr>
        <w:t xml:space="preserve"> l'indicateur A.10</w:t>
      </w:r>
      <w:r w:rsidR="0028584A">
        <w:rPr>
          <w:bCs/>
          <w:iCs/>
          <w:snapToGrid w:val="0"/>
          <w:kern w:val="22"/>
          <w:lang w:val="fr-FR"/>
        </w:rPr>
        <w:t> </w:t>
      </w:r>
      <w:r w:rsidR="0028584A" w:rsidRPr="0028584A">
        <w:rPr>
          <w:bCs/>
          <w:iCs/>
          <w:snapToGrid w:val="0"/>
          <w:kern w:val="22"/>
          <w:lang w:val="fr-FR"/>
        </w:rPr>
        <w:t>a) (pourcentage des Parties au Protocole de Cartagena qui sont devenues Parties au Protocole additionnel), les informations relatives à l'état d'avancement des ratifications ont été utilisées pour mesurer les progrès accomplis. Au cours de la période considérée, huit Parties au Protocole de Cartagena ont déposé leur instrument de ratification, d’acceptation, d’approbation ou d’adhésion au Protocole additionnel, portant le nombre total de Parties à 55, soit 32</w:t>
      </w:r>
      <w:r w:rsidR="00667501">
        <w:rPr>
          <w:bCs/>
          <w:iCs/>
          <w:snapToGrid w:val="0"/>
          <w:kern w:val="22"/>
          <w:lang w:val="fr-FR"/>
        </w:rPr>
        <w:t> %</w:t>
      </w:r>
      <w:r w:rsidR="0028584A" w:rsidRPr="0028584A">
        <w:rPr>
          <w:bCs/>
          <w:iCs/>
          <w:snapToGrid w:val="0"/>
          <w:kern w:val="22"/>
          <w:lang w:val="fr-FR"/>
        </w:rPr>
        <w:t xml:space="preserve"> des Parties au Protocole de Cartagena.</w:t>
      </w:r>
      <w:r w:rsidR="00BE43E7" w:rsidRPr="00F8252B">
        <w:rPr>
          <w:lang w:val="fr-FR"/>
        </w:rPr>
        <w:t xml:space="preserve"> </w:t>
      </w:r>
    </w:p>
    <w:p w14:paraId="4B145F16" w14:textId="596CE1A4" w:rsidR="00BE43E7" w:rsidRPr="001E3BA7" w:rsidRDefault="001E3BA7" w:rsidP="00BE43E7">
      <w:pPr>
        <w:pStyle w:val="CBDNormalNumber"/>
        <w:numPr>
          <w:ilvl w:val="0"/>
          <w:numId w:val="4"/>
        </w:numPr>
        <w:rPr>
          <w:lang w:val="fr-FR"/>
        </w:rPr>
      </w:pPr>
      <w:r w:rsidRPr="0020020D">
        <w:rPr>
          <w:lang w:val="fr-FR"/>
        </w:rPr>
        <w:t>Vingt-cinq Parties ont indiqué qu’un processus national visant à devenir Partie au Protocole additionnel était en cours</w:t>
      </w:r>
      <w:r w:rsidR="00BE43E7" w:rsidRPr="00F8252B">
        <w:rPr>
          <w:rStyle w:val="Appelnotedebasdep"/>
          <w:lang w:val="fr-FR"/>
        </w:rPr>
        <w:footnoteReference w:id="47"/>
      </w:r>
      <w:r>
        <w:t>.</w:t>
      </w:r>
      <w:r w:rsidR="00BE43E7" w:rsidRPr="001E3BA7">
        <w:rPr>
          <w:lang w:val="fr-FR"/>
        </w:rPr>
        <w:t xml:space="preserve"> </w:t>
      </w:r>
      <w:r w:rsidR="0020020D" w:rsidRPr="0020020D">
        <w:rPr>
          <w:lang w:val="fr-FR"/>
        </w:rPr>
        <w:t>Seize de ces Parties se trouvaient dans la région Afrique</w:t>
      </w:r>
      <w:r w:rsidR="00D560E8">
        <w:rPr>
          <w:lang w:val="fr-FR"/>
        </w:rPr>
        <w:t> ;</w:t>
      </w:r>
      <w:r w:rsidR="0020020D" w:rsidRPr="0020020D">
        <w:rPr>
          <w:lang w:val="fr-FR"/>
        </w:rPr>
        <w:t xml:space="preserve"> quatre dans la région Asie-Pacifique</w:t>
      </w:r>
      <w:r w:rsidR="00D560E8">
        <w:rPr>
          <w:lang w:val="fr-FR"/>
        </w:rPr>
        <w:t> ;</w:t>
      </w:r>
      <w:r w:rsidR="0020020D" w:rsidRPr="0020020D">
        <w:rPr>
          <w:lang w:val="fr-FR"/>
        </w:rPr>
        <w:t xml:space="preserve"> trois dans la région Amérique latine et Caraïbes</w:t>
      </w:r>
      <w:r w:rsidR="00D560E8">
        <w:rPr>
          <w:lang w:val="fr-FR"/>
        </w:rPr>
        <w:t> ;</w:t>
      </w:r>
      <w:r w:rsidR="0020020D" w:rsidRPr="0020020D">
        <w:rPr>
          <w:lang w:val="fr-FR"/>
        </w:rPr>
        <w:t xml:space="preserve"> et une dans la région Europe de l’Est et une autre dans la région Europe occidentale et autres États.</w:t>
      </w:r>
    </w:p>
    <w:p w14:paraId="67909B6B" w14:textId="7EA57B16" w:rsidR="00BE43E7" w:rsidRPr="00F8252B" w:rsidRDefault="00E438BA" w:rsidP="00BE43E7">
      <w:pPr>
        <w:pStyle w:val="CBDNormalNumber"/>
        <w:numPr>
          <w:ilvl w:val="0"/>
          <w:numId w:val="4"/>
        </w:numPr>
        <w:rPr>
          <w:lang w:val="fr-FR"/>
        </w:rPr>
      </w:pPr>
      <w:r>
        <w:rPr>
          <w:lang w:val="fr-FR"/>
        </w:rPr>
        <w:t>Pour</w:t>
      </w:r>
      <w:r w:rsidR="002B6C82" w:rsidRPr="002B6C82">
        <w:rPr>
          <w:lang w:val="fr-FR"/>
        </w:rPr>
        <w:t xml:space="preserve"> l’indicateur A.10</w:t>
      </w:r>
      <w:r w:rsidR="002B6C82">
        <w:rPr>
          <w:lang w:val="fr-FR"/>
        </w:rPr>
        <w:t> </w:t>
      </w:r>
      <w:r w:rsidR="002B6C82" w:rsidRPr="002B6C82">
        <w:rPr>
          <w:lang w:val="fr-FR"/>
        </w:rPr>
        <w:t>b) (pourcentage des Parties au Protocole additionnel ayant mis en place les mesures nécessaires pour appliquer les dispositions du Protocole additionnel), ce sont les informations fournies en réponse à la question</w:t>
      </w:r>
      <w:r w:rsidR="002B6C82">
        <w:rPr>
          <w:lang w:val="fr-FR"/>
        </w:rPr>
        <w:t> </w:t>
      </w:r>
      <w:r w:rsidR="002B6C82" w:rsidRPr="002B6C82">
        <w:rPr>
          <w:lang w:val="fr-FR"/>
        </w:rPr>
        <w:t>160 du cinquième rapport national qui ont été utilisées pour mesurer les progrès accomplis. Parmi les Parties au Protocole additionnel, 60</w:t>
      </w:r>
      <w:r w:rsidR="00667501">
        <w:rPr>
          <w:lang w:val="fr-FR"/>
        </w:rPr>
        <w:t> %</w:t>
      </w:r>
      <w:r w:rsidR="002B6C82" w:rsidRPr="002B6C82">
        <w:rPr>
          <w:lang w:val="fr-FR"/>
        </w:rPr>
        <w:t xml:space="preserve"> (27</w:t>
      </w:r>
      <w:r w:rsidR="002B6C82">
        <w:rPr>
          <w:lang w:val="fr-FR"/>
        </w:rPr>
        <w:t> </w:t>
      </w:r>
      <w:r w:rsidR="002B6C82" w:rsidRPr="002B6C82">
        <w:rPr>
          <w:lang w:val="fr-FR"/>
        </w:rPr>
        <w:t>Parties) ont indiqué avoir pleinement mis en place les mesures nécessaires à la mise en œuvre du Protocole additionnel (soit une augmentation de 2</w:t>
      </w:r>
      <w:r w:rsidR="00667501">
        <w:rPr>
          <w:lang w:val="fr-FR"/>
        </w:rPr>
        <w:t> %</w:t>
      </w:r>
      <w:r w:rsidR="002B6C82" w:rsidRPr="002B6C82">
        <w:rPr>
          <w:lang w:val="fr-FR"/>
        </w:rPr>
        <w:t>) et 7</w:t>
      </w:r>
      <w:r w:rsidR="00667501">
        <w:rPr>
          <w:lang w:val="fr-FR"/>
        </w:rPr>
        <w:t> %</w:t>
      </w:r>
      <w:r w:rsidR="002B6C82" w:rsidRPr="002B6C82">
        <w:rPr>
          <w:lang w:val="fr-FR"/>
        </w:rPr>
        <w:t xml:space="preserve"> (3</w:t>
      </w:r>
      <w:r w:rsidR="002B6C82">
        <w:rPr>
          <w:lang w:val="fr-FR"/>
        </w:rPr>
        <w:t> </w:t>
      </w:r>
      <w:r w:rsidR="002B6C82" w:rsidRPr="002B6C82">
        <w:rPr>
          <w:lang w:val="fr-FR"/>
        </w:rPr>
        <w:t>Parties) ont indiqué que des mesures nationales étaient partiellement en place (aucun changement par rapport à la situation de référence). Deux pour cent des Parties (1</w:t>
      </w:r>
      <w:r w:rsidR="002B6C82">
        <w:rPr>
          <w:lang w:val="fr-FR"/>
        </w:rPr>
        <w:t> </w:t>
      </w:r>
      <w:r w:rsidR="002B6C82" w:rsidRPr="002B6C82">
        <w:rPr>
          <w:lang w:val="fr-FR"/>
        </w:rPr>
        <w:t>Partie) ont indiqué qu’il n’existait que des projets de mesures et 2</w:t>
      </w:r>
      <w:r w:rsidR="00667501">
        <w:rPr>
          <w:lang w:val="fr-FR"/>
        </w:rPr>
        <w:t> %</w:t>
      </w:r>
      <w:r w:rsidR="002B6C82" w:rsidRPr="002B6C82">
        <w:rPr>
          <w:lang w:val="fr-FR"/>
        </w:rPr>
        <w:t xml:space="preserve"> des Parties (1</w:t>
      </w:r>
      <w:r w:rsidR="002B6C82">
        <w:rPr>
          <w:lang w:val="fr-FR"/>
        </w:rPr>
        <w:t> </w:t>
      </w:r>
      <w:r w:rsidR="002B6C82" w:rsidRPr="002B6C82">
        <w:rPr>
          <w:lang w:val="fr-FR"/>
        </w:rPr>
        <w:t>Partie) ont indiqué que seules des mesures temporaires avaient été prises (aucun changement par rapport à la situation de référence dans les deux cas), tandis que 29</w:t>
      </w:r>
      <w:r w:rsidR="00667501">
        <w:rPr>
          <w:lang w:val="fr-FR"/>
        </w:rPr>
        <w:t> %</w:t>
      </w:r>
      <w:r w:rsidR="002B6C82" w:rsidRPr="002B6C82">
        <w:rPr>
          <w:lang w:val="fr-FR"/>
        </w:rPr>
        <w:t xml:space="preserve"> (13</w:t>
      </w:r>
      <w:r w:rsidR="002B6C82">
        <w:rPr>
          <w:lang w:val="fr-FR"/>
        </w:rPr>
        <w:t> </w:t>
      </w:r>
      <w:r w:rsidR="002B6C82" w:rsidRPr="002B6C82">
        <w:rPr>
          <w:lang w:val="fr-FR"/>
        </w:rPr>
        <w:t>Parties) ont indiqué qu’aucune mesure n’avait encore été prise (soit une baisse de 2</w:t>
      </w:r>
      <w:r w:rsidR="00667501">
        <w:rPr>
          <w:lang w:val="fr-FR"/>
        </w:rPr>
        <w:t> %</w:t>
      </w:r>
      <w:r w:rsidR="002B6C82" w:rsidRPr="002B6C82">
        <w:rPr>
          <w:lang w:val="fr-FR"/>
        </w:rPr>
        <w:t>) (voir Figure</w:t>
      </w:r>
      <w:r w:rsidR="002B6C82">
        <w:rPr>
          <w:lang w:val="fr-FR"/>
        </w:rPr>
        <w:t> </w:t>
      </w:r>
      <w:r w:rsidR="002B6C82" w:rsidRPr="002B6C82">
        <w:rPr>
          <w:lang w:val="fr-FR"/>
        </w:rPr>
        <w:t>VII).</w:t>
      </w:r>
    </w:p>
    <w:p w14:paraId="31A73C34" w14:textId="6DFE9419" w:rsidR="00BE43E7" w:rsidRPr="00F8252B" w:rsidRDefault="001051B0" w:rsidP="00BE43E7">
      <w:pPr>
        <w:pStyle w:val="CBDNormalNumber"/>
        <w:numPr>
          <w:ilvl w:val="0"/>
          <w:numId w:val="4"/>
        </w:numPr>
        <w:rPr>
          <w:lang w:val="fr-FR"/>
        </w:rPr>
      </w:pPr>
      <w:r w:rsidRPr="001051B0">
        <w:rPr>
          <w:lang w:val="fr-FR"/>
        </w:rPr>
        <w:t>Aucun changement par rapport à la situation de référence n'a été observé au niveau régional, à l'exception de la région africaine, où l'on constate des disparités régionales marquées quant au degré d'adoption des mesures. Plus précisément</w:t>
      </w:r>
      <w:r w:rsidR="00CA1B90">
        <w:rPr>
          <w:lang w:val="fr-FR"/>
        </w:rPr>
        <w:t> :</w:t>
      </w:r>
    </w:p>
    <w:p w14:paraId="77BD52AE" w14:textId="3A6C5147" w:rsidR="00BE43E7" w:rsidRPr="00EF1A81" w:rsidRDefault="00EF1A81" w:rsidP="00BE43E7">
      <w:pPr>
        <w:pStyle w:val="Paragraphedeliste"/>
        <w:numPr>
          <w:ilvl w:val="0"/>
          <w:numId w:val="11"/>
        </w:numPr>
        <w:suppressLineNumbers/>
        <w:suppressAutoHyphens/>
        <w:snapToGrid w:val="0"/>
        <w:spacing w:before="120" w:after="120"/>
        <w:ind w:left="993" w:hanging="425"/>
        <w:contextualSpacing w:val="0"/>
        <w:rPr>
          <w:lang w:val="fr-FR"/>
        </w:rPr>
      </w:pPr>
      <w:r w:rsidRPr="00EF1A81">
        <w:rPr>
          <w:lang w:val="fr-FR"/>
        </w:rPr>
        <w:t>Dans la région Amérique latine et Caraïbes, 100</w:t>
      </w:r>
      <w:r w:rsidR="00667501">
        <w:rPr>
          <w:lang w:val="fr-FR"/>
        </w:rPr>
        <w:t> %</w:t>
      </w:r>
      <w:r w:rsidRPr="00EF1A81">
        <w:rPr>
          <w:lang w:val="fr-FR"/>
        </w:rPr>
        <w:t xml:space="preserve"> des Parties au Protocole additionnel ont établi des rapports indiquant qu'aucune mesure n'avait été prise</w:t>
      </w:r>
    </w:p>
    <w:p w14:paraId="3519DB77" w14:textId="7663F4F2" w:rsidR="00BE43E7" w:rsidRPr="00EF1A81" w:rsidRDefault="00EF1A81" w:rsidP="00BE43E7">
      <w:pPr>
        <w:pStyle w:val="Paragraphedeliste"/>
        <w:numPr>
          <w:ilvl w:val="0"/>
          <w:numId w:val="11"/>
        </w:numPr>
        <w:suppressLineNumbers/>
        <w:suppressAutoHyphens/>
        <w:snapToGrid w:val="0"/>
        <w:spacing w:before="120" w:after="120"/>
        <w:ind w:left="993" w:hanging="425"/>
        <w:contextualSpacing w:val="0"/>
        <w:rPr>
          <w:lang w:val="fr-FR"/>
        </w:rPr>
      </w:pPr>
      <w:r w:rsidRPr="00EF1A81">
        <w:rPr>
          <w:lang w:val="fr-FR"/>
        </w:rPr>
        <w:t>Dans la région Asie-Pacifique, 50</w:t>
      </w:r>
      <w:r w:rsidR="00667501">
        <w:rPr>
          <w:lang w:val="fr-FR"/>
        </w:rPr>
        <w:t> %</w:t>
      </w:r>
      <w:r w:rsidRPr="00EF1A81">
        <w:rPr>
          <w:lang w:val="fr-FR"/>
        </w:rPr>
        <w:t xml:space="preserve"> des Parties ont indiqué n'avoir pris que des mesures temporaires et 50</w:t>
      </w:r>
      <w:r w:rsidR="00667501">
        <w:rPr>
          <w:lang w:val="fr-FR"/>
        </w:rPr>
        <w:t> %</w:t>
      </w:r>
      <w:r w:rsidRPr="00EF1A81">
        <w:rPr>
          <w:lang w:val="fr-FR"/>
        </w:rPr>
        <w:t xml:space="preserve"> ont indiqué n'avoir pris aucune mesure</w:t>
      </w:r>
    </w:p>
    <w:p w14:paraId="3C05409E" w14:textId="004C5ACF" w:rsidR="00BE43E7" w:rsidRPr="00F8252B" w:rsidRDefault="00BB1F35" w:rsidP="00BE43E7">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lang w:val="fr-FR"/>
        </w:rPr>
      </w:pPr>
      <w:r w:rsidRPr="00BB1F35">
        <w:rPr>
          <w:lang w:val="fr-FR"/>
        </w:rPr>
        <w:t xml:space="preserve">Dans la région </w:t>
      </w:r>
      <w:r>
        <w:rPr>
          <w:lang w:val="fr-FR"/>
        </w:rPr>
        <w:t>Afrique</w:t>
      </w:r>
      <w:r w:rsidRPr="00BB1F35">
        <w:rPr>
          <w:lang w:val="fr-FR"/>
        </w:rPr>
        <w:t>, 20</w:t>
      </w:r>
      <w:r w:rsidR="00667501">
        <w:rPr>
          <w:lang w:val="fr-FR"/>
        </w:rPr>
        <w:t> %</w:t>
      </w:r>
      <w:r w:rsidRPr="00BB1F35">
        <w:rPr>
          <w:lang w:val="fr-FR"/>
        </w:rPr>
        <w:t xml:space="preserve"> des Parties ont indiqué que les mesures étaient pleinement mises en œuvre (+10</w:t>
      </w:r>
      <w:r w:rsidR="00667501">
        <w:rPr>
          <w:lang w:val="fr-FR"/>
        </w:rPr>
        <w:t> %</w:t>
      </w:r>
      <w:r w:rsidRPr="00BB1F35">
        <w:rPr>
          <w:lang w:val="fr-FR"/>
        </w:rPr>
        <w:t>)</w:t>
      </w:r>
      <w:r w:rsidR="00D560E8">
        <w:rPr>
          <w:lang w:val="fr-FR"/>
        </w:rPr>
        <w:t> ;</w:t>
      </w:r>
      <w:r w:rsidRPr="00BB1F35">
        <w:rPr>
          <w:lang w:val="fr-FR"/>
        </w:rPr>
        <w:t xml:space="preserve"> 20</w:t>
      </w:r>
      <w:r w:rsidR="00667501">
        <w:rPr>
          <w:lang w:val="fr-FR"/>
        </w:rPr>
        <w:t> %</w:t>
      </w:r>
      <w:r w:rsidRPr="00BB1F35">
        <w:rPr>
          <w:lang w:val="fr-FR"/>
        </w:rPr>
        <w:t xml:space="preserve"> ont indiqué que les mesures étaient partiellement mises en œuvre </w:t>
      </w:r>
      <w:r w:rsidRPr="00BB1F35">
        <w:rPr>
          <w:lang w:val="fr-FR"/>
        </w:rPr>
        <w:lastRenderedPageBreak/>
        <w:t>(aucun changement par rapport à la référence)</w:t>
      </w:r>
      <w:r w:rsidR="00D560E8">
        <w:rPr>
          <w:lang w:val="fr-FR"/>
        </w:rPr>
        <w:t> ;</w:t>
      </w:r>
      <w:r w:rsidRPr="00BB1F35">
        <w:rPr>
          <w:lang w:val="fr-FR"/>
        </w:rPr>
        <w:t xml:space="preserve"> 10</w:t>
      </w:r>
      <w:r w:rsidR="00667501">
        <w:rPr>
          <w:lang w:val="fr-FR"/>
        </w:rPr>
        <w:t> %</w:t>
      </w:r>
      <w:r w:rsidRPr="00BB1F35">
        <w:rPr>
          <w:lang w:val="fr-FR"/>
        </w:rPr>
        <w:t xml:space="preserve"> ont indiqué que seules des mesures provisoires avaient été prises (aucun changement par rapport à la référence)</w:t>
      </w:r>
      <w:r w:rsidR="00D560E8">
        <w:rPr>
          <w:lang w:val="fr-FR"/>
        </w:rPr>
        <w:t> ;</w:t>
      </w:r>
      <w:r w:rsidRPr="00BB1F35">
        <w:rPr>
          <w:lang w:val="fr-FR"/>
        </w:rPr>
        <w:t xml:space="preserve"> et 50</w:t>
      </w:r>
      <w:r w:rsidR="00667501">
        <w:rPr>
          <w:lang w:val="fr-FR"/>
        </w:rPr>
        <w:t> %</w:t>
      </w:r>
      <w:r w:rsidRPr="00BB1F35">
        <w:rPr>
          <w:lang w:val="fr-FR"/>
        </w:rPr>
        <w:t xml:space="preserve"> ont indiqué qu'aucune mesure n'avait été prise (-10</w:t>
      </w:r>
      <w:r w:rsidR="00667501">
        <w:rPr>
          <w:lang w:val="fr-FR"/>
        </w:rPr>
        <w:t> %</w:t>
      </w:r>
      <w:r w:rsidRPr="00BB1F35">
        <w:rPr>
          <w:lang w:val="fr-FR"/>
        </w:rPr>
        <w:t>)</w:t>
      </w:r>
    </w:p>
    <w:p w14:paraId="308CC5D1" w14:textId="0A410C8A" w:rsidR="00BE43E7" w:rsidRPr="00F8252B" w:rsidRDefault="00DE2574" w:rsidP="00BE43E7">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lang w:val="fr-FR"/>
        </w:rPr>
      </w:pPr>
      <w:r w:rsidRPr="00DE2574">
        <w:rPr>
          <w:lang w:val="fr-FR"/>
        </w:rPr>
        <w:t>Dans la région Europe de l'Est, 75</w:t>
      </w:r>
      <w:r w:rsidR="00667501">
        <w:rPr>
          <w:lang w:val="fr-FR"/>
        </w:rPr>
        <w:t> %</w:t>
      </w:r>
      <w:r w:rsidRPr="00DE2574">
        <w:rPr>
          <w:lang w:val="fr-FR"/>
        </w:rPr>
        <w:t xml:space="preserve"> des Parties ont indiqué que les mesures nationales étaient pleinement mises en œuvre</w:t>
      </w:r>
      <w:r w:rsidR="00D560E8">
        <w:rPr>
          <w:lang w:val="fr-FR"/>
        </w:rPr>
        <w:t> ;</w:t>
      </w:r>
      <w:r w:rsidRPr="00DE2574">
        <w:rPr>
          <w:lang w:val="fr-FR"/>
        </w:rPr>
        <w:t xml:space="preserve"> 8</w:t>
      </w:r>
      <w:r w:rsidR="00667501">
        <w:rPr>
          <w:lang w:val="fr-FR"/>
        </w:rPr>
        <w:t> %</w:t>
      </w:r>
      <w:r w:rsidRPr="00DE2574">
        <w:rPr>
          <w:lang w:val="fr-FR"/>
        </w:rPr>
        <w:t xml:space="preserve"> ont indiqué que les mesures étaient partiellement mises en œuvre</w:t>
      </w:r>
      <w:r w:rsidR="00D560E8">
        <w:rPr>
          <w:lang w:val="fr-FR"/>
        </w:rPr>
        <w:t> ;</w:t>
      </w:r>
      <w:r w:rsidRPr="00DE2574">
        <w:rPr>
          <w:lang w:val="fr-FR"/>
        </w:rPr>
        <w:t xml:space="preserve"> et 17</w:t>
      </w:r>
      <w:r w:rsidR="00667501">
        <w:rPr>
          <w:lang w:val="fr-FR"/>
        </w:rPr>
        <w:t> %</w:t>
      </w:r>
      <w:r w:rsidRPr="00DE2574">
        <w:rPr>
          <w:lang w:val="fr-FR"/>
        </w:rPr>
        <w:t xml:space="preserve"> ont indiqué qu'aucune mesure n'avait été prise</w:t>
      </w:r>
      <w:r w:rsidR="00CA5626">
        <w:rPr>
          <w:lang w:val="fr-FR"/>
        </w:rPr>
        <w:t>.</w:t>
      </w:r>
    </w:p>
    <w:p w14:paraId="57684516" w14:textId="700C2D30" w:rsidR="00DB3801" w:rsidRPr="00F8252B" w:rsidRDefault="00CA5626" w:rsidP="00BE43E7">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lang w:val="fr-FR"/>
        </w:rPr>
      </w:pPr>
      <w:r w:rsidRPr="00CA5626">
        <w:rPr>
          <w:lang w:val="fr-FR"/>
        </w:rPr>
        <w:t>Dans la région Europe occidentale et autres États, 100</w:t>
      </w:r>
      <w:r w:rsidR="00667501">
        <w:rPr>
          <w:lang w:val="fr-FR"/>
        </w:rPr>
        <w:t> %</w:t>
      </w:r>
      <w:r w:rsidRPr="00CA5626">
        <w:rPr>
          <w:lang w:val="fr-FR"/>
        </w:rPr>
        <w:t xml:space="preserve"> des Parties ont indiqué que les mesures nationales étaient pleinement en place</w:t>
      </w:r>
    </w:p>
    <w:p w14:paraId="21B9ED94" w14:textId="687540AB" w:rsidR="00B265AB" w:rsidRPr="00F8252B" w:rsidRDefault="00B265AB" w:rsidP="00FA2932">
      <w:pPr>
        <w:pStyle w:val="CBDTableTitle"/>
        <w:rPr>
          <w:lang w:val="fr-FR"/>
        </w:rPr>
      </w:pPr>
      <w:r w:rsidRPr="00F8252B">
        <w:rPr>
          <w:b w:val="0"/>
          <w:bCs/>
          <w:lang w:val="fr-FR"/>
        </w:rPr>
        <w:t>Figure VII</w:t>
      </w:r>
      <w:r w:rsidRPr="00F8252B">
        <w:rPr>
          <w:lang w:val="fr-FR"/>
        </w:rPr>
        <w:t xml:space="preserve"> </w:t>
      </w:r>
      <w:r w:rsidRPr="00F8252B">
        <w:rPr>
          <w:lang w:val="fr-FR"/>
        </w:rPr>
        <w:br/>
      </w:r>
      <w:r w:rsidR="006916C1" w:rsidRPr="00F8252B">
        <w:rPr>
          <w:lang w:val="fr-FR"/>
        </w:rPr>
        <w:t xml:space="preserve">Mesures </w:t>
      </w:r>
      <w:r w:rsidR="00CA5626">
        <w:rPr>
          <w:lang w:val="fr-FR"/>
        </w:rPr>
        <w:t xml:space="preserve">adoptées </w:t>
      </w:r>
      <w:r w:rsidR="006916C1" w:rsidRPr="00F8252B">
        <w:rPr>
          <w:lang w:val="fr-FR"/>
        </w:rPr>
        <w:t>pour la mise en œuvre du Protocole additionnel de Nagoya</w:t>
      </w:r>
      <w:r w:rsidR="0058073E" w:rsidRPr="00F8252B">
        <w:rPr>
          <w:lang w:val="fr-FR"/>
        </w:rPr>
        <w:t xml:space="preserve"> </w:t>
      </w:r>
      <w:r w:rsidR="0058073E" w:rsidRPr="00F8252B">
        <w:rPr>
          <w:lang w:val="fr-FR"/>
        </w:rPr>
        <w:noBreakHyphen/>
        <w:t xml:space="preserve"> </w:t>
      </w:r>
      <w:r w:rsidR="006916C1" w:rsidRPr="00F8252B">
        <w:rPr>
          <w:lang w:val="fr-FR"/>
        </w:rPr>
        <w:t>Kuala Lumpur</w:t>
      </w:r>
      <w:r w:rsidR="004B0B27">
        <w:rPr>
          <w:noProof/>
          <w:lang w:val="fr-FR"/>
        </w:rPr>
        <w:drawing>
          <wp:inline distT="0" distB="0" distL="0" distR="0" wp14:anchorId="173780FC" wp14:editId="18B3CFC9">
            <wp:extent cx="5679749" cy="3116580"/>
            <wp:effectExtent l="0" t="0" r="0" b="7620"/>
            <wp:docPr id="739123552"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687279" cy="3120712"/>
                    </a:xfrm>
                    <a:prstGeom prst="rect">
                      <a:avLst/>
                    </a:prstGeom>
                    <a:noFill/>
                    <a:ln>
                      <a:noFill/>
                    </a:ln>
                  </pic:spPr>
                </pic:pic>
              </a:graphicData>
            </a:graphic>
          </wp:inline>
        </w:drawing>
      </w:r>
    </w:p>
    <w:p w14:paraId="6D89CC8D" w14:textId="703A6760" w:rsidR="00B73BCF" w:rsidRPr="00F8252B" w:rsidRDefault="00E438BA" w:rsidP="00B73BCF">
      <w:pPr>
        <w:pStyle w:val="CBDNormalNumber"/>
        <w:rPr>
          <w:lang w:val="fr-FR"/>
        </w:rPr>
      </w:pPr>
      <w:r>
        <w:rPr>
          <w:lang w:val="fr-FR"/>
        </w:rPr>
        <w:t>Pour</w:t>
      </w:r>
      <w:r w:rsidR="00F31028" w:rsidRPr="00F31028">
        <w:rPr>
          <w:lang w:val="fr-FR"/>
        </w:rPr>
        <w:t xml:space="preserve"> l’indicateur A.10</w:t>
      </w:r>
      <w:r w:rsidR="00F31028">
        <w:rPr>
          <w:lang w:val="fr-FR"/>
        </w:rPr>
        <w:t> </w:t>
      </w:r>
      <w:r w:rsidR="00F31028" w:rsidRPr="00F31028">
        <w:rPr>
          <w:lang w:val="fr-FR"/>
        </w:rPr>
        <w:t>c) (pourcentage des Parties au Protocole additionnel établissant des rapports sur la mise en œuvre dudit Protocole), les informations fournies par les Parties ayant répondu aux questions relatives au Protocole additionnel dans leur cinquième rapport national ont été utilisées pour mesurer les progrès accomplis. Au 2</w:t>
      </w:r>
      <w:r w:rsidR="00F31028">
        <w:rPr>
          <w:lang w:val="fr-FR"/>
        </w:rPr>
        <w:t> </w:t>
      </w:r>
      <w:r w:rsidR="00F31028" w:rsidRPr="00F31028">
        <w:rPr>
          <w:lang w:val="fr-FR"/>
        </w:rPr>
        <w:t>mars 2026, 82</w:t>
      </w:r>
      <w:r w:rsidR="00667501">
        <w:rPr>
          <w:lang w:val="fr-FR"/>
        </w:rPr>
        <w:t> %</w:t>
      </w:r>
      <w:r w:rsidR="00F31028" w:rsidRPr="00F31028">
        <w:rPr>
          <w:lang w:val="fr-FR"/>
        </w:rPr>
        <w:t xml:space="preserve"> des Parties au Protocole additionnel (45</w:t>
      </w:r>
      <w:r w:rsidR="00F31028">
        <w:rPr>
          <w:lang w:val="fr-FR"/>
        </w:rPr>
        <w:t> </w:t>
      </w:r>
      <w:r w:rsidR="00F31028" w:rsidRPr="00F31028">
        <w:rPr>
          <w:lang w:val="fr-FR"/>
        </w:rPr>
        <w:t>Parties) avaient présenté leur cinquième rapport national et toutes avaient répondu aux questions à choix multiples relatives au Protocole additionnel figurant dans ce rapport. Dix Parties au Protocole additionnel (18</w:t>
      </w:r>
      <w:r w:rsidR="00667501">
        <w:rPr>
          <w:lang w:val="fr-FR"/>
        </w:rPr>
        <w:t> %</w:t>
      </w:r>
      <w:r w:rsidR="00F31028" w:rsidRPr="00F31028">
        <w:rPr>
          <w:lang w:val="fr-FR"/>
        </w:rPr>
        <w:t>) n’avaient pas encore présenté leur cinquième rapport</w:t>
      </w:r>
      <w:r w:rsidR="00B73BCF" w:rsidRPr="00F8252B">
        <w:rPr>
          <w:lang w:val="fr-FR"/>
        </w:rPr>
        <w:t xml:space="preserve">. </w:t>
      </w:r>
    </w:p>
    <w:p w14:paraId="5A7923E0" w14:textId="05ADE7CD" w:rsidR="00B73BCF" w:rsidRPr="00F8252B" w:rsidRDefault="00E01701" w:rsidP="00B73BCF">
      <w:pPr>
        <w:pStyle w:val="CBDNormalNumber"/>
        <w:rPr>
          <w:lang w:val="fr-FR"/>
        </w:rPr>
      </w:pPr>
      <w:r w:rsidRPr="00E01701">
        <w:rPr>
          <w:lang w:val="fr-FR"/>
        </w:rPr>
        <w:t>Quatre-vingt-deux Parties ont fourni une réponse sous forme de texte libre à la question</w:t>
      </w:r>
      <w:r>
        <w:rPr>
          <w:lang w:val="fr-FR"/>
        </w:rPr>
        <w:t> </w:t>
      </w:r>
      <w:r w:rsidRPr="00E01701">
        <w:rPr>
          <w:lang w:val="fr-FR"/>
        </w:rPr>
        <w:t xml:space="preserve">174. Parmi ces Parties, 38 étaient </w:t>
      </w:r>
      <w:r>
        <w:rPr>
          <w:lang w:val="fr-FR"/>
        </w:rPr>
        <w:t>P</w:t>
      </w:r>
      <w:r w:rsidRPr="00E01701">
        <w:rPr>
          <w:lang w:val="fr-FR"/>
        </w:rPr>
        <w:t>arties au Protocole additionnel, tandis que 44 ne l'étaient pas</w:t>
      </w:r>
      <w:r w:rsidR="00B73BCF" w:rsidRPr="00F8252B">
        <w:rPr>
          <w:lang w:val="fr-FR"/>
        </w:rPr>
        <w:t xml:space="preserve">. </w:t>
      </w:r>
    </w:p>
    <w:p w14:paraId="74621C84" w14:textId="1F738279" w:rsidR="00B73BCF" w:rsidRPr="00F8252B" w:rsidRDefault="00E438BA" w:rsidP="00B73BCF">
      <w:pPr>
        <w:pStyle w:val="CBDNormalNumber"/>
        <w:rPr>
          <w:lang w:val="fr-FR"/>
        </w:rPr>
      </w:pPr>
      <w:r>
        <w:rPr>
          <w:snapToGrid w:val="0"/>
          <w:lang w:val="fr-FR"/>
        </w:rPr>
        <w:t>Pour</w:t>
      </w:r>
      <w:r w:rsidR="00F346B8" w:rsidRPr="00F346B8">
        <w:rPr>
          <w:snapToGrid w:val="0"/>
          <w:lang w:val="fr-FR"/>
        </w:rPr>
        <w:t xml:space="preserve"> l</w:t>
      </w:r>
      <w:r w:rsidR="005D7D35">
        <w:rPr>
          <w:snapToGrid w:val="0"/>
          <w:lang w:val="fr-FR"/>
        </w:rPr>
        <w:t>e but </w:t>
      </w:r>
      <w:r w:rsidR="00F346B8" w:rsidRPr="00F346B8">
        <w:rPr>
          <w:snapToGrid w:val="0"/>
          <w:lang w:val="fr-FR"/>
        </w:rPr>
        <w:t>A.10, cinq domaines clés de renforcement des capacités ont été identifiés dans le cadre du plan d’action pour le renforcement des capacités</w:t>
      </w:r>
      <w:r w:rsidR="00CA1B90">
        <w:rPr>
          <w:snapToGrid w:val="0"/>
          <w:lang w:val="fr-FR"/>
        </w:rPr>
        <w:t> :</w:t>
      </w:r>
      <w:r w:rsidR="00F346B8" w:rsidRPr="00F346B8">
        <w:rPr>
          <w:snapToGrid w:val="0"/>
          <w:lang w:val="fr-FR"/>
        </w:rPr>
        <w:t xml:space="preserve"> a) apporter un appui aux Parties au Protocole de Cartagena</w:t>
      </w:r>
      <w:r w:rsidR="00F346B8">
        <w:rPr>
          <w:snapToGrid w:val="0"/>
          <w:lang w:val="fr-FR"/>
        </w:rPr>
        <w:t xml:space="preserve"> en vue de</w:t>
      </w:r>
      <w:r w:rsidR="00F346B8" w:rsidRPr="00F346B8">
        <w:rPr>
          <w:snapToGrid w:val="0"/>
          <w:lang w:val="fr-FR"/>
        </w:rPr>
        <w:t xml:space="preserve"> la ratification du Protocole additionnel</w:t>
      </w:r>
      <w:r w:rsidR="00D560E8">
        <w:rPr>
          <w:snapToGrid w:val="0"/>
          <w:lang w:val="fr-FR"/>
        </w:rPr>
        <w:t> ;</w:t>
      </w:r>
      <w:r w:rsidR="00F346B8" w:rsidRPr="00F346B8">
        <w:rPr>
          <w:snapToGrid w:val="0"/>
          <w:lang w:val="fr-FR"/>
        </w:rPr>
        <w:t xml:space="preserve"> b) élaborer des mesures nationales juridiques, administratives et autres pour mettre en œuvre le Protocole additionnel</w:t>
      </w:r>
      <w:r w:rsidR="00D560E8">
        <w:rPr>
          <w:snapToGrid w:val="0"/>
          <w:lang w:val="fr-FR"/>
        </w:rPr>
        <w:t> ;</w:t>
      </w:r>
      <w:r w:rsidR="00F346B8" w:rsidRPr="00F346B8">
        <w:rPr>
          <w:snapToGrid w:val="0"/>
          <w:lang w:val="fr-FR"/>
        </w:rPr>
        <w:t xml:space="preserve"> c) élaborer et rendre accessibles des ressources documentaires, des expériences et des enseignements tirés concernant la mise en œuvre du Protocole additionnel</w:t>
      </w:r>
      <w:r w:rsidR="00D560E8">
        <w:rPr>
          <w:snapToGrid w:val="0"/>
          <w:lang w:val="fr-FR"/>
        </w:rPr>
        <w:t> ;</w:t>
      </w:r>
      <w:r w:rsidR="00F346B8" w:rsidRPr="00F346B8">
        <w:rPr>
          <w:snapToGrid w:val="0"/>
          <w:lang w:val="fr-FR"/>
        </w:rPr>
        <w:t xml:space="preserve"> d) </w:t>
      </w:r>
      <w:r w:rsidR="00D8510B">
        <w:rPr>
          <w:snapToGrid w:val="0"/>
          <w:lang w:val="fr-FR"/>
        </w:rPr>
        <w:t>renforcer l</w:t>
      </w:r>
      <w:r w:rsidR="00F346B8" w:rsidRPr="00F346B8">
        <w:rPr>
          <w:snapToGrid w:val="0"/>
          <w:lang w:val="fr-FR"/>
        </w:rPr>
        <w:t xml:space="preserve">es capacités des autorités </w:t>
      </w:r>
      <w:r w:rsidR="00F346B8" w:rsidRPr="00F346B8">
        <w:rPr>
          <w:snapToGrid w:val="0"/>
          <w:lang w:val="fr-FR"/>
        </w:rPr>
        <w:lastRenderedPageBreak/>
        <w:t>compétentes des Parties au Protocole additionnel pour leur permettre de s’acquitter de leurs fonctions</w:t>
      </w:r>
      <w:r w:rsidR="00D560E8">
        <w:rPr>
          <w:snapToGrid w:val="0"/>
          <w:lang w:val="fr-FR"/>
        </w:rPr>
        <w:t> ;</w:t>
      </w:r>
      <w:r w:rsidR="00F346B8" w:rsidRPr="00F346B8">
        <w:rPr>
          <w:snapToGrid w:val="0"/>
          <w:lang w:val="fr-FR"/>
        </w:rPr>
        <w:t xml:space="preserve"> et e) </w:t>
      </w:r>
      <w:r w:rsidR="00D8510B">
        <w:rPr>
          <w:snapToGrid w:val="0"/>
          <w:lang w:val="fr-FR"/>
        </w:rPr>
        <w:t>élaborer</w:t>
      </w:r>
      <w:r w:rsidR="00F346B8" w:rsidRPr="00F346B8">
        <w:rPr>
          <w:snapToGrid w:val="0"/>
          <w:lang w:val="fr-FR"/>
        </w:rPr>
        <w:t xml:space="preserve"> ou </w:t>
      </w:r>
      <w:r w:rsidR="00D8510B">
        <w:rPr>
          <w:snapToGrid w:val="0"/>
          <w:lang w:val="fr-FR"/>
        </w:rPr>
        <w:t>identifier</w:t>
      </w:r>
      <w:r w:rsidR="00F346B8" w:rsidRPr="00F346B8">
        <w:rPr>
          <w:snapToGrid w:val="0"/>
          <w:lang w:val="fr-FR"/>
        </w:rPr>
        <w:t xml:space="preserve"> de</w:t>
      </w:r>
      <w:r w:rsidR="005569BF">
        <w:rPr>
          <w:snapToGrid w:val="0"/>
          <w:lang w:val="fr-FR"/>
        </w:rPr>
        <w:t>s</w:t>
      </w:r>
      <w:r w:rsidR="00F346B8" w:rsidRPr="00F346B8">
        <w:rPr>
          <w:snapToGrid w:val="0"/>
          <w:lang w:val="fr-FR"/>
        </w:rPr>
        <w:t xml:space="preserve"> </w:t>
      </w:r>
      <w:r w:rsidR="005569BF">
        <w:rPr>
          <w:snapToGrid w:val="0"/>
          <w:lang w:val="fr-FR"/>
        </w:rPr>
        <w:t xml:space="preserve">données de </w:t>
      </w:r>
      <w:r w:rsidR="00F346B8" w:rsidRPr="00F346B8">
        <w:rPr>
          <w:snapToGrid w:val="0"/>
          <w:lang w:val="fr-FR"/>
        </w:rPr>
        <w:t>référence</w:t>
      </w:r>
      <w:r w:rsidR="005569BF">
        <w:rPr>
          <w:snapToGrid w:val="0"/>
          <w:lang w:val="fr-FR"/>
        </w:rPr>
        <w:t xml:space="preserve"> sur </w:t>
      </w:r>
      <w:r w:rsidR="00F346B8" w:rsidRPr="00F346B8">
        <w:rPr>
          <w:snapToGrid w:val="0"/>
          <w:lang w:val="fr-FR"/>
        </w:rPr>
        <w:t>l’état de la biodiversité</w:t>
      </w:r>
      <w:r w:rsidR="00B73BCF" w:rsidRPr="00F8252B">
        <w:rPr>
          <w:rStyle w:val="Appelnotedebasdep"/>
          <w:bCs/>
          <w:iCs/>
          <w:snapToGrid w:val="0"/>
          <w:kern w:val="22"/>
          <w:lang w:val="fr-FR"/>
        </w:rPr>
        <w:footnoteReference w:id="48"/>
      </w:r>
      <w:r w:rsidR="005569BF">
        <w:rPr>
          <w:snapToGrid w:val="0"/>
          <w:lang w:val="fr-FR"/>
        </w:rPr>
        <w:t>.</w:t>
      </w:r>
    </w:p>
    <w:p w14:paraId="72ECF37A" w14:textId="2A90CDF6" w:rsidR="00B73BCF" w:rsidRPr="006E2E6B" w:rsidRDefault="00AD6F48" w:rsidP="00B73BCF">
      <w:pPr>
        <w:pStyle w:val="CBDNormalNumber"/>
        <w:rPr>
          <w:lang w:val="fr-FR"/>
        </w:rPr>
      </w:pPr>
      <w:r w:rsidRPr="006E2E6B">
        <w:rPr>
          <w:lang w:val="fr-FR"/>
        </w:rPr>
        <w:t>Sur les 100 Parties ayant indiqué qu’elles avaient encore des besoins en matière de renforcement des capacités, 71</w:t>
      </w:r>
      <w:r w:rsidR="00667501">
        <w:rPr>
          <w:lang w:val="fr-FR"/>
        </w:rPr>
        <w:t> %</w:t>
      </w:r>
      <w:r w:rsidRPr="006E2E6B">
        <w:rPr>
          <w:lang w:val="fr-FR"/>
        </w:rPr>
        <w:t xml:space="preserve"> ont précisé que ces besoins concernaient le développement des capacités dans le domaine de la responsabilité et des mesures de réparation (soit une augmentation de 5</w:t>
      </w:r>
      <w:r w:rsidR="00667501">
        <w:rPr>
          <w:lang w:val="fr-FR"/>
        </w:rPr>
        <w:t> %</w:t>
      </w:r>
      <w:r w:rsidRPr="006E2E6B">
        <w:rPr>
          <w:lang w:val="fr-FR"/>
        </w:rPr>
        <w:t xml:space="preserve"> par rapport à la situation de référence). Sur les 98 Parties ayant déclaré avoir mené des activités visant à développer et/ou à renforcer les ressources humaines et les capacités institutionnelles en matière de prévention des risques biotechnologiques</w:t>
      </w:r>
      <w:r w:rsidR="00B73BCF" w:rsidRPr="006E2E6B">
        <w:rPr>
          <w:vertAlign w:val="superscript"/>
          <w:lang w:val="fr-FR"/>
        </w:rPr>
        <w:footnoteReference w:id="49"/>
      </w:r>
      <w:r w:rsidRPr="006E2E6B">
        <w:rPr>
          <w:lang w:val="fr-FR"/>
        </w:rPr>
        <w:t>.</w:t>
      </w:r>
      <w:r w:rsidR="00B73BCF" w:rsidRPr="006E2E6B">
        <w:rPr>
          <w:bCs/>
          <w:iCs/>
          <w:snapToGrid w:val="0"/>
          <w:kern w:val="22"/>
          <w:lang w:val="fr-FR"/>
        </w:rPr>
        <w:t xml:space="preserve"> </w:t>
      </w:r>
      <w:r w:rsidR="00A23789" w:rsidRPr="006E2E6B">
        <w:rPr>
          <w:bCs/>
          <w:iCs/>
          <w:snapToGrid w:val="0"/>
          <w:kern w:val="22"/>
          <w:lang w:val="fr-FR"/>
        </w:rPr>
        <w:t xml:space="preserve">Dix pour cent </w:t>
      </w:r>
      <w:r w:rsidR="006E2E6B" w:rsidRPr="006E2E6B">
        <w:rPr>
          <w:bCs/>
          <w:iCs/>
          <w:snapToGrid w:val="0"/>
          <w:kern w:val="22"/>
          <w:lang w:val="fr-FR"/>
        </w:rPr>
        <w:t xml:space="preserve">des Parties </w:t>
      </w:r>
      <w:r w:rsidR="00A23789" w:rsidRPr="006E2E6B">
        <w:rPr>
          <w:bCs/>
          <w:iCs/>
          <w:snapToGrid w:val="0"/>
          <w:kern w:val="22"/>
          <w:lang w:val="fr-FR"/>
        </w:rPr>
        <w:t>(10 Parties) ont indiqué que ces activités avaient été menées dans le domaine de la responsabilité et des mesures de réparation (soit une baisse de 7</w:t>
      </w:r>
      <w:r w:rsidR="00667501">
        <w:rPr>
          <w:bCs/>
          <w:iCs/>
          <w:snapToGrid w:val="0"/>
          <w:kern w:val="22"/>
          <w:lang w:val="fr-FR"/>
        </w:rPr>
        <w:t> %</w:t>
      </w:r>
      <w:r w:rsidR="00A23789" w:rsidRPr="006E2E6B">
        <w:rPr>
          <w:bCs/>
          <w:iCs/>
          <w:snapToGrid w:val="0"/>
          <w:kern w:val="22"/>
          <w:lang w:val="fr-FR"/>
        </w:rPr>
        <w:t>).</w:t>
      </w:r>
    </w:p>
    <w:p w14:paraId="07459585" w14:textId="77C75B92" w:rsidR="00B73BCF" w:rsidRPr="00F8252B" w:rsidRDefault="006D3335" w:rsidP="00B73BCF">
      <w:pPr>
        <w:pStyle w:val="CBDNormalNumber"/>
        <w:rPr>
          <w:lang w:val="fr-FR"/>
        </w:rPr>
      </w:pPr>
      <w:r w:rsidRPr="006D3335">
        <w:rPr>
          <w:lang w:val="fr-FR"/>
        </w:rPr>
        <w:t>Parmi les ressources consacrées au Protocole additionnel élaborées par Le Secrétariat, les pages web relatives au Protocole additionnel ont enregistré 14</w:t>
      </w:r>
      <w:r>
        <w:rPr>
          <w:lang w:val="fr-FR"/>
        </w:rPr>
        <w:t> </w:t>
      </w:r>
      <w:r w:rsidRPr="006D3335">
        <w:rPr>
          <w:lang w:val="fr-FR"/>
        </w:rPr>
        <w:t>777 pages vues et 9</w:t>
      </w:r>
      <w:r>
        <w:rPr>
          <w:lang w:val="fr-FR"/>
        </w:rPr>
        <w:t> </w:t>
      </w:r>
      <w:r w:rsidRPr="006D3335">
        <w:rPr>
          <w:lang w:val="fr-FR"/>
        </w:rPr>
        <w:t>745 utilisateurs actifs entre juin 2023 et le 28</w:t>
      </w:r>
      <w:r>
        <w:rPr>
          <w:lang w:val="fr-FR"/>
        </w:rPr>
        <w:t> </w:t>
      </w:r>
      <w:r w:rsidRPr="006D3335">
        <w:rPr>
          <w:lang w:val="fr-FR"/>
        </w:rPr>
        <w:t>février 2026.</w:t>
      </w:r>
      <w:r w:rsidR="00B73BCF" w:rsidRPr="00F8252B">
        <w:rPr>
          <w:lang w:val="fr-FR"/>
        </w:rPr>
        <w:t xml:space="preserve"> </w:t>
      </w:r>
    </w:p>
    <w:p w14:paraId="1385CF15" w14:textId="6CA1816D" w:rsidR="00B73BCF" w:rsidRPr="004D6D94" w:rsidRDefault="004D6D94" w:rsidP="00B73BCF">
      <w:pPr>
        <w:pStyle w:val="CBDNormalNumber"/>
        <w:rPr>
          <w:lang w:val="fr-FR"/>
        </w:rPr>
      </w:pPr>
      <w:r w:rsidRPr="004D6D94">
        <w:rPr>
          <w:lang w:val="fr-FR"/>
        </w:rPr>
        <w:t>Dans les réponses sous forme de texte libre fournies par les Parties au Protocole additionnel, plusieurs Parties ont décrit la manière dont le Protocole additionnel avait été transposé dans leur législation nationale. D’autres ont expliqué que le Protocole additionnel n’avait pas encore été transposé ou ne l’avait pas encore été pleinement. Certaines Parties ont indiqué qu’un projet de loi avait été élaboré et quelques-unes d’entre elles ont précisé qu’elles avaient rencontré des difficultés au cours du processus d’adoption, notamment des difficultés d’ordre technique, juridique et institutionnel. Plusieurs Parties ont indiqué que des mesures de mise en œuvre supplémentaires étaient nécessaires.</w:t>
      </w:r>
    </w:p>
    <w:p w14:paraId="0F662236" w14:textId="71233704" w:rsidR="00B73BCF" w:rsidRPr="00294E6A" w:rsidRDefault="00294E6A" w:rsidP="00B73BCF">
      <w:pPr>
        <w:pStyle w:val="CBDNormalNumber"/>
        <w:rPr>
          <w:lang w:val="fr-FR"/>
        </w:rPr>
      </w:pPr>
      <w:r w:rsidRPr="00294E6A">
        <w:rPr>
          <w:lang w:val="fr-FR"/>
        </w:rPr>
        <w:t xml:space="preserve">Dans les réponses sous forme de texte libre fournies par les États </w:t>
      </w:r>
      <w:r w:rsidR="00554A4B" w:rsidRPr="00294E6A">
        <w:rPr>
          <w:lang w:val="fr-FR"/>
        </w:rPr>
        <w:t>non-Parties</w:t>
      </w:r>
      <w:r w:rsidRPr="00294E6A">
        <w:rPr>
          <w:lang w:val="fr-FR"/>
        </w:rPr>
        <w:t xml:space="preserve"> au Protocole additionnel, nombre d’entre eux ont décrit leur cadre juridique national en matière de responsabilité environnementale, et plusieurs de ces États non</w:t>
      </w:r>
      <w:r w:rsidR="00554A4B">
        <w:rPr>
          <w:lang w:val="fr-FR"/>
        </w:rPr>
        <w:t>-</w:t>
      </w:r>
      <w:r w:rsidRPr="00294E6A">
        <w:rPr>
          <w:lang w:val="fr-FR"/>
        </w:rPr>
        <w:t>Parties ont indiqué que ce cadre s’appliquerait également aux dégâts causés par des organismes vivants modifiés. Certains des États non</w:t>
      </w:r>
      <w:r w:rsidR="00554A4B">
        <w:rPr>
          <w:lang w:val="fr-FR"/>
        </w:rPr>
        <w:t>-</w:t>
      </w:r>
      <w:r w:rsidRPr="00294E6A">
        <w:rPr>
          <w:lang w:val="fr-FR"/>
        </w:rPr>
        <w:t>Parties ont indiqué que leur cadre juridique national actuel en matière de responsabilité et de réparation des dommages causés par des organismes vivants modifiés était insuffisant, tandis que d’autres ont décrit les efforts en cours pour renforcer leur législation nationale, plusieurs d’entre elles mentionnant qu’elles avaient rencontré des difficultés à cet égard.</w:t>
      </w:r>
    </w:p>
    <w:p w14:paraId="786D58E5" w14:textId="319EEBCB" w:rsidR="00017492" w:rsidRPr="00F8252B" w:rsidRDefault="00642415" w:rsidP="00B73BCF">
      <w:pPr>
        <w:pStyle w:val="CBDNormalNumber"/>
        <w:rPr>
          <w:lang w:val="fr-FR"/>
        </w:rPr>
      </w:pPr>
      <w:r w:rsidRPr="00642415">
        <w:rPr>
          <w:lang w:val="fr-FR"/>
        </w:rPr>
        <w:t xml:space="preserve">Dans </w:t>
      </w:r>
      <w:r w:rsidR="00E25A10">
        <w:rPr>
          <w:lang w:val="fr-FR"/>
        </w:rPr>
        <w:t>ces</w:t>
      </w:r>
      <w:r w:rsidRPr="00642415">
        <w:rPr>
          <w:lang w:val="fr-FR"/>
        </w:rPr>
        <w:t xml:space="preserve"> réponses sous forme de texte libre, plusieurs États non-Parties au Protocole additionnel ont indiqué qu’aucune procédure nationale n’était en place pour devenir parties à cet instrument. Certains d’entre eux ont précisé que leur cadre national actuel en matière de responsabilité était suffisant. Plusieurs autres États </w:t>
      </w:r>
      <w:r w:rsidR="00F86DCB" w:rsidRPr="00642415">
        <w:rPr>
          <w:lang w:val="fr-FR"/>
        </w:rPr>
        <w:t>non-Parties</w:t>
      </w:r>
      <w:r w:rsidRPr="00642415">
        <w:rPr>
          <w:lang w:val="fr-FR"/>
        </w:rPr>
        <w:t xml:space="preserve"> ont déclaré qu’il existait une procédure nationale pour devenir partie à cet instrument, ou ont indiqué qu’il y avait un besoin ou une volonté d’y adhérer.</w:t>
      </w:r>
    </w:p>
    <w:p w14:paraId="0F427C3C" w14:textId="2862701C" w:rsidR="00CE1F70" w:rsidRPr="00F8252B" w:rsidRDefault="002F6F9D" w:rsidP="00FA2932">
      <w:pPr>
        <w:pStyle w:val="CBDH2"/>
        <w:rPr>
          <w:snapToGrid w:val="0"/>
          <w:lang w:val="fr-FR"/>
        </w:rPr>
      </w:pPr>
      <w:r w:rsidRPr="00F8252B">
        <w:rPr>
          <w:snapToGrid w:val="0"/>
          <w:lang w:val="fr-FR"/>
        </w:rPr>
        <w:t>K.</w:t>
      </w:r>
      <w:r w:rsidRPr="00F8252B">
        <w:rPr>
          <w:snapToGrid w:val="0"/>
          <w:lang w:val="fr-FR"/>
        </w:rPr>
        <w:tab/>
      </w:r>
      <w:r w:rsidR="00A22D5A" w:rsidRPr="00F8252B">
        <w:rPr>
          <w:snapToGrid w:val="0"/>
          <w:lang w:val="fr-FR"/>
        </w:rPr>
        <w:t>But </w:t>
      </w:r>
      <w:r w:rsidR="00C21C64" w:rsidRPr="00F8252B">
        <w:rPr>
          <w:snapToGrid w:val="0"/>
          <w:lang w:val="fr-FR"/>
        </w:rPr>
        <w:t xml:space="preserve">B.1. </w:t>
      </w:r>
      <w:r w:rsidR="000B5FFC" w:rsidRPr="00F8252B">
        <w:rPr>
          <w:lang w:val="fr-FR"/>
        </w:rPr>
        <w:t>Les Parties entreprennent des activités de renforcement des capacités</w:t>
      </w:r>
    </w:p>
    <w:p w14:paraId="251E80D3" w14:textId="14DB0ECA" w:rsidR="00773133" w:rsidRPr="00F8252B" w:rsidRDefault="002F6F9D" w:rsidP="00FA2932">
      <w:pPr>
        <w:pStyle w:val="CBDH4"/>
        <w:rPr>
          <w:snapToGrid w:val="0"/>
          <w:lang w:val="fr-FR"/>
        </w:rPr>
      </w:pPr>
      <w:r w:rsidRPr="00F8252B">
        <w:rPr>
          <w:snapToGrid w:val="0"/>
          <w:lang w:val="fr-FR"/>
        </w:rPr>
        <w:t>a)</w:t>
      </w:r>
      <w:r w:rsidRPr="00F8252B">
        <w:rPr>
          <w:snapToGrid w:val="0"/>
          <w:lang w:val="fr-FR"/>
        </w:rPr>
        <w:tab/>
      </w:r>
      <w:r w:rsidR="000B5FFC" w:rsidRPr="00F8252B">
        <w:rPr>
          <w:snapToGrid w:val="0"/>
          <w:lang w:val="fr-FR"/>
        </w:rPr>
        <w:t xml:space="preserve">Chiffres clés et </w:t>
      </w:r>
      <w:r w:rsidR="0035077E" w:rsidRPr="00F8252B">
        <w:rPr>
          <w:snapToGrid w:val="0"/>
          <w:lang w:val="fr-FR"/>
        </w:rPr>
        <w:t>éléments importants</w:t>
      </w:r>
    </w:p>
    <w:p w14:paraId="7E97E217" w14:textId="20DFCF61" w:rsidR="00683C97" w:rsidRPr="00F8252B" w:rsidRDefault="00680E97" w:rsidP="00FA2932">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fr-FR"/>
        </w:rPr>
      </w:pPr>
      <w:r w:rsidRPr="00680E97">
        <w:rPr>
          <w:lang w:val="fr-FR"/>
        </w:rPr>
        <w:t>Quatre-vingt-un pour cent des Parties ont indiqué qu'elles avaient encore des besoins en matière de renforcement des capacités (-2</w:t>
      </w:r>
      <w:r w:rsidR="00667501">
        <w:rPr>
          <w:lang w:val="fr-FR"/>
        </w:rPr>
        <w:t> %</w:t>
      </w:r>
      <w:r w:rsidRPr="00680E97">
        <w:rPr>
          <w:lang w:val="fr-FR"/>
        </w:rPr>
        <w:t>)</w:t>
      </w:r>
      <w:r>
        <w:rPr>
          <w:lang w:val="fr-FR"/>
        </w:rPr>
        <w:t>.</w:t>
      </w:r>
    </w:p>
    <w:p w14:paraId="61D91BC3" w14:textId="7F13A806" w:rsidR="00103BFA" w:rsidRPr="00F8252B" w:rsidRDefault="00B05A2C" w:rsidP="00FA2932">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fr-FR"/>
        </w:rPr>
      </w:pPr>
      <w:r w:rsidRPr="00FF5AC4">
        <w:rPr>
          <w:snapToGrid w:val="0"/>
          <w:kern w:val="22"/>
          <w:lang w:val="fr-FR"/>
        </w:rPr>
        <w:t>Quatre-vingts</w:t>
      </w:r>
      <w:r w:rsidR="00FF5AC4" w:rsidRPr="00FF5AC4">
        <w:rPr>
          <w:snapToGrid w:val="0"/>
          <w:kern w:val="22"/>
          <w:lang w:val="fr-FR"/>
        </w:rPr>
        <w:t xml:space="preserve"> pour cent des Parties avaient entrepris, au moins dans une certaine mesure, des activités visant à développer ou à renforcer les ressources humaines et les capacités institutionnelles en matière de prévention des risques biotechnologiques (-2</w:t>
      </w:r>
      <w:r w:rsidR="00667501">
        <w:rPr>
          <w:snapToGrid w:val="0"/>
          <w:kern w:val="22"/>
          <w:lang w:val="fr-FR"/>
        </w:rPr>
        <w:t> %</w:t>
      </w:r>
      <w:r w:rsidR="00FF5AC4" w:rsidRPr="00FF5AC4">
        <w:rPr>
          <w:snapToGrid w:val="0"/>
          <w:kern w:val="22"/>
          <w:lang w:val="fr-FR"/>
        </w:rPr>
        <w:t>)</w:t>
      </w:r>
      <w:r w:rsidR="006078A3">
        <w:rPr>
          <w:snapToGrid w:val="0"/>
          <w:kern w:val="22"/>
          <w:lang w:val="fr-FR"/>
        </w:rPr>
        <w:t>.</w:t>
      </w:r>
    </w:p>
    <w:p w14:paraId="2EDFF907" w14:textId="21DA8233" w:rsidR="00D82E09" w:rsidRPr="00F8252B" w:rsidRDefault="006078A3" w:rsidP="00FA2932">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fr-FR"/>
        </w:rPr>
      </w:pPr>
      <w:r w:rsidRPr="006078A3">
        <w:rPr>
          <w:lang w:val="fr-FR"/>
        </w:rPr>
        <w:t>Cinquante-deux pour cent des Parties ont indiqué avoir coopéré avec d'autres Parties pour renforcer les capacités nécessaires à la mise en œuvre du Protocole</w:t>
      </w:r>
      <w:r>
        <w:rPr>
          <w:lang w:val="fr-FR"/>
        </w:rPr>
        <w:t>.</w:t>
      </w:r>
    </w:p>
    <w:p w14:paraId="40D8E2EE" w14:textId="42571557" w:rsidR="00794600" w:rsidRPr="00F8252B" w:rsidRDefault="006078A3" w:rsidP="00FA2932">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fr-FR"/>
        </w:rPr>
      </w:pPr>
      <w:r w:rsidRPr="006078A3">
        <w:rPr>
          <w:lang w:val="fr-FR"/>
        </w:rPr>
        <w:lastRenderedPageBreak/>
        <w:t>De nombreuses Parties ont continué à compter sur des financements extérieurs pour renforcer leurs capacités nationales en matière de prévention des risques biotechnologiques</w:t>
      </w:r>
      <w:r w:rsidR="0087668F" w:rsidRPr="00F8252B">
        <w:rPr>
          <w:lang w:val="fr-FR"/>
        </w:rPr>
        <w:t>.</w:t>
      </w:r>
    </w:p>
    <w:p w14:paraId="23C97E79" w14:textId="16D86BFC" w:rsidR="00683C97" w:rsidRPr="00F8252B" w:rsidRDefault="00683C97" w:rsidP="00FA2932">
      <w:pPr>
        <w:pStyle w:val="CBDH4"/>
        <w:rPr>
          <w:iCs/>
          <w:snapToGrid w:val="0"/>
          <w:lang w:val="fr-FR"/>
        </w:rPr>
      </w:pPr>
      <w:r w:rsidRPr="00F8252B">
        <w:rPr>
          <w:snapToGrid w:val="0"/>
          <w:lang w:val="fr-FR"/>
        </w:rPr>
        <w:t>b)</w:t>
      </w:r>
      <w:r w:rsidRPr="00F8252B">
        <w:rPr>
          <w:snapToGrid w:val="0"/>
          <w:lang w:val="fr-FR"/>
        </w:rPr>
        <w:tab/>
        <w:t>Analys</w:t>
      </w:r>
      <w:r w:rsidR="00D03A51" w:rsidRPr="00F8252B">
        <w:rPr>
          <w:snapToGrid w:val="0"/>
          <w:lang w:val="fr-FR"/>
        </w:rPr>
        <w:t xml:space="preserve">e des </w:t>
      </w:r>
      <w:r w:rsidRPr="00F8252B">
        <w:rPr>
          <w:snapToGrid w:val="0"/>
          <w:lang w:val="fr-FR"/>
        </w:rPr>
        <w:t>information</w:t>
      </w:r>
      <w:r w:rsidR="00D03A51" w:rsidRPr="00F8252B">
        <w:rPr>
          <w:snapToGrid w:val="0"/>
          <w:lang w:val="fr-FR"/>
        </w:rPr>
        <w:t>s</w:t>
      </w:r>
    </w:p>
    <w:p w14:paraId="6843B15A" w14:textId="13899D45" w:rsidR="00192DEE" w:rsidRPr="00F8252B" w:rsidRDefault="004745E1" w:rsidP="00FA2932">
      <w:pPr>
        <w:pStyle w:val="CBDNormalNumber"/>
        <w:rPr>
          <w:lang w:val="fr-FR"/>
        </w:rPr>
      </w:pPr>
      <w:r w:rsidRPr="004745E1">
        <w:rPr>
          <w:snapToGrid w:val="0"/>
          <w:kern w:val="22"/>
          <w:lang w:val="fr-FR"/>
        </w:rPr>
        <w:t>Le but</w:t>
      </w:r>
      <w:r w:rsidR="00F22EF4">
        <w:rPr>
          <w:snapToGrid w:val="0"/>
          <w:kern w:val="22"/>
          <w:lang w:val="fr-FR"/>
        </w:rPr>
        <w:t> </w:t>
      </w:r>
      <w:r w:rsidRPr="004745E1">
        <w:rPr>
          <w:snapToGrid w:val="0"/>
          <w:kern w:val="22"/>
          <w:lang w:val="fr-FR"/>
        </w:rPr>
        <w:t>B.1 comprend quatre objectifs à atteindre pour réaliser ce but, ainsi que quatre indicateurs permettant de mesurer les progrès accomplis dans la réalisation de ces objectifs. Pour l'indicateur B.1</w:t>
      </w:r>
      <w:r w:rsidR="00B6427E">
        <w:rPr>
          <w:snapToGrid w:val="0"/>
          <w:kern w:val="22"/>
          <w:lang w:val="fr-FR"/>
        </w:rPr>
        <w:t> </w:t>
      </w:r>
      <w:r w:rsidRPr="004745E1">
        <w:rPr>
          <w:snapToGrid w:val="0"/>
          <w:kern w:val="22"/>
          <w:lang w:val="fr-FR"/>
        </w:rPr>
        <w:t xml:space="preserve">a) (pourcentage des Parties ayant identifié et hiérarchisé leurs besoins en matière de renforcement des capacités), </w:t>
      </w:r>
      <w:r>
        <w:rPr>
          <w:snapToGrid w:val="0"/>
          <w:kern w:val="22"/>
          <w:lang w:val="fr-FR"/>
        </w:rPr>
        <w:t xml:space="preserve">ce sont </w:t>
      </w:r>
      <w:r w:rsidRPr="004745E1">
        <w:rPr>
          <w:snapToGrid w:val="0"/>
          <w:kern w:val="22"/>
          <w:lang w:val="fr-FR"/>
        </w:rPr>
        <w:t>les informations fournies en réponse aux questions</w:t>
      </w:r>
      <w:r w:rsidR="00C5078E">
        <w:rPr>
          <w:snapToGrid w:val="0"/>
          <w:kern w:val="22"/>
          <w:lang w:val="fr-FR"/>
        </w:rPr>
        <w:t> </w:t>
      </w:r>
      <w:r w:rsidRPr="004745E1">
        <w:rPr>
          <w:snapToGrid w:val="0"/>
          <w:kern w:val="22"/>
          <w:lang w:val="fr-FR"/>
        </w:rPr>
        <w:t xml:space="preserve">121, 122 et 124 des cinquièmes rapports nationaux </w:t>
      </w:r>
      <w:r>
        <w:rPr>
          <w:snapToGrid w:val="0"/>
          <w:kern w:val="22"/>
          <w:lang w:val="fr-FR"/>
        </w:rPr>
        <w:t xml:space="preserve">qui </w:t>
      </w:r>
      <w:r w:rsidRPr="004745E1">
        <w:rPr>
          <w:snapToGrid w:val="0"/>
          <w:kern w:val="22"/>
          <w:lang w:val="fr-FR"/>
        </w:rPr>
        <w:t>ont été utilisées pour mesurer les progrès accomplis</w:t>
      </w:r>
      <w:r w:rsidR="000F0990" w:rsidRPr="00F8252B">
        <w:rPr>
          <w:lang w:val="fr-FR"/>
        </w:rPr>
        <w:t xml:space="preserve">. </w:t>
      </w:r>
    </w:p>
    <w:p w14:paraId="41D83D19" w14:textId="0E654F96" w:rsidR="00C21C64" w:rsidRPr="0047337A" w:rsidRDefault="0047337A" w:rsidP="00FA2932">
      <w:pPr>
        <w:pStyle w:val="CBDNormalNumber"/>
        <w:rPr>
          <w:lang w:val="fr-FR"/>
        </w:rPr>
      </w:pPr>
      <w:r w:rsidRPr="0047337A">
        <w:rPr>
          <w:lang w:val="fr-FR"/>
        </w:rPr>
        <w:t>Quarante-deux pour cent des Parties ont indiqué avoir entrepris une évaluation des besoins en matière de renforcement des capacités (soit une augmentation de 2</w:t>
      </w:r>
      <w:r w:rsidR="00667501">
        <w:rPr>
          <w:lang w:val="fr-FR"/>
        </w:rPr>
        <w:t> %</w:t>
      </w:r>
      <w:r w:rsidRPr="0047337A">
        <w:rPr>
          <w:lang w:val="fr-FR"/>
        </w:rPr>
        <w:t xml:space="preserve"> par rapport à la référence)</w:t>
      </w:r>
      <w:r w:rsidR="00D560E8">
        <w:rPr>
          <w:lang w:val="fr-FR"/>
        </w:rPr>
        <w:t> ;</w:t>
      </w:r>
      <w:r w:rsidRPr="0047337A">
        <w:rPr>
          <w:lang w:val="fr-FR"/>
        </w:rPr>
        <w:t xml:space="preserve"> la répartition régionale de la proportion des Parties ayant procédé à une telle évaluation a révélé des variations marquées dans les régions d’Europe de l’Est et d’Amérique latine et des Caraïbes, et se présentait comme suit</w:t>
      </w:r>
      <w:r w:rsidR="00CA1B90">
        <w:rPr>
          <w:lang w:val="fr-FR"/>
        </w:rPr>
        <w:t> :</w:t>
      </w:r>
      <w:r w:rsidRPr="0047337A">
        <w:rPr>
          <w:lang w:val="fr-FR"/>
        </w:rPr>
        <w:t xml:space="preserve"> 11</w:t>
      </w:r>
      <w:r w:rsidR="00667501">
        <w:rPr>
          <w:lang w:val="fr-FR"/>
        </w:rPr>
        <w:t> %</w:t>
      </w:r>
      <w:r w:rsidRPr="0047337A">
        <w:rPr>
          <w:lang w:val="fr-FR"/>
        </w:rPr>
        <w:t xml:space="preserve"> dans la région d’Europe occidentale et des autres États (aucun changement par rapport à la référence)</w:t>
      </w:r>
      <w:r w:rsidR="00D560E8">
        <w:rPr>
          <w:lang w:val="fr-FR"/>
        </w:rPr>
        <w:t> ;</w:t>
      </w:r>
      <w:r w:rsidRPr="0047337A">
        <w:rPr>
          <w:lang w:val="fr-FR"/>
        </w:rPr>
        <w:t xml:space="preserve"> 25</w:t>
      </w:r>
      <w:r w:rsidR="00667501">
        <w:rPr>
          <w:lang w:val="fr-FR"/>
        </w:rPr>
        <w:t> %</w:t>
      </w:r>
      <w:r w:rsidRPr="0047337A">
        <w:rPr>
          <w:lang w:val="fr-FR"/>
        </w:rPr>
        <w:t xml:space="preserve"> dans la région de l’Amérique latine et des Caraïbes (</w:t>
      </w:r>
      <w:r w:rsidR="00A40A72">
        <w:rPr>
          <w:lang w:val="fr-FR"/>
        </w:rPr>
        <w:noBreakHyphen/>
      </w:r>
      <w:r w:rsidRPr="0047337A">
        <w:rPr>
          <w:lang w:val="fr-FR"/>
        </w:rPr>
        <w:t>25</w:t>
      </w:r>
      <w:r w:rsidR="00667501">
        <w:rPr>
          <w:lang w:val="fr-FR"/>
        </w:rPr>
        <w:t> %</w:t>
      </w:r>
      <w:r w:rsidRPr="0047337A">
        <w:rPr>
          <w:lang w:val="fr-FR"/>
        </w:rPr>
        <w:t>)</w:t>
      </w:r>
      <w:r w:rsidR="00D560E8">
        <w:rPr>
          <w:lang w:val="fr-FR"/>
        </w:rPr>
        <w:t> ;</w:t>
      </w:r>
      <w:r w:rsidRPr="0047337A">
        <w:rPr>
          <w:lang w:val="fr-FR"/>
        </w:rPr>
        <w:t xml:space="preserve"> 47</w:t>
      </w:r>
      <w:r w:rsidR="00667501">
        <w:rPr>
          <w:lang w:val="fr-FR"/>
        </w:rPr>
        <w:t> %</w:t>
      </w:r>
      <w:r w:rsidRPr="0047337A">
        <w:rPr>
          <w:lang w:val="fr-FR"/>
        </w:rPr>
        <w:t xml:space="preserve"> dans la région d’Europe de l’Est (+26</w:t>
      </w:r>
      <w:r w:rsidR="00667501">
        <w:rPr>
          <w:lang w:val="fr-FR"/>
        </w:rPr>
        <w:t> %</w:t>
      </w:r>
      <w:r w:rsidRPr="0047337A">
        <w:rPr>
          <w:lang w:val="fr-FR"/>
        </w:rPr>
        <w:t>)</w:t>
      </w:r>
      <w:r w:rsidR="00D560E8">
        <w:rPr>
          <w:lang w:val="fr-FR"/>
        </w:rPr>
        <w:t> ;</w:t>
      </w:r>
      <w:r w:rsidRPr="0047337A">
        <w:rPr>
          <w:lang w:val="fr-FR"/>
        </w:rPr>
        <w:t xml:space="preserve"> 54</w:t>
      </w:r>
      <w:r w:rsidR="00667501">
        <w:rPr>
          <w:lang w:val="fr-FR"/>
        </w:rPr>
        <w:t> %</w:t>
      </w:r>
      <w:r w:rsidRPr="0047337A">
        <w:rPr>
          <w:lang w:val="fr-FR"/>
        </w:rPr>
        <w:t xml:space="preserve"> dans la région Asie-Pacifique (+4</w:t>
      </w:r>
      <w:r w:rsidR="00667501">
        <w:rPr>
          <w:lang w:val="fr-FR"/>
        </w:rPr>
        <w:t> %</w:t>
      </w:r>
      <w:r w:rsidRPr="0047337A">
        <w:rPr>
          <w:lang w:val="fr-FR"/>
        </w:rPr>
        <w:t>)</w:t>
      </w:r>
      <w:r w:rsidR="00D560E8">
        <w:rPr>
          <w:lang w:val="fr-FR"/>
        </w:rPr>
        <w:t> ;</w:t>
      </w:r>
      <w:r w:rsidRPr="0047337A">
        <w:rPr>
          <w:lang w:val="fr-FR"/>
        </w:rPr>
        <w:t xml:space="preserve"> et 56</w:t>
      </w:r>
      <w:r w:rsidR="00667501">
        <w:rPr>
          <w:lang w:val="fr-FR"/>
        </w:rPr>
        <w:t> %</w:t>
      </w:r>
      <w:r w:rsidRPr="0047337A">
        <w:rPr>
          <w:lang w:val="fr-FR"/>
        </w:rPr>
        <w:t xml:space="preserve"> dans la région Afrique (+5</w:t>
      </w:r>
      <w:r w:rsidR="00667501">
        <w:rPr>
          <w:lang w:val="fr-FR"/>
        </w:rPr>
        <w:t> %</w:t>
      </w:r>
      <w:r w:rsidRPr="0047337A">
        <w:rPr>
          <w:lang w:val="fr-FR"/>
        </w:rPr>
        <w:t>).</w:t>
      </w:r>
    </w:p>
    <w:p w14:paraId="2527F31E" w14:textId="3D5546B1" w:rsidR="005641C2" w:rsidRPr="00F8252B" w:rsidRDefault="005714B2" w:rsidP="00FA2932">
      <w:pPr>
        <w:pStyle w:val="CBDNormalNumber"/>
        <w:rPr>
          <w:lang w:val="fr-FR"/>
        </w:rPr>
      </w:pPr>
      <w:r w:rsidRPr="005714B2">
        <w:rPr>
          <w:lang w:val="fr-FR"/>
        </w:rPr>
        <w:t>Quatre-vingt-un pour cent des Parties ont indiqué qu’elles avaient encore des besoins en matière de renforcement des capacités, ce qui représente une baisse de 2</w:t>
      </w:r>
      <w:r w:rsidR="00667501">
        <w:rPr>
          <w:lang w:val="fr-FR"/>
        </w:rPr>
        <w:t> %</w:t>
      </w:r>
      <w:r w:rsidRPr="005714B2">
        <w:rPr>
          <w:lang w:val="fr-FR"/>
        </w:rPr>
        <w:t xml:space="preserve"> par rapport au niveau de référence. Cette baisse est la conclusion d’une diminution du nombre de Parties déclarant avoir encore des besoins en matière de renforcement des capacités dans deux régions seulement, à savoir la région de l’Europe de l’Est, où 84</w:t>
      </w:r>
      <w:r w:rsidR="00667501">
        <w:rPr>
          <w:lang w:val="fr-FR"/>
        </w:rPr>
        <w:t> %</w:t>
      </w:r>
      <w:r w:rsidRPr="005714B2">
        <w:rPr>
          <w:lang w:val="fr-FR"/>
        </w:rPr>
        <w:t xml:space="preserve"> des Parties ont déclaré avoir encore des besoins en matière de renforcement des capacités (-5</w:t>
      </w:r>
      <w:r w:rsidR="00667501">
        <w:rPr>
          <w:lang w:val="fr-FR"/>
        </w:rPr>
        <w:t> %</w:t>
      </w:r>
      <w:r w:rsidRPr="005714B2">
        <w:rPr>
          <w:lang w:val="fr-FR"/>
        </w:rPr>
        <w:t>), et la région de l’Europe occidentale et des autres États, où 11</w:t>
      </w:r>
      <w:r w:rsidR="00667501">
        <w:rPr>
          <w:lang w:val="fr-FR"/>
        </w:rPr>
        <w:t> %</w:t>
      </w:r>
      <w:r w:rsidRPr="005714B2">
        <w:rPr>
          <w:lang w:val="fr-FR"/>
        </w:rPr>
        <w:t xml:space="preserve"> des Parties ont déclaré avoir encore des besoins (-5</w:t>
      </w:r>
      <w:r w:rsidR="00667501">
        <w:rPr>
          <w:lang w:val="fr-FR"/>
        </w:rPr>
        <w:t> %</w:t>
      </w:r>
      <w:r w:rsidRPr="005714B2">
        <w:rPr>
          <w:lang w:val="fr-FR"/>
        </w:rPr>
        <w:t>). Aucun changement n’a été signalé dans les autres régions, où la proportion de Parties ayant déclaré avoir encore des besoins en matière de renforcement des capacités est restée la suivante</w:t>
      </w:r>
      <w:r w:rsidR="00CA1B90">
        <w:rPr>
          <w:lang w:val="fr-FR"/>
        </w:rPr>
        <w:t> :</w:t>
      </w:r>
      <w:r w:rsidRPr="005714B2">
        <w:rPr>
          <w:lang w:val="fr-FR"/>
        </w:rPr>
        <w:t xml:space="preserve"> région Afrique</w:t>
      </w:r>
      <w:r w:rsidR="00CA1B90">
        <w:rPr>
          <w:lang w:val="fr-FR"/>
        </w:rPr>
        <w:t> :</w:t>
      </w:r>
      <w:r w:rsidRPr="005714B2">
        <w:rPr>
          <w:lang w:val="fr-FR"/>
        </w:rPr>
        <w:t xml:space="preserve"> 100</w:t>
      </w:r>
      <w:r w:rsidR="00667501">
        <w:rPr>
          <w:lang w:val="fr-FR"/>
        </w:rPr>
        <w:t> %</w:t>
      </w:r>
      <w:r w:rsidR="00D560E8">
        <w:rPr>
          <w:lang w:val="fr-FR"/>
        </w:rPr>
        <w:t> ;</w:t>
      </w:r>
      <w:r w:rsidRPr="005714B2">
        <w:rPr>
          <w:lang w:val="fr-FR"/>
        </w:rPr>
        <w:t xml:space="preserve"> région Amérique latine et Caraïbes</w:t>
      </w:r>
      <w:r w:rsidR="00CA1B90">
        <w:rPr>
          <w:lang w:val="fr-FR"/>
        </w:rPr>
        <w:t> :</w:t>
      </w:r>
      <w:r w:rsidRPr="005714B2">
        <w:rPr>
          <w:lang w:val="fr-FR"/>
        </w:rPr>
        <w:t xml:space="preserve"> 100</w:t>
      </w:r>
      <w:r w:rsidR="00667501">
        <w:rPr>
          <w:lang w:val="fr-FR"/>
        </w:rPr>
        <w:t> %</w:t>
      </w:r>
      <w:r w:rsidR="00D560E8">
        <w:rPr>
          <w:lang w:val="fr-FR"/>
        </w:rPr>
        <w:t> ;</w:t>
      </w:r>
      <w:r w:rsidRPr="005714B2">
        <w:rPr>
          <w:lang w:val="fr-FR"/>
        </w:rPr>
        <w:t xml:space="preserve"> et région Asie-Pacifique</w:t>
      </w:r>
      <w:r w:rsidR="00CA1B90">
        <w:rPr>
          <w:lang w:val="fr-FR"/>
        </w:rPr>
        <w:t> :</w:t>
      </w:r>
      <w:r w:rsidRPr="005714B2">
        <w:rPr>
          <w:lang w:val="fr-FR"/>
        </w:rPr>
        <w:t xml:space="preserve"> 88</w:t>
      </w:r>
      <w:r w:rsidR="00667501">
        <w:rPr>
          <w:lang w:val="fr-FR"/>
        </w:rPr>
        <w:t> %</w:t>
      </w:r>
      <w:r w:rsidRPr="005714B2">
        <w:rPr>
          <w:lang w:val="fr-FR"/>
        </w:rPr>
        <w:t>.</w:t>
      </w:r>
    </w:p>
    <w:p w14:paraId="1CA41C2A" w14:textId="223BEA58" w:rsidR="009663E0" w:rsidRPr="00F8252B" w:rsidRDefault="009C2BDA" w:rsidP="00FA2932">
      <w:pPr>
        <w:pStyle w:val="CBDNormalNumber"/>
        <w:rPr>
          <w:lang w:val="fr-FR"/>
        </w:rPr>
      </w:pPr>
      <w:r w:rsidRPr="009C2BDA">
        <w:rPr>
          <w:lang w:val="fr-FR"/>
        </w:rPr>
        <w:t>Soixante-quatre pour cent des Parties ont indiqué avoir établi un ordre de priorité pour leurs besoins en matière de renforcement des capacités. Bien que cette question n’ait pas figuré dans le modèle des quatrièmes rapports nationaux, une question similaire posée dans ce même rapport demandait aux Parties si elles avaient élaboré un plan d’action pour le renforcement des capacités, ce qui impliquait un certain degré de hiérarchisation de ces besoins. À l’époque, 30</w:t>
      </w:r>
      <w:r w:rsidR="00667501">
        <w:rPr>
          <w:lang w:val="fr-FR"/>
        </w:rPr>
        <w:t> %</w:t>
      </w:r>
      <w:r w:rsidRPr="009C2BDA">
        <w:rPr>
          <w:lang w:val="fr-FR"/>
        </w:rPr>
        <w:t xml:space="preserve"> des Parties avaient déclaré avoir élaboré un plan d’action ou une stratégie en matière de renforcement des capacités. Une comparaison des réponses fournies aux deux questions similaires figurant dans les quatrième et cinquième rapports nationaux pour le même groupe de Parties a mis en évidence une augmentation de 34</w:t>
      </w:r>
      <w:r w:rsidR="00667501">
        <w:rPr>
          <w:lang w:val="fr-FR"/>
        </w:rPr>
        <w:t> %</w:t>
      </w:r>
      <w:r w:rsidRPr="009C2BDA">
        <w:rPr>
          <w:lang w:val="fr-FR"/>
        </w:rPr>
        <w:t>. Dans une large mesure, cette forte augmentation pourrait être la conclusion de différences dans la formulation des questions.</w:t>
      </w:r>
      <w:r w:rsidR="006B676D" w:rsidRPr="00F8252B">
        <w:rPr>
          <w:lang w:val="fr-FR"/>
        </w:rPr>
        <w:t xml:space="preserve"> </w:t>
      </w:r>
    </w:p>
    <w:p w14:paraId="564DDD6D" w14:textId="13E3A21C" w:rsidR="00E72186" w:rsidRPr="00F821F2" w:rsidRDefault="00F821F2" w:rsidP="00FA2932">
      <w:pPr>
        <w:pStyle w:val="CBDNormalNumber"/>
        <w:rPr>
          <w:lang w:val="fr-FR"/>
        </w:rPr>
      </w:pPr>
      <w:r w:rsidRPr="00DA44F7">
        <w:rPr>
          <w:lang w:val="fr-FR"/>
        </w:rPr>
        <w:t xml:space="preserve">Pour l’indicateur B.1 b) (pourcentage des Parties qui entreprennent des activités de développement des capacités), </w:t>
      </w:r>
      <w:r w:rsidR="009B0EC4">
        <w:rPr>
          <w:lang w:val="fr-FR"/>
        </w:rPr>
        <w:t xml:space="preserve">ce sont </w:t>
      </w:r>
      <w:r w:rsidRPr="00DA44F7">
        <w:rPr>
          <w:lang w:val="fr-FR"/>
        </w:rPr>
        <w:t>les informations fournies en réponse à la question 118 du modèle de rapport pour le cinquième rapport national ont été utilisées pour mesurer les progrès accomplis. Cinquante et un pour cent des Parties ont indiqué avoir mené des activités visant à développer et/ou à renforcer les ressources humaines et les capacités institutionnelles en matière de prévention des risques biotechnologiques au cours de la période considérée (soit une baisse de 11</w:t>
      </w:r>
      <w:r w:rsidR="00667501">
        <w:rPr>
          <w:lang w:val="fr-FR"/>
        </w:rPr>
        <w:t> %</w:t>
      </w:r>
      <w:r w:rsidRPr="00DA44F7">
        <w:rPr>
          <w:lang w:val="fr-FR"/>
        </w:rPr>
        <w:t>), tandis que 28</w:t>
      </w:r>
      <w:r w:rsidR="00667501">
        <w:rPr>
          <w:lang w:val="fr-FR"/>
        </w:rPr>
        <w:t> %</w:t>
      </w:r>
      <w:r w:rsidRPr="00DA44F7">
        <w:rPr>
          <w:lang w:val="fr-FR"/>
        </w:rPr>
        <w:t xml:space="preserve"> des Parties ont indiqué l’avoir fait dans une certaine mesure (soit une augmentation de 8</w:t>
      </w:r>
      <w:r w:rsidR="00667501">
        <w:rPr>
          <w:lang w:val="fr-FR"/>
        </w:rPr>
        <w:t> %</w:t>
      </w:r>
      <w:r w:rsidRPr="00DA44F7">
        <w:rPr>
          <w:lang w:val="fr-FR"/>
        </w:rPr>
        <w:t>). Considérées ensemble, la proportion des Parties ayant déclaré avoir mené de telles activités, au moins dans une certaine mesure, s’élevait à 80</w:t>
      </w:r>
      <w:r w:rsidR="00667501">
        <w:rPr>
          <w:lang w:val="fr-FR"/>
        </w:rPr>
        <w:t> %</w:t>
      </w:r>
      <w:r w:rsidR="00113CE7" w:rsidRPr="00F8252B">
        <w:rPr>
          <w:rStyle w:val="Appelnotedebasdep"/>
          <w:lang w:val="fr-FR"/>
        </w:rPr>
        <w:footnoteReference w:id="50"/>
      </w:r>
      <w:r w:rsidR="00EB7737">
        <w:rPr>
          <w:lang w:val="fr-FR"/>
        </w:rPr>
        <w:t xml:space="preserve"> (</w:t>
      </w:r>
      <w:r w:rsidR="00EC66AD">
        <w:rPr>
          <w:lang w:val="fr-FR"/>
        </w:rPr>
        <w:t>soit une diminution de 2</w:t>
      </w:r>
      <w:r w:rsidR="00667501">
        <w:rPr>
          <w:lang w:val="fr-FR"/>
        </w:rPr>
        <w:t> %</w:t>
      </w:r>
      <w:r w:rsidR="00EC66AD">
        <w:rPr>
          <w:lang w:val="fr-FR"/>
        </w:rPr>
        <w:t>)</w:t>
      </w:r>
      <w:r w:rsidR="00FB6DC5">
        <w:rPr>
          <w:rStyle w:val="Appelnotedebasdep"/>
          <w:lang w:val="fr-FR"/>
        </w:rPr>
        <w:footnoteReference w:id="51"/>
      </w:r>
      <w:r>
        <w:t>.</w:t>
      </w:r>
      <w:r w:rsidR="00BD0B7F" w:rsidRPr="00F821F2">
        <w:rPr>
          <w:lang w:val="fr-FR"/>
        </w:rPr>
        <w:t xml:space="preserve"> </w:t>
      </w:r>
      <w:r w:rsidR="00DA44F7" w:rsidRPr="00DA44F7">
        <w:rPr>
          <w:lang w:val="fr-FR"/>
        </w:rPr>
        <w:t xml:space="preserve">Lorsque ces deux groupes ont été examinés conjointement au niveau régional, la proportion de Parties ayant déclaré avoir mené des activités de développement des capacités, dans une certaine mesure au moins, </w:t>
      </w:r>
      <w:r w:rsidR="00DA44F7" w:rsidRPr="00DA44F7">
        <w:rPr>
          <w:lang w:val="fr-FR"/>
        </w:rPr>
        <w:lastRenderedPageBreak/>
        <w:t>a augmenté dans deux régions seulement et a diminué dans les trois autres, comme suit</w:t>
      </w:r>
      <w:r w:rsidR="00CA1B90">
        <w:rPr>
          <w:lang w:val="fr-FR"/>
        </w:rPr>
        <w:t> :</w:t>
      </w:r>
      <w:r w:rsidR="00DA44F7" w:rsidRPr="00DA44F7">
        <w:rPr>
          <w:lang w:val="fr-FR"/>
        </w:rPr>
        <w:t xml:space="preserve"> région Afrique</w:t>
      </w:r>
      <w:r w:rsidR="00CA1B90">
        <w:rPr>
          <w:lang w:val="fr-FR"/>
        </w:rPr>
        <w:t> :</w:t>
      </w:r>
      <w:r w:rsidR="00DA44F7" w:rsidRPr="00DA44F7">
        <w:rPr>
          <w:lang w:val="fr-FR"/>
        </w:rPr>
        <w:t xml:space="preserve"> 74</w:t>
      </w:r>
      <w:r w:rsidR="00667501">
        <w:rPr>
          <w:lang w:val="fr-FR"/>
        </w:rPr>
        <w:t> %</w:t>
      </w:r>
      <w:r w:rsidR="00DA44F7" w:rsidRPr="00DA44F7">
        <w:rPr>
          <w:lang w:val="fr-FR"/>
        </w:rPr>
        <w:t xml:space="preserve"> (-11</w:t>
      </w:r>
      <w:r w:rsidR="00667501">
        <w:rPr>
          <w:lang w:val="fr-FR"/>
        </w:rPr>
        <w:t> %</w:t>
      </w:r>
      <w:r w:rsidR="00DA44F7" w:rsidRPr="00DA44F7">
        <w:rPr>
          <w:lang w:val="fr-FR"/>
        </w:rPr>
        <w:t>)</w:t>
      </w:r>
      <w:r w:rsidR="00D560E8">
        <w:rPr>
          <w:lang w:val="fr-FR"/>
        </w:rPr>
        <w:t> ;</w:t>
      </w:r>
      <w:r w:rsidR="00DA44F7" w:rsidRPr="00DA44F7">
        <w:rPr>
          <w:lang w:val="fr-FR"/>
        </w:rPr>
        <w:t xml:space="preserve"> région Amérique latine et Caraïbes</w:t>
      </w:r>
      <w:r w:rsidR="00CA1B90">
        <w:rPr>
          <w:lang w:val="fr-FR"/>
        </w:rPr>
        <w:t> :</w:t>
      </w:r>
      <w:r w:rsidR="00DA44F7" w:rsidRPr="00DA44F7">
        <w:rPr>
          <w:lang w:val="fr-FR"/>
        </w:rPr>
        <w:t xml:space="preserve"> 75</w:t>
      </w:r>
      <w:r w:rsidR="00667501">
        <w:rPr>
          <w:lang w:val="fr-FR"/>
        </w:rPr>
        <w:t> %</w:t>
      </w:r>
      <w:r w:rsidR="00DA44F7" w:rsidRPr="00DA44F7">
        <w:rPr>
          <w:lang w:val="fr-FR"/>
        </w:rPr>
        <w:t xml:space="preserve"> (-5</w:t>
      </w:r>
      <w:r w:rsidR="00667501">
        <w:rPr>
          <w:lang w:val="fr-FR"/>
        </w:rPr>
        <w:t> %</w:t>
      </w:r>
      <w:r w:rsidR="00DA44F7" w:rsidRPr="00DA44F7">
        <w:rPr>
          <w:lang w:val="fr-FR"/>
        </w:rPr>
        <w:t>)</w:t>
      </w:r>
      <w:r w:rsidR="00D560E8">
        <w:rPr>
          <w:lang w:val="fr-FR"/>
        </w:rPr>
        <w:t> ;</w:t>
      </w:r>
      <w:r w:rsidR="00DA44F7" w:rsidRPr="00DA44F7">
        <w:rPr>
          <w:lang w:val="fr-FR"/>
        </w:rPr>
        <w:t xml:space="preserve"> région Europe occidentale et autres États</w:t>
      </w:r>
      <w:r w:rsidR="00CA1B90">
        <w:rPr>
          <w:lang w:val="fr-FR"/>
        </w:rPr>
        <w:t> :</w:t>
      </w:r>
      <w:r w:rsidR="00DA44F7" w:rsidRPr="00DA44F7">
        <w:rPr>
          <w:lang w:val="fr-FR"/>
        </w:rPr>
        <w:t xml:space="preserve"> 79</w:t>
      </w:r>
      <w:r w:rsidR="00667501">
        <w:rPr>
          <w:lang w:val="fr-FR"/>
        </w:rPr>
        <w:t> %</w:t>
      </w:r>
      <w:r w:rsidR="00DA44F7" w:rsidRPr="00DA44F7">
        <w:rPr>
          <w:lang w:val="fr-FR"/>
        </w:rPr>
        <w:t xml:space="preserve"> (+16</w:t>
      </w:r>
      <w:r w:rsidR="00667501">
        <w:rPr>
          <w:lang w:val="fr-FR"/>
        </w:rPr>
        <w:t> %</w:t>
      </w:r>
      <w:r w:rsidR="00DA44F7" w:rsidRPr="00DA44F7">
        <w:rPr>
          <w:lang w:val="fr-FR"/>
        </w:rPr>
        <w:t>)</w:t>
      </w:r>
      <w:r w:rsidR="00D560E8">
        <w:rPr>
          <w:lang w:val="fr-FR"/>
        </w:rPr>
        <w:t> ;</w:t>
      </w:r>
      <w:r w:rsidR="00DA44F7" w:rsidRPr="00DA44F7">
        <w:rPr>
          <w:lang w:val="fr-FR"/>
        </w:rPr>
        <w:t xml:space="preserve"> région Asie-Pacifique</w:t>
      </w:r>
      <w:r w:rsidR="00CA1B90">
        <w:rPr>
          <w:lang w:val="fr-FR"/>
        </w:rPr>
        <w:t> :</w:t>
      </w:r>
      <w:r w:rsidR="00DA44F7" w:rsidRPr="00DA44F7">
        <w:rPr>
          <w:lang w:val="fr-FR"/>
        </w:rPr>
        <w:t xml:space="preserve"> 81</w:t>
      </w:r>
      <w:r w:rsidR="00667501">
        <w:rPr>
          <w:lang w:val="fr-FR"/>
        </w:rPr>
        <w:t> %</w:t>
      </w:r>
      <w:r w:rsidR="00DA44F7" w:rsidRPr="00DA44F7">
        <w:rPr>
          <w:lang w:val="fr-FR"/>
        </w:rPr>
        <w:t xml:space="preserve"> (-7</w:t>
      </w:r>
      <w:r w:rsidR="00667501">
        <w:rPr>
          <w:lang w:val="fr-FR"/>
        </w:rPr>
        <w:t> %</w:t>
      </w:r>
      <w:r w:rsidR="00DA44F7" w:rsidRPr="00DA44F7">
        <w:rPr>
          <w:lang w:val="fr-FR"/>
        </w:rPr>
        <w:t>)</w:t>
      </w:r>
      <w:r w:rsidR="00D560E8">
        <w:rPr>
          <w:lang w:val="fr-FR"/>
        </w:rPr>
        <w:t> ;</w:t>
      </w:r>
      <w:r w:rsidR="00DA44F7" w:rsidRPr="00DA44F7">
        <w:rPr>
          <w:lang w:val="fr-FR"/>
        </w:rPr>
        <w:t xml:space="preserve"> et région Europe orientale</w:t>
      </w:r>
      <w:r w:rsidR="00CA1B90">
        <w:rPr>
          <w:lang w:val="fr-FR"/>
        </w:rPr>
        <w:t> :</w:t>
      </w:r>
      <w:r w:rsidR="00DA44F7" w:rsidRPr="00DA44F7">
        <w:rPr>
          <w:lang w:val="fr-FR"/>
        </w:rPr>
        <w:t xml:space="preserve"> 95</w:t>
      </w:r>
      <w:r w:rsidR="00667501">
        <w:rPr>
          <w:lang w:val="fr-FR"/>
        </w:rPr>
        <w:t> %</w:t>
      </w:r>
      <w:r w:rsidR="00DA44F7" w:rsidRPr="00DA44F7">
        <w:rPr>
          <w:lang w:val="fr-FR"/>
        </w:rPr>
        <w:t xml:space="preserve"> (+6</w:t>
      </w:r>
      <w:r w:rsidR="00667501">
        <w:rPr>
          <w:lang w:val="fr-FR"/>
        </w:rPr>
        <w:t> %</w:t>
      </w:r>
      <w:r w:rsidR="00DA44F7" w:rsidRPr="00DA44F7">
        <w:rPr>
          <w:lang w:val="fr-FR"/>
        </w:rPr>
        <w:t>).</w:t>
      </w:r>
    </w:p>
    <w:p w14:paraId="7D3EB753" w14:textId="7B9B407C" w:rsidR="00A36CA5" w:rsidRPr="00F8252B" w:rsidRDefault="00E438BA" w:rsidP="00FA2932">
      <w:pPr>
        <w:pStyle w:val="CBDNormalNumber"/>
        <w:rPr>
          <w:lang w:val="fr-FR"/>
        </w:rPr>
      </w:pPr>
      <w:r>
        <w:rPr>
          <w:lang w:val="fr-FR"/>
        </w:rPr>
        <w:t>Pour</w:t>
      </w:r>
      <w:r w:rsidR="0014014B" w:rsidRPr="0014014B">
        <w:rPr>
          <w:lang w:val="fr-FR"/>
        </w:rPr>
        <w:t xml:space="preserve"> l’indicateur B.1</w:t>
      </w:r>
      <w:r w:rsidR="0014014B">
        <w:rPr>
          <w:lang w:val="fr-FR"/>
        </w:rPr>
        <w:t> </w:t>
      </w:r>
      <w:r w:rsidR="0014014B" w:rsidRPr="0014014B">
        <w:rPr>
          <w:lang w:val="fr-FR"/>
        </w:rPr>
        <w:t>c) (pourcentage des Parties ayant des besoins en matière de renforcement des capacités qui utilisent des supports de renforcement des capacités, y compris des ressources en ligne), ce sont les informations fournies en réponse à la question</w:t>
      </w:r>
      <w:r w:rsidR="0014014B">
        <w:rPr>
          <w:lang w:val="fr-FR"/>
        </w:rPr>
        <w:t> </w:t>
      </w:r>
      <w:r w:rsidR="0014014B" w:rsidRPr="0014014B">
        <w:rPr>
          <w:lang w:val="fr-FR"/>
        </w:rPr>
        <w:t>120 du cinquième formulaire de rapport qui ont été utilisées pour mesurer les progrès accomplis. Aucune information n'était disponible pour la situation de référence, car la question n'avait pas été incluse dans le quatrième rapport national. Parmi les Parties ayant déclaré avoir mené des activités de développement des capacités au cours de la période considérée ou l'avoir fait dans une certaine mesure, 81</w:t>
      </w:r>
      <w:r w:rsidR="00667501">
        <w:rPr>
          <w:lang w:val="fr-FR"/>
        </w:rPr>
        <w:t> %</w:t>
      </w:r>
      <w:r w:rsidR="0014014B" w:rsidRPr="0014014B">
        <w:rPr>
          <w:lang w:val="fr-FR"/>
        </w:rPr>
        <w:t xml:space="preserve"> ont indiqué avoir utilisé des supports de renforcement des capacités, y compris des ressources en ligne, pour le développement et/ou le renforcement des capacités</w:t>
      </w:r>
      <w:r w:rsidR="008663AC" w:rsidRPr="00F8252B">
        <w:rPr>
          <w:lang w:val="fr-FR"/>
        </w:rPr>
        <w:t>.</w:t>
      </w:r>
      <w:r w:rsidR="0071694E" w:rsidRPr="00F8252B">
        <w:rPr>
          <w:lang w:val="fr-FR"/>
        </w:rPr>
        <w:t xml:space="preserve"> </w:t>
      </w:r>
    </w:p>
    <w:p w14:paraId="0530665F" w14:textId="648F1856" w:rsidR="00500A44" w:rsidRPr="00F8252B" w:rsidRDefault="00E438BA" w:rsidP="00FA2932">
      <w:pPr>
        <w:pStyle w:val="CBDNormalNumber"/>
        <w:rPr>
          <w:lang w:val="fr-FR"/>
        </w:rPr>
      </w:pPr>
      <w:r>
        <w:rPr>
          <w:lang w:val="fr-FR"/>
        </w:rPr>
        <w:t>Pour</w:t>
      </w:r>
      <w:r w:rsidR="008D59B8" w:rsidRPr="008D59B8">
        <w:rPr>
          <w:lang w:val="fr-FR"/>
        </w:rPr>
        <w:t xml:space="preserve"> l’indicateur B.1</w:t>
      </w:r>
      <w:r w:rsidR="008D59B8">
        <w:rPr>
          <w:lang w:val="fr-FR"/>
        </w:rPr>
        <w:t> </w:t>
      </w:r>
      <w:r w:rsidR="008D59B8" w:rsidRPr="008D59B8">
        <w:rPr>
          <w:lang w:val="fr-FR"/>
        </w:rPr>
        <w:t>d) (pourcentage des Parties qui coopèrent pour renforcer les capacités nécessaires à la mise en œuvre du Protocole), ce sont les informations fournies en réponse à la question 155</w:t>
      </w:r>
      <w:r w:rsidR="008D59B8">
        <w:rPr>
          <w:lang w:val="fr-FR"/>
        </w:rPr>
        <w:t> </w:t>
      </w:r>
      <w:r w:rsidR="008D59B8" w:rsidRPr="008D59B8">
        <w:rPr>
          <w:lang w:val="fr-FR"/>
        </w:rPr>
        <w:t>e) du cinquième rapport national qui ont été utilisées pour mesurer les progrès accomplis. Aucune information n’était disponible pour la situation de référence, cette question n’ayant pas été incluse dans le quatrième rapport national. Cinquante-deux pour cent des Parties ont indiqué avoir coopéré avec d'autres Parties pour renforcer les capacités de mise en œuvre du Protocole.</w:t>
      </w:r>
      <w:r w:rsidR="00F14617" w:rsidRPr="00F8252B">
        <w:rPr>
          <w:b/>
          <w:bCs/>
          <w:lang w:val="fr-FR"/>
        </w:rPr>
        <w:t xml:space="preserve"> </w:t>
      </w:r>
    </w:p>
    <w:p w14:paraId="12A47E25" w14:textId="6C741BB9" w:rsidR="00CE0AD4" w:rsidRPr="00F8252B" w:rsidRDefault="00E438BA" w:rsidP="00FA2932">
      <w:pPr>
        <w:pStyle w:val="CBDNormalNumber"/>
        <w:rPr>
          <w:lang w:val="fr-FR"/>
        </w:rPr>
      </w:pPr>
      <w:r>
        <w:rPr>
          <w:lang w:val="fr-FR"/>
        </w:rPr>
        <w:t>Pour</w:t>
      </w:r>
      <w:r w:rsidR="00623402" w:rsidRPr="00623402">
        <w:rPr>
          <w:lang w:val="fr-FR"/>
        </w:rPr>
        <w:t xml:space="preserve"> </w:t>
      </w:r>
      <w:r w:rsidR="0003055B">
        <w:rPr>
          <w:lang w:val="fr-FR"/>
        </w:rPr>
        <w:t xml:space="preserve">le </w:t>
      </w:r>
      <w:r w:rsidR="002D3041">
        <w:rPr>
          <w:lang w:val="fr-FR"/>
        </w:rPr>
        <w:t>but B.1</w:t>
      </w:r>
      <w:r w:rsidR="00623402" w:rsidRPr="00623402">
        <w:rPr>
          <w:lang w:val="fr-FR"/>
        </w:rPr>
        <w:t>, quatre domaines clés de renforcement des capacités ont été identifiés dans le cadre du plan d'action pour le renforcement des capacités</w:t>
      </w:r>
      <w:r w:rsidR="00CA1B90">
        <w:rPr>
          <w:lang w:val="fr-FR"/>
        </w:rPr>
        <w:t> :</w:t>
      </w:r>
      <w:r w:rsidR="00623402" w:rsidRPr="00623402">
        <w:rPr>
          <w:lang w:val="fr-FR"/>
        </w:rPr>
        <w:t xml:space="preserve"> a) l'auto-évaluation des besoins et des priorités en matière de renforcement des capacités</w:t>
      </w:r>
      <w:r w:rsidR="00D560E8">
        <w:rPr>
          <w:lang w:val="fr-FR"/>
        </w:rPr>
        <w:t> ;</w:t>
      </w:r>
      <w:r w:rsidR="00623402" w:rsidRPr="00623402">
        <w:rPr>
          <w:lang w:val="fr-FR"/>
        </w:rPr>
        <w:t xml:space="preserve"> b) l'apport d'un appui aux activités de développement des capacités</w:t>
      </w:r>
      <w:r w:rsidR="00D560E8">
        <w:rPr>
          <w:lang w:val="fr-FR"/>
        </w:rPr>
        <w:t> ;</w:t>
      </w:r>
      <w:r w:rsidR="00623402" w:rsidRPr="00623402">
        <w:rPr>
          <w:lang w:val="fr-FR"/>
        </w:rPr>
        <w:t xml:space="preserve"> c) l'accès aux supports de renforcement des capacités</w:t>
      </w:r>
      <w:r w:rsidR="00D560E8">
        <w:rPr>
          <w:lang w:val="fr-FR"/>
        </w:rPr>
        <w:t> ;</w:t>
      </w:r>
      <w:r w:rsidR="00623402" w:rsidRPr="00623402">
        <w:rPr>
          <w:lang w:val="fr-FR"/>
        </w:rPr>
        <w:t xml:space="preserve"> et d) la coopération dans le cadre des activités de développement des capacités. Les indicateurs du plan d'action pour le renforcement des capacités couvraient les mêmes aspects que ceux abordés dans le plan de mise en œuvre</w:t>
      </w:r>
      <w:r w:rsidR="005A02AB" w:rsidRPr="00F8252B">
        <w:rPr>
          <w:lang w:val="fr-FR"/>
        </w:rPr>
        <w:t>.</w:t>
      </w:r>
    </w:p>
    <w:p w14:paraId="1310FD66" w14:textId="207E9FC2" w:rsidR="00BA37B3" w:rsidRPr="00B10952" w:rsidRDefault="00B10952" w:rsidP="00FA2932">
      <w:pPr>
        <w:pStyle w:val="CBDNormalNumber"/>
        <w:rPr>
          <w:lang w:val="fr-FR"/>
        </w:rPr>
      </w:pPr>
      <w:r w:rsidRPr="00B10952">
        <w:rPr>
          <w:lang w:val="fr-FR"/>
        </w:rPr>
        <w:t>Dans leurs réponses sous forme de texte libre à la question</w:t>
      </w:r>
      <w:r>
        <w:rPr>
          <w:lang w:val="fr-FR"/>
        </w:rPr>
        <w:t> </w:t>
      </w:r>
      <w:r w:rsidRPr="00B10952">
        <w:rPr>
          <w:lang w:val="fr-FR"/>
        </w:rPr>
        <w:t>126, les Parties ont fourni des précisions supplémentaires sur leurs efforts de renforcement des capacités. De nombreuses Parties issues de pays en développement ont expliqué qu’elles ne disposaient pas de crédits budgétaires nationaux destinés au renforcement des capacités en matière de prévention des risques biotechnologiques ou que leur budget national à cet égard était insuffisant. Plusieurs de ces Parties ont indiqué qu’elles avaient donc dû compter sur des financements extérieurs pour leurs activités de développement des capacités menées dans le cadre de projets, et certaines Parties ont mentionné que, de ce fait, les efforts de développement des capacités étaient fragmentés. Dans ce contexte, de nombreuses Parties ont décrit comment elles avaient bénéficié de l’appui de donateurs, notamment du FEM. Certaines de ces Parties ont indiqué que l’accès au financement du FEM pour les activités de prévention des risques biotechnologiques était difficile et que les priorités nationales avaient détourné les allocations prévues au titre du Système d’allocation transparente des ressources au détriment de la prévention des risques biotechnologiques. Certaines Parties ont décrit comment elles avaient bénéficié d’initiatives et de programmes régionaux en matière de prévention des risques biotechnologiques.</w:t>
      </w:r>
    </w:p>
    <w:p w14:paraId="0DD5E994" w14:textId="5A1CE7A1" w:rsidR="00BA37B3" w:rsidRPr="00F8252B" w:rsidRDefault="00D560C3" w:rsidP="00FA2932">
      <w:pPr>
        <w:pStyle w:val="CBDNormalNumber"/>
        <w:rPr>
          <w:lang w:val="fr-FR"/>
        </w:rPr>
      </w:pPr>
      <w:r w:rsidRPr="00D560C3">
        <w:rPr>
          <w:lang w:val="fr-FR"/>
        </w:rPr>
        <w:t xml:space="preserve">Parmi les difficultés couramment évoquées par les Parties dans leurs réponses sous forme de texte libre figuraient le manque de personnel qualifié, le taux de rotation élevé du personnel, le manque de coordination institutionnelle et le manque de ressources financières. Quelques Parties ont </w:t>
      </w:r>
      <w:r w:rsidR="00DA4410">
        <w:rPr>
          <w:lang w:val="fr-FR"/>
        </w:rPr>
        <w:t xml:space="preserve">remarqué </w:t>
      </w:r>
      <w:r w:rsidRPr="00D560C3">
        <w:rPr>
          <w:lang w:val="fr-FR"/>
        </w:rPr>
        <w:t>que, compte tenu du développement rapide des biotechnologies, des efforts supplémentaires s'imposaient.</w:t>
      </w:r>
      <w:r w:rsidR="00BA37B3" w:rsidRPr="00F8252B">
        <w:rPr>
          <w:lang w:val="fr-FR"/>
        </w:rPr>
        <w:t xml:space="preserve"> </w:t>
      </w:r>
    </w:p>
    <w:p w14:paraId="626E9D18" w14:textId="052E9BA9" w:rsidR="00BA37B3" w:rsidRPr="00F8252B" w:rsidRDefault="00424834" w:rsidP="00FA2932">
      <w:pPr>
        <w:pStyle w:val="CBDNormalNumber"/>
        <w:rPr>
          <w:lang w:val="fr-FR"/>
        </w:rPr>
      </w:pPr>
      <w:r w:rsidRPr="00424834">
        <w:rPr>
          <w:lang w:val="fr-FR"/>
        </w:rPr>
        <w:t>Environ la moitié des Parties ont fourni des précisions sur les initiatives de renforcement des capacités auxquelles elles avaient participé au cours de la période considérée. Les domaines d’action communs qui ont été mentionnés à cet égard étaient les suivants</w:t>
      </w:r>
      <w:r w:rsidR="00CA1B90">
        <w:rPr>
          <w:lang w:val="fr-FR"/>
        </w:rPr>
        <w:t> :</w:t>
      </w:r>
      <w:r w:rsidRPr="00424834">
        <w:rPr>
          <w:lang w:val="fr-FR"/>
        </w:rPr>
        <w:t xml:space="preserve"> élaboration de cadres juridiques, </w:t>
      </w:r>
      <w:r w:rsidRPr="00424834">
        <w:rPr>
          <w:lang w:val="fr-FR"/>
        </w:rPr>
        <w:lastRenderedPageBreak/>
        <w:t>coordination institutionnelle, évaluation et gestion des risques, détection et identification, développement d’installations de laboratoire, capacités douanières, sensibilisation du public et vulgarisation. Certaines de ces Parties ont expliqué que les efforts déployés dans ces domaines s’appuyaient sur des évaluations des besoins en matière de renforcement des capacités en prévention des risques biotechnologiques. Une Partie a indiqué comment elle avait identifié ses besoins en matière de capacités de prévention des risques biotechnologiques dans le contexte de l’objectif 17 du Cadre mondial de la biodiversité de Kunming-Montréal, avec l’aide d’un pôle d’excellence.</w:t>
      </w:r>
    </w:p>
    <w:p w14:paraId="0B065DC9" w14:textId="48726246" w:rsidR="00BA37B3" w:rsidRPr="00F8252B" w:rsidRDefault="00262B81" w:rsidP="00FA2932">
      <w:pPr>
        <w:pStyle w:val="CBDNormalNumber"/>
        <w:rPr>
          <w:lang w:val="fr-FR"/>
        </w:rPr>
      </w:pPr>
      <w:r w:rsidRPr="00262B81">
        <w:rPr>
          <w:lang w:val="fr-FR"/>
        </w:rPr>
        <w:t>Certaines Parties ont expliqué de quelle manière elles avaient apporté un appui à d'autres Parties pour renforcer leurs capacités en matière de prévention des risques biotechnologiques ou comment les activités qu'elles avaient menées avaient contribué au renforcement des capacités en matière de prévention des risques biotechnologiques dans d'autres pays.</w:t>
      </w:r>
    </w:p>
    <w:p w14:paraId="5087AA92" w14:textId="73C29CEF" w:rsidR="004D15C6" w:rsidRPr="00AF3B25" w:rsidRDefault="005C03C3" w:rsidP="00FA2932">
      <w:pPr>
        <w:pStyle w:val="CBDNormalNumber"/>
        <w:rPr>
          <w:lang w:val="fr-FR"/>
        </w:rPr>
      </w:pPr>
      <w:r w:rsidRPr="000244CF">
        <w:rPr>
          <w:lang w:val="fr-FR"/>
        </w:rPr>
        <w:t>Par la notification n°2025-1 de la Convention sur la diversité biologique, publiée le 3</w:t>
      </w:r>
      <w:r w:rsidR="00D560E8">
        <w:rPr>
          <w:lang w:val="fr-FR"/>
        </w:rPr>
        <w:t> </w:t>
      </w:r>
      <w:r w:rsidRPr="000244CF">
        <w:rPr>
          <w:lang w:val="fr-FR"/>
        </w:rPr>
        <w:t>janvier 2025, les Parties, d’autres gouvernements et des organisations ont été invités à partager des informations sur les initiatives de renforcement des capacités. Des contributions ont été reçues de la part de 19</w:t>
      </w:r>
      <w:r w:rsidR="00D560E8">
        <w:rPr>
          <w:lang w:val="fr-FR"/>
        </w:rPr>
        <w:t> </w:t>
      </w:r>
      <w:r w:rsidRPr="000244CF">
        <w:rPr>
          <w:lang w:val="fr-FR"/>
        </w:rPr>
        <w:t xml:space="preserve">Parties, d’un État </w:t>
      </w:r>
      <w:r w:rsidR="000244CF" w:rsidRPr="000244CF">
        <w:rPr>
          <w:lang w:val="fr-FR"/>
        </w:rPr>
        <w:t>non-Partie</w:t>
      </w:r>
      <w:r w:rsidRPr="000244CF">
        <w:rPr>
          <w:lang w:val="fr-FR"/>
        </w:rPr>
        <w:t xml:space="preserve"> au Protocole de Cartagena et de six organisations</w:t>
      </w:r>
      <w:r w:rsidR="001F5531" w:rsidRPr="00F8252B">
        <w:rPr>
          <w:rStyle w:val="Appelnotedebasdep"/>
          <w:lang w:val="fr-FR"/>
        </w:rPr>
        <w:footnoteReference w:id="52"/>
      </w:r>
      <w:r>
        <w:t>.</w:t>
      </w:r>
      <w:r w:rsidR="00510E5B" w:rsidRPr="00AF3B25">
        <w:rPr>
          <w:lang w:val="fr-FR"/>
        </w:rPr>
        <w:t xml:space="preserve"> </w:t>
      </w:r>
      <w:r w:rsidR="00D3416B" w:rsidRPr="00AF3B25">
        <w:rPr>
          <w:lang w:val="fr-FR"/>
        </w:rPr>
        <w:t>Un sommaire des contributions a été mis à disposition en appui à un forum de discussion en ligne qui s’est tenu du 14 au 18 juillet 2025</w:t>
      </w:r>
      <w:r w:rsidR="00FC722B" w:rsidRPr="00F8252B">
        <w:rPr>
          <w:rStyle w:val="Appelnotedebasdep"/>
          <w:lang w:val="fr-FR"/>
        </w:rPr>
        <w:footnoteReference w:id="53"/>
      </w:r>
      <w:r w:rsidR="00D3416B" w:rsidRPr="00AF3B25">
        <w:rPr>
          <w:lang w:val="fr-FR"/>
        </w:rPr>
        <w:t>.</w:t>
      </w:r>
      <w:r w:rsidR="00BF4C5C" w:rsidRPr="00AF3B25">
        <w:rPr>
          <w:lang w:val="fr-FR"/>
        </w:rPr>
        <w:t xml:space="preserve"> </w:t>
      </w:r>
      <w:r w:rsidR="00AF3B25" w:rsidRPr="00AF3B25">
        <w:rPr>
          <w:lang w:val="fr-FR"/>
        </w:rPr>
        <w:t>Les discussions du forum ont porté sur les besoins et les défis en matière de renforcement des capacités, sur les initiatives en cours et prévues dans ce domaine, ainsi que sur les enseignements tirés et les opportunités, le tout en s'articulant autour des objectifs du plan d'action pour le renforcement des capacités du Protocole de Cartagena.</w:t>
      </w:r>
    </w:p>
    <w:p w14:paraId="0006A953" w14:textId="5D78C9B5" w:rsidR="00BA37B3" w:rsidRPr="00F8252B" w:rsidRDefault="000244CF" w:rsidP="00FA2932">
      <w:pPr>
        <w:pStyle w:val="CBDNormalNumber"/>
        <w:rPr>
          <w:lang w:val="fr-FR"/>
        </w:rPr>
      </w:pPr>
      <w:r w:rsidRPr="000244CF">
        <w:rPr>
          <w:lang w:val="fr-FR"/>
        </w:rPr>
        <w:t>Entre janvier 2020 et mars 2026, 22 initiatives de renforcement des capacités ont été mises en ligne sur le Centre d'échange pour la prévention des risques biotechnologiques. Par ailleurs, plusieurs articles d'actualité consacrés à des initiatives de renforcement des capacités en matière de prévention des risques biotechnologiques ont été diffusés par l'intermédiaire de ce centre au cours de cette période</w:t>
      </w:r>
      <w:r w:rsidR="00D278AD" w:rsidRPr="00F8252B">
        <w:rPr>
          <w:lang w:val="fr-FR"/>
        </w:rPr>
        <w:t>.</w:t>
      </w:r>
    </w:p>
    <w:p w14:paraId="665ABB81" w14:textId="42CB699D" w:rsidR="00C21C64" w:rsidRPr="00F8252B" w:rsidRDefault="007327F7" w:rsidP="00FA2932">
      <w:pPr>
        <w:pStyle w:val="CBDH2"/>
        <w:jc w:val="left"/>
        <w:rPr>
          <w:snapToGrid w:val="0"/>
          <w:lang w:val="fr-FR"/>
        </w:rPr>
      </w:pPr>
      <w:r w:rsidRPr="00F8252B">
        <w:rPr>
          <w:snapToGrid w:val="0"/>
          <w:lang w:val="fr-FR"/>
        </w:rPr>
        <w:t>L.</w:t>
      </w:r>
      <w:r w:rsidRPr="00F8252B">
        <w:rPr>
          <w:snapToGrid w:val="0"/>
          <w:lang w:val="fr-FR"/>
        </w:rPr>
        <w:tab/>
      </w:r>
      <w:r w:rsidR="000C742A" w:rsidRPr="00F8252B">
        <w:rPr>
          <w:snapToGrid w:val="0"/>
          <w:lang w:val="fr-FR"/>
        </w:rPr>
        <w:t>But </w:t>
      </w:r>
      <w:r w:rsidR="00C21C64" w:rsidRPr="00F8252B">
        <w:rPr>
          <w:snapToGrid w:val="0"/>
          <w:lang w:val="fr-FR"/>
        </w:rPr>
        <w:t xml:space="preserve">B.2. </w:t>
      </w:r>
      <w:r w:rsidR="000C742A" w:rsidRPr="00F8252B">
        <w:rPr>
          <w:lang w:val="fr-FR"/>
        </w:rPr>
        <w:t>Les Parties mobilisent des ressources adéquates de toutes sources pour soutenir l’application du Protocole, conformément à l’article 28 du Protocole</w:t>
      </w:r>
    </w:p>
    <w:p w14:paraId="2CF33799" w14:textId="65DF803D" w:rsidR="008275A3" w:rsidRPr="00F8252B" w:rsidRDefault="007327F7" w:rsidP="00FA2932">
      <w:pPr>
        <w:pStyle w:val="CBDH4"/>
        <w:rPr>
          <w:snapToGrid w:val="0"/>
          <w:lang w:val="fr-FR"/>
        </w:rPr>
      </w:pPr>
      <w:r w:rsidRPr="00F8252B">
        <w:rPr>
          <w:snapToGrid w:val="0"/>
          <w:lang w:val="fr-FR"/>
        </w:rPr>
        <w:t>a)</w:t>
      </w:r>
      <w:r w:rsidRPr="00F8252B">
        <w:rPr>
          <w:snapToGrid w:val="0"/>
          <w:lang w:val="fr-FR"/>
        </w:rPr>
        <w:tab/>
      </w:r>
      <w:r w:rsidR="00ED0006" w:rsidRPr="00F8252B">
        <w:rPr>
          <w:snapToGrid w:val="0"/>
          <w:lang w:val="fr-FR"/>
        </w:rPr>
        <w:t xml:space="preserve">Chiffres clés et </w:t>
      </w:r>
      <w:r w:rsidR="0035077E" w:rsidRPr="00F8252B">
        <w:rPr>
          <w:snapToGrid w:val="0"/>
          <w:lang w:val="fr-FR"/>
        </w:rPr>
        <w:t>éléments importants</w:t>
      </w:r>
    </w:p>
    <w:p w14:paraId="63880F3A" w14:textId="1C2792C9" w:rsidR="006D7350" w:rsidRPr="002230C6" w:rsidRDefault="002230C6" w:rsidP="00FA2932">
      <w:pPr>
        <w:pStyle w:val="Paragraphedeliste"/>
        <w:numPr>
          <w:ilvl w:val="0"/>
          <w:numId w:val="11"/>
        </w:numPr>
        <w:suppressLineNumbers/>
        <w:suppressAutoHyphens/>
        <w:snapToGrid w:val="0"/>
        <w:spacing w:before="120" w:after="120"/>
        <w:ind w:left="1134" w:hanging="567"/>
        <w:contextualSpacing w:val="0"/>
        <w:rPr>
          <w:snapToGrid w:val="0"/>
          <w:kern w:val="22"/>
          <w:lang w:val="fr-FR"/>
        </w:rPr>
      </w:pPr>
      <w:r w:rsidRPr="002230C6">
        <w:rPr>
          <w:lang w:val="fr-FR"/>
        </w:rPr>
        <w:t>Soixante</w:t>
      </w:r>
      <w:r w:rsidR="00EC4B74">
        <w:rPr>
          <w:lang w:val="fr-FR"/>
        </w:rPr>
        <w:t>-</w:t>
      </w:r>
      <w:r w:rsidRPr="002230C6">
        <w:rPr>
          <w:lang w:val="fr-FR"/>
        </w:rPr>
        <w:t>et</w:t>
      </w:r>
      <w:r w:rsidR="00EC4B74">
        <w:rPr>
          <w:lang w:val="fr-FR"/>
        </w:rPr>
        <w:t>-</w:t>
      </w:r>
      <w:r w:rsidRPr="002230C6">
        <w:rPr>
          <w:lang w:val="fr-FR"/>
        </w:rPr>
        <w:t>onze pour cent des Parties ont indiqué disposer de ressources allouées à la prévention des risques biotechnologiques provenant des budgets nationaux. Quarante pour cent de ces Parties ont déclaré que ces ressources étaient suffisantes. Au niveau régional, la proportion de Parties qui établissaient des rapports sur les ressources allouées à la prévention des risques biotechnologiques dans le cadre des budgets nationaux variait considérablement comme suit</w:t>
      </w:r>
      <w:r w:rsidR="00CA1B90">
        <w:rPr>
          <w:lang w:val="fr-FR"/>
        </w:rPr>
        <w:t> :</w:t>
      </w:r>
      <w:r w:rsidRPr="002230C6">
        <w:rPr>
          <w:lang w:val="fr-FR"/>
        </w:rPr>
        <w:t xml:space="preserve"> 0</w:t>
      </w:r>
      <w:r w:rsidR="00667501">
        <w:rPr>
          <w:lang w:val="fr-FR"/>
        </w:rPr>
        <w:t> %</w:t>
      </w:r>
      <w:r w:rsidRPr="002230C6">
        <w:rPr>
          <w:lang w:val="fr-FR"/>
        </w:rPr>
        <w:t xml:space="preserve"> dans la région Afrique</w:t>
      </w:r>
      <w:r w:rsidR="00D560E8">
        <w:rPr>
          <w:lang w:val="fr-FR"/>
        </w:rPr>
        <w:t> ;</w:t>
      </w:r>
      <w:r w:rsidRPr="002230C6">
        <w:rPr>
          <w:lang w:val="fr-FR"/>
        </w:rPr>
        <w:t xml:space="preserve"> 8</w:t>
      </w:r>
      <w:r w:rsidR="00667501">
        <w:rPr>
          <w:lang w:val="fr-FR"/>
        </w:rPr>
        <w:t> %</w:t>
      </w:r>
      <w:r w:rsidRPr="002230C6">
        <w:rPr>
          <w:lang w:val="fr-FR"/>
        </w:rPr>
        <w:t xml:space="preserve"> dans la région Amérique latine et Caraïbes</w:t>
      </w:r>
      <w:r w:rsidR="00D560E8">
        <w:rPr>
          <w:lang w:val="fr-FR"/>
        </w:rPr>
        <w:t> ;</w:t>
      </w:r>
      <w:r w:rsidRPr="002230C6">
        <w:rPr>
          <w:lang w:val="fr-FR"/>
        </w:rPr>
        <w:t xml:space="preserve"> 33</w:t>
      </w:r>
      <w:r w:rsidR="00667501">
        <w:rPr>
          <w:lang w:val="fr-FR"/>
        </w:rPr>
        <w:t> %</w:t>
      </w:r>
      <w:r w:rsidRPr="002230C6">
        <w:rPr>
          <w:lang w:val="fr-FR"/>
        </w:rPr>
        <w:t xml:space="preserve"> dans la région Asie-Pacifique</w:t>
      </w:r>
      <w:r w:rsidR="00D560E8">
        <w:rPr>
          <w:lang w:val="fr-FR"/>
        </w:rPr>
        <w:t> ;</w:t>
      </w:r>
      <w:r w:rsidRPr="002230C6">
        <w:rPr>
          <w:lang w:val="fr-FR"/>
        </w:rPr>
        <w:t xml:space="preserve"> 73</w:t>
      </w:r>
      <w:r w:rsidR="00667501">
        <w:rPr>
          <w:lang w:val="fr-FR"/>
        </w:rPr>
        <w:t> %</w:t>
      </w:r>
      <w:r w:rsidRPr="002230C6">
        <w:rPr>
          <w:lang w:val="fr-FR"/>
        </w:rPr>
        <w:t xml:space="preserve"> dans la région Europe de l’Est</w:t>
      </w:r>
      <w:r w:rsidR="00D560E8">
        <w:rPr>
          <w:lang w:val="fr-FR"/>
        </w:rPr>
        <w:t> ;</w:t>
      </w:r>
      <w:r w:rsidRPr="002230C6">
        <w:rPr>
          <w:lang w:val="fr-FR"/>
        </w:rPr>
        <w:t xml:space="preserve"> et 94</w:t>
      </w:r>
      <w:r w:rsidR="00667501">
        <w:rPr>
          <w:lang w:val="fr-FR"/>
        </w:rPr>
        <w:t> %</w:t>
      </w:r>
      <w:r w:rsidRPr="002230C6">
        <w:rPr>
          <w:lang w:val="fr-FR"/>
        </w:rPr>
        <w:t xml:space="preserve"> dans la région Europe occidentale et autres États. </w:t>
      </w:r>
      <w:r w:rsidR="005E4AE6">
        <w:rPr>
          <w:lang w:val="fr-FR"/>
        </w:rPr>
        <w:t>Ainsi</w:t>
      </w:r>
      <w:r w:rsidRPr="002230C6">
        <w:rPr>
          <w:lang w:val="fr-FR"/>
        </w:rPr>
        <w:t xml:space="preserve">, même lorsque des ressources étaient disponibles, </w:t>
      </w:r>
      <w:r w:rsidR="00EA1937">
        <w:rPr>
          <w:lang w:val="fr-FR"/>
        </w:rPr>
        <w:t>il est manifeste</w:t>
      </w:r>
      <w:r w:rsidR="001A3C4D">
        <w:rPr>
          <w:lang w:val="fr-FR"/>
        </w:rPr>
        <w:t xml:space="preserve"> qu’</w:t>
      </w:r>
      <w:r w:rsidRPr="002230C6">
        <w:rPr>
          <w:lang w:val="fr-FR"/>
        </w:rPr>
        <w:t>elles étaient largement insuffisantes dans la plupart des régions</w:t>
      </w:r>
      <w:r>
        <w:rPr>
          <w:lang w:val="fr-FR"/>
        </w:rPr>
        <w:t>.</w:t>
      </w:r>
    </w:p>
    <w:p w14:paraId="240B54D5" w14:textId="706FD80E" w:rsidR="005E4326" w:rsidRPr="00A65CB5" w:rsidRDefault="00A65CB5" w:rsidP="00FA2932">
      <w:pPr>
        <w:pStyle w:val="Paragraphedeliste"/>
        <w:numPr>
          <w:ilvl w:val="0"/>
          <w:numId w:val="11"/>
        </w:numPr>
        <w:suppressLineNumbers/>
        <w:suppressAutoHyphens/>
        <w:snapToGrid w:val="0"/>
        <w:spacing w:before="120" w:after="120"/>
        <w:ind w:left="1134" w:hanging="567"/>
        <w:contextualSpacing w:val="0"/>
        <w:rPr>
          <w:snapToGrid w:val="0"/>
          <w:kern w:val="22"/>
          <w:lang w:val="fr-FR"/>
        </w:rPr>
      </w:pPr>
      <w:r w:rsidRPr="00A65CB5">
        <w:rPr>
          <w:snapToGrid w:val="0"/>
          <w:kern w:val="22"/>
          <w:lang w:val="fr-FR"/>
        </w:rPr>
        <w:t>Cinquante-huit pour cent des Parties ont indiqué avoir mobilisé des fonds supplémentaires à l'appui de la mise en œuvre du Protocole de Cartagena, en plus des crédits budgétaires nationaux habituels</w:t>
      </w:r>
      <w:r w:rsidR="009B05ED">
        <w:rPr>
          <w:snapToGrid w:val="0"/>
          <w:kern w:val="22"/>
          <w:lang w:val="fr-FR"/>
        </w:rPr>
        <w:t>.</w:t>
      </w:r>
    </w:p>
    <w:p w14:paraId="2A30B8F7" w14:textId="1692F058" w:rsidR="00DC6ECB" w:rsidRPr="00F8252B" w:rsidRDefault="002060C0" w:rsidP="00FA2932">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1134" w:hanging="567"/>
        <w:contextualSpacing w:val="0"/>
        <w:rPr>
          <w:snapToGrid w:val="0"/>
          <w:kern w:val="22"/>
          <w:lang w:val="fr-FR"/>
        </w:rPr>
      </w:pPr>
      <w:r w:rsidRPr="002060C0">
        <w:rPr>
          <w:lang w:val="fr-FR"/>
        </w:rPr>
        <w:t>Si 16</w:t>
      </w:r>
      <w:r w:rsidR="00667501">
        <w:rPr>
          <w:lang w:val="fr-FR"/>
        </w:rPr>
        <w:t> %</w:t>
      </w:r>
      <w:r w:rsidRPr="002060C0">
        <w:rPr>
          <w:lang w:val="fr-FR"/>
        </w:rPr>
        <w:t xml:space="preserve"> des Parties éligibles ont indiqué que la part allouée à leur pays dans le cadre du Système d'allocation transparente des ressources avait été utilisée pour des activités liées à la prévention des risques biotechnologiques, d'après les explications fournies dans les réponses en texte libre de certaines Parties, ce chiffre pourrait en réalité être inférieur</w:t>
      </w:r>
      <w:r w:rsidR="009B05ED">
        <w:rPr>
          <w:lang w:val="fr-FR"/>
        </w:rPr>
        <w:t>.</w:t>
      </w:r>
    </w:p>
    <w:p w14:paraId="03417414" w14:textId="17B5B3EC" w:rsidR="00271977" w:rsidRPr="00F8252B" w:rsidRDefault="00681579" w:rsidP="00FA2932">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1134" w:hanging="567"/>
        <w:contextualSpacing w:val="0"/>
        <w:rPr>
          <w:snapToGrid w:val="0"/>
          <w:kern w:val="22"/>
          <w:lang w:val="fr-FR"/>
        </w:rPr>
      </w:pPr>
      <w:r w:rsidRPr="00681579">
        <w:rPr>
          <w:snapToGrid w:val="0"/>
          <w:kern w:val="22"/>
          <w:lang w:val="fr-FR"/>
        </w:rPr>
        <w:lastRenderedPageBreak/>
        <w:t>De nombreuses Parties ont indiqué dans leurs réponses sous forme de texte libre qu'en raison de l'insuffisance des crédits budgétaires nationaux, elles dépendaient de financements extérieurs pour mener à bien leurs activités de développement des capacités en matière de prévention des risques biotechnologiques au sein des projets. Certaines Parties ont fait remarquer que les fonds approuvés étaient souvent insuffisants pour répondre à leurs besoins, tandis que d'autres ont souligné que le financement par projet entraînait une certaine fragmentation</w:t>
      </w:r>
      <w:r>
        <w:rPr>
          <w:snapToGrid w:val="0"/>
          <w:kern w:val="22"/>
          <w:lang w:val="fr-FR"/>
        </w:rPr>
        <w:t>.</w:t>
      </w:r>
    </w:p>
    <w:p w14:paraId="01B44FDB" w14:textId="3F36DC0B" w:rsidR="00683C97" w:rsidRPr="00F8252B" w:rsidRDefault="00683C97" w:rsidP="00FA2932">
      <w:pPr>
        <w:pStyle w:val="CBDH4"/>
        <w:rPr>
          <w:snapToGrid w:val="0"/>
          <w:lang w:val="fr-FR"/>
        </w:rPr>
      </w:pPr>
      <w:r w:rsidRPr="00F8252B">
        <w:rPr>
          <w:snapToGrid w:val="0"/>
          <w:lang w:val="fr-FR"/>
        </w:rPr>
        <w:t>b)</w:t>
      </w:r>
      <w:r w:rsidRPr="00F8252B">
        <w:rPr>
          <w:snapToGrid w:val="0"/>
          <w:lang w:val="fr-FR"/>
        </w:rPr>
        <w:tab/>
        <w:t>Analys</w:t>
      </w:r>
      <w:r w:rsidR="00AE02B9" w:rsidRPr="00F8252B">
        <w:rPr>
          <w:snapToGrid w:val="0"/>
          <w:lang w:val="fr-FR"/>
        </w:rPr>
        <w:t xml:space="preserve">e des </w:t>
      </w:r>
      <w:r w:rsidRPr="00F8252B">
        <w:rPr>
          <w:snapToGrid w:val="0"/>
          <w:lang w:val="fr-FR"/>
        </w:rPr>
        <w:t>information</w:t>
      </w:r>
      <w:r w:rsidR="00AE02B9" w:rsidRPr="00F8252B">
        <w:rPr>
          <w:snapToGrid w:val="0"/>
          <w:lang w:val="fr-FR"/>
        </w:rPr>
        <w:t>s</w:t>
      </w:r>
    </w:p>
    <w:p w14:paraId="394285C4" w14:textId="55C8D8B4" w:rsidR="00694F74" w:rsidRPr="00E35B20" w:rsidRDefault="00E35B20" w:rsidP="00FA2932">
      <w:pPr>
        <w:pStyle w:val="CBDNormalNumber"/>
        <w:rPr>
          <w:lang w:val="fr-FR"/>
        </w:rPr>
      </w:pPr>
      <w:r w:rsidRPr="00E35B20">
        <w:rPr>
          <w:snapToGrid w:val="0"/>
          <w:kern w:val="22"/>
          <w:lang w:val="fr-FR"/>
        </w:rPr>
        <w:t xml:space="preserve">Le but B.2 comprend trois objectifs à atteindre pour réaliser ce but, ainsi que trois indicateurs permettant de mesurer les progrès accomplis dans la réalisation de ces objectifs. </w:t>
      </w:r>
      <w:r w:rsidR="00E438BA">
        <w:rPr>
          <w:snapToGrid w:val="0"/>
          <w:kern w:val="22"/>
          <w:lang w:val="fr-FR"/>
        </w:rPr>
        <w:t>Pour</w:t>
      </w:r>
      <w:r w:rsidRPr="00E35B20">
        <w:rPr>
          <w:snapToGrid w:val="0"/>
          <w:kern w:val="22"/>
          <w:lang w:val="fr-FR"/>
        </w:rPr>
        <w:t xml:space="preserve"> l’indicateur B.2</w:t>
      </w:r>
      <w:r w:rsidR="00D22F83">
        <w:rPr>
          <w:snapToGrid w:val="0"/>
          <w:kern w:val="22"/>
          <w:lang w:val="fr-FR"/>
        </w:rPr>
        <w:t> </w:t>
      </w:r>
      <w:r w:rsidRPr="00E35B20">
        <w:rPr>
          <w:snapToGrid w:val="0"/>
          <w:kern w:val="22"/>
          <w:lang w:val="fr-FR"/>
        </w:rPr>
        <w:t xml:space="preserve">a) (pourcentage des Parties disposant de ressources suffisantes pour la prévention des risques biotechnologiques provenant des budgets nationaux), </w:t>
      </w:r>
      <w:r w:rsidR="00A223A4">
        <w:rPr>
          <w:snapToGrid w:val="0"/>
          <w:kern w:val="22"/>
          <w:lang w:val="fr-FR"/>
        </w:rPr>
        <w:t xml:space="preserve">ce sont </w:t>
      </w:r>
      <w:r w:rsidRPr="00E35B20">
        <w:rPr>
          <w:snapToGrid w:val="0"/>
          <w:kern w:val="22"/>
          <w:lang w:val="fr-FR"/>
        </w:rPr>
        <w:t xml:space="preserve">les informations fournies en réponse à la question 10 des cinquièmes rapports nationaux </w:t>
      </w:r>
      <w:r w:rsidR="00A223A4">
        <w:rPr>
          <w:snapToGrid w:val="0"/>
          <w:kern w:val="22"/>
          <w:lang w:val="fr-FR"/>
        </w:rPr>
        <w:t xml:space="preserve">qui </w:t>
      </w:r>
      <w:r w:rsidRPr="00E35B20">
        <w:rPr>
          <w:snapToGrid w:val="0"/>
          <w:kern w:val="22"/>
          <w:lang w:val="fr-FR"/>
        </w:rPr>
        <w:t xml:space="preserve">ont été utilisées pour mesurer les progrès. Bien que cette question n’ait pas figuré dans le </w:t>
      </w:r>
      <w:r w:rsidR="00ED196C">
        <w:rPr>
          <w:snapToGrid w:val="0"/>
          <w:kern w:val="22"/>
          <w:lang w:val="fr-FR"/>
        </w:rPr>
        <w:t>modèle de</w:t>
      </w:r>
      <w:r w:rsidRPr="00E35B20">
        <w:rPr>
          <w:snapToGrid w:val="0"/>
          <w:kern w:val="22"/>
          <w:lang w:val="fr-FR"/>
        </w:rPr>
        <w:t xml:space="preserve"> quatrième rapport national, certaines informations sur la disponibilité des ressources ont été communiquées dans ce quatrième rapport, ce qui a permis de contextualiser la situation de référence.</w:t>
      </w:r>
    </w:p>
    <w:p w14:paraId="2358BD13" w14:textId="68259622" w:rsidR="007164F2" w:rsidRPr="00544DB4" w:rsidRDefault="00BE20FF" w:rsidP="00FA2932">
      <w:pPr>
        <w:pStyle w:val="CBDNormalNumber"/>
        <w:rPr>
          <w:lang w:val="fr-FR"/>
        </w:rPr>
      </w:pPr>
      <w:r w:rsidRPr="00E438BA">
        <w:rPr>
          <w:lang w:val="fr-FR"/>
        </w:rPr>
        <w:t>Dans leur cinquième rapport national, 71</w:t>
      </w:r>
      <w:r w:rsidR="00667501">
        <w:rPr>
          <w:lang w:val="fr-FR"/>
        </w:rPr>
        <w:t> %</w:t>
      </w:r>
      <w:r w:rsidRPr="00E438BA">
        <w:rPr>
          <w:lang w:val="fr-FR"/>
        </w:rPr>
        <w:t xml:space="preserve"> des Parties ont indiqué qu'elles disposaient de ressources allouées à la prévention des risques biotechnologiques provenant des budgets nationaux. Quarante pour cent de ces Parties ont déclaré que ces ressources étaient suffisantes</w:t>
      </w:r>
      <w:r w:rsidRPr="00BE20FF">
        <w:t xml:space="preserve">. </w:t>
      </w:r>
      <w:r w:rsidRPr="00E438BA">
        <w:rPr>
          <w:lang w:val="fr-FR"/>
        </w:rPr>
        <w:t>Dans leur quatrième</w:t>
      </w:r>
      <w:r w:rsidR="00E438BA" w:rsidRPr="00E438BA">
        <w:rPr>
          <w:lang w:val="fr-FR"/>
        </w:rPr>
        <w:t xml:space="preserve"> </w:t>
      </w:r>
      <w:r w:rsidRPr="00E438BA">
        <w:rPr>
          <w:lang w:val="fr-FR"/>
        </w:rPr>
        <w:t>rapport</w:t>
      </w:r>
      <w:r w:rsidR="00E438BA" w:rsidRPr="00E438BA">
        <w:rPr>
          <w:lang w:val="fr-FR"/>
        </w:rPr>
        <w:t xml:space="preserve"> </w:t>
      </w:r>
      <w:r w:rsidRPr="00E438BA">
        <w:rPr>
          <w:lang w:val="fr-FR"/>
        </w:rPr>
        <w:t>nationa</w:t>
      </w:r>
      <w:r w:rsidR="00E438BA" w:rsidRPr="00E438BA">
        <w:rPr>
          <w:lang w:val="fr-FR"/>
        </w:rPr>
        <w:t>l</w:t>
      </w:r>
      <w:r w:rsidR="000C5743" w:rsidRPr="00F8252B">
        <w:rPr>
          <w:rStyle w:val="Appelnotedebasdep"/>
          <w:lang w:val="fr-FR"/>
        </w:rPr>
        <w:footnoteReference w:id="54"/>
      </w:r>
      <w:r>
        <w:t>,</w:t>
      </w:r>
      <w:r w:rsidR="00690F8D" w:rsidRPr="00F8252B">
        <w:t xml:space="preserve"> </w:t>
      </w:r>
      <w:r w:rsidR="00544DB4" w:rsidRPr="00544DB4">
        <w:rPr>
          <w:lang w:val="fr-FR"/>
        </w:rPr>
        <w:t>39</w:t>
      </w:r>
      <w:r w:rsidR="00667501">
        <w:rPr>
          <w:lang w:val="fr-FR"/>
        </w:rPr>
        <w:t> %</w:t>
      </w:r>
      <w:r w:rsidR="00544DB4" w:rsidRPr="00544DB4">
        <w:rPr>
          <w:lang w:val="fr-FR"/>
        </w:rPr>
        <w:t xml:space="preserve"> des Parties ont indiqué qu’un mécanisme avait été mis en place pour l’affectation de crédits budgétaires destinés au fonctionnement de leurs mesures nationales de prévention des risques biotechnologiques, tandis que 30</w:t>
      </w:r>
      <w:r w:rsidR="00667501">
        <w:rPr>
          <w:lang w:val="fr-FR"/>
        </w:rPr>
        <w:t> %</w:t>
      </w:r>
      <w:r w:rsidR="00544DB4" w:rsidRPr="00544DB4">
        <w:rPr>
          <w:lang w:val="fr-FR"/>
        </w:rPr>
        <w:t xml:space="preserve"> des Parties ont déclaré avoir mis en place un tel mécanisme dans une certaine mesure. Une analyse comparative suggère donc qu’un plus grand nombre de Parties ont été en mesure de dégager des ressources provenant des budgets nationaux pour la mise en œuvre du Protocole de Cartagena, bien que plus de la moitié des Parties ayant établi des rapports indiquant disposer de ressources pour la prévention des risques biotechnologiques provenant des budgets nationaux aient indiqué que ces ressources étaient insuffisantes.</w:t>
      </w:r>
    </w:p>
    <w:p w14:paraId="3AB719A3" w14:textId="17EF19F5" w:rsidR="00C12B8E" w:rsidRPr="00F8252B" w:rsidRDefault="004C513F" w:rsidP="00FA2932">
      <w:pPr>
        <w:pStyle w:val="CBDNormalNumber"/>
        <w:rPr>
          <w:lang w:val="fr-FR"/>
        </w:rPr>
      </w:pPr>
      <w:r w:rsidRPr="004C513F">
        <w:rPr>
          <w:lang w:val="fr-FR"/>
        </w:rPr>
        <w:t>Les disparités régionales en matière de disponibilité des ressources sont apparues clairement à la lumière des variations observées dans la proportion des Parties qui ont établi des rapports sur les ressources provenant des budgets nationaux pour la prévention des risques biotechnologiques</w:t>
      </w:r>
      <w:r w:rsidR="00CA1B90">
        <w:rPr>
          <w:lang w:val="fr-FR"/>
        </w:rPr>
        <w:t> :</w:t>
      </w:r>
      <w:r w:rsidRPr="004C513F">
        <w:rPr>
          <w:lang w:val="fr-FR"/>
        </w:rPr>
        <w:t xml:space="preserve"> 59</w:t>
      </w:r>
      <w:r w:rsidR="00667501">
        <w:rPr>
          <w:lang w:val="fr-FR"/>
        </w:rPr>
        <w:t> %</w:t>
      </w:r>
      <w:r w:rsidRPr="004C513F">
        <w:rPr>
          <w:lang w:val="fr-FR"/>
        </w:rPr>
        <w:t xml:space="preserve"> dans la région Afrique</w:t>
      </w:r>
      <w:r w:rsidR="00D560E8">
        <w:rPr>
          <w:lang w:val="fr-FR"/>
        </w:rPr>
        <w:t> ;</w:t>
      </w:r>
      <w:r w:rsidRPr="004C513F">
        <w:rPr>
          <w:lang w:val="fr-FR"/>
        </w:rPr>
        <w:t xml:space="preserve"> 65</w:t>
      </w:r>
      <w:r w:rsidR="00667501">
        <w:rPr>
          <w:lang w:val="fr-FR"/>
        </w:rPr>
        <w:t> %</w:t>
      </w:r>
      <w:r w:rsidRPr="004C513F">
        <w:rPr>
          <w:lang w:val="fr-FR"/>
        </w:rPr>
        <w:t xml:space="preserve"> dans la région Amérique latine et Caraïbes</w:t>
      </w:r>
      <w:r w:rsidR="00D560E8">
        <w:rPr>
          <w:lang w:val="fr-FR"/>
        </w:rPr>
        <w:t> ;</w:t>
      </w:r>
      <w:r w:rsidRPr="004C513F">
        <w:rPr>
          <w:lang w:val="fr-FR"/>
        </w:rPr>
        <w:t xml:space="preserve"> 69</w:t>
      </w:r>
      <w:r w:rsidR="00667501">
        <w:rPr>
          <w:lang w:val="fr-FR"/>
        </w:rPr>
        <w:t> %</w:t>
      </w:r>
      <w:r w:rsidRPr="004C513F">
        <w:rPr>
          <w:lang w:val="fr-FR"/>
        </w:rPr>
        <w:t xml:space="preserve"> dans la région Asie-Pacifique</w:t>
      </w:r>
      <w:r w:rsidR="00D560E8">
        <w:rPr>
          <w:lang w:val="fr-FR"/>
        </w:rPr>
        <w:t> ;</w:t>
      </w:r>
      <w:r w:rsidRPr="004C513F">
        <w:rPr>
          <w:lang w:val="fr-FR"/>
        </w:rPr>
        <w:t xml:space="preserve"> 84</w:t>
      </w:r>
      <w:r w:rsidR="00667501">
        <w:rPr>
          <w:lang w:val="fr-FR"/>
        </w:rPr>
        <w:t> %</w:t>
      </w:r>
      <w:r w:rsidRPr="004C513F">
        <w:rPr>
          <w:lang w:val="fr-FR"/>
        </w:rPr>
        <w:t xml:space="preserve"> dans la région Europe de l’Est</w:t>
      </w:r>
      <w:r w:rsidR="00D560E8">
        <w:rPr>
          <w:lang w:val="fr-FR"/>
        </w:rPr>
        <w:t> ;</w:t>
      </w:r>
      <w:r w:rsidRPr="004C513F">
        <w:rPr>
          <w:lang w:val="fr-FR"/>
        </w:rPr>
        <w:t xml:space="preserve"> et 95</w:t>
      </w:r>
      <w:r w:rsidR="00667501">
        <w:rPr>
          <w:lang w:val="fr-FR"/>
        </w:rPr>
        <w:t> %</w:t>
      </w:r>
      <w:r w:rsidRPr="004C513F">
        <w:rPr>
          <w:lang w:val="fr-FR"/>
        </w:rPr>
        <w:t xml:space="preserve"> dans la région Europe occidentale et autres États. Les pourcentages suivants reflètent les différences régionales entre les Parties quant à l’établissement de rapports concernant les ressources provenant des budgets nationaux pour la prévention des risques biotechnologiques</w:t>
      </w:r>
      <w:r w:rsidR="00CA1B90">
        <w:rPr>
          <w:lang w:val="fr-FR"/>
        </w:rPr>
        <w:t> :</w:t>
      </w:r>
      <w:r w:rsidRPr="004C513F">
        <w:rPr>
          <w:lang w:val="fr-FR"/>
        </w:rPr>
        <w:t xml:space="preserve"> 0</w:t>
      </w:r>
      <w:r w:rsidR="00667501">
        <w:rPr>
          <w:lang w:val="fr-FR"/>
        </w:rPr>
        <w:t> %</w:t>
      </w:r>
      <w:r w:rsidRPr="004C513F">
        <w:rPr>
          <w:lang w:val="fr-FR"/>
        </w:rPr>
        <w:t xml:space="preserve"> des Parties dans la région Afrique</w:t>
      </w:r>
      <w:r w:rsidR="00D560E8">
        <w:rPr>
          <w:lang w:val="fr-FR"/>
        </w:rPr>
        <w:t> ;</w:t>
      </w:r>
      <w:r w:rsidRPr="004C513F">
        <w:rPr>
          <w:lang w:val="fr-FR"/>
        </w:rPr>
        <w:t xml:space="preserve"> 8</w:t>
      </w:r>
      <w:r w:rsidR="00667501">
        <w:rPr>
          <w:lang w:val="fr-FR"/>
        </w:rPr>
        <w:t> %</w:t>
      </w:r>
      <w:r w:rsidRPr="004C513F">
        <w:rPr>
          <w:lang w:val="fr-FR"/>
        </w:rPr>
        <w:t xml:space="preserve"> dans la région Amérique latine et Caraïbes</w:t>
      </w:r>
      <w:r w:rsidR="00D560E8">
        <w:rPr>
          <w:lang w:val="fr-FR"/>
        </w:rPr>
        <w:t> ;</w:t>
      </w:r>
      <w:r w:rsidRPr="004C513F">
        <w:rPr>
          <w:lang w:val="fr-FR"/>
        </w:rPr>
        <w:t xml:space="preserve"> 33</w:t>
      </w:r>
      <w:r w:rsidR="00667501">
        <w:rPr>
          <w:lang w:val="fr-FR"/>
        </w:rPr>
        <w:t> %</w:t>
      </w:r>
      <w:r w:rsidRPr="004C513F">
        <w:rPr>
          <w:lang w:val="fr-FR"/>
        </w:rPr>
        <w:t xml:space="preserve"> dans la région Asie-Pacifique</w:t>
      </w:r>
      <w:r w:rsidR="00D560E8">
        <w:rPr>
          <w:lang w:val="fr-FR"/>
        </w:rPr>
        <w:t> ;</w:t>
      </w:r>
      <w:r w:rsidRPr="004C513F">
        <w:rPr>
          <w:lang w:val="fr-FR"/>
        </w:rPr>
        <w:t xml:space="preserve"> 73</w:t>
      </w:r>
      <w:r w:rsidR="00667501">
        <w:rPr>
          <w:lang w:val="fr-FR"/>
        </w:rPr>
        <w:t> %</w:t>
      </w:r>
      <w:r w:rsidRPr="004C513F">
        <w:rPr>
          <w:lang w:val="fr-FR"/>
        </w:rPr>
        <w:t xml:space="preserve"> dans la région Europe de l’Est</w:t>
      </w:r>
      <w:r w:rsidR="00D560E8">
        <w:rPr>
          <w:lang w:val="fr-FR"/>
        </w:rPr>
        <w:t> ;</w:t>
      </w:r>
      <w:r w:rsidRPr="004C513F">
        <w:rPr>
          <w:lang w:val="fr-FR"/>
        </w:rPr>
        <w:t xml:space="preserve"> et 94</w:t>
      </w:r>
      <w:r w:rsidR="00667501">
        <w:rPr>
          <w:lang w:val="fr-FR"/>
        </w:rPr>
        <w:t> %</w:t>
      </w:r>
      <w:r w:rsidRPr="004C513F">
        <w:rPr>
          <w:lang w:val="fr-FR"/>
        </w:rPr>
        <w:t xml:space="preserve"> dans la région Europe occidentale et autres États</w:t>
      </w:r>
      <w:r w:rsidR="00EE740A" w:rsidRPr="00F8252B">
        <w:rPr>
          <w:lang w:val="fr-FR"/>
        </w:rPr>
        <w:t xml:space="preserve">. </w:t>
      </w:r>
    </w:p>
    <w:p w14:paraId="7A9595FD" w14:textId="185D2959" w:rsidR="006D6C04" w:rsidRPr="00F8252B" w:rsidRDefault="002F01CC" w:rsidP="00FA2932">
      <w:pPr>
        <w:pStyle w:val="CBDNormalNumber"/>
        <w:rPr>
          <w:lang w:val="fr-FR"/>
        </w:rPr>
      </w:pPr>
      <w:r w:rsidRPr="002F01CC">
        <w:rPr>
          <w:lang w:val="fr-FR"/>
        </w:rPr>
        <w:t>Par ailleurs, seules les Parties ayant indiqué disposer de ressources provenant des budgets nationaux pour la prévention des risques biotechnologiques ont été invitées à préciser si ces ressources étaient suffisantes. On peut supposer que, pour les Parties ayant déclaré ne pas disposer de ressources provenant des budgets nationaux, ces ressources étaient insuffisantes. Par conséquent, si l’on tenait également compte de ces Parties, le pourcentage de Parties déclarant que les ressources étaient suffisantes serait encore plus faible.</w:t>
      </w:r>
      <w:r w:rsidR="00364982" w:rsidRPr="00F8252B">
        <w:rPr>
          <w:lang w:val="fr-FR"/>
        </w:rPr>
        <w:t xml:space="preserve"> </w:t>
      </w:r>
    </w:p>
    <w:p w14:paraId="6FBCB7F2" w14:textId="486EA9D2" w:rsidR="0046230E" w:rsidRPr="00A506CA" w:rsidRDefault="00A9689C" w:rsidP="00FA2932">
      <w:pPr>
        <w:pStyle w:val="CBDNormalNumber"/>
        <w:rPr>
          <w:lang w:val="fr-FR"/>
        </w:rPr>
      </w:pPr>
      <w:r>
        <w:rPr>
          <w:lang w:val="fr-FR"/>
        </w:rPr>
        <w:t>Pour</w:t>
      </w:r>
      <w:r w:rsidR="00A506CA" w:rsidRPr="001E2133">
        <w:rPr>
          <w:lang w:val="fr-FR"/>
        </w:rPr>
        <w:t xml:space="preserve"> l’indicateur B.2</w:t>
      </w:r>
      <w:r w:rsidR="001E2133" w:rsidRPr="001E2133">
        <w:rPr>
          <w:lang w:val="fr-FR"/>
        </w:rPr>
        <w:t> </w:t>
      </w:r>
      <w:r w:rsidR="00A506CA" w:rsidRPr="001E2133">
        <w:rPr>
          <w:lang w:val="fr-FR"/>
        </w:rPr>
        <w:t>b) (pourcentage des Parties éligibles qui utilisent les allocations nationales au titre du programme STAR</w:t>
      </w:r>
      <w:r w:rsidR="005B14C1" w:rsidRPr="00F8252B">
        <w:rPr>
          <w:rStyle w:val="Appelnotedebasdep"/>
          <w:lang w:val="fr-FR"/>
        </w:rPr>
        <w:footnoteReference w:id="55"/>
      </w:r>
      <w:r w:rsidR="00694A89" w:rsidRPr="00A506CA">
        <w:rPr>
          <w:lang w:val="fr-FR"/>
        </w:rPr>
        <w:t xml:space="preserve"> </w:t>
      </w:r>
      <w:r w:rsidR="00BC1B1E" w:rsidRPr="00BC1B1E">
        <w:rPr>
          <w:lang w:val="fr-FR"/>
        </w:rPr>
        <w:t>pour des activités liées à la prévention des risques biotechnologiques), les informations fournies en réponse à la question</w:t>
      </w:r>
      <w:r w:rsidR="001E2133">
        <w:rPr>
          <w:lang w:val="fr-FR"/>
        </w:rPr>
        <w:t> </w:t>
      </w:r>
      <w:r w:rsidR="00BC1B1E" w:rsidRPr="00BC1B1E">
        <w:rPr>
          <w:lang w:val="fr-FR"/>
        </w:rPr>
        <w:t xml:space="preserve">117 du cinquième rapport national ont été utilisées pour mesurer les progrès accomplis. Dans leur cinquième rapport national, </w:t>
      </w:r>
      <w:r w:rsidR="00BC1B1E" w:rsidRPr="00BC1B1E">
        <w:rPr>
          <w:lang w:val="fr-FR"/>
        </w:rPr>
        <w:lastRenderedPageBreak/>
        <w:t>parmi les Parties ayant indiqué que la question leur était applicable, 16</w:t>
      </w:r>
      <w:r w:rsidR="00667501">
        <w:rPr>
          <w:lang w:val="fr-FR"/>
        </w:rPr>
        <w:t> %</w:t>
      </w:r>
      <w:r w:rsidR="00BC1B1E" w:rsidRPr="00BC1B1E">
        <w:rPr>
          <w:lang w:val="fr-FR"/>
        </w:rPr>
        <w:t xml:space="preserve"> ont déclaré que l’allocation STAR de leur pays avait été utilisée pour des activités liées à la prévention des risques biotechnologiques. Aucune donnée de référence n’était disponible, car cette question n’avait pas été incluse dans le quatrième rapport national.</w:t>
      </w:r>
    </w:p>
    <w:p w14:paraId="75C063AD" w14:textId="391026DD" w:rsidR="00612C14" w:rsidRPr="00F8252B" w:rsidRDefault="0069360C" w:rsidP="00FA2932">
      <w:pPr>
        <w:pStyle w:val="CBDNormalNumber"/>
        <w:rPr>
          <w:lang w:val="fr-FR"/>
        </w:rPr>
      </w:pPr>
      <w:r w:rsidRPr="0069360C">
        <w:rPr>
          <w:lang w:val="fr-FR"/>
        </w:rPr>
        <w:t>Il convient de prendre note que le pourcentage des Parties éligibles dont les allocations nationales au titre du programme STAR ont été utilisées pour des activités liées à la prévention des risques biotechnologiques pourrait être inférieur aux 16</w:t>
      </w:r>
      <w:r w:rsidR="00667501">
        <w:rPr>
          <w:lang w:val="fr-FR"/>
        </w:rPr>
        <w:t> %</w:t>
      </w:r>
      <w:r w:rsidRPr="0069360C">
        <w:rPr>
          <w:lang w:val="fr-FR"/>
        </w:rPr>
        <w:t xml:space="preserve"> indiqués ci-dessus. En fournissant des informations complémentaires</w:t>
      </w:r>
      <w:r w:rsidR="0046230E" w:rsidRPr="00F8252B">
        <w:rPr>
          <w:rStyle w:val="Appelnotedebasdep"/>
          <w:rFonts w:asciiTheme="majorBidi" w:hAnsiTheme="majorBidi" w:cstheme="majorBidi"/>
          <w:lang w:val="fr-FR"/>
        </w:rPr>
        <w:footnoteReference w:id="56"/>
      </w:r>
      <w:r w:rsidR="0046230E" w:rsidRPr="00F8252B">
        <w:rPr>
          <w:lang w:val="fr-FR"/>
        </w:rPr>
        <w:t xml:space="preserve"> </w:t>
      </w:r>
      <w:r w:rsidR="009A3E68" w:rsidRPr="009A3E68">
        <w:rPr>
          <w:lang w:val="fr-FR"/>
        </w:rPr>
        <w:t>quelques Parties ont indiqué que les fonds obtenus au titre de l’allocation STAR de leur pays servaient au financement d’activités liées à des projets d’établissement de rapports nationaux ou avaient été affectés au projet PNUE-FEM visant au renforcement durable des capacités en vue d’une participation effective au Centre d’échange pour la prévention des risques biotechnologiques III. Les fonds alloués dans le cadre de ces projets étaient distincts de l’allocation STAR des pays.</w:t>
      </w:r>
    </w:p>
    <w:p w14:paraId="1916B9C7" w14:textId="67D7B3C4" w:rsidR="00D22C76" w:rsidRPr="00F8252B" w:rsidRDefault="00A9689C" w:rsidP="00FA2932">
      <w:pPr>
        <w:pStyle w:val="CBDNormalNumber"/>
        <w:rPr>
          <w:snapToGrid w:val="0"/>
          <w:kern w:val="22"/>
          <w:lang w:val="fr-FR"/>
        </w:rPr>
      </w:pPr>
      <w:r>
        <w:rPr>
          <w:lang w:val="fr-FR"/>
        </w:rPr>
        <w:t>Pour</w:t>
      </w:r>
      <w:r w:rsidR="00CC05A5" w:rsidRPr="00CC05A5">
        <w:rPr>
          <w:lang w:val="fr-FR"/>
        </w:rPr>
        <w:t xml:space="preserve"> l’indicateur B.2</w:t>
      </w:r>
      <w:r w:rsidR="00CC05A5">
        <w:rPr>
          <w:lang w:val="fr-FR"/>
        </w:rPr>
        <w:t> </w:t>
      </w:r>
      <w:r w:rsidR="00CC05A5" w:rsidRPr="00CC05A5">
        <w:rPr>
          <w:lang w:val="fr-FR"/>
        </w:rPr>
        <w:t>c) (pourcentage des Parties ayant eu accès à des ressources supplémentaires), les informations fournies en réponse à la question 153 des cinquièmes rapports nationaux ont été utilisées pour mesurer les progrès accomplis. Au total, 58</w:t>
      </w:r>
      <w:r w:rsidR="00667501">
        <w:rPr>
          <w:lang w:val="fr-FR"/>
        </w:rPr>
        <w:t> %</w:t>
      </w:r>
      <w:r w:rsidR="00CC05A5" w:rsidRPr="00CC05A5">
        <w:rPr>
          <w:lang w:val="fr-FR"/>
        </w:rPr>
        <w:t xml:space="preserve"> des Parties ont indiqué avoir mobilisé davantage de financement que les crédits alloués au titre du budget ordinaire pour fournir l’appui nécessaire à la mise en œuvre du Protocole de Cartagena (soit une baisse de 2</w:t>
      </w:r>
      <w:r w:rsidR="00667501">
        <w:rPr>
          <w:lang w:val="fr-FR"/>
        </w:rPr>
        <w:t> %</w:t>
      </w:r>
      <w:r w:rsidR="00CC05A5" w:rsidRPr="00CC05A5">
        <w:rPr>
          <w:lang w:val="fr-FR"/>
        </w:rPr>
        <w:t xml:space="preserve"> par rapport à la valeur de référence). Au niveau régional, 69</w:t>
      </w:r>
      <w:r w:rsidR="00667501">
        <w:rPr>
          <w:lang w:val="fr-FR"/>
        </w:rPr>
        <w:t> %</w:t>
      </w:r>
      <w:r w:rsidR="00CC05A5" w:rsidRPr="00CC05A5">
        <w:rPr>
          <w:lang w:val="fr-FR"/>
        </w:rPr>
        <w:t xml:space="preserve"> des Parties de la région Afrique ont déclaré avoir reçu du financement en plus de leur budget national (soit une baisse de 10</w:t>
      </w:r>
      <w:r w:rsidR="00667501">
        <w:rPr>
          <w:lang w:val="fr-FR"/>
        </w:rPr>
        <w:t> %</w:t>
      </w:r>
      <w:r w:rsidR="00CC05A5" w:rsidRPr="00CC05A5">
        <w:rPr>
          <w:lang w:val="fr-FR"/>
        </w:rPr>
        <w:t>)</w:t>
      </w:r>
      <w:r w:rsidR="00D560E8">
        <w:rPr>
          <w:lang w:val="fr-FR"/>
        </w:rPr>
        <w:t> ;</w:t>
      </w:r>
      <w:r w:rsidR="00CC05A5" w:rsidRPr="00CC05A5">
        <w:rPr>
          <w:lang w:val="fr-FR"/>
        </w:rPr>
        <w:t xml:space="preserve"> 65</w:t>
      </w:r>
      <w:r w:rsidR="00667501">
        <w:rPr>
          <w:lang w:val="fr-FR"/>
        </w:rPr>
        <w:t> %</w:t>
      </w:r>
      <w:r w:rsidR="00CC05A5" w:rsidRPr="00CC05A5">
        <w:rPr>
          <w:lang w:val="fr-FR"/>
        </w:rPr>
        <w:t xml:space="preserve"> des Parties de la région Amérique latine et Caraïbes ont déclaré avoir reçu du financement supplémentaire (+20</w:t>
      </w:r>
      <w:r w:rsidR="00667501">
        <w:rPr>
          <w:lang w:val="fr-FR"/>
        </w:rPr>
        <w:t> %</w:t>
      </w:r>
      <w:r w:rsidR="00CC05A5" w:rsidRPr="00CC05A5">
        <w:rPr>
          <w:lang w:val="fr-FR"/>
        </w:rPr>
        <w:t>)</w:t>
      </w:r>
      <w:r w:rsidR="00D560E8">
        <w:rPr>
          <w:lang w:val="fr-FR"/>
        </w:rPr>
        <w:t> ;</w:t>
      </w:r>
      <w:r w:rsidR="00CC05A5" w:rsidRPr="00CC05A5">
        <w:rPr>
          <w:lang w:val="fr-FR"/>
        </w:rPr>
        <w:t xml:space="preserve"> 58</w:t>
      </w:r>
      <w:r w:rsidR="00667501">
        <w:rPr>
          <w:lang w:val="fr-FR"/>
        </w:rPr>
        <w:t> %</w:t>
      </w:r>
      <w:r w:rsidR="00CC05A5" w:rsidRPr="00CC05A5">
        <w:rPr>
          <w:lang w:val="fr-FR"/>
        </w:rPr>
        <w:t xml:space="preserve"> des Parties de la région Asie-Pacifique ont déclaré avoir reçu du financement supplémentaire (+8</w:t>
      </w:r>
      <w:r w:rsidR="00667501">
        <w:rPr>
          <w:lang w:val="fr-FR"/>
        </w:rPr>
        <w:t> %</w:t>
      </w:r>
      <w:r w:rsidR="00CC05A5" w:rsidRPr="00CC05A5">
        <w:rPr>
          <w:lang w:val="fr-FR"/>
        </w:rPr>
        <w:t>)</w:t>
      </w:r>
      <w:r w:rsidR="00D560E8">
        <w:rPr>
          <w:lang w:val="fr-FR"/>
        </w:rPr>
        <w:t> ;</w:t>
      </w:r>
      <w:r w:rsidR="00CC05A5" w:rsidRPr="00CC05A5">
        <w:rPr>
          <w:lang w:val="fr-FR"/>
        </w:rPr>
        <w:t xml:space="preserve"> 42</w:t>
      </w:r>
      <w:r w:rsidR="00667501">
        <w:rPr>
          <w:lang w:val="fr-FR"/>
        </w:rPr>
        <w:t> %</w:t>
      </w:r>
      <w:r w:rsidR="00CC05A5" w:rsidRPr="00CC05A5">
        <w:rPr>
          <w:lang w:val="fr-FR"/>
        </w:rPr>
        <w:t xml:space="preserve"> des Parties de la région Europe de l’Est (-11</w:t>
      </w:r>
      <w:r w:rsidR="00667501">
        <w:rPr>
          <w:lang w:val="fr-FR"/>
        </w:rPr>
        <w:t> %</w:t>
      </w:r>
      <w:r w:rsidR="00CC05A5" w:rsidRPr="00CC05A5">
        <w:rPr>
          <w:lang w:val="fr-FR"/>
        </w:rPr>
        <w:t>)</w:t>
      </w:r>
      <w:r w:rsidR="00D560E8">
        <w:rPr>
          <w:lang w:val="fr-FR"/>
        </w:rPr>
        <w:t> ;</w:t>
      </w:r>
      <w:r w:rsidR="00CC05A5" w:rsidRPr="00CC05A5">
        <w:rPr>
          <w:lang w:val="fr-FR"/>
        </w:rPr>
        <w:t xml:space="preserve"> et 42</w:t>
      </w:r>
      <w:r w:rsidR="00667501">
        <w:rPr>
          <w:lang w:val="fr-FR"/>
        </w:rPr>
        <w:t> %</w:t>
      </w:r>
      <w:r w:rsidR="00CC05A5" w:rsidRPr="00CC05A5">
        <w:rPr>
          <w:lang w:val="fr-FR"/>
        </w:rPr>
        <w:t xml:space="preserve"> des Parties de la région Europe occidentale et autres États (-16</w:t>
      </w:r>
      <w:r w:rsidR="00667501">
        <w:rPr>
          <w:lang w:val="fr-FR"/>
        </w:rPr>
        <w:t> %</w:t>
      </w:r>
      <w:r w:rsidR="00CC05A5" w:rsidRPr="00CC05A5">
        <w:rPr>
          <w:lang w:val="fr-FR"/>
        </w:rPr>
        <w:t>) ont déclaré avoir reçu du financement supplémentaire.</w:t>
      </w:r>
      <w:r w:rsidR="004D457F" w:rsidRPr="00F8252B">
        <w:rPr>
          <w:lang w:val="fr-FR"/>
        </w:rPr>
        <w:t xml:space="preserve"> </w:t>
      </w:r>
    </w:p>
    <w:p w14:paraId="5329FEFA" w14:textId="0D9D8A08" w:rsidR="009563B5" w:rsidRPr="00F8252B" w:rsidRDefault="00B257B4" w:rsidP="00FA2932">
      <w:pPr>
        <w:pStyle w:val="CBDNormalNumber"/>
        <w:rPr>
          <w:snapToGrid w:val="0"/>
          <w:kern w:val="22"/>
          <w:lang w:val="fr-FR"/>
        </w:rPr>
      </w:pPr>
      <w:r w:rsidRPr="00B257B4">
        <w:rPr>
          <w:lang w:val="fr-FR"/>
        </w:rPr>
        <w:t xml:space="preserve">Les Parties ont également fourni des informations sur les montants des financements qu’elles avaient en outre du budget ordinaire pour fournir l’appui à la mise en œuvre du Protocole de Cartagena. Un pourcentage plus élevé de Parties que sur la période de référence a déclaré avoir reçu des financements en outre du budget ordinaire compris entre </w:t>
      </w:r>
      <w:r w:rsidR="006C08A6">
        <w:rPr>
          <w:lang w:val="fr-FR"/>
        </w:rPr>
        <w:t>0</w:t>
      </w:r>
      <w:r w:rsidRPr="00B257B4">
        <w:rPr>
          <w:lang w:val="fr-FR"/>
        </w:rPr>
        <w:t xml:space="preserve"> et 4</w:t>
      </w:r>
      <w:r>
        <w:rPr>
          <w:lang w:val="fr-FR"/>
        </w:rPr>
        <w:t> </w:t>
      </w:r>
      <w:r w:rsidRPr="00B257B4">
        <w:rPr>
          <w:lang w:val="fr-FR"/>
        </w:rPr>
        <w:t>999</w:t>
      </w:r>
      <w:r>
        <w:rPr>
          <w:lang w:val="fr-FR"/>
        </w:rPr>
        <w:t xml:space="preserve"> $US </w:t>
      </w:r>
      <w:r w:rsidRPr="00B257B4">
        <w:rPr>
          <w:lang w:val="fr-FR"/>
        </w:rPr>
        <w:t>(+5</w:t>
      </w:r>
      <w:r w:rsidR="00667501">
        <w:rPr>
          <w:lang w:val="fr-FR"/>
        </w:rPr>
        <w:t> %</w:t>
      </w:r>
      <w:r w:rsidRPr="00B257B4">
        <w:rPr>
          <w:lang w:val="fr-FR"/>
        </w:rPr>
        <w:t>). En revanche, on a observé une diminution du pourcentage de Parties établissant des rapports concernant les montants reçus compris entre 5</w:t>
      </w:r>
      <w:r w:rsidR="00A7408F">
        <w:rPr>
          <w:lang w:val="fr-FR"/>
        </w:rPr>
        <w:t> </w:t>
      </w:r>
      <w:r w:rsidRPr="00B257B4">
        <w:rPr>
          <w:lang w:val="fr-FR"/>
        </w:rPr>
        <w:t>000 et 49</w:t>
      </w:r>
      <w:r w:rsidR="00A7408F">
        <w:rPr>
          <w:lang w:val="fr-FR"/>
        </w:rPr>
        <w:t> </w:t>
      </w:r>
      <w:r w:rsidRPr="00B257B4">
        <w:rPr>
          <w:lang w:val="fr-FR"/>
        </w:rPr>
        <w:t>999</w:t>
      </w:r>
      <w:r w:rsidR="00A7408F">
        <w:rPr>
          <w:lang w:val="fr-FR"/>
        </w:rPr>
        <w:t> </w:t>
      </w:r>
      <w:r w:rsidRPr="00B257B4">
        <w:rPr>
          <w:lang w:val="fr-FR"/>
        </w:rPr>
        <w:t>$US (-9</w:t>
      </w:r>
      <w:r w:rsidR="00667501">
        <w:rPr>
          <w:lang w:val="fr-FR"/>
        </w:rPr>
        <w:t> %</w:t>
      </w:r>
      <w:r w:rsidRPr="00B257B4">
        <w:rPr>
          <w:lang w:val="fr-FR"/>
        </w:rPr>
        <w:t>) et entre 50</w:t>
      </w:r>
      <w:r w:rsidR="00A7408F">
        <w:rPr>
          <w:lang w:val="fr-FR"/>
        </w:rPr>
        <w:t> </w:t>
      </w:r>
      <w:r w:rsidRPr="00B257B4">
        <w:rPr>
          <w:lang w:val="fr-FR"/>
        </w:rPr>
        <w:t>000 et 99</w:t>
      </w:r>
      <w:r w:rsidR="00A7408F">
        <w:rPr>
          <w:lang w:val="fr-FR"/>
        </w:rPr>
        <w:t> </w:t>
      </w:r>
      <w:r w:rsidRPr="00B257B4">
        <w:rPr>
          <w:lang w:val="fr-FR"/>
        </w:rPr>
        <w:t>999</w:t>
      </w:r>
      <w:r w:rsidR="00A7408F">
        <w:rPr>
          <w:lang w:val="fr-FR"/>
        </w:rPr>
        <w:t> </w:t>
      </w:r>
      <w:r w:rsidRPr="00B257B4">
        <w:rPr>
          <w:lang w:val="fr-FR"/>
        </w:rPr>
        <w:t>$US (-2</w:t>
      </w:r>
      <w:r w:rsidR="00667501">
        <w:rPr>
          <w:lang w:val="fr-FR"/>
        </w:rPr>
        <w:t> %</w:t>
      </w:r>
      <w:r w:rsidRPr="00B257B4">
        <w:rPr>
          <w:lang w:val="fr-FR"/>
        </w:rPr>
        <w:t>). Aucun changement n’a été observé dans le pourcentage des Parties ayant établi des rapports concernant les montants reçus, compris entre 100</w:t>
      </w:r>
      <w:r w:rsidR="00A7408F">
        <w:rPr>
          <w:lang w:val="fr-FR"/>
        </w:rPr>
        <w:t> </w:t>
      </w:r>
      <w:r w:rsidRPr="00B257B4">
        <w:rPr>
          <w:lang w:val="fr-FR"/>
        </w:rPr>
        <w:t>000</w:t>
      </w:r>
      <w:r w:rsidR="00A7408F">
        <w:rPr>
          <w:lang w:val="fr-FR"/>
        </w:rPr>
        <w:t> </w:t>
      </w:r>
      <w:r w:rsidRPr="00B257B4">
        <w:rPr>
          <w:lang w:val="fr-FR"/>
        </w:rPr>
        <w:t>$US et 499</w:t>
      </w:r>
      <w:r w:rsidR="00A7408F">
        <w:rPr>
          <w:lang w:val="fr-FR"/>
        </w:rPr>
        <w:t> </w:t>
      </w:r>
      <w:r w:rsidRPr="00B257B4">
        <w:rPr>
          <w:lang w:val="fr-FR"/>
        </w:rPr>
        <w:t>999</w:t>
      </w:r>
      <w:r w:rsidR="00A7408F">
        <w:rPr>
          <w:lang w:val="fr-FR"/>
        </w:rPr>
        <w:t> </w:t>
      </w:r>
      <w:r w:rsidRPr="00B257B4">
        <w:rPr>
          <w:lang w:val="fr-FR"/>
        </w:rPr>
        <w:t>$US. Une augmentation de 3</w:t>
      </w:r>
      <w:r w:rsidR="00667501">
        <w:rPr>
          <w:lang w:val="fr-FR"/>
        </w:rPr>
        <w:t> %</w:t>
      </w:r>
      <w:r w:rsidRPr="00B257B4">
        <w:rPr>
          <w:lang w:val="fr-FR"/>
        </w:rPr>
        <w:t xml:space="preserve"> a été signalée parmi les Parties ayant reçu plus de 500</w:t>
      </w:r>
      <w:r w:rsidR="00A7408F">
        <w:rPr>
          <w:lang w:val="fr-FR"/>
        </w:rPr>
        <w:t> </w:t>
      </w:r>
      <w:r w:rsidRPr="00B257B4">
        <w:rPr>
          <w:lang w:val="fr-FR"/>
        </w:rPr>
        <w:t>000 $US.</w:t>
      </w:r>
    </w:p>
    <w:p w14:paraId="1EE50AF9" w14:textId="5B54DD1C" w:rsidR="00505F34" w:rsidRPr="00F8252B" w:rsidRDefault="002F1A48" w:rsidP="00FA2932">
      <w:pPr>
        <w:pStyle w:val="CBDNormalNumber"/>
        <w:rPr>
          <w:snapToGrid w:val="0"/>
          <w:kern w:val="22"/>
          <w:lang w:val="fr-FR"/>
        </w:rPr>
      </w:pPr>
      <w:r w:rsidRPr="002F1A48">
        <w:rPr>
          <w:lang w:val="fr-FR"/>
        </w:rPr>
        <w:t>La hausse de la proportion de Parties ayant déclaré avoir reçu plus de 500</w:t>
      </w:r>
      <w:r>
        <w:rPr>
          <w:lang w:val="fr-FR"/>
        </w:rPr>
        <w:t> </w:t>
      </w:r>
      <w:r w:rsidRPr="002F1A48">
        <w:rPr>
          <w:lang w:val="fr-FR"/>
        </w:rPr>
        <w:t>000</w:t>
      </w:r>
      <w:r>
        <w:rPr>
          <w:lang w:val="fr-FR"/>
        </w:rPr>
        <w:t> </w:t>
      </w:r>
      <w:r w:rsidRPr="002F1A48">
        <w:rPr>
          <w:lang w:val="fr-FR"/>
        </w:rPr>
        <w:t>$US s'explique principalement par une augmentation dans la région Asie-Pacifique, où 19</w:t>
      </w:r>
      <w:r w:rsidR="00667501">
        <w:rPr>
          <w:lang w:val="fr-FR"/>
        </w:rPr>
        <w:t> %</w:t>
      </w:r>
      <w:r w:rsidRPr="002F1A48">
        <w:rPr>
          <w:lang w:val="fr-FR"/>
        </w:rPr>
        <w:t xml:space="preserve"> des Parties ont déclaré avoir reçu plus de 500</w:t>
      </w:r>
      <w:r>
        <w:rPr>
          <w:lang w:val="fr-FR"/>
        </w:rPr>
        <w:t> </w:t>
      </w:r>
      <w:r w:rsidRPr="002F1A48">
        <w:rPr>
          <w:lang w:val="fr-FR"/>
        </w:rPr>
        <w:t>000</w:t>
      </w:r>
      <w:r>
        <w:rPr>
          <w:lang w:val="fr-FR"/>
        </w:rPr>
        <w:t> </w:t>
      </w:r>
      <w:r w:rsidRPr="002F1A48">
        <w:rPr>
          <w:lang w:val="fr-FR"/>
        </w:rPr>
        <w:t>$US (+11</w:t>
      </w:r>
      <w:r w:rsidR="00667501">
        <w:rPr>
          <w:lang w:val="fr-FR"/>
        </w:rPr>
        <w:t> %</w:t>
      </w:r>
      <w:r w:rsidRPr="002F1A48">
        <w:rPr>
          <w:lang w:val="fr-FR"/>
        </w:rPr>
        <w:t>), ainsi qu’à la région Amérique latine et Caraïbes, où 20</w:t>
      </w:r>
      <w:r w:rsidR="00667501">
        <w:rPr>
          <w:lang w:val="fr-FR"/>
        </w:rPr>
        <w:t> %</w:t>
      </w:r>
      <w:r w:rsidRPr="002F1A48">
        <w:rPr>
          <w:lang w:val="fr-FR"/>
        </w:rPr>
        <w:t xml:space="preserve"> des Parties ont établi des rapports indiquant avoir reçu des montants supérieurs à 500</w:t>
      </w:r>
      <w:r>
        <w:rPr>
          <w:lang w:val="fr-FR"/>
        </w:rPr>
        <w:t> </w:t>
      </w:r>
      <w:r w:rsidRPr="002F1A48">
        <w:rPr>
          <w:lang w:val="fr-FR"/>
        </w:rPr>
        <w:t>000</w:t>
      </w:r>
      <w:r>
        <w:rPr>
          <w:lang w:val="fr-FR"/>
        </w:rPr>
        <w:t> </w:t>
      </w:r>
      <w:r w:rsidRPr="002F1A48">
        <w:rPr>
          <w:lang w:val="fr-FR"/>
        </w:rPr>
        <w:t>$US (+10</w:t>
      </w:r>
      <w:r w:rsidR="00667501">
        <w:rPr>
          <w:lang w:val="fr-FR"/>
        </w:rPr>
        <w:t> %</w:t>
      </w:r>
      <w:r w:rsidRPr="002F1A48">
        <w:rPr>
          <w:lang w:val="fr-FR"/>
        </w:rPr>
        <w:t>), et, dans une moindre mesure, à la hausse observée dans la région Europe occidentale et autres États, où 11</w:t>
      </w:r>
      <w:r w:rsidR="00667501">
        <w:rPr>
          <w:lang w:val="fr-FR"/>
        </w:rPr>
        <w:t> %</w:t>
      </w:r>
      <w:r w:rsidRPr="002F1A48">
        <w:rPr>
          <w:lang w:val="fr-FR"/>
        </w:rPr>
        <w:t xml:space="preserve"> ont établi des rapports indiquant avoir reçu plus de 500</w:t>
      </w:r>
      <w:r>
        <w:rPr>
          <w:lang w:val="fr-FR"/>
        </w:rPr>
        <w:t> </w:t>
      </w:r>
      <w:r w:rsidRPr="002F1A48">
        <w:rPr>
          <w:lang w:val="fr-FR"/>
        </w:rPr>
        <w:t>000</w:t>
      </w:r>
      <w:r>
        <w:rPr>
          <w:lang w:val="fr-FR"/>
        </w:rPr>
        <w:t> </w:t>
      </w:r>
      <w:r w:rsidRPr="002F1A48">
        <w:rPr>
          <w:lang w:val="fr-FR"/>
        </w:rPr>
        <w:t>$US (+6</w:t>
      </w:r>
      <w:r w:rsidR="00667501">
        <w:rPr>
          <w:lang w:val="fr-FR"/>
        </w:rPr>
        <w:t> %</w:t>
      </w:r>
      <w:r w:rsidRPr="002F1A48">
        <w:rPr>
          <w:lang w:val="fr-FR"/>
        </w:rPr>
        <w:t>). Dans la région Afrique, 13</w:t>
      </w:r>
      <w:r w:rsidR="00667501">
        <w:rPr>
          <w:lang w:val="fr-FR"/>
        </w:rPr>
        <w:t> %</w:t>
      </w:r>
      <w:r w:rsidRPr="002F1A48">
        <w:rPr>
          <w:lang w:val="fr-FR"/>
        </w:rPr>
        <w:t xml:space="preserve"> des Parties ont déclaré avoir reçu plus de 500</w:t>
      </w:r>
      <w:r>
        <w:rPr>
          <w:lang w:val="fr-FR"/>
        </w:rPr>
        <w:t> </w:t>
      </w:r>
      <w:r w:rsidRPr="002F1A48">
        <w:rPr>
          <w:lang w:val="fr-FR"/>
        </w:rPr>
        <w:t>000</w:t>
      </w:r>
      <w:r>
        <w:rPr>
          <w:lang w:val="fr-FR"/>
        </w:rPr>
        <w:t> </w:t>
      </w:r>
      <w:r w:rsidRPr="002F1A48">
        <w:rPr>
          <w:lang w:val="fr-FR"/>
        </w:rPr>
        <w:t>$US (soit une baisse de 5</w:t>
      </w:r>
      <w:r w:rsidR="00667501">
        <w:rPr>
          <w:lang w:val="fr-FR"/>
        </w:rPr>
        <w:t> %</w:t>
      </w:r>
      <w:r w:rsidRPr="002F1A48">
        <w:rPr>
          <w:lang w:val="fr-FR"/>
        </w:rPr>
        <w:t>) et dans la région Europe de l’Est, 5</w:t>
      </w:r>
      <w:r w:rsidR="00667501">
        <w:rPr>
          <w:lang w:val="fr-FR"/>
        </w:rPr>
        <w:t> %</w:t>
      </w:r>
      <w:r w:rsidRPr="002F1A48">
        <w:rPr>
          <w:lang w:val="fr-FR"/>
        </w:rPr>
        <w:t xml:space="preserve"> des Parties ont déclaré avoir reçu plus de 500</w:t>
      </w:r>
      <w:r>
        <w:rPr>
          <w:lang w:val="fr-FR"/>
        </w:rPr>
        <w:t> </w:t>
      </w:r>
      <w:r w:rsidRPr="002F1A48">
        <w:rPr>
          <w:lang w:val="fr-FR"/>
        </w:rPr>
        <w:t>000</w:t>
      </w:r>
      <w:r>
        <w:rPr>
          <w:lang w:val="fr-FR"/>
        </w:rPr>
        <w:t> </w:t>
      </w:r>
      <w:r w:rsidRPr="002F1A48">
        <w:rPr>
          <w:lang w:val="fr-FR"/>
        </w:rPr>
        <w:t>$US (aucun changement par rapport à la référence). Dans ces deux dernières régions, cependant, une augmentation a été signalée de la proportion de Parties ayant reçu entre 100</w:t>
      </w:r>
      <w:r>
        <w:rPr>
          <w:lang w:val="fr-FR"/>
        </w:rPr>
        <w:t> </w:t>
      </w:r>
      <w:r w:rsidRPr="002F1A48">
        <w:rPr>
          <w:lang w:val="fr-FR"/>
        </w:rPr>
        <w:t>000 et 499</w:t>
      </w:r>
      <w:r>
        <w:rPr>
          <w:lang w:val="fr-FR"/>
        </w:rPr>
        <w:t> </w:t>
      </w:r>
      <w:r w:rsidRPr="002F1A48">
        <w:rPr>
          <w:lang w:val="fr-FR"/>
        </w:rPr>
        <w:t>999</w:t>
      </w:r>
      <w:r>
        <w:rPr>
          <w:lang w:val="fr-FR"/>
        </w:rPr>
        <w:t> </w:t>
      </w:r>
      <w:r w:rsidRPr="002F1A48">
        <w:rPr>
          <w:lang w:val="fr-FR"/>
        </w:rPr>
        <w:t>$US</w:t>
      </w:r>
      <w:r w:rsidR="00CA1B90">
        <w:rPr>
          <w:lang w:val="fr-FR"/>
        </w:rPr>
        <w:t> :</w:t>
      </w:r>
      <w:r w:rsidRPr="002F1A48">
        <w:rPr>
          <w:lang w:val="fr-FR"/>
        </w:rPr>
        <w:t xml:space="preserve"> dans la région africaine, 15</w:t>
      </w:r>
      <w:r w:rsidR="00667501">
        <w:rPr>
          <w:lang w:val="fr-FR"/>
        </w:rPr>
        <w:t> %</w:t>
      </w:r>
      <w:r w:rsidRPr="002F1A48">
        <w:rPr>
          <w:lang w:val="fr-FR"/>
        </w:rPr>
        <w:t xml:space="preserve"> des Parties ont établi des rapports indiquant avoir reçu entre 100</w:t>
      </w:r>
      <w:r>
        <w:rPr>
          <w:lang w:val="fr-FR"/>
        </w:rPr>
        <w:t> </w:t>
      </w:r>
      <w:r w:rsidRPr="002F1A48">
        <w:rPr>
          <w:lang w:val="fr-FR"/>
        </w:rPr>
        <w:t>000</w:t>
      </w:r>
      <w:r>
        <w:rPr>
          <w:lang w:val="fr-FR"/>
        </w:rPr>
        <w:t> </w:t>
      </w:r>
      <w:r w:rsidRPr="002F1A48">
        <w:rPr>
          <w:lang w:val="fr-FR"/>
        </w:rPr>
        <w:t>$US et 499</w:t>
      </w:r>
      <w:r>
        <w:rPr>
          <w:lang w:val="fr-FR"/>
        </w:rPr>
        <w:t> </w:t>
      </w:r>
      <w:r w:rsidRPr="002F1A48">
        <w:rPr>
          <w:lang w:val="fr-FR"/>
        </w:rPr>
        <w:t>999</w:t>
      </w:r>
      <w:r>
        <w:rPr>
          <w:lang w:val="fr-FR"/>
        </w:rPr>
        <w:t> </w:t>
      </w:r>
      <w:r w:rsidRPr="002F1A48">
        <w:rPr>
          <w:lang w:val="fr-FR"/>
        </w:rPr>
        <w:t>$US (+5</w:t>
      </w:r>
      <w:r w:rsidR="00667501">
        <w:rPr>
          <w:lang w:val="fr-FR"/>
        </w:rPr>
        <w:t> %</w:t>
      </w:r>
      <w:r w:rsidRPr="002F1A48">
        <w:rPr>
          <w:lang w:val="fr-FR"/>
        </w:rPr>
        <w:t>)</w:t>
      </w:r>
      <w:r w:rsidR="00D560E8">
        <w:rPr>
          <w:lang w:val="fr-FR"/>
        </w:rPr>
        <w:t> ;</w:t>
      </w:r>
      <w:r w:rsidRPr="002F1A48">
        <w:rPr>
          <w:lang w:val="fr-FR"/>
        </w:rPr>
        <w:t xml:space="preserve"> et dans la région d’Europe de l’Est, 5</w:t>
      </w:r>
      <w:r w:rsidR="00667501">
        <w:rPr>
          <w:lang w:val="fr-FR"/>
        </w:rPr>
        <w:t> %</w:t>
      </w:r>
      <w:r w:rsidRPr="002F1A48">
        <w:rPr>
          <w:lang w:val="fr-FR"/>
        </w:rPr>
        <w:t xml:space="preserve"> des Parties ont établi des rapports indiquant avoir reçu de tels montants (+5</w:t>
      </w:r>
      <w:r w:rsidR="00667501">
        <w:rPr>
          <w:lang w:val="fr-FR"/>
        </w:rPr>
        <w:t> %</w:t>
      </w:r>
      <w:r w:rsidRPr="002F1A48">
        <w:rPr>
          <w:lang w:val="fr-FR"/>
        </w:rPr>
        <w:t>)</w:t>
      </w:r>
      <w:r w:rsidR="00466885" w:rsidRPr="00F8252B">
        <w:rPr>
          <w:lang w:val="fr-FR"/>
        </w:rPr>
        <w:t>.</w:t>
      </w:r>
      <w:r w:rsidR="003241C8" w:rsidRPr="00F8252B">
        <w:rPr>
          <w:lang w:val="fr-FR"/>
        </w:rPr>
        <w:t xml:space="preserve"> </w:t>
      </w:r>
      <w:r w:rsidR="00AD6A3B" w:rsidRPr="00F8252B">
        <w:rPr>
          <w:lang w:val="fr-FR"/>
        </w:rPr>
        <w:t xml:space="preserve"> </w:t>
      </w:r>
    </w:p>
    <w:p w14:paraId="1E51B8AE" w14:textId="72AB6E85" w:rsidR="00CB4C22" w:rsidRPr="00F8252B" w:rsidRDefault="005A4B0B" w:rsidP="00FA2932">
      <w:pPr>
        <w:pStyle w:val="CBDNormalNumber"/>
        <w:rPr>
          <w:lang w:val="fr-FR"/>
        </w:rPr>
      </w:pPr>
      <w:r w:rsidRPr="005A4B0B">
        <w:rPr>
          <w:lang w:val="fr-FR"/>
        </w:rPr>
        <w:t>Dans leurs réponses sous forme de texte libre concernant la mise en œuvre de l’article</w:t>
      </w:r>
      <w:r w:rsidR="00B45954">
        <w:rPr>
          <w:lang w:val="fr-FR"/>
        </w:rPr>
        <w:t> </w:t>
      </w:r>
      <w:r w:rsidRPr="005A4B0B">
        <w:rPr>
          <w:lang w:val="fr-FR"/>
        </w:rPr>
        <w:t xml:space="preserve">22, les Parties ont fourni des précisions supplémentaires sur la mobilisation des ressources. De nombreuses </w:t>
      </w:r>
      <w:r w:rsidRPr="005A4B0B">
        <w:rPr>
          <w:lang w:val="fr-FR"/>
        </w:rPr>
        <w:lastRenderedPageBreak/>
        <w:t>Parties en développement ont indiqué qu’elles ne disposaient pas de crédits budgétaires nationaux destinés au renforcement des capacités en matière de prévention des risques biotechnologiques ou que leur budget national à cet égard était insuffisant. Plusieurs de ces Parties ont indiqué qu’elles dépendaient par conséquent de financements extérieurs pour leurs activités de développement des capacités dans le cadre de projets, et certaines Parties ont mentionné que les efforts de renforcement des capacités s’en trouvaient fragmentés. Certaines Parties ont indiqué que les financements approuvés étaient souvent insuffisants pour mettre pleinement en œuvre les activités proposées, ce qui limitait la portée et l’efficacité des initiatives en matière de prévention des risques biotechnologiques. Dans ce contexte, de nombreuses Parties ont décrit comment elles avaient bénéficié de l’appui de donateurs, notamment du FEM. Certaines Parties ont spécifiquement mentionné avoir reçu des financements du Fonds du Cadre mondial pour la biodiversité. Certaines de ces Parties ont indiqué qu’il était difficile d’accéder au financement du FEM pour les activités de prévention des risques biotechnologiques et que les priorités nationales détournaient les allocations du programme STAR au détriment de la prévention des risques biotechnologiques. Certaines Parties ont décrit comment elles avaient bénéficié d’initiatives et de programmes régionaux en matière de prévention des risques biotechnologiques. De plus amples informations sont fournies aux objectifs B.1 et B.3.</w:t>
      </w:r>
    </w:p>
    <w:p w14:paraId="681D92AD" w14:textId="5D9D0CA0" w:rsidR="00C21C64" w:rsidRPr="00F8252B" w:rsidRDefault="00A9689C" w:rsidP="00FA2932">
      <w:pPr>
        <w:pStyle w:val="CBDNormalNumber"/>
        <w:rPr>
          <w:b/>
          <w:bCs/>
          <w:snapToGrid w:val="0"/>
          <w:kern w:val="22"/>
          <w:lang w:val="fr-FR"/>
        </w:rPr>
      </w:pPr>
      <w:r>
        <w:rPr>
          <w:lang w:val="fr-FR"/>
        </w:rPr>
        <w:t>Pour</w:t>
      </w:r>
      <w:r w:rsidR="00117D7B" w:rsidRPr="00117D7B">
        <w:rPr>
          <w:lang w:val="fr-FR"/>
        </w:rPr>
        <w:t xml:space="preserve"> l’objectif</w:t>
      </w:r>
      <w:r w:rsidR="00863D22">
        <w:rPr>
          <w:lang w:val="fr-FR"/>
        </w:rPr>
        <w:t> </w:t>
      </w:r>
      <w:r w:rsidR="00117D7B" w:rsidRPr="00117D7B">
        <w:rPr>
          <w:lang w:val="fr-FR"/>
        </w:rPr>
        <w:t>B.2, trois domaines clés de renforcement des capacités ont été identifiés dans le cadre du plan d’action pour le renforcement des capacités</w:t>
      </w:r>
      <w:r w:rsidR="00CA1B90">
        <w:rPr>
          <w:lang w:val="fr-FR"/>
        </w:rPr>
        <w:t> :</w:t>
      </w:r>
      <w:r w:rsidR="00117D7B" w:rsidRPr="00117D7B">
        <w:rPr>
          <w:lang w:val="fr-FR"/>
        </w:rPr>
        <w:t xml:space="preserve"> a) la mise en place d’un mécanisme national d’allocation budgétaire pour la prévention des risques biotechnologiques</w:t>
      </w:r>
      <w:r w:rsidR="00D560E8">
        <w:rPr>
          <w:lang w:val="fr-FR"/>
        </w:rPr>
        <w:t> ;</w:t>
      </w:r>
      <w:r w:rsidR="00117D7B" w:rsidRPr="00117D7B">
        <w:rPr>
          <w:lang w:val="fr-FR"/>
        </w:rPr>
        <w:t xml:space="preserve"> b) la coordination avec les autorités, les organismes de financement et les donateurs au niveau national</w:t>
      </w:r>
      <w:r w:rsidR="00D560E8">
        <w:rPr>
          <w:lang w:val="fr-FR"/>
        </w:rPr>
        <w:t> ;</w:t>
      </w:r>
      <w:r w:rsidR="00117D7B" w:rsidRPr="00117D7B">
        <w:rPr>
          <w:lang w:val="fr-FR"/>
        </w:rPr>
        <w:t xml:space="preserve"> et c) l’accès à des ressources supplémentaires grâce à la coopération avec d’autres Parties et donateurs, y compris le secteur privé, ainsi qu’à travers des programmes de coopération internationale. Les indicateurs du plan d’action pour le renforcement des capacités couvraient les mêmes questions que celles abordées dans le plan de mise en œuvre et ont été traités dans le sommaire ci-dessus</w:t>
      </w:r>
      <w:r w:rsidR="005A02AB" w:rsidRPr="00F8252B">
        <w:rPr>
          <w:lang w:val="fr-FR"/>
        </w:rPr>
        <w:t xml:space="preserve">. </w:t>
      </w:r>
    </w:p>
    <w:p w14:paraId="28BAB016" w14:textId="23C2D73C" w:rsidR="00441D2E" w:rsidRPr="00F8252B" w:rsidRDefault="007327F7" w:rsidP="00FA2932">
      <w:pPr>
        <w:pStyle w:val="CBDH2"/>
        <w:jc w:val="left"/>
        <w:rPr>
          <w:snapToGrid w:val="0"/>
          <w:lang w:val="fr-FR"/>
        </w:rPr>
      </w:pPr>
      <w:r w:rsidRPr="00F8252B">
        <w:rPr>
          <w:lang w:val="fr-FR"/>
        </w:rPr>
        <w:t>M.</w:t>
      </w:r>
      <w:r w:rsidRPr="00F8252B">
        <w:rPr>
          <w:lang w:val="fr-FR"/>
        </w:rPr>
        <w:tab/>
      </w:r>
      <w:r w:rsidR="006124A8">
        <w:rPr>
          <w:lang w:val="fr-FR"/>
        </w:rPr>
        <w:t>But </w:t>
      </w:r>
      <w:r w:rsidR="00C21C64" w:rsidRPr="00F8252B">
        <w:rPr>
          <w:lang w:val="fr-FR"/>
        </w:rPr>
        <w:t xml:space="preserve">B.3. </w:t>
      </w:r>
      <w:r w:rsidR="0018754F" w:rsidRPr="00F8252B">
        <w:rPr>
          <w:lang w:val="fr-FR"/>
        </w:rPr>
        <w:t>Les Parties promeuvent et facilitent la sensibilisation, l’éducation et la participation du public sur le transfert, la manipulation et l’utilisation sans danger des OVM, conformément à l’article 23 du Protocole</w:t>
      </w:r>
    </w:p>
    <w:p w14:paraId="08A53044" w14:textId="36BED4E2" w:rsidR="00F12303" w:rsidRPr="00F8252B" w:rsidRDefault="007327F7" w:rsidP="00FA2932">
      <w:pPr>
        <w:pStyle w:val="CBDH4"/>
        <w:rPr>
          <w:snapToGrid w:val="0"/>
          <w:lang w:val="fr-FR"/>
        </w:rPr>
      </w:pPr>
      <w:r w:rsidRPr="00F8252B">
        <w:rPr>
          <w:snapToGrid w:val="0"/>
          <w:lang w:val="fr-FR"/>
        </w:rPr>
        <w:t>a)</w:t>
      </w:r>
      <w:r w:rsidRPr="00F8252B">
        <w:rPr>
          <w:snapToGrid w:val="0"/>
          <w:lang w:val="fr-FR"/>
        </w:rPr>
        <w:tab/>
      </w:r>
      <w:r w:rsidR="00D0317A" w:rsidRPr="00F8252B">
        <w:rPr>
          <w:snapToGrid w:val="0"/>
          <w:lang w:val="fr-FR"/>
        </w:rPr>
        <w:t xml:space="preserve">Chiffres clés et </w:t>
      </w:r>
      <w:r w:rsidR="0035077E" w:rsidRPr="00F8252B">
        <w:rPr>
          <w:snapToGrid w:val="0"/>
          <w:lang w:val="fr-FR"/>
        </w:rPr>
        <w:t>éléments importants</w:t>
      </w:r>
    </w:p>
    <w:p w14:paraId="03B0F65E" w14:textId="05A52D4F" w:rsidR="00B53B6A" w:rsidRPr="00F8252B" w:rsidRDefault="0036547C" w:rsidP="00FA2932">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lang w:val="fr-FR"/>
        </w:rPr>
      </w:pPr>
      <w:r w:rsidRPr="0036547C">
        <w:rPr>
          <w:lang w:val="fr-FR"/>
        </w:rPr>
        <w:t>Cinquante-deux pour cent des Parties ont indiqué avoir mis en place un mécanisme visant à faciliter et à promouvoir la participation du public, y compris sa consultation, dans l'élaboration des politiques relatives aux organismes vivants modifiés (-2</w:t>
      </w:r>
      <w:r w:rsidR="00667501">
        <w:rPr>
          <w:lang w:val="fr-FR"/>
        </w:rPr>
        <w:t> %</w:t>
      </w:r>
      <w:r w:rsidRPr="0036547C">
        <w:rPr>
          <w:lang w:val="fr-FR"/>
        </w:rPr>
        <w:t>)</w:t>
      </w:r>
      <w:r w:rsidR="00D560E8">
        <w:rPr>
          <w:lang w:val="fr-FR"/>
        </w:rPr>
        <w:t> ;</w:t>
      </w:r>
      <w:r w:rsidRPr="0036547C">
        <w:rPr>
          <w:lang w:val="fr-FR"/>
        </w:rPr>
        <w:t xml:space="preserve"> et 21</w:t>
      </w:r>
      <w:r w:rsidR="00667501">
        <w:rPr>
          <w:lang w:val="fr-FR"/>
        </w:rPr>
        <w:t> %</w:t>
      </w:r>
      <w:r w:rsidRPr="0036547C">
        <w:rPr>
          <w:lang w:val="fr-FR"/>
        </w:rPr>
        <w:t xml:space="preserve"> des Parties ont indiqué l'avoir fait dans une certaine mesure (+5</w:t>
      </w:r>
      <w:r w:rsidR="00667501">
        <w:rPr>
          <w:lang w:val="fr-FR"/>
        </w:rPr>
        <w:t> %</w:t>
      </w:r>
      <w:r w:rsidRPr="0036547C">
        <w:rPr>
          <w:lang w:val="fr-FR"/>
        </w:rPr>
        <w:t>)</w:t>
      </w:r>
      <w:r w:rsidR="00480E37">
        <w:rPr>
          <w:lang w:val="fr-FR"/>
        </w:rPr>
        <w:t>.</w:t>
      </w:r>
    </w:p>
    <w:p w14:paraId="2542CD5C" w14:textId="5A739A80" w:rsidR="001F6E22" w:rsidRPr="00F8252B" w:rsidRDefault="00243882" w:rsidP="00FA2932">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lang w:val="fr-FR"/>
        </w:rPr>
      </w:pPr>
      <w:r w:rsidRPr="00243882">
        <w:rPr>
          <w:lang w:val="fr-FR"/>
        </w:rPr>
        <w:t>Cinquante pour cent des Parties ont indiqué avoir informé le public des modalités existantes de participation du public au processus d'élaboration des politiques concernant les organismes vivants modifiés (-3</w:t>
      </w:r>
      <w:r w:rsidR="00667501">
        <w:rPr>
          <w:lang w:val="fr-FR"/>
        </w:rPr>
        <w:t> %</w:t>
      </w:r>
      <w:r w:rsidRPr="00243882">
        <w:rPr>
          <w:lang w:val="fr-FR"/>
        </w:rPr>
        <w:t>)</w:t>
      </w:r>
      <w:r w:rsidR="00D560E8">
        <w:rPr>
          <w:lang w:val="fr-FR"/>
        </w:rPr>
        <w:t> ;</w:t>
      </w:r>
      <w:r w:rsidRPr="00243882">
        <w:rPr>
          <w:lang w:val="fr-FR"/>
        </w:rPr>
        <w:t xml:space="preserve"> et 20</w:t>
      </w:r>
      <w:r w:rsidR="00667501">
        <w:rPr>
          <w:lang w:val="fr-FR"/>
        </w:rPr>
        <w:t> %</w:t>
      </w:r>
      <w:r w:rsidRPr="00243882">
        <w:rPr>
          <w:lang w:val="fr-FR"/>
        </w:rPr>
        <w:t xml:space="preserve"> des Parties ont indiqué l'avoir fait dans une certaine mesure (+5</w:t>
      </w:r>
      <w:r w:rsidR="00667501">
        <w:rPr>
          <w:lang w:val="fr-FR"/>
        </w:rPr>
        <w:t> %</w:t>
      </w:r>
      <w:r w:rsidRPr="00243882">
        <w:rPr>
          <w:lang w:val="fr-FR"/>
        </w:rPr>
        <w:t>)</w:t>
      </w:r>
      <w:r>
        <w:rPr>
          <w:lang w:val="fr-FR"/>
        </w:rPr>
        <w:t>.</w:t>
      </w:r>
    </w:p>
    <w:p w14:paraId="5D6A65A4" w14:textId="3062BDA1" w:rsidR="00A95559" w:rsidRPr="00F8252B" w:rsidRDefault="006D1903" w:rsidP="00FA2932">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lang w:val="fr-FR"/>
        </w:rPr>
      </w:pPr>
      <w:r w:rsidRPr="006D1903">
        <w:rPr>
          <w:lang w:val="fr-FR"/>
        </w:rPr>
        <w:t>Parmi les Parties ayant indiqué que des décisions avaient été prises, 21</w:t>
      </w:r>
      <w:r w:rsidR="00667501">
        <w:rPr>
          <w:lang w:val="fr-FR"/>
        </w:rPr>
        <w:t> %</w:t>
      </w:r>
      <w:r w:rsidRPr="006D1903">
        <w:rPr>
          <w:lang w:val="fr-FR"/>
        </w:rPr>
        <w:t xml:space="preserve"> ont déclaré ne pas avoir consulté le public au cours de l’élaboration des politiques</w:t>
      </w:r>
      <w:r w:rsidR="00D560E8">
        <w:rPr>
          <w:lang w:val="fr-FR"/>
        </w:rPr>
        <w:t> ;</w:t>
      </w:r>
      <w:r w:rsidRPr="006D1903">
        <w:rPr>
          <w:lang w:val="fr-FR"/>
        </w:rPr>
        <w:t xml:space="preserve"> 36</w:t>
      </w:r>
      <w:r w:rsidR="00667501">
        <w:rPr>
          <w:lang w:val="fr-FR"/>
        </w:rPr>
        <w:t> %</w:t>
      </w:r>
      <w:r w:rsidRPr="006D1903">
        <w:rPr>
          <w:lang w:val="fr-FR"/>
        </w:rPr>
        <w:t xml:space="preserve"> ont indiqué que le public avait été consulté entre une et quatre fois au cours de cette étape</w:t>
      </w:r>
      <w:r w:rsidR="00D560E8">
        <w:rPr>
          <w:lang w:val="fr-FR"/>
        </w:rPr>
        <w:t> ;</w:t>
      </w:r>
      <w:r w:rsidRPr="006D1903">
        <w:rPr>
          <w:lang w:val="fr-FR"/>
        </w:rPr>
        <w:t xml:space="preserve"> et 43</w:t>
      </w:r>
      <w:r w:rsidR="00667501">
        <w:rPr>
          <w:lang w:val="fr-FR"/>
        </w:rPr>
        <w:t> %</w:t>
      </w:r>
      <w:r w:rsidRPr="006D1903">
        <w:rPr>
          <w:lang w:val="fr-FR"/>
        </w:rPr>
        <w:t xml:space="preserve"> ont déclaré que le public avait été consulté cinq fois ou plus</w:t>
      </w:r>
      <w:r>
        <w:rPr>
          <w:lang w:val="fr-FR"/>
        </w:rPr>
        <w:t>.</w:t>
      </w:r>
    </w:p>
    <w:p w14:paraId="7FCA72E3" w14:textId="76244FEA" w:rsidR="00A95559" w:rsidRPr="00F8252B" w:rsidRDefault="006D1903" w:rsidP="00FA2932">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lang w:val="fr-FR"/>
        </w:rPr>
      </w:pPr>
      <w:r w:rsidRPr="006D1903">
        <w:rPr>
          <w:lang w:val="fr-FR"/>
        </w:rPr>
        <w:t>Soixante-treize pour cent des Parties ont indiqué que, durant la période considérée, leur pays avait intégré la prévention des risques biotechnologiques dans les programmes d'enseignement et de formation concernés</w:t>
      </w:r>
      <w:r>
        <w:rPr>
          <w:lang w:val="fr-FR"/>
        </w:rPr>
        <w:t>.</w:t>
      </w:r>
    </w:p>
    <w:p w14:paraId="43C367D0" w14:textId="119744F2" w:rsidR="00683C97" w:rsidRPr="00F8252B" w:rsidRDefault="00683C97" w:rsidP="00FA2932">
      <w:pPr>
        <w:pStyle w:val="CBDH4"/>
        <w:rPr>
          <w:bCs/>
          <w:lang w:val="fr-FR"/>
        </w:rPr>
      </w:pPr>
      <w:r w:rsidRPr="00F8252B">
        <w:rPr>
          <w:lang w:val="fr-FR"/>
        </w:rPr>
        <w:t>b)</w:t>
      </w:r>
      <w:r w:rsidRPr="00F8252B">
        <w:rPr>
          <w:lang w:val="fr-FR"/>
        </w:rPr>
        <w:tab/>
        <w:t>Analys</w:t>
      </w:r>
      <w:r w:rsidR="00D0317A" w:rsidRPr="00F8252B">
        <w:rPr>
          <w:lang w:val="fr-FR"/>
        </w:rPr>
        <w:t xml:space="preserve">e des </w:t>
      </w:r>
      <w:r w:rsidRPr="00F8252B">
        <w:rPr>
          <w:lang w:val="fr-FR"/>
        </w:rPr>
        <w:t>information</w:t>
      </w:r>
      <w:r w:rsidR="00D0317A" w:rsidRPr="00F8252B">
        <w:rPr>
          <w:lang w:val="fr-FR"/>
        </w:rPr>
        <w:t>s</w:t>
      </w:r>
    </w:p>
    <w:p w14:paraId="6DF4BD9F" w14:textId="08D7526B" w:rsidR="000C36C5" w:rsidRPr="00F8252B" w:rsidRDefault="00182994" w:rsidP="00FA2932">
      <w:pPr>
        <w:pStyle w:val="CBDNormalNumber"/>
        <w:rPr>
          <w:lang w:val="fr-FR"/>
        </w:rPr>
      </w:pPr>
      <w:r w:rsidRPr="00182994">
        <w:rPr>
          <w:rFonts w:eastAsiaTheme="minorEastAsia"/>
          <w:lang w:val="fr-FR"/>
        </w:rPr>
        <w:t xml:space="preserve">Le but B.3 comprend quatre objectifs à atteindre pour réaliser ce but, ainsi que sept indicateurs permettant de mesurer les progrès accomplis dans la réalisation de ces objectifs. </w:t>
      </w:r>
      <w:r w:rsidR="00A9689C">
        <w:rPr>
          <w:rFonts w:eastAsiaTheme="minorEastAsia"/>
          <w:lang w:val="fr-FR"/>
        </w:rPr>
        <w:t>Pour</w:t>
      </w:r>
      <w:r w:rsidRPr="00182994">
        <w:rPr>
          <w:rFonts w:eastAsiaTheme="minorEastAsia"/>
          <w:lang w:val="fr-FR"/>
        </w:rPr>
        <w:t xml:space="preserve"> l’indicateur B.3</w:t>
      </w:r>
      <w:r w:rsidR="00A220BF">
        <w:rPr>
          <w:rFonts w:eastAsiaTheme="minorEastAsia"/>
          <w:lang w:val="fr-FR"/>
        </w:rPr>
        <w:t> </w:t>
      </w:r>
      <w:r w:rsidRPr="00182994">
        <w:rPr>
          <w:rFonts w:eastAsiaTheme="minorEastAsia"/>
          <w:lang w:val="fr-FR"/>
        </w:rPr>
        <w:t xml:space="preserve">a) (pourcentage des Parties ayant accès à des ressources destinées à faciliter et à promouvoir la </w:t>
      </w:r>
      <w:r w:rsidRPr="00182994">
        <w:rPr>
          <w:rFonts w:eastAsiaTheme="minorEastAsia"/>
          <w:lang w:val="fr-FR"/>
        </w:rPr>
        <w:lastRenderedPageBreak/>
        <w:t>sensibilisation, l’éducation et la participation du public en matière de prévention des risques biotechnologiques), ce sont les informations fournies en réponse à la question</w:t>
      </w:r>
      <w:r w:rsidR="00A220BF">
        <w:rPr>
          <w:rFonts w:eastAsiaTheme="minorEastAsia"/>
          <w:lang w:val="fr-FR"/>
        </w:rPr>
        <w:t> </w:t>
      </w:r>
      <w:r w:rsidRPr="00182994">
        <w:rPr>
          <w:rFonts w:eastAsiaTheme="minorEastAsia"/>
          <w:lang w:val="fr-FR"/>
        </w:rPr>
        <w:t>138 du cinquième rapport national qui ont été utilisées pour mesurer les progrès accomplis. Aucune donnée de référence n’était disponible, car la question n’avait pas été incluse dans le quatrième rapport national. Cinquante</w:t>
      </w:r>
      <w:r w:rsidR="00307563">
        <w:rPr>
          <w:rFonts w:eastAsiaTheme="minorEastAsia"/>
          <w:lang w:val="fr-FR"/>
        </w:rPr>
        <w:t>-</w:t>
      </w:r>
      <w:r w:rsidRPr="00182994">
        <w:rPr>
          <w:rFonts w:eastAsiaTheme="minorEastAsia"/>
          <w:lang w:val="fr-FR"/>
        </w:rPr>
        <w:t>et</w:t>
      </w:r>
      <w:r w:rsidR="00307563">
        <w:rPr>
          <w:rFonts w:eastAsiaTheme="minorEastAsia"/>
          <w:lang w:val="fr-FR"/>
        </w:rPr>
        <w:t>-</w:t>
      </w:r>
      <w:r w:rsidRPr="00182994">
        <w:rPr>
          <w:rFonts w:eastAsiaTheme="minorEastAsia"/>
          <w:lang w:val="fr-FR"/>
        </w:rPr>
        <w:t>un pour cent des Parties ont indiqué que, durant la période couverte par le rapport, leur pays avait eu accès à des ressources destinées à faciliter et à promouvoir la sensibilisation, l’éducation et la participation du public en matière de prévention des risques biotechnologiques. La répartition régionale de la proportion de Parties ayant déclaré avoir eu accès à ces ressources était la suivante</w:t>
      </w:r>
      <w:r w:rsidR="00CA1B90">
        <w:rPr>
          <w:rFonts w:eastAsiaTheme="minorEastAsia"/>
          <w:lang w:val="fr-FR"/>
        </w:rPr>
        <w:t> :</w:t>
      </w:r>
      <w:r w:rsidRPr="00182994">
        <w:rPr>
          <w:rFonts w:eastAsiaTheme="minorEastAsia"/>
          <w:lang w:val="fr-FR"/>
        </w:rPr>
        <w:t xml:space="preserve"> 32</w:t>
      </w:r>
      <w:r w:rsidR="00667501">
        <w:rPr>
          <w:rFonts w:eastAsiaTheme="minorEastAsia"/>
          <w:lang w:val="fr-FR"/>
        </w:rPr>
        <w:t> %</w:t>
      </w:r>
      <w:r w:rsidRPr="00182994">
        <w:rPr>
          <w:rFonts w:eastAsiaTheme="minorEastAsia"/>
          <w:lang w:val="fr-FR"/>
        </w:rPr>
        <w:t xml:space="preserve"> dans la région Europe occidentale et autres États</w:t>
      </w:r>
      <w:r w:rsidR="00D560E8">
        <w:rPr>
          <w:rFonts w:eastAsiaTheme="minorEastAsia"/>
          <w:lang w:val="fr-FR"/>
        </w:rPr>
        <w:t> ;</w:t>
      </w:r>
      <w:r w:rsidRPr="00182994">
        <w:rPr>
          <w:rFonts w:eastAsiaTheme="minorEastAsia"/>
          <w:lang w:val="fr-FR"/>
        </w:rPr>
        <w:t xml:space="preserve"> 42</w:t>
      </w:r>
      <w:r w:rsidR="00667501">
        <w:rPr>
          <w:rFonts w:eastAsiaTheme="minorEastAsia"/>
          <w:lang w:val="fr-FR"/>
        </w:rPr>
        <w:t> %</w:t>
      </w:r>
      <w:r w:rsidRPr="00182994">
        <w:rPr>
          <w:rFonts w:eastAsiaTheme="minorEastAsia"/>
          <w:lang w:val="fr-FR"/>
        </w:rPr>
        <w:t xml:space="preserve"> dans la région de Europe orientale</w:t>
      </w:r>
      <w:r w:rsidR="00D560E8">
        <w:rPr>
          <w:rFonts w:eastAsiaTheme="minorEastAsia"/>
          <w:lang w:val="fr-FR"/>
        </w:rPr>
        <w:t> ;</w:t>
      </w:r>
      <w:r w:rsidRPr="00182994">
        <w:rPr>
          <w:rFonts w:eastAsiaTheme="minorEastAsia"/>
          <w:lang w:val="fr-FR"/>
        </w:rPr>
        <w:t xml:space="preserve"> 50</w:t>
      </w:r>
      <w:r w:rsidR="00667501">
        <w:rPr>
          <w:rFonts w:eastAsiaTheme="minorEastAsia"/>
          <w:lang w:val="fr-FR"/>
        </w:rPr>
        <w:t> %</w:t>
      </w:r>
      <w:r w:rsidRPr="00182994">
        <w:rPr>
          <w:rFonts w:eastAsiaTheme="minorEastAsia"/>
          <w:lang w:val="fr-FR"/>
        </w:rPr>
        <w:t xml:space="preserve"> dans la région Asie-Pacifique</w:t>
      </w:r>
      <w:r w:rsidR="00D560E8">
        <w:rPr>
          <w:rFonts w:eastAsiaTheme="minorEastAsia"/>
          <w:lang w:val="fr-FR"/>
        </w:rPr>
        <w:t> ;</w:t>
      </w:r>
      <w:r w:rsidRPr="00182994">
        <w:rPr>
          <w:rFonts w:eastAsiaTheme="minorEastAsia"/>
          <w:lang w:val="fr-FR"/>
        </w:rPr>
        <w:t xml:space="preserve"> 52</w:t>
      </w:r>
      <w:r w:rsidR="00667501">
        <w:rPr>
          <w:rFonts w:eastAsiaTheme="minorEastAsia"/>
          <w:lang w:val="fr-FR"/>
        </w:rPr>
        <w:t> %</w:t>
      </w:r>
      <w:r w:rsidRPr="00182994">
        <w:rPr>
          <w:rFonts w:eastAsiaTheme="minorEastAsia"/>
          <w:lang w:val="fr-FR"/>
        </w:rPr>
        <w:t xml:space="preserve"> dans la région Amérique latine et Caraïbes</w:t>
      </w:r>
      <w:r w:rsidR="00D560E8">
        <w:rPr>
          <w:rFonts w:eastAsiaTheme="minorEastAsia"/>
          <w:lang w:val="fr-FR"/>
        </w:rPr>
        <w:t> ;</w:t>
      </w:r>
      <w:r w:rsidRPr="00182994">
        <w:rPr>
          <w:rFonts w:eastAsiaTheme="minorEastAsia"/>
          <w:lang w:val="fr-FR"/>
        </w:rPr>
        <w:t xml:space="preserve"> et 63</w:t>
      </w:r>
      <w:r w:rsidR="00667501">
        <w:rPr>
          <w:rFonts w:eastAsiaTheme="minorEastAsia"/>
          <w:lang w:val="fr-FR"/>
        </w:rPr>
        <w:t> %</w:t>
      </w:r>
      <w:r w:rsidRPr="00182994">
        <w:rPr>
          <w:rFonts w:eastAsiaTheme="minorEastAsia"/>
          <w:lang w:val="fr-FR"/>
        </w:rPr>
        <w:t xml:space="preserve"> dans la région Afrique. Aucune information de référence n'était disponible</w:t>
      </w:r>
      <w:r w:rsidR="000C36C5" w:rsidRPr="00F8252B">
        <w:rPr>
          <w:rStyle w:val="Appelnotedebasdep"/>
          <w:lang w:val="fr-FR"/>
        </w:rPr>
        <w:footnoteReference w:id="57"/>
      </w:r>
      <w:r>
        <w:rPr>
          <w:rFonts w:eastAsiaTheme="minorEastAsia"/>
          <w:lang w:val="fr-FR"/>
        </w:rPr>
        <w:t>.</w:t>
      </w:r>
    </w:p>
    <w:p w14:paraId="611F965E" w14:textId="16786F63" w:rsidR="65C66A62" w:rsidRPr="00F8252B" w:rsidRDefault="004A76F1" w:rsidP="00FA2932">
      <w:pPr>
        <w:pStyle w:val="CBDNormalNumber"/>
        <w:rPr>
          <w:lang w:val="fr-FR"/>
        </w:rPr>
      </w:pPr>
      <w:r w:rsidRPr="004A76F1">
        <w:rPr>
          <w:lang w:val="fr-FR"/>
        </w:rPr>
        <w:t>Dans leurs réponses sous forme de texte libre à la question</w:t>
      </w:r>
      <w:r w:rsidR="00886824">
        <w:rPr>
          <w:lang w:val="fr-FR"/>
        </w:rPr>
        <w:t> </w:t>
      </w:r>
      <w:r w:rsidRPr="004A76F1">
        <w:rPr>
          <w:lang w:val="fr-FR"/>
        </w:rPr>
        <w:t>139 concernant la mise en œuvre de l’article</w:t>
      </w:r>
      <w:r w:rsidR="00886824">
        <w:rPr>
          <w:lang w:val="fr-FR"/>
        </w:rPr>
        <w:t> </w:t>
      </w:r>
      <w:r w:rsidRPr="004A76F1">
        <w:rPr>
          <w:lang w:val="fr-FR"/>
        </w:rPr>
        <w:t>23, environ un tiers des Parties ont indiqué disposer de ressources sous forme de rapports, de brochures, de notes d’orientation, de documents de recherche, de modules en ligne, de guides techniques et de supports pédagogiques. Ces ressources ont été mises à la disposition des experts et du grand public, y compris les communautés locales. Quelques Parties ont indiqué que ces documents avaient été traduits dans les langues locales. Les Parties ont précisé que leurs documents étaient diffusés, notamment lors de conférences, d’ateliers, de séminaires et de salons professionnels. Plusieurs documents de référence (138) ont été publiés par les Parties et les parties prenantes sous forme de ressources de bibliothèque virtuelle sur le Centre d’échange pour la prévention des risques biotechnologiques</w:t>
      </w:r>
      <w:r w:rsidR="22DF8A5D" w:rsidRPr="00F8252B">
        <w:rPr>
          <w:lang w:val="fr-FR"/>
        </w:rPr>
        <w:t xml:space="preserve">.  </w:t>
      </w:r>
    </w:p>
    <w:p w14:paraId="198B4796" w14:textId="4CF80DEE" w:rsidR="00271015" w:rsidRPr="00F8252B" w:rsidRDefault="009421D8" w:rsidP="00FA2932">
      <w:pPr>
        <w:pStyle w:val="CBDNormalNumber"/>
        <w:rPr>
          <w:lang w:val="fr-FR"/>
        </w:rPr>
      </w:pPr>
      <w:r w:rsidRPr="00F8252B">
        <w:rPr>
          <w:lang w:val="fr-FR"/>
        </w:rPr>
        <w:t xml:space="preserve"> </w:t>
      </w:r>
      <w:r w:rsidR="00A9689C">
        <w:rPr>
          <w:lang w:val="fr-FR"/>
        </w:rPr>
        <w:t>Pour</w:t>
      </w:r>
      <w:r w:rsidR="00324667" w:rsidRPr="00324667">
        <w:rPr>
          <w:lang w:val="fr-FR"/>
        </w:rPr>
        <w:t xml:space="preserve"> l'indicateur B.3</w:t>
      </w:r>
      <w:r w:rsidR="00324667">
        <w:rPr>
          <w:lang w:val="fr-FR"/>
        </w:rPr>
        <w:t> </w:t>
      </w:r>
      <w:r w:rsidR="00324667" w:rsidRPr="00324667">
        <w:rPr>
          <w:lang w:val="fr-FR"/>
        </w:rPr>
        <w:t>b) (pourcentage des Parties intégrant la prévention des risques biotechnologiques dans les programmes d'éducation et de formation pertinents), ce sont les informations fournies en réponse à la question</w:t>
      </w:r>
      <w:r w:rsidR="00324667">
        <w:rPr>
          <w:lang w:val="fr-FR"/>
        </w:rPr>
        <w:t> </w:t>
      </w:r>
      <w:r w:rsidR="00324667" w:rsidRPr="00324667">
        <w:rPr>
          <w:lang w:val="fr-FR"/>
        </w:rPr>
        <w:t>134 qui ont été utilisées pour mesurer les progrès accomplis. Soixante-treize pour cent des Parties ont indiqué que, durant la période considérée, leur pays avait intégré la prévention des risques biotechnologiques dans les programmes d’enseignement et de formation pertinents. Aucune question relative à l’intégration de la prévention des risques biotechnologiques n’ayant été incluse dans le format des quatrièmes rapports nationaux, aucune donnée de référence n’était disponible. Toutefois, en réponse à la question</w:t>
      </w:r>
      <w:r w:rsidR="00D12BFE">
        <w:rPr>
          <w:lang w:val="fr-FR"/>
        </w:rPr>
        <w:t> </w:t>
      </w:r>
      <w:r w:rsidR="00324667" w:rsidRPr="00324667">
        <w:rPr>
          <w:lang w:val="fr-FR"/>
        </w:rPr>
        <w:t>145 des quatrièmes rapports nationaux, 86</w:t>
      </w:r>
      <w:r w:rsidR="00667501">
        <w:rPr>
          <w:lang w:val="fr-FR"/>
        </w:rPr>
        <w:t> %</w:t>
      </w:r>
      <w:r w:rsidR="00324667" w:rsidRPr="00324667">
        <w:rPr>
          <w:lang w:val="fr-FR"/>
        </w:rPr>
        <w:t xml:space="preserve"> des Parties ont indiqué que les établissements d’enseignement de leur pays proposaient des cours et des programmes d’enseignement et de formation en matière de prévention des risques biotechnologiques</w:t>
      </w:r>
      <w:r w:rsidR="50820877" w:rsidRPr="00F8252B">
        <w:rPr>
          <w:lang w:val="fr-FR"/>
        </w:rPr>
        <w:t>.</w:t>
      </w:r>
    </w:p>
    <w:p w14:paraId="490A3196" w14:textId="111A6F05" w:rsidR="00271015" w:rsidRPr="00F8252B" w:rsidRDefault="00DC5D95" w:rsidP="00FA2932">
      <w:pPr>
        <w:pStyle w:val="CBDNormalNumber"/>
        <w:rPr>
          <w:lang w:val="fr-FR"/>
        </w:rPr>
      </w:pPr>
      <w:r w:rsidRPr="00DC5D95">
        <w:rPr>
          <w:lang w:val="fr-FR"/>
        </w:rPr>
        <w:t>Dans leurs réponses à la question</w:t>
      </w:r>
      <w:r w:rsidR="00764E19">
        <w:rPr>
          <w:lang w:val="fr-FR"/>
        </w:rPr>
        <w:t> </w:t>
      </w:r>
      <w:r w:rsidRPr="00DC5D95">
        <w:rPr>
          <w:lang w:val="fr-FR"/>
        </w:rPr>
        <w:t>139, plusieurs Parties ont expliqué que la prévention des risques biotechnologiques avait été intégrée dans des programmes universitaires et gouvernementaux ciblant différents publics, notamment les étudiants, les enseignants, le personnel technique, les scientifiques, les autorités de régulation, les juges et les procureurs, les jeunes et les médias, ainsi que les agriculteurs. Le format de ces programmes était varié et comprenait des ateliers, des tables rondes, des conférences, des séminaires et des colloques</w:t>
      </w:r>
      <w:r w:rsidR="00CD7B4F" w:rsidRPr="00F8252B">
        <w:rPr>
          <w:lang w:val="fr-FR"/>
        </w:rPr>
        <w:t>.</w:t>
      </w:r>
      <w:r w:rsidR="012993AF" w:rsidRPr="00F8252B">
        <w:rPr>
          <w:lang w:val="fr-FR"/>
        </w:rPr>
        <w:t xml:space="preserve"> </w:t>
      </w:r>
    </w:p>
    <w:p w14:paraId="35790119" w14:textId="13B3C5FB" w:rsidR="00271015" w:rsidRPr="00F8252B" w:rsidRDefault="00D51DC4" w:rsidP="00FA2932">
      <w:pPr>
        <w:pStyle w:val="CBDNormalNumber"/>
        <w:rPr>
          <w:lang w:val="fr-FR"/>
        </w:rPr>
      </w:pPr>
      <w:r w:rsidRPr="00D51DC4">
        <w:rPr>
          <w:lang w:val="fr-FR"/>
        </w:rPr>
        <w:t>Pour l’indicateur B.3</w:t>
      </w:r>
      <w:r w:rsidR="00D108D2">
        <w:rPr>
          <w:lang w:val="fr-FR"/>
        </w:rPr>
        <w:t> </w:t>
      </w:r>
      <w:r w:rsidRPr="00D51DC4">
        <w:rPr>
          <w:lang w:val="fr-FR"/>
        </w:rPr>
        <w:t xml:space="preserve">c) (pourcentage des Parties ayant mis en place un mécanisme facilitant et encourageant la participation du public à l’élaboration des politiques concernant les organismes vivants modifiés), </w:t>
      </w:r>
      <w:r w:rsidR="00D108D2">
        <w:rPr>
          <w:lang w:val="fr-FR"/>
        </w:rPr>
        <w:t xml:space="preserve">ce sont </w:t>
      </w:r>
      <w:r w:rsidRPr="00D51DC4">
        <w:rPr>
          <w:lang w:val="fr-FR"/>
        </w:rPr>
        <w:t>les informations fournies en réponse à la question</w:t>
      </w:r>
      <w:r w:rsidR="00D108D2">
        <w:rPr>
          <w:lang w:val="fr-FR"/>
        </w:rPr>
        <w:t> </w:t>
      </w:r>
      <w:r w:rsidRPr="00D51DC4">
        <w:rPr>
          <w:lang w:val="fr-FR"/>
        </w:rPr>
        <w:t xml:space="preserve">129 </w:t>
      </w:r>
      <w:r w:rsidR="00D108D2">
        <w:rPr>
          <w:lang w:val="fr-FR"/>
        </w:rPr>
        <w:t xml:space="preserve">qui </w:t>
      </w:r>
      <w:r w:rsidRPr="00D51DC4">
        <w:rPr>
          <w:lang w:val="fr-FR"/>
        </w:rPr>
        <w:t>ont été utilisées pour mesurer les progrès accomplis. Cinquante-deux pour cent des Parties ont indiqué avoir mis en place un mécanisme visant à faciliter et à promouvoir la participation du public, y compris la consultation, au processus d’élaboration des politiques concernant les organismes vivants modifiés (soit une baisse de 2</w:t>
      </w:r>
      <w:r w:rsidR="00667501">
        <w:rPr>
          <w:lang w:val="fr-FR"/>
        </w:rPr>
        <w:t> %</w:t>
      </w:r>
      <w:r w:rsidRPr="00D51DC4">
        <w:rPr>
          <w:lang w:val="fr-FR"/>
        </w:rPr>
        <w:t xml:space="preserve"> par rapport à la référence)</w:t>
      </w:r>
      <w:r w:rsidR="00D560E8">
        <w:rPr>
          <w:lang w:val="fr-FR"/>
        </w:rPr>
        <w:t> ;</w:t>
      </w:r>
      <w:r w:rsidRPr="00D51DC4">
        <w:rPr>
          <w:lang w:val="fr-FR"/>
        </w:rPr>
        <w:t xml:space="preserve"> et 21</w:t>
      </w:r>
      <w:r w:rsidR="00667501">
        <w:rPr>
          <w:lang w:val="fr-FR"/>
        </w:rPr>
        <w:t> %</w:t>
      </w:r>
      <w:r w:rsidRPr="00D51DC4">
        <w:rPr>
          <w:lang w:val="fr-FR"/>
        </w:rPr>
        <w:t xml:space="preserve"> des Parties ont indiqué l’avoir fait dans une certaine mesure (soit une augmentation de 5</w:t>
      </w:r>
      <w:r w:rsidR="00667501">
        <w:rPr>
          <w:lang w:val="fr-FR"/>
        </w:rPr>
        <w:t> %</w:t>
      </w:r>
      <w:r w:rsidRPr="00D51DC4">
        <w:rPr>
          <w:lang w:val="fr-FR"/>
        </w:rPr>
        <w:t xml:space="preserve"> par rapport à la référence). Si l’on considère ces deux groupes ensemble, 73</w:t>
      </w:r>
      <w:r w:rsidR="00667501">
        <w:rPr>
          <w:lang w:val="fr-FR"/>
        </w:rPr>
        <w:t> %</w:t>
      </w:r>
      <w:r w:rsidRPr="00D51DC4">
        <w:rPr>
          <w:lang w:val="fr-FR"/>
        </w:rPr>
        <w:t xml:space="preserve"> des Parties avaient mis en place des mécanismes de participation du public ou les avaient mis en place dans une certaine mesure (soit une augmentation de 3</w:t>
      </w:r>
      <w:r w:rsidR="00667501">
        <w:rPr>
          <w:lang w:val="fr-FR"/>
        </w:rPr>
        <w:t> %</w:t>
      </w:r>
      <w:r w:rsidRPr="00D51DC4">
        <w:rPr>
          <w:lang w:val="fr-FR"/>
        </w:rPr>
        <w:t xml:space="preserve"> par rapport à la référence)</w:t>
      </w:r>
      <w:r w:rsidR="00D108D2">
        <w:rPr>
          <w:lang w:val="fr-FR"/>
        </w:rPr>
        <w:t>.</w:t>
      </w:r>
    </w:p>
    <w:p w14:paraId="45F47AFB" w14:textId="24D62F7D" w:rsidR="586F6B7B" w:rsidRPr="00F8252B" w:rsidRDefault="00B25009" w:rsidP="00FA2932">
      <w:pPr>
        <w:pStyle w:val="CBDNormalNumber"/>
        <w:rPr>
          <w:lang w:val="fr-FR"/>
        </w:rPr>
      </w:pPr>
      <w:r w:rsidRPr="00B25009">
        <w:rPr>
          <w:lang w:val="fr-FR"/>
        </w:rPr>
        <w:lastRenderedPageBreak/>
        <w:t>Dans leur contribution écrite, la majorité des Parties ont expliqué que leurs mécanismes de participation du public comprenaient des débats et des audiences publiques, des ateliers ainsi que la diffusion d’informations sur des sites web nationaux. Certaines Parties ont indiqué que des organes consultatifs jouaient un rôle dans la facilitation de la participation du public. Les Parties ont mentionné qu’il existait plusieurs occasions de participer à l’élaboration des politiques, notamment par le biais d’ateliers, de forums, de séances d’information, de webinaires et de séminaires. Plusieurs Parties ont décrit la manière dont leurs lois, politiques et lignes directrices en matière de prévention des risques biotechnologiques prévoyaient un mécanisme de participation du public ou ont expliqué que la participation du public était prévue par d’autres textes législatifs. Plusieurs Parties ont décrit comment des instruments régionaux et multilatéraux comportaient des obligations spécifiques visant à associer le public à l’élaboration des politiques concernant les organismes vivants modifiés. Quelques Parties ont mentionné que le public était associé à des activités de développement des capacités et que, grâce à ces initiatives, un large éventail de parties prenantes participait à ces activités.</w:t>
      </w:r>
    </w:p>
    <w:p w14:paraId="5D0A5207" w14:textId="0215CAAC" w:rsidR="00781D58" w:rsidRPr="00F8252B" w:rsidRDefault="001810EF" w:rsidP="00FA2932">
      <w:pPr>
        <w:pStyle w:val="CBDNormalNumber"/>
        <w:rPr>
          <w:lang w:val="fr-FR"/>
        </w:rPr>
      </w:pPr>
      <w:r w:rsidRPr="001810EF">
        <w:rPr>
          <w:snapToGrid w:val="0"/>
          <w:kern w:val="22"/>
          <w:lang w:val="fr-FR"/>
        </w:rPr>
        <w:t>Pour l'indicateur B.3</w:t>
      </w:r>
      <w:r w:rsidR="006023EA">
        <w:rPr>
          <w:snapToGrid w:val="0"/>
          <w:kern w:val="22"/>
          <w:lang w:val="fr-FR"/>
        </w:rPr>
        <w:t> </w:t>
      </w:r>
      <w:r w:rsidRPr="001810EF">
        <w:rPr>
          <w:snapToGrid w:val="0"/>
          <w:kern w:val="22"/>
          <w:lang w:val="fr-FR"/>
        </w:rPr>
        <w:t>d) (pourcentage des Parties informant le public des moyens de participation à l'élaboration des politiques), les informations fournies en réponse à la question</w:t>
      </w:r>
      <w:r w:rsidR="00292ECD">
        <w:rPr>
          <w:snapToGrid w:val="0"/>
          <w:kern w:val="22"/>
          <w:lang w:val="fr-FR"/>
        </w:rPr>
        <w:t> </w:t>
      </w:r>
      <w:r w:rsidRPr="001810EF">
        <w:rPr>
          <w:snapToGrid w:val="0"/>
          <w:kern w:val="22"/>
          <w:lang w:val="fr-FR"/>
        </w:rPr>
        <w:t>130 du cinquième rapport national ont été utilisées pour mesurer les progrès accomplis. Cinquante pour cent des Parties ont indiqué avoir informé le public des modalités existantes de participation du public au processus d’élaboration des politiques concernant les organismes vivants modifiés (soit une baisse de 3</w:t>
      </w:r>
      <w:r w:rsidR="00667501">
        <w:rPr>
          <w:snapToGrid w:val="0"/>
          <w:kern w:val="22"/>
          <w:lang w:val="fr-FR"/>
        </w:rPr>
        <w:t> %</w:t>
      </w:r>
      <w:r w:rsidRPr="001810EF">
        <w:rPr>
          <w:snapToGrid w:val="0"/>
          <w:kern w:val="22"/>
          <w:lang w:val="fr-FR"/>
        </w:rPr>
        <w:t xml:space="preserve"> par rapport à la référence) et 20</w:t>
      </w:r>
      <w:r w:rsidR="00667501">
        <w:rPr>
          <w:snapToGrid w:val="0"/>
          <w:kern w:val="22"/>
          <w:lang w:val="fr-FR"/>
        </w:rPr>
        <w:t> %</w:t>
      </w:r>
      <w:r w:rsidRPr="001810EF">
        <w:rPr>
          <w:snapToGrid w:val="0"/>
          <w:kern w:val="22"/>
          <w:lang w:val="fr-FR"/>
        </w:rPr>
        <w:t xml:space="preserve"> des Parties ont indiqué l’avoir fait dans une certaine mesure (soit une augmentation de 5</w:t>
      </w:r>
      <w:r w:rsidR="00667501">
        <w:rPr>
          <w:snapToGrid w:val="0"/>
          <w:kern w:val="22"/>
          <w:lang w:val="fr-FR"/>
        </w:rPr>
        <w:t> %</w:t>
      </w:r>
      <w:r w:rsidRPr="001810EF">
        <w:rPr>
          <w:snapToGrid w:val="0"/>
          <w:kern w:val="22"/>
          <w:lang w:val="fr-FR"/>
        </w:rPr>
        <w:t xml:space="preserve"> par rapport à la référence). Lorsque ces deux groupes ont été pris en compte ensemble, 69</w:t>
      </w:r>
      <w:r w:rsidR="00667501">
        <w:rPr>
          <w:snapToGrid w:val="0"/>
          <w:kern w:val="22"/>
          <w:lang w:val="fr-FR"/>
        </w:rPr>
        <w:t> %</w:t>
      </w:r>
      <w:r w:rsidR="009F701C" w:rsidRPr="00F8252B">
        <w:rPr>
          <w:rStyle w:val="Appelnotedebasdep"/>
          <w:lang w:val="fr-FR"/>
        </w:rPr>
        <w:footnoteReference w:id="58"/>
      </w:r>
      <w:r w:rsidR="63CECACE" w:rsidRPr="00F8252B">
        <w:rPr>
          <w:lang w:val="fr-FR"/>
        </w:rPr>
        <w:t xml:space="preserve"> </w:t>
      </w:r>
      <w:r w:rsidR="005E7232" w:rsidRPr="005E7232">
        <w:rPr>
          <w:lang w:val="fr-FR"/>
        </w:rPr>
        <w:t>des Parties avaient informé le public des moyens de participer à l'élaboration des politiques ou l'avaient fait dans une certaine mesure (soit une augmentation de 2</w:t>
      </w:r>
      <w:r w:rsidR="00667501">
        <w:rPr>
          <w:lang w:val="fr-FR"/>
        </w:rPr>
        <w:t> %</w:t>
      </w:r>
      <w:r w:rsidR="005E7232" w:rsidRPr="005E7232">
        <w:rPr>
          <w:lang w:val="fr-FR"/>
        </w:rPr>
        <w:t xml:space="preserve"> par rapport au niveau de référence)</w:t>
      </w:r>
      <w:r w:rsidR="63CECACE" w:rsidRPr="00F8252B">
        <w:rPr>
          <w:lang w:val="fr-FR"/>
        </w:rPr>
        <w:t>.</w:t>
      </w:r>
    </w:p>
    <w:p w14:paraId="4C086F0E" w14:textId="394B14E0" w:rsidR="1279D3A0" w:rsidRPr="00F8252B" w:rsidRDefault="003B4B39" w:rsidP="00FA2932">
      <w:pPr>
        <w:pStyle w:val="CBDNormalNumber"/>
        <w:rPr>
          <w:lang w:val="fr-FR"/>
        </w:rPr>
      </w:pPr>
      <w:r w:rsidRPr="003B4B39">
        <w:rPr>
          <w:lang w:val="fr-FR"/>
        </w:rPr>
        <w:t>Dans leurs contributions sous forme de texte libre, plusieurs Parties ont expliqué qu’elles avaient publié des avis par le biais des médias traditionnels, des réseaux sociaux et de sites web, y compris les sites web nationaux du Centre d’échange pour la prévention des risques biotechnologiques, afin d’associer le public à l’élaboration des politiques</w:t>
      </w:r>
      <w:r w:rsidR="00DA105A" w:rsidRPr="00F8252B">
        <w:rPr>
          <w:lang w:val="fr-FR"/>
        </w:rPr>
        <w:t xml:space="preserve">. </w:t>
      </w:r>
    </w:p>
    <w:p w14:paraId="5D8BACB0" w14:textId="73AB206A" w:rsidR="00781D58" w:rsidRPr="00F8252B" w:rsidRDefault="00CF7CCA" w:rsidP="00FA2932">
      <w:pPr>
        <w:pStyle w:val="CBDNormalNumber"/>
        <w:rPr>
          <w:lang w:val="fr-FR"/>
        </w:rPr>
      </w:pPr>
      <w:r w:rsidRPr="00CF7CCA">
        <w:rPr>
          <w:snapToGrid w:val="0"/>
          <w:kern w:val="22"/>
          <w:lang w:val="fr-FR"/>
        </w:rPr>
        <w:t>Pour l’indicateur B.3</w:t>
      </w:r>
      <w:r w:rsidR="0064679E">
        <w:rPr>
          <w:snapToGrid w:val="0"/>
          <w:kern w:val="22"/>
          <w:lang w:val="fr-FR"/>
        </w:rPr>
        <w:t> </w:t>
      </w:r>
      <w:r w:rsidRPr="00CF7CCA">
        <w:rPr>
          <w:snapToGrid w:val="0"/>
          <w:kern w:val="22"/>
          <w:lang w:val="fr-FR"/>
        </w:rPr>
        <w:t>e) (pourcentage des Parties ayant consulté le public au cours de l’élaboration des politiques conformément à leurs lois et réglementations respectives), ce sont les informations fournies en réponse à la question</w:t>
      </w:r>
      <w:r w:rsidR="0064679E">
        <w:rPr>
          <w:snapToGrid w:val="0"/>
          <w:kern w:val="22"/>
          <w:lang w:val="fr-FR"/>
        </w:rPr>
        <w:t> </w:t>
      </w:r>
      <w:r w:rsidRPr="00CF7CCA">
        <w:rPr>
          <w:snapToGrid w:val="0"/>
          <w:kern w:val="22"/>
          <w:lang w:val="fr-FR"/>
        </w:rPr>
        <w:t>131 du cinquième rapport national qui ont été utilisées pour mesurer les progrès accomplis. Sur les 75</w:t>
      </w:r>
      <w:r w:rsidR="0064679E">
        <w:rPr>
          <w:snapToGrid w:val="0"/>
          <w:kern w:val="22"/>
          <w:lang w:val="fr-FR"/>
        </w:rPr>
        <w:t> </w:t>
      </w:r>
      <w:r w:rsidRPr="00CF7CCA">
        <w:rPr>
          <w:snapToGrid w:val="0"/>
          <w:kern w:val="22"/>
          <w:lang w:val="fr-FR"/>
        </w:rPr>
        <w:t>Parties ayant indiqué que des décisions avaient été prises, 21</w:t>
      </w:r>
      <w:r w:rsidR="00667501">
        <w:rPr>
          <w:snapToGrid w:val="0"/>
          <w:kern w:val="22"/>
          <w:lang w:val="fr-FR"/>
        </w:rPr>
        <w:t> %</w:t>
      </w:r>
      <w:r w:rsidRPr="00CF7CCA">
        <w:rPr>
          <w:snapToGrid w:val="0"/>
          <w:kern w:val="22"/>
          <w:lang w:val="fr-FR"/>
        </w:rPr>
        <w:t xml:space="preserve"> ont déclaré ne pas avoir consulté le public au cours de l’élaboration des politiques (soit une baisse de 8</w:t>
      </w:r>
      <w:r w:rsidR="00667501">
        <w:rPr>
          <w:snapToGrid w:val="0"/>
          <w:kern w:val="22"/>
          <w:lang w:val="fr-FR"/>
        </w:rPr>
        <w:t> %</w:t>
      </w:r>
      <w:r w:rsidRPr="00CF7CCA">
        <w:rPr>
          <w:snapToGrid w:val="0"/>
          <w:kern w:val="22"/>
          <w:lang w:val="fr-FR"/>
        </w:rPr>
        <w:t xml:space="preserve"> par rapport à la référence) ; 36</w:t>
      </w:r>
      <w:r w:rsidR="00667501">
        <w:rPr>
          <w:snapToGrid w:val="0"/>
          <w:kern w:val="22"/>
          <w:lang w:val="fr-FR"/>
        </w:rPr>
        <w:t> %</w:t>
      </w:r>
      <w:r w:rsidRPr="00CF7CCA">
        <w:rPr>
          <w:snapToGrid w:val="0"/>
          <w:kern w:val="22"/>
          <w:lang w:val="fr-FR"/>
        </w:rPr>
        <w:t xml:space="preserve"> ont indiqué que le public avait été consulté une à quatre fois au cours de l’élaboration des politiques (soit une augmentation de 7</w:t>
      </w:r>
      <w:r w:rsidR="00667501">
        <w:rPr>
          <w:snapToGrid w:val="0"/>
          <w:kern w:val="22"/>
          <w:lang w:val="fr-FR"/>
        </w:rPr>
        <w:t> %</w:t>
      </w:r>
      <w:r w:rsidRPr="00CF7CCA">
        <w:rPr>
          <w:snapToGrid w:val="0"/>
          <w:kern w:val="22"/>
          <w:lang w:val="fr-FR"/>
        </w:rPr>
        <w:t>); et 43</w:t>
      </w:r>
      <w:r w:rsidR="00667501">
        <w:rPr>
          <w:snapToGrid w:val="0"/>
          <w:kern w:val="22"/>
          <w:lang w:val="fr-FR"/>
        </w:rPr>
        <w:t> %</w:t>
      </w:r>
      <w:r w:rsidRPr="00CF7CCA">
        <w:rPr>
          <w:snapToGrid w:val="0"/>
          <w:kern w:val="22"/>
          <w:lang w:val="fr-FR"/>
        </w:rPr>
        <w:t xml:space="preserve"> ont indiqué que le public avait été consulté cinq fois ou plus (soit une augmentation de 1</w:t>
      </w:r>
      <w:r w:rsidR="00667501">
        <w:rPr>
          <w:snapToGrid w:val="0"/>
          <w:kern w:val="22"/>
          <w:lang w:val="fr-FR"/>
        </w:rPr>
        <w:t> %</w:t>
      </w:r>
      <w:r w:rsidRPr="00CF7CCA">
        <w:rPr>
          <w:snapToGrid w:val="0"/>
          <w:kern w:val="22"/>
          <w:lang w:val="fr-FR"/>
        </w:rPr>
        <w:t xml:space="preserve"> par rapport à la référence).</w:t>
      </w:r>
    </w:p>
    <w:p w14:paraId="1159545E" w14:textId="20072C9B" w:rsidR="6320565C" w:rsidRPr="00F8252B" w:rsidRDefault="00265AA9" w:rsidP="00FA2932">
      <w:pPr>
        <w:pStyle w:val="CBDNormalNumber"/>
        <w:rPr>
          <w:lang w:val="fr-FR"/>
        </w:rPr>
      </w:pPr>
      <w:r w:rsidRPr="00F8252B">
        <w:rPr>
          <w:lang w:val="fr-FR"/>
        </w:rPr>
        <w:t xml:space="preserve"> </w:t>
      </w:r>
      <w:r w:rsidR="00F72A43" w:rsidRPr="00F72A43">
        <w:rPr>
          <w:lang w:val="fr-FR"/>
        </w:rPr>
        <w:t>Dans leurs réponses sous forme de texte libre, de nombreuses Parties ont indiqué qu'elles avaient consulté le public lors de l'élaboration d'instruments juridiques et politiques relatifs à la prévention des risques biotechnologiques et lors de la prise de décision concernant l'importation d'un organisme vivant modifié</w:t>
      </w:r>
      <w:r w:rsidR="00B70604" w:rsidRPr="00F8252B">
        <w:rPr>
          <w:lang w:val="fr-FR"/>
        </w:rPr>
        <w:t>.</w:t>
      </w:r>
    </w:p>
    <w:p w14:paraId="28F2388A" w14:textId="67713F03" w:rsidR="00572BBB" w:rsidRPr="00F8252B" w:rsidRDefault="00FE094F" w:rsidP="00FA2932">
      <w:pPr>
        <w:pStyle w:val="CBDNormalNumber"/>
        <w:rPr>
          <w:lang w:val="fr-FR"/>
        </w:rPr>
      </w:pPr>
      <w:r w:rsidRPr="00FE094F">
        <w:rPr>
          <w:snapToGrid w:val="0"/>
          <w:kern w:val="22"/>
          <w:lang w:val="fr-FR"/>
        </w:rPr>
        <w:t>Pour l’indicateur B.3</w:t>
      </w:r>
      <w:r>
        <w:rPr>
          <w:snapToGrid w:val="0"/>
          <w:kern w:val="22"/>
          <w:lang w:val="fr-FR"/>
        </w:rPr>
        <w:t> </w:t>
      </w:r>
      <w:r w:rsidRPr="00FE094F">
        <w:rPr>
          <w:snapToGrid w:val="0"/>
          <w:kern w:val="22"/>
          <w:lang w:val="fr-FR"/>
        </w:rPr>
        <w:t>f) (pourcentage des Parties ayant mis les résultats de leurs décisions à la disposition du public), ce sont les informations fournies en réponse à la question</w:t>
      </w:r>
      <w:r>
        <w:rPr>
          <w:snapToGrid w:val="0"/>
          <w:kern w:val="22"/>
          <w:lang w:val="fr-FR"/>
        </w:rPr>
        <w:t> </w:t>
      </w:r>
      <w:r w:rsidRPr="00FE094F">
        <w:rPr>
          <w:snapToGrid w:val="0"/>
          <w:kern w:val="22"/>
          <w:lang w:val="fr-FR"/>
        </w:rPr>
        <w:t>132 du cinquième rapport national qui ont été utilisées pour mesurer les progrès accomplis. Aucune information n’était disponible pour la situation de référence, cette question n’ayant pas été incluse dans le quatrième rapport national. Cinquante pour cent des Parties ont indiqué avoir mis à la disposition du public les résultats de leurs décisions concernant les organismes vivants modifiés au cours de la période considérée. Au niveau régional, la répartition de la proportion de Parties ayant déclaré avoir mis les conclusions des décisions à la disposition du public était la suivante</w:t>
      </w:r>
      <w:r w:rsidR="00CA1B90">
        <w:rPr>
          <w:snapToGrid w:val="0"/>
          <w:kern w:val="22"/>
          <w:lang w:val="fr-FR"/>
        </w:rPr>
        <w:t> :</w:t>
      </w:r>
      <w:r w:rsidRPr="00FE094F">
        <w:rPr>
          <w:snapToGrid w:val="0"/>
          <w:kern w:val="22"/>
          <w:lang w:val="fr-FR"/>
        </w:rPr>
        <w:t xml:space="preserve"> dans la région Afrique</w:t>
      </w:r>
      <w:r w:rsidR="00CA1B90">
        <w:rPr>
          <w:snapToGrid w:val="0"/>
          <w:kern w:val="22"/>
          <w:lang w:val="fr-FR"/>
        </w:rPr>
        <w:t> :</w:t>
      </w:r>
      <w:r w:rsidRPr="00FE094F">
        <w:rPr>
          <w:snapToGrid w:val="0"/>
          <w:kern w:val="22"/>
          <w:lang w:val="fr-FR"/>
        </w:rPr>
        <w:t xml:space="preserve"> 39</w:t>
      </w:r>
      <w:r w:rsidR="00667501">
        <w:rPr>
          <w:snapToGrid w:val="0"/>
          <w:kern w:val="22"/>
          <w:lang w:val="fr-FR"/>
        </w:rPr>
        <w:t> %</w:t>
      </w:r>
      <w:r w:rsidR="003C1E11">
        <w:rPr>
          <w:snapToGrid w:val="0"/>
          <w:kern w:val="22"/>
          <w:lang w:val="fr-FR"/>
        </w:rPr>
        <w:t> ;</w:t>
      </w:r>
      <w:r w:rsidRPr="00FE094F">
        <w:rPr>
          <w:snapToGrid w:val="0"/>
          <w:kern w:val="22"/>
          <w:lang w:val="fr-FR"/>
        </w:rPr>
        <w:t xml:space="preserve"> </w:t>
      </w:r>
      <w:r w:rsidRPr="00FE094F">
        <w:rPr>
          <w:snapToGrid w:val="0"/>
          <w:kern w:val="22"/>
          <w:lang w:val="fr-FR"/>
        </w:rPr>
        <w:lastRenderedPageBreak/>
        <w:t>dans la région Asie-Pacifique</w:t>
      </w:r>
      <w:r w:rsidR="00CA1B90">
        <w:rPr>
          <w:snapToGrid w:val="0"/>
          <w:kern w:val="22"/>
          <w:lang w:val="fr-FR"/>
        </w:rPr>
        <w:t> :</w:t>
      </w:r>
      <w:r w:rsidRPr="00FE094F">
        <w:rPr>
          <w:snapToGrid w:val="0"/>
          <w:kern w:val="22"/>
          <w:lang w:val="fr-FR"/>
        </w:rPr>
        <w:t xml:space="preserve"> 38</w:t>
      </w:r>
      <w:r w:rsidR="00667501">
        <w:rPr>
          <w:snapToGrid w:val="0"/>
          <w:kern w:val="22"/>
          <w:lang w:val="fr-FR"/>
        </w:rPr>
        <w:t> %</w:t>
      </w:r>
      <w:r w:rsidR="003C1E11">
        <w:rPr>
          <w:snapToGrid w:val="0"/>
          <w:kern w:val="22"/>
          <w:lang w:val="fr-FR"/>
        </w:rPr>
        <w:t> ;</w:t>
      </w:r>
      <w:r w:rsidRPr="00FE094F">
        <w:rPr>
          <w:snapToGrid w:val="0"/>
          <w:kern w:val="22"/>
          <w:lang w:val="fr-FR"/>
        </w:rPr>
        <w:t xml:space="preserve"> dans la région Europe de l'Est</w:t>
      </w:r>
      <w:r w:rsidR="00CA1B90">
        <w:rPr>
          <w:snapToGrid w:val="0"/>
          <w:kern w:val="22"/>
          <w:lang w:val="fr-FR"/>
        </w:rPr>
        <w:t> :</w:t>
      </w:r>
      <w:r w:rsidRPr="00FE094F">
        <w:rPr>
          <w:snapToGrid w:val="0"/>
          <w:kern w:val="22"/>
          <w:lang w:val="fr-FR"/>
        </w:rPr>
        <w:t xml:space="preserve"> 68</w:t>
      </w:r>
      <w:r w:rsidR="00667501">
        <w:rPr>
          <w:snapToGrid w:val="0"/>
          <w:kern w:val="22"/>
          <w:lang w:val="fr-FR"/>
        </w:rPr>
        <w:t> %</w:t>
      </w:r>
      <w:r w:rsidR="003C1E11">
        <w:rPr>
          <w:snapToGrid w:val="0"/>
          <w:kern w:val="22"/>
          <w:lang w:val="fr-FR"/>
        </w:rPr>
        <w:t> ;</w:t>
      </w:r>
      <w:r w:rsidRPr="00FE094F">
        <w:rPr>
          <w:snapToGrid w:val="0"/>
          <w:kern w:val="22"/>
          <w:lang w:val="fr-FR"/>
        </w:rPr>
        <w:t xml:space="preserve"> dans la région Amérique latine et Caraïbes</w:t>
      </w:r>
      <w:r w:rsidR="00CA1B90">
        <w:rPr>
          <w:snapToGrid w:val="0"/>
          <w:kern w:val="22"/>
          <w:lang w:val="fr-FR"/>
        </w:rPr>
        <w:t> :</w:t>
      </w:r>
      <w:r w:rsidRPr="00FE094F">
        <w:rPr>
          <w:snapToGrid w:val="0"/>
          <w:kern w:val="22"/>
          <w:lang w:val="fr-FR"/>
        </w:rPr>
        <w:t xml:space="preserve"> 35</w:t>
      </w:r>
      <w:r w:rsidR="00667501">
        <w:rPr>
          <w:snapToGrid w:val="0"/>
          <w:kern w:val="22"/>
          <w:lang w:val="fr-FR"/>
        </w:rPr>
        <w:t> %</w:t>
      </w:r>
      <w:r w:rsidR="003C1E11">
        <w:rPr>
          <w:snapToGrid w:val="0"/>
          <w:kern w:val="22"/>
          <w:lang w:val="fr-FR"/>
        </w:rPr>
        <w:t> ;</w:t>
      </w:r>
      <w:r w:rsidRPr="00FE094F">
        <w:rPr>
          <w:snapToGrid w:val="0"/>
          <w:kern w:val="22"/>
          <w:lang w:val="fr-FR"/>
        </w:rPr>
        <w:t xml:space="preserve"> et dans la région Europe occidentale et autres États</w:t>
      </w:r>
      <w:r w:rsidR="00CA1B90">
        <w:rPr>
          <w:snapToGrid w:val="0"/>
          <w:kern w:val="22"/>
          <w:lang w:val="fr-FR"/>
        </w:rPr>
        <w:t> :</w:t>
      </w:r>
      <w:r w:rsidRPr="00FE094F">
        <w:rPr>
          <w:snapToGrid w:val="0"/>
          <w:kern w:val="22"/>
          <w:lang w:val="fr-FR"/>
        </w:rPr>
        <w:t xml:space="preserve"> 89</w:t>
      </w:r>
      <w:r w:rsidR="00667501">
        <w:rPr>
          <w:snapToGrid w:val="0"/>
          <w:kern w:val="22"/>
          <w:lang w:val="fr-FR"/>
        </w:rPr>
        <w:t> %</w:t>
      </w:r>
      <w:r w:rsidRPr="00FE094F">
        <w:rPr>
          <w:snapToGrid w:val="0"/>
          <w:kern w:val="22"/>
          <w:lang w:val="fr-FR"/>
        </w:rPr>
        <w:t>.</w:t>
      </w:r>
    </w:p>
    <w:p w14:paraId="4D68D3DC" w14:textId="3E94D9CB" w:rsidR="00691000" w:rsidRPr="00AB6DF4" w:rsidRDefault="00AB6DF4" w:rsidP="00FA2932">
      <w:pPr>
        <w:pStyle w:val="CBDNormalNumber"/>
        <w:rPr>
          <w:lang w:val="fr-FR"/>
        </w:rPr>
      </w:pPr>
      <w:r w:rsidRPr="00AB6DF4">
        <w:rPr>
          <w:snapToGrid w:val="0"/>
          <w:kern w:val="22"/>
          <w:lang w:val="fr-FR"/>
        </w:rPr>
        <w:t>Pour l'indicateur B.3</w:t>
      </w:r>
      <w:r w:rsidR="0057100B">
        <w:rPr>
          <w:snapToGrid w:val="0"/>
          <w:kern w:val="22"/>
          <w:lang w:val="fr-FR"/>
        </w:rPr>
        <w:t> </w:t>
      </w:r>
      <w:r w:rsidRPr="00AB6DF4">
        <w:rPr>
          <w:snapToGrid w:val="0"/>
          <w:kern w:val="22"/>
          <w:lang w:val="fr-FR"/>
        </w:rPr>
        <w:t>g) (pourcentage des Parties ayant informé le public des moyens d'accéder au Centre d'échange pour la prévention des risques biotechnologiques), les informations fournies en réponse à la question</w:t>
      </w:r>
      <w:r w:rsidR="0057100B">
        <w:rPr>
          <w:snapToGrid w:val="0"/>
          <w:kern w:val="22"/>
          <w:lang w:val="fr-FR"/>
        </w:rPr>
        <w:t> </w:t>
      </w:r>
      <w:r w:rsidRPr="00AB6DF4">
        <w:rPr>
          <w:snapToGrid w:val="0"/>
          <w:kern w:val="22"/>
          <w:lang w:val="fr-FR"/>
        </w:rPr>
        <w:t>133 du cinquième rapport national ont été utilisées pour mesurer les progrès accomplis. Soixante-sept pour cent des Parties (84) ont indiqué avoir informé le public des moyens d'accéder au Centre d'échange pour la prévention des risques biotechnologiques (soit une augmentation de 4</w:t>
      </w:r>
      <w:r w:rsidR="00667501">
        <w:rPr>
          <w:snapToGrid w:val="0"/>
          <w:kern w:val="22"/>
          <w:lang w:val="fr-FR"/>
        </w:rPr>
        <w:t> %</w:t>
      </w:r>
      <w:r w:rsidRPr="00AB6DF4">
        <w:rPr>
          <w:snapToGrid w:val="0"/>
          <w:kern w:val="22"/>
          <w:lang w:val="fr-FR"/>
        </w:rPr>
        <w:t xml:space="preserve"> par rapport à la référence)</w:t>
      </w:r>
      <w:r>
        <w:rPr>
          <w:snapToGrid w:val="0"/>
          <w:kern w:val="22"/>
          <w:lang w:val="fr-FR"/>
        </w:rPr>
        <w:t>.</w:t>
      </w:r>
    </w:p>
    <w:p w14:paraId="6C79CA56" w14:textId="768C4FD3" w:rsidR="01E9E9DC" w:rsidRPr="00F8252B" w:rsidRDefault="003D1D44" w:rsidP="00FA2932">
      <w:pPr>
        <w:pStyle w:val="CBDNormalNumber"/>
        <w:rPr>
          <w:lang w:val="fr-FR"/>
        </w:rPr>
      </w:pPr>
      <w:r w:rsidRPr="003D1D44">
        <w:rPr>
          <w:lang w:val="fr-FR"/>
        </w:rPr>
        <w:t xml:space="preserve">Dans leurs réponses sous forme de texte libre, certaines Parties ont souligné à quel point le projet du PNUE-FEM visant à renforcer les capacités de manière durable pour une participation efficace au Centre d’échange sur la prévention des risques biotechnologiques III avait joué un rôle déterminant à cet égard. Certaines Parties ont indiqué que le public avait été informé de </w:t>
      </w:r>
      <w:r w:rsidR="003412D1">
        <w:rPr>
          <w:lang w:val="fr-FR"/>
        </w:rPr>
        <w:t xml:space="preserve">l’accessibilité </w:t>
      </w:r>
      <w:r w:rsidRPr="003D1D44">
        <w:rPr>
          <w:lang w:val="fr-FR"/>
        </w:rPr>
        <w:t>publi</w:t>
      </w:r>
      <w:r w:rsidR="003412D1">
        <w:rPr>
          <w:lang w:val="fr-FR"/>
        </w:rPr>
        <w:t xml:space="preserve">que </w:t>
      </w:r>
      <w:r w:rsidRPr="003D1D44">
        <w:rPr>
          <w:lang w:val="fr-FR"/>
        </w:rPr>
        <w:t>au Centre d’échange sur la prévention des risques biotechnologiques par le biais de sessions de formation et de campagnes d’information. En outre, les Parties ont indiqué qu’elles avaient élaboré des stratégies, des plans ou des programmes de communication et de vulgarisation concernant le Centre d’échange sur la prévention des risques biotechnologiques.</w:t>
      </w:r>
    </w:p>
    <w:p w14:paraId="661F6BF0" w14:textId="146CCCBC" w:rsidR="00CD71EC" w:rsidRPr="003763DB" w:rsidRDefault="003763DB" w:rsidP="00FA2932">
      <w:pPr>
        <w:pStyle w:val="CBDNormalNumber"/>
        <w:rPr>
          <w:lang w:val="fr-FR"/>
        </w:rPr>
      </w:pPr>
      <w:r w:rsidRPr="003763DB">
        <w:rPr>
          <w:lang w:val="fr-FR"/>
        </w:rPr>
        <w:t>Pour le but</w:t>
      </w:r>
      <w:r w:rsidR="002940EF">
        <w:rPr>
          <w:lang w:val="fr-FR"/>
        </w:rPr>
        <w:t> </w:t>
      </w:r>
      <w:r w:rsidRPr="003763DB">
        <w:rPr>
          <w:lang w:val="fr-FR"/>
        </w:rPr>
        <w:t>B.3, cinq domaines clés de renforcement des capacités ont été identifiés dans le cadre du plan d'action pour le renforcement des capacités</w:t>
      </w:r>
      <w:r w:rsidR="00CA1B90">
        <w:rPr>
          <w:lang w:val="fr-FR"/>
        </w:rPr>
        <w:t> :</w:t>
      </w:r>
      <w:r w:rsidRPr="003763DB">
        <w:rPr>
          <w:lang w:val="fr-FR"/>
        </w:rPr>
        <w:t xml:space="preserve"> a) la mise en place de systèmes nationaux visant à promouvoir la sensibilisation, l'éducation et la participation du public</w:t>
      </w:r>
      <w:r w:rsidR="002940EF">
        <w:rPr>
          <w:lang w:val="fr-FR"/>
        </w:rPr>
        <w:t> </w:t>
      </w:r>
      <w:r w:rsidRPr="003763DB">
        <w:rPr>
          <w:lang w:val="fr-FR"/>
        </w:rPr>
        <w:t>; b) l'élaboration et la diffusion de ressources et de supports de formation sur la sensibilisation, l'éducation et la participation du public</w:t>
      </w:r>
      <w:r w:rsidR="002940EF">
        <w:rPr>
          <w:lang w:val="fr-FR"/>
        </w:rPr>
        <w:t> </w:t>
      </w:r>
      <w:r w:rsidRPr="003763DB">
        <w:rPr>
          <w:lang w:val="fr-FR"/>
        </w:rPr>
        <w:t>; c) la mise en place de formations sur la prévention des risques biotechnologiques</w:t>
      </w:r>
      <w:r w:rsidR="002940EF">
        <w:rPr>
          <w:lang w:val="fr-FR"/>
        </w:rPr>
        <w:t> </w:t>
      </w:r>
      <w:r w:rsidRPr="003763DB">
        <w:rPr>
          <w:lang w:val="fr-FR"/>
        </w:rPr>
        <w:t>; d) le renforcement des mécanismes de participation à l'élaboration des politiques</w:t>
      </w:r>
      <w:r w:rsidR="002940EF">
        <w:rPr>
          <w:lang w:val="fr-FR"/>
        </w:rPr>
        <w:t> </w:t>
      </w:r>
      <w:r w:rsidRPr="003763DB">
        <w:rPr>
          <w:lang w:val="fr-FR"/>
        </w:rPr>
        <w:t>; et e) l'élaboration de programmes de sensibilisation du public.</w:t>
      </w:r>
    </w:p>
    <w:p w14:paraId="37695C2B" w14:textId="14CB0925" w:rsidR="008167DC" w:rsidRPr="00F7762E" w:rsidRDefault="00F7762E" w:rsidP="00FA2932">
      <w:pPr>
        <w:pStyle w:val="CBDNormalNumber"/>
        <w:rPr>
          <w:lang w:val="fr-FR"/>
        </w:rPr>
      </w:pPr>
      <w:r w:rsidRPr="00F7762E">
        <w:rPr>
          <w:lang w:val="fr-FR"/>
        </w:rPr>
        <w:t>Parmi les Parties ayant établi des rapports indiquant avoir mené des activités visant à développer et/ou à renforcer les ressources humaines et les capacités institutionnelles en matière de prévention des risques biotechnologiques, 59</w:t>
      </w:r>
      <w:r w:rsidR="00667501">
        <w:rPr>
          <w:lang w:val="fr-FR"/>
        </w:rPr>
        <w:t> %</w:t>
      </w:r>
      <w:r w:rsidRPr="00F7762E">
        <w:rPr>
          <w:lang w:val="fr-FR"/>
        </w:rPr>
        <w:t xml:space="preserve"> ont précisé que ces activités avaient été menées dans le domaine de la sensibilisation, de l’éducation et de la participation du public (soit une baisse de 7</w:t>
      </w:r>
      <w:r w:rsidR="00667501">
        <w:rPr>
          <w:lang w:val="fr-FR"/>
        </w:rPr>
        <w:t> %</w:t>
      </w:r>
      <w:r w:rsidRPr="00F7762E">
        <w:rPr>
          <w:lang w:val="fr-FR"/>
        </w:rPr>
        <w:t xml:space="preserve"> par rapport à la référence). Parmi les Parties ayant indiqué qu’elles avaient encore des besoins en matière de renforcement des capacités, 85</w:t>
      </w:r>
      <w:r w:rsidR="00667501">
        <w:rPr>
          <w:lang w:val="fr-FR"/>
        </w:rPr>
        <w:t> %</w:t>
      </w:r>
      <w:r w:rsidRPr="00F7762E">
        <w:rPr>
          <w:lang w:val="fr-FR"/>
        </w:rPr>
        <w:t xml:space="preserve"> ont signalé que ces besoins concernaient le domaine de la sensibilisation, de l’éducation et de la participation du public (ce qui représente une augmentation de 8</w:t>
      </w:r>
      <w:r w:rsidR="00667501">
        <w:rPr>
          <w:lang w:val="fr-FR"/>
        </w:rPr>
        <w:t> %</w:t>
      </w:r>
      <w:r w:rsidRPr="00F7762E">
        <w:rPr>
          <w:lang w:val="fr-FR"/>
        </w:rPr>
        <w:t>).</w:t>
      </w:r>
    </w:p>
    <w:p w14:paraId="1DCCA80D" w14:textId="38E9BFE9" w:rsidR="00671EE6" w:rsidRPr="00372ECE" w:rsidRDefault="00372ECE" w:rsidP="00FA2932">
      <w:pPr>
        <w:pStyle w:val="CBDNormalNumber"/>
        <w:rPr>
          <w:lang w:val="fr-FR"/>
        </w:rPr>
      </w:pPr>
      <w:r w:rsidRPr="00372ECE">
        <w:rPr>
          <w:lang w:val="fr-FR"/>
        </w:rPr>
        <w:t>Le Secrétariat a pris part à plusieurs activités visant à fournir un appui aux Parties dans leurs efforts pour mettre en œuvre les dispositions du Protocole relatives à la participation du public, à la sensibilisation et à l’éducation, notamment par le biais d’une collaboration avec la Commission économique pour l’Europe et le secrétariat de la Convention sur l’accès à l’information, la participation du public à l’élaboration des politiques et l’accès à la justice en matière d’environnement (Convention d’Aarhus) pour l’élaboration d’un guide de poche sur la promotion d’un accès effectif à l’information et de la participation du public concernant les organismes vivants modifiés/organismes génétiquement modifiés, ainsi que pour l’organisation en 2023 d’une table ronde conjointe de la Convention d’Aarhus et de la Convention sur la diversité biologique consacrée à la sensibilisation du public, à l’éducation, à l’accès à l’information, à la participation du public et à l’accès à la justice, sans oublier les activités en ligne.</w:t>
      </w:r>
    </w:p>
    <w:p w14:paraId="1844C921" w14:textId="18C07DF6" w:rsidR="00544085" w:rsidRPr="00F8252B" w:rsidRDefault="0094543F" w:rsidP="00FA2932">
      <w:pPr>
        <w:pStyle w:val="CBDH2"/>
        <w:jc w:val="left"/>
        <w:rPr>
          <w:b w:val="0"/>
          <w:lang w:val="fr-FR"/>
        </w:rPr>
      </w:pPr>
      <w:r w:rsidRPr="00F8252B">
        <w:rPr>
          <w:lang w:val="fr-FR"/>
        </w:rPr>
        <w:t>N.</w:t>
      </w:r>
      <w:r w:rsidRPr="00F8252B">
        <w:rPr>
          <w:lang w:val="fr-FR"/>
        </w:rPr>
        <w:tab/>
      </w:r>
      <w:r w:rsidR="002F5F3E" w:rsidRPr="00F8252B">
        <w:rPr>
          <w:lang w:val="fr-FR"/>
        </w:rPr>
        <w:t>But </w:t>
      </w:r>
      <w:r w:rsidR="004B3E33" w:rsidRPr="00F8252B">
        <w:rPr>
          <w:lang w:val="fr-FR"/>
        </w:rPr>
        <w:t xml:space="preserve">B.4. </w:t>
      </w:r>
      <w:r w:rsidR="002F5F3E" w:rsidRPr="00F8252B">
        <w:rPr>
          <w:lang w:val="fr-FR"/>
        </w:rPr>
        <w:t>Les Parties renforcent la coopération et la coordination sur les questions de prévention des risques biotechnologiques aux niveaux national, régional et international</w:t>
      </w:r>
    </w:p>
    <w:p w14:paraId="32BC10A5" w14:textId="7532F824" w:rsidR="005D0F5C" w:rsidRPr="00F8252B" w:rsidRDefault="0094543F" w:rsidP="00EE5917">
      <w:pPr>
        <w:pStyle w:val="CBDH4"/>
        <w:rPr>
          <w:snapToGrid w:val="0"/>
          <w:lang w:val="fr-FR"/>
        </w:rPr>
      </w:pPr>
      <w:r w:rsidRPr="00F8252B">
        <w:rPr>
          <w:snapToGrid w:val="0"/>
          <w:lang w:val="fr-FR"/>
        </w:rPr>
        <w:t>a)</w:t>
      </w:r>
      <w:r w:rsidRPr="00F8252B">
        <w:rPr>
          <w:snapToGrid w:val="0"/>
          <w:lang w:val="fr-FR"/>
        </w:rPr>
        <w:tab/>
      </w:r>
      <w:r w:rsidR="001E553C" w:rsidRPr="00F8252B">
        <w:rPr>
          <w:snapToGrid w:val="0"/>
          <w:lang w:val="fr-FR"/>
        </w:rPr>
        <w:t xml:space="preserve">Chiffres clés et </w:t>
      </w:r>
      <w:r w:rsidR="0035077E" w:rsidRPr="00F8252B">
        <w:rPr>
          <w:snapToGrid w:val="0"/>
          <w:lang w:val="fr-FR"/>
        </w:rPr>
        <w:t>éléments importants</w:t>
      </w:r>
    </w:p>
    <w:p w14:paraId="03AE36AD" w14:textId="5E5E5981" w:rsidR="00C479F3" w:rsidRPr="00F8252B" w:rsidRDefault="00B745DF" w:rsidP="00EE5917">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fr-FR"/>
        </w:rPr>
      </w:pPr>
      <w:r w:rsidRPr="00B745DF">
        <w:rPr>
          <w:lang w:val="fr-FR"/>
        </w:rPr>
        <w:t>Soixante-cinq pour cent des Parties ont indiqué avoir coopéré avec d’autres Parties dans le cadre de l’échange de connaissances scientifiques, techniques et institutionnelles lors de la période à l’étude</w:t>
      </w:r>
      <w:r>
        <w:rPr>
          <w:lang w:val="fr-FR"/>
        </w:rPr>
        <w:t>.</w:t>
      </w:r>
    </w:p>
    <w:p w14:paraId="4A8BACB8" w14:textId="10D2F90C" w:rsidR="000B6763" w:rsidRPr="00F8252B" w:rsidRDefault="007B0A72" w:rsidP="00EE5917">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fr-FR"/>
        </w:rPr>
      </w:pPr>
      <w:r w:rsidRPr="007B0A72">
        <w:rPr>
          <w:lang w:val="fr-FR"/>
        </w:rPr>
        <w:lastRenderedPageBreak/>
        <w:t>Soixante-trois pour cent des Parties ont indiqué avoir mené des activités bilatérales, régionales ou multilatérales en vue de la mise en œuvre du Protocole au cours de la période considérée.</w:t>
      </w:r>
    </w:p>
    <w:p w14:paraId="301EAA0A" w14:textId="15B4C450" w:rsidR="00D65F44" w:rsidRPr="00F54898" w:rsidRDefault="00F54898" w:rsidP="00EE5917">
      <w:pPr>
        <w:pStyle w:val="Paragraphedeliste"/>
        <w:numPr>
          <w:ilvl w:val="0"/>
          <w:numId w:val="11"/>
        </w:numPr>
        <w:suppressLineNumbers/>
        <w:suppressAutoHyphens/>
        <w:snapToGrid w:val="0"/>
        <w:spacing w:before="120" w:after="120"/>
        <w:ind w:left="993" w:hanging="425"/>
        <w:contextualSpacing w:val="0"/>
        <w:rPr>
          <w:snapToGrid w:val="0"/>
          <w:kern w:val="22"/>
          <w:lang w:val="fr-FR"/>
        </w:rPr>
      </w:pPr>
      <w:r w:rsidRPr="00F54898">
        <w:rPr>
          <w:lang w:val="fr-FR"/>
        </w:rPr>
        <w:t>Soixante-treize pour cent des Parties ont indiqué disposer de mécanismes permettant d'associer les parties prenantes concernées des différents secteurs à la mise en œuvre du Protocole</w:t>
      </w:r>
      <w:r>
        <w:rPr>
          <w:lang w:val="fr-FR"/>
        </w:rPr>
        <w:t> </w:t>
      </w:r>
      <w:r w:rsidRPr="00F54898">
        <w:rPr>
          <w:lang w:val="fr-FR"/>
        </w:rPr>
        <w:t>; et 33</w:t>
      </w:r>
      <w:r w:rsidR="00667501">
        <w:rPr>
          <w:lang w:val="fr-FR"/>
        </w:rPr>
        <w:t> %</w:t>
      </w:r>
      <w:r w:rsidRPr="00F54898">
        <w:rPr>
          <w:lang w:val="fr-FR"/>
        </w:rPr>
        <w:t xml:space="preserve"> des Parties ont indiqué disposer de mécanismes permettant d'associer les peuples autochtones et les communautés locales à la mise en œuvre du Protocole</w:t>
      </w:r>
      <w:r w:rsidR="000A5B64">
        <w:rPr>
          <w:lang w:val="fr-FR"/>
        </w:rPr>
        <w:t>.</w:t>
      </w:r>
    </w:p>
    <w:p w14:paraId="629F0DFE" w14:textId="5BEC107F" w:rsidR="00D65F44" w:rsidRPr="00F8252B" w:rsidRDefault="007712B4" w:rsidP="00EE5917">
      <w:pPr>
        <w:pStyle w:val="Paragraphedeliste"/>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lang w:val="fr-FR"/>
        </w:rPr>
      </w:pPr>
      <w:r w:rsidRPr="007712B4">
        <w:rPr>
          <w:lang w:val="fr-FR"/>
        </w:rPr>
        <w:t>Cinquante-six pour cent des Parties ont indiqué avoir intégré la prévention des risques biotechnologiques à leurs stratégies, plans d'action, programmes, politiques ou législations nationaux, sectoriels et intersectoriels, et 38</w:t>
      </w:r>
      <w:r w:rsidR="00667501">
        <w:rPr>
          <w:lang w:val="fr-FR"/>
        </w:rPr>
        <w:t> %</w:t>
      </w:r>
      <w:r w:rsidRPr="007712B4">
        <w:rPr>
          <w:lang w:val="fr-FR"/>
        </w:rPr>
        <w:t xml:space="preserve"> des Parties ont indiqué l'avoir fait dans une certaine mesure</w:t>
      </w:r>
      <w:r w:rsidR="000A5B64">
        <w:rPr>
          <w:lang w:val="fr-FR"/>
        </w:rPr>
        <w:t>.</w:t>
      </w:r>
    </w:p>
    <w:p w14:paraId="4D7431BC" w14:textId="7EF6C65E" w:rsidR="00C479F3" w:rsidRPr="00F8252B" w:rsidRDefault="00C479F3" w:rsidP="00EE5917">
      <w:pPr>
        <w:pStyle w:val="CBDH4"/>
        <w:rPr>
          <w:snapToGrid w:val="0"/>
          <w:lang w:val="fr-FR"/>
        </w:rPr>
      </w:pPr>
      <w:r w:rsidRPr="00F8252B">
        <w:rPr>
          <w:snapToGrid w:val="0"/>
          <w:lang w:val="fr-FR"/>
        </w:rPr>
        <w:t>b)</w:t>
      </w:r>
      <w:r w:rsidRPr="00F8252B">
        <w:rPr>
          <w:snapToGrid w:val="0"/>
          <w:lang w:val="fr-FR"/>
        </w:rPr>
        <w:tab/>
        <w:t>Analys</w:t>
      </w:r>
      <w:r w:rsidR="003D531F" w:rsidRPr="00F8252B">
        <w:rPr>
          <w:snapToGrid w:val="0"/>
          <w:lang w:val="fr-FR"/>
        </w:rPr>
        <w:t xml:space="preserve">e des </w:t>
      </w:r>
      <w:r w:rsidRPr="00F8252B">
        <w:rPr>
          <w:snapToGrid w:val="0"/>
          <w:lang w:val="fr-FR"/>
        </w:rPr>
        <w:t>information</w:t>
      </w:r>
      <w:r w:rsidR="003D531F" w:rsidRPr="00F8252B">
        <w:rPr>
          <w:snapToGrid w:val="0"/>
          <w:lang w:val="fr-FR"/>
        </w:rPr>
        <w:t>s</w:t>
      </w:r>
    </w:p>
    <w:p w14:paraId="3EDA35F5" w14:textId="239D3A39" w:rsidR="001B5523" w:rsidRPr="00F8252B" w:rsidRDefault="00421979" w:rsidP="00EE5917">
      <w:pPr>
        <w:pStyle w:val="CBDNormalNumber"/>
        <w:rPr>
          <w:bCs/>
          <w:iCs/>
          <w:snapToGrid w:val="0"/>
          <w:kern w:val="22"/>
          <w:lang w:val="fr-FR"/>
        </w:rPr>
      </w:pPr>
      <w:r w:rsidRPr="00F8252B">
        <w:rPr>
          <w:snapToGrid w:val="0"/>
          <w:kern w:val="22"/>
          <w:lang w:val="fr-FR"/>
        </w:rPr>
        <w:t xml:space="preserve"> </w:t>
      </w:r>
      <w:r w:rsidR="00B02474" w:rsidRPr="00B02474">
        <w:rPr>
          <w:snapToGrid w:val="0"/>
          <w:kern w:val="22"/>
          <w:lang w:val="fr-FR"/>
        </w:rPr>
        <w:t>Le but</w:t>
      </w:r>
      <w:r w:rsidR="00B02474">
        <w:rPr>
          <w:snapToGrid w:val="0"/>
          <w:kern w:val="22"/>
          <w:lang w:val="fr-FR"/>
        </w:rPr>
        <w:t> </w:t>
      </w:r>
      <w:r w:rsidR="00B02474" w:rsidRPr="00B02474">
        <w:rPr>
          <w:snapToGrid w:val="0"/>
          <w:kern w:val="22"/>
          <w:lang w:val="fr-FR"/>
        </w:rPr>
        <w:t>B.4 comprend trois objectifs à atteindre pour réaliser ce but, ainsi que quatre indicateurs permettant de mesurer les progrès accomplis dans la réalisation de ces objectifs. Il n’existe pas de référence pour ces indicateurs, car aucune question y afférente n’a été incluse dans le format du quatrième rapport national. Pour l’indicateur B.4</w:t>
      </w:r>
      <w:r w:rsidR="00B02474">
        <w:rPr>
          <w:snapToGrid w:val="0"/>
          <w:kern w:val="22"/>
          <w:lang w:val="fr-FR"/>
        </w:rPr>
        <w:t> </w:t>
      </w:r>
      <w:r w:rsidR="00B02474" w:rsidRPr="00B02474">
        <w:rPr>
          <w:snapToGrid w:val="0"/>
          <w:kern w:val="22"/>
          <w:lang w:val="fr-FR"/>
        </w:rPr>
        <w:t>a) (pourcentage des Parties coopérant à l’échange de connaissances scientifiques, techniques et institutionnelles), les informations fournies en réponse à la question 155</w:t>
      </w:r>
      <w:r w:rsidR="00B02474">
        <w:rPr>
          <w:snapToGrid w:val="0"/>
          <w:kern w:val="22"/>
          <w:lang w:val="fr-FR"/>
        </w:rPr>
        <w:t> </w:t>
      </w:r>
      <w:r w:rsidR="00B02474" w:rsidRPr="00B02474">
        <w:rPr>
          <w:snapToGrid w:val="0"/>
          <w:kern w:val="22"/>
          <w:lang w:val="fr-FR"/>
        </w:rPr>
        <w:t>a) du format du cinquième rapport national ont été utilisées pour mesurer les progrès. Soixante-cinq pour cent des Parties ont indiqué avoir coopéré avec d’autres Parties à l’échange de connaissances scientifiques, techniques et institutionnelles au cours de la période d’établissement de rapports. Au niveau régional, cette proportion oscillait entre 48</w:t>
      </w:r>
      <w:r w:rsidR="00B02474">
        <w:rPr>
          <w:snapToGrid w:val="0"/>
          <w:kern w:val="22"/>
          <w:lang w:val="fr-FR"/>
        </w:rPr>
        <w:t> </w:t>
      </w:r>
      <w:r w:rsidR="00B02474" w:rsidRPr="00B02474">
        <w:rPr>
          <w:snapToGrid w:val="0"/>
          <w:kern w:val="22"/>
          <w:lang w:val="fr-FR"/>
        </w:rPr>
        <w:t>et 68</w:t>
      </w:r>
      <w:r w:rsidR="00667501">
        <w:rPr>
          <w:snapToGrid w:val="0"/>
          <w:kern w:val="22"/>
          <w:lang w:val="fr-FR"/>
        </w:rPr>
        <w:t> %</w:t>
      </w:r>
      <w:r w:rsidR="00B02474" w:rsidRPr="00B02474">
        <w:rPr>
          <w:snapToGrid w:val="0"/>
          <w:kern w:val="22"/>
          <w:lang w:val="fr-FR"/>
        </w:rPr>
        <w:t>, à l’exception de la région de l’Europe occidentale et des autres États, où elle atteignait 100</w:t>
      </w:r>
      <w:r w:rsidR="00667501">
        <w:rPr>
          <w:snapToGrid w:val="0"/>
          <w:kern w:val="22"/>
          <w:lang w:val="fr-FR"/>
        </w:rPr>
        <w:t> %</w:t>
      </w:r>
      <w:r w:rsidR="00B02474" w:rsidRPr="00B02474">
        <w:rPr>
          <w:snapToGrid w:val="0"/>
          <w:kern w:val="22"/>
          <w:lang w:val="fr-FR"/>
        </w:rPr>
        <w:t>.</w:t>
      </w:r>
      <w:r w:rsidR="008C51BD" w:rsidRPr="00F8252B">
        <w:rPr>
          <w:lang w:val="fr-FR"/>
        </w:rPr>
        <w:t xml:space="preserve"> </w:t>
      </w:r>
    </w:p>
    <w:p w14:paraId="69D40983" w14:textId="6401E9D8" w:rsidR="005806DF" w:rsidRPr="00F8252B" w:rsidRDefault="009F4F96" w:rsidP="00EE5917">
      <w:pPr>
        <w:pStyle w:val="CBDNormalNumber"/>
        <w:rPr>
          <w:bCs/>
          <w:iCs/>
          <w:snapToGrid w:val="0"/>
          <w:kern w:val="22"/>
          <w:lang w:val="fr-FR"/>
        </w:rPr>
      </w:pPr>
      <w:r w:rsidRPr="00F8252B">
        <w:rPr>
          <w:bCs/>
          <w:iCs/>
          <w:snapToGrid w:val="0"/>
          <w:kern w:val="22"/>
          <w:lang w:val="fr-FR"/>
        </w:rPr>
        <w:t xml:space="preserve"> </w:t>
      </w:r>
      <w:r w:rsidR="00044DE5" w:rsidRPr="00044DE5">
        <w:rPr>
          <w:bCs/>
          <w:iCs/>
          <w:snapToGrid w:val="0"/>
          <w:kern w:val="22"/>
          <w:lang w:val="fr-FR"/>
        </w:rPr>
        <w:t>Pour l’indicateur B.4</w:t>
      </w:r>
      <w:r w:rsidR="00044DE5">
        <w:rPr>
          <w:bCs/>
          <w:iCs/>
          <w:snapToGrid w:val="0"/>
          <w:kern w:val="22"/>
          <w:lang w:val="fr-FR"/>
        </w:rPr>
        <w:t> </w:t>
      </w:r>
      <w:r w:rsidR="00044DE5" w:rsidRPr="00044DE5">
        <w:rPr>
          <w:bCs/>
          <w:iCs/>
          <w:snapToGrid w:val="0"/>
          <w:kern w:val="22"/>
          <w:lang w:val="fr-FR"/>
        </w:rPr>
        <w:t>b) (pourcentage des Parties menant des activités bilatérales, régionales ou multilatérales en vue de la mise en œuvre du Protocole), les informations fournies en réponse à la question</w:t>
      </w:r>
      <w:r w:rsidR="00F63423">
        <w:rPr>
          <w:bCs/>
          <w:iCs/>
          <w:snapToGrid w:val="0"/>
          <w:kern w:val="22"/>
          <w:lang w:val="fr-FR"/>
        </w:rPr>
        <w:t> </w:t>
      </w:r>
      <w:r w:rsidR="00044DE5" w:rsidRPr="00044DE5">
        <w:rPr>
          <w:bCs/>
          <w:iCs/>
          <w:snapToGrid w:val="0"/>
          <w:kern w:val="22"/>
          <w:lang w:val="fr-FR"/>
        </w:rPr>
        <w:t>156 du cinquième modèle de rapport national ont été utilisées pour mesurer les progrès accomplis. Soixante-trois pour cent des Parties ont indiqué avoir mené des activités bilatérales, régionales ou multilatérales pour la mise en œuvre du Protocole au cours de la période considérée. Au niveau régional, cette proportion oscillait entre 47 et 68</w:t>
      </w:r>
      <w:r w:rsidR="00667501">
        <w:rPr>
          <w:bCs/>
          <w:iCs/>
          <w:snapToGrid w:val="0"/>
          <w:kern w:val="22"/>
          <w:lang w:val="fr-FR"/>
        </w:rPr>
        <w:t> %</w:t>
      </w:r>
      <w:r w:rsidR="00044DE5" w:rsidRPr="00044DE5">
        <w:rPr>
          <w:bCs/>
          <w:iCs/>
          <w:snapToGrid w:val="0"/>
          <w:kern w:val="22"/>
          <w:lang w:val="fr-FR"/>
        </w:rPr>
        <w:t>, à l’exception de la région Amérique latine et Caraïbes, où elle s’élevait à 83</w:t>
      </w:r>
      <w:r w:rsidR="00667501">
        <w:rPr>
          <w:bCs/>
          <w:iCs/>
          <w:snapToGrid w:val="0"/>
          <w:kern w:val="22"/>
          <w:lang w:val="fr-FR"/>
        </w:rPr>
        <w:t> %</w:t>
      </w:r>
      <w:r w:rsidR="00044DE5" w:rsidRPr="00044DE5">
        <w:rPr>
          <w:bCs/>
          <w:iCs/>
          <w:snapToGrid w:val="0"/>
          <w:kern w:val="22"/>
          <w:lang w:val="fr-FR"/>
        </w:rPr>
        <w:t>.</w:t>
      </w:r>
      <w:r w:rsidR="005806DF" w:rsidRPr="00F8252B">
        <w:rPr>
          <w:lang w:val="fr-FR"/>
        </w:rPr>
        <w:t xml:space="preserve"> </w:t>
      </w:r>
    </w:p>
    <w:p w14:paraId="1196BC95" w14:textId="2A9414F4" w:rsidR="00410E2F" w:rsidRPr="00F8252B" w:rsidRDefault="009F4F96" w:rsidP="00EE5917">
      <w:pPr>
        <w:pStyle w:val="CBDNormalNumber"/>
        <w:rPr>
          <w:bCs/>
          <w:iCs/>
          <w:snapToGrid w:val="0"/>
          <w:kern w:val="22"/>
          <w:lang w:val="fr-FR"/>
        </w:rPr>
      </w:pPr>
      <w:r w:rsidRPr="00F8252B">
        <w:rPr>
          <w:bCs/>
          <w:iCs/>
          <w:snapToGrid w:val="0"/>
          <w:kern w:val="22"/>
          <w:lang w:val="fr-FR"/>
        </w:rPr>
        <w:t xml:space="preserve"> </w:t>
      </w:r>
      <w:r w:rsidR="00452035" w:rsidRPr="00452035">
        <w:rPr>
          <w:bCs/>
          <w:iCs/>
          <w:snapToGrid w:val="0"/>
          <w:kern w:val="22"/>
          <w:lang w:val="fr-FR"/>
        </w:rPr>
        <w:t>Pour l'indicateur B.4</w:t>
      </w:r>
      <w:r w:rsidR="00452035">
        <w:rPr>
          <w:bCs/>
          <w:iCs/>
          <w:snapToGrid w:val="0"/>
          <w:kern w:val="22"/>
          <w:lang w:val="fr-FR"/>
        </w:rPr>
        <w:t> </w:t>
      </w:r>
      <w:r w:rsidR="00452035" w:rsidRPr="00452035">
        <w:rPr>
          <w:bCs/>
          <w:iCs/>
          <w:snapToGrid w:val="0"/>
          <w:kern w:val="22"/>
          <w:lang w:val="fr-FR"/>
        </w:rPr>
        <w:t>c) (pourcentage des Parties disposant de mécanismes visant à associer les peuples autochtones et les communautés locales ainsi que les parties prenantes concernées de différents secteurs à la mise en œuvre du Protocole), ce sont les informations fournies en réponse à la question</w:t>
      </w:r>
      <w:r w:rsidR="00452035">
        <w:rPr>
          <w:bCs/>
          <w:iCs/>
          <w:snapToGrid w:val="0"/>
          <w:kern w:val="22"/>
          <w:lang w:val="fr-FR"/>
        </w:rPr>
        <w:t> </w:t>
      </w:r>
      <w:r w:rsidR="00452035" w:rsidRPr="00452035">
        <w:rPr>
          <w:bCs/>
          <w:iCs/>
          <w:snapToGrid w:val="0"/>
          <w:kern w:val="22"/>
          <w:lang w:val="fr-FR"/>
        </w:rPr>
        <w:t>157 du cinquième modèle de rapport national qui ont été utilisées pour mesurer les progrès accomplis. Trente-trois pour cent des Parties ont indiqué disposer de mécanismes visant à associer les peuples autochtones et les communautés locales à la mise en œuvre du Protocole. Au niveau régional, la proportion de Parties ayant déclaré disposer de tels mécanismes variait considérablement, comme suit</w:t>
      </w:r>
      <w:r w:rsidR="00CA1B90">
        <w:rPr>
          <w:bCs/>
          <w:iCs/>
          <w:snapToGrid w:val="0"/>
          <w:kern w:val="22"/>
          <w:lang w:val="fr-FR"/>
        </w:rPr>
        <w:t> :</w:t>
      </w:r>
      <w:r w:rsidR="00452035" w:rsidRPr="00452035">
        <w:rPr>
          <w:bCs/>
          <w:iCs/>
          <w:snapToGrid w:val="0"/>
          <w:kern w:val="22"/>
          <w:lang w:val="fr-FR"/>
        </w:rPr>
        <w:t xml:space="preserve"> 11</w:t>
      </w:r>
      <w:r w:rsidR="00667501">
        <w:rPr>
          <w:bCs/>
          <w:iCs/>
          <w:snapToGrid w:val="0"/>
          <w:kern w:val="22"/>
          <w:lang w:val="fr-FR"/>
        </w:rPr>
        <w:t> %</w:t>
      </w:r>
      <w:r w:rsidR="00452035" w:rsidRPr="00452035">
        <w:rPr>
          <w:bCs/>
          <w:iCs/>
          <w:snapToGrid w:val="0"/>
          <w:kern w:val="22"/>
          <w:lang w:val="fr-FR"/>
        </w:rPr>
        <w:t xml:space="preserve"> dans la région Europe de l’Est</w:t>
      </w:r>
      <w:r w:rsidR="00452035">
        <w:rPr>
          <w:bCs/>
          <w:iCs/>
          <w:snapToGrid w:val="0"/>
          <w:kern w:val="22"/>
          <w:lang w:val="fr-FR"/>
        </w:rPr>
        <w:t> </w:t>
      </w:r>
      <w:r w:rsidR="00452035" w:rsidRPr="00452035">
        <w:rPr>
          <w:bCs/>
          <w:iCs/>
          <w:snapToGrid w:val="0"/>
          <w:kern w:val="22"/>
          <w:lang w:val="fr-FR"/>
        </w:rPr>
        <w:t>; 16</w:t>
      </w:r>
      <w:r w:rsidR="00667501">
        <w:rPr>
          <w:bCs/>
          <w:iCs/>
          <w:snapToGrid w:val="0"/>
          <w:kern w:val="22"/>
          <w:lang w:val="fr-FR"/>
        </w:rPr>
        <w:t> %</w:t>
      </w:r>
      <w:r w:rsidR="00452035" w:rsidRPr="00452035">
        <w:rPr>
          <w:bCs/>
          <w:iCs/>
          <w:snapToGrid w:val="0"/>
          <w:kern w:val="22"/>
          <w:lang w:val="fr-FR"/>
        </w:rPr>
        <w:t xml:space="preserve"> dans la région Europe occidentale et autres États</w:t>
      </w:r>
      <w:r w:rsidR="00452035">
        <w:rPr>
          <w:bCs/>
          <w:iCs/>
          <w:snapToGrid w:val="0"/>
          <w:kern w:val="22"/>
          <w:lang w:val="fr-FR"/>
        </w:rPr>
        <w:t> </w:t>
      </w:r>
      <w:r w:rsidR="00452035" w:rsidRPr="00452035">
        <w:rPr>
          <w:bCs/>
          <w:iCs/>
          <w:snapToGrid w:val="0"/>
          <w:kern w:val="22"/>
          <w:lang w:val="fr-FR"/>
        </w:rPr>
        <w:t>; 22</w:t>
      </w:r>
      <w:r w:rsidR="00667501">
        <w:rPr>
          <w:bCs/>
          <w:iCs/>
          <w:snapToGrid w:val="0"/>
          <w:kern w:val="22"/>
          <w:lang w:val="fr-FR"/>
        </w:rPr>
        <w:t> %</w:t>
      </w:r>
      <w:r w:rsidR="00452035" w:rsidRPr="00452035">
        <w:rPr>
          <w:bCs/>
          <w:iCs/>
          <w:snapToGrid w:val="0"/>
          <w:kern w:val="22"/>
          <w:lang w:val="fr-FR"/>
        </w:rPr>
        <w:t xml:space="preserve"> dans la région Amérique latine et Caraïbes</w:t>
      </w:r>
      <w:r w:rsidR="00452035">
        <w:rPr>
          <w:bCs/>
          <w:iCs/>
          <w:snapToGrid w:val="0"/>
          <w:kern w:val="22"/>
          <w:lang w:val="fr-FR"/>
        </w:rPr>
        <w:t> </w:t>
      </w:r>
      <w:r w:rsidR="00452035" w:rsidRPr="00452035">
        <w:rPr>
          <w:bCs/>
          <w:iCs/>
          <w:snapToGrid w:val="0"/>
          <w:kern w:val="22"/>
          <w:lang w:val="fr-FR"/>
        </w:rPr>
        <w:t>; 27</w:t>
      </w:r>
      <w:r w:rsidR="00667501">
        <w:rPr>
          <w:bCs/>
          <w:iCs/>
          <w:snapToGrid w:val="0"/>
          <w:kern w:val="22"/>
          <w:lang w:val="fr-FR"/>
        </w:rPr>
        <w:t> %</w:t>
      </w:r>
      <w:r w:rsidR="00452035" w:rsidRPr="00452035">
        <w:rPr>
          <w:bCs/>
          <w:iCs/>
          <w:snapToGrid w:val="0"/>
          <w:kern w:val="22"/>
          <w:lang w:val="fr-FR"/>
        </w:rPr>
        <w:t xml:space="preserve"> dans la région Asie-Pacifique</w:t>
      </w:r>
      <w:r w:rsidR="00452035">
        <w:rPr>
          <w:bCs/>
          <w:iCs/>
          <w:snapToGrid w:val="0"/>
          <w:kern w:val="22"/>
          <w:lang w:val="fr-FR"/>
        </w:rPr>
        <w:t> </w:t>
      </w:r>
      <w:r w:rsidR="00452035" w:rsidRPr="00452035">
        <w:rPr>
          <w:bCs/>
          <w:iCs/>
          <w:snapToGrid w:val="0"/>
          <w:kern w:val="22"/>
          <w:lang w:val="fr-FR"/>
        </w:rPr>
        <w:t>; et 61</w:t>
      </w:r>
      <w:r w:rsidR="00667501">
        <w:rPr>
          <w:bCs/>
          <w:iCs/>
          <w:snapToGrid w:val="0"/>
          <w:kern w:val="22"/>
          <w:lang w:val="fr-FR"/>
        </w:rPr>
        <w:t> %</w:t>
      </w:r>
      <w:r w:rsidR="00452035" w:rsidRPr="00452035">
        <w:rPr>
          <w:bCs/>
          <w:iCs/>
          <w:snapToGrid w:val="0"/>
          <w:kern w:val="22"/>
          <w:lang w:val="fr-FR"/>
        </w:rPr>
        <w:t xml:space="preserve"> dans la région </w:t>
      </w:r>
      <w:r w:rsidR="00452035">
        <w:rPr>
          <w:bCs/>
          <w:iCs/>
          <w:snapToGrid w:val="0"/>
          <w:kern w:val="22"/>
          <w:lang w:val="fr-FR"/>
        </w:rPr>
        <w:t>Afrique</w:t>
      </w:r>
      <w:r w:rsidR="00452035" w:rsidRPr="00452035">
        <w:rPr>
          <w:bCs/>
          <w:iCs/>
          <w:snapToGrid w:val="0"/>
          <w:kern w:val="22"/>
          <w:lang w:val="fr-FR"/>
        </w:rPr>
        <w:t>. En outre, 73</w:t>
      </w:r>
      <w:r w:rsidR="00667501">
        <w:rPr>
          <w:bCs/>
          <w:iCs/>
          <w:snapToGrid w:val="0"/>
          <w:kern w:val="22"/>
          <w:lang w:val="fr-FR"/>
        </w:rPr>
        <w:t> %</w:t>
      </w:r>
      <w:r w:rsidR="00452035" w:rsidRPr="00452035">
        <w:rPr>
          <w:bCs/>
          <w:iCs/>
          <w:snapToGrid w:val="0"/>
          <w:kern w:val="22"/>
          <w:lang w:val="fr-FR"/>
        </w:rPr>
        <w:t xml:space="preserve"> des Parties ont indiqué disposer de mécanismes permettant d’associer les parties prenantes concernées issues de différents secteurs à la mise en œuvre du Protocole. Au niveau régional, la proportion de Parties ayant déclaré disposer de tels mécanismes oscillait entre 58 et 79</w:t>
      </w:r>
      <w:r w:rsidR="00667501">
        <w:rPr>
          <w:bCs/>
          <w:iCs/>
          <w:snapToGrid w:val="0"/>
          <w:kern w:val="22"/>
          <w:lang w:val="fr-FR"/>
        </w:rPr>
        <w:t> %</w:t>
      </w:r>
      <w:r w:rsidR="00452035" w:rsidRPr="00452035">
        <w:rPr>
          <w:bCs/>
          <w:iCs/>
          <w:snapToGrid w:val="0"/>
          <w:kern w:val="22"/>
          <w:lang w:val="fr-FR"/>
        </w:rPr>
        <w:t xml:space="preserve"> pour </w:t>
      </w:r>
      <w:r w:rsidR="009E7981">
        <w:rPr>
          <w:bCs/>
          <w:iCs/>
          <w:snapToGrid w:val="0"/>
          <w:kern w:val="22"/>
          <w:lang w:val="fr-FR"/>
        </w:rPr>
        <w:t>l’ensemble d</w:t>
      </w:r>
      <w:r w:rsidR="00452035" w:rsidRPr="00452035">
        <w:rPr>
          <w:bCs/>
          <w:iCs/>
          <w:snapToGrid w:val="0"/>
          <w:kern w:val="22"/>
          <w:lang w:val="fr-FR"/>
        </w:rPr>
        <w:t xml:space="preserve">es régions, à l’exception de la région </w:t>
      </w:r>
      <w:r w:rsidR="009E7981">
        <w:rPr>
          <w:bCs/>
          <w:iCs/>
          <w:snapToGrid w:val="0"/>
          <w:kern w:val="22"/>
          <w:lang w:val="fr-FR"/>
        </w:rPr>
        <w:t xml:space="preserve">Europe </w:t>
      </w:r>
      <w:r w:rsidR="00452035" w:rsidRPr="00452035">
        <w:rPr>
          <w:bCs/>
          <w:iCs/>
          <w:snapToGrid w:val="0"/>
          <w:kern w:val="22"/>
          <w:lang w:val="fr-FR"/>
        </w:rPr>
        <w:t>occidentale et autres États, où 95</w:t>
      </w:r>
      <w:r w:rsidR="00667501">
        <w:rPr>
          <w:bCs/>
          <w:iCs/>
          <w:snapToGrid w:val="0"/>
          <w:kern w:val="22"/>
          <w:lang w:val="fr-FR"/>
        </w:rPr>
        <w:t> %</w:t>
      </w:r>
      <w:r w:rsidR="00452035" w:rsidRPr="00452035">
        <w:rPr>
          <w:bCs/>
          <w:iCs/>
          <w:snapToGrid w:val="0"/>
          <w:kern w:val="22"/>
          <w:lang w:val="fr-FR"/>
        </w:rPr>
        <w:t xml:space="preserve"> des Parties ont indiqué disposer de tels mécanismes.</w:t>
      </w:r>
    </w:p>
    <w:p w14:paraId="7EF11951" w14:textId="126327BF" w:rsidR="005532E8" w:rsidRPr="00F8252B" w:rsidRDefault="00863B53" w:rsidP="00EE5917">
      <w:pPr>
        <w:pStyle w:val="CBDNormalNumber"/>
        <w:rPr>
          <w:iCs/>
          <w:snapToGrid w:val="0"/>
          <w:kern w:val="22"/>
          <w:lang w:val="fr-FR"/>
        </w:rPr>
      </w:pPr>
      <w:r w:rsidRPr="00F8252B">
        <w:rPr>
          <w:bCs/>
          <w:iCs/>
          <w:snapToGrid w:val="0"/>
          <w:kern w:val="22"/>
          <w:lang w:val="fr-FR"/>
        </w:rPr>
        <w:t xml:space="preserve"> </w:t>
      </w:r>
      <w:r w:rsidR="005A3B3D" w:rsidRPr="005A3B3D">
        <w:rPr>
          <w:bCs/>
          <w:iCs/>
          <w:snapToGrid w:val="0"/>
          <w:kern w:val="22"/>
          <w:lang w:val="fr-FR"/>
        </w:rPr>
        <w:t>Pour l’indicateur B.4</w:t>
      </w:r>
      <w:r w:rsidR="005A3B3D">
        <w:rPr>
          <w:bCs/>
          <w:iCs/>
          <w:snapToGrid w:val="0"/>
          <w:kern w:val="22"/>
          <w:lang w:val="fr-FR"/>
        </w:rPr>
        <w:t> </w:t>
      </w:r>
      <w:r w:rsidR="005A3B3D" w:rsidRPr="005A3B3D">
        <w:rPr>
          <w:bCs/>
          <w:iCs/>
          <w:snapToGrid w:val="0"/>
          <w:kern w:val="22"/>
          <w:lang w:val="fr-FR"/>
        </w:rPr>
        <w:t>d) (pourcentage des Parties ayant intégré la prévention des risques biotechnologiques dans leurs stratégies, plans d’action, programmes, politiques ou législations nationaux, sectoriels et intersectoriels), ce sont les informations fournies en réponse à la question</w:t>
      </w:r>
      <w:r w:rsidR="005A3B3D">
        <w:rPr>
          <w:bCs/>
          <w:iCs/>
          <w:snapToGrid w:val="0"/>
          <w:kern w:val="22"/>
          <w:lang w:val="fr-FR"/>
        </w:rPr>
        <w:t> </w:t>
      </w:r>
      <w:r w:rsidR="005A3B3D" w:rsidRPr="005A3B3D">
        <w:rPr>
          <w:bCs/>
          <w:iCs/>
          <w:snapToGrid w:val="0"/>
          <w:kern w:val="22"/>
          <w:lang w:val="fr-FR"/>
        </w:rPr>
        <w:t>9 du modèle de cinquième rapport national qui ont été utilisées pour mesurer les progrès accomplis. Cinquante-six pour cent des Parties ont indiqué avoir intégré la prévention des risques biotechnologiques dans leurs stratégies, plans d’action, programmes, politiques ou législations nationaux sectoriels et intersectoriels, et 38</w:t>
      </w:r>
      <w:r w:rsidR="00667501">
        <w:rPr>
          <w:bCs/>
          <w:iCs/>
          <w:snapToGrid w:val="0"/>
          <w:kern w:val="22"/>
          <w:lang w:val="fr-FR"/>
        </w:rPr>
        <w:t> %</w:t>
      </w:r>
      <w:r w:rsidR="005A3B3D" w:rsidRPr="005A3B3D">
        <w:rPr>
          <w:bCs/>
          <w:iCs/>
          <w:snapToGrid w:val="0"/>
          <w:kern w:val="22"/>
          <w:lang w:val="fr-FR"/>
        </w:rPr>
        <w:t xml:space="preserve"> des Parties ont indiqué l’avoir fait dans une certaine </w:t>
      </w:r>
      <w:r w:rsidR="005A3B3D" w:rsidRPr="005A3B3D">
        <w:rPr>
          <w:bCs/>
          <w:iCs/>
          <w:snapToGrid w:val="0"/>
          <w:kern w:val="22"/>
          <w:lang w:val="fr-FR"/>
        </w:rPr>
        <w:lastRenderedPageBreak/>
        <w:t xml:space="preserve">mesure. Si l’on considère </w:t>
      </w:r>
      <w:r w:rsidR="002E237F" w:rsidRPr="005A3B3D">
        <w:rPr>
          <w:bCs/>
          <w:iCs/>
          <w:snapToGrid w:val="0"/>
          <w:kern w:val="22"/>
          <w:lang w:val="fr-FR"/>
        </w:rPr>
        <w:t xml:space="preserve">ensemble </w:t>
      </w:r>
      <w:r w:rsidR="005A3B3D" w:rsidRPr="005A3B3D">
        <w:rPr>
          <w:bCs/>
          <w:iCs/>
          <w:snapToGrid w:val="0"/>
          <w:kern w:val="22"/>
          <w:lang w:val="fr-FR"/>
        </w:rPr>
        <w:t>ces deux groupes, le pourcentage des Parties ayant déclaré avoir intégré la prévention des risques biotechnologiques au moins dans une certaine mesure, s’élevait à 95</w:t>
      </w:r>
      <w:r w:rsidR="00667501">
        <w:rPr>
          <w:bCs/>
          <w:iCs/>
          <w:snapToGrid w:val="0"/>
          <w:kern w:val="22"/>
          <w:lang w:val="fr-FR"/>
        </w:rPr>
        <w:t> %</w:t>
      </w:r>
      <w:r w:rsidR="00137F8A" w:rsidRPr="00F8252B">
        <w:rPr>
          <w:rStyle w:val="Appelnotedebasdep"/>
          <w:lang w:val="fr-FR"/>
        </w:rPr>
        <w:footnoteReference w:id="59"/>
      </w:r>
      <w:r w:rsidR="005A3B3D">
        <w:rPr>
          <w:bCs/>
          <w:iCs/>
          <w:snapToGrid w:val="0"/>
          <w:kern w:val="22"/>
          <w:lang w:val="fr-FR"/>
        </w:rPr>
        <w:t>.</w:t>
      </w:r>
    </w:p>
    <w:p w14:paraId="6C74C005" w14:textId="74BF25D7" w:rsidR="00A34693" w:rsidRPr="00F8252B" w:rsidRDefault="0099619A" w:rsidP="00EE5917">
      <w:pPr>
        <w:pStyle w:val="CBDNormalNumber"/>
        <w:rPr>
          <w:lang w:val="fr-FR"/>
        </w:rPr>
      </w:pPr>
      <w:r w:rsidRPr="00F8252B">
        <w:rPr>
          <w:bCs/>
          <w:iCs/>
          <w:snapToGrid w:val="0"/>
          <w:kern w:val="22"/>
          <w:lang w:val="fr-FR"/>
        </w:rPr>
        <w:t xml:space="preserve"> </w:t>
      </w:r>
      <w:r w:rsidR="005C45D8" w:rsidRPr="005C45D8">
        <w:rPr>
          <w:bCs/>
          <w:iCs/>
          <w:snapToGrid w:val="0"/>
          <w:kern w:val="22"/>
          <w:lang w:val="fr-FR"/>
        </w:rPr>
        <w:t>Dans leurs réponses sous forme de texte libre à la question</w:t>
      </w:r>
      <w:r w:rsidR="00C450DD">
        <w:rPr>
          <w:bCs/>
          <w:iCs/>
          <w:snapToGrid w:val="0"/>
          <w:kern w:val="22"/>
          <w:lang w:val="fr-FR"/>
        </w:rPr>
        <w:t> </w:t>
      </w:r>
      <w:r w:rsidR="005C45D8" w:rsidRPr="005C45D8">
        <w:rPr>
          <w:bCs/>
          <w:iCs/>
          <w:snapToGrid w:val="0"/>
          <w:kern w:val="22"/>
          <w:lang w:val="fr-FR"/>
        </w:rPr>
        <w:t>158, plusieurs Parties ont décrit la manière dont elles coopéraient au niveau institutionnel avec différentes institutions gouvernementales. Bon nombre de ces Parties ont également expliqué comment des parties prenantes issues de divers secteurs participaient à ces mécanismes de coordination. Certaines Parties ont précisé que la coopération institutionnelle dans leur pays était ancrée dans des dispositions de la législation nationale, tandis que d’autres ont indiqué qu’il convenait de renforcer le cadre juridique sous-tendant cette coopération</w:t>
      </w:r>
      <w:r w:rsidR="00BF5363" w:rsidRPr="00F8252B">
        <w:rPr>
          <w:lang w:val="fr-FR"/>
        </w:rPr>
        <w:t>.</w:t>
      </w:r>
      <w:r w:rsidR="00A34693" w:rsidRPr="00F8252B">
        <w:rPr>
          <w:lang w:val="fr-FR"/>
        </w:rPr>
        <w:t xml:space="preserve"> </w:t>
      </w:r>
    </w:p>
    <w:p w14:paraId="55F76618" w14:textId="7B927A16" w:rsidR="00A34693" w:rsidRPr="00F8252B" w:rsidRDefault="00DF5CA2" w:rsidP="00EE5917">
      <w:pPr>
        <w:pStyle w:val="CBDNormalNumber"/>
        <w:rPr>
          <w:lang w:val="fr-FR"/>
        </w:rPr>
      </w:pPr>
      <w:r w:rsidRPr="00F8252B">
        <w:rPr>
          <w:lang w:val="fr-FR"/>
        </w:rPr>
        <w:t xml:space="preserve"> </w:t>
      </w:r>
      <w:r w:rsidR="00891881" w:rsidRPr="00891881">
        <w:rPr>
          <w:lang w:val="fr-FR"/>
        </w:rPr>
        <w:t>Plusieurs Parties ont décrit des activités de coopération menées avec des pays de la région ou au niveau international. Bon nombre de ces activités ont été menées dans le cadre de projets bénéficiaires d’un appui de l’une des entités régionales ou mondiales, notamment le FEM, l’Agence de développement de l’Union africaine, divers centres de recherche internationaux du Groupe consultatif pour la recherche agricole internationale, l’Union économique et monétaire ouest-africaine, la Communauté économique des États de l’Afrique de l’Ouest et l’Union européenne, ainsi que des organisations des Nations Unies, dont la FAO. Bon nombre de ces initiatives visaient à renforcer les capacités en matière de prévention des risques biotechnologiques et plusieurs Parties ont indiqué que les activités étaient axées sur des domaines spécifiques, notamment la détection et l’identification, l’évaluation des risques et la participation du public. Certaines Parties ont mentionné que, dans le cadre des efforts de coopération régionale, des documents d’orientation, des stratégies et des plans traitant de la prévention des risques biotechnologiques avaient été élaborés.</w:t>
      </w:r>
      <w:r w:rsidR="00A34693" w:rsidRPr="00F8252B">
        <w:rPr>
          <w:lang w:val="fr-FR"/>
        </w:rPr>
        <w:t xml:space="preserve"> </w:t>
      </w:r>
    </w:p>
    <w:p w14:paraId="0F147E50" w14:textId="052565C5" w:rsidR="00A34693" w:rsidRPr="00840C51" w:rsidRDefault="00A05B04" w:rsidP="00EE5917">
      <w:pPr>
        <w:pStyle w:val="CBDNormalNumber"/>
        <w:rPr>
          <w:lang w:val="fr-FR"/>
        </w:rPr>
      </w:pPr>
      <w:r w:rsidRPr="00840C51">
        <w:rPr>
          <w:lang w:val="fr-FR"/>
        </w:rPr>
        <w:t xml:space="preserve"> </w:t>
      </w:r>
      <w:r w:rsidR="00840C51" w:rsidRPr="00840C51">
        <w:rPr>
          <w:lang w:val="fr-FR"/>
        </w:rPr>
        <w:t>Certaines Parties ont fait remarquer que, dans le cadre de certaines initiatives de coopération, les peuples autochtones et les communautés locales étaient associés, tandis que d’autres Parties ont indiqué que ces populations n’étaient pas associées à de telles activités.</w:t>
      </w:r>
    </w:p>
    <w:p w14:paraId="203E8381" w14:textId="3FC606D0" w:rsidR="00A34693" w:rsidRPr="00F8252B" w:rsidRDefault="00A05B04" w:rsidP="00EE5917">
      <w:pPr>
        <w:pStyle w:val="CBDNormalNumber"/>
        <w:rPr>
          <w:lang w:val="fr-FR"/>
        </w:rPr>
      </w:pPr>
      <w:r w:rsidRPr="00F8252B">
        <w:rPr>
          <w:lang w:val="fr-FR"/>
        </w:rPr>
        <w:t xml:space="preserve"> </w:t>
      </w:r>
      <w:r w:rsidR="00A428C0" w:rsidRPr="00A428C0">
        <w:rPr>
          <w:lang w:val="fr-FR"/>
        </w:rPr>
        <w:t>Quelques Parties ont indiqué que les activités et les réunions organisées par le Secrétariat de la Convention sur la diversité biologique avaient contribué à renforcer la coopération entre les Parties</w:t>
      </w:r>
      <w:r w:rsidR="00A34693" w:rsidRPr="00F8252B">
        <w:rPr>
          <w:lang w:val="fr-FR"/>
        </w:rPr>
        <w:t xml:space="preserve">. </w:t>
      </w:r>
    </w:p>
    <w:p w14:paraId="1947A76F" w14:textId="5B4242AF" w:rsidR="00A34693" w:rsidRPr="00F8252B" w:rsidRDefault="00A428C0" w:rsidP="00EE5917">
      <w:pPr>
        <w:pStyle w:val="CBDNormalNumber"/>
        <w:rPr>
          <w:lang w:val="fr-FR"/>
        </w:rPr>
      </w:pPr>
      <w:r w:rsidRPr="00A428C0">
        <w:rPr>
          <w:lang w:val="fr-FR"/>
        </w:rPr>
        <w:t>Alors que la plupart des Parties ayant fourni une réponse sous forme de texte libre à la question 158 ont décrit leurs efforts de coopération, quelques-unes ont indiqué qu'aucun progrès n'avait été réalisé dans ce domaine</w:t>
      </w:r>
      <w:r w:rsidR="00A34693" w:rsidRPr="00F8252B">
        <w:rPr>
          <w:lang w:val="fr-FR"/>
        </w:rPr>
        <w:t xml:space="preserve">. </w:t>
      </w:r>
    </w:p>
    <w:p w14:paraId="34AC4ACB" w14:textId="1DE1B7C3" w:rsidR="00AD5295" w:rsidRPr="00F8252B" w:rsidRDefault="00BD669B" w:rsidP="00EE5917">
      <w:pPr>
        <w:pStyle w:val="CBDNormalNumber"/>
        <w:rPr>
          <w:lang w:val="fr-FR"/>
        </w:rPr>
      </w:pPr>
      <w:r w:rsidRPr="00BD669B">
        <w:rPr>
          <w:lang w:val="fr-FR"/>
        </w:rPr>
        <w:t>Pour le but B.4, trois domaines clés de renforcement des capacités ont été identifiés dans le cadre du plan d'action pour le renforcement des capacités</w:t>
      </w:r>
      <w:r w:rsidR="00CA1B90">
        <w:rPr>
          <w:lang w:val="fr-FR"/>
        </w:rPr>
        <w:t> :</w:t>
      </w:r>
      <w:r w:rsidRPr="00BD669B">
        <w:rPr>
          <w:lang w:val="fr-FR"/>
        </w:rPr>
        <w:t xml:space="preserve"> a) la coopération entre les Parties et au sein de celles-ci</w:t>
      </w:r>
      <w:r>
        <w:rPr>
          <w:lang w:val="fr-FR"/>
        </w:rPr>
        <w:t> </w:t>
      </w:r>
      <w:r w:rsidRPr="00BD669B">
        <w:rPr>
          <w:lang w:val="fr-FR"/>
        </w:rPr>
        <w:t>; b) la participation des peuples autochtones, des communautés locales et des parties prenantes des secteurs concernés</w:t>
      </w:r>
      <w:r>
        <w:rPr>
          <w:lang w:val="fr-FR"/>
        </w:rPr>
        <w:t> </w:t>
      </w:r>
      <w:r w:rsidRPr="00BD669B">
        <w:rPr>
          <w:lang w:val="fr-FR"/>
        </w:rPr>
        <w:t>; et c) l'intégration de la prévention des risques biotechnologiques dans la législation, les politiques et les plans sectoriels et intersectoriels.</w:t>
      </w:r>
    </w:p>
    <w:p w14:paraId="056ECF18" w14:textId="442D54EE" w:rsidR="008D4FFA" w:rsidRPr="00D523FF" w:rsidRDefault="00960C29" w:rsidP="00EE5917">
      <w:pPr>
        <w:pStyle w:val="CBDNormalNumber"/>
        <w:rPr>
          <w:lang w:val="fr-FR"/>
        </w:rPr>
      </w:pPr>
      <w:r w:rsidRPr="00D523FF">
        <w:rPr>
          <w:lang w:val="fr-FR"/>
        </w:rPr>
        <w:t>Bien que les rapports nationaux n'aient fourni aucune information sur le renforcement des capacités dans le domaine de la coopération, certaines données étaient disponibles concernant les capacités institutionnelles et les ressources humaines. Sur les 98 Parties ayant indiqué avoir mené des activités visant à développer et/ou à renforcer les ressources humaines et les capacités institutionnelles en matière de prévention des risques biotechnologiques, 40</w:t>
      </w:r>
      <w:r w:rsidR="00667501">
        <w:rPr>
          <w:lang w:val="fr-FR"/>
        </w:rPr>
        <w:t> %</w:t>
      </w:r>
      <w:r w:rsidRPr="00D523FF">
        <w:rPr>
          <w:lang w:val="fr-FR"/>
        </w:rPr>
        <w:t xml:space="preserve"> ont précisé que ces activités concernaient l’intégration de la prévention des risques biotechnologiques dans la législation, les politiques et les institutions intersectorielles et sectorielles (soit une baisse de 6</w:t>
      </w:r>
      <w:r w:rsidR="00667501">
        <w:rPr>
          <w:lang w:val="fr-FR"/>
        </w:rPr>
        <w:t> %</w:t>
      </w:r>
      <w:r w:rsidRPr="00D523FF">
        <w:rPr>
          <w:lang w:val="fr-FR"/>
        </w:rPr>
        <w:t>). Sur les 100 Parties ayant indiqué qu’elles avaient encore des besoins en matière de renforcement des capacités, 78</w:t>
      </w:r>
      <w:r w:rsidR="00667501">
        <w:rPr>
          <w:lang w:val="fr-FR"/>
        </w:rPr>
        <w:t> %</w:t>
      </w:r>
      <w:r w:rsidRPr="00D523FF">
        <w:rPr>
          <w:lang w:val="fr-FR"/>
        </w:rPr>
        <w:t xml:space="preserve"> ont signalé que ces besoins concernaient l’intégration de la prévention des risques biotechnologiques dans la législation, les politiques et les institutions intersectorielles et sectorielles, ce qui ne représente aucun changement par rapport à la référence.</w:t>
      </w:r>
    </w:p>
    <w:p w14:paraId="502E5757" w14:textId="771BEFDB" w:rsidR="00C466AA" w:rsidRPr="00D523FF" w:rsidRDefault="00D523FF" w:rsidP="00946759">
      <w:pPr>
        <w:pStyle w:val="CBDNormalNumber"/>
      </w:pPr>
      <w:r w:rsidRPr="00C03A2F">
        <w:rPr>
          <w:lang w:val="fr-FR"/>
        </w:rPr>
        <w:lastRenderedPageBreak/>
        <w:t>Au cours de la période considérée, le Secrétariat a publié le</w:t>
      </w:r>
      <w:r>
        <w:t xml:space="preserve"> fascicule</w:t>
      </w:r>
      <w:r w:rsidRPr="00D523FF">
        <w:t xml:space="preserve"> </w:t>
      </w:r>
      <w:r w:rsidR="008D6261" w:rsidRPr="0003382D">
        <w:rPr>
          <w:i/>
          <w:iCs/>
        </w:rPr>
        <w:t>Legislative Study on Biosafety Mainstreaming: Integrating the Cartagena Protocol on Biosafety into National Sectoral and Cross-Sectoral Policies, Laws and Institutional Frameworks</w:t>
      </w:r>
      <w:r w:rsidR="008D6261" w:rsidRPr="00F8252B">
        <w:rPr>
          <w:rStyle w:val="Appelnotedebasdep"/>
          <w:lang w:val="fr-FR"/>
        </w:rPr>
        <w:footnoteReference w:id="60"/>
      </w:r>
      <w:r w:rsidR="00946759">
        <w:t>,</w:t>
      </w:r>
      <w:r w:rsidR="008D6261" w:rsidRPr="00D523FF">
        <w:t xml:space="preserve"> </w:t>
      </w:r>
      <w:r w:rsidR="00946759" w:rsidRPr="00946759">
        <w:rPr>
          <w:lang w:val="fr-FR"/>
        </w:rPr>
        <w:t>qui comprenait des exemples révisés d’initiatives fructueuses d’intégration menées par plusieurs Parties. Ces exemples ont permis de fournir des orientations susceptibles d’aider les Parties à intégrer la prévention des risques biotechnologiques dans la législation, les politiques et les cadres institutionnels sectoriels et intersectoriels. En outre, le Secrétariat a organisé une série de dialogues sous-régionaux consacrés à l’intégration du Cadre mondial de la biodiversité de Kunming-Montréal, au cours desquels des sessions ont été consacrées à l’intégration de l’objectif</w:t>
      </w:r>
      <w:r w:rsidR="00946759">
        <w:rPr>
          <w:lang w:val="fr-FR"/>
        </w:rPr>
        <w:t> </w:t>
      </w:r>
      <w:r w:rsidR="00946759" w:rsidRPr="00946759">
        <w:rPr>
          <w:lang w:val="fr-FR"/>
        </w:rPr>
        <w:t xml:space="preserve">17 du Cadre dans les stratégies et plans d’action nationaux pour la biodiversité. </w:t>
      </w:r>
    </w:p>
    <w:p w14:paraId="01C6AA34" w14:textId="371B9692" w:rsidR="007719A3" w:rsidRPr="00F8252B" w:rsidRDefault="007719A3" w:rsidP="00FA2932">
      <w:pPr>
        <w:pStyle w:val="Paragraphedeliste"/>
        <w:suppressLineNumbers/>
        <w:tabs>
          <w:tab w:val="clear" w:pos="567"/>
          <w:tab w:val="clear" w:pos="1134"/>
          <w:tab w:val="clear" w:pos="1701"/>
          <w:tab w:val="clear" w:pos="2268"/>
        </w:tabs>
        <w:suppressAutoHyphens/>
        <w:snapToGrid w:val="0"/>
        <w:spacing w:before="120" w:after="120"/>
        <w:ind w:left="567"/>
        <w:contextualSpacing w:val="0"/>
        <w:jc w:val="center"/>
        <w:rPr>
          <w:lang w:val="fr-FR"/>
        </w:rPr>
      </w:pPr>
      <w:r w:rsidRPr="00F8252B">
        <w:rPr>
          <w:bCs/>
          <w:iCs/>
          <w:snapToGrid w:val="0"/>
          <w:kern w:val="22"/>
          <w:lang w:val="fr-FR"/>
        </w:rPr>
        <w:t>__________</w:t>
      </w:r>
    </w:p>
    <w:sectPr w:rsidR="007719A3" w:rsidRPr="00F8252B" w:rsidSect="00D326B3">
      <w:headerReference w:type="even" r:id="rId28"/>
      <w:headerReference w:type="default" r:id="rId29"/>
      <w:footerReference w:type="even" r:id="rId30"/>
      <w:footerReference w:type="default" r:id="rId31"/>
      <w:headerReference w:type="first" r:id="rId3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A79D5" w14:textId="77777777" w:rsidR="00757093" w:rsidRDefault="00757093" w:rsidP="00A96B21">
      <w:r>
        <w:separator/>
      </w:r>
    </w:p>
  </w:endnote>
  <w:endnote w:type="continuationSeparator" w:id="0">
    <w:p w14:paraId="44C2BFF2" w14:textId="77777777" w:rsidR="00757093" w:rsidRDefault="00757093"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6FF" w:usb1="4000FCFF" w:usb2="00000009" w:usb3="00000000" w:csb0="000001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7E489E0C" w14:textId="77777777" w:rsidR="002B559C" w:rsidRDefault="002B559C">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712D475" w14:textId="77777777" w:rsidR="002B559C" w:rsidRDefault="002B559C"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71948" w14:textId="77777777" w:rsidR="00757093" w:rsidRDefault="00757093" w:rsidP="00A96B21">
      <w:r>
        <w:separator/>
      </w:r>
    </w:p>
  </w:footnote>
  <w:footnote w:type="continuationSeparator" w:id="0">
    <w:p w14:paraId="7CFE6C17" w14:textId="77777777" w:rsidR="00757093" w:rsidRDefault="00757093" w:rsidP="00A96B21">
      <w:r>
        <w:continuationSeparator/>
      </w:r>
    </w:p>
  </w:footnote>
  <w:footnote w:id="1">
    <w:p w14:paraId="1DF7E6A3" w14:textId="77777777" w:rsidR="00046BD7" w:rsidRPr="00270501" w:rsidRDefault="00046BD7" w:rsidP="00046BD7">
      <w:pPr>
        <w:pStyle w:val="Notedebasdepage"/>
        <w:rPr>
          <w:lang w:val="fr-FR"/>
        </w:rPr>
      </w:pPr>
      <w:hyperlink r:id="rId1" w:history="1">
        <w:r w:rsidRPr="00270501">
          <w:rPr>
            <w:rStyle w:val="Lienhypertexte"/>
            <w:vertAlign w:val="superscript"/>
            <w:lang w:val="fr-FR"/>
          </w:rPr>
          <w:t>*</w:t>
        </w:r>
        <w:r w:rsidRPr="00270501">
          <w:rPr>
            <w:rStyle w:val="Lienhypertexte"/>
            <w:lang w:val="fr-FR"/>
          </w:rPr>
          <w:t xml:space="preserve"> CBD/SBI/7/1</w:t>
        </w:r>
      </w:hyperlink>
      <w:r w:rsidRPr="00270501">
        <w:rPr>
          <w:lang w:val="fr-FR"/>
        </w:rPr>
        <w:t>.</w:t>
      </w:r>
    </w:p>
  </w:footnote>
  <w:footnote w:id="2">
    <w:p w14:paraId="6C714E90" w14:textId="776E073F" w:rsidR="00643511" w:rsidRPr="00270501" w:rsidRDefault="00643511" w:rsidP="00D622DE">
      <w:pPr>
        <w:pStyle w:val="Notedebasdepage"/>
        <w:rPr>
          <w:lang w:val="fr-FR"/>
        </w:rPr>
      </w:pPr>
      <w:r w:rsidRPr="00270501">
        <w:rPr>
          <w:rStyle w:val="Appelnotedebasdep"/>
          <w:lang w:val="fr-FR"/>
        </w:rPr>
        <w:footnoteRef/>
      </w:r>
      <w:r w:rsidRPr="00270501">
        <w:rPr>
          <w:lang w:val="fr-FR"/>
        </w:rPr>
        <w:t xml:space="preserve"> </w:t>
      </w:r>
      <w:r w:rsidR="00D622DE" w:rsidRPr="00270501">
        <w:rPr>
          <w:lang w:val="fr-FR"/>
        </w:rPr>
        <w:t xml:space="preserve">Les informations recueillies au cours du quatrième cycle d’établissement de rapports figurent dans le document </w:t>
      </w:r>
      <w:r w:rsidRPr="00270501">
        <w:rPr>
          <w:lang w:val="fr-FR"/>
        </w:rPr>
        <w:t>CBD/SBI/3/3/Add.1.</w:t>
      </w:r>
    </w:p>
  </w:footnote>
  <w:footnote w:id="3">
    <w:p w14:paraId="14C78C0D" w14:textId="418E6D38" w:rsidR="00643511" w:rsidRPr="00270501" w:rsidRDefault="00643511" w:rsidP="001F63E1">
      <w:pPr>
        <w:pStyle w:val="Notedebasdepage"/>
        <w:suppressLineNumbers/>
        <w:tabs>
          <w:tab w:val="left" w:pos="270"/>
        </w:tabs>
        <w:suppressAutoHyphens/>
        <w:snapToGrid w:val="0"/>
        <w:rPr>
          <w:snapToGrid w:val="0"/>
          <w:kern w:val="2"/>
          <w:szCs w:val="18"/>
          <w:lang w:val="fr-FR"/>
        </w:rPr>
      </w:pPr>
      <w:r w:rsidRPr="00270501">
        <w:rPr>
          <w:rStyle w:val="Appelnotedebasdep"/>
          <w:snapToGrid w:val="0"/>
          <w:kern w:val="2"/>
          <w:szCs w:val="18"/>
          <w:lang w:val="fr-FR"/>
        </w:rPr>
        <w:footnoteRef/>
      </w:r>
      <w:r w:rsidRPr="00270501">
        <w:rPr>
          <w:snapToGrid w:val="0"/>
          <w:kern w:val="2"/>
          <w:szCs w:val="18"/>
          <w:lang w:val="fr-FR"/>
        </w:rPr>
        <w:t xml:space="preserve"> </w:t>
      </w:r>
      <w:r w:rsidR="001F63E1" w:rsidRPr="00270501">
        <w:rPr>
          <w:kern w:val="2"/>
          <w:szCs w:val="18"/>
          <w:lang w:val="fr-FR"/>
        </w:rPr>
        <w:t>L'outil d'analyse des rapports est disponible à l'adresse suivante</w:t>
      </w:r>
      <w:r w:rsidR="00CA1B90">
        <w:rPr>
          <w:kern w:val="2"/>
          <w:szCs w:val="18"/>
          <w:lang w:val="fr-FR"/>
        </w:rPr>
        <w:t> :</w:t>
      </w:r>
      <w:r w:rsidR="001F63E1" w:rsidRPr="00270501">
        <w:rPr>
          <w:kern w:val="2"/>
          <w:szCs w:val="18"/>
          <w:lang w:val="fr-FR"/>
        </w:rPr>
        <w:t xml:space="preserve"> </w:t>
      </w:r>
      <w:hyperlink r:id="rId2" w:history="1">
        <w:r w:rsidR="00B85B31" w:rsidRPr="00270501">
          <w:rPr>
            <w:rStyle w:val="Lienhypertexte"/>
            <w:lang w:val="fr-FR"/>
          </w:rPr>
          <w:t>Rapports | Centre d'échange sur les risques biotechnologiques</w:t>
        </w:r>
      </w:hyperlink>
      <w:r w:rsidRPr="00270501">
        <w:rPr>
          <w:snapToGrid w:val="0"/>
          <w:kern w:val="2"/>
          <w:szCs w:val="18"/>
          <w:lang w:val="fr-FR"/>
        </w:rPr>
        <w:t xml:space="preserve">. </w:t>
      </w:r>
    </w:p>
  </w:footnote>
  <w:footnote w:id="4">
    <w:p w14:paraId="66B80813" w14:textId="1726647C" w:rsidR="001D7917" w:rsidRPr="00270501" w:rsidRDefault="001D7917" w:rsidP="003005EB">
      <w:pPr>
        <w:pStyle w:val="Notedebasdepage"/>
        <w:rPr>
          <w:lang w:val="fr-FR"/>
        </w:rPr>
      </w:pPr>
      <w:r w:rsidRPr="00270501">
        <w:rPr>
          <w:rStyle w:val="Appelnotedebasdep"/>
          <w:lang w:val="fr-FR"/>
        </w:rPr>
        <w:footnoteRef/>
      </w:r>
      <w:r w:rsidRPr="00270501">
        <w:rPr>
          <w:lang w:val="fr-FR"/>
        </w:rPr>
        <w:t xml:space="preserve"> </w:t>
      </w:r>
      <w:r w:rsidR="00975475" w:rsidRPr="00270501">
        <w:rPr>
          <w:lang w:val="fr-FR"/>
        </w:rPr>
        <w:t>Lorsque différents points de référence ont été utilisés, ceux-ci sont indiqués dans le présent document</w:t>
      </w:r>
      <w:r w:rsidR="00991666" w:rsidRPr="00270501">
        <w:rPr>
          <w:lang w:val="fr-FR"/>
        </w:rPr>
        <w:t xml:space="preserve">. </w:t>
      </w:r>
    </w:p>
  </w:footnote>
  <w:footnote w:id="5">
    <w:p w14:paraId="46549A66" w14:textId="1CBB2E13" w:rsidR="00643511" w:rsidRPr="00270501" w:rsidRDefault="00643511" w:rsidP="00975475">
      <w:pPr>
        <w:pStyle w:val="Notedebasdepage"/>
        <w:suppressLineNumbers/>
        <w:suppressAutoHyphens/>
        <w:rPr>
          <w:kern w:val="2"/>
          <w:szCs w:val="18"/>
          <w:lang w:val="fr-FR"/>
        </w:rPr>
      </w:pPr>
      <w:r w:rsidRPr="00270501">
        <w:rPr>
          <w:rStyle w:val="Appelnotedebasdep"/>
          <w:kern w:val="2"/>
          <w:szCs w:val="18"/>
          <w:lang w:val="fr-FR"/>
        </w:rPr>
        <w:footnoteRef/>
      </w:r>
      <w:r w:rsidRPr="00270501">
        <w:rPr>
          <w:kern w:val="2"/>
          <w:szCs w:val="18"/>
          <w:lang w:val="fr-FR"/>
        </w:rPr>
        <w:t xml:space="preserve"> </w:t>
      </w:r>
      <w:r w:rsidR="00975475" w:rsidRPr="00270501">
        <w:rPr>
          <w:kern w:val="2"/>
          <w:szCs w:val="18"/>
          <w:lang w:val="fr-FR"/>
        </w:rPr>
        <w:t>Le tableau détaillant les sources d'information sur lesquelles repose l'analyse de chaque indicateur est disponible à l'adresse suivante</w:t>
      </w:r>
      <w:r w:rsidR="00CA1B90">
        <w:rPr>
          <w:kern w:val="2"/>
          <w:szCs w:val="18"/>
          <w:lang w:val="fr-FR"/>
        </w:rPr>
        <w:t> :</w:t>
      </w:r>
      <w:r w:rsidR="00975475" w:rsidRPr="00270501">
        <w:rPr>
          <w:kern w:val="2"/>
          <w:szCs w:val="18"/>
          <w:lang w:val="fr-FR"/>
        </w:rPr>
        <w:t xml:space="preserve"> </w:t>
      </w:r>
      <w:hyperlink r:id="rId3" w:history="1">
        <w:r w:rsidR="00E3256F" w:rsidRPr="00270501">
          <w:rPr>
            <w:rStyle w:val="Lienhypertexte"/>
            <w:kern w:val="2"/>
            <w:szCs w:val="18"/>
            <w:lang w:val="fr-FR"/>
          </w:rPr>
          <w:t>https://bch.cbd.int/protocol/issues/5ar.shtml</w:t>
        </w:r>
      </w:hyperlink>
      <w:r w:rsidR="00E3256F" w:rsidRPr="00270501">
        <w:rPr>
          <w:kern w:val="2"/>
          <w:szCs w:val="18"/>
          <w:lang w:val="fr-FR"/>
        </w:rPr>
        <w:t>.</w:t>
      </w:r>
      <w:r w:rsidR="00D8441A" w:rsidRPr="00270501">
        <w:rPr>
          <w:kern w:val="2"/>
          <w:szCs w:val="18"/>
          <w:lang w:val="fr-FR"/>
        </w:rPr>
        <w:t xml:space="preserve"> </w:t>
      </w:r>
      <w:r w:rsidR="00975475" w:rsidRPr="00270501">
        <w:rPr>
          <w:snapToGrid w:val="0"/>
          <w:kern w:val="2"/>
          <w:szCs w:val="18"/>
          <w:lang w:val="fr-FR"/>
        </w:rPr>
        <w:t>Lorsque des informations complémentaires ont été fournies afin de replacer dans leur contexte les données directement liées aux indicateurs, leur source est mentionnée dans le présent document</w:t>
      </w:r>
      <w:r w:rsidR="00D8441A" w:rsidRPr="00270501">
        <w:rPr>
          <w:snapToGrid w:val="0"/>
          <w:kern w:val="2"/>
          <w:szCs w:val="18"/>
          <w:lang w:val="fr-FR"/>
        </w:rPr>
        <w:t xml:space="preserve">. </w:t>
      </w:r>
    </w:p>
  </w:footnote>
  <w:footnote w:id="6">
    <w:p w14:paraId="3833089A" w14:textId="1C44CA93" w:rsidR="00643511" w:rsidRPr="00270501" w:rsidRDefault="00643511" w:rsidP="00FA2932">
      <w:pPr>
        <w:pStyle w:val="Notedebasdepage"/>
        <w:suppressLineNumbers/>
        <w:suppressAutoHyphens/>
        <w:rPr>
          <w:kern w:val="2"/>
          <w:szCs w:val="18"/>
          <w:lang w:val="fr-FR"/>
        </w:rPr>
      </w:pPr>
      <w:r w:rsidRPr="00270501">
        <w:rPr>
          <w:rStyle w:val="Appelnotedebasdep"/>
          <w:kern w:val="2"/>
          <w:szCs w:val="18"/>
          <w:lang w:val="fr-FR"/>
        </w:rPr>
        <w:footnoteRef/>
      </w:r>
      <w:r w:rsidRPr="00270501">
        <w:rPr>
          <w:kern w:val="2"/>
          <w:szCs w:val="18"/>
          <w:lang w:val="fr-FR"/>
        </w:rPr>
        <w:t xml:space="preserve"> </w:t>
      </w:r>
      <w:r w:rsidR="007A14AE" w:rsidRPr="00270501">
        <w:rPr>
          <w:kern w:val="2"/>
          <w:szCs w:val="18"/>
          <w:lang w:val="fr-FR"/>
        </w:rPr>
        <w:t>Par exemple, si certaines Parties d'une région donnée faisaient état de progrès sur une question donnée, cela n'apparaîtrait pas dans l'analyse si un nombre équivalent de Parties de cette même région indiquaient le contraire</w:t>
      </w:r>
      <w:r w:rsidRPr="00270501">
        <w:rPr>
          <w:kern w:val="2"/>
          <w:szCs w:val="18"/>
          <w:lang w:val="fr-FR"/>
        </w:rPr>
        <w:t>.</w:t>
      </w:r>
    </w:p>
  </w:footnote>
  <w:footnote w:id="7">
    <w:p w14:paraId="1BC2A561" w14:textId="74CD3F12" w:rsidR="007C6F04" w:rsidRPr="00270501" w:rsidRDefault="007C6F04" w:rsidP="00272CC9">
      <w:pPr>
        <w:pStyle w:val="Notedebasdepage"/>
        <w:rPr>
          <w:lang w:val="fr-FR"/>
        </w:rPr>
      </w:pPr>
      <w:r w:rsidRPr="00270501">
        <w:rPr>
          <w:rStyle w:val="Appelnotedebasdep"/>
          <w:lang w:val="fr-FR"/>
        </w:rPr>
        <w:footnoteRef/>
      </w:r>
      <w:r w:rsidRPr="00270501">
        <w:rPr>
          <w:lang w:val="fr-FR"/>
        </w:rPr>
        <w:t xml:space="preserve"> </w:t>
      </w:r>
      <w:r w:rsidR="007B4DBA" w:rsidRPr="00270501">
        <w:rPr>
          <w:lang w:val="fr-FR"/>
        </w:rPr>
        <w:t>Par exemple, une augmentation de 4,4</w:t>
      </w:r>
      <w:r w:rsidR="00667501">
        <w:rPr>
          <w:lang w:val="fr-FR"/>
        </w:rPr>
        <w:t> %</w:t>
      </w:r>
      <w:r w:rsidR="007B4DBA" w:rsidRPr="00270501">
        <w:rPr>
          <w:lang w:val="fr-FR"/>
        </w:rPr>
        <w:t xml:space="preserve"> du nombre de Parties ayant répondu «</w:t>
      </w:r>
      <w:r w:rsidR="00A34D71" w:rsidRPr="00270501">
        <w:rPr>
          <w:lang w:val="fr-FR"/>
        </w:rPr>
        <w:t> </w:t>
      </w:r>
      <w:r w:rsidR="007B4DBA" w:rsidRPr="00270501">
        <w:rPr>
          <w:lang w:val="fr-FR"/>
        </w:rPr>
        <w:t>oui</w:t>
      </w:r>
      <w:r w:rsidR="00A34D71" w:rsidRPr="00270501">
        <w:rPr>
          <w:lang w:val="fr-FR"/>
        </w:rPr>
        <w:t> </w:t>
      </w:r>
      <w:r w:rsidR="007B4DBA" w:rsidRPr="00270501">
        <w:rPr>
          <w:lang w:val="fr-FR"/>
        </w:rPr>
        <w:t>», combinée à une augmentation de 4,2</w:t>
      </w:r>
      <w:r w:rsidR="00667501">
        <w:rPr>
          <w:lang w:val="fr-FR"/>
        </w:rPr>
        <w:t> %</w:t>
      </w:r>
      <w:r w:rsidR="007B4DBA" w:rsidRPr="00270501">
        <w:rPr>
          <w:lang w:val="fr-FR"/>
        </w:rPr>
        <w:t xml:space="preserve"> du nombre de Parties ayant répondu «</w:t>
      </w:r>
      <w:r w:rsidR="00041A7B" w:rsidRPr="00270501">
        <w:rPr>
          <w:lang w:val="fr-FR"/>
        </w:rPr>
        <w:t> </w:t>
      </w:r>
      <w:r w:rsidR="007B4DBA" w:rsidRPr="00270501">
        <w:rPr>
          <w:lang w:val="fr-FR"/>
        </w:rPr>
        <w:t>oui, dans une certaine mesure</w:t>
      </w:r>
      <w:r w:rsidR="00041A7B" w:rsidRPr="00270501">
        <w:rPr>
          <w:lang w:val="fr-FR"/>
        </w:rPr>
        <w:t> </w:t>
      </w:r>
      <w:r w:rsidR="007B4DBA" w:rsidRPr="00270501">
        <w:rPr>
          <w:lang w:val="fr-FR"/>
        </w:rPr>
        <w:t>», serait présentée comme suit</w:t>
      </w:r>
      <w:r w:rsidR="00CA1B90">
        <w:rPr>
          <w:lang w:val="fr-FR"/>
        </w:rPr>
        <w:t> :</w:t>
      </w:r>
      <w:r w:rsidR="007B4DBA" w:rsidRPr="00270501">
        <w:rPr>
          <w:lang w:val="fr-FR"/>
        </w:rPr>
        <w:t xml:space="preserve"> 4</w:t>
      </w:r>
      <w:r w:rsidR="00667501">
        <w:rPr>
          <w:lang w:val="fr-FR"/>
        </w:rPr>
        <w:t> %</w:t>
      </w:r>
      <w:r w:rsidR="007B4DBA" w:rsidRPr="00270501">
        <w:rPr>
          <w:lang w:val="fr-FR"/>
        </w:rPr>
        <w:t xml:space="preserve"> des Parties ayant répondu «</w:t>
      </w:r>
      <w:r w:rsidR="00041A7B" w:rsidRPr="00270501">
        <w:rPr>
          <w:lang w:val="fr-FR"/>
        </w:rPr>
        <w:t> </w:t>
      </w:r>
      <w:r w:rsidR="007B4DBA" w:rsidRPr="00270501">
        <w:rPr>
          <w:lang w:val="fr-FR"/>
        </w:rPr>
        <w:t>oui</w:t>
      </w:r>
      <w:r w:rsidR="00041A7B" w:rsidRPr="00270501">
        <w:rPr>
          <w:lang w:val="fr-FR"/>
        </w:rPr>
        <w:t> </w:t>
      </w:r>
      <w:r w:rsidR="007B4DBA" w:rsidRPr="00270501">
        <w:rPr>
          <w:lang w:val="fr-FR"/>
        </w:rPr>
        <w:t>» et 4</w:t>
      </w:r>
      <w:r w:rsidR="00667501">
        <w:rPr>
          <w:lang w:val="fr-FR"/>
        </w:rPr>
        <w:t> %</w:t>
      </w:r>
      <w:r w:rsidR="007B4DBA" w:rsidRPr="00270501">
        <w:rPr>
          <w:lang w:val="fr-FR"/>
        </w:rPr>
        <w:t xml:space="preserve"> des Parties ayant répondu «</w:t>
      </w:r>
      <w:r w:rsidR="00041A7B" w:rsidRPr="00270501">
        <w:rPr>
          <w:lang w:val="fr-FR"/>
        </w:rPr>
        <w:t> </w:t>
      </w:r>
      <w:r w:rsidR="007B4DBA" w:rsidRPr="00270501">
        <w:rPr>
          <w:lang w:val="fr-FR"/>
        </w:rPr>
        <w:t>oui, dans une certaine mesure</w:t>
      </w:r>
      <w:r w:rsidR="00041A7B" w:rsidRPr="00270501">
        <w:rPr>
          <w:lang w:val="fr-FR"/>
        </w:rPr>
        <w:t> </w:t>
      </w:r>
      <w:r w:rsidR="007B4DBA" w:rsidRPr="00270501">
        <w:rPr>
          <w:lang w:val="fr-FR"/>
        </w:rPr>
        <w:t>». Le total pourrait être présenté comme une variation de +9</w:t>
      </w:r>
      <w:r w:rsidR="00667501">
        <w:rPr>
          <w:lang w:val="fr-FR"/>
        </w:rPr>
        <w:t> %</w:t>
      </w:r>
      <w:r w:rsidR="007B4DBA" w:rsidRPr="00270501">
        <w:rPr>
          <w:lang w:val="fr-FR"/>
        </w:rPr>
        <w:t xml:space="preserve"> des Parties (4,4 + 4,2</w:t>
      </w:r>
      <w:r w:rsidR="00041A7B" w:rsidRPr="00270501">
        <w:rPr>
          <w:lang w:val="fr-FR"/>
        </w:rPr>
        <w:t> </w:t>
      </w:r>
      <w:r w:rsidR="007B4DBA" w:rsidRPr="00270501">
        <w:rPr>
          <w:lang w:val="fr-FR"/>
        </w:rPr>
        <w:t>= 8,6, arrondi à 9</w:t>
      </w:r>
      <w:r w:rsidR="00667501">
        <w:rPr>
          <w:lang w:val="fr-FR"/>
        </w:rPr>
        <w:t> %</w:t>
      </w:r>
      <w:r w:rsidR="007B4DBA" w:rsidRPr="00270501">
        <w:rPr>
          <w:lang w:val="fr-FR"/>
        </w:rPr>
        <w:t xml:space="preserve">), </w:t>
      </w:r>
      <w:r w:rsidR="007B1126" w:rsidRPr="00270501">
        <w:rPr>
          <w:lang w:val="fr-FR"/>
        </w:rPr>
        <w:t>ayant répondu</w:t>
      </w:r>
      <w:r w:rsidR="007B4DBA" w:rsidRPr="00270501">
        <w:rPr>
          <w:lang w:val="fr-FR"/>
        </w:rPr>
        <w:t xml:space="preserve"> soit «</w:t>
      </w:r>
      <w:r w:rsidR="00041A7B" w:rsidRPr="00270501">
        <w:rPr>
          <w:lang w:val="fr-FR"/>
        </w:rPr>
        <w:t> </w:t>
      </w:r>
      <w:r w:rsidR="007B4DBA" w:rsidRPr="00270501">
        <w:rPr>
          <w:lang w:val="fr-FR"/>
        </w:rPr>
        <w:t>oui</w:t>
      </w:r>
      <w:r w:rsidR="00041A7B" w:rsidRPr="00270501">
        <w:rPr>
          <w:lang w:val="fr-FR"/>
        </w:rPr>
        <w:t> </w:t>
      </w:r>
      <w:r w:rsidR="007B4DBA" w:rsidRPr="00270501">
        <w:rPr>
          <w:lang w:val="fr-FR"/>
        </w:rPr>
        <w:t>», soit «</w:t>
      </w:r>
      <w:r w:rsidR="00041A7B" w:rsidRPr="00270501">
        <w:rPr>
          <w:lang w:val="fr-FR"/>
        </w:rPr>
        <w:t> </w:t>
      </w:r>
      <w:r w:rsidR="007B4DBA" w:rsidRPr="00270501">
        <w:rPr>
          <w:lang w:val="fr-FR"/>
        </w:rPr>
        <w:t>oui, dans une certaine mesure</w:t>
      </w:r>
      <w:r w:rsidR="00041A7B" w:rsidRPr="00270501">
        <w:rPr>
          <w:lang w:val="fr-FR"/>
        </w:rPr>
        <w:t> </w:t>
      </w:r>
      <w:r w:rsidR="007B4DBA" w:rsidRPr="00270501">
        <w:rPr>
          <w:lang w:val="fr-FR"/>
        </w:rPr>
        <w:t>».</w:t>
      </w:r>
      <w:r w:rsidR="00A83C46" w:rsidRPr="00270501">
        <w:rPr>
          <w:lang w:val="fr-FR"/>
        </w:rPr>
        <w:t xml:space="preserve"> </w:t>
      </w:r>
    </w:p>
  </w:footnote>
  <w:footnote w:id="8">
    <w:p w14:paraId="54F996BE" w14:textId="46962A9D" w:rsidR="00971682" w:rsidRPr="00270501" w:rsidRDefault="00971682">
      <w:pPr>
        <w:pStyle w:val="Notedebasdepage"/>
        <w:rPr>
          <w:lang w:val="fr-FR"/>
        </w:rPr>
      </w:pPr>
      <w:r w:rsidRPr="00270501">
        <w:rPr>
          <w:rStyle w:val="Appelnotedebasdep"/>
          <w:lang w:val="fr-FR"/>
        </w:rPr>
        <w:footnoteRef/>
      </w:r>
      <w:r w:rsidRPr="00270501">
        <w:rPr>
          <w:lang w:val="fr-FR"/>
        </w:rPr>
        <w:t xml:space="preserve"> </w:t>
      </w:r>
      <w:r w:rsidR="00422E49" w:rsidRPr="00270501">
        <w:rPr>
          <w:lang w:val="fr-FR"/>
        </w:rPr>
        <w:t>Informations fournies en réponse à la question</w:t>
      </w:r>
      <w:r w:rsidR="008758E5">
        <w:rPr>
          <w:lang w:val="fr-FR"/>
        </w:rPr>
        <w:t> </w:t>
      </w:r>
      <w:r w:rsidR="00422E49" w:rsidRPr="00270501">
        <w:rPr>
          <w:lang w:val="fr-FR"/>
        </w:rPr>
        <w:t xml:space="preserve">12 du modèle </w:t>
      </w:r>
      <w:r w:rsidR="005E5498">
        <w:rPr>
          <w:lang w:val="fr-FR"/>
        </w:rPr>
        <w:t>de</w:t>
      </w:r>
      <w:r w:rsidR="0008287A" w:rsidRPr="00270501">
        <w:rPr>
          <w:lang w:val="fr-FR"/>
        </w:rPr>
        <w:t xml:space="preserve"> </w:t>
      </w:r>
      <w:r w:rsidR="00422E49" w:rsidRPr="00270501">
        <w:rPr>
          <w:lang w:val="fr-FR"/>
        </w:rPr>
        <w:t>cinquième rapport national</w:t>
      </w:r>
      <w:r w:rsidRPr="00270501">
        <w:rPr>
          <w:lang w:val="fr-FR"/>
        </w:rPr>
        <w:t>.</w:t>
      </w:r>
    </w:p>
  </w:footnote>
  <w:footnote w:id="9">
    <w:p w14:paraId="602D76C1" w14:textId="56EC8DAB" w:rsidR="00C55968" w:rsidRPr="00270501" w:rsidRDefault="00C55968" w:rsidP="00C55968">
      <w:pPr>
        <w:pStyle w:val="Notedebasdepage"/>
        <w:rPr>
          <w:lang w:val="fr-FR"/>
        </w:rPr>
      </w:pPr>
      <w:r w:rsidRPr="00270501">
        <w:rPr>
          <w:rStyle w:val="Appelnotedebasdep"/>
          <w:lang w:val="fr-FR"/>
        </w:rPr>
        <w:footnoteRef/>
      </w:r>
      <w:r w:rsidRPr="00270501">
        <w:rPr>
          <w:lang w:val="fr-FR"/>
        </w:rPr>
        <w:t xml:space="preserve"> </w:t>
      </w:r>
      <w:r w:rsidR="00540D18" w:rsidRPr="00270501">
        <w:rPr>
          <w:lang w:val="fr-FR"/>
        </w:rPr>
        <w:t xml:space="preserve">En réponse aux questions 122 et 123 du modèle </w:t>
      </w:r>
      <w:r w:rsidR="0074549D" w:rsidRPr="00270501">
        <w:rPr>
          <w:lang w:val="fr-FR"/>
        </w:rPr>
        <w:t>pour le</w:t>
      </w:r>
      <w:r w:rsidR="00540D18" w:rsidRPr="00270501">
        <w:rPr>
          <w:lang w:val="fr-FR"/>
        </w:rPr>
        <w:t xml:space="preserve"> cinquième rapport national</w:t>
      </w:r>
      <w:r w:rsidRPr="00270501">
        <w:rPr>
          <w:lang w:val="fr-FR"/>
        </w:rPr>
        <w:t>.</w:t>
      </w:r>
    </w:p>
  </w:footnote>
  <w:footnote w:id="10">
    <w:p w14:paraId="4B31A6B9" w14:textId="7C370108" w:rsidR="00C55968" w:rsidRPr="00270501" w:rsidRDefault="00C55968" w:rsidP="00C55968">
      <w:pPr>
        <w:pStyle w:val="Notedebasdepage"/>
        <w:rPr>
          <w:lang w:val="fr-FR"/>
        </w:rPr>
      </w:pPr>
      <w:r w:rsidRPr="00270501">
        <w:rPr>
          <w:rStyle w:val="Appelnotedebasdep"/>
          <w:lang w:val="fr-FR"/>
        </w:rPr>
        <w:footnoteRef/>
      </w:r>
      <w:r w:rsidRPr="00270501">
        <w:rPr>
          <w:lang w:val="fr-FR"/>
        </w:rPr>
        <w:t xml:space="preserve"> </w:t>
      </w:r>
      <w:r w:rsidR="00094700" w:rsidRPr="00270501">
        <w:rPr>
          <w:lang w:val="fr-FR"/>
        </w:rPr>
        <w:t>Sur ces</w:t>
      </w:r>
      <w:r w:rsidR="008758E5">
        <w:rPr>
          <w:lang w:val="fr-FR"/>
        </w:rPr>
        <w:t> </w:t>
      </w:r>
      <w:r w:rsidR="00094700" w:rsidRPr="00270501">
        <w:rPr>
          <w:lang w:val="fr-FR"/>
        </w:rPr>
        <w:t>98 Parties, 35 ont indiqué avoir mené de telles activités dans une certaine mesure</w:t>
      </w:r>
      <w:r w:rsidRPr="00270501">
        <w:rPr>
          <w:lang w:val="fr-FR"/>
        </w:rPr>
        <w:t>.</w:t>
      </w:r>
    </w:p>
  </w:footnote>
  <w:footnote w:id="11">
    <w:p w14:paraId="3BF481BB" w14:textId="5237A6C2" w:rsidR="006D693C" w:rsidRPr="00270501" w:rsidRDefault="006D693C">
      <w:pPr>
        <w:pStyle w:val="Notedebasdepage"/>
        <w:rPr>
          <w:lang w:val="fr-FR"/>
        </w:rPr>
      </w:pPr>
      <w:r w:rsidRPr="00270501">
        <w:rPr>
          <w:rStyle w:val="Appelnotedebasdep"/>
          <w:lang w:val="fr-FR"/>
        </w:rPr>
        <w:footnoteRef/>
      </w:r>
      <w:r w:rsidRPr="00270501">
        <w:rPr>
          <w:lang w:val="fr-FR"/>
        </w:rPr>
        <w:t xml:space="preserve"> </w:t>
      </w:r>
      <w:r w:rsidR="00094700" w:rsidRPr="00270501">
        <w:rPr>
          <w:lang w:val="fr-FR"/>
        </w:rPr>
        <w:t>Le domaine des capacités institutionnelles et des ressources humaines figurait parmi les nombreux domaines que les Parties pouvaient choisir dans le cadre de la question plus générale relative au renforcement des capacités</w:t>
      </w:r>
      <w:r w:rsidR="001C3760" w:rsidRPr="00270501">
        <w:rPr>
          <w:lang w:val="fr-FR"/>
        </w:rPr>
        <w:t xml:space="preserve">. </w:t>
      </w:r>
    </w:p>
  </w:footnote>
  <w:footnote w:id="12">
    <w:p w14:paraId="4AD5F487" w14:textId="55E51F12" w:rsidR="00C55968" w:rsidRPr="00270501" w:rsidRDefault="00C55968" w:rsidP="00C55968">
      <w:pPr>
        <w:pStyle w:val="Notedebasdepage"/>
        <w:rPr>
          <w:lang w:val="fr-FR"/>
        </w:rPr>
      </w:pPr>
      <w:r w:rsidRPr="00270501">
        <w:rPr>
          <w:rStyle w:val="Appelnotedebasdep"/>
          <w:lang w:val="fr-FR"/>
        </w:rPr>
        <w:footnoteRef/>
      </w:r>
      <w:r w:rsidRPr="00270501">
        <w:rPr>
          <w:lang w:val="fr-FR"/>
        </w:rPr>
        <w:t xml:space="preserve"> </w:t>
      </w:r>
      <w:r w:rsidR="009B74E1" w:rsidRPr="00270501">
        <w:rPr>
          <w:lang w:val="fr-FR"/>
        </w:rPr>
        <w:t>Les informations fournies par les 98</w:t>
      </w:r>
      <w:r w:rsidR="008758E5">
        <w:rPr>
          <w:lang w:val="fr-FR"/>
        </w:rPr>
        <w:t> </w:t>
      </w:r>
      <w:r w:rsidR="009B74E1" w:rsidRPr="00270501">
        <w:rPr>
          <w:lang w:val="fr-FR"/>
        </w:rPr>
        <w:t>Parties répondaient aux questions 118 et 119 du modèle de cinquième rapport national</w:t>
      </w:r>
      <w:r w:rsidRPr="00270501">
        <w:rPr>
          <w:lang w:val="fr-FR"/>
        </w:rPr>
        <w:t>.</w:t>
      </w:r>
    </w:p>
  </w:footnote>
  <w:footnote w:id="13">
    <w:p w14:paraId="1008931C" w14:textId="2EF1448E" w:rsidR="00FE16BA" w:rsidRPr="00270501" w:rsidRDefault="00FE16BA">
      <w:pPr>
        <w:pStyle w:val="Notedebasdepage"/>
        <w:rPr>
          <w:lang w:val="fr-FR"/>
        </w:rPr>
      </w:pPr>
      <w:r w:rsidRPr="00270501">
        <w:rPr>
          <w:rStyle w:val="Appelnotedebasdep"/>
          <w:lang w:val="fr-FR"/>
        </w:rPr>
        <w:footnoteRef/>
      </w:r>
      <w:r w:rsidRPr="00270501">
        <w:rPr>
          <w:lang w:val="fr-FR"/>
        </w:rPr>
        <w:t xml:space="preserve"> </w:t>
      </w:r>
      <w:r w:rsidR="005E36EA" w:rsidRPr="00270501">
        <w:rPr>
          <w:i/>
          <w:iCs/>
          <w:lang w:val="fr-FR"/>
        </w:rPr>
        <w:t>Legislative Study on Biosafety Mainstreaming: Integrating the Cartagena Protocol on Biosafety into National Sectoral and Cross-Sectoral Policies, Laws and Institutional Frameworks</w:t>
      </w:r>
      <w:r w:rsidR="00937871" w:rsidRPr="00270501">
        <w:rPr>
          <w:i/>
          <w:iCs/>
          <w:lang w:val="fr-FR"/>
        </w:rPr>
        <w:t xml:space="preserve">, </w:t>
      </w:r>
      <w:r w:rsidR="008223A9">
        <w:rPr>
          <w:lang w:val="fr-FR"/>
        </w:rPr>
        <w:t>Cahier technique</w:t>
      </w:r>
      <w:r w:rsidR="00937871" w:rsidRPr="00270501">
        <w:rPr>
          <w:lang w:val="fr-FR"/>
        </w:rPr>
        <w:t xml:space="preserve"> sur la prévention des risques biotechnologiques n°06,</w:t>
      </w:r>
      <w:r w:rsidR="00937871" w:rsidRPr="00270501">
        <w:rPr>
          <w:i/>
          <w:iCs/>
          <w:lang w:val="fr-FR"/>
        </w:rPr>
        <w:t xml:space="preserve"> </w:t>
      </w:r>
      <w:r w:rsidR="00937871" w:rsidRPr="00270501">
        <w:rPr>
          <w:lang w:val="fr-FR"/>
        </w:rPr>
        <w:t>Miranda Geelhoed, auteure</w:t>
      </w:r>
      <w:r w:rsidR="00937871" w:rsidRPr="00270501">
        <w:rPr>
          <w:i/>
          <w:iCs/>
          <w:lang w:val="fr-FR"/>
        </w:rPr>
        <w:t xml:space="preserve"> </w:t>
      </w:r>
      <w:r w:rsidR="00937871" w:rsidRPr="00270501">
        <w:rPr>
          <w:lang w:val="fr-FR"/>
        </w:rPr>
        <w:t>(Montréal, Canada, Secrétariat de la Convention sur la diversité biologique, 2024</w:t>
      </w:r>
      <w:r w:rsidR="00937871" w:rsidRPr="00270501">
        <w:rPr>
          <w:i/>
          <w:iCs/>
          <w:lang w:val="fr-FR"/>
        </w:rPr>
        <w:t>).</w:t>
      </w:r>
    </w:p>
  </w:footnote>
  <w:footnote w:id="14">
    <w:p w14:paraId="02BB4E78" w14:textId="1F0AE20F" w:rsidR="00D372C3" w:rsidRPr="00270501" w:rsidRDefault="00A408D0" w:rsidP="00D372C3">
      <w:pPr>
        <w:pStyle w:val="Notedebasdepage"/>
        <w:rPr>
          <w:lang w:val="fr-FR"/>
        </w:rPr>
      </w:pPr>
      <w:r w:rsidRPr="00270501">
        <w:rPr>
          <w:rStyle w:val="Appelnotedebasdep"/>
          <w:lang w:val="fr-FR"/>
        </w:rPr>
        <w:footnoteRef/>
      </w:r>
      <w:r w:rsidRPr="00270501">
        <w:rPr>
          <w:lang w:val="fr-FR"/>
        </w:rPr>
        <w:t xml:space="preserve"> </w:t>
      </w:r>
      <w:r w:rsidR="00187A0E" w:rsidRPr="00270501">
        <w:rPr>
          <w:lang w:val="fr-FR"/>
        </w:rPr>
        <w:t xml:space="preserve">En raison du nombre limité de Parties ayant répondu, les résultats </w:t>
      </w:r>
      <w:r w:rsidR="00BA1990" w:rsidRPr="00270501">
        <w:rPr>
          <w:lang w:val="fr-FR"/>
        </w:rPr>
        <w:t>sont</w:t>
      </w:r>
      <w:r w:rsidR="00187A0E" w:rsidRPr="00270501">
        <w:rPr>
          <w:lang w:val="fr-FR"/>
        </w:rPr>
        <w:t xml:space="preserve"> très sensibles aux réponses individuelles, ce qui peut influencer de manière disproportionnée les pourcentages indiqués</w:t>
      </w:r>
      <w:r w:rsidR="00DE72B8" w:rsidRPr="00270501">
        <w:rPr>
          <w:lang w:val="fr-FR"/>
        </w:rPr>
        <w:t>.</w:t>
      </w:r>
    </w:p>
  </w:footnote>
  <w:footnote w:id="15">
    <w:p w14:paraId="66BE115B" w14:textId="4F5FD24F" w:rsidR="00322B0A" w:rsidRPr="00270501" w:rsidRDefault="00D372C3" w:rsidP="00322B0A">
      <w:pPr>
        <w:pStyle w:val="Notedebasdepage"/>
        <w:rPr>
          <w:lang w:val="fr-FR"/>
        </w:rPr>
      </w:pPr>
      <w:r w:rsidRPr="00270501">
        <w:rPr>
          <w:rStyle w:val="Appelnotedebasdep"/>
          <w:lang w:val="fr-FR"/>
        </w:rPr>
        <w:footnoteRef/>
      </w:r>
      <w:r w:rsidRPr="00270501">
        <w:rPr>
          <w:lang w:val="fr-FR"/>
        </w:rPr>
        <w:t xml:space="preserve"> </w:t>
      </w:r>
      <w:r w:rsidR="00B86E52" w:rsidRPr="00270501">
        <w:rPr>
          <w:lang w:val="fr-FR"/>
        </w:rPr>
        <w:t>En raison du nombre limité de Parties ayant répondu, les résultats sont très sensibles aux réponses individuelles, ce qui peut influencer de manière disproportionnée les pourcentages indiqués</w:t>
      </w:r>
      <w:r w:rsidR="00363D9B" w:rsidRPr="00270501">
        <w:rPr>
          <w:lang w:val="fr-FR"/>
        </w:rPr>
        <w:t>.</w:t>
      </w:r>
    </w:p>
  </w:footnote>
  <w:footnote w:id="16">
    <w:p w14:paraId="24ACC001" w14:textId="2D59456F" w:rsidR="00380C16" w:rsidRPr="00270501" w:rsidRDefault="00322B0A" w:rsidP="00D372C3">
      <w:pPr>
        <w:pStyle w:val="Notedebasdepage"/>
        <w:rPr>
          <w:lang w:val="fr-FR"/>
        </w:rPr>
      </w:pPr>
      <w:r w:rsidRPr="00270501">
        <w:rPr>
          <w:rStyle w:val="Appelnotedebasdep"/>
          <w:lang w:val="fr-FR"/>
        </w:rPr>
        <w:footnoteRef/>
      </w:r>
      <w:r w:rsidRPr="00270501">
        <w:rPr>
          <w:lang w:val="fr-FR"/>
        </w:rPr>
        <w:t xml:space="preserve"> </w:t>
      </w:r>
      <w:r w:rsidR="00B86E52" w:rsidRPr="00270501">
        <w:rPr>
          <w:lang w:val="fr-FR"/>
        </w:rPr>
        <w:t>En raison du nombre limité de Parties ayant répondu, les résultats sont très sensibles aux réponses individuelles, ce qui peut influencer de manière disproportionnée les pourcentages indiqués</w:t>
      </w:r>
      <w:r w:rsidR="00363D9B" w:rsidRPr="00270501">
        <w:rPr>
          <w:lang w:val="fr-FR"/>
        </w:rPr>
        <w:t>.</w:t>
      </w:r>
    </w:p>
  </w:footnote>
  <w:footnote w:id="17">
    <w:p w14:paraId="778E0083" w14:textId="4F00263B" w:rsidR="004347AB" w:rsidRPr="00270501" w:rsidRDefault="004347AB" w:rsidP="008D0E14">
      <w:pPr>
        <w:pStyle w:val="Notedebasdepage"/>
        <w:rPr>
          <w:lang w:val="fr-FR"/>
        </w:rPr>
      </w:pPr>
      <w:r w:rsidRPr="00270501">
        <w:rPr>
          <w:rStyle w:val="Appelnotedebasdep"/>
          <w:lang w:val="fr-FR"/>
        </w:rPr>
        <w:footnoteRef/>
      </w:r>
      <w:r w:rsidRPr="00270501">
        <w:rPr>
          <w:lang w:val="fr-FR"/>
        </w:rPr>
        <w:t xml:space="preserve"> </w:t>
      </w:r>
      <w:r w:rsidR="004372AA" w:rsidRPr="00270501">
        <w:rPr>
          <w:lang w:val="fr-FR"/>
        </w:rPr>
        <w:t>À cette fin, les catégories de décisions suivantes ont été examinées</w:t>
      </w:r>
      <w:r w:rsidR="00CA1B90">
        <w:rPr>
          <w:lang w:val="fr-FR"/>
        </w:rPr>
        <w:t> :</w:t>
      </w:r>
      <w:r w:rsidR="004372AA" w:rsidRPr="00270501">
        <w:rPr>
          <w:lang w:val="fr-FR"/>
        </w:rPr>
        <w:t xml:space="preserve"> les décisions relatives aux organismes vivants modifiés destinés à être introduits intentionnellement dans l'environnement (</w:t>
      </w:r>
      <w:r w:rsidR="005C4B1A">
        <w:rPr>
          <w:lang w:val="fr-FR"/>
        </w:rPr>
        <w:t>en vertu de</w:t>
      </w:r>
      <w:r w:rsidR="004372AA" w:rsidRPr="00270501">
        <w:rPr>
          <w:lang w:val="fr-FR"/>
        </w:rPr>
        <w:t xml:space="preserve"> l'article 10 du Protocole de Cartagena ou </w:t>
      </w:r>
      <w:r w:rsidR="00DB64FB">
        <w:rPr>
          <w:lang w:val="fr-FR"/>
        </w:rPr>
        <w:t>du</w:t>
      </w:r>
      <w:r w:rsidR="004372AA" w:rsidRPr="00270501">
        <w:rPr>
          <w:lang w:val="fr-FR"/>
        </w:rPr>
        <w:t xml:space="preserve"> cadre réglementaire national)</w:t>
      </w:r>
      <w:r w:rsidR="00D560E8">
        <w:rPr>
          <w:lang w:val="fr-FR"/>
        </w:rPr>
        <w:t> ;</w:t>
      </w:r>
      <w:r w:rsidR="004372AA" w:rsidRPr="00270501">
        <w:rPr>
          <w:lang w:val="fr-FR"/>
        </w:rPr>
        <w:t xml:space="preserve"> et les décisions relatives à l'utilisation </w:t>
      </w:r>
      <w:r w:rsidR="00D857C4">
        <w:rPr>
          <w:lang w:val="fr-FR"/>
        </w:rPr>
        <w:t xml:space="preserve">à l’échelle </w:t>
      </w:r>
      <w:r w:rsidR="004372AA" w:rsidRPr="00270501">
        <w:rPr>
          <w:lang w:val="fr-FR"/>
        </w:rPr>
        <w:t xml:space="preserve">nationale d'un organisme vivant modifié destiné à être utilisé directement </w:t>
      </w:r>
      <w:r w:rsidR="006D211B">
        <w:rPr>
          <w:lang w:val="fr-FR"/>
        </w:rPr>
        <w:t>dans</w:t>
      </w:r>
      <w:r w:rsidR="004372AA" w:rsidRPr="00270501">
        <w:rPr>
          <w:lang w:val="fr-FR"/>
        </w:rPr>
        <w:t xml:space="preserve"> l'alimentation humaine ou animale, ou à être transformé, y compris sa mise sur le marché (article 11, paragraphe 1). Pour chacune des décisions relevant de ces catégories, </w:t>
      </w:r>
      <w:r w:rsidR="0055088F" w:rsidRPr="00270501">
        <w:rPr>
          <w:lang w:val="fr-FR"/>
        </w:rPr>
        <w:t>on a</w:t>
      </w:r>
      <w:r w:rsidR="004372AA" w:rsidRPr="00270501">
        <w:rPr>
          <w:lang w:val="fr-FR"/>
        </w:rPr>
        <w:t xml:space="preserve"> vérifié si un rapport d’évaluation des risques correspondant avait été présenté au Centre d’échange</w:t>
      </w:r>
      <w:r w:rsidRPr="00270501">
        <w:rPr>
          <w:lang w:val="fr-FR"/>
        </w:rPr>
        <w:t>.</w:t>
      </w:r>
    </w:p>
  </w:footnote>
  <w:footnote w:id="18">
    <w:p w14:paraId="56D3464D" w14:textId="0C3843CA" w:rsidR="002434BB" w:rsidRPr="00270501" w:rsidRDefault="002434BB" w:rsidP="005762B8">
      <w:pPr>
        <w:pStyle w:val="Notedebasdepage"/>
        <w:rPr>
          <w:lang w:val="fr-FR"/>
        </w:rPr>
      </w:pPr>
      <w:r w:rsidRPr="00270501">
        <w:rPr>
          <w:rStyle w:val="Appelnotedebasdep"/>
          <w:lang w:val="fr-FR"/>
        </w:rPr>
        <w:footnoteRef/>
      </w:r>
      <w:r w:rsidRPr="00270501">
        <w:rPr>
          <w:lang w:val="fr-FR"/>
        </w:rPr>
        <w:t xml:space="preserve"> </w:t>
      </w:r>
      <w:r w:rsidR="005762B8" w:rsidRPr="00270501">
        <w:rPr>
          <w:lang w:val="fr-FR"/>
        </w:rPr>
        <w:t>De plus amples informations sur le projet PNUE-FEM visant à renforcer les capacités de manière durable pour une participation efficace au Centre d'échange pour la prévention des risques biotechnologiques sont disponibles à l'adresse</w:t>
      </w:r>
      <w:r w:rsidR="000364AB">
        <w:rPr>
          <w:lang w:val="fr-FR"/>
        </w:rPr>
        <w:t xml:space="preserve"> suivante</w:t>
      </w:r>
      <w:r w:rsidR="00CA1B90">
        <w:rPr>
          <w:lang w:val="fr-FR"/>
        </w:rPr>
        <w:t> :</w:t>
      </w:r>
      <w:r w:rsidR="005762B8" w:rsidRPr="00270501">
        <w:rPr>
          <w:lang w:val="fr-FR"/>
        </w:rPr>
        <w:t xml:space="preserve"> </w:t>
      </w:r>
      <w:hyperlink r:id="rId4" w:history="1">
        <w:r w:rsidR="008868BE" w:rsidRPr="00270501">
          <w:rPr>
            <w:rStyle w:val="Lienhypertexte"/>
            <w:lang w:val="fr-FR"/>
          </w:rPr>
          <w:t>www.thegef.org/projects-operations/projects/5688</w:t>
        </w:r>
      </w:hyperlink>
      <w:r w:rsidR="00744C0D" w:rsidRPr="00270501">
        <w:rPr>
          <w:lang w:val="fr-FR"/>
        </w:rPr>
        <w:t>.</w:t>
      </w:r>
      <w:r w:rsidRPr="00270501">
        <w:rPr>
          <w:lang w:val="fr-FR"/>
        </w:rPr>
        <w:t xml:space="preserve"> </w:t>
      </w:r>
    </w:p>
  </w:footnote>
  <w:footnote w:id="19">
    <w:p w14:paraId="0DF143B8" w14:textId="634AF423" w:rsidR="007957CA" w:rsidRPr="00270501" w:rsidRDefault="007957CA" w:rsidP="007957CA">
      <w:pPr>
        <w:pStyle w:val="Notedebasdepage"/>
        <w:rPr>
          <w:lang w:val="fr-FR"/>
        </w:rPr>
      </w:pPr>
      <w:r w:rsidRPr="00270501">
        <w:rPr>
          <w:rStyle w:val="Appelnotedebasdep"/>
          <w:lang w:val="fr-FR"/>
        </w:rPr>
        <w:footnoteRef/>
      </w:r>
      <w:r w:rsidRPr="00270501">
        <w:rPr>
          <w:lang w:val="fr-FR"/>
        </w:rPr>
        <w:t xml:space="preserve"> </w:t>
      </w:r>
      <w:r w:rsidR="00AD470F" w:rsidRPr="00270501">
        <w:rPr>
          <w:lang w:val="fr-FR"/>
        </w:rPr>
        <w:t>Fondé sur le total de 162</w:t>
      </w:r>
      <w:r w:rsidR="008844E8">
        <w:rPr>
          <w:lang w:val="fr-FR"/>
        </w:rPr>
        <w:t> </w:t>
      </w:r>
      <w:r w:rsidR="00AD470F" w:rsidRPr="00270501">
        <w:rPr>
          <w:lang w:val="fr-FR"/>
        </w:rPr>
        <w:t>371 utilisateurs actifs du Centre d'échange pour la prévention des risques biotechnologiques au cours de cette période, comme indiqué au paragraphe</w:t>
      </w:r>
      <w:r w:rsidR="008844E8">
        <w:rPr>
          <w:lang w:val="fr-FR"/>
        </w:rPr>
        <w:t> </w:t>
      </w:r>
      <w:r w:rsidR="00AD470F" w:rsidRPr="00270501">
        <w:rPr>
          <w:lang w:val="fr-FR"/>
        </w:rPr>
        <w:t>50.</w:t>
      </w:r>
    </w:p>
  </w:footnote>
  <w:footnote w:id="20">
    <w:p w14:paraId="1D48DD00" w14:textId="7BB4DD8D" w:rsidR="0080087B" w:rsidRPr="00270501" w:rsidRDefault="0080087B">
      <w:pPr>
        <w:pStyle w:val="Notedebasdepage"/>
        <w:rPr>
          <w:lang w:val="fr-FR"/>
        </w:rPr>
      </w:pPr>
      <w:r w:rsidRPr="00270501">
        <w:rPr>
          <w:rStyle w:val="Appelnotedebasdep"/>
          <w:lang w:val="fr-FR"/>
        </w:rPr>
        <w:footnoteRef/>
      </w:r>
      <w:r w:rsidRPr="00270501">
        <w:rPr>
          <w:lang w:val="fr-FR"/>
        </w:rPr>
        <w:t xml:space="preserve"> </w:t>
      </w:r>
      <w:r w:rsidR="005612BC" w:rsidRPr="00270501">
        <w:rPr>
          <w:lang w:val="fr-FR"/>
        </w:rPr>
        <w:t>Conformément à la notification</w:t>
      </w:r>
      <w:r w:rsidR="008844E8">
        <w:rPr>
          <w:lang w:val="fr-FR"/>
        </w:rPr>
        <w:t> </w:t>
      </w:r>
      <w:r w:rsidRPr="00270501">
        <w:rPr>
          <w:lang w:val="fr-FR"/>
        </w:rPr>
        <w:t>2019-</w:t>
      </w:r>
      <w:r w:rsidR="001B2F75" w:rsidRPr="00270501">
        <w:rPr>
          <w:lang w:val="fr-FR"/>
        </w:rPr>
        <w:t>0</w:t>
      </w:r>
      <w:r w:rsidRPr="00270501">
        <w:rPr>
          <w:lang w:val="fr-FR"/>
        </w:rPr>
        <w:t>19.</w:t>
      </w:r>
    </w:p>
  </w:footnote>
  <w:footnote w:id="21">
    <w:p w14:paraId="6C4F3F67" w14:textId="7EE2AA26" w:rsidR="00AA0020" w:rsidRPr="00270501" w:rsidRDefault="00AA0020">
      <w:pPr>
        <w:pStyle w:val="Notedebasdepage"/>
        <w:rPr>
          <w:lang w:val="fr-FR"/>
        </w:rPr>
      </w:pPr>
      <w:r w:rsidRPr="00270501">
        <w:rPr>
          <w:rStyle w:val="Appelnotedebasdep"/>
          <w:lang w:val="fr-FR"/>
        </w:rPr>
        <w:footnoteRef/>
      </w:r>
      <w:r w:rsidRPr="00270501">
        <w:rPr>
          <w:lang w:val="fr-FR"/>
        </w:rPr>
        <w:t xml:space="preserve"> </w:t>
      </w:r>
      <w:r w:rsidR="00590EED" w:rsidRPr="00270501">
        <w:rPr>
          <w:lang w:val="fr-FR"/>
        </w:rPr>
        <w:t>Au 2 mars 2026, 129 rapports avaient été soumis par les Parties, dont un hors ligne. Cela représentait un taux de présentation de 75</w:t>
      </w:r>
      <w:r w:rsidR="00667501">
        <w:rPr>
          <w:lang w:val="fr-FR"/>
        </w:rPr>
        <w:t> %</w:t>
      </w:r>
      <w:r w:rsidR="00590EED" w:rsidRPr="00270501">
        <w:rPr>
          <w:lang w:val="fr-FR"/>
        </w:rPr>
        <w:t xml:space="preserve"> au moment où la préparation du présent document d'analyse a débuté. À titre de comparaison, l'analyse du quatrième exercice d'évaluation et d'examen avait été préparée sur la base des quatrièmes rapports nationaux présentés à date du 15 janvier 2020. À cette date, 99</w:t>
      </w:r>
      <w:r w:rsidR="004C106C" w:rsidRPr="00270501">
        <w:rPr>
          <w:lang w:val="fr-FR"/>
        </w:rPr>
        <w:t> </w:t>
      </w:r>
      <w:r w:rsidR="00590EED" w:rsidRPr="00270501">
        <w:rPr>
          <w:lang w:val="fr-FR"/>
        </w:rPr>
        <w:t>quatrièmes rapports nationaux avaient été reçus, ce qui représentait un taux de soumission de 58</w:t>
      </w:r>
      <w:r w:rsidR="00667501">
        <w:rPr>
          <w:lang w:val="fr-FR"/>
        </w:rPr>
        <w:t> %</w:t>
      </w:r>
      <w:r w:rsidR="00590EED" w:rsidRPr="00270501">
        <w:rPr>
          <w:lang w:val="fr-FR"/>
        </w:rPr>
        <w:t xml:space="preserve"> (voir le document CBD/SBI/3/3/Add.1, paragraphe</w:t>
      </w:r>
      <w:r w:rsidR="00030445" w:rsidRPr="00270501">
        <w:rPr>
          <w:lang w:val="fr-FR"/>
        </w:rPr>
        <w:t> </w:t>
      </w:r>
      <w:r w:rsidR="00590EED" w:rsidRPr="00270501">
        <w:rPr>
          <w:lang w:val="fr-FR"/>
        </w:rPr>
        <w:t>148).</w:t>
      </w:r>
    </w:p>
  </w:footnote>
  <w:footnote w:id="22">
    <w:p w14:paraId="0131AC6D" w14:textId="7AE45833" w:rsidR="002B737B" w:rsidRPr="00270501" w:rsidRDefault="002B737B">
      <w:pPr>
        <w:pStyle w:val="Notedebasdepage"/>
        <w:rPr>
          <w:lang w:val="fr-FR"/>
        </w:rPr>
      </w:pPr>
      <w:r w:rsidRPr="00270501">
        <w:rPr>
          <w:rStyle w:val="Appelnotedebasdep"/>
          <w:lang w:val="fr-FR"/>
        </w:rPr>
        <w:footnoteRef/>
      </w:r>
      <w:r w:rsidRPr="00270501">
        <w:rPr>
          <w:lang w:val="fr-FR"/>
        </w:rPr>
        <w:t xml:space="preserve"> </w:t>
      </w:r>
      <w:r w:rsidR="000D7AC6" w:rsidRPr="00270501">
        <w:rPr>
          <w:lang w:val="fr-FR"/>
        </w:rPr>
        <w:t>Voir</w:t>
      </w:r>
      <w:r w:rsidR="00CA64B5" w:rsidRPr="00270501">
        <w:rPr>
          <w:lang w:val="fr-FR"/>
        </w:rPr>
        <w:t xml:space="preserve"> </w:t>
      </w:r>
      <w:hyperlink r:id="rId5" w:history="1">
        <w:r w:rsidR="0041255A" w:rsidRPr="00270501">
          <w:rPr>
            <w:rStyle w:val="Lienhypertexte"/>
            <w:lang w:val="fr-FR"/>
          </w:rPr>
          <w:t>https://bch.cbd.int/fr/kb/tags/nr5/Frequently-Asked-Questions-Fifth-National-Report/6529434b05aa4d43a9bf0936</w:t>
        </w:r>
      </w:hyperlink>
      <w:r w:rsidR="00B059E5" w:rsidRPr="00270501">
        <w:rPr>
          <w:lang w:val="fr-FR"/>
        </w:rPr>
        <w:t>.</w:t>
      </w:r>
    </w:p>
  </w:footnote>
  <w:footnote w:id="23">
    <w:p w14:paraId="291257B3" w14:textId="557B55B5" w:rsidR="0003709C" w:rsidRPr="00270501" w:rsidRDefault="0003709C" w:rsidP="0003709C">
      <w:pPr>
        <w:pStyle w:val="Notedebasdepage"/>
        <w:rPr>
          <w:lang w:val="fr-FR"/>
        </w:rPr>
      </w:pPr>
      <w:r w:rsidRPr="00270501">
        <w:rPr>
          <w:rStyle w:val="Appelnotedebasdep"/>
          <w:lang w:val="fr-FR"/>
        </w:rPr>
        <w:footnoteRef/>
      </w:r>
      <w:r w:rsidRPr="00270501">
        <w:rPr>
          <w:lang w:val="fr-FR"/>
        </w:rPr>
        <w:t xml:space="preserve"> D</w:t>
      </w:r>
      <w:r w:rsidR="003168F1" w:rsidRPr="00270501">
        <w:rPr>
          <w:lang w:val="fr-FR"/>
        </w:rPr>
        <w:t>é</w:t>
      </w:r>
      <w:r w:rsidRPr="00270501">
        <w:rPr>
          <w:lang w:val="fr-FR"/>
        </w:rPr>
        <w:t>cision</w:t>
      </w:r>
      <w:r w:rsidR="003168F1" w:rsidRPr="00270501">
        <w:rPr>
          <w:lang w:val="fr-FR"/>
        </w:rPr>
        <w:t> </w:t>
      </w:r>
      <w:hyperlink r:id="rId6" w:history="1">
        <w:r w:rsidRPr="00270501">
          <w:rPr>
            <w:rStyle w:val="Lienhypertexte"/>
            <w:lang w:val="fr-FR"/>
          </w:rPr>
          <w:t>CP-10/7</w:t>
        </w:r>
      </w:hyperlink>
      <w:r w:rsidRPr="00270501">
        <w:rPr>
          <w:lang w:val="fr-FR"/>
        </w:rPr>
        <w:t>, par. 42.</w:t>
      </w:r>
    </w:p>
  </w:footnote>
  <w:footnote w:id="24">
    <w:p w14:paraId="3FBB2D91" w14:textId="5F0B26A3" w:rsidR="0003709C" w:rsidRPr="00270501" w:rsidRDefault="0003709C" w:rsidP="0003709C">
      <w:pPr>
        <w:pStyle w:val="Notedebasdepage"/>
        <w:rPr>
          <w:lang w:val="fr-FR"/>
        </w:rPr>
      </w:pPr>
      <w:r w:rsidRPr="00270501">
        <w:rPr>
          <w:rStyle w:val="Appelnotedebasdep"/>
          <w:lang w:val="fr-FR"/>
        </w:rPr>
        <w:footnoteRef/>
      </w:r>
      <w:r w:rsidRPr="00270501">
        <w:rPr>
          <w:lang w:val="fr-FR"/>
        </w:rPr>
        <w:t xml:space="preserve"> </w:t>
      </w:r>
      <w:r w:rsidR="003168F1" w:rsidRPr="00270501">
        <w:rPr>
          <w:snapToGrid w:val="0"/>
          <w:kern w:val="22"/>
          <w:lang w:val="fr-FR"/>
        </w:rPr>
        <w:t>Conformément à la</w:t>
      </w:r>
      <w:r w:rsidRPr="00270501">
        <w:rPr>
          <w:snapToGrid w:val="0"/>
          <w:kern w:val="22"/>
          <w:lang w:val="fr-FR"/>
        </w:rPr>
        <w:t xml:space="preserve"> sect.</w:t>
      </w:r>
      <w:r w:rsidR="003168F1" w:rsidRPr="00270501">
        <w:rPr>
          <w:snapToGrid w:val="0"/>
          <w:kern w:val="22"/>
          <w:lang w:val="fr-FR"/>
        </w:rPr>
        <w:t> </w:t>
      </w:r>
      <w:r w:rsidRPr="00270501">
        <w:rPr>
          <w:snapToGrid w:val="0"/>
          <w:kern w:val="22"/>
          <w:lang w:val="fr-FR"/>
        </w:rPr>
        <w:t xml:space="preserve">VI, </w:t>
      </w:r>
      <w:r w:rsidR="003168F1" w:rsidRPr="00270501">
        <w:rPr>
          <w:snapToGrid w:val="0"/>
          <w:kern w:val="22"/>
          <w:lang w:val="fr-FR"/>
        </w:rPr>
        <w:t>alinéa </w:t>
      </w:r>
      <w:r w:rsidRPr="00270501">
        <w:rPr>
          <w:snapToGrid w:val="0"/>
          <w:kern w:val="22"/>
          <w:lang w:val="fr-FR"/>
        </w:rPr>
        <w:t>2</w:t>
      </w:r>
      <w:r w:rsidR="003168F1" w:rsidRPr="00270501">
        <w:rPr>
          <w:snapToGrid w:val="0"/>
          <w:kern w:val="22"/>
          <w:lang w:val="fr-FR"/>
        </w:rPr>
        <w:t> </w:t>
      </w:r>
      <w:r w:rsidRPr="00270501">
        <w:rPr>
          <w:snapToGrid w:val="0"/>
          <w:kern w:val="22"/>
          <w:lang w:val="fr-FR"/>
        </w:rPr>
        <w:t>b</w:t>
      </w:r>
      <w:r w:rsidR="00270501">
        <w:rPr>
          <w:snapToGrid w:val="0"/>
          <w:kern w:val="22"/>
          <w:lang w:val="fr-FR"/>
        </w:rPr>
        <w:t xml:space="preserve">) </w:t>
      </w:r>
      <w:r w:rsidR="00270501" w:rsidRPr="00270501">
        <w:rPr>
          <w:snapToGrid w:val="0"/>
          <w:kern w:val="22"/>
          <w:lang w:val="fr-FR"/>
        </w:rPr>
        <w:t>des procédures et mécanismes relatifs au respect des dispositions du Protocole de Cartagena sur la prévention des risques biotechnologiques, tels qu’ils figurent à l’annexe à la décision</w:t>
      </w:r>
      <w:r w:rsidR="008704CD">
        <w:rPr>
          <w:snapToGrid w:val="0"/>
          <w:kern w:val="22"/>
          <w:lang w:val="fr-FR"/>
        </w:rPr>
        <w:t> </w:t>
      </w:r>
      <w:r w:rsidR="00270501" w:rsidRPr="00270501">
        <w:rPr>
          <w:snapToGrid w:val="0"/>
          <w:kern w:val="22"/>
          <w:lang w:val="fr-FR"/>
        </w:rPr>
        <w:t>BS-I/7 de la Conférence des Parties siégeant en tant que réunion des Parties au Protocole</w:t>
      </w:r>
      <w:r w:rsidRPr="00270501">
        <w:rPr>
          <w:snapToGrid w:val="0"/>
          <w:kern w:val="22"/>
          <w:lang w:val="fr-FR"/>
        </w:rPr>
        <w:t>.</w:t>
      </w:r>
    </w:p>
  </w:footnote>
  <w:footnote w:id="25">
    <w:p w14:paraId="0ACFEEB8" w14:textId="68209660" w:rsidR="0003709C" w:rsidRPr="00270501" w:rsidRDefault="0003709C" w:rsidP="0003709C">
      <w:pPr>
        <w:pStyle w:val="Notedebasdepage"/>
        <w:rPr>
          <w:lang w:val="fr-FR"/>
        </w:rPr>
      </w:pPr>
      <w:r w:rsidRPr="00270501">
        <w:rPr>
          <w:rStyle w:val="Appelnotedebasdep"/>
          <w:lang w:val="fr-FR"/>
        </w:rPr>
        <w:footnoteRef/>
      </w:r>
      <w:r w:rsidRPr="00270501">
        <w:rPr>
          <w:lang w:val="fr-FR"/>
        </w:rPr>
        <w:t xml:space="preserve"> </w:t>
      </w:r>
      <w:r w:rsidR="00270501">
        <w:rPr>
          <w:lang w:val="fr-FR"/>
        </w:rPr>
        <w:t xml:space="preserve">Voir le </w:t>
      </w:r>
      <w:r w:rsidRPr="00270501">
        <w:rPr>
          <w:lang w:val="fr-FR"/>
        </w:rPr>
        <w:t>document</w:t>
      </w:r>
      <w:r w:rsidR="00270501">
        <w:rPr>
          <w:lang w:val="fr-FR"/>
        </w:rPr>
        <w:t> </w:t>
      </w:r>
      <w:r w:rsidRPr="00270501">
        <w:rPr>
          <w:lang w:val="fr-FR"/>
        </w:rPr>
        <w:t>CBD/CP/CC/19/5, par.</w:t>
      </w:r>
      <w:r w:rsidR="00270501">
        <w:rPr>
          <w:lang w:val="fr-FR"/>
        </w:rPr>
        <w:t> </w:t>
      </w:r>
      <w:r w:rsidRPr="00270501">
        <w:rPr>
          <w:lang w:val="fr-FR"/>
        </w:rPr>
        <w:t>25.</w:t>
      </w:r>
    </w:p>
  </w:footnote>
  <w:footnote w:id="26">
    <w:p w14:paraId="6605B08E" w14:textId="19A52443" w:rsidR="0003709C" w:rsidRPr="00270501" w:rsidRDefault="0003709C" w:rsidP="0003709C">
      <w:pPr>
        <w:pStyle w:val="Notedebasdepage"/>
        <w:rPr>
          <w:lang w:val="fr-FR"/>
        </w:rPr>
      </w:pPr>
      <w:r w:rsidRPr="00270501">
        <w:rPr>
          <w:rStyle w:val="Appelnotedebasdep"/>
          <w:lang w:val="fr-FR"/>
        </w:rPr>
        <w:footnoteRef/>
      </w:r>
      <w:r w:rsidRPr="00270501">
        <w:rPr>
          <w:lang w:val="fr-FR"/>
        </w:rPr>
        <w:t xml:space="preserve"> Ibid., par.</w:t>
      </w:r>
      <w:r w:rsidR="00FD77E5">
        <w:rPr>
          <w:lang w:val="fr-FR"/>
        </w:rPr>
        <w:t> </w:t>
      </w:r>
      <w:r w:rsidRPr="00270501">
        <w:rPr>
          <w:lang w:val="fr-FR"/>
        </w:rPr>
        <w:t>45-46.</w:t>
      </w:r>
    </w:p>
  </w:footnote>
  <w:footnote w:id="27">
    <w:p w14:paraId="17D605FA" w14:textId="334F2E6B" w:rsidR="003F1FFD" w:rsidRPr="00270501" w:rsidRDefault="003F1FFD" w:rsidP="003F1FFD">
      <w:pPr>
        <w:pStyle w:val="Notedebasdepage"/>
        <w:rPr>
          <w:lang w:val="fr-FR"/>
        </w:rPr>
      </w:pPr>
      <w:r w:rsidRPr="00270501">
        <w:rPr>
          <w:rStyle w:val="Appelnotedebasdep"/>
          <w:lang w:val="fr-FR"/>
        </w:rPr>
        <w:footnoteRef/>
      </w:r>
      <w:r w:rsidRPr="00270501">
        <w:rPr>
          <w:lang w:val="fr-FR"/>
        </w:rPr>
        <w:t xml:space="preserve"> </w:t>
      </w:r>
      <w:r w:rsidR="00F35DB9">
        <w:rPr>
          <w:lang w:val="fr-FR"/>
        </w:rPr>
        <w:t>En réponse à la question </w:t>
      </w:r>
      <w:r w:rsidRPr="00270501">
        <w:rPr>
          <w:lang w:val="fr-FR"/>
        </w:rPr>
        <w:t>69</w:t>
      </w:r>
      <w:r w:rsidR="00F35DB9">
        <w:rPr>
          <w:lang w:val="fr-FR"/>
        </w:rPr>
        <w:t> </w:t>
      </w:r>
      <w:r w:rsidRPr="00270501">
        <w:rPr>
          <w:lang w:val="fr-FR"/>
        </w:rPr>
        <w:t xml:space="preserve">c) </w:t>
      </w:r>
      <w:r w:rsidR="00F35DB9">
        <w:rPr>
          <w:lang w:val="fr-FR"/>
        </w:rPr>
        <w:t>du cinquième rapport national.</w:t>
      </w:r>
    </w:p>
  </w:footnote>
  <w:footnote w:id="28">
    <w:p w14:paraId="08AFF84D" w14:textId="6ECC5313" w:rsidR="003F1FFD" w:rsidRPr="00270501" w:rsidRDefault="003F1FFD" w:rsidP="003F1FFD">
      <w:pPr>
        <w:pStyle w:val="Notedebasdepage"/>
        <w:rPr>
          <w:lang w:val="fr-FR"/>
        </w:rPr>
      </w:pPr>
      <w:r w:rsidRPr="00270501">
        <w:rPr>
          <w:rStyle w:val="Appelnotedebasdep"/>
          <w:lang w:val="fr-FR"/>
        </w:rPr>
        <w:footnoteRef/>
      </w:r>
      <w:r w:rsidRPr="00270501">
        <w:rPr>
          <w:lang w:val="fr-FR"/>
        </w:rPr>
        <w:t xml:space="preserve"> </w:t>
      </w:r>
      <w:r w:rsidR="00F35DB9">
        <w:rPr>
          <w:lang w:val="fr-FR"/>
        </w:rPr>
        <w:t>En réponse à la question </w:t>
      </w:r>
      <w:r w:rsidRPr="00270501">
        <w:rPr>
          <w:lang w:val="fr-FR"/>
        </w:rPr>
        <w:t>70</w:t>
      </w:r>
      <w:r w:rsidR="00F35DB9">
        <w:rPr>
          <w:lang w:val="fr-FR"/>
        </w:rPr>
        <w:t> </w:t>
      </w:r>
      <w:r w:rsidRPr="00270501">
        <w:rPr>
          <w:lang w:val="fr-FR"/>
        </w:rPr>
        <w:t xml:space="preserve">a) </w:t>
      </w:r>
      <w:r w:rsidR="00F35DB9">
        <w:rPr>
          <w:lang w:val="fr-FR"/>
        </w:rPr>
        <w:t>du cinquième rapport national</w:t>
      </w:r>
      <w:r w:rsidRPr="00270501">
        <w:rPr>
          <w:lang w:val="fr-FR"/>
        </w:rPr>
        <w:t>.</w:t>
      </w:r>
    </w:p>
  </w:footnote>
  <w:footnote w:id="29">
    <w:p w14:paraId="61D56974" w14:textId="4F7AA0A5" w:rsidR="003F1FFD" w:rsidRPr="00270501" w:rsidRDefault="003F1FFD" w:rsidP="003F1FFD">
      <w:pPr>
        <w:pStyle w:val="Notedebasdepage"/>
        <w:rPr>
          <w:lang w:val="fr-FR"/>
        </w:rPr>
      </w:pPr>
      <w:r w:rsidRPr="00270501">
        <w:rPr>
          <w:rStyle w:val="Appelnotedebasdep"/>
          <w:lang w:val="fr-FR"/>
        </w:rPr>
        <w:footnoteRef/>
      </w:r>
      <w:r w:rsidRPr="00270501">
        <w:rPr>
          <w:lang w:val="fr-FR"/>
        </w:rPr>
        <w:t xml:space="preserve"> </w:t>
      </w:r>
      <w:r w:rsidR="00F35DB9">
        <w:rPr>
          <w:lang w:val="fr-FR"/>
        </w:rPr>
        <w:t>En réponse à la question </w:t>
      </w:r>
      <w:r w:rsidRPr="00270501">
        <w:rPr>
          <w:lang w:val="fr-FR"/>
        </w:rPr>
        <w:t>70</w:t>
      </w:r>
      <w:r w:rsidR="00F35DB9">
        <w:rPr>
          <w:lang w:val="fr-FR"/>
        </w:rPr>
        <w:t> </w:t>
      </w:r>
      <w:r w:rsidRPr="00270501">
        <w:rPr>
          <w:lang w:val="fr-FR"/>
        </w:rPr>
        <w:t xml:space="preserve">b) </w:t>
      </w:r>
      <w:r w:rsidR="00F35DB9">
        <w:rPr>
          <w:lang w:val="fr-FR"/>
        </w:rPr>
        <w:t>du cinquième rapport national.</w:t>
      </w:r>
    </w:p>
  </w:footnote>
  <w:footnote w:id="30">
    <w:p w14:paraId="533B6BEB" w14:textId="77777777" w:rsidR="003F1FFD" w:rsidRPr="00270501" w:rsidRDefault="003F1FFD" w:rsidP="003F1FFD">
      <w:pPr>
        <w:pStyle w:val="Notedebasdepage"/>
        <w:rPr>
          <w:lang w:val="fr-FR"/>
        </w:rPr>
      </w:pPr>
      <w:r w:rsidRPr="00270501">
        <w:rPr>
          <w:rStyle w:val="Appelnotedebasdep"/>
          <w:lang w:val="fr-FR"/>
        </w:rPr>
        <w:footnoteRef/>
      </w:r>
      <w:r w:rsidRPr="00270501">
        <w:rPr>
          <w:lang w:val="fr-FR"/>
        </w:rPr>
        <w:t xml:space="preserve"> </w:t>
      </w:r>
      <w:hyperlink r:id="rId7" w:history="1">
        <w:r w:rsidRPr="00270501">
          <w:rPr>
            <w:rStyle w:val="Lienhypertexte"/>
            <w:lang w:val="fr-FR"/>
          </w:rPr>
          <w:t>CBD/CP/RARM/OM/2022/1/2</w:t>
        </w:r>
      </w:hyperlink>
      <w:r w:rsidRPr="00270501">
        <w:rPr>
          <w:lang w:val="fr-FR"/>
        </w:rPr>
        <w:t>.</w:t>
      </w:r>
    </w:p>
  </w:footnote>
  <w:footnote w:id="31">
    <w:p w14:paraId="29A7FBFA" w14:textId="77777777" w:rsidR="003F1FFD" w:rsidRPr="00270501" w:rsidRDefault="003F1FFD" w:rsidP="003F1FFD">
      <w:pPr>
        <w:pStyle w:val="Notedebasdepage"/>
        <w:rPr>
          <w:lang w:val="fr-FR"/>
        </w:rPr>
      </w:pPr>
      <w:r w:rsidRPr="00270501">
        <w:rPr>
          <w:rStyle w:val="Appelnotedebasdep"/>
          <w:lang w:val="fr-FR"/>
        </w:rPr>
        <w:footnoteRef/>
      </w:r>
      <w:r w:rsidRPr="00270501">
        <w:rPr>
          <w:lang w:val="fr-FR"/>
        </w:rPr>
        <w:t xml:space="preserve"> </w:t>
      </w:r>
      <w:hyperlink r:id="rId8" w:history="1">
        <w:r w:rsidRPr="00270501">
          <w:rPr>
            <w:rStyle w:val="Lienhypertexte"/>
            <w:lang w:val="fr-FR"/>
          </w:rPr>
          <w:t>CBD/CP/RARM/OM/2022/2/2</w:t>
        </w:r>
      </w:hyperlink>
      <w:r w:rsidRPr="00270501">
        <w:rPr>
          <w:lang w:val="fr-FR"/>
        </w:rPr>
        <w:t>.</w:t>
      </w:r>
    </w:p>
  </w:footnote>
  <w:footnote w:id="32">
    <w:p w14:paraId="2C7A64FD" w14:textId="77777777" w:rsidR="003F1FFD" w:rsidRPr="00270501" w:rsidRDefault="003F1FFD" w:rsidP="003F1FFD">
      <w:pPr>
        <w:pStyle w:val="Notedebasdepage"/>
        <w:rPr>
          <w:lang w:val="fr-FR"/>
        </w:rPr>
      </w:pPr>
      <w:r w:rsidRPr="00270501">
        <w:rPr>
          <w:rStyle w:val="Appelnotedebasdep"/>
          <w:lang w:val="fr-FR"/>
        </w:rPr>
        <w:footnoteRef/>
      </w:r>
      <w:r w:rsidRPr="00270501">
        <w:rPr>
          <w:lang w:val="fr-FR"/>
        </w:rPr>
        <w:t xml:space="preserve"> </w:t>
      </w:r>
      <w:hyperlink r:id="rId9" w:history="1">
        <w:r w:rsidRPr="00270501">
          <w:rPr>
            <w:rStyle w:val="Lienhypertexte"/>
            <w:lang w:val="fr-FR"/>
          </w:rPr>
          <w:t>CBD/CP/RARM/OM/2022/3/2</w:t>
        </w:r>
      </w:hyperlink>
      <w:r w:rsidRPr="00270501">
        <w:rPr>
          <w:lang w:val="fr-FR"/>
        </w:rPr>
        <w:t>.</w:t>
      </w:r>
    </w:p>
  </w:footnote>
  <w:footnote w:id="33">
    <w:p w14:paraId="6E80F61B" w14:textId="77777777" w:rsidR="003F1FFD" w:rsidRPr="00270501" w:rsidRDefault="003F1FFD" w:rsidP="003F1FFD">
      <w:pPr>
        <w:pStyle w:val="Notedebasdepage"/>
        <w:rPr>
          <w:lang w:val="fr-FR"/>
        </w:rPr>
      </w:pPr>
      <w:r w:rsidRPr="00270501">
        <w:rPr>
          <w:rStyle w:val="Appelnotedebasdep"/>
          <w:lang w:val="fr-FR"/>
        </w:rPr>
        <w:footnoteRef/>
      </w:r>
      <w:r w:rsidRPr="00270501">
        <w:rPr>
          <w:lang w:val="fr-FR"/>
        </w:rPr>
        <w:t xml:space="preserve"> </w:t>
      </w:r>
      <w:hyperlink r:id="rId10" w:history="1">
        <w:r w:rsidRPr="00270501">
          <w:rPr>
            <w:rStyle w:val="Lienhypertexte"/>
            <w:lang w:val="fr-FR"/>
          </w:rPr>
          <w:t>CBD/CP/RA/OM/2024/1/2</w:t>
        </w:r>
      </w:hyperlink>
      <w:r w:rsidRPr="00270501">
        <w:rPr>
          <w:lang w:val="fr-FR"/>
        </w:rPr>
        <w:t>.</w:t>
      </w:r>
    </w:p>
  </w:footnote>
  <w:footnote w:id="34">
    <w:p w14:paraId="646E4C7D" w14:textId="77777777" w:rsidR="003F1FFD" w:rsidRPr="00270501" w:rsidRDefault="003F1FFD" w:rsidP="003F1FFD">
      <w:pPr>
        <w:pStyle w:val="Notedebasdepage"/>
        <w:rPr>
          <w:lang w:val="fr-FR"/>
        </w:rPr>
      </w:pPr>
      <w:r w:rsidRPr="00270501">
        <w:rPr>
          <w:rStyle w:val="Appelnotedebasdep"/>
          <w:lang w:val="fr-FR"/>
        </w:rPr>
        <w:footnoteRef/>
      </w:r>
      <w:r w:rsidRPr="00270501">
        <w:rPr>
          <w:lang w:val="fr-FR"/>
        </w:rPr>
        <w:t xml:space="preserve"> </w:t>
      </w:r>
      <w:hyperlink r:id="rId11" w:history="1">
        <w:r w:rsidRPr="00270501">
          <w:rPr>
            <w:rStyle w:val="Lienhypertexte"/>
            <w:lang w:val="fr-FR"/>
          </w:rPr>
          <w:t>CBD/CP/RA/OM/2025/1/2</w:t>
        </w:r>
      </w:hyperlink>
      <w:r w:rsidRPr="00270501">
        <w:rPr>
          <w:lang w:val="fr-FR"/>
        </w:rPr>
        <w:t>.</w:t>
      </w:r>
    </w:p>
  </w:footnote>
  <w:footnote w:id="35">
    <w:p w14:paraId="2281DBFB" w14:textId="5FFE65D0" w:rsidR="00C03AEF" w:rsidRPr="005A57E6" w:rsidRDefault="00C03AEF" w:rsidP="005A57E6">
      <w:pPr>
        <w:rPr>
          <w:sz w:val="18"/>
          <w:szCs w:val="20"/>
          <w:lang w:val="fr-FR"/>
        </w:rPr>
      </w:pPr>
      <w:r w:rsidRPr="00270501">
        <w:rPr>
          <w:rStyle w:val="Appelnotedebasdep"/>
          <w:lang w:val="fr-FR"/>
        </w:rPr>
        <w:footnoteRef/>
      </w:r>
      <w:r w:rsidRPr="00270501">
        <w:rPr>
          <w:lang w:val="fr-FR"/>
        </w:rPr>
        <w:t xml:space="preserve"> </w:t>
      </w:r>
      <w:r w:rsidR="005A57E6" w:rsidRPr="005A57E6">
        <w:rPr>
          <w:sz w:val="18"/>
          <w:szCs w:val="20"/>
          <w:lang w:val="fr-FR"/>
        </w:rPr>
        <w:t>Dans le quatrième rapport national, les Parties ne pouvaient répondre à la question associée que par «</w:t>
      </w:r>
      <w:r w:rsidR="005A57E6">
        <w:rPr>
          <w:sz w:val="18"/>
          <w:szCs w:val="20"/>
          <w:lang w:val="fr-FR"/>
        </w:rPr>
        <w:t> </w:t>
      </w:r>
      <w:r w:rsidR="005A57E6" w:rsidRPr="005A57E6">
        <w:rPr>
          <w:sz w:val="18"/>
          <w:szCs w:val="20"/>
          <w:lang w:val="fr-FR"/>
        </w:rPr>
        <w:t>oui</w:t>
      </w:r>
      <w:r w:rsidR="005A57E6">
        <w:rPr>
          <w:sz w:val="18"/>
          <w:szCs w:val="20"/>
          <w:lang w:val="fr-FR"/>
        </w:rPr>
        <w:t> </w:t>
      </w:r>
      <w:r w:rsidR="005A57E6" w:rsidRPr="005A57E6">
        <w:rPr>
          <w:sz w:val="18"/>
          <w:szCs w:val="20"/>
          <w:lang w:val="fr-FR"/>
        </w:rPr>
        <w:t>» ou «</w:t>
      </w:r>
      <w:r w:rsidR="005A57E6">
        <w:rPr>
          <w:sz w:val="18"/>
          <w:szCs w:val="20"/>
          <w:lang w:val="fr-FR"/>
        </w:rPr>
        <w:t> </w:t>
      </w:r>
      <w:r w:rsidR="005A57E6" w:rsidRPr="005A57E6">
        <w:rPr>
          <w:sz w:val="18"/>
          <w:szCs w:val="20"/>
          <w:lang w:val="fr-FR"/>
        </w:rPr>
        <w:t>non</w:t>
      </w:r>
      <w:r w:rsidR="005A57E6">
        <w:rPr>
          <w:sz w:val="18"/>
          <w:szCs w:val="20"/>
          <w:lang w:val="fr-FR"/>
        </w:rPr>
        <w:t> </w:t>
      </w:r>
      <w:r w:rsidR="005A57E6" w:rsidRPr="005A57E6">
        <w:rPr>
          <w:sz w:val="18"/>
          <w:szCs w:val="20"/>
          <w:lang w:val="fr-FR"/>
        </w:rPr>
        <w:t>».</w:t>
      </w:r>
    </w:p>
  </w:footnote>
  <w:footnote w:id="36">
    <w:p w14:paraId="53DB4FE0" w14:textId="7ADAE90F" w:rsidR="00607078" w:rsidRPr="00270501" w:rsidRDefault="00607078" w:rsidP="00607078">
      <w:pPr>
        <w:pStyle w:val="Notedebasdepage"/>
        <w:rPr>
          <w:lang w:val="fr-FR"/>
        </w:rPr>
      </w:pPr>
      <w:r w:rsidRPr="00270501">
        <w:rPr>
          <w:rStyle w:val="Appelnotedebasdep"/>
          <w:lang w:val="fr-FR"/>
        </w:rPr>
        <w:footnoteRef/>
      </w:r>
      <w:r w:rsidRPr="00270501">
        <w:rPr>
          <w:lang w:val="fr-FR"/>
        </w:rPr>
        <w:t xml:space="preserve"> </w:t>
      </w:r>
      <w:r w:rsidR="00E6190B" w:rsidRPr="00E6190B">
        <w:rPr>
          <w:lang w:val="fr-FR"/>
        </w:rPr>
        <w:t>Dans leur quatrième rapport national, les Parties n’avaient pas la possibilité de répondre à la question correspondante par «</w:t>
      </w:r>
      <w:r w:rsidR="00E6190B">
        <w:rPr>
          <w:lang w:val="fr-FR"/>
        </w:rPr>
        <w:t> </w:t>
      </w:r>
      <w:r w:rsidR="00E6190B" w:rsidRPr="00E6190B">
        <w:rPr>
          <w:lang w:val="fr-FR"/>
        </w:rPr>
        <w:t>oui, dans une certaine mesure</w:t>
      </w:r>
      <w:r w:rsidR="00E6190B">
        <w:rPr>
          <w:lang w:val="fr-FR"/>
        </w:rPr>
        <w:t> </w:t>
      </w:r>
      <w:r w:rsidR="00E6190B" w:rsidRPr="00E6190B">
        <w:rPr>
          <w:lang w:val="fr-FR"/>
        </w:rPr>
        <w:t>». C’est sans doute la raison pour laquelle un nombre décroissant de Parties ont répondu «</w:t>
      </w:r>
      <w:r w:rsidR="00C96228">
        <w:rPr>
          <w:lang w:val="fr-FR"/>
        </w:rPr>
        <w:t> </w:t>
      </w:r>
      <w:r w:rsidR="00E6190B" w:rsidRPr="00E6190B">
        <w:rPr>
          <w:lang w:val="fr-FR"/>
        </w:rPr>
        <w:t>oui</w:t>
      </w:r>
      <w:r w:rsidR="00C96228">
        <w:rPr>
          <w:lang w:val="fr-FR"/>
        </w:rPr>
        <w:t> </w:t>
      </w:r>
      <w:r w:rsidR="00E6190B" w:rsidRPr="00E6190B">
        <w:rPr>
          <w:lang w:val="fr-FR"/>
        </w:rPr>
        <w:t>» à cette même question dans le cinquième rapport national</w:t>
      </w:r>
      <w:r w:rsidRPr="00270501">
        <w:rPr>
          <w:lang w:val="fr-FR"/>
        </w:rPr>
        <w:t>.</w:t>
      </w:r>
    </w:p>
  </w:footnote>
  <w:footnote w:id="37">
    <w:p w14:paraId="7C83A47B" w14:textId="1FEEA3F4" w:rsidR="00FD5507" w:rsidRPr="00270501" w:rsidRDefault="00FD5507" w:rsidP="00FD5507">
      <w:pPr>
        <w:pStyle w:val="Notedebasdepage"/>
        <w:rPr>
          <w:lang w:val="fr-FR"/>
        </w:rPr>
      </w:pPr>
      <w:r w:rsidRPr="00270501">
        <w:rPr>
          <w:rStyle w:val="Appelnotedebasdep"/>
          <w:lang w:val="fr-FR"/>
        </w:rPr>
        <w:footnoteRef/>
      </w:r>
      <w:r w:rsidRPr="00270501">
        <w:rPr>
          <w:lang w:val="fr-FR"/>
        </w:rPr>
        <w:t xml:space="preserve"> </w:t>
      </w:r>
      <w:r w:rsidR="000A53E9" w:rsidRPr="000A53E9">
        <w:rPr>
          <w:lang w:val="fr-FR"/>
        </w:rPr>
        <w:t>En réponse à la question</w:t>
      </w:r>
      <w:r w:rsidR="008715BF">
        <w:rPr>
          <w:lang w:val="fr-FR"/>
        </w:rPr>
        <w:t> </w:t>
      </w:r>
      <w:r w:rsidR="000A53E9" w:rsidRPr="000A53E9">
        <w:rPr>
          <w:lang w:val="fr-FR"/>
        </w:rPr>
        <w:t>76 du cinquième rapport national.</w:t>
      </w:r>
    </w:p>
  </w:footnote>
  <w:footnote w:id="38">
    <w:p w14:paraId="6149F4CC" w14:textId="2D44D739" w:rsidR="00FD5507" w:rsidRPr="00270501" w:rsidRDefault="00FD5507" w:rsidP="00FD5507">
      <w:pPr>
        <w:pStyle w:val="Notedebasdepage"/>
        <w:rPr>
          <w:lang w:val="fr-FR"/>
        </w:rPr>
      </w:pPr>
      <w:r w:rsidRPr="00270501">
        <w:rPr>
          <w:rStyle w:val="Appelnotedebasdep"/>
          <w:lang w:val="fr-FR"/>
        </w:rPr>
        <w:footnoteRef/>
      </w:r>
      <w:r w:rsidRPr="00270501">
        <w:rPr>
          <w:lang w:val="fr-FR"/>
        </w:rPr>
        <w:t xml:space="preserve"> </w:t>
      </w:r>
      <w:r w:rsidR="000A53E9" w:rsidRPr="000A53E9">
        <w:rPr>
          <w:lang w:val="fr-FR"/>
        </w:rPr>
        <w:t>En réponse à la question</w:t>
      </w:r>
      <w:r w:rsidR="008715BF">
        <w:rPr>
          <w:lang w:val="fr-FR"/>
        </w:rPr>
        <w:t> </w:t>
      </w:r>
      <w:r w:rsidR="000A53E9" w:rsidRPr="000A53E9">
        <w:rPr>
          <w:lang w:val="fr-FR"/>
        </w:rPr>
        <w:t>146 du cinquième rapport national</w:t>
      </w:r>
      <w:r w:rsidRPr="00270501">
        <w:rPr>
          <w:lang w:val="fr-FR"/>
        </w:rPr>
        <w:t>.</w:t>
      </w:r>
    </w:p>
  </w:footnote>
  <w:footnote w:id="39">
    <w:p w14:paraId="6D412886" w14:textId="20949C47" w:rsidR="00FD5507" w:rsidRPr="00270501" w:rsidRDefault="00FD5507" w:rsidP="00FD5507">
      <w:pPr>
        <w:pStyle w:val="Notedebasdepage"/>
        <w:rPr>
          <w:lang w:val="fr-FR"/>
        </w:rPr>
      </w:pPr>
      <w:r w:rsidRPr="00270501">
        <w:rPr>
          <w:rStyle w:val="Appelnotedebasdep"/>
          <w:lang w:val="fr-FR"/>
        </w:rPr>
        <w:footnoteRef/>
      </w:r>
      <w:r w:rsidRPr="00270501">
        <w:rPr>
          <w:lang w:val="fr-FR"/>
        </w:rPr>
        <w:t xml:space="preserve"> </w:t>
      </w:r>
      <w:r w:rsidR="000A53E9" w:rsidRPr="000A53E9">
        <w:rPr>
          <w:lang w:val="fr-FR"/>
        </w:rPr>
        <w:t>Ces informations concernent les notifications transmises au Centre d'échange pour la prévention des risques biotechnologiques entre le 1</w:t>
      </w:r>
      <w:r w:rsidR="000A53E9" w:rsidRPr="000A53E9">
        <w:rPr>
          <w:vertAlign w:val="superscript"/>
          <w:lang w:val="fr-FR"/>
        </w:rPr>
        <w:t>er</w:t>
      </w:r>
      <w:r w:rsidR="008B0EE3">
        <w:rPr>
          <w:lang w:val="fr-FR"/>
        </w:rPr>
        <w:t> </w:t>
      </w:r>
      <w:r w:rsidR="000A53E9" w:rsidRPr="000A53E9">
        <w:rPr>
          <w:lang w:val="fr-FR"/>
        </w:rPr>
        <w:t>janvier 2020 et le 2</w:t>
      </w:r>
      <w:r w:rsidR="000A53E9">
        <w:rPr>
          <w:lang w:val="fr-FR"/>
        </w:rPr>
        <w:t> </w:t>
      </w:r>
      <w:r w:rsidR="000A53E9" w:rsidRPr="000A53E9">
        <w:rPr>
          <w:lang w:val="fr-FR"/>
        </w:rPr>
        <w:t>mars 2026.</w:t>
      </w:r>
    </w:p>
  </w:footnote>
  <w:footnote w:id="40">
    <w:p w14:paraId="77BC8487" w14:textId="48E9B4AC" w:rsidR="00FD5507" w:rsidRPr="00270501" w:rsidRDefault="00FD5507" w:rsidP="00FD5507">
      <w:pPr>
        <w:pStyle w:val="Notedebasdepage"/>
        <w:rPr>
          <w:lang w:val="fr-FR"/>
        </w:rPr>
      </w:pPr>
      <w:r w:rsidRPr="00270501">
        <w:rPr>
          <w:rStyle w:val="Appelnotedebasdep"/>
          <w:lang w:val="fr-FR"/>
        </w:rPr>
        <w:footnoteRef/>
      </w:r>
      <w:r w:rsidRPr="00270501">
        <w:rPr>
          <w:lang w:val="fr-FR"/>
        </w:rPr>
        <w:t xml:space="preserve"> </w:t>
      </w:r>
      <w:r w:rsidR="00330515" w:rsidRPr="00330515">
        <w:rPr>
          <w:lang w:val="fr-FR"/>
        </w:rPr>
        <w:t>En réponse à la question</w:t>
      </w:r>
      <w:r w:rsidR="00330515">
        <w:rPr>
          <w:lang w:val="fr-FR"/>
        </w:rPr>
        <w:t> </w:t>
      </w:r>
      <w:r w:rsidR="00330515" w:rsidRPr="00330515">
        <w:rPr>
          <w:lang w:val="fr-FR"/>
        </w:rPr>
        <w:t>70, point</w:t>
      </w:r>
      <w:r w:rsidR="00330515">
        <w:rPr>
          <w:lang w:val="fr-FR"/>
        </w:rPr>
        <w:t> </w:t>
      </w:r>
      <w:r w:rsidR="00330515" w:rsidRPr="00330515">
        <w:rPr>
          <w:lang w:val="fr-FR"/>
        </w:rPr>
        <w:t>c) du cinquième rapport national</w:t>
      </w:r>
      <w:r w:rsidRPr="00270501">
        <w:rPr>
          <w:lang w:val="fr-FR"/>
        </w:rPr>
        <w:t>.</w:t>
      </w:r>
    </w:p>
  </w:footnote>
  <w:footnote w:id="41">
    <w:p w14:paraId="0EE7C5A3" w14:textId="74FA3BC3" w:rsidR="00D134C6" w:rsidRPr="00270501" w:rsidRDefault="00D134C6" w:rsidP="00D134C6">
      <w:pPr>
        <w:pStyle w:val="Notedebasdepage"/>
        <w:rPr>
          <w:lang w:val="fr-FR"/>
        </w:rPr>
      </w:pPr>
      <w:r w:rsidRPr="00270501">
        <w:rPr>
          <w:rStyle w:val="Appelnotedebasdep"/>
          <w:lang w:val="fr-FR"/>
        </w:rPr>
        <w:footnoteRef/>
      </w:r>
      <w:r w:rsidRPr="00270501">
        <w:rPr>
          <w:lang w:val="fr-FR"/>
        </w:rPr>
        <w:t xml:space="preserve"> </w:t>
      </w:r>
      <w:r w:rsidR="001A102C" w:rsidRPr="001A102C">
        <w:rPr>
          <w:lang w:val="fr-FR"/>
        </w:rPr>
        <w:t>Le terme «</w:t>
      </w:r>
      <w:r w:rsidR="00346A24">
        <w:rPr>
          <w:lang w:val="fr-FR"/>
        </w:rPr>
        <w:t> </w:t>
      </w:r>
      <w:r w:rsidR="001A102C" w:rsidRPr="001A102C">
        <w:rPr>
          <w:lang w:val="fr-FR"/>
        </w:rPr>
        <w:t>informations dynamiques</w:t>
      </w:r>
      <w:r w:rsidR="00346A24">
        <w:rPr>
          <w:lang w:val="fr-FR"/>
        </w:rPr>
        <w:t> </w:t>
      </w:r>
      <w:r w:rsidR="001A102C" w:rsidRPr="001A102C">
        <w:rPr>
          <w:lang w:val="fr-FR"/>
        </w:rPr>
        <w:t>» désigne les données qui changent en fonction des saisies de l’utilisateur ou du traitement côté serveur. Cela distingue les informations dynamiques des informations statiques, qui restent inchangées à moins d’être explicitement révisées par un utilisateur.</w:t>
      </w:r>
    </w:p>
  </w:footnote>
  <w:footnote w:id="42">
    <w:p w14:paraId="6C95AFBD" w14:textId="271357A4" w:rsidR="00D134C6" w:rsidRPr="00270501" w:rsidRDefault="00D134C6" w:rsidP="00D134C6">
      <w:pPr>
        <w:pStyle w:val="Notedebasdepage"/>
        <w:rPr>
          <w:lang w:val="fr-FR"/>
        </w:rPr>
      </w:pPr>
      <w:r w:rsidRPr="00270501">
        <w:rPr>
          <w:rStyle w:val="Appelnotedebasdep"/>
          <w:lang w:val="fr-FR"/>
        </w:rPr>
        <w:footnoteRef/>
      </w:r>
      <w:r w:rsidRPr="00270501">
        <w:rPr>
          <w:lang w:val="fr-FR"/>
        </w:rPr>
        <w:t xml:space="preserve"> </w:t>
      </w:r>
      <w:r w:rsidR="00461CC4" w:rsidRPr="005D7D35">
        <w:rPr>
          <w:i/>
          <w:iCs/>
          <w:lang w:val="fr-FR"/>
        </w:rPr>
        <w:t>Cahier technique</w:t>
      </w:r>
      <w:r w:rsidRPr="005D7D35">
        <w:rPr>
          <w:i/>
          <w:iCs/>
          <w:lang w:val="fr-FR"/>
        </w:rPr>
        <w:t xml:space="preserve"> </w:t>
      </w:r>
      <w:r w:rsidR="00461CC4" w:rsidRPr="005D7D35">
        <w:rPr>
          <w:i/>
          <w:iCs/>
          <w:lang w:val="fr-FR"/>
        </w:rPr>
        <w:t>n°</w:t>
      </w:r>
      <w:r w:rsidRPr="005D7D35">
        <w:rPr>
          <w:i/>
          <w:iCs/>
          <w:lang w:val="fr-FR"/>
        </w:rPr>
        <w:t>05</w:t>
      </w:r>
      <w:r w:rsidR="003D5FA1" w:rsidRPr="005D7D35">
        <w:rPr>
          <w:i/>
          <w:iCs/>
          <w:lang w:val="fr-FR"/>
        </w:rPr>
        <w:t xml:space="preserve"> sur la prévention des risques biotechnologiques</w:t>
      </w:r>
      <w:r w:rsidRPr="00270501">
        <w:rPr>
          <w:lang w:val="fr-FR"/>
        </w:rPr>
        <w:t xml:space="preserve"> (Montr</w:t>
      </w:r>
      <w:r w:rsidR="002A5CFC">
        <w:rPr>
          <w:lang w:val="fr-FR"/>
        </w:rPr>
        <w:t>é</w:t>
      </w:r>
      <w:r w:rsidRPr="00270501">
        <w:rPr>
          <w:lang w:val="fr-FR"/>
        </w:rPr>
        <w:t xml:space="preserve">al, Canada, </w:t>
      </w:r>
      <w:r w:rsidR="002A5CFC" w:rsidRPr="00270501">
        <w:rPr>
          <w:lang w:val="fr-FR"/>
        </w:rPr>
        <w:t>Secrétariat</w:t>
      </w:r>
      <w:r w:rsidRPr="00270501">
        <w:rPr>
          <w:lang w:val="fr-FR"/>
        </w:rPr>
        <w:t xml:space="preserve"> </w:t>
      </w:r>
      <w:r w:rsidR="002A5CFC">
        <w:rPr>
          <w:lang w:val="fr-FR"/>
        </w:rPr>
        <w:t xml:space="preserve">de la </w:t>
      </w:r>
      <w:r w:rsidRPr="00270501">
        <w:rPr>
          <w:lang w:val="fr-FR"/>
        </w:rPr>
        <w:t xml:space="preserve">Convention </w:t>
      </w:r>
      <w:r w:rsidR="002A5CFC">
        <w:rPr>
          <w:lang w:val="fr-FR"/>
        </w:rPr>
        <w:t>sur la diversité biologique</w:t>
      </w:r>
      <w:r w:rsidRPr="00270501">
        <w:rPr>
          <w:lang w:val="fr-FR"/>
        </w:rPr>
        <w:t xml:space="preserve">, 2022. </w:t>
      </w:r>
      <w:r w:rsidR="002A5CFC">
        <w:rPr>
          <w:lang w:val="fr-FR"/>
        </w:rPr>
        <w:t>Disponible à l’adresse suivante</w:t>
      </w:r>
      <w:r w:rsidR="00CA1B90">
        <w:rPr>
          <w:lang w:val="fr-FR"/>
        </w:rPr>
        <w:t> :</w:t>
      </w:r>
      <w:r w:rsidR="002A5CFC">
        <w:rPr>
          <w:lang w:val="fr-FR"/>
        </w:rPr>
        <w:t xml:space="preserve"> </w:t>
      </w:r>
      <w:hyperlink r:id="rId12" w:history="1">
        <w:r w:rsidR="002A5CFC">
          <w:rPr>
            <w:rStyle w:val="Lienhypertexte"/>
            <w:lang w:val="fr-FR"/>
          </w:rPr>
          <w:t>https://bch.cbd.int/fr/database/VLR/BCH-VLR-SCBD-260177</w:t>
        </w:r>
      </w:hyperlink>
      <w:r w:rsidRPr="00270501">
        <w:rPr>
          <w:lang w:val="fr-FR"/>
        </w:rPr>
        <w:t xml:space="preserve">. </w:t>
      </w:r>
    </w:p>
  </w:footnote>
  <w:footnote w:id="43">
    <w:p w14:paraId="4583E856" w14:textId="01933289" w:rsidR="00D134C6" w:rsidRPr="00270501" w:rsidRDefault="00D134C6" w:rsidP="00D134C6">
      <w:pPr>
        <w:pStyle w:val="Notedebasdepage"/>
        <w:rPr>
          <w:lang w:val="fr-FR"/>
        </w:rPr>
      </w:pPr>
      <w:r w:rsidRPr="00270501">
        <w:rPr>
          <w:rStyle w:val="Appelnotedebasdep"/>
          <w:lang w:val="fr-FR"/>
        </w:rPr>
        <w:footnoteRef/>
      </w:r>
      <w:r w:rsidRPr="00270501">
        <w:rPr>
          <w:lang w:val="fr-FR"/>
        </w:rPr>
        <w:t xml:space="preserve"> </w:t>
      </w:r>
      <w:r w:rsidR="002A5CFC">
        <w:rPr>
          <w:lang w:val="fr-FR"/>
        </w:rPr>
        <w:t xml:space="preserve">Voir le </w:t>
      </w:r>
      <w:r w:rsidRPr="00270501">
        <w:rPr>
          <w:lang w:val="fr-FR"/>
        </w:rPr>
        <w:t>document</w:t>
      </w:r>
      <w:r w:rsidR="002A5CFC">
        <w:rPr>
          <w:lang w:val="fr-FR"/>
        </w:rPr>
        <w:t> </w:t>
      </w:r>
      <w:hyperlink r:id="rId13" w:history="1">
        <w:r w:rsidRPr="00270501">
          <w:rPr>
            <w:rStyle w:val="Lienhypertexte"/>
            <w:lang w:val="fr-FR"/>
          </w:rPr>
          <w:t>CBD/CP-DIOM/2023/1/1</w:t>
        </w:r>
      </w:hyperlink>
      <w:r w:rsidRPr="00270501">
        <w:rPr>
          <w:lang w:val="fr-FR"/>
        </w:rPr>
        <w:t xml:space="preserve"> </w:t>
      </w:r>
      <w:r w:rsidR="00EF2787">
        <w:rPr>
          <w:lang w:val="fr-FR"/>
        </w:rPr>
        <w:t>pour le rapport de cette conférence</w:t>
      </w:r>
      <w:r w:rsidRPr="00270501">
        <w:rPr>
          <w:lang w:val="fr-FR"/>
        </w:rPr>
        <w:t>.</w:t>
      </w:r>
    </w:p>
  </w:footnote>
  <w:footnote w:id="44">
    <w:p w14:paraId="7074FCB0" w14:textId="0969E91A" w:rsidR="00D134C6" w:rsidRPr="00270501" w:rsidRDefault="00D134C6" w:rsidP="00D134C6">
      <w:pPr>
        <w:pStyle w:val="Notedebasdepage"/>
        <w:rPr>
          <w:lang w:val="fr-FR"/>
        </w:rPr>
      </w:pPr>
      <w:r w:rsidRPr="00270501">
        <w:rPr>
          <w:rStyle w:val="Appelnotedebasdep"/>
          <w:lang w:val="fr-FR"/>
        </w:rPr>
        <w:footnoteRef/>
      </w:r>
      <w:r w:rsidRPr="00270501">
        <w:rPr>
          <w:lang w:val="fr-FR"/>
        </w:rPr>
        <w:t xml:space="preserve"> </w:t>
      </w:r>
      <w:r w:rsidR="00EF2787">
        <w:rPr>
          <w:lang w:val="fr-FR"/>
        </w:rPr>
        <w:t xml:space="preserve">Voir le </w:t>
      </w:r>
      <w:r w:rsidRPr="00270501">
        <w:rPr>
          <w:lang w:val="fr-FR"/>
        </w:rPr>
        <w:t>document</w:t>
      </w:r>
      <w:r w:rsidR="00EF2787">
        <w:rPr>
          <w:lang w:val="fr-FR"/>
        </w:rPr>
        <w:t> </w:t>
      </w:r>
      <w:hyperlink r:id="rId14" w:history="1">
        <w:r w:rsidRPr="00270501">
          <w:rPr>
            <w:rStyle w:val="Lienhypertexte"/>
            <w:lang w:val="fr-FR"/>
          </w:rPr>
          <w:t>CBD/CP/DI/WS/2023/1/2</w:t>
        </w:r>
      </w:hyperlink>
      <w:r w:rsidRPr="00270501">
        <w:rPr>
          <w:lang w:val="fr-FR"/>
        </w:rPr>
        <w:t xml:space="preserve"> </w:t>
      </w:r>
      <w:r w:rsidR="00EF2787">
        <w:rPr>
          <w:lang w:val="fr-FR"/>
        </w:rPr>
        <w:t>pour le rapport relatif à cet atelier</w:t>
      </w:r>
      <w:r w:rsidRPr="00270501">
        <w:rPr>
          <w:lang w:val="fr-FR"/>
        </w:rPr>
        <w:t>.</w:t>
      </w:r>
    </w:p>
  </w:footnote>
  <w:footnote w:id="45">
    <w:p w14:paraId="190D6C7B" w14:textId="30300635" w:rsidR="008D2E8E" w:rsidRPr="00270501" w:rsidRDefault="008D2E8E" w:rsidP="008D2E8E">
      <w:pPr>
        <w:pStyle w:val="Notedebasdepage"/>
        <w:rPr>
          <w:lang w:val="fr-FR"/>
        </w:rPr>
      </w:pPr>
      <w:r w:rsidRPr="00270501">
        <w:rPr>
          <w:rStyle w:val="Appelnotedebasdep"/>
          <w:lang w:val="fr-FR"/>
        </w:rPr>
        <w:footnoteRef/>
      </w:r>
      <w:r w:rsidRPr="00270501">
        <w:rPr>
          <w:lang w:val="fr-FR"/>
        </w:rPr>
        <w:t xml:space="preserve"> </w:t>
      </w:r>
      <w:r w:rsidR="007635F6" w:rsidRPr="007635F6">
        <w:rPr>
          <w:lang w:val="fr-FR"/>
        </w:rPr>
        <w:t>Comme les décimales sont arrondies, les différences en pourcentage n'ont pas une somme de zéro</w:t>
      </w:r>
      <w:r w:rsidRPr="00270501">
        <w:rPr>
          <w:lang w:val="fr-FR"/>
        </w:rPr>
        <w:t>.</w:t>
      </w:r>
    </w:p>
  </w:footnote>
  <w:footnote w:id="46">
    <w:p w14:paraId="13963606" w14:textId="39E3125B" w:rsidR="00E245CD" w:rsidRPr="00270501" w:rsidRDefault="00E245CD" w:rsidP="00E245CD">
      <w:pPr>
        <w:pStyle w:val="Notedebasdepage"/>
        <w:rPr>
          <w:lang w:val="fr-FR"/>
        </w:rPr>
      </w:pPr>
      <w:r w:rsidRPr="00270501">
        <w:rPr>
          <w:rStyle w:val="Appelnotedebasdep"/>
          <w:lang w:val="fr-FR"/>
        </w:rPr>
        <w:footnoteRef/>
      </w:r>
      <w:r w:rsidRPr="00270501">
        <w:rPr>
          <w:lang w:val="fr-FR"/>
        </w:rPr>
        <w:t xml:space="preserve"> </w:t>
      </w:r>
      <w:r w:rsidR="00A33820" w:rsidRPr="00A33820">
        <w:rPr>
          <w:lang w:val="fr-FR"/>
        </w:rPr>
        <w:t>Cela inclut 35</w:t>
      </w:r>
      <w:r w:rsidR="00A33820">
        <w:rPr>
          <w:lang w:val="fr-FR"/>
        </w:rPr>
        <w:t> </w:t>
      </w:r>
      <w:r w:rsidR="00A33820" w:rsidRPr="00A33820">
        <w:rPr>
          <w:lang w:val="fr-FR"/>
        </w:rPr>
        <w:t>Parties qui ont rapporté l'avoir fait dans une certaine mesure</w:t>
      </w:r>
      <w:r w:rsidRPr="00270501">
        <w:rPr>
          <w:lang w:val="fr-FR"/>
        </w:rPr>
        <w:t>.</w:t>
      </w:r>
    </w:p>
  </w:footnote>
  <w:footnote w:id="47">
    <w:p w14:paraId="0BBE28D9" w14:textId="0752B983" w:rsidR="00BE43E7" w:rsidRPr="00270501" w:rsidRDefault="00BE43E7" w:rsidP="00BE43E7">
      <w:pPr>
        <w:pStyle w:val="Notedebasdepage"/>
        <w:rPr>
          <w:lang w:val="fr-FR"/>
        </w:rPr>
      </w:pPr>
      <w:r w:rsidRPr="00270501">
        <w:rPr>
          <w:rStyle w:val="Appelnotedebasdep"/>
          <w:lang w:val="fr-FR"/>
        </w:rPr>
        <w:footnoteRef/>
      </w:r>
      <w:r w:rsidRPr="00270501">
        <w:rPr>
          <w:lang w:val="fr-FR"/>
        </w:rPr>
        <w:t xml:space="preserve"> </w:t>
      </w:r>
      <w:r w:rsidR="00083EFD">
        <w:rPr>
          <w:lang w:val="fr-FR"/>
        </w:rPr>
        <w:t>En réponse à la question </w:t>
      </w:r>
      <w:r w:rsidR="00083EFD" w:rsidRPr="00270501">
        <w:rPr>
          <w:lang w:val="fr-FR"/>
        </w:rPr>
        <w:t xml:space="preserve">159 </w:t>
      </w:r>
      <w:r w:rsidR="00083EFD">
        <w:rPr>
          <w:lang w:val="fr-FR"/>
        </w:rPr>
        <w:t>du cinquième rapport national</w:t>
      </w:r>
      <w:r w:rsidRPr="00270501">
        <w:rPr>
          <w:lang w:val="fr-FR"/>
        </w:rPr>
        <w:t xml:space="preserve">. </w:t>
      </w:r>
    </w:p>
  </w:footnote>
  <w:footnote w:id="48">
    <w:p w14:paraId="662D02D1" w14:textId="0FC62A49" w:rsidR="00B73BCF" w:rsidRPr="00270501" w:rsidRDefault="00B73BCF" w:rsidP="00B73BCF">
      <w:pPr>
        <w:pStyle w:val="Notedebasdepage"/>
        <w:rPr>
          <w:lang w:val="fr-FR"/>
        </w:rPr>
      </w:pPr>
      <w:r w:rsidRPr="00270501">
        <w:rPr>
          <w:rStyle w:val="Appelnotedebasdep"/>
          <w:lang w:val="fr-FR"/>
        </w:rPr>
        <w:footnoteRef/>
      </w:r>
      <w:r w:rsidRPr="00270501">
        <w:rPr>
          <w:lang w:val="fr-FR"/>
        </w:rPr>
        <w:t xml:space="preserve"> </w:t>
      </w:r>
      <w:r w:rsidR="00573B30" w:rsidRPr="00573B30">
        <w:rPr>
          <w:lang w:val="fr-FR"/>
        </w:rPr>
        <w:t>Les domaines clés 2 à 5 s'appliquent aux Parties au Protocole additionnel de Nagoya-Kuala Lumpur sur la responsabilité et la réparation</w:t>
      </w:r>
      <w:r w:rsidRPr="00270501">
        <w:rPr>
          <w:lang w:val="fr-FR"/>
        </w:rPr>
        <w:t xml:space="preserve">. </w:t>
      </w:r>
    </w:p>
  </w:footnote>
  <w:footnote w:id="49">
    <w:p w14:paraId="67D1FBF1" w14:textId="7B0707AA" w:rsidR="00B73BCF" w:rsidRPr="00270501" w:rsidRDefault="00B73BCF" w:rsidP="00B73BCF">
      <w:pPr>
        <w:pStyle w:val="Notedebasdepage"/>
        <w:rPr>
          <w:lang w:val="fr-FR"/>
        </w:rPr>
      </w:pPr>
      <w:r w:rsidRPr="00270501">
        <w:rPr>
          <w:rStyle w:val="Appelnotedebasdep"/>
          <w:lang w:val="fr-FR"/>
        </w:rPr>
        <w:footnoteRef/>
      </w:r>
      <w:r w:rsidRPr="00270501">
        <w:rPr>
          <w:lang w:val="fr-FR"/>
        </w:rPr>
        <w:t xml:space="preserve"> </w:t>
      </w:r>
      <w:r w:rsidR="006E2E6B">
        <w:rPr>
          <w:lang w:val="fr-FR"/>
        </w:rPr>
        <w:t>Y compris</w:t>
      </w:r>
      <w:r w:rsidRPr="00270501">
        <w:rPr>
          <w:lang w:val="fr-FR"/>
        </w:rPr>
        <w:t xml:space="preserve"> </w:t>
      </w:r>
      <w:r w:rsidR="00D449C9" w:rsidRPr="00270501">
        <w:rPr>
          <w:lang w:val="fr-FR"/>
        </w:rPr>
        <w:t>3</w:t>
      </w:r>
      <w:r w:rsidR="0080145F">
        <w:rPr>
          <w:lang w:val="fr-FR"/>
        </w:rPr>
        <w:t>5</w:t>
      </w:r>
      <w:r w:rsidR="002A3FD7">
        <w:rPr>
          <w:lang w:val="fr-FR"/>
        </w:rPr>
        <w:t> </w:t>
      </w:r>
      <w:r w:rsidR="00D449C9">
        <w:rPr>
          <w:lang w:val="fr-FR"/>
        </w:rPr>
        <w:t>Parties</w:t>
      </w:r>
      <w:r w:rsidR="006E2E6B">
        <w:rPr>
          <w:lang w:val="fr-FR"/>
        </w:rPr>
        <w:t xml:space="preserve"> qui ont déclaré avoir entrepris de telles activités dans une certaine mesure</w:t>
      </w:r>
      <w:r w:rsidRPr="00270501">
        <w:rPr>
          <w:lang w:val="fr-FR"/>
        </w:rPr>
        <w:t>.</w:t>
      </w:r>
    </w:p>
  </w:footnote>
  <w:footnote w:id="50">
    <w:p w14:paraId="0A139D68" w14:textId="78E52E59" w:rsidR="00113CE7" w:rsidRPr="00270501" w:rsidRDefault="00113CE7">
      <w:pPr>
        <w:pStyle w:val="Notedebasdepage"/>
        <w:rPr>
          <w:lang w:val="fr-FR"/>
        </w:rPr>
      </w:pPr>
      <w:r w:rsidRPr="00270501">
        <w:rPr>
          <w:rStyle w:val="Appelnotedebasdep"/>
          <w:lang w:val="fr-FR"/>
        </w:rPr>
        <w:footnoteRef/>
      </w:r>
      <w:r w:rsidRPr="00270501">
        <w:rPr>
          <w:lang w:val="fr-FR"/>
        </w:rPr>
        <w:t xml:space="preserve"> </w:t>
      </w:r>
      <w:r w:rsidR="00335728" w:rsidRPr="00335728">
        <w:rPr>
          <w:lang w:val="fr-FR"/>
        </w:rPr>
        <w:t>Dans ce calcul, en raison de l'arrondi des décimales, la somme de 51</w:t>
      </w:r>
      <w:r w:rsidR="00667501">
        <w:rPr>
          <w:lang w:val="fr-FR"/>
        </w:rPr>
        <w:t> %</w:t>
      </w:r>
      <w:r w:rsidR="00335728" w:rsidRPr="00335728">
        <w:rPr>
          <w:lang w:val="fr-FR"/>
        </w:rPr>
        <w:t xml:space="preserve"> et de 28</w:t>
      </w:r>
      <w:r w:rsidR="00667501">
        <w:rPr>
          <w:lang w:val="fr-FR"/>
        </w:rPr>
        <w:t> %</w:t>
      </w:r>
      <w:r w:rsidR="00335728" w:rsidRPr="00335728">
        <w:rPr>
          <w:lang w:val="fr-FR"/>
        </w:rPr>
        <w:t xml:space="preserve"> égale 80</w:t>
      </w:r>
      <w:r w:rsidR="00667501">
        <w:rPr>
          <w:lang w:val="fr-FR"/>
        </w:rPr>
        <w:t> %</w:t>
      </w:r>
      <w:r w:rsidR="00335728" w:rsidRPr="00335728">
        <w:rPr>
          <w:lang w:val="fr-FR"/>
        </w:rPr>
        <w:t>.</w:t>
      </w:r>
    </w:p>
  </w:footnote>
  <w:footnote w:id="51">
    <w:p w14:paraId="64A514CC" w14:textId="2F33DF75" w:rsidR="00FB6DC5" w:rsidRPr="00FB6DC5" w:rsidRDefault="00FB6DC5">
      <w:pPr>
        <w:pStyle w:val="Notedebasdepage"/>
        <w:rPr>
          <w:lang w:val="fr-FR"/>
        </w:rPr>
      </w:pPr>
      <w:r>
        <w:rPr>
          <w:rStyle w:val="Appelnotedebasdep"/>
        </w:rPr>
        <w:footnoteRef/>
      </w:r>
      <w:r>
        <w:t xml:space="preserve"> </w:t>
      </w:r>
      <w:r w:rsidRPr="001C1B5E">
        <w:rPr>
          <w:lang w:val="fr-FR"/>
        </w:rPr>
        <w:t xml:space="preserve">En raison de l'arrondi des décimales, la différence pour l'ensemble des valeurs </w:t>
      </w:r>
      <w:r>
        <w:rPr>
          <w:lang w:val="fr-FR"/>
        </w:rPr>
        <w:t>s’élève</w:t>
      </w:r>
      <w:r w:rsidRPr="001C1B5E">
        <w:rPr>
          <w:lang w:val="fr-FR"/>
        </w:rPr>
        <w:t xml:space="preserve"> à 2</w:t>
      </w:r>
      <w:r w:rsidR="00667501">
        <w:rPr>
          <w:lang w:val="fr-FR"/>
        </w:rPr>
        <w:t> %</w:t>
      </w:r>
      <w:r w:rsidRPr="001C1B5E">
        <w:rPr>
          <w:lang w:val="fr-FR"/>
        </w:rPr>
        <w:t xml:space="preserve"> et non à 3</w:t>
      </w:r>
      <w:r w:rsidR="00667501">
        <w:rPr>
          <w:lang w:val="fr-FR"/>
        </w:rPr>
        <w:t> %</w:t>
      </w:r>
      <w:r w:rsidRPr="00270501">
        <w:rPr>
          <w:lang w:val="fr-FR"/>
        </w:rPr>
        <w:t>.</w:t>
      </w:r>
    </w:p>
  </w:footnote>
  <w:footnote w:id="52">
    <w:p w14:paraId="4FF6E7E5" w14:textId="3CF8D913" w:rsidR="001F5531" w:rsidRPr="00270501" w:rsidRDefault="001F5531">
      <w:pPr>
        <w:pStyle w:val="Notedebasdepage"/>
        <w:rPr>
          <w:lang w:val="fr-FR"/>
        </w:rPr>
      </w:pPr>
      <w:r w:rsidRPr="00270501">
        <w:rPr>
          <w:rStyle w:val="Appelnotedebasdep"/>
          <w:lang w:val="fr-FR"/>
        </w:rPr>
        <w:footnoteRef/>
      </w:r>
      <w:r w:rsidRPr="00270501">
        <w:rPr>
          <w:lang w:val="fr-FR"/>
        </w:rPr>
        <w:t xml:space="preserve"> </w:t>
      </w:r>
      <w:r w:rsidR="00B051C9">
        <w:rPr>
          <w:lang w:val="fr-FR"/>
        </w:rPr>
        <w:t>Les contributions sont disponibles à l’adresse suivante</w:t>
      </w:r>
      <w:r w:rsidR="00CA1B90">
        <w:rPr>
          <w:lang w:val="fr-FR"/>
        </w:rPr>
        <w:t> :</w:t>
      </w:r>
      <w:r w:rsidRPr="00270501">
        <w:rPr>
          <w:lang w:val="fr-FR"/>
        </w:rPr>
        <w:t xml:space="preserve"> </w:t>
      </w:r>
      <w:hyperlink r:id="rId15" w:history="1">
        <w:r w:rsidR="00585344" w:rsidRPr="00270501">
          <w:rPr>
            <w:rStyle w:val="Lienhypertexte"/>
            <w:lang w:val="fr-FR"/>
          </w:rPr>
          <w:t>www.cbd.int/notifications/2025-001</w:t>
        </w:r>
      </w:hyperlink>
      <w:r w:rsidR="00132D61" w:rsidRPr="00270501">
        <w:rPr>
          <w:lang w:val="fr-FR"/>
        </w:rPr>
        <w:t>.</w:t>
      </w:r>
    </w:p>
  </w:footnote>
  <w:footnote w:id="53">
    <w:p w14:paraId="61512193" w14:textId="3FC41985" w:rsidR="00FC722B" w:rsidRPr="00270501" w:rsidRDefault="00FC722B">
      <w:pPr>
        <w:pStyle w:val="Notedebasdepage"/>
        <w:rPr>
          <w:lang w:val="fr-FR"/>
        </w:rPr>
      </w:pPr>
      <w:r w:rsidRPr="00270501">
        <w:rPr>
          <w:rStyle w:val="Appelnotedebasdep"/>
          <w:lang w:val="fr-FR"/>
        </w:rPr>
        <w:footnoteRef/>
      </w:r>
      <w:r w:rsidRPr="00270501">
        <w:rPr>
          <w:lang w:val="fr-FR"/>
        </w:rPr>
        <w:t xml:space="preserve"> </w:t>
      </w:r>
      <w:r w:rsidR="00B051C9">
        <w:rPr>
          <w:lang w:val="fr-FR"/>
        </w:rPr>
        <w:t>Le rapport sur ce forum en ligne est disponible à l’adresse suivante</w:t>
      </w:r>
      <w:r w:rsidR="00CA1B90">
        <w:rPr>
          <w:lang w:val="fr-FR"/>
        </w:rPr>
        <w:t> :</w:t>
      </w:r>
      <w:r w:rsidR="00E96969" w:rsidRPr="00270501">
        <w:rPr>
          <w:lang w:val="fr-FR"/>
        </w:rPr>
        <w:t xml:space="preserve"> </w:t>
      </w:r>
      <w:hyperlink r:id="rId16" w:history="1">
        <w:r w:rsidR="005C40EB" w:rsidRPr="00270501">
          <w:rPr>
            <w:rStyle w:val="Lienhypertexte"/>
            <w:lang w:val="fr-FR"/>
          </w:rPr>
          <w:t>https://bch.cbd.int/en/portals/capacity-building/forum</w:t>
        </w:r>
      </w:hyperlink>
      <w:r w:rsidR="00585344" w:rsidRPr="00270501">
        <w:rPr>
          <w:lang w:val="fr-FR"/>
        </w:rPr>
        <w:t>.</w:t>
      </w:r>
    </w:p>
  </w:footnote>
  <w:footnote w:id="54">
    <w:p w14:paraId="15FE1AA9" w14:textId="09FE8C31" w:rsidR="000C5743" w:rsidRPr="00270501" w:rsidRDefault="000C5743">
      <w:pPr>
        <w:pStyle w:val="Notedebasdepage"/>
        <w:rPr>
          <w:lang w:val="fr-FR"/>
        </w:rPr>
      </w:pPr>
      <w:r w:rsidRPr="00270501">
        <w:rPr>
          <w:rStyle w:val="Appelnotedebasdep"/>
          <w:lang w:val="fr-FR"/>
        </w:rPr>
        <w:footnoteRef/>
      </w:r>
      <w:r w:rsidRPr="00270501">
        <w:rPr>
          <w:lang w:val="fr-FR"/>
        </w:rPr>
        <w:t xml:space="preserve"> </w:t>
      </w:r>
      <w:r w:rsidR="00E26A9E" w:rsidRPr="00E26A9E">
        <w:rPr>
          <w:lang w:val="fr-FR"/>
        </w:rPr>
        <w:t>En réponse à la question</w:t>
      </w:r>
      <w:r w:rsidR="002D3041">
        <w:rPr>
          <w:lang w:val="fr-FR"/>
        </w:rPr>
        <w:t> </w:t>
      </w:r>
      <w:r w:rsidR="00E26A9E" w:rsidRPr="00E26A9E">
        <w:rPr>
          <w:lang w:val="fr-FR"/>
        </w:rPr>
        <w:t>17 du modèle d</w:t>
      </w:r>
      <w:r w:rsidR="00C60290">
        <w:rPr>
          <w:lang w:val="fr-FR"/>
        </w:rPr>
        <w:t>e</w:t>
      </w:r>
      <w:r w:rsidR="00E26A9E" w:rsidRPr="00E26A9E">
        <w:rPr>
          <w:lang w:val="fr-FR"/>
        </w:rPr>
        <w:t xml:space="preserve"> quatrième rapport national</w:t>
      </w:r>
      <w:r w:rsidR="00B95FE0" w:rsidRPr="00270501">
        <w:rPr>
          <w:lang w:val="fr-FR"/>
        </w:rPr>
        <w:t>.</w:t>
      </w:r>
    </w:p>
  </w:footnote>
  <w:footnote w:id="55">
    <w:p w14:paraId="1443D778" w14:textId="78AD7BAD" w:rsidR="005B14C1" w:rsidRPr="00270501" w:rsidRDefault="005B14C1">
      <w:pPr>
        <w:pStyle w:val="Notedebasdepage"/>
        <w:rPr>
          <w:lang w:val="fr-FR"/>
        </w:rPr>
      </w:pPr>
      <w:r w:rsidRPr="00270501">
        <w:rPr>
          <w:rStyle w:val="Appelnotedebasdep"/>
          <w:lang w:val="fr-FR"/>
        </w:rPr>
        <w:footnoteRef/>
      </w:r>
      <w:r w:rsidRPr="00270501">
        <w:rPr>
          <w:lang w:val="fr-FR"/>
        </w:rPr>
        <w:t xml:space="preserve"> </w:t>
      </w:r>
      <w:r w:rsidR="00E26A9E">
        <w:rPr>
          <w:lang w:val="fr-FR"/>
        </w:rPr>
        <w:t>Système pour l’allocation transparente des ressources</w:t>
      </w:r>
      <w:r w:rsidRPr="00270501">
        <w:rPr>
          <w:lang w:val="fr-FR"/>
        </w:rPr>
        <w:t>.</w:t>
      </w:r>
    </w:p>
  </w:footnote>
  <w:footnote w:id="56">
    <w:p w14:paraId="78F4039E" w14:textId="00BD73F2" w:rsidR="0046230E" w:rsidRPr="00270501" w:rsidRDefault="0046230E">
      <w:pPr>
        <w:pStyle w:val="Notedebasdepage"/>
        <w:rPr>
          <w:lang w:val="fr-FR"/>
        </w:rPr>
      </w:pPr>
      <w:r w:rsidRPr="00270501">
        <w:rPr>
          <w:rStyle w:val="Appelnotedebasdep"/>
          <w:lang w:val="fr-FR"/>
        </w:rPr>
        <w:footnoteRef/>
      </w:r>
      <w:r w:rsidRPr="00270501">
        <w:rPr>
          <w:lang w:val="fr-FR"/>
        </w:rPr>
        <w:t xml:space="preserve"> </w:t>
      </w:r>
      <w:r w:rsidR="00E02FA4">
        <w:rPr>
          <w:lang w:val="fr-FR"/>
        </w:rPr>
        <w:t xml:space="preserve">Réponse à la </w:t>
      </w:r>
      <w:r w:rsidR="005B14C1" w:rsidRPr="00270501">
        <w:rPr>
          <w:lang w:val="fr-FR"/>
        </w:rPr>
        <w:t>q</w:t>
      </w:r>
      <w:r w:rsidRPr="00270501">
        <w:rPr>
          <w:lang w:val="fr-FR"/>
        </w:rPr>
        <w:t>uestion</w:t>
      </w:r>
      <w:r w:rsidR="00E012EF">
        <w:rPr>
          <w:lang w:val="fr-FR"/>
        </w:rPr>
        <w:t> </w:t>
      </w:r>
      <w:r w:rsidRPr="00270501">
        <w:rPr>
          <w:lang w:val="fr-FR"/>
        </w:rPr>
        <w:t xml:space="preserve">126 </w:t>
      </w:r>
      <w:r w:rsidR="00E02FA4">
        <w:rPr>
          <w:lang w:val="fr-FR"/>
        </w:rPr>
        <w:t>du cinquième rapport national</w:t>
      </w:r>
      <w:r w:rsidRPr="00270501">
        <w:rPr>
          <w:lang w:val="fr-FR"/>
        </w:rPr>
        <w:t>.</w:t>
      </w:r>
    </w:p>
  </w:footnote>
  <w:footnote w:id="57">
    <w:p w14:paraId="74AA5784" w14:textId="0AB94F65" w:rsidR="000C36C5" w:rsidRPr="00270501" w:rsidRDefault="000C36C5" w:rsidP="000C36C5">
      <w:pPr>
        <w:pStyle w:val="Notedebasdepage"/>
        <w:rPr>
          <w:lang w:val="fr-FR"/>
        </w:rPr>
      </w:pPr>
      <w:r w:rsidRPr="00270501">
        <w:rPr>
          <w:rStyle w:val="Appelnotedebasdep"/>
          <w:lang w:val="fr-FR"/>
        </w:rPr>
        <w:footnoteRef/>
      </w:r>
      <w:r w:rsidRPr="00270501">
        <w:rPr>
          <w:lang w:val="fr-FR"/>
        </w:rPr>
        <w:t xml:space="preserve"> </w:t>
      </w:r>
      <w:r w:rsidR="00A07EC7" w:rsidRPr="00A07EC7">
        <w:rPr>
          <w:lang w:val="fr-FR"/>
        </w:rPr>
        <w:t>Sur la base des réponses fournies à la question</w:t>
      </w:r>
      <w:r w:rsidR="00637D8C">
        <w:rPr>
          <w:lang w:val="fr-FR"/>
        </w:rPr>
        <w:t> </w:t>
      </w:r>
      <w:r w:rsidR="00A07EC7" w:rsidRPr="00A07EC7">
        <w:rPr>
          <w:lang w:val="fr-FR"/>
        </w:rPr>
        <w:t>138 du modèle d</w:t>
      </w:r>
      <w:r w:rsidR="000C5F20">
        <w:rPr>
          <w:lang w:val="fr-FR"/>
        </w:rPr>
        <w:t>e</w:t>
      </w:r>
      <w:r w:rsidR="00A07EC7" w:rsidRPr="00A07EC7">
        <w:rPr>
          <w:lang w:val="fr-FR"/>
        </w:rPr>
        <w:t xml:space="preserve"> cinquième rapport national</w:t>
      </w:r>
      <w:r w:rsidRPr="00270501">
        <w:rPr>
          <w:lang w:val="fr-FR"/>
        </w:rPr>
        <w:t>.</w:t>
      </w:r>
    </w:p>
  </w:footnote>
  <w:footnote w:id="58">
    <w:p w14:paraId="43C66030" w14:textId="322128C2" w:rsidR="009F701C" w:rsidRPr="00270501" w:rsidRDefault="009F701C">
      <w:pPr>
        <w:pStyle w:val="Notedebasdepage"/>
        <w:rPr>
          <w:lang w:val="fr-FR"/>
        </w:rPr>
      </w:pPr>
      <w:r w:rsidRPr="00270501">
        <w:rPr>
          <w:rStyle w:val="Appelnotedebasdep"/>
          <w:lang w:val="fr-FR"/>
        </w:rPr>
        <w:footnoteRef/>
      </w:r>
      <w:r w:rsidRPr="00270501">
        <w:rPr>
          <w:lang w:val="fr-FR"/>
        </w:rPr>
        <w:t xml:space="preserve"> </w:t>
      </w:r>
      <w:r w:rsidR="00160509" w:rsidRPr="00160509">
        <w:rPr>
          <w:lang w:val="fr-FR"/>
        </w:rPr>
        <w:t>En raison de l'arrondi des décimales, la somme des deux pourcentages s'élève à 69</w:t>
      </w:r>
      <w:r w:rsidR="00667501">
        <w:rPr>
          <w:lang w:val="fr-FR"/>
        </w:rPr>
        <w:t> %</w:t>
      </w:r>
      <w:r w:rsidR="00160509" w:rsidRPr="00160509">
        <w:rPr>
          <w:lang w:val="fr-FR"/>
        </w:rPr>
        <w:t>.</w:t>
      </w:r>
      <w:r w:rsidR="00987805" w:rsidRPr="00270501">
        <w:rPr>
          <w:lang w:val="fr-FR"/>
        </w:rPr>
        <w:t xml:space="preserve"> </w:t>
      </w:r>
    </w:p>
  </w:footnote>
  <w:footnote w:id="59">
    <w:p w14:paraId="60A4E3A7" w14:textId="3BC406AD" w:rsidR="00137F8A" w:rsidRPr="00270501" w:rsidRDefault="00137F8A">
      <w:pPr>
        <w:pStyle w:val="Notedebasdepage"/>
        <w:rPr>
          <w:lang w:val="fr-FR"/>
        </w:rPr>
      </w:pPr>
      <w:r w:rsidRPr="00270501">
        <w:rPr>
          <w:rStyle w:val="Appelnotedebasdep"/>
          <w:lang w:val="fr-FR"/>
        </w:rPr>
        <w:footnoteRef/>
      </w:r>
      <w:r w:rsidRPr="00270501">
        <w:rPr>
          <w:lang w:val="fr-FR"/>
        </w:rPr>
        <w:t xml:space="preserve"> </w:t>
      </w:r>
      <w:r w:rsidR="00BD266B" w:rsidRPr="00BD266B">
        <w:rPr>
          <w:lang w:val="fr-FR"/>
        </w:rPr>
        <w:t>En raison de l'arrondi des décimales, le chiffre s'élevait à 95</w:t>
      </w:r>
      <w:r w:rsidR="00667501">
        <w:rPr>
          <w:lang w:val="fr-FR"/>
        </w:rPr>
        <w:t> %</w:t>
      </w:r>
      <w:r w:rsidR="00BD266B" w:rsidRPr="00BD266B">
        <w:rPr>
          <w:lang w:val="fr-FR"/>
        </w:rPr>
        <w:t xml:space="preserve"> au lieu de 94</w:t>
      </w:r>
      <w:r w:rsidR="00667501">
        <w:rPr>
          <w:lang w:val="fr-FR"/>
        </w:rPr>
        <w:t> %</w:t>
      </w:r>
      <w:r w:rsidR="00BD266B" w:rsidRPr="00BD266B">
        <w:rPr>
          <w:lang w:val="fr-FR"/>
        </w:rPr>
        <w:t>.</w:t>
      </w:r>
      <w:r w:rsidR="00DA4556" w:rsidRPr="00270501">
        <w:rPr>
          <w:lang w:val="fr-FR"/>
        </w:rPr>
        <w:t xml:space="preserve"> </w:t>
      </w:r>
    </w:p>
  </w:footnote>
  <w:footnote w:id="60">
    <w:p w14:paraId="76703F81" w14:textId="3703C597" w:rsidR="008D6261" w:rsidRPr="00270501" w:rsidRDefault="008D6261">
      <w:pPr>
        <w:pStyle w:val="Notedebasdepage"/>
        <w:rPr>
          <w:lang w:val="fr-FR"/>
        </w:rPr>
      </w:pPr>
      <w:r w:rsidRPr="00270501">
        <w:rPr>
          <w:rStyle w:val="Appelnotedebasdep"/>
          <w:lang w:val="fr-FR"/>
        </w:rPr>
        <w:footnoteRef/>
      </w:r>
      <w:r w:rsidRPr="00270501">
        <w:rPr>
          <w:lang w:val="fr-FR"/>
        </w:rPr>
        <w:t xml:space="preserve"> </w:t>
      </w:r>
      <w:r w:rsidR="00E15C13" w:rsidRPr="00B35A22">
        <w:rPr>
          <w:i/>
          <w:iCs/>
          <w:lang w:val="fr-FR"/>
        </w:rPr>
        <w:t>Cahier technique sur la prévention des risques biotechnologiques n°</w:t>
      </w:r>
      <w:r w:rsidRPr="00B35A22">
        <w:rPr>
          <w:i/>
          <w:iCs/>
          <w:lang w:val="fr-FR"/>
        </w:rPr>
        <w:t>06</w:t>
      </w:r>
      <w:r w:rsidRPr="00270501">
        <w:rPr>
          <w:lang w:val="fr-FR"/>
        </w:rPr>
        <w:t xml:space="preserve">, Miranda Geelhoed, </w:t>
      </w:r>
      <w:r w:rsidR="00E15C13">
        <w:rPr>
          <w:lang w:val="fr-FR"/>
        </w:rPr>
        <w:t xml:space="preserve">auteure </w:t>
      </w:r>
      <w:r w:rsidRPr="00270501">
        <w:rPr>
          <w:lang w:val="fr-FR"/>
        </w:rPr>
        <w:t>(Montr</w:t>
      </w:r>
      <w:r w:rsidR="00E15C13">
        <w:rPr>
          <w:lang w:val="fr-FR"/>
        </w:rPr>
        <w:t>é</w:t>
      </w:r>
      <w:r w:rsidRPr="00270501">
        <w:rPr>
          <w:lang w:val="fr-FR"/>
        </w:rPr>
        <w:t xml:space="preserve">al, Canada, </w:t>
      </w:r>
      <w:r w:rsidR="00E15C13" w:rsidRPr="00270501">
        <w:rPr>
          <w:lang w:val="fr-FR"/>
        </w:rPr>
        <w:t>Secrétariat</w:t>
      </w:r>
      <w:r w:rsidRPr="00270501">
        <w:rPr>
          <w:lang w:val="fr-FR"/>
        </w:rPr>
        <w:t xml:space="preserve"> </w:t>
      </w:r>
      <w:r w:rsidR="00E15C13">
        <w:rPr>
          <w:lang w:val="fr-FR"/>
        </w:rPr>
        <w:t xml:space="preserve">de la </w:t>
      </w:r>
      <w:r w:rsidRPr="00270501">
        <w:rPr>
          <w:lang w:val="fr-FR"/>
        </w:rPr>
        <w:t xml:space="preserve">Convention </w:t>
      </w:r>
      <w:r w:rsidR="00E15C13">
        <w:rPr>
          <w:lang w:val="fr-FR"/>
        </w:rPr>
        <w:t>sur la diversité biologique</w:t>
      </w:r>
      <w:r w:rsidRPr="00270501">
        <w:rPr>
          <w:lang w:val="fr-FR"/>
        </w:rPr>
        <w:t>,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10B924AD" w14:textId="5039C0F5" w:rsidR="002B559C" w:rsidRPr="002B559C" w:rsidRDefault="00757093" w:rsidP="002B559C">
    <w:pPr>
      <w:pStyle w:val="En-tte"/>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FC386D">
          <w:rPr>
            <w:szCs w:val="20"/>
            <w:lang w:val="fr-FR"/>
          </w:rPr>
          <w:t>CBD/SBI/7/6/Add.1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F517727" w14:textId="6F09EE11" w:rsidR="002B559C" w:rsidRPr="002B559C" w:rsidRDefault="00FC386D" w:rsidP="002B559C">
        <w:pPr>
          <w:pStyle w:val="En-tte"/>
          <w:spacing w:after="240"/>
          <w:jc w:val="right"/>
          <w:rPr>
            <w:szCs w:val="20"/>
            <w:lang w:val="fr-FR"/>
          </w:rPr>
        </w:pPr>
        <w:r>
          <w:rPr>
            <w:szCs w:val="20"/>
            <w:lang w:val="fr-FR"/>
          </w:rPr>
          <w:t>CBD/SBI/7/6/Add.1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535B3" w14:textId="69D5A91B" w:rsidR="00B00757" w:rsidRPr="00A94DF3" w:rsidRDefault="00B00757" w:rsidP="00A94DF3">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D7BD6"/>
    <w:multiLevelType w:val="hybridMultilevel"/>
    <w:tmpl w:val="25045EB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06576677"/>
    <w:multiLevelType w:val="hybridMultilevel"/>
    <w:tmpl w:val="4BC42F20"/>
    <w:lvl w:ilvl="0" w:tplc="35A8E19E">
      <w:start w:val="1"/>
      <w:numFmt w:val="bullet"/>
      <w:lvlText w:val=""/>
      <w:lvlJc w:val="left"/>
      <w:pPr>
        <w:ind w:left="1440" w:hanging="360"/>
      </w:pPr>
      <w:rPr>
        <w:rFonts w:ascii="Symbol" w:hAnsi="Symbol"/>
      </w:rPr>
    </w:lvl>
    <w:lvl w:ilvl="1" w:tplc="E64234E2">
      <w:start w:val="1"/>
      <w:numFmt w:val="bullet"/>
      <w:lvlText w:val=""/>
      <w:lvlJc w:val="left"/>
      <w:pPr>
        <w:ind w:left="1440" w:hanging="360"/>
      </w:pPr>
      <w:rPr>
        <w:rFonts w:ascii="Symbol" w:hAnsi="Symbol"/>
      </w:rPr>
    </w:lvl>
    <w:lvl w:ilvl="2" w:tplc="21205180">
      <w:start w:val="1"/>
      <w:numFmt w:val="bullet"/>
      <w:lvlText w:val=""/>
      <w:lvlJc w:val="left"/>
      <w:pPr>
        <w:ind w:left="1440" w:hanging="360"/>
      </w:pPr>
      <w:rPr>
        <w:rFonts w:ascii="Symbol" w:hAnsi="Symbol"/>
      </w:rPr>
    </w:lvl>
    <w:lvl w:ilvl="3" w:tplc="F6FCA28E">
      <w:start w:val="1"/>
      <w:numFmt w:val="bullet"/>
      <w:lvlText w:val=""/>
      <w:lvlJc w:val="left"/>
      <w:pPr>
        <w:ind w:left="1440" w:hanging="360"/>
      </w:pPr>
      <w:rPr>
        <w:rFonts w:ascii="Symbol" w:hAnsi="Symbol"/>
      </w:rPr>
    </w:lvl>
    <w:lvl w:ilvl="4" w:tplc="BAA861F0">
      <w:start w:val="1"/>
      <w:numFmt w:val="bullet"/>
      <w:lvlText w:val=""/>
      <w:lvlJc w:val="left"/>
      <w:pPr>
        <w:ind w:left="1440" w:hanging="360"/>
      </w:pPr>
      <w:rPr>
        <w:rFonts w:ascii="Symbol" w:hAnsi="Symbol"/>
      </w:rPr>
    </w:lvl>
    <w:lvl w:ilvl="5" w:tplc="CAAE0236">
      <w:start w:val="1"/>
      <w:numFmt w:val="bullet"/>
      <w:lvlText w:val=""/>
      <w:lvlJc w:val="left"/>
      <w:pPr>
        <w:ind w:left="1440" w:hanging="360"/>
      </w:pPr>
      <w:rPr>
        <w:rFonts w:ascii="Symbol" w:hAnsi="Symbol"/>
      </w:rPr>
    </w:lvl>
    <w:lvl w:ilvl="6" w:tplc="0DB07DA6">
      <w:start w:val="1"/>
      <w:numFmt w:val="bullet"/>
      <w:lvlText w:val=""/>
      <w:lvlJc w:val="left"/>
      <w:pPr>
        <w:ind w:left="1440" w:hanging="360"/>
      </w:pPr>
      <w:rPr>
        <w:rFonts w:ascii="Symbol" w:hAnsi="Symbol"/>
      </w:rPr>
    </w:lvl>
    <w:lvl w:ilvl="7" w:tplc="EB1ACCC8">
      <w:start w:val="1"/>
      <w:numFmt w:val="bullet"/>
      <w:lvlText w:val=""/>
      <w:lvlJc w:val="left"/>
      <w:pPr>
        <w:ind w:left="1440" w:hanging="360"/>
      </w:pPr>
      <w:rPr>
        <w:rFonts w:ascii="Symbol" w:hAnsi="Symbol"/>
      </w:rPr>
    </w:lvl>
    <w:lvl w:ilvl="8" w:tplc="BC4C60FE">
      <w:start w:val="1"/>
      <w:numFmt w:val="bullet"/>
      <w:lvlText w:val=""/>
      <w:lvlJc w:val="left"/>
      <w:pPr>
        <w:ind w:left="1440" w:hanging="360"/>
      </w:pPr>
      <w:rPr>
        <w:rFonts w:ascii="Symbol" w:hAnsi="Symbol"/>
      </w:rPr>
    </w:lvl>
  </w:abstractNum>
  <w:abstractNum w:abstractNumId="2" w15:restartNumberingAfterBreak="0">
    <w:nsid w:val="0D150F30"/>
    <w:multiLevelType w:val="multilevel"/>
    <w:tmpl w:val="4E18595C"/>
    <w:lvl w:ilvl="0">
      <w:start w:val="1"/>
      <w:numFmt w:val="decimal"/>
      <w:lvlText w:val="%1."/>
      <w:lvlJc w:val="left"/>
      <w:pPr>
        <w:tabs>
          <w:tab w:val="num" w:pos="3240"/>
        </w:tabs>
        <w:ind w:left="3240" w:hanging="360"/>
      </w:pPr>
      <w:rPr>
        <w:b w:val="0"/>
        <w:bCs/>
        <w:i w:val="0"/>
        <w:iCs/>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start w:val="1"/>
      <w:numFmt w:val="lowerLetter"/>
      <w:lvlText w:val="(%4)"/>
      <w:lvlJc w:val="left"/>
      <w:pPr>
        <w:ind w:left="5040" w:firstLine="0"/>
      </w:pPr>
      <w:rPr>
        <w:rFonts w:hint="default"/>
      </w:r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3" w15:restartNumberingAfterBreak="0">
    <w:nsid w:val="15632297"/>
    <w:multiLevelType w:val="hybridMultilevel"/>
    <w:tmpl w:val="E6E45CF2"/>
    <w:lvl w:ilvl="0" w:tplc="788C01AE">
      <w:start w:val="4"/>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0521C7"/>
    <w:multiLevelType w:val="hybridMultilevel"/>
    <w:tmpl w:val="FFFFFFFF"/>
    <w:lvl w:ilvl="0" w:tplc="041E520A">
      <w:start w:val="1"/>
      <w:numFmt w:val="decimal"/>
      <w:lvlText w:val="%1."/>
      <w:lvlJc w:val="left"/>
      <w:pPr>
        <w:ind w:left="927" w:hanging="360"/>
      </w:pPr>
    </w:lvl>
    <w:lvl w:ilvl="1" w:tplc="B8A88264">
      <w:start w:val="1"/>
      <w:numFmt w:val="lowerLetter"/>
      <w:lvlText w:val="%2."/>
      <w:lvlJc w:val="left"/>
      <w:pPr>
        <w:ind w:left="1647" w:hanging="360"/>
      </w:pPr>
    </w:lvl>
    <w:lvl w:ilvl="2" w:tplc="D5BE61DC">
      <w:start w:val="1"/>
      <w:numFmt w:val="lowerRoman"/>
      <w:lvlText w:val="%3."/>
      <w:lvlJc w:val="right"/>
      <w:pPr>
        <w:ind w:left="2367" w:hanging="180"/>
      </w:pPr>
    </w:lvl>
    <w:lvl w:ilvl="3" w:tplc="BFF6F9F6">
      <w:start w:val="1"/>
      <w:numFmt w:val="decimal"/>
      <w:lvlText w:val="%4."/>
      <w:lvlJc w:val="left"/>
      <w:pPr>
        <w:ind w:left="3087" w:hanging="360"/>
      </w:pPr>
    </w:lvl>
    <w:lvl w:ilvl="4" w:tplc="DF707904">
      <w:start w:val="1"/>
      <w:numFmt w:val="lowerLetter"/>
      <w:lvlText w:val="%5."/>
      <w:lvlJc w:val="left"/>
      <w:pPr>
        <w:ind w:left="3807" w:hanging="360"/>
      </w:pPr>
    </w:lvl>
    <w:lvl w:ilvl="5" w:tplc="300C9B28">
      <w:start w:val="1"/>
      <w:numFmt w:val="lowerRoman"/>
      <w:lvlText w:val="%6."/>
      <w:lvlJc w:val="right"/>
      <w:pPr>
        <w:ind w:left="4527" w:hanging="180"/>
      </w:pPr>
    </w:lvl>
    <w:lvl w:ilvl="6" w:tplc="CEA4F35C">
      <w:start w:val="1"/>
      <w:numFmt w:val="decimal"/>
      <w:lvlText w:val="%7."/>
      <w:lvlJc w:val="left"/>
      <w:pPr>
        <w:ind w:left="5247" w:hanging="360"/>
      </w:pPr>
    </w:lvl>
    <w:lvl w:ilvl="7" w:tplc="B5B46B4E">
      <w:start w:val="1"/>
      <w:numFmt w:val="lowerLetter"/>
      <w:lvlText w:val="%8."/>
      <w:lvlJc w:val="left"/>
      <w:pPr>
        <w:ind w:left="5967" w:hanging="360"/>
      </w:pPr>
    </w:lvl>
    <w:lvl w:ilvl="8" w:tplc="0F2A1F2A">
      <w:start w:val="1"/>
      <w:numFmt w:val="lowerRoman"/>
      <w:lvlText w:val="%9."/>
      <w:lvlJc w:val="right"/>
      <w:pPr>
        <w:ind w:left="6687" w:hanging="180"/>
      </w:pPr>
    </w:lvl>
  </w:abstractNum>
  <w:abstractNum w:abstractNumId="5" w15:restartNumberingAfterBreak="0">
    <w:nsid w:val="1B7A5C75"/>
    <w:multiLevelType w:val="hybridMultilevel"/>
    <w:tmpl w:val="3CE6BAB8"/>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8C772F"/>
    <w:multiLevelType w:val="hybridMultilevel"/>
    <w:tmpl w:val="1ECA969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2654148C"/>
    <w:multiLevelType w:val="hybridMultilevel"/>
    <w:tmpl w:val="C510857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27466EEF"/>
    <w:multiLevelType w:val="hybridMultilevel"/>
    <w:tmpl w:val="4686D1A4"/>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9" w15:restartNumberingAfterBreak="0">
    <w:nsid w:val="27540117"/>
    <w:multiLevelType w:val="hybridMultilevel"/>
    <w:tmpl w:val="EAD8E7F6"/>
    <w:lvl w:ilvl="0" w:tplc="52DC4BB0">
      <w:start w:val="1"/>
      <w:numFmt w:val="bullet"/>
      <w:lvlText w:val=""/>
      <w:lvlJc w:val="left"/>
      <w:pPr>
        <w:ind w:left="720" w:hanging="360"/>
      </w:pPr>
      <w:rPr>
        <w:rFonts w:ascii="Symbol" w:hAnsi="Symbol"/>
      </w:rPr>
    </w:lvl>
    <w:lvl w:ilvl="1" w:tplc="FDAA0D16">
      <w:start w:val="1"/>
      <w:numFmt w:val="bullet"/>
      <w:lvlText w:val=""/>
      <w:lvlJc w:val="left"/>
      <w:pPr>
        <w:ind w:left="720" w:hanging="360"/>
      </w:pPr>
      <w:rPr>
        <w:rFonts w:ascii="Symbol" w:hAnsi="Symbol"/>
      </w:rPr>
    </w:lvl>
    <w:lvl w:ilvl="2" w:tplc="83CA402A">
      <w:start w:val="1"/>
      <w:numFmt w:val="bullet"/>
      <w:lvlText w:val=""/>
      <w:lvlJc w:val="left"/>
      <w:pPr>
        <w:ind w:left="720" w:hanging="360"/>
      </w:pPr>
      <w:rPr>
        <w:rFonts w:ascii="Symbol" w:hAnsi="Symbol"/>
      </w:rPr>
    </w:lvl>
    <w:lvl w:ilvl="3" w:tplc="0A26ACDE">
      <w:start w:val="1"/>
      <w:numFmt w:val="bullet"/>
      <w:lvlText w:val=""/>
      <w:lvlJc w:val="left"/>
      <w:pPr>
        <w:ind w:left="720" w:hanging="360"/>
      </w:pPr>
      <w:rPr>
        <w:rFonts w:ascii="Symbol" w:hAnsi="Symbol"/>
      </w:rPr>
    </w:lvl>
    <w:lvl w:ilvl="4" w:tplc="54F48750">
      <w:start w:val="1"/>
      <w:numFmt w:val="bullet"/>
      <w:lvlText w:val=""/>
      <w:lvlJc w:val="left"/>
      <w:pPr>
        <w:ind w:left="720" w:hanging="360"/>
      </w:pPr>
      <w:rPr>
        <w:rFonts w:ascii="Symbol" w:hAnsi="Symbol"/>
      </w:rPr>
    </w:lvl>
    <w:lvl w:ilvl="5" w:tplc="AD4CD9FA">
      <w:start w:val="1"/>
      <w:numFmt w:val="bullet"/>
      <w:lvlText w:val=""/>
      <w:lvlJc w:val="left"/>
      <w:pPr>
        <w:ind w:left="720" w:hanging="360"/>
      </w:pPr>
      <w:rPr>
        <w:rFonts w:ascii="Symbol" w:hAnsi="Symbol"/>
      </w:rPr>
    </w:lvl>
    <w:lvl w:ilvl="6" w:tplc="CF209812">
      <w:start w:val="1"/>
      <w:numFmt w:val="bullet"/>
      <w:lvlText w:val=""/>
      <w:lvlJc w:val="left"/>
      <w:pPr>
        <w:ind w:left="720" w:hanging="360"/>
      </w:pPr>
      <w:rPr>
        <w:rFonts w:ascii="Symbol" w:hAnsi="Symbol"/>
      </w:rPr>
    </w:lvl>
    <w:lvl w:ilvl="7" w:tplc="61486F4C">
      <w:start w:val="1"/>
      <w:numFmt w:val="bullet"/>
      <w:lvlText w:val=""/>
      <w:lvlJc w:val="left"/>
      <w:pPr>
        <w:ind w:left="720" w:hanging="360"/>
      </w:pPr>
      <w:rPr>
        <w:rFonts w:ascii="Symbol" w:hAnsi="Symbol"/>
      </w:rPr>
    </w:lvl>
    <w:lvl w:ilvl="8" w:tplc="114C034E">
      <w:start w:val="1"/>
      <w:numFmt w:val="bullet"/>
      <w:lvlText w:val=""/>
      <w:lvlJc w:val="left"/>
      <w:pPr>
        <w:ind w:left="720" w:hanging="360"/>
      </w:pPr>
      <w:rPr>
        <w:rFonts w:ascii="Symbol" w:hAnsi="Symbol"/>
      </w:rPr>
    </w:lvl>
  </w:abstractNum>
  <w:abstractNum w:abstractNumId="10" w15:restartNumberingAfterBreak="0">
    <w:nsid w:val="27AD56C3"/>
    <w:multiLevelType w:val="hybridMultilevel"/>
    <w:tmpl w:val="75C2356A"/>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1" w15:restartNumberingAfterBreak="0">
    <w:nsid w:val="27BB5D1C"/>
    <w:multiLevelType w:val="multilevel"/>
    <w:tmpl w:val="E460D440"/>
    <w:lvl w:ilvl="0">
      <w:start w:val="1"/>
      <w:numFmt w:val="decimal"/>
      <w:lvlText w:val="%1."/>
      <w:lvlJc w:val="left"/>
      <w:pPr>
        <w:tabs>
          <w:tab w:val="num" w:pos="3240"/>
        </w:tabs>
        <w:ind w:left="3240" w:hanging="360"/>
      </w:pPr>
      <w:rPr>
        <w:b w:val="0"/>
        <w:bCs/>
        <w:i w:val="0"/>
        <w:iCs/>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start w:val="1"/>
      <w:numFmt w:val="bullet"/>
      <w:lvlText w:val=""/>
      <w:lvlJc w:val="left"/>
      <w:pPr>
        <w:ind w:left="5400" w:hanging="360"/>
      </w:pPr>
      <w:rPr>
        <w:rFonts w:ascii="Symbol" w:hAnsi="Symbol" w:hint="default"/>
      </w:r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12" w15:restartNumberingAfterBreak="0">
    <w:nsid w:val="2A7F754E"/>
    <w:multiLevelType w:val="hybridMultilevel"/>
    <w:tmpl w:val="00C27DA8"/>
    <w:lvl w:ilvl="0" w:tplc="392EE2CE">
      <w:start w:val="1"/>
      <w:numFmt w:val="bullet"/>
      <w:lvlText w:val=""/>
      <w:lvlJc w:val="left"/>
      <w:pPr>
        <w:ind w:left="720" w:hanging="360"/>
      </w:pPr>
      <w:rPr>
        <w:rFonts w:ascii="Symbol" w:hAnsi="Symbol"/>
      </w:rPr>
    </w:lvl>
    <w:lvl w:ilvl="1" w:tplc="75D4E57A">
      <w:start w:val="1"/>
      <w:numFmt w:val="bullet"/>
      <w:lvlText w:val=""/>
      <w:lvlJc w:val="left"/>
      <w:pPr>
        <w:ind w:left="720" w:hanging="360"/>
      </w:pPr>
      <w:rPr>
        <w:rFonts w:ascii="Symbol" w:hAnsi="Symbol"/>
      </w:rPr>
    </w:lvl>
    <w:lvl w:ilvl="2" w:tplc="1D9AEEC4">
      <w:start w:val="1"/>
      <w:numFmt w:val="bullet"/>
      <w:lvlText w:val=""/>
      <w:lvlJc w:val="left"/>
      <w:pPr>
        <w:ind w:left="720" w:hanging="360"/>
      </w:pPr>
      <w:rPr>
        <w:rFonts w:ascii="Symbol" w:hAnsi="Symbol"/>
      </w:rPr>
    </w:lvl>
    <w:lvl w:ilvl="3" w:tplc="9D4855CA">
      <w:start w:val="1"/>
      <w:numFmt w:val="bullet"/>
      <w:lvlText w:val=""/>
      <w:lvlJc w:val="left"/>
      <w:pPr>
        <w:ind w:left="720" w:hanging="360"/>
      </w:pPr>
      <w:rPr>
        <w:rFonts w:ascii="Symbol" w:hAnsi="Symbol"/>
      </w:rPr>
    </w:lvl>
    <w:lvl w:ilvl="4" w:tplc="996A1866">
      <w:start w:val="1"/>
      <w:numFmt w:val="bullet"/>
      <w:lvlText w:val=""/>
      <w:lvlJc w:val="left"/>
      <w:pPr>
        <w:ind w:left="720" w:hanging="360"/>
      </w:pPr>
      <w:rPr>
        <w:rFonts w:ascii="Symbol" w:hAnsi="Symbol"/>
      </w:rPr>
    </w:lvl>
    <w:lvl w:ilvl="5" w:tplc="746024FA">
      <w:start w:val="1"/>
      <w:numFmt w:val="bullet"/>
      <w:lvlText w:val=""/>
      <w:lvlJc w:val="left"/>
      <w:pPr>
        <w:ind w:left="720" w:hanging="360"/>
      </w:pPr>
      <w:rPr>
        <w:rFonts w:ascii="Symbol" w:hAnsi="Symbol"/>
      </w:rPr>
    </w:lvl>
    <w:lvl w:ilvl="6" w:tplc="FA60D420">
      <w:start w:val="1"/>
      <w:numFmt w:val="bullet"/>
      <w:lvlText w:val=""/>
      <w:lvlJc w:val="left"/>
      <w:pPr>
        <w:ind w:left="720" w:hanging="360"/>
      </w:pPr>
      <w:rPr>
        <w:rFonts w:ascii="Symbol" w:hAnsi="Symbol"/>
      </w:rPr>
    </w:lvl>
    <w:lvl w:ilvl="7" w:tplc="7158D496">
      <w:start w:val="1"/>
      <w:numFmt w:val="bullet"/>
      <w:lvlText w:val=""/>
      <w:lvlJc w:val="left"/>
      <w:pPr>
        <w:ind w:left="720" w:hanging="360"/>
      </w:pPr>
      <w:rPr>
        <w:rFonts w:ascii="Symbol" w:hAnsi="Symbol"/>
      </w:rPr>
    </w:lvl>
    <w:lvl w:ilvl="8" w:tplc="2E165558">
      <w:start w:val="1"/>
      <w:numFmt w:val="bullet"/>
      <w:lvlText w:val=""/>
      <w:lvlJc w:val="left"/>
      <w:pPr>
        <w:ind w:left="720" w:hanging="360"/>
      </w:pPr>
      <w:rPr>
        <w:rFonts w:ascii="Symbol" w:hAnsi="Symbol"/>
      </w:rPr>
    </w:lvl>
  </w:abstractNum>
  <w:abstractNum w:abstractNumId="13" w15:restartNumberingAfterBreak="0">
    <w:nsid w:val="2BA003B2"/>
    <w:multiLevelType w:val="hybridMultilevel"/>
    <w:tmpl w:val="FFFFFFFF"/>
    <w:lvl w:ilvl="0" w:tplc="F0DCB4D8">
      <w:start w:val="1"/>
      <w:numFmt w:val="decimal"/>
      <w:lvlText w:val="%1."/>
      <w:lvlJc w:val="left"/>
      <w:pPr>
        <w:ind w:left="927" w:hanging="360"/>
      </w:pPr>
    </w:lvl>
    <w:lvl w:ilvl="1" w:tplc="39B09A98">
      <w:start w:val="1"/>
      <w:numFmt w:val="lowerLetter"/>
      <w:lvlText w:val="%2."/>
      <w:lvlJc w:val="left"/>
      <w:pPr>
        <w:ind w:left="1647" w:hanging="360"/>
      </w:pPr>
    </w:lvl>
    <w:lvl w:ilvl="2" w:tplc="215C13AE">
      <w:start w:val="1"/>
      <w:numFmt w:val="lowerRoman"/>
      <w:lvlText w:val="%3."/>
      <w:lvlJc w:val="right"/>
      <w:pPr>
        <w:ind w:left="2367" w:hanging="180"/>
      </w:pPr>
    </w:lvl>
    <w:lvl w:ilvl="3" w:tplc="70E69230">
      <w:start w:val="1"/>
      <w:numFmt w:val="decimal"/>
      <w:lvlText w:val="%4."/>
      <w:lvlJc w:val="left"/>
      <w:pPr>
        <w:ind w:left="3087" w:hanging="360"/>
      </w:pPr>
    </w:lvl>
    <w:lvl w:ilvl="4" w:tplc="C80E532C">
      <w:start w:val="1"/>
      <w:numFmt w:val="lowerLetter"/>
      <w:lvlText w:val="%5."/>
      <w:lvlJc w:val="left"/>
      <w:pPr>
        <w:ind w:left="3807" w:hanging="360"/>
      </w:pPr>
    </w:lvl>
    <w:lvl w:ilvl="5" w:tplc="4B1E2872">
      <w:start w:val="1"/>
      <w:numFmt w:val="lowerRoman"/>
      <w:lvlText w:val="%6."/>
      <w:lvlJc w:val="right"/>
      <w:pPr>
        <w:ind w:left="4527" w:hanging="180"/>
      </w:pPr>
    </w:lvl>
    <w:lvl w:ilvl="6" w:tplc="0ECAA856">
      <w:start w:val="1"/>
      <w:numFmt w:val="decimal"/>
      <w:lvlText w:val="%7."/>
      <w:lvlJc w:val="left"/>
      <w:pPr>
        <w:ind w:left="5247" w:hanging="360"/>
      </w:pPr>
    </w:lvl>
    <w:lvl w:ilvl="7" w:tplc="58C0504C">
      <w:start w:val="1"/>
      <w:numFmt w:val="lowerLetter"/>
      <w:lvlText w:val="%8."/>
      <w:lvlJc w:val="left"/>
      <w:pPr>
        <w:ind w:left="5967" w:hanging="360"/>
      </w:pPr>
    </w:lvl>
    <w:lvl w:ilvl="8" w:tplc="0B7ABD8C">
      <w:start w:val="1"/>
      <w:numFmt w:val="lowerRoman"/>
      <w:lvlText w:val="%9."/>
      <w:lvlJc w:val="right"/>
      <w:pPr>
        <w:ind w:left="6687" w:hanging="180"/>
      </w:pPr>
    </w:lvl>
  </w:abstractNum>
  <w:abstractNum w:abstractNumId="14" w15:restartNumberingAfterBreak="0">
    <w:nsid w:val="2F0A6222"/>
    <w:multiLevelType w:val="hybridMultilevel"/>
    <w:tmpl w:val="DE90EEF2"/>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5" w15:restartNumberingAfterBreak="0">
    <w:nsid w:val="33AE6894"/>
    <w:multiLevelType w:val="hybridMultilevel"/>
    <w:tmpl w:val="9D8A476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6" w15:restartNumberingAfterBreak="0">
    <w:nsid w:val="34A4381C"/>
    <w:multiLevelType w:val="hybridMultilevel"/>
    <w:tmpl w:val="AA8AEB5A"/>
    <w:lvl w:ilvl="0" w:tplc="9D1475EA">
      <w:start w:val="1"/>
      <w:numFmt w:val="decimal"/>
      <w:lvlText w:val="%1."/>
      <w:lvlJc w:val="left"/>
      <w:pPr>
        <w:ind w:left="720" w:hanging="360"/>
      </w:pPr>
    </w:lvl>
    <w:lvl w:ilvl="1" w:tplc="F3C206D0">
      <w:start w:val="1"/>
      <w:numFmt w:val="decimal"/>
      <w:lvlText w:val="%2."/>
      <w:lvlJc w:val="left"/>
      <w:pPr>
        <w:ind w:left="720" w:hanging="360"/>
      </w:pPr>
    </w:lvl>
    <w:lvl w:ilvl="2" w:tplc="9CB0762C">
      <w:start w:val="1"/>
      <w:numFmt w:val="decimal"/>
      <w:lvlText w:val="%3."/>
      <w:lvlJc w:val="left"/>
      <w:pPr>
        <w:ind w:left="720" w:hanging="360"/>
      </w:pPr>
    </w:lvl>
    <w:lvl w:ilvl="3" w:tplc="08981296">
      <w:start w:val="1"/>
      <w:numFmt w:val="decimal"/>
      <w:lvlText w:val="%4."/>
      <w:lvlJc w:val="left"/>
      <w:pPr>
        <w:ind w:left="720" w:hanging="360"/>
      </w:pPr>
    </w:lvl>
    <w:lvl w:ilvl="4" w:tplc="7A92BFF6">
      <w:start w:val="1"/>
      <w:numFmt w:val="decimal"/>
      <w:lvlText w:val="%5."/>
      <w:lvlJc w:val="left"/>
      <w:pPr>
        <w:ind w:left="720" w:hanging="360"/>
      </w:pPr>
    </w:lvl>
    <w:lvl w:ilvl="5" w:tplc="C1F6814C">
      <w:start w:val="1"/>
      <w:numFmt w:val="decimal"/>
      <w:lvlText w:val="%6."/>
      <w:lvlJc w:val="left"/>
      <w:pPr>
        <w:ind w:left="720" w:hanging="360"/>
      </w:pPr>
    </w:lvl>
    <w:lvl w:ilvl="6" w:tplc="B06225B6">
      <w:start w:val="1"/>
      <w:numFmt w:val="decimal"/>
      <w:lvlText w:val="%7."/>
      <w:lvlJc w:val="left"/>
      <w:pPr>
        <w:ind w:left="720" w:hanging="360"/>
      </w:pPr>
    </w:lvl>
    <w:lvl w:ilvl="7" w:tplc="14C64704">
      <w:start w:val="1"/>
      <w:numFmt w:val="decimal"/>
      <w:lvlText w:val="%8."/>
      <w:lvlJc w:val="left"/>
      <w:pPr>
        <w:ind w:left="720" w:hanging="360"/>
      </w:pPr>
    </w:lvl>
    <w:lvl w:ilvl="8" w:tplc="E0189058">
      <w:start w:val="1"/>
      <w:numFmt w:val="decimal"/>
      <w:lvlText w:val="%9."/>
      <w:lvlJc w:val="left"/>
      <w:pPr>
        <w:ind w:left="720" w:hanging="360"/>
      </w:pPr>
    </w:lvl>
  </w:abstractNum>
  <w:abstractNum w:abstractNumId="17" w15:restartNumberingAfterBreak="0">
    <w:nsid w:val="35E71F49"/>
    <w:multiLevelType w:val="hybridMultilevel"/>
    <w:tmpl w:val="1D04A56C"/>
    <w:lvl w:ilvl="0" w:tplc="8CF6542C">
      <w:start w:val="6"/>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4F328C"/>
    <w:multiLevelType w:val="hybridMultilevel"/>
    <w:tmpl w:val="BF16638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9" w15:restartNumberingAfterBreak="0">
    <w:nsid w:val="36922C8E"/>
    <w:multiLevelType w:val="multilevel"/>
    <w:tmpl w:val="4E18595C"/>
    <w:lvl w:ilvl="0">
      <w:start w:val="1"/>
      <w:numFmt w:val="decimal"/>
      <w:lvlText w:val="%1."/>
      <w:lvlJc w:val="left"/>
      <w:pPr>
        <w:tabs>
          <w:tab w:val="num" w:pos="3240"/>
        </w:tabs>
        <w:ind w:left="3240" w:hanging="360"/>
      </w:pPr>
      <w:rPr>
        <w:b w:val="0"/>
        <w:bCs/>
        <w:i w:val="0"/>
        <w:iCs/>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start w:val="1"/>
      <w:numFmt w:val="lowerLetter"/>
      <w:lvlText w:val="(%4)"/>
      <w:lvlJc w:val="left"/>
      <w:pPr>
        <w:ind w:left="5040" w:firstLine="0"/>
      </w:pPr>
      <w:rPr>
        <w:rFonts w:hint="default"/>
      </w:r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20" w15:restartNumberingAfterBreak="0">
    <w:nsid w:val="3846565D"/>
    <w:multiLevelType w:val="hybridMultilevel"/>
    <w:tmpl w:val="FFFFFFFF"/>
    <w:lvl w:ilvl="0" w:tplc="30D47C7C">
      <w:start w:val="1"/>
      <w:numFmt w:val="decimal"/>
      <w:lvlText w:val="%1."/>
      <w:lvlJc w:val="left"/>
      <w:pPr>
        <w:ind w:left="927" w:hanging="360"/>
      </w:pPr>
    </w:lvl>
    <w:lvl w:ilvl="1" w:tplc="0DCE0726">
      <w:start w:val="1"/>
      <w:numFmt w:val="lowerLetter"/>
      <w:lvlText w:val="%2."/>
      <w:lvlJc w:val="left"/>
      <w:pPr>
        <w:ind w:left="1647" w:hanging="360"/>
      </w:pPr>
    </w:lvl>
    <w:lvl w:ilvl="2" w:tplc="7D7693E8">
      <w:start w:val="1"/>
      <w:numFmt w:val="lowerRoman"/>
      <w:lvlText w:val="%3."/>
      <w:lvlJc w:val="right"/>
      <w:pPr>
        <w:ind w:left="2367" w:hanging="180"/>
      </w:pPr>
    </w:lvl>
    <w:lvl w:ilvl="3" w:tplc="A232CB3A">
      <w:start w:val="1"/>
      <w:numFmt w:val="decimal"/>
      <w:lvlText w:val="%4."/>
      <w:lvlJc w:val="left"/>
      <w:pPr>
        <w:ind w:left="3087" w:hanging="360"/>
      </w:pPr>
    </w:lvl>
    <w:lvl w:ilvl="4" w:tplc="2D22FE8C">
      <w:start w:val="1"/>
      <w:numFmt w:val="lowerLetter"/>
      <w:lvlText w:val="%5."/>
      <w:lvlJc w:val="left"/>
      <w:pPr>
        <w:ind w:left="3807" w:hanging="360"/>
      </w:pPr>
    </w:lvl>
    <w:lvl w:ilvl="5" w:tplc="D3BEBFFA">
      <w:start w:val="1"/>
      <w:numFmt w:val="lowerRoman"/>
      <w:lvlText w:val="%6."/>
      <w:lvlJc w:val="right"/>
      <w:pPr>
        <w:ind w:left="4527" w:hanging="180"/>
      </w:pPr>
    </w:lvl>
    <w:lvl w:ilvl="6" w:tplc="6AEC66C8">
      <w:start w:val="1"/>
      <w:numFmt w:val="decimal"/>
      <w:lvlText w:val="%7."/>
      <w:lvlJc w:val="left"/>
      <w:pPr>
        <w:ind w:left="5247" w:hanging="360"/>
      </w:pPr>
    </w:lvl>
    <w:lvl w:ilvl="7" w:tplc="8B465D6C">
      <w:start w:val="1"/>
      <w:numFmt w:val="lowerLetter"/>
      <w:lvlText w:val="%8."/>
      <w:lvlJc w:val="left"/>
      <w:pPr>
        <w:ind w:left="5967" w:hanging="360"/>
      </w:pPr>
    </w:lvl>
    <w:lvl w:ilvl="8" w:tplc="696842F2">
      <w:start w:val="1"/>
      <w:numFmt w:val="lowerRoman"/>
      <w:lvlText w:val="%9."/>
      <w:lvlJc w:val="right"/>
      <w:pPr>
        <w:ind w:left="6687" w:hanging="180"/>
      </w:pPr>
    </w:lvl>
  </w:abstractNum>
  <w:abstractNum w:abstractNumId="21" w15:restartNumberingAfterBreak="0">
    <w:nsid w:val="400C5C43"/>
    <w:multiLevelType w:val="hybridMultilevel"/>
    <w:tmpl w:val="3A3220E0"/>
    <w:lvl w:ilvl="0" w:tplc="38603E66">
      <w:start w:val="2"/>
      <w:numFmt w:val="bullet"/>
      <w:lvlText w:val="-"/>
      <w:lvlJc w:val="left"/>
      <w:pPr>
        <w:ind w:left="1800" w:hanging="360"/>
      </w:pPr>
      <w:rPr>
        <w:rFonts w:ascii="Times New Roman" w:eastAsia="SimSun" w:hAnsi="Times New Roman" w:cs="Times New Roman"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2" w15:restartNumberingAfterBreak="0">
    <w:nsid w:val="425D3EA2"/>
    <w:multiLevelType w:val="hybridMultilevel"/>
    <w:tmpl w:val="3ECEBAB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3" w15:restartNumberingAfterBreak="0">
    <w:nsid w:val="44B10BFE"/>
    <w:multiLevelType w:val="hybridMultilevel"/>
    <w:tmpl w:val="5D10ADDE"/>
    <w:lvl w:ilvl="0" w:tplc="C2F6EEA6">
      <w:start w:val="1"/>
      <w:numFmt w:val="bullet"/>
      <w:lvlText w:val=""/>
      <w:lvlJc w:val="left"/>
      <w:pPr>
        <w:ind w:left="720" w:hanging="360"/>
      </w:pPr>
      <w:rPr>
        <w:rFonts w:ascii="Symbol" w:hAnsi="Symbol"/>
      </w:rPr>
    </w:lvl>
    <w:lvl w:ilvl="1" w:tplc="D9C28E1E">
      <w:start w:val="1"/>
      <w:numFmt w:val="bullet"/>
      <w:lvlText w:val=""/>
      <w:lvlJc w:val="left"/>
      <w:pPr>
        <w:ind w:left="720" w:hanging="360"/>
      </w:pPr>
      <w:rPr>
        <w:rFonts w:ascii="Symbol" w:hAnsi="Symbol"/>
      </w:rPr>
    </w:lvl>
    <w:lvl w:ilvl="2" w:tplc="8E3E6DEC">
      <w:start w:val="1"/>
      <w:numFmt w:val="bullet"/>
      <w:lvlText w:val=""/>
      <w:lvlJc w:val="left"/>
      <w:pPr>
        <w:ind w:left="720" w:hanging="360"/>
      </w:pPr>
      <w:rPr>
        <w:rFonts w:ascii="Symbol" w:hAnsi="Symbol"/>
      </w:rPr>
    </w:lvl>
    <w:lvl w:ilvl="3" w:tplc="53C29CE2">
      <w:start w:val="1"/>
      <w:numFmt w:val="bullet"/>
      <w:lvlText w:val=""/>
      <w:lvlJc w:val="left"/>
      <w:pPr>
        <w:ind w:left="720" w:hanging="360"/>
      </w:pPr>
      <w:rPr>
        <w:rFonts w:ascii="Symbol" w:hAnsi="Symbol"/>
      </w:rPr>
    </w:lvl>
    <w:lvl w:ilvl="4" w:tplc="07EEAB0A">
      <w:start w:val="1"/>
      <w:numFmt w:val="bullet"/>
      <w:lvlText w:val=""/>
      <w:lvlJc w:val="left"/>
      <w:pPr>
        <w:ind w:left="720" w:hanging="360"/>
      </w:pPr>
      <w:rPr>
        <w:rFonts w:ascii="Symbol" w:hAnsi="Symbol"/>
      </w:rPr>
    </w:lvl>
    <w:lvl w:ilvl="5" w:tplc="13CA6ABA">
      <w:start w:val="1"/>
      <w:numFmt w:val="bullet"/>
      <w:lvlText w:val=""/>
      <w:lvlJc w:val="left"/>
      <w:pPr>
        <w:ind w:left="720" w:hanging="360"/>
      </w:pPr>
      <w:rPr>
        <w:rFonts w:ascii="Symbol" w:hAnsi="Symbol"/>
      </w:rPr>
    </w:lvl>
    <w:lvl w:ilvl="6" w:tplc="CB02877A">
      <w:start w:val="1"/>
      <w:numFmt w:val="bullet"/>
      <w:lvlText w:val=""/>
      <w:lvlJc w:val="left"/>
      <w:pPr>
        <w:ind w:left="720" w:hanging="360"/>
      </w:pPr>
      <w:rPr>
        <w:rFonts w:ascii="Symbol" w:hAnsi="Symbol"/>
      </w:rPr>
    </w:lvl>
    <w:lvl w:ilvl="7" w:tplc="D87E1320">
      <w:start w:val="1"/>
      <w:numFmt w:val="bullet"/>
      <w:lvlText w:val=""/>
      <w:lvlJc w:val="left"/>
      <w:pPr>
        <w:ind w:left="720" w:hanging="360"/>
      </w:pPr>
      <w:rPr>
        <w:rFonts w:ascii="Symbol" w:hAnsi="Symbol"/>
      </w:rPr>
    </w:lvl>
    <w:lvl w:ilvl="8" w:tplc="F14A52B8">
      <w:start w:val="1"/>
      <w:numFmt w:val="bullet"/>
      <w:lvlText w:val=""/>
      <w:lvlJc w:val="left"/>
      <w:pPr>
        <w:ind w:left="720" w:hanging="360"/>
      </w:pPr>
      <w:rPr>
        <w:rFonts w:ascii="Symbol" w:hAnsi="Symbol"/>
      </w:rPr>
    </w:lvl>
  </w:abstractNum>
  <w:abstractNum w:abstractNumId="24" w15:restartNumberingAfterBreak="0">
    <w:nsid w:val="4576148B"/>
    <w:multiLevelType w:val="multilevel"/>
    <w:tmpl w:val="4E18595C"/>
    <w:lvl w:ilvl="0">
      <w:start w:val="1"/>
      <w:numFmt w:val="decimal"/>
      <w:lvlText w:val="%1."/>
      <w:lvlJc w:val="left"/>
      <w:pPr>
        <w:tabs>
          <w:tab w:val="num" w:pos="3240"/>
        </w:tabs>
        <w:ind w:left="3240" w:hanging="360"/>
      </w:pPr>
      <w:rPr>
        <w:b w:val="0"/>
        <w:bCs/>
        <w:i w:val="0"/>
        <w:iCs/>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start w:val="1"/>
      <w:numFmt w:val="lowerLetter"/>
      <w:lvlText w:val="(%4)"/>
      <w:lvlJc w:val="left"/>
      <w:pPr>
        <w:ind w:left="5040" w:firstLine="0"/>
      </w:pPr>
      <w:rPr>
        <w:rFonts w:hint="default"/>
      </w:r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25" w15:restartNumberingAfterBreak="0">
    <w:nsid w:val="46ED44C6"/>
    <w:multiLevelType w:val="hybridMultilevel"/>
    <w:tmpl w:val="1F460A7E"/>
    <w:lvl w:ilvl="0" w:tplc="DE5AC236">
      <w:start w:val="1"/>
      <w:numFmt w:val="bullet"/>
      <w:lvlText w:val=""/>
      <w:lvlJc w:val="left"/>
      <w:pPr>
        <w:ind w:left="720" w:hanging="360"/>
      </w:pPr>
      <w:rPr>
        <w:rFonts w:ascii="Symbol" w:hAnsi="Symbol"/>
      </w:rPr>
    </w:lvl>
    <w:lvl w:ilvl="1" w:tplc="49B2BAF4">
      <w:start w:val="1"/>
      <w:numFmt w:val="bullet"/>
      <w:lvlText w:val=""/>
      <w:lvlJc w:val="left"/>
      <w:pPr>
        <w:ind w:left="720" w:hanging="360"/>
      </w:pPr>
      <w:rPr>
        <w:rFonts w:ascii="Symbol" w:hAnsi="Symbol"/>
      </w:rPr>
    </w:lvl>
    <w:lvl w:ilvl="2" w:tplc="ADB2EFD2">
      <w:start w:val="1"/>
      <w:numFmt w:val="bullet"/>
      <w:lvlText w:val=""/>
      <w:lvlJc w:val="left"/>
      <w:pPr>
        <w:ind w:left="720" w:hanging="360"/>
      </w:pPr>
      <w:rPr>
        <w:rFonts w:ascii="Symbol" w:hAnsi="Symbol"/>
      </w:rPr>
    </w:lvl>
    <w:lvl w:ilvl="3" w:tplc="F20ECAAE">
      <w:start w:val="1"/>
      <w:numFmt w:val="bullet"/>
      <w:lvlText w:val=""/>
      <w:lvlJc w:val="left"/>
      <w:pPr>
        <w:ind w:left="720" w:hanging="360"/>
      </w:pPr>
      <w:rPr>
        <w:rFonts w:ascii="Symbol" w:hAnsi="Symbol"/>
      </w:rPr>
    </w:lvl>
    <w:lvl w:ilvl="4" w:tplc="F8EC17BC">
      <w:start w:val="1"/>
      <w:numFmt w:val="bullet"/>
      <w:lvlText w:val=""/>
      <w:lvlJc w:val="left"/>
      <w:pPr>
        <w:ind w:left="720" w:hanging="360"/>
      </w:pPr>
      <w:rPr>
        <w:rFonts w:ascii="Symbol" w:hAnsi="Symbol"/>
      </w:rPr>
    </w:lvl>
    <w:lvl w:ilvl="5" w:tplc="DBF00F1A">
      <w:start w:val="1"/>
      <w:numFmt w:val="bullet"/>
      <w:lvlText w:val=""/>
      <w:lvlJc w:val="left"/>
      <w:pPr>
        <w:ind w:left="720" w:hanging="360"/>
      </w:pPr>
      <w:rPr>
        <w:rFonts w:ascii="Symbol" w:hAnsi="Symbol"/>
      </w:rPr>
    </w:lvl>
    <w:lvl w:ilvl="6" w:tplc="CE8A1A04">
      <w:start w:val="1"/>
      <w:numFmt w:val="bullet"/>
      <w:lvlText w:val=""/>
      <w:lvlJc w:val="left"/>
      <w:pPr>
        <w:ind w:left="720" w:hanging="360"/>
      </w:pPr>
      <w:rPr>
        <w:rFonts w:ascii="Symbol" w:hAnsi="Symbol"/>
      </w:rPr>
    </w:lvl>
    <w:lvl w:ilvl="7" w:tplc="5AEA1CC4">
      <w:start w:val="1"/>
      <w:numFmt w:val="bullet"/>
      <w:lvlText w:val=""/>
      <w:lvlJc w:val="left"/>
      <w:pPr>
        <w:ind w:left="720" w:hanging="360"/>
      </w:pPr>
      <w:rPr>
        <w:rFonts w:ascii="Symbol" w:hAnsi="Symbol"/>
      </w:rPr>
    </w:lvl>
    <w:lvl w:ilvl="8" w:tplc="E61EA05C">
      <w:start w:val="1"/>
      <w:numFmt w:val="bullet"/>
      <w:lvlText w:val=""/>
      <w:lvlJc w:val="left"/>
      <w:pPr>
        <w:ind w:left="720" w:hanging="360"/>
      </w:pPr>
      <w:rPr>
        <w:rFonts w:ascii="Symbol" w:hAnsi="Symbol"/>
      </w:rPr>
    </w:lvl>
  </w:abstractNum>
  <w:abstractNum w:abstractNumId="26" w15:restartNumberingAfterBreak="0">
    <w:nsid w:val="499D5F66"/>
    <w:multiLevelType w:val="multilevel"/>
    <w:tmpl w:val="5712D132"/>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710"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7" w15:restartNumberingAfterBreak="0">
    <w:nsid w:val="4D626E07"/>
    <w:multiLevelType w:val="hybridMultilevel"/>
    <w:tmpl w:val="ACDCF38C"/>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28" w15:restartNumberingAfterBreak="0">
    <w:nsid w:val="54226811"/>
    <w:multiLevelType w:val="hybridMultilevel"/>
    <w:tmpl w:val="5E5A151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9" w15:restartNumberingAfterBreak="0">
    <w:nsid w:val="568FBF77"/>
    <w:multiLevelType w:val="hybridMultilevel"/>
    <w:tmpl w:val="FFFFFFFF"/>
    <w:lvl w:ilvl="0" w:tplc="DFDE0936">
      <w:start w:val="1"/>
      <w:numFmt w:val="decimal"/>
      <w:lvlText w:val="%1."/>
      <w:lvlJc w:val="left"/>
      <w:pPr>
        <w:ind w:left="927" w:hanging="360"/>
      </w:pPr>
    </w:lvl>
    <w:lvl w:ilvl="1" w:tplc="B0A4260A">
      <w:start w:val="1"/>
      <w:numFmt w:val="lowerLetter"/>
      <w:lvlText w:val="%2."/>
      <w:lvlJc w:val="left"/>
      <w:pPr>
        <w:ind w:left="1647" w:hanging="360"/>
      </w:pPr>
    </w:lvl>
    <w:lvl w:ilvl="2" w:tplc="9F98FE26">
      <w:start w:val="1"/>
      <w:numFmt w:val="lowerRoman"/>
      <w:lvlText w:val="%3."/>
      <w:lvlJc w:val="right"/>
      <w:pPr>
        <w:ind w:left="2367" w:hanging="180"/>
      </w:pPr>
    </w:lvl>
    <w:lvl w:ilvl="3" w:tplc="B9BA9C6A">
      <w:start w:val="1"/>
      <w:numFmt w:val="decimal"/>
      <w:lvlText w:val="%4."/>
      <w:lvlJc w:val="left"/>
      <w:pPr>
        <w:ind w:left="3087" w:hanging="360"/>
      </w:pPr>
    </w:lvl>
    <w:lvl w:ilvl="4" w:tplc="0896D1B6">
      <w:start w:val="1"/>
      <w:numFmt w:val="lowerLetter"/>
      <w:lvlText w:val="%5."/>
      <w:lvlJc w:val="left"/>
      <w:pPr>
        <w:ind w:left="3807" w:hanging="360"/>
      </w:pPr>
    </w:lvl>
    <w:lvl w:ilvl="5" w:tplc="F4A8650E">
      <w:start w:val="1"/>
      <w:numFmt w:val="lowerRoman"/>
      <w:lvlText w:val="%6."/>
      <w:lvlJc w:val="right"/>
      <w:pPr>
        <w:ind w:left="4527" w:hanging="180"/>
      </w:pPr>
    </w:lvl>
    <w:lvl w:ilvl="6" w:tplc="518CF3A8">
      <w:start w:val="1"/>
      <w:numFmt w:val="decimal"/>
      <w:lvlText w:val="%7."/>
      <w:lvlJc w:val="left"/>
      <w:pPr>
        <w:ind w:left="5247" w:hanging="360"/>
      </w:pPr>
    </w:lvl>
    <w:lvl w:ilvl="7" w:tplc="3D685368">
      <w:start w:val="1"/>
      <w:numFmt w:val="lowerLetter"/>
      <w:lvlText w:val="%8."/>
      <w:lvlJc w:val="left"/>
      <w:pPr>
        <w:ind w:left="5967" w:hanging="360"/>
      </w:pPr>
    </w:lvl>
    <w:lvl w:ilvl="8" w:tplc="52B42A96">
      <w:start w:val="1"/>
      <w:numFmt w:val="lowerRoman"/>
      <w:lvlText w:val="%9."/>
      <w:lvlJc w:val="right"/>
      <w:pPr>
        <w:ind w:left="6687" w:hanging="180"/>
      </w:pPr>
    </w:lvl>
  </w:abstractNum>
  <w:abstractNum w:abstractNumId="30" w15:restartNumberingAfterBreak="0">
    <w:nsid w:val="57A50CAF"/>
    <w:multiLevelType w:val="hybridMultilevel"/>
    <w:tmpl w:val="7A769F4E"/>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31"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32" w15:restartNumberingAfterBreak="0">
    <w:nsid w:val="5F2F5459"/>
    <w:multiLevelType w:val="hybridMultilevel"/>
    <w:tmpl w:val="4AC272B4"/>
    <w:lvl w:ilvl="0" w:tplc="07A6AAB0">
      <w:start w:val="1"/>
      <w:numFmt w:val="bullet"/>
      <w:lvlText w:val=""/>
      <w:lvlJc w:val="left"/>
      <w:pPr>
        <w:ind w:left="720" w:hanging="360"/>
      </w:pPr>
      <w:rPr>
        <w:rFonts w:ascii="Symbol" w:hAnsi="Symbol"/>
      </w:rPr>
    </w:lvl>
    <w:lvl w:ilvl="1" w:tplc="C124FC88">
      <w:start w:val="1"/>
      <w:numFmt w:val="bullet"/>
      <w:lvlText w:val=""/>
      <w:lvlJc w:val="left"/>
      <w:pPr>
        <w:ind w:left="720" w:hanging="360"/>
      </w:pPr>
      <w:rPr>
        <w:rFonts w:ascii="Symbol" w:hAnsi="Symbol"/>
      </w:rPr>
    </w:lvl>
    <w:lvl w:ilvl="2" w:tplc="975C32A4">
      <w:start w:val="1"/>
      <w:numFmt w:val="bullet"/>
      <w:lvlText w:val=""/>
      <w:lvlJc w:val="left"/>
      <w:pPr>
        <w:ind w:left="720" w:hanging="360"/>
      </w:pPr>
      <w:rPr>
        <w:rFonts w:ascii="Symbol" w:hAnsi="Symbol"/>
      </w:rPr>
    </w:lvl>
    <w:lvl w:ilvl="3" w:tplc="349A865C">
      <w:start w:val="1"/>
      <w:numFmt w:val="bullet"/>
      <w:lvlText w:val=""/>
      <w:lvlJc w:val="left"/>
      <w:pPr>
        <w:ind w:left="720" w:hanging="360"/>
      </w:pPr>
      <w:rPr>
        <w:rFonts w:ascii="Symbol" w:hAnsi="Symbol"/>
      </w:rPr>
    </w:lvl>
    <w:lvl w:ilvl="4" w:tplc="E5881188">
      <w:start w:val="1"/>
      <w:numFmt w:val="bullet"/>
      <w:lvlText w:val=""/>
      <w:lvlJc w:val="left"/>
      <w:pPr>
        <w:ind w:left="720" w:hanging="360"/>
      </w:pPr>
      <w:rPr>
        <w:rFonts w:ascii="Symbol" w:hAnsi="Symbol"/>
      </w:rPr>
    </w:lvl>
    <w:lvl w:ilvl="5" w:tplc="D2ACB33A">
      <w:start w:val="1"/>
      <w:numFmt w:val="bullet"/>
      <w:lvlText w:val=""/>
      <w:lvlJc w:val="left"/>
      <w:pPr>
        <w:ind w:left="720" w:hanging="360"/>
      </w:pPr>
      <w:rPr>
        <w:rFonts w:ascii="Symbol" w:hAnsi="Symbol"/>
      </w:rPr>
    </w:lvl>
    <w:lvl w:ilvl="6" w:tplc="5C989482">
      <w:start w:val="1"/>
      <w:numFmt w:val="bullet"/>
      <w:lvlText w:val=""/>
      <w:lvlJc w:val="left"/>
      <w:pPr>
        <w:ind w:left="720" w:hanging="360"/>
      </w:pPr>
      <w:rPr>
        <w:rFonts w:ascii="Symbol" w:hAnsi="Symbol"/>
      </w:rPr>
    </w:lvl>
    <w:lvl w:ilvl="7" w:tplc="A8FE9CE4">
      <w:start w:val="1"/>
      <w:numFmt w:val="bullet"/>
      <w:lvlText w:val=""/>
      <w:lvlJc w:val="left"/>
      <w:pPr>
        <w:ind w:left="720" w:hanging="360"/>
      </w:pPr>
      <w:rPr>
        <w:rFonts w:ascii="Symbol" w:hAnsi="Symbol"/>
      </w:rPr>
    </w:lvl>
    <w:lvl w:ilvl="8" w:tplc="4D563B78">
      <w:start w:val="1"/>
      <w:numFmt w:val="bullet"/>
      <w:lvlText w:val=""/>
      <w:lvlJc w:val="left"/>
      <w:pPr>
        <w:ind w:left="720" w:hanging="360"/>
      </w:pPr>
      <w:rPr>
        <w:rFonts w:ascii="Symbol" w:hAnsi="Symbol"/>
      </w:rPr>
    </w:lvl>
  </w:abstractNum>
  <w:abstractNum w:abstractNumId="33" w15:restartNumberingAfterBreak="0">
    <w:nsid w:val="6094150B"/>
    <w:multiLevelType w:val="hybridMultilevel"/>
    <w:tmpl w:val="FFFFFFFF"/>
    <w:lvl w:ilvl="0" w:tplc="34A85B54">
      <w:start w:val="1"/>
      <w:numFmt w:val="decimal"/>
      <w:lvlText w:val="%1."/>
      <w:lvlJc w:val="left"/>
      <w:pPr>
        <w:ind w:left="567" w:hanging="360"/>
      </w:pPr>
    </w:lvl>
    <w:lvl w:ilvl="1" w:tplc="25EA0456">
      <w:start w:val="1"/>
      <w:numFmt w:val="lowerLetter"/>
      <w:lvlText w:val="%2."/>
      <w:lvlJc w:val="left"/>
      <w:pPr>
        <w:ind w:left="1287" w:hanging="360"/>
      </w:pPr>
    </w:lvl>
    <w:lvl w:ilvl="2" w:tplc="91C266E6">
      <w:start w:val="1"/>
      <w:numFmt w:val="lowerRoman"/>
      <w:lvlText w:val="%3."/>
      <w:lvlJc w:val="right"/>
      <w:pPr>
        <w:ind w:left="2007" w:hanging="180"/>
      </w:pPr>
    </w:lvl>
    <w:lvl w:ilvl="3" w:tplc="08784C88">
      <w:start w:val="1"/>
      <w:numFmt w:val="decimal"/>
      <w:lvlText w:val="%4."/>
      <w:lvlJc w:val="left"/>
      <w:pPr>
        <w:ind w:left="2727" w:hanging="360"/>
      </w:pPr>
    </w:lvl>
    <w:lvl w:ilvl="4" w:tplc="7EF03F32">
      <w:start w:val="1"/>
      <w:numFmt w:val="lowerLetter"/>
      <w:lvlText w:val="%5."/>
      <w:lvlJc w:val="left"/>
      <w:pPr>
        <w:ind w:left="3447" w:hanging="360"/>
      </w:pPr>
    </w:lvl>
    <w:lvl w:ilvl="5" w:tplc="CAB2BC76">
      <w:start w:val="1"/>
      <w:numFmt w:val="lowerRoman"/>
      <w:lvlText w:val="%6."/>
      <w:lvlJc w:val="right"/>
      <w:pPr>
        <w:ind w:left="4167" w:hanging="180"/>
      </w:pPr>
    </w:lvl>
    <w:lvl w:ilvl="6" w:tplc="B2D8A584">
      <w:start w:val="1"/>
      <w:numFmt w:val="decimal"/>
      <w:lvlText w:val="%7."/>
      <w:lvlJc w:val="left"/>
      <w:pPr>
        <w:ind w:left="4887" w:hanging="360"/>
      </w:pPr>
    </w:lvl>
    <w:lvl w:ilvl="7" w:tplc="43823A04">
      <w:start w:val="1"/>
      <w:numFmt w:val="lowerLetter"/>
      <w:lvlText w:val="%8."/>
      <w:lvlJc w:val="left"/>
      <w:pPr>
        <w:ind w:left="5607" w:hanging="360"/>
      </w:pPr>
    </w:lvl>
    <w:lvl w:ilvl="8" w:tplc="2D2C5D4A">
      <w:start w:val="1"/>
      <w:numFmt w:val="lowerRoman"/>
      <w:lvlText w:val="%9."/>
      <w:lvlJc w:val="right"/>
      <w:pPr>
        <w:ind w:left="6327" w:hanging="180"/>
      </w:pPr>
    </w:lvl>
  </w:abstractNum>
  <w:abstractNum w:abstractNumId="34" w15:restartNumberingAfterBreak="0">
    <w:nsid w:val="62A3524B"/>
    <w:multiLevelType w:val="hybridMultilevel"/>
    <w:tmpl w:val="764E1AE6"/>
    <w:lvl w:ilvl="0" w:tplc="69D6CB1E">
      <w:start w:val="1"/>
      <w:numFmt w:val="bullet"/>
      <w:lvlText w:val=""/>
      <w:lvlJc w:val="left"/>
      <w:pPr>
        <w:ind w:left="1287" w:hanging="360"/>
      </w:pPr>
      <w:rPr>
        <w:rFonts w:ascii="Symbol" w:hAnsi="Symbol" w:hint="default"/>
        <w:b w:val="0"/>
        <w:bCs/>
        <w:color w:val="000000" w:themeColor="text1"/>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5"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6" w15:restartNumberingAfterBreak="0">
    <w:nsid w:val="6BD51E7F"/>
    <w:multiLevelType w:val="hybridMultilevel"/>
    <w:tmpl w:val="662E81FA"/>
    <w:lvl w:ilvl="0" w:tplc="CB88A17C">
      <w:start w:val="1"/>
      <w:numFmt w:val="bullet"/>
      <w:lvlText w:val=""/>
      <w:lvlJc w:val="left"/>
      <w:pPr>
        <w:ind w:left="720" w:hanging="360"/>
      </w:pPr>
      <w:rPr>
        <w:rFonts w:ascii="Symbol" w:hAnsi="Symbol"/>
      </w:rPr>
    </w:lvl>
    <w:lvl w:ilvl="1" w:tplc="830615F6">
      <w:start w:val="1"/>
      <w:numFmt w:val="bullet"/>
      <w:lvlText w:val=""/>
      <w:lvlJc w:val="left"/>
      <w:pPr>
        <w:ind w:left="720" w:hanging="360"/>
      </w:pPr>
      <w:rPr>
        <w:rFonts w:ascii="Symbol" w:hAnsi="Symbol"/>
      </w:rPr>
    </w:lvl>
    <w:lvl w:ilvl="2" w:tplc="F13E732E">
      <w:start w:val="1"/>
      <w:numFmt w:val="bullet"/>
      <w:lvlText w:val=""/>
      <w:lvlJc w:val="left"/>
      <w:pPr>
        <w:ind w:left="720" w:hanging="360"/>
      </w:pPr>
      <w:rPr>
        <w:rFonts w:ascii="Symbol" w:hAnsi="Symbol"/>
      </w:rPr>
    </w:lvl>
    <w:lvl w:ilvl="3" w:tplc="3330109C">
      <w:start w:val="1"/>
      <w:numFmt w:val="bullet"/>
      <w:lvlText w:val=""/>
      <w:lvlJc w:val="left"/>
      <w:pPr>
        <w:ind w:left="720" w:hanging="360"/>
      </w:pPr>
      <w:rPr>
        <w:rFonts w:ascii="Symbol" w:hAnsi="Symbol"/>
      </w:rPr>
    </w:lvl>
    <w:lvl w:ilvl="4" w:tplc="AA368EB2">
      <w:start w:val="1"/>
      <w:numFmt w:val="bullet"/>
      <w:lvlText w:val=""/>
      <w:lvlJc w:val="left"/>
      <w:pPr>
        <w:ind w:left="720" w:hanging="360"/>
      </w:pPr>
      <w:rPr>
        <w:rFonts w:ascii="Symbol" w:hAnsi="Symbol"/>
      </w:rPr>
    </w:lvl>
    <w:lvl w:ilvl="5" w:tplc="AF9A3574">
      <w:start w:val="1"/>
      <w:numFmt w:val="bullet"/>
      <w:lvlText w:val=""/>
      <w:lvlJc w:val="left"/>
      <w:pPr>
        <w:ind w:left="720" w:hanging="360"/>
      </w:pPr>
      <w:rPr>
        <w:rFonts w:ascii="Symbol" w:hAnsi="Symbol"/>
      </w:rPr>
    </w:lvl>
    <w:lvl w:ilvl="6" w:tplc="F514BC82">
      <w:start w:val="1"/>
      <w:numFmt w:val="bullet"/>
      <w:lvlText w:val=""/>
      <w:lvlJc w:val="left"/>
      <w:pPr>
        <w:ind w:left="720" w:hanging="360"/>
      </w:pPr>
      <w:rPr>
        <w:rFonts w:ascii="Symbol" w:hAnsi="Symbol"/>
      </w:rPr>
    </w:lvl>
    <w:lvl w:ilvl="7" w:tplc="538CB4AE">
      <w:start w:val="1"/>
      <w:numFmt w:val="bullet"/>
      <w:lvlText w:val=""/>
      <w:lvlJc w:val="left"/>
      <w:pPr>
        <w:ind w:left="720" w:hanging="360"/>
      </w:pPr>
      <w:rPr>
        <w:rFonts w:ascii="Symbol" w:hAnsi="Symbol"/>
      </w:rPr>
    </w:lvl>
    <w:lvl w:ilvl="8" w:tplc="1BFE4622">
      <w:start w:val="1"/>
      <w:numFmt w:val="bullet"/>
      <w:lvlText w:val=""/>
      <w:lvlJc w:val="left"/>
      <w:pPr>
        <w:ind w:left="720" w:hanging="360"/>
      </w:pPr>
      <w:rPr>
        <w:rFonts w:ascii="Symbol" w:hAnsi="Symbol"/>
      </w:rPr>
    </w:lvl>
  </w:abstractNum>
  <w:abstractNum w:abstractNumId="37" w15:restartNumberingAfterBreak="0">
    <w:nsid w:val="6C8D1993"/>
    <w:multiLevelType w:val="hybridMultilevel"/>
    <w:tmpl w:val="9A64730C"/>
    <w:lvl w:ilvl="0" w:tplc="12ACCBA0">
      <w:start w:val="1"/>
      <w:numFmt w:val="bullet"/>
      <w:lvlText w:val=""/>
      <w:lvlJc w:val="left"/>
      <w:pPr>
        <w:ind w:left="720" w:hanging="360"/>
      </w:pPr>
      <w:rPr>
        <w:rFonts w:ascii="Symbol" w:hAnsi="Symbol"/>
      </w:rPr>
    </w:lvl>
    <w:lvl w:ilvl="1" w:tplc="62E2E8EC">
      <w:start w:val="1"/>
      <w:numFmt w:val="bullet"/>
      <w:lvlText w:val=""/>
      <w:lvlJc w:val="left"/>
      <w:pPr>
        <w:ind w:left="720" w:hanging="360"/>
      </w:pPr>
      <w:rPr>
        <w:rFonts w:ascii="Symbol" w:hAnsi="Symbol"/>
      </w:rPr>
    </w:lvl>
    <w:lvl w:ilvl="2" w:tplc="349CD3C2">
      <w:start w:val="1"/>
      <w:numFmt w:val="bullet"/>
      <w:lvlText w:val=""/>
      <w:lvlJc w:val="left"/>
      <w:pPr>
        <w:ind w:left="720" w:hanging="360"/>
      </w:pPr>
      <w:rPr>
        <w:rFonts w:ascii="Symbol" w:hAnsi="Symbol"/>
      </w:rPr>
    </w:lvl>
    <w:lvl w:ilvl="3" w:tplc="592EB4E6">
      <w:start w:val="1"/>
      <w:numFmt w:val="bullet"/>
      <w:lvlText w:val=""/>
      <w:lvlJc w:val="left"/>
      <w:pPr>
        <w:ind w:left="720" w:hanging="360"/>
      </w:pPr>
      <w:rPr>
        <w:rFonts w:ascii="Symbol" w:hAnsi="Symbol"/>
      </w:rPr>
    </w:lvl>
    <w:lvl w:ilvl="4" w:tplc="6A42F3C4">
      <w:start w:val="1"/>
      <w:numFmt w:val="bullet"/>
      <w:lvlText w:val=""/>
      <w:lvlJc w:val="left"/>
      <w:pPr>
        <w:ind w:left="720" w:hanging="360"/>
      </w:pPr>
      <w:rPr>
        <w:rFonts w:ascii="Symbol" w:hAnsi="Symbol"/>
      </w:rPr>
    </w:lvl>
    <w:lvl w:ilvl="5" w:tplc="3C60BBAE">
      <w:start w:val="1"/>
      <w:numFmt w:val="bullet"/>
      <w:lvlText w:val=""/>
      <w:lvlJc w:val="left"/>
      <w:pPr>
        <w:ind w:left="720" w:hanging="360"/>
      </w:pPr>
      <w:rPr>
        <w:rFonts w:ascii="Symbol" w:hAnsi="Symbol"/>
      </w:rPr>
    </w:lvl>
    <w:lvl w:ilvl="6" w:tplc="82F44102">
      <w:start w:val="1"/>
      <w:numFmt w:val="bullet"/>
      <w:lvlText w:val=""/>
      <w:lvlJc w:val="left"/>
      <w:pPr>
        <w:ind w:left="720" w:hanging="360"/>
      </w:pPr>
      <w:rPr>
        <w:rFonts w:ascii="Symbol" w:hAnsi="Symbol"/>
      </w:rPr>
    </w:lvl>
    <w:lvl w:ilvl="7" w:tplc="50600796">
      <w:start w:val="1"/>
      <w:numFmt w:val="bullet"/>
      <w:lvlText w:val=""/>
      <w:lvlJc w:val="left"/>
      <w:pPr>
        <w:ind w:left="720" w:hanging="360"/>
      </w:pPr>
      <w:rPr>
        <w:rFonts w:ascii="Symbol" w:hAnsi="Symbol"/>
      </w:rPr>
    </w:lvl>
    <w:lvl w:ilvl="8" w:tplc="63D8AA92">
      <w:start w:val="1"/>
      <w:numFmt w:val="bullet"/>
      <w:lvlText w:val=""/>
      <w:lvlJc w:val="left"/>
      <w:pPr>
        <w:ind w:left="720" w:hanging="360"/>
      </w:pPr>
      <w:rPr>
        <w:rFonts w:ascii="Symbol" w:hAnsi="Symbol"/>
      </w:rPr>
    </w:lvl>
  </w:abstractNum>
  <w:abstractNum w:abstractNumId="38"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E4516B1"/>
    <w:multiLevelType w:val="hybridMultilevel"/>
    <w:tmpl w:val="62664A76"/>
    <w:lvl w:ilvl="0" w:tplc="E808364E">
      <w:start w:val="1"/>
      <w:numFmt w:val="bullet"/>
      <w:lvlText w:val=""/>
      <w:lvlJc w:val="left"/>
      <w:pPr>
        <w:ind w:left="720" w:hanging="360"/>
      </w:pPr>
      <w:rPr>
        <w:rFonts w:ascii="Symbol" w:hAnsi="Symbol"/>
      </w:rPr>
    </w:lvl>
    <w:lvl w:ilvl="1" w:tplc="CD781714">
      <w:start w:val="1"/>
      <w:numFmt w:val="bullet"/>
      <w:lvlText w:val=""/>
      <w:lvlJc w:val="left"/>
      <w:pPr>
        <w:ind w:left="720" w:hanging="360"/>
      </w:pPr>
      <w:rPr>
        <w:rFonts w:ascii="Symbol" w:hAnsi="Symbol"/>
      </w:rPr>
    </w:lvl>
    <w:lvl w:ilvl="2" w:tplc="E27C3DF2">
      <w:start w:val="1"/>
      <w:numFmt w:val="bullet"/>
      <w:lvlText w:val=""/>
      <w:lvlJc w:val="left"/>
      <w:pPr>
        <w:ind w:left="720" w:hanging="360"/>
      </w:pPr>
      <w:rPr>
        <w:rFonts w:ascii="Symbol" w:hAnsi="Symbol"/>
      </w:rPr>
    </w:lvl>
    <w:lvl w:ilvl="3" w:tplc="EA3EE06C">
      <w:start w:val="1"/>
      <w:numFmt w:val="bullet"/>
      <w:lvlText w:val=""/>
      <w:lvlJc w:val="left"/>
      <w:pPr>
        <w:ind w:left="720" w:hanging="360"/>
      </w:pPr>
      <w:rPr>
        <w:rFonts w:ascii="Symbol" w:hAnsi="Symbol"/>
      </w:rPr>
    </w:lvl>
    <w:lvl w:ilvl="4" w:tplc="4058FFF0">
      <w:start w:val="1"/>
      <w:numFmt w:val="bullet"/>
      <w:lvlText w:val=""/>
      <w:lvlJc w:val="left"/>
      <w:pPr>
        <w:ind w:left="720" w:hanging="360"/>
      </w:pPr>
      <w:rPr>
        <w:rFonts w:ascii="Symbol" w:hAnsi="Symbol"/>
      </w:rPr>
    </w:lvl>
    <w:lvl w:ilvl="5" w:tplc="33A8FD90">
      <w:start w:val="1"/>
      <w:numFmt w:val="bullet"/>
      <w:lvlText w:val=""/>
      <w:lvlJc w:val="left"/>
      <w:pPr>
        <w:ind w:left="720" w:hanging="360"/>
      </w:pPr>
      <w:rPr>
        <w:rFonts w:ascii="Symbol" w:hAnsi="Symbol"/>
      </w:rPr>
    </w:lvl>
    <w:lvl w:ilvl="6" w:tplc="42A29116">
      <w:start w:val="1"/>
      <w:numFmt w:val="bullet"/>
      <w:lvlText w:val=""/>
      <w:lvlJc w:val="left"/>
      <w:pPr>
        <w:ind w:left="720" w:hanging="360"/>
      </w:pPr>
      <w:rPr>
        <w:rFonts w:ascii="Symbol" w:hAnsi="Symbol"/>
      </w:rPr>
    </w:lvl>
    <w:lvl w:ilvl="7" w:tplc="8B7C9D02">
      <w:start w:val="1"/>
      <w:numFmt w:val="bullet"/>
      <w:lvlText w:val=""/>
      <w:lvlJc w:val="left"/>
      <w:pPr>
        <w:ind w:left="720" w:hanging="360"/>
      </w:pPr>
      <w:rPr>
        <w:rFonts w:ascii="Symbol" w:hAnsi="Symbol"/>
      </w:rPr>
    </w:lvl>
    <w:lvl w:ilvl="8" w:tplc="C59C8082">
      <w:start w:val="1"/>
      <w:numFmt w:val="bullet"/>
      <w:lvlText w:val=""/>
      <w:lvlJc w:val="left"/>
      <w:pPr>
        <w:ind w:left="720" w:hanging="360"/>
      </w:pPr>
      <w:rPr>
        <w:rFonts w:ascii="Symbol" w:hAnsi="Symbol"/>
      </w:rPr>
    </w:lvl>
  </w:abstractNum>
  <w:abstractNum w:abstractNumId="4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3E7390"/>
    <w:multiLevelType w:val="hybridMultilevel"/>
    <w:tmpl w:val="36A6CCF8"/>
    <w:lvl w:ilvl="0" w:tplc="D7B49920">
      <w:start w:val="1"/>
      <w:numFmt w:val="bullet"/>
      <w:lvlText w:val=""/>
      <w:lvlJc w:val="left"/>
      <w:pPr>
        <w:ind w:left="1020" w:hanging="360"/>
      </w:pPr>
      <w:rPr>
        <w:rFonts w:ascii="Symbol" w:hAnsi="Symbol"/>
      </w:rPr>
    </w:lvl>
    <w:lvl w:ilvl="1" w:tplc="DAACB05E">
      <w:start w:val="1"/>
      <w:numFmt w:val="bullet"/>
      <w:lvlText w:val=""/>
      <w:lvlJc w:val="left"/>
      <w:pPr>
        <w:ind w:left="1020" w:hanging="360"/>
      </w:pPr>
      <w:rPr>
        <w:rFonts w:ascii="Symbol" w:hAnsi="Symbol"/>
      </w:rPr>
    </w:lvl>
    <w:lvl w:ilvl="2" w:tplc="860E2AB4">
      <w:start w:val="1"/>
      <w:numFmt w:val="bullet"/>
      <w:lvlText w:val=""/>
      <w:lvlJc w:val="left"/>
      <w:pPr>
        <w:ind w:left="1020" w:hanging="360"/>
      </w:pPr>
      <w:rPr>
        <w:rFonts w:ascii="Symbol" w:hAnsi="Symbol"/>
      </w:rPr>
    </w:lvl>
    <w:lvl w:ilvl="3" w:tplc="C6BA83EA">
      <w:start w:val="1"/>
      <w:numFmt w:val="bullet"/>
      <w:lvlText w:val=""/>
      <w:lvlJc w:val="left"/>
      <w:pPr>
        <w:ind w:left="1020" w:hanging="360"/>
      </w:pPr>
      <w:rPr>
        <w:rFonts w:ascii="Symbol" w:hAnsi="Symbol"/>
      </w:rPr>
    </w:lvl>
    <w:lvl w:ilvl="4" w:tplc="20C8E3D8">
      <w:start w:val="1"/>
      <w:numFmt w:val="bullet"/>
      <w:lvlText w:val=""/>
      <w:lvlJc w:val="left"/>
      <w:pPr>
        <w:ind w:left="1020" w:hanging="360"/>
      </w:pPr>
      <w:rPr>
        <w:rFonts w:ascii="Symbol" w:hAnsi="Symbol"/>
      </w:rPr>
    </w:lvl>
    <w:lvl w:ilvl="5" w:tplc="57DCF400">
      <w:start w:val="1"/>
      <w:numFmt w:val="bullet"/>
      <w:lvlText w:val=""/>
      <w:lvlJc w:val="left"/>
      <w:pPr>
        <w:ind w:left="1020" w:hanging="360"/>
      </w:pPr>
      <w:rPr>
        <w:rFonts w:ascii="Symbol" w:hAnsi="Symbol"/>
      </w:rPr>
    </w:lvl>
    <w:lvl w:ilvl="6" w:tplc="512A39DC">
      <w:start w:val="1"/>
      <w:numFmt w:val="bullet"/>
      <w:lvlText w:val=""/>
      <w:lvlJc w:val="left"/>
      <w:pPr>
        <w:ind w:left="1020" w:hanging="360"/>
      </w:pPr>
      <w:rPr>
        <w:rFonts w:ascii="Symbol" w:hAnsi="Symbol"/>
      </w:rPr>
    </w:lvl>
    <w:lvl w:ilvl="7" w:tplc="39004416">
      <w:start w:val="1"/>
      <w:numFmt w:val="bullet"/>
      <w:lvlText w:val=""/>
      <w:lvlJc w:val="left"/>
      <w:pPr>
        <w:ind w:left="1020" w:hanging="360"/>
      </w:pPr>
      <w:rPr>
        <w:rFonts w:ascii="Symbol" w:hAnsi="Symbol"/>
      </w:rPr>
    </w:lvl>
    <w:lvl w:ilvl="8" w:tplc="8EE67F60">
      <w:start w:val="1"/>
      <w:numFmt w:val="bullet"/>
      <w:lvlText w:val=""/>
      <w:lvlJc w:val="left"/>
      <w:pPr>
        <w:ind w:left="1020" w:hanging="360"/>
      </w:pPr>
      <w:rPr>
        <w:rFonts w:ascii="Symbol" w:hAnsi="Symbol"/>
      </w:rPr>
    </w:lvl>
  </w:abstractNum>
  <w:abstractNum w:abstractNumId="42" w15:restartNumberingAfterBreak="0">
    <w:nsid w:val="6FF7321D"/>
    <w:multiLevelType w:val="multilevel"/>
    <w:tmpl w:val="FB3CC8B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43" w15:restartNumberingAfterBreak="0">
    <w:nsid w:val="746B72A4"/>
    <w:multiLevelType w:val="hybridMultilevel"/>
    <w:tmpl w:val="BB089AA4"/>
    <w:lvl w:ilvl="0" w:tplc="16B8178E">
      <w:start w:val="1"/>
      <w:numFmt w:val="bullet"/>
      <w:lvlText w:val=""/>
      <w:lvlJc w:val="left"/>
      <w:pPr>
        <w:ind w:left="720" w:hanging="360"/>
      </w:pPr>
      <w:rPr>
        <w:rFonts w:ascii="Symbol" w:hAnsi="Symbol"/>
      </w:rPr>
    </w:lvl>
    <w:lvl w:ilvl="1" w:tplc="1DD0101C">
      <w:start w:val="1"/>
      <w:numFmt w:val="bullet"/>
      <w:lvlText w:val=""/>
      <w:lvlJc w:val="left"/>
      <w:pPr>
        <w:ind w:left="720" w:hanging="360"/>
      </w:pPr>
      <w:rPr>
        <w:rFonts w:ascii="Symbol" w:hAnsi="Symbol"/>
      </w:rPr>
    </w:lvl>
    <w:lvl w:ilvl="2" w:tplc="87F8C174">
      <w:start w:val="1"/>
      <w:numFmt w:val="bullet"/>
      <w:lvlText w:val=""/>
      <w:lvlJc w:val="left"/>
      <w:pPr>
        <w:ind w:left="720" w:hanging="360"/>
      </w:pPr>
      <w:rPr>
        <w:rFonts w:ascii="Symbol" w:hAnsi="Symbol"/>
      </w:rPr>
    </w:lvl>
    <w:lvl w:ilvl="3" w:tplc="221E1E4C">
      <w:start w:val="1"/>
      <w:numFmt w:val="bullet"/>
      <w:lvlText w:val=""/>
      <w:lvlJc w:val="left"/>
      <w:pPr>
        <w:ind w:left="720" w:hanging="360"/>
      </w:pPr>
      <w:rPr>
        <w:rFonts w:ascii="Symbol" w:hAnsi="Symbol"/>
      </w:rPr>
    </w:lvl>
    <w:lvl w:ilvl="4" w:tplc="8CFAEDD6">
      <w:start w:val="1"/>
      <w:numFmt w:val="bullet"/>
      <w:lvlText w:val=""/>
      <w:lvlJc w:val="left"/>
      <w:pPr>
        <w:ind w:left="720" w:hanging="360"/>
      </w:pPr>
      <w:rPr>
        <w:rFonts w:ascii="Symbol" w:hAnsi="Symbol"/>
      </w:rPr>
    </w:lvl>
    <w:lvl w:ilvl="5" w:tplc="E5602608">
      <w:start w:val="1"/>
      <w:numFmt w:val="bullet"/>
      <w:lvlText w:val=""/>
      <w:lvlJc w:val="left"/>
      <w:pPr>
        <w:ind w:left="720" w:hanging="360"/>
      </w:pPr>
      <w:rPr>
        <w:rFonts w:ascii="Symbol" w:hAnsi="Symbol"/>
      </w:rPr>
    </w:lvl>
    <w:lvl w:ilvl="6" w:tplc="67860B9E">
      <w:start w:val="1"/>
      <w:numFmt w:val="bullet"/>
      <w:lvlText w:val=""/>
      <w:lvlJc w:val="left"/>
      <w:pPr>
        <w:ind w:left="720" w:hanging="360"/>
      </w:pPr>
      <w:rPr>
        <w:rFonts w:ascii="Symbol" w:hAnsi="Symbol"/>
      </w:rPr>
    </w:lvl>
    <w:lvl w:ilvl="7" w:tplc="1C1CDBB6">
      <w:start w:val="1"/>
      <w:numFmt w:val="bullet"/>
      <w:lvlText w:val=""/>
      <w:lvlJc w:val="left"/>
      <w:pPr>
        <w:ind w:left="720" w:hanging="360"/>
      </w:pPr>
      <w:rPr>
        <w:rFonts w:ascii="Symbol" w:hAnsi="Symbol"/>
      </w:rPr>
    </w:lvl>
    <w:lvl w:ilvl="8" w:tplc="92B81AF2">
      <w:start w:val="1"/>
      <w:numFmt w:val="bullet"/>
      <w:lvlText w:val=""/>
      <w:lvlJc w:val="left"/>
      <w:pPr>
        <w:ind w:left="720" w:hanging="360"/>
      </w:pPr>
      <w:rPr>
        <w:rFonts w:ascii="Symbol" w:hAnsi="Symbol"/>
      </w:rPr>
    </w:lvl>
  </w:abstractNum>
  <w:abstractNum w:abstractNumId="44" w15:restartNumberingAfterBreak="0">
    <w:nsid w:val="76671A9D"/>
    <w:multiLevelType w:val="hybridMultilevel"/>
    <w:tmpl w:val="6204A00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5" w15:restartNumberingAfterBreak="0">
    <w:nsid w:val="786227AF"/>
    <w:multiLevelType w:val="hybridMultilevel"/>
    <w:tmpl w:val="3A34392C"/>
    <w:lvl w:ilvl="0" w:tplc="C79C4238">
      <w:start w:val="1"/>
      <w:numFmt w:val="bullet"/>
      <w:lvlText w:val=""/>
      <w:lvlJc w:val="left"/>
      <w:pPr>
        <w:ind w:left="720" w:hanging="360"/>
      </w:pPr>
      <w:rPr>
        <w:rFonts w:ascii="Symbol" w:hAnsi="Symbol"/>
      </w:rPr>
    </w:lvl>
    <w:lvl w:ilvl="1" w:tplc="E042E330">
      <w:start w:val="1"/>
      <w:numFmt w:val="bullet"/>
      <w:lvlText w:val=""/>
      <w:lvlJc w:val="left"/>
      <w:pPr>
        <w:ind w:left="720" w:hanging="360"/>
      </w:pPr>
      <w:rPr>
        <w:rFonts w:ascii="Symbol" w:hAnsi="Symbol"/>
      </w:rPr>
    </w:lvl>
    <w:lvl w:ilvl="2" w:tplc="39D04814">
      <w:start w:val="1"/>
      <w:numFmt w:val="bullet"/>
      <w:lvlText w:val=""/>
      <w:lvlJc w:val="left"/>
      <w:pPr>
        <w:ind w:left="720" w:hanging="360"/>
      </w:pPr>
      <w:rPr>
        <w:rFonts w:ascii="Symbol" w:hAnsi="Symbol"/>
      </w:rPr>
    </w:lvl>
    <w:lvl w:ilvl="3" w:tplc="B948B1E6">
      <w:start w:val="1"/>
      <w:numFmt w:val="bullet"/>
      <w:lvlText w:val=""/>
      <w:lvlJc w:val="left"/>
      <w:pPr>
        <w:ind w:left="720" w:hanging="360"/>
      </w:pPr>
      <w:rPr>
        <w:rFonts w:ascii="Symbol" w:hAnsi="Symbol"/>
      </w:rPr>
    </w:lvl>
    <w:lvl w:ilvl="4" w:tplc="4EF8FE10">
      <w:start w:val="1"/>
      <w:numFmt w:val="bullet"/>
      <w:lvlText w:val=""/>
      <w:lvlJc w:val="left"/>
      <w:pPr>
        <w:ind w:left="720" w:hanging="360"/>
      </w:pPr>
      <w:rPr>
        <w:rFonts w:ascii="Symbol" w:hAnsi="Symbol"/>
      </w:rPr>
    </w:lvl>
    <w:lvl w:ilvl="5" w:tplc="4F96C0C8">
      <w:start w:val="1"/>
      <w:numFmt w:val="bullet"/>
      <w:lvlText w:val=""/>
      <w:lvlJc w:val="left"/>
      <w:pPr>
        <w:ind w:left="720" w:hanging="360"/>
      </w:pPr>
      <w:rPr>
        <w:rFonts w:ascii="Symbol" w:hAnsi="Symbol"/>
      </w:rPr>
    </w:lvl>
    <w:lvl w:ilvl="6" w:tplc="44AAB132">
      <w:start w:val="1"/>
      <w:numFmt w:val="bullet"/>
      <w:lvlText w:val=""/>
      <w:lvlJc w:val="left"/>
      <w:pPr>
        <w:ind w:left="720" w:hanging="360"/>
      </w:pPr>
      <w:rPr>
        <w:rFonts w:ascii="Symbol" w:hAnsi="Symbol"/>
      </w:rPr>
    </w:lvl>
    <w:lvl w:ilvl="7" w:tplc="70C6F022">
      <w:start w:val="1"/>
      <w:numFmt w:val="bullet"/>
      <w:lvlText w:val=""/>
      <w:lvlJc w:val="left"/>
      <w:pPr>
        <w:ind w:left="720" w:hanging="360"/>
      </w:pPr>
      <w:rPr>
        <w:rFonts w:ascii="Symbol" w:hAnsi="Symbol"/>
      </w:rPr>
    </w:lvl>
    <w:lvl w:ilvl="8" w:tplc="03ECD0F2">
      <w:start w:val="1"/>
      <w:numFmt w:val="bullet"/>
      <w:lvlText w:val=""/>
      <w:lvlJc w:val="left"/>
      <w:pPr>
        <w:ind w:left="720" w:hanging="360"/>
      </w:pPr>
      <w:rPr>
        <w:rFonts w:ascii="Symbol" w:hAnsi="Symbol"/>
      </w:rPr>
    </w:lvl>
  </w:abstractNum>
  <w:abstractNum w:abstractNumId="46"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87414104">
    <w:abstractNumId w:val="35"/>
  </w:num>
  <w:num w:numId="2" w16cid:durableId="77755276">
    <w:abstractNumId w:val="31"/>
  </w:num>
  <w:num w:numId="3" w16cid:durableId="488519701">
    <w:abstractNumId w:val="46"/>
  </w:num>
  <w:num w:numId="4" w16cid:durableId="1683311932">
    <w:abstractNumId w:val="26"/>
  </w:num>
  <w:num w:numId="5" w16cid:durableId="1907182931">
    <w:abstractNumId w:val="38"/>
  </w:num>
  <w:num w:numId="6" w16cid:durableId="2090692179">
    <w:abstractNumId w:val="26"/>
  </w:num>
  <w:num w:numId="7" w16cid:durableId="520165027">
    <w:abstractNumId w:val="38"/>
  </w:num>
  <w:num w:numId="8" w16cid:durableId="1444963339">
    <w:abstractNumId w:val="42"/>
  </w:num>
  <w:num w:numId="9" w16cid:durableId="306477430">
    <w:abstractNumId w:val="2"/>
  </w:num>
  <w:num w:numId="10" w16cid:durableId="1753164409">
    <w:abstractNumId w:val="5"/>
  </w:num>
  <w:num w:numId="11" w16cid:durableId="34357531">
    <w:abstractNumId w:val="34"/>
  </w:num>
  <w:num w:numId="12" w16cid:durableId="1437361927">
    <w:abstractNumId w:val="3"/>
  </w:num>
  <w:num w:numId="13" w16cid:durableId="1369139408">
    <w:abstractNumId w:val="24"/>
  </w:num>
  <w:num w:numId="14" w16cid:durableId="2089494071">
    <w:abstractNumId w:val="19"/>
  </w:num>
  <w:num w:numId="15" w16cid:durableId="350028883">
    <w:abstractNumId w:val="7"/>
  </w:num>
  <w:num w:numId="16" w16cid:durableId="2064406416">
    <w:abstractNumId w:val="16"/>
  </w:num>
  <w:num w:numId="17" w16cid:durableId="261187277">
    <w:abstractNumId w:val="0"/>
  </w:num>
  <w:num w:numId="18" w16cid:durableId="249051567">
    <w:abstractNumId w:val="21"/>
  </w:num>
  <w:num w:numId="19" w16cid:durableId="1078668709">
    <w:abstractNumId w:val="22"/>
  </w:num>
  <w:num w:numId="20" w16cid:durableId="1522862210">
    <w:abstractNumId w:val="29"/>
  </w:num>
  <w:num w:numId="21" w16cid:durableId="637421363">
    <w:abstractNumId w:val="4"/>
  </w:num>
  <w:num w:numId="22" w16cid:durableId="1500534155">
    <w:abstractNumId w:val="13"/>
  </w:num>
  <w:num w:numId="23" w16cid:durableId="1065026031">
    <w:abstractNumId w:val="20"/>
  </w:num>
  <w:num w:numId="24" w16cid:durableId="1527326322">
    <w:abstractNumId w:val="33"/>
  </w:num>
  <w:num w:numId="25" w16cid:durableId="102649225">
    <w:abstractNumId w:val="30"/>
  </w:num>
  <w:num w:numId="26" w16cid:durableId="129397425">
    <w:abstractNumId w:val="27"/>
  </w:num>
  <w:num w:numId="27" w16cid:durableId="1293174255">
    <w:abstractNumId w:val="8"/>
  </w:num>
  <w:num w:numId="28" w16cid:durableId="1347054969">
    <w:abstractNumId w:val="17"/>
  </w:num>
  <w:num w:numId="29" w16cid:durableId="2045713140">
    <w:abstractNumId w:val="18"/>
  </w:num>
  <w:num w:numId="30" w16cid:durableId="885066573">
    <w:abstractNumId w:val="10"/>
  </w:num>
  <w:num w:numId="31" w16cid:durableId="859665963">
    <w:abstractNumId w:val="14"/>
  </w:num>
  <w:num w:numId="32" w16cid:durableId="1474522897">
    <w:abstractNumId w:val="15"/>
  </w:num>
  <w:num w:numId="33" w16cid:durableId="1802453433">
    <w:abstractNumId w:val="6"/>
  </w:num>
  <w:num w:numId="34" w16cid:durableId="2063096887">
    <w:abstractNumId w:val="41"/>
  </w:num>
  <w:num w:numId="35" w16cid:durableId="755060204">
    <w:abstractNumId w:val="39"/>
  </w:num>
  <w:num w:numId="36" w16cid:durableId="1561860735">
    <w:abstractNumId w:val="32"/>
  </w:num>
  <w:num w:numId="37" w16cid:durableId="132605405">
    <w:abstractNumId w:val="37"/>
  </w:num>
  <w:num w:numId="38" w16cid:durableId="919021554">
    <w:abstractNumId w:val="12"/>
  </w:num>
  <w:num w:numId="39" w16cid:durableId="611282525">
    <w:abstractNumId w:val="1"/>
  </w:num>
  <w:num w:numId="40" w16cid:durableId="712846454">
    <w:abstractNumId w:val="45"/>
  </w:num>
  <w:num w:numId="41" w16cid:durableId="1308702175">
    <w:abstractNumId w:val="25"/>
  </w:num>
  <w:num w:numId="42" w16cid:durableId="2008708090">
    <w:abstractNumId w:val="23"/>
  </w:num>
  <w:num w:numId="43" w16cid:durableId="135101508">
    <w:abstractNumId w:val="36"/>
  </w:num>
  <w:num w:numId="44" w16cid:durableId="3438646">
    <w:abstractNumId w:val="9"/>
  </w:num>
  <w:num w:numId="45" w16cid:durableId="45185244">
    <w:abstractNumId w:val="43"/>
  </w:num>
  <w:num w:numId="46" w16cid:durableId="1866362515">
    <w:abstractNumId w:val="28"/>
  </w:num>
  <w:num w:numId="47" w16cid:durableId="1171288571">
    <w:abstractNumId w:val="44"/>
  </w:num>
  <w:num w:numId="48" w16cid:durableId="1254391105">
    <w:abstractNumId w:val="11"/>
  </w:num>
  <w:num w:numId="49" w16cid:durableId="1333221471">
    <w:abstractNumId w:val="40"/>
  </w:num>
  <w:num w:numId="50" w16cid:durableId="2139956854">
    <w:abstractNumId w:val="26"/>
  </w:num>
  <w:num w:numId="51" w16cid:durableId="1129933539">
    <w:abstractNumId w:val="26"/>
  </w:num>
  <w:num w:numId="52" w16cid:durableId="2056541001">
    <w:abstractNumId w:val="26"/>
  </w:num>
  <w:num w:numId="53" w16cid:durableId="1780837849">
    <w:abstractNumId w:val="26"/>
  </w:num>
  <w:num w:numId="54" w16cid:durableId="245112529">
    <w:abstractNumId w:val="26"/>
  </w:num>
  <w:num w:numId="55" w16cid:durableId="1513060162">
    <w:abstractNumId w:val="26"/>
  </w:num>
  <w:num w:numId="56" w16cid:durableId="684868987">
    <w:abstractNumId w:val="26"/>
  </w:num>
  <w:num w:numId="57" w16cid:durableId="717902631">
    <w:abstractNumId w:val="26"/>
  </w:num>
  <w:num w:numId="58" w16cid:durableId="1487357490">
    <w:abstractNumId w:val="26"/>
  </w:num>
  <w:num w:numId="59" w16cid:durableId="536360701">
    <w:abstractNumId w:val="26"/>
  </w:num>
  <w:num w:numId="60" w16cid:durableId="2138180827">
    <w:abstractNumId w:val="26"/>
  </w:num>
  <w:num w:numId="61" w16cid:durableId="708913758">
    <w:abstractNumId w:val="26"/>
  </w:num>
  <w:num w:numId="62" w16cid:durableId="916282616">
    <w:abstractNumId w:val="26"/>
  </w:num>
  <w:num w:numId="63" w16cid:durableId="1217855905">
    <w:abstractNumId w:val="26"/>
  </w:num>
  <w:num w:numId="64" w16cid:durableId="708652407">
    <w:abstractNumId w:val="26"/>
  </w:num>
  <w:num w:numId="65" w16cid:durableId="182323659">
    <w:abstractNumId w:val="26"/>
  </w:num>
  <w:num w:numId="66" w16cid:durableId="324744507">
    <w:abstractNumId w:val="26"/>
  </w:num>
  <w:num w:numId="67" w16cid:durableId="1519075210">
    <w:abstractNumId w:val="26"/>
  </w:num>
  <w:num w:numId="68" w16cid:durableId="1191990497">
    <w:abstractNumId w:val="26"/>
  </w:num>
  <w:num w:numId="69" w16cid:durableId="1758012649">
    <w:abstractNumId w:val="26"/>
  </w:num>
  <w:num w:numId="70" w16cid:durableId="1282567229">
    <w:abstractNumId w:val="26"/>
  </w:num>
  <w:num w:numId="71" w16cid:durableId="363411561">
    <w:abstractNumId w:val="26"/>
  </w:num>
  <w:num w:numId="72" w16cid:durableId="906845966">
    <w:abstractNumId w:val="26"/>
  </w:num>
  <w:num w:numId="73" w16cid:durableId="186260202">
    <w:abstractNumId w:val="26"/>
  </w:num>
  <w:num w:numId="74" w16cid:durableId="1582133024">
    <w:abstractNumId w:val="26"/>
  </w:num>
  <w:num w:numId="75" w16cid:durableId="814952231">
    <w:abstractNumId w:val="26"/>
  </w:num>
  <w:num w:numId="76" w16cid:durableId="1288775619">
    <w:abstractNumId w:val="26"/>
  </w:num>
  <w:num w:numId="77" w16cid:durableId="484249539">
    <w:abstractNumId w:val="26"/>
  </w:num>
  <w:num w:numId="78" w16cid:durableId="921453568">
    <w:abstractNumId w:val="26"/>
  </w:num>
  <w:num w:numId="79" w16cid:durableId="1238635554">
    <w:abstractNumId w:val="26"/>
  </w:num>
  <w:num w:numId="80" w16cid:durableId="1212689190">
    <w:abstractNumId w:val="26"/>
  </w:num>
  <w:num w:numId="81" w16cid:durableId="1318653138">
    <w:abstractNumId w:val="26"/>
  </w:num>
  <w:num w:numId="82" w16cid:durableId="1650132803">
    <w:abstractNumId w:val="26"/>
  </w:num>
  <w:num w:numId="83" w16cid:durableId="1175463504">
    <w:abstractNumId w:val="26"/>
  </w:num>
  <w:num w:numId="84" w16cid:durableId="1116754926">
    <w:abstractNumId w:val="26"/>
  </w:num>
  <w:num w:numId="85" w16cid:durableId="1898127072">
    <w:abstractNumId w:val="26"/>
  </w:num>
  <w:num w:numId="86" w16cid:durableId="819157601">
    <w:abstractNumId w:val="26"/>
  </w:num>
  <w:num w:numId="87" w16cid:durableId="1838962653">
    <w:abstractNumId w:val="26"/>
  </w:num>
  <w:num w:numId="88" w16cid:durableId="1267663003">
    <w:abstractNumId w:val="26"/>
  </w:num>
  <w:num w:numId="89" w16cid:durableId="772211973">
    <w:abstractNumId w:val="26"/>
  </w:num>
  <w:num w:numId="90" w16cid:durableId="2032339782">
    <w:abstractNumId w:val="26"/>
  </w:num>
  <w:num w:numId="91" w16cid:durableId="1810628857">
    <w:abstractNumId w:val="26"/>
  </w:num>
  <w:num w:numId="92" w16cid:durableId="1567178678">
    <w:abstractNumId w:val="26"/>
  </w:num>
  <w:num w:numId="93" w16cid:durableId="345904680">
    <w:abstractNumId w:val="26"/>
  </w:num>
  <w:num w:numId="94" w16cid:durableId="1516310707">
    <w:abstractNumId w:val="26"/>
  </w:num>
  <w:num w:numId="95" w16cid:durableId="277956074">
    <w:abstractNumId w:val="26"/>
  </w:num>
  <w:num w:numId="96" w16cid:durableId="738132202">
    <w:abstractNumId w:val="26"/>
  </w:num>
  <w:num w:numId="97" w16cid:durableId="2017612856">
    <w:abstractNumId w:val="26"/>
  </w:num>
  <w:num w:numId="98" w16cid:durableId="2014991774">
    <w:abstractNumId w:val="26"/>
  </w:num>
  <w:num w:numId="99" w16cid:durableId="1968076031">
    <w:abstractNumId w:val="26"/>
  </w:num>
  <w:num w:numId="100" w16cid:durableId="518155759">
    <w:abstractNumId w:val="26"/>
  </w:num>
  <w:num w:numId="101" w16cid:durableId="2085032352">
    <w:abstractNumId w:val="26"/>
  </w:num>
  <w:num w:numId="102" w16cid:durableId="2103601384">
    <w:abstractNumId w:val="26"/>
  </w:num>
  <w:num w:numId="103" w16cid:durableId="1231621294">
    <w:abstractNumId w:val="26"/>
  </w:num>
  <w:num w:numId="104" w16cid:durableId="1568345170">
    <w:abstractNumId w:val="26"/>
  </w:num>
  <w:num w:numId="105" w16cid:durableId="81875328">
    <w:abstractNumId w:val="26"/>
  </w:num>
  <w:num w:numId="106" w16cid:durableId="1513716769">
    <w:abstractNumId w:val="26"/>
  </w:num>
  <w:num w:numId="107" w16cid:durableId="1916626625">
    <w:abstractNumId w:val="26"/>
  </w:num>
  <w:num w:numId="108" w16cid:durableId="1380402859">
    <w:abstractNumId w:val="26"/>
  </w:num>
  <w:num w:numId="109" w16cid:durableId="2075228655">
    <w:abstractNumId w:val="26"/>
  </w:num>
  <w:num w:numId="110" w16cid:durableId="194391107">
    <w:abstractNumId w:val="26"/>
  </w:num>
  <w:num w:numId="111" w16cid:durableId="2143649120">
    <w:abstractNumId w:val="26"/>
  </w:num>
  <w:num w:numId="112" w16cid:durableId="781388655">
    <w:abstractNumId w:val="26"/>
  </w:num>
  <w:num w:numId="113" w16cid:durableId="1992248491">
    <w:abstractNumId w:val="26"/>
  </w:num>
  <w:num w:numId="114" w16cid:durableId="1981615946">
    <w:abstractNumId w:val="26"/>
  </w:num>
  <w:num w:numId="115" w16cid:durableId="1118524453">
    <w:abstractNumId w:val="26"/>
  </w:num>
  <w:num w:numId="116" w16cid:durableId="1726756046">
    <w:abstractNumId w:val="26"/>
  </w:num>
  <w:num w:numId="117" w16cid:durableId="586892036">
    <w:abstractNumId w:val="26"/>
  </w:num>
  <w:num w:numId="118" w16cid:durableId="1960605801">
    <w:abstractNumId w:val="26"/>
  </w:num>
  <w:num w:numId="119" w16cid:durableId="1745108532">
    <w:abstractNumId w:val="26"/>
  </w:num>
  <w:num w:numId="120" w16cid:durableId="1874684438">
    <w:abstractNumId w:val="26"/>
  </w:num>
  <w:num w:numId="121" w16cid:durableId="1161970898">
    <w:abstractNumId w:val="26"/>
  </w:num>
  <w:num w:numId="122" w16cid:durableId="1719544457">
    <w:abstractNumId w:val="26"/>
  </w:num>
  <w:num w:numId="123" w16cid:durableId="1244953010">
    <w:abstractNumId w:val="26"/>
  </w:num>
  <w:num w:numId="124" w16cid:durableId="227762664">
    <w:abstractNumId w:val="26"/>
  </w:num>
  <w:num w:numId="125" w16cid:durableId="1138956787">
    <w:abstractNumId w:val="26"/>
  </w:num>
  <w:num w:numId="126" w16cid:durableId="974532360">
    <w:abstractNumId w:val="26"/>
  </w:num>
  <w:num w:numId="127" w16cid:durableId="1105881140">
    <w:abstractNumId w:val="26"/>
  </w:num>
  <w:num w:numId="128" w16cid:durableId="519512822">
    <w:abstractNumId w:val="26"/>
  </w:num>
  <w:num w:numId="129" w16cid:durableId="973754543">
    <w:abstractNumId w:val="26"/>
  </w:num>
  <w:num w:numId="130" w16cid:durableId="164976235">
    <w:abstractNumId w:val="26"/>
  </w:num>
  <w:num w:numId="131" w16cid:durableId="1394157792">
    <w:abstractNumId w:val="26"/>
  </w:num>
  <w:num w:numId="132" w16cid:durableId="974527279">
    <w:abstractNumId w:val="26"/>
  </w:num>
  <w:num w:numId="133" w16cid:durableId="814222631">
    <w:abstractNumId w:val="26"/>
  </w:num>
  <w:num w:numId="134" w16cid:durableId="1853910357">
    <w:abstractNumId w:val="26"/>
  </w:num>
  <w:num w:numId="135" w16cid:durableId="779838697">
    <w:abstractNumId w:val="26"/>
  </w:num>
  <w:num w:numId="136" w16cid:durableId="726029873">
    <w:abstractNumId w:val="26"/>
  </w:num>
  <w:num w:numId="137" w16cid:durableId="1505239738">
    <w:abstractNumId w:val="26"/>
  </w:num>
  <w:num w:numId="138" w16cid:durableId="1097212689">
    <w:abstractNumId w:val="26"/>
  </w:num>
  <w:num w:numId="139" w16cid:durableId="854466083">
    <w:abstractNumId w:val="26"/>
  </w:num>
  <w:num w:numId="140" w16cid:durableId="85154344">
    <w:abstractNumId w:val="26"/>
  </w:num>
  <w:num w:numId="141" w16cid:durableId="292173299">
    <w:abstractNumId w:val="26"/>
  </w:num>
  <w:num w:numId="142" w16cid:durableId="370544695">
    <w:abstractNumId w:val="26"/>
  </w:num>
  <w:num w:numId="143" w16cid:durableId="1746102896">
    <w:abstractNumId w:val="26"/>
  </w:num>
  <w:num w:numId="144" w16cid:durableId="2139448734">
    <w:abstractNumId w:val="26"/>
  </w:num>
  <w:num w:numId="145" w16cid:durableId="1733691749">
    <w:abstractNumId w:val="26"/>
  </w:num>
  <w:num w:numId="146" w16cid:durableId="1340236564">
    <w:abstractNumId w:val="26"/>
  </w:num>
  <w:num w:numId="147" w16cid:durableId="1198738286">
    <w:abstractNumId w:val="26"/>
  </w:num>
  <w:num w:numId="148" w16cid:durableId="537402525">
    <w:abstractNumId w:val="26"/>
  </w:num>
  <w:num w:numId="149" w16cid:durableId="341205427">
    <w:abstractNumId w:val="26"/>
  </w:num>
  <w:num w:numId="150" w16cid:durableId="108553824">
    <w:abstractNumId w:val="26"/>
  </w:num>
  <w:num w:numId="151" w16cid:durableId="62224159">
    <w:abstractNumId w:val="26"/>
  </w:num>
  <w:num w:numId="152" w16cid:durableId="1812476008">
    <w:abstractNumId w:val="26"/>
  </w:num>
  <w:num w:numId="153" w16cid:durableId="1316491642">
    <w:abstractNumId w:val="26"/>
  </w:num>
  <w:num w:numId="154" w16cid:durableId="654725652">
    <w:abstractNumId w:val="26"/>
  </w:num>
  <w:num w:numId="155" w16cid:durableId="1195508042">
    <w:abstractNumId w:val="26"/>
  </w:num>
  <w:num w:numId="156" w16cid:durableId="104082246">
    <w:abstractNumId w:val="26"/>
  </w:num>
  <w:num w:numId="157" w16cid:durableId="1940330447">
    <w:abstractNumId w:val="26"/>
  </w:num>
  <w:num w:numId="158" w16cid:durableId="920717105">
    <w:abstractNumId w:val="26"/>
  </w:num>
  <w:num w:numId="159" w16cid:durableId="545140977">
    <w:abstractNumId w:val="26"/>
  </w:num>
  <w:num w:numId="160" w16cid:durableId="1793089830">
    <w:abstractNumId w:val="26"/>
  </w:num>
  <w:num w:numId="161" w16cid:durableId="772476360">
    <w:abstractNumId w:val="26"/>
  </w:num>
  <w:num w:numId="162" w16cid:durableId="49038292">
    <w:abstractNumId w:val="26"/>
  </w:num>
  <w:num w:numId="163" w16cid:durableId="704983882">
    <w:abstractNumId w:val="26"/>
  </w:num>
  <w:num w:numId="164" w16cid:durableId="142697814">
    <w:abstractNumId w:val="26"/>
  </w:num>
  <w:num w:numId="165" w16cid:durableId="817766109">
    <w:abstractNumId w:val="26"/>
  </w:num>
  <w:num w:numId="166" w16cid:durableId="1141263161">
    <w:abstractNumId w:val="26"/>
  </w:num>
  <w:num w:numId="167" w16cid:durableId="997071581">
    <w:abstractNumId w:val="26"/>
  </w:num>
  <w:num w:numId="168" w16cid:durableId="834685784">
    <w:abstractNumId w:val="26"/>
  </w:num>
  <w:num w:numId="169" w16cid:durableId="410589446">
    <w:abstractNumId w:val="26"/>
  </w:num>
  <w:num w:numId="170" w16cid:durableId="1196382698">
    <w:abstractNumId w:val="26"/>
  </w:num>
  <w:num w:numId="171" w16cid:durableId="232355276">
    <w:abstractNumId w:val="26"/>
  </w:num>
  <w:num w:numId="172" w16cid:durableId="1953510435">
    <w:abstractNumId w:val="26"/>
  </w:num>
  <w:num w:numId="173" w16cid:durableId="1638952087">
    <w:abstractNumId w:val="26"/>
  </w:num>
  <w:num w:numId="174" w16cid:durableId="1580601156">
    <w:abstractNumId w:val="26"/>
  </w:num>
  <w:num w:numId="175" w16cid:durableId="1834375724">
    <w:abstractNumId w:val="26"/>
  </w:num>
  <w:num w:numId="176" w16cid:durableId="947153064">
    <w:abstractNumId w:val="26"/>
  </w:num>
  <w:num w:numId="177" w16cid:durableId="729771135">
    <w:abstractNumId w:val="26"/>
  </w:num>
  <w:num w:numId="178" w16cid:durableId="1956013661">
    <w:abstractNumId w:val="26"/>
  </w:num>
  <w:num w:numId="179" w16cid:durableId="1828590854">
    <w:abstractNumId w:val="26"/>
  </w:num>
  <w:num w:numId="180" w16cid:durableId="1420902452">
    <w:abstractNumId w:val="26"/>
  </w:num>
  <w:num w:numId="181" w16cid:durableId="494492469">
    <w:abstractNumId w:val="26"/>
  </w:num>
  <w:num w:numId="182" w16cid:durableId="637801325">
    <w:abstractNumId w:val="26"/>
  </w:num>
  <w:num w:numId="183" w16cid:durableId="1365716649">
    <w:abstractNumId w:val="26"/>
  </w:num>
  <w:num w:numId="184" w16cid:durableId="564291874">
    <w:abstractNumId w:val="26"/>
  </w:num>
  <w:num w:numId="185" w16cid:durableId="1174759993">
    <w:abstractNumId w:val="26"/>
  </w:num>
  <w:num w:numId="186" w16cid:durableId="285820713">
    <w:abstractNumId w:val="26"/>
  </w:num>
  <w:num w:numId="187" w16cid:durableId="1229343123">
    <w:abstractNumId w:val="26"/>
  </w:num>
  <w:num w:numId="188" w16cid:durableId="1011102337">
    <w:abstractNumId w:val="26"/>
  </w:num>
  <w:num w:numId="189" w16cid:durableId="67460549">
    <w:abstractNumId w:val="26"/>
  </w:num>
  <w:num w:numId="190" w16cid:durableId="2053923544">
    <w:abstractNumId w:val="26"/>
  </w:num>
  <w:num w:numId="191" w16cid:durableId="166867619">
    <w:abstractNumId w:val="26"/>
  </w:num>
  <w:num w:numId="192" w16cid:durableId="1355040183">
    <w:abstractNumId w:val="26"/>
  </w:num>
  <w:num w:numId="193" w16cid:durableId="22943799">
    <w:abstractNumId w:val="26"/>
  </w:num>
  <w:num w:numId="194" w16cid:durableId="1482311206">
    <w:abstractNumId w:val="26"/>
  </w:num>
  <w:num w:numId="195" w16cid:durableId="1065301688">
    <w:abstractNumId w:val="26"/>
  </w:num>
  <w:num w:numId="196" w16cid:durableId="142554109">
    <w:abstractNumId w:val="26"/>
  </w:num>
  <w:num w:numId="197" w16cid:durableId="1698002937">
    <w:abstractNumId w:val="26"/>
  </w:num>
  <w:num w:numId="198" w16cid:durableId="1990356823">
    <w:abstractNumId w:val="26"/>
  </w:num>
  <w:num w:numId="199" w16cid:durableId="1022898430">
    <w:abstractNumId w:val="26"/>
  </w:num>
  <w:num w:numId="200" w16cid:durableId="244264176">
    <w:abstractNumId w:val="26"/>
  </w:num>
  <w:num w:numId="201" w16cid:durableId="153840321">
    <w:abstractNumId w:val="26"/>
  </w:num>
  <w:num w:numId="202" w16cid:durableId="2111776550">
    <w:abstractNumId w:val="26"/>
  </w:num>
  <w:num w:numId="203" w16cid:durableId="519317518">
    <w:abstractNumId w:val="26"/>
  </w:num>
  <w:num w:numId="204" w16cid:durableId="1538540636">
    <w:abstractNumId w:val="26"/>
  </w:num>
  <w:num w:numId="205" w16cid:durableId="1352680117">
    <w:abstractNumId w:val="26"/>
  </w:num>
  <w:num w:numId="206" w16cid:durableId="921639875">
    <w:abstractNumId w:val="26"/>
  </w:num>
  <w:num w:numId="207" w16cid:durableId="272641266">
    <w:abstractNumId w:val="26"/>
  </w:num>
  <w:num w:numId="208" w16cid:durableId="297147498">
    <w:abstractNumId w:val="26"/>
  </w:num>
  <w:num w:numId="209" w16cid:durableId="1419907272">
    <w:abstractNumId w:val="26"/>
  </w:num>
  <w:num w:numId="210" w16cid:durableId="1866406123">
    <w:abstractNumId w:val="26"/>
  </w:num>
  <w:num w:numId="211" w16cid:durableId="2028213047">
    <w:abstractNumId w:val="26"/>
  </w:num>
  <w:num w:numId="212" w16cid:durableId="1875386189">
    <w:abstractNumId w:val="26"/>
  </w:num>
  <w:num w:numId="213" w16cid:durableId="388461278">
    <w:abstractNumId w:val="26"/>
  </w:num>
  <w:num w:numId="214" w16cid:durableId="146098202">
    <w:abstractNumId w:val="26"/>
  </w:num>
  <w:num w:numId="215" w16cid:durableId="1691642362">
    <w:abstractNumId w:val="26"/>
  </w:num>
  <w:num w:numId="216" w16cid:durableId="79907335">
    <w:abstractNumId w:val="26"/>
  </w:num>
  <w:num w:numId="217" w16cid:durableId="1088192316">
    <w:abstractNumId w:val="26"/>
  </w:num>
  <w:num w:numId="218" w16cid:durableId="222184476">
    <w:abstractNumId w:val="26"/>
  </w:num>
  <w:num w:numId="219" w16cid:durableId="1614247013">
    <w:abstractNumId w:val="26"/>
  </w:num>
  <w:num w:numId="220" w16cid:durableId="1628463776">
    <w:abstractNumId w:val="26"/>
  </w:num>
  <w:num w:numId="221" w16cid:durableId="1733195927">
    <w:abstractNumId w:val="26"/>
  </w:num>
  <w:num w:numId="222" w16cid:durableId="24674128">
    <w:abstractNumId w:val="26"/>
  </w:num>
  <w:num w:numId="223" w16cid:durableId="977343995">
    <w:abstractNumId w:val="26"/>
  </w:num>
  <w:num w:numId="224" w16cid:durableId="1485656181">
    <w:abstractNumId w:val="26"/>
  </w:num>
  <w:num w:numId="225" w16cid:durableId="1559197981">
    <w:abstractNumId w:val="26"/>
  </w:num>
  <w:num w:numId="226" w16cid:durableId="1378894105">
    <w:abstractNumId w:val="26"/>
  </w:num>
  <w:num w:numId="227" w16cid:durableId="1873105491">
    <w:abstractNumId w:val="26"/>
  </w:num>
  <w:num w:numId="228" w16cid:durableId="764036126">
    <w:abstractNumId w:val="26"/>
  </w:num>
  <w:num w:numId="229" w16cid:durableId="2096629311">
    <w:abstractNumId w:val="26"/>
  </w:num>
  <w:num w:numId="230" w16cid:durableId="994531406">
    <w:abstractNumId w:val="26"/>
  </w:num>
  <w:num w:numId="231" w16cid:durableId="1137333395">
    <w:abstractNumId w:val="26"/>
  </w:num>
  <w:num w:numId="232" w16cid:durableId="413624265">
    <w:abstractNumId w:val="26"/>
  </w:num>
  <w:num w:numId="233" w16cid:durableId="1006588634">
    <w:abstractNumId w:val="26"/>
  </w:num>
  <w:num w:numId="234" w16cid:durableId="127287856">
    <w:abstractNumId w:val="26"/>
  </w:num>
  <w:num w:numId="235" w16cid:durableId="1316226874">
    <w:abstractNumId w:val="26"/>
  </w:num>
  <w:num w:numId="236" w16cid:durableId="245236253">
    <w:abstractNumId w:val="26"/>
  </w:num>
  <w:num w:numId="237" w16cid:durableId="2033140291">
    <w:abstractNumId w:val="26"/>
  </w:num>
  <w:num w:numId="238" w16cid:durableId="1337615425">
    <w:abstractNumId w:val="26"/>
  </w:num>
  <w:num w:numId="239" w16cid:durableId="1041906005">
    <w:abstractNumId w:val="26"/>
  </w:num>
  <w:num w:numId="240" w16cid:durableId="302198822">
    <w:abstractNumId w:val="26"/>
  </w:num>
  <w:num w:numId="241" w16cid:durableId="1757438421">
    <w:abstractNumId w:val="26"/>
  </w:num>
  <w:num w:numId="242" w16cid:durableId="1972635206">
    <w:abstractNumId w:val="26"/>
  </w:num>
  <w:num w:numId="243" w16cid:durableId="1500729291">
    <w:abstractNumId w:val="26"/>
  </w:num>
  <w:num w:numId="244" w16cid:durableId="2113475213">
    <w:abstractNumId w:val="26"/>
  </w:num>
  <w:num w:numId="245" w16cid:durableId="145896778">
    <w:abstractNumId w:val="26"/>
  </w:num>
  <w:num w:numId="246" w16cid:durableId="1130368670">
    <w:abstractNumId w:val="26"/>
  </w:num>
  <w:num w:numId="247" w16cid:durableId="1811288029">
    <w:abstractNumId w:val="26"/>
  </w:num>
  <w:num w:numId="248" w16cid:durableId="1871146877">
    <w:abstractNumId w:val="26"/>
  </w:num>
  <w:num w:numId="249" w16cid:durableId="609245075">
    <w:abstractNumId w:val="26"/>
  </w:num>
  <w:num w:numId="250" w16cid:durableId="22830153">
    <w:abstractNumId w:val="26"/>
  </w:num>
  <w:num w:numId="251" w16cid:durableId="1460686431">
    <w:abstractNumId w:val="26"/>
  </w:num>
  <w:num w:numId="252" w16cid:durableId="320811343">
    <w:abstractNumId w:val="26"/>
  </w:num>
  <w:num w:numId="253" w16cid:durableId="511382863">
    <w:abstractNumId w:val="26"/>
  </w:num>
  <w:num w:numId="254" w16cid:durableId="2056003943">
    <w:abstractNumId w:val="26"/>
  </w:num>
  <w:num w:numId="255" w16cid:durableId="379748236">
    <w:abstractNumId w:val="26"/>
  </w:num>
  <w:num w:numId="256" w16cid:durableId="1373577519">
    <w:abstractNumId w:val="26"/>
  </w:num>
  <w:num w:numId="257" w16cid:durableId="1013917219">
    <w:abstractNumId w:val="26"/>
  </w:num>
  <w:num w:numId="258" w16cid:durableId="256601183">
    <w:abstractNumId w:val="26"/>
  </w:num>
  <w:num w:numId="259" w16cid:durableId="1560749192">
    <w:abstractNumId w:val="26"/>
  </w:num>
  <w:num w:numId="260" w16cid:durableId="1697341487">
    <w:abstractNumId w:val="26"/>
  </w:num>
  <w:num w:numId="261" w16cid:durableId="577331243">
    <w:abstractNumId w:val="26"/>
  </w:num>
  <w:num w:numId="262" w16cid:durableId="1977681077">
    <w:abstractNumId w:val="26"/>
  </w:num>
  <w:numIdMacAtCleanup w:val="2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D81"/>
    <w:rsid w:val="0000006E"/>
    <w:rsid w:val="0000022A"/>
    <w:rsid w:val="000004A3"/>
    <w:rsid w:val="00000592"/>
    <w:rsid w:val="000005D4"/>
    <w:rsid w:val="0000063A"/>
    <w:rsid w:val="00000724"/>
    <w:rsid w:val="000008FE"/>
    <w:rsid w:val="00000EC7"/>
    <w:rsid w:val="00000F62"/>
    <w:rsid w:val="00001378"/>
    <w:rsid w:val="00001584"/>
    <w:rsid w:val="000015F5"/>
    <w:rsid w:val="00001705"/>
    <w:rsid w:val="00001859"/>
    <w:rsid w:val="00001875"/>
    <w:rsid w:val="000019B1"/>
    <w:rsid w:val="00001B61"/>
    <w:rsid w:val="00001C89"/>
    <w:rsid w:val="00002060"/>
    <w:rsid w:val="000021A5"/>
    <w:rsid w:val="000021E0"/>
    <w:rsid w:val="000022E4"/>
    <w:rsid w:val="0000272B"/>
    <w:rsid w:val="00002762"/>
    <w:rsid w:val="00002ACA"/>
    <w:rsid w:val="00002BFE"/>
    <w:rsid w:val="00002C88"/>
    <w:rsid w:val="00003022"/>
    <w:rsid w:val="00003128"/>
    <w:rsid w:val="00003415"/>
    <w:rsid w:val="00003455"/>
    <w:rsid w:val="0000367A"/>
    <w:rsid w:val="000036F7"/>
    <w:rsid w:val="00003997"/>
    <w:rsid w:val="00003A8A"/>
    <w:rsid w:val="00003BB3"/>
    <w:rsid w:val="00003E54"/>
    <w:rsid w:val="00003F7F"/>
    <w:rsid w:val="00004429"/>
    <w:rsid w:val="000044CA"/>
    <w:rsid w:val="00004848"/>
    <w:rsid w:val="00004AA8"/>
    <w:rsid w:val="00004BD0"/>
    <w:rsid w:val="00004C57"/>
    <w:rsid w:val="00004D62"/>
    <w:rsid w:val="00004E9D"/>
    <w:rsid w:val="0000507F"/>
    <w:rsid w:val="00005237"/>
    <w:rsid w:val="0000551C"/>
    <w:rsid w:val="0000568B"/>
    <w:rsid w:val="00005889"/>
    <w:rsid w:val="00005B81"/>
    <w:rsid w:val="00005C59"/>
    <w:rsid w:val="00005D19"/>
    <w:rsid w:val="00005F77"/>
    <w:rsid w:val="0000603A"/>
    <w:rsid w:val="00006152"/>
    <w:rsid w:val="000063EA"/>
    <w:rsid w:val="00006BF8"/>
    <w:rsid w:val="00006E4F"/>
    <w:rsid w:val="00007100"/>
    <w:rsid w:val="00007292"/>
    <w:rsid w:val="000073C6"/>
    <w:rsid w:val="0000760A"/>
    <w:rsid w:val="00007A9F"/>
    <w:rsid w:val="00007E0E"/>
    <w:rsid w:val="00007F21"/>
    <w:rsid w:val="00007F56"/>
    <w:rsid w:val="00007FA8"/>
    <w:rsid w:val="000106F3"/>
    <w:rsid w:val="00010933"/>
    <w:rsid w:val="00010F64"/>
    <w:rsid w:val="00010FBE"/>
    <w:rsid w:val="00011017"/>
    <w:rsid w:val="00011196"/>
    <w:rsid w:val="000112C2"/>
    <w:rsid w:val="0001137F"/>
    <w:rsid w:val="0001141F"/>
    <w:rsid w:val="000115E8"/>
    <w:rsid w:val="000116D5"/>
    <w:rsid w:val="00011736"/>
    <w:rsid w:val="0001195D"/>
    <w:rsid w:val="00011A79"/>
    <w:rsid w:val="00012017"/>
    <w:rsid w:val="0001202C"/>
    <w:rsid w:val="00012151"/>
    <w:rsid w:val="00012155"/>
    <w:rsid w:val="000121F6"/>
    <w:rsid w:val="00012354"/>
    <w:rsid w:val="00012372"/>
    <w:rsid w:val="00012440"/>
    <w:rsid w:val="00012654"/>
    <w:rsid w:val="0001293C"/>
    <w:rsid w:val="0001299E"/>
    <w:rsid w:val="00012A9C"/>
    <w:rsid w:val="00012CBD"/>
    <w:rsid w:val="00012F42"/>
    <w:rsid w:val="00012F65"/>
    <w:rsid w:val="000136E3"/>
    <w:rsid w:val="000139D6"/>
    <w:rsid w:val="00013C0F"/>
    <w:rsid w:val="00013CD0"/>
    <w:rsid w:val="00013E35"/>
    <w:rsid w:val="00013E7A"/>
    <w:rsid w:val="00013EA9"/>
    <w:rsid w:val="00013EC7"/>
    <w:rsid w:val="0001403E"/>
    <w:rsid w:val="0001404A"/>
    <w:rsid w:val="000142F8"/>
    <w:rsid w:val="0001430C"/>
    <w:rsid w:val="000143F6"/>
    <w:rsid w:val="00014407"/>
    <w:rsid w:val="00014498"/>
    <w:rsid w:val="0001456B"/>
    <w:rsid w:val="00014658"/>
    <w:rsid w:val="000148DA"/>
    <w:rsid w:val="00014A7B"/>
    <w:rsid w:val="00015167"/>
    <w:rsid w:val="000151C8"/>
    <w:rsid w:val="000153EC"/>
    <w:rsid w:val="00015461"/>
    <w:rsid w:val="0001567F"/>
    <w:rsid w:val="000157B5"/>
    <w:rsid w:val="00015822"/>
    <w:rsid w:val="00015925"/>
    <w:rsid w:val="000159AB"/>
    <w:rsid w:val="00015B3B"/>
    <w:rsid w:val="00016019"/>
    <w:rsid w:val="0001628E"/>
    <w:rsid w:val="00016640"/>
    <w:rsid w:val="0001672C"/>
    <w:rsid w:val="000169B9"/>
    <w:rsid w:val="00016C5E"/>
    <w:rsid w:val="00016CAF"/>
    <w:rsid w:val="00016CD3"/>
    <w:rsid w:val="00016FFB"/>
    <w:rsid w:val="0001700A"/>
    <w:rsid w:val="00017492"/>
    <w:rsid w:val="000177E5"/>
    <w:rsid w:val="00017971"/>
    <w:rsid w:val="00017CFC"/>
    <w:rsid w:val="00017DAE"/>
    <w:rsid w:val="00017F1E"/>
    <w:rsid w:val="00017F70"/>
    <w:rsid w:val="0002044F"/>
    <w:rsid w:val="00020453"/>
    <w:rsid w:val="0002069A"/>
    <w:rsid w:val="000206C6"/>
    <w:rsid w:val="000207D1"/>
    <w:rsid w:val="00020E17"/>
    <w:rsid w:val="00020E74"/>
    <w:rsid w:val="0002106C"/>
    <w:rsid w:val="000210BD"/>
    <w:rsid w:val="00021104"/>
    <w:rsid w:val="00021580"/>
    <w:rsid w:val="00021A34"/>
    <w:rsid w:val="00021A8A"/>
    <w:rsid w:val="00021B79"/>
    <w:rsid w:val="00021CDE"/>
    <w:rsid w:val="00022016"/>
    <w:rsid w:val="00022117"/>
    <w:rsid w:val="00022252"/>
    <w:rsid w:val="0002227D"/>
    <w:rsid w:val="000222B7"/>
    <w:rsid w:val="00022323"/>
    <w:rsid w:val="00022360"/>
    <w:rsid w:val="00022514"/>
    <w:rsid w:val="0002255B"/>
    <w:rsid w:val="00022824"/>
    <w:rsid w:val="000228CA"/>
    <w:rsid w:val="00022F0D"/>
    <w:rsid w:val="0002305E"/>
    <w:rsid w:val="000235C2"/>
    <w:rsid w:val="00023896"/>
    <w:rsid w:val="000238C7"/>
    <w:rsid w:val="00023999"/>
    <w:rsid w:val="00023A71"/>
    <w:rsid w:val="00023D57"/>
    <w:rsid w:val="00023EA1"/>
    <w:rsid w:val="00023ED8"/>
    <w:rsid w:val="00023F83"/>
    <w:rsid w:val="00024026"/>
    <w:rsid w:val="0002422C"/>
    <w:rsid w:val="00024383"/>
    <w:rsid w:val="000244CF"/>
    <w:rsid w:val="000246AB"/>
    <w:rsid w:val="000249FC"/>
    <w:rsid w:val="00024ADF"/>
    <w:rsid w:val="00024B13"/>
    <w:rsid w:val="00024D17"/>
    <w:rsid w:val="00024E65"/>
    <w:rsid w:val="00024FC3"/>
    <w:rsid w:val="000250E5"/>
    <w:rsid w:val="000250F6"/>
    <w:rsid w:val="000251CF"/>
    <w:rsid w:val="00025466"/>
    <w:rsid w:val="00025DCE"/>
    <w:rsid w:val="00025FB2"/>
    <w:rsid w:val="000262C0"/>
    <w:rsid w:val="00026406"/>
    <w:rsid w:val="0002643A"/>
    <w:rsid w:val="000264E7"/>
    <w:rsid w:val="000264EE"/>
    <w:rsid w:val="0002653A"/>
    <w:rsid w:val="000267DC"/>
    <w:rsid w:val="000269F8"/>
    <w:rsid w:val="00026B89"/>
    <w:rsid w:val="00026D89"/>
    <w:rsid w:val="00026DD2"/>
    <w:rsid w:val="00026E6B"/>
    <w:rsid w:val="00027060"/>
    <w:rsid w:val="00027220"/>
    <w:rsid w:val="000275C2"/>
    <w:rsid w:val="000276DB"/>
    <w:rsid w:val="000276DC"/>
    <w:rsid w:val="000277E2"/>
    <w:rsid w:val="0002780E"/>
    <w:rsid w:val="00027820"/>
    <w:rsid w:val="00027903"/>
    <w:rsid w:val="00027982"/>
    <w:rsid w:val="00027AF8"/>
    <w:rsid w:val="00027B3F"/>
    <w:rsid w:val="00027E26"/>
    <w:rsid w:val="00030009"/>
    <w:rsid w:val="000301A8"/>
    <w:rsid w:val="00030298"/>
    <w:rsid w:val="00030445"/>
    <w:rsid w:val="000304A1"/>
    <w:rsid w:val="00030526"/>
    <w:rsid w:val="0003052B"/>
    <w:rsid w:val="00030542"/>
    <w:rsid w:val="0003055B"/>
    <w:rsid w:val="00030928"/>
    <w:rsid w:val="00030A14"/>
    <w:rsid w:val="00030BF4"/>
    <w:rsid w:val="00030C21"/>
    <w:rsid w:val="00030FCB"/>
    <w:rsid w:val="00031035"/>
    <w:rsid w:val="0003114C"/>
    <w:rsid w:val="000312D3"/>
    <w:rsid w:val="0003188D"/>
    <w:rsid w:val="0003194D"/>
    <w:rsid w:val="00031BEB"/>
    <w:rsid w:val="00031D62"/>
    <w:rsid w:val="00032069"/>
    <w:rsid w:val="00032175"/>
    <w:rsid w:val="0003217B"/>
    <w:rsid w:val="00032269"/>
    <w:rsid w:val="00032658"/>
    <w:rsid w:val="00032912"/>
    <w:rsid w:val="00032F09"/>
    <w:rsid w:val="00032F58"/>
    <w:rsid w:val="00032FEC"/>
    <w:rsid w:val="0003313F"/>
    <w:rsid w:val="00033272"/>
    <w:rsid w:val="000332FF"/>
    <w:rsid w:val="0003331F"/>
    <w:rsid w:val="00033490"/>
    <w:rsid w:val="0003368A"/>
    <w:rsid w:val="00033798"/>
    <w:rsid w:val="0003382D"/>
    <w:rsid w:val="000339DD"/>
    <w:rsid w:val="000339DE"/>
    <w:rsid w:val="00033A58"/>
    <w:rsid w:val="00033CE4"/>
    <w:rsid w:val="00033D7B"/>
    <w:rsid w:val="00033F4A"/>
    <w:rsid w:val="000341D5"/>
    <w:rsid w:val="00034407"/>
    <w:rsid w:val="00034597"/>
    <w:rsid w:val="000348BC"/>
    <w:rsid w:val="00034BA5"/>
    <w:rsid w:val="00034C1D"/>
    <w:rsid w:val="00035143"/>
    <w:rsid w:val="00035176"/>
    <w:rsid w:val="000353F9"/>
    <w:rsid w:val="000354FB"/>
    <w:rsid w:val="000355AD"/>
    <w:rsid w:val="00035999"/>
    <w:rsid w:val="00035ADC"/>
    <w:rsid w:val="00035D64"/>
    <w:rsid w:val="00035EA8"/>
    <w:rsid w:val="000360C4"/>
    <w:rsid w:val="00036152"/>
    <w:rsid w:val="0003616C"/>
    <w:rsid w:val="00036392"/>
    <w:rsid w:val="000364AB"/>
    <w:rsid w:val="00036730"/>
    <w:rsid w:val="00036967"/>
    <w:rsid w:val="00036BCB"/>
    <w:rsid w:val="00036EBA"/>
    <w:rsid w:val="00036FEE"/>
    <w:rsid w:val="0003709C"/>
    <w:rsid w:val="0003714E"/>
    <w:rsid w:val="0003740A"/>
    <w:rsid w:val="00037434"/>
    <w:rsid w:val="000376BE"/>
    <w:rsid w:val="00037D0D"/>
    <w:rsid w:val="00037E40"/>
    <w:rsid w:val="00040080"/>
    <w:rsid w:val="00040122"/>
    <w:rsid w:val="00040496"/>
    <w:rsid w:val="000404E1"/>
    <w:rsid w:val="00040598"/>
    <w:rsid w:val="00040673"/>
    <w:rsid w:val="000408EC"/>
    <w:rsid w:val="000409EE"/>
    <w:rsid w:val="00040A8F"/>
    <w:rsid w:val="00040AD0"/>
    <w:rsid w:val="00040BE0"/>
    <w:rsid w:val="00040C92"/>
    <w:rsid w:val="000412F4"/>
    <w:rsid w:val="0004132E"/>
    <w:rsid w:val="00041583"/>
    <w:rsid w:val="0004164C"/>
    <w:rsid w:val="00041731"/>
    <w:rsid w:val="000417A5"/>
    <w:rsid w:val="000419D9"/>
    <w:rsid w:val="00041A7B"/>
    <w:rsid w:val="00041B2C"/>
    <w:rsid w:val="00041DCA"/>
    <w:rsid w:val="00041E30"/>
    <w:rsid w:val="00041EAC"/>
    <w:rsid w:val="00041F15"/>
    <w:rsid w:val="000421AD"/>
    <w:rsid w:val="000423AD"/>
    <w:rsid w:val="00042438"/>
    <w:rsid w:val="000424A9"/>
    <w:rsid w:val="000424E3"/>
    <w:rsid w:val="00042504"/>
    <w:rsid w:val="0004256F"/>
    <w:rsid w:val="000425FC"/>
    <w:rsid w:val="00042752"/>
    <w:rsid w:val="000427B2"/>
    <w:rsid w:val="000427B4"/>
    <w:rsid w:val="00042DBC"/>
    <w:rsid w:val="00042DFE"/>
    <w:rsid w:val="00042EFC"/>
    <w:rsid w:val="000430E2"/>
    <w:rsid w:val="0004327D"/>
    <w:rsid w:val="00043332"/>
    <w:rsid w:val="00043492"/>
    <w:rsid w:val="000436E3"/>
    <w:rsid w:val="00043C73"/>
    <w:rsid w:val="00043D0B"/>
    <w:rsid w:val="00043E21"/>
    <w:rsid w:val="00043EE1"/>
    <w:rsid w:val="00044045"/>
    <w:rsid w:val="00044075"/>
    <w:rsid w:val="0004447D"/>
    <w:rsid w:val="00044566"/>
    <w:rsid w:val="00044571"/>
    <w:rsid w:val="0004469C"/>
    <w:rsid w:val="00044B30"/>
    <w:rsid w:val="00044DE5"/>
    <w:rsid w:val="00044E53"/>
    <w:rsid w:val="00044F18"/>
    <w:rsid w:val="00045443"/>
    <w:rsid w:val="0004552E"/>
    <w:rsid w:val="000455E7"/>
    <w:rsid w:val="000456C0"/>
    <w:rsid w:val="00045927"/>
    <w:rsid w:val="00045A2E"/>
    <w:rsid w:val="00045A81"/>
    <w:rsid w:val="00045F3A"/>
    <w:rsid w:val="00046066"/>
    <w:rsid w:val="000463BE"/>
    <w:rsid w:val="00046860"/>
    <w:rsid w:val="0004688A"/>
    <w:rsid w:val="00046BD7"/>
    <w:rsid w:val="00046C89"/>
    <w:rsid w:val="00046CE0"/>
    <w:rsid w:val="00046D66"/>
    <w:rsid w:val="00046EE3"/>
    <w:rsid w:val="000472D1"/>
    <w:rsid w:val="000472FC"/>
    <w:rsid w:val="000474FA"/>
    <w:rsid w:val="00047748"/>
    <w:rsid w:val="0004787C"/>
    <w:rsid w:val="00047A99"/>
    <w:rsid w:val="00047CBA"/>
    <w:rsid w:val="00047F13"/>
    <w:rsid w:val="00047F7F"/>
    <w:rsid w:val="00047FB6"/>
    <w:rsid w:val="0005001F"/>
    <w:rsid w:val="0005015A"/>
    <w:rsid w:val="000501B8"/>
    <w:rsid w:val="0005028D"/>
    <w:rsid w:val="000505BA"/>
    <w:rsid w:val="0005075A"/>
    <w:rsid w:val="0005097B"/>
    <w:rsid w:val="00050E2F"/>
    <w:rsid w:val="00050EC0"/>
    <w:rsid w:val="00051067"/>
    <w:rsid w:val="00051139"/>
    <w:rsid w:val="000514D0"/>
    <w:rsid w:val="0005166C"/>
    <w:rsid w:val="000516EE"/>
    <w:rsid w:val="000519EB"/>
    <w:rsid w:val="00051C3D"/>
    <w:rsid w:val="00051CC2"/>
    <w:rsid w:val="00051D4A"/>
    <w:rsid w:val="00051E8D"/>
    <w:rsid w:val="0005224B"/>
    <w:rsid w:val="000522F8"/>
    <w:rsid w:val="00052424"/>
    <w:rsid w:val="00052439"/>
    <w:rsid w:val="0005252B"/>
    <w:rsid w:val="000525BC"/>
    <w:rsid w:val="000526C3"/>
    <w:rsid w:val="00052736"/>
    <w:rsid w:val="00052B6F"/>
    <w:rsid w:val="00052B7A"/>
    <w:rsid w:val="00052C7D"/>
    <w:rsid w:val="00052D0E"/>
    <w:rsid w:val="00052E19"/>
    <w:rsid w:val="00052FA1"/>
    <w:rsid w:val="00052FBC"/>
    <w:rsid w:val="0005306D"/>
    <w:rsid w:val="00053112"/>
    <w:rsid w:val="000532F7"/>
    <w:rsid w:val="0005345F"/>
    <w:rsid w:val="0005363B"/>
    <w:rsid w:val="000536AB"/>
    <w:rsid w:val="0005381D"/>
    <w:rsid w:val="0005391E"/>
    <w:rsid w:val="000539E5"/>
    <w:rsid w:val="000539ED"/>
    <w:rsid w:val="00053A85"/>
    <w:rsid w:val="00053AEF"/>
    <w:rsid w:val="00053C44"/>
    <w:rsid w:val="00053C95"/>
    <w:rsid w:val="00053E94"/>
    <w:rsid w:val="00054031"/>
    <w:rsid w:val="000540AD"/>
    <w:rsid w:val="000543DF"/>
    <w:rsid w:val="000545DF"/>
    <w:rsid w:val="00054655"/>
    <w:rsid w:val="00054688"/>
    <w:rsid w:val="000548D0"/>
    <w:rsid w:val="00054936"/>
    <w:rsid w:val="00054C27"/>
    <w:rsid w:val="00054D55"/>
    <w:rsid w:val="00054F90"/>
    <w:rsid w:val="0005505A"/>
    <w:rsid w:val="00055101"/>
    <w:rsid w:val="000551EC"/>
    <w:rsid w:val="0005544B"/>
    <w:rsid w:val="0005563E"/>
    <w:rsid w:val="00055921"/>
    <w:rsid w:val="00055930"/>
    <w:rsid w:val="00055A7F"/>
    <w:rsid w:val="00055ACA"/>
    <w:rsid w:val="00055B93"/>
    <w:rsid w:val="00055CE3"/>
    <w:rsid w:val="00055D5E"/>
    <w:rsid w:val="00056B7A"/>
    <w:rsid w:val="00056BF8"/>
    <w:rsid w:val="00056DA7"/>
    <w:rsid w:val="00056F2F"/>
    <w:rsid w:val="00057137"/>
    <w:rsid w:val="000571A8"/>
    <w:rsid w:val="0005728F"/>
    <w:rsid w:val="0005739F"/>
    <w:rsid w:val="0005773D"/>
    <w:rsid w:val="000579CA"/>
    <w:rsid w:val="00057A3C"/>
    <w:rsid w:val="00057C71"/>
    <w:rsid w:val="00057F4A"/>
    <w:rsid w:val="00057FD9"/>
    <w:rsid w:val="00057FE3"/>
    <w:rsid w:val="0006009E"/>
    <w:rsid w:val="000600D2"/>
    <w:rsid w:val="00060223"/>
    <w:rsid w:val="000603E1"/>
    <w:rsid w:val="000604D2"/>
    <w:rsid w:val="000605A9"/>
    <w:rsid w:val="000606BB"/>
    <w:rsid w:val="000608F1"/>
    <w:rsid w:val="00060915"/>
    <w:rsid w:val="00060BB8"/>
    <w:rsid w:val="00060D7D"/>
    <w:rsid w:val="00060ED1"/>
    <w:rsid w:val="000611FC"/>
    <w:rsid w:val="00061433"/>
    <w:rsid w:val="000614B8"/>
    <w:rsid w:val="00061917"/>
    <w:rsid w:val="00061A94"/>
    <w:rsid w:val="00061D02"/>
    <w:rsid w:val="00061E4B"/>
    <w:rsid w:val="00062068"/>
    <w:rsid w:val="000621B5"/>
    <w:rsid w:val="000621D0"/>
    <w:rsid w:val="000622C1"/>
    <w:rsid w:val="0006254E"/>
    <w:rsid w:val="00062B3B"/>
    <w:rsid w:val="00062ED2"/>
    <w:rsid w:val="00063374"/>
    <w:rsid w:val="0006339D"/>
    <w:rsid w:val="000634E3"/>
    <w:rsid w:val="00063623"/>
    <w:rsid w:val="0006371C"/>
    <w:rsid w:val="00063B3C"/>
    <w:rsid w:val="00063B95"/>
    <w:rsid w:val="00063BA2"/>
    <w:rsid w:val="00063BFE"/>
    <w:rsid w:val="00063FBB"/>
    <w:rsid w:val="0006418D"/>
    <w:rsid w:val="00064199"/>
    <w:rsid w:val="000641CE"/>
    <w:rsid w:val="00064413"/>
    <w:rsid w:val="00064439"/>
    <w:rsid w:val="00064441"/>
    <w:rsid w:val="00064620"/>
    <w:rsid w:val="000646FA"/>
    <w:rsid w:val="00064C50"/>
    <w:rsid w:val="00064C89"/>
    <w:rsid w:val="0006527C"/>
    <w:rsid w:val="0006546C"/>
    <w:rsid w:val="0006560D"/>
    <w:rsid w:val="00065725"/>
    <w:rsid w:val="0006592F"/>
    <w:rsid w:val="00065CC3"/>
    <w:rsid w:val="00065F69"/>
    <w:rsid w:val="00066294"/>
    <w:rsid w:val="00066296"/>
    <w:rsid w:val="000662D4"/>
    <w:rsid w:val="00066394"/>
    <w:rsid w:val="00066490"/>
    <w:rsid w:val="00066AA2"/>
    <w:rsid w:val="00066BC2"/>
    <w:rsid w:val="00066C0A"/>
    <w:rsid w:val="00066C26"/>
    <w:rsid w:val="00066EA8"/>
    <w:rsid w:val="00066F09"/>
    <w:rsid w:val="00066FBE"/>
    <w:rsid w:val="00067080"/>
    <w:rsid w:val="000670F0"/>
    <w:rsid w:val="0006720F"/>
    <w:rsid w:val="0006741C"/>
    <w:rsid w:val="000676B5"/>
    <w:rsid w:val="00067993"/>
    <w:rsid w:val="000679ED"/>
    <w:rsid w:val="00067A52"/>
    <w:rsid w:val="00067D15"/>
    <w:rsid w:val="00067F8A"/>
    <w:rsid w:val="00067FC2"/>
    <w:rsid w:val="00067FD6"/>
    <w:rsid w:val="000700CA"/>
    <w:rsid w:val="000701B9"/>
    <w:rsid w:val="00070209"/>
    <w:rsid w:val="0007027B"/>
    <w:rsid w:val="000702E6"/>
    <w:rsid w:val="0007030C"/>
    <w:rsid w:val="00070B4E"/>
    <w:rsid w:val="00070E82"/>
    <w:rsid w:val="000712E0"/>
    <w:rsid w:val="00071407"/>
    <w:rsid w:val="0007155C"/>
    <w:rsid w:val="0007175F"/>
    <w:rsid w:val="000719B3"/>
    <w:rsid w:val="00071B3C"/>
    <w:rsid w:val="00071DF3"/>
    <w:rsid w:val="00072176"/>
    <w:rsid w:val="000722BF"/>
    <w:rsid w:val="00072564"/>
    <w:rsid w:val="00072660"/>
    <w:rsid w:val="00072720"/>
    <w:rsid w:val="00072743"/>
    <w:rsid w:val="00072BAB"/>
    <w:rsid w:val="00072BE3"/>
    <w:rsid w:val="00072EA0"/>
    <w:rsid w:val="00073039"/>
    <w:rsid w:val="00073223"/>
    <w:rsid w:val="00073281"/>
    <w:rsid w:val="0007331A"/>
    <w:rsid w:val="00073387"/>
    <w:rsid w:val="00073414"/>
    <w:rsid w:val="000734D7"/>
    <w:rsid w:val="000736AB"/>
    <w:rsid w:val="00073A08"/>
    <w:rsid w:val="00073E48"/>
    <w:rsid w:val="00073E67"/>
    <w:rsid w:val="00073FDD"/>
    <w:rsid w:val="00074291"/>
    <w:rsid w:val="000742B3"/>
    <w:rsid w:val="00074317"/>
    <w:rsid w:val="00074343"/>
    <w:rsid w:val="0007435A"/>
    <w:rsid w:val="000743EC"/>
    <w:rsid w:val="00074404"/>
    <w:rsid w:val="00074479"/>
    <w:rsid w:val="0007484E"/>
    <w:rsid w:val="00074A51"/>
    <w:rsid w:val="00074A98"/>
    <w:rsid w:val="00074DAF"/>
    <w:rsid w:val="000750B5"/>
    <w:rsid w:val="0007515A"/>
    <w:rsid w:val="00075339"/>
    <w:rsid w:val="000753F1"/>
    <w:rsid w:val="000755EB"/>
    <w:rsid w:val="0007570B"/>
    <w:rsid w:val="00075737"/>
    <w:rsid w:val="0007579D"/>
    <w:rsid w:val="00075853"/>
    <w:rsid w:val="00075A23"/>
    <w:rsid w:val="00075AFA"/>
    <w:rsid w:val="00075B86"/>
    <w:rsid w:val="00075E01"/>
    <w:rsid w:val="000761A9"/>
    <w:rsid w:val="00076230"/>
    <w:rsid w:val="00076368"/>
    <w:rsid w:val="000764FD"/>
    <w:rsid w:val="00076525"/>
    <w:rsid w:val="000765BF"/>
    <w:rsid w:val="00076AC4"/>
    <w:rsid w:val="00076C6A"/>
    <w:rsid w:val="00076C6E"/>
    <w:rsid w:val="0007725B"/>
    <w:rsid w:val="000772C2"/>
    <w:rsid w:val="000777C3"/>
    <w:rsid w:val="00077971"/>
    <w:rsid w:val="00077A32"/>
    <w:rsid w:val="00077CC6"/>
    <w:rsid w:val="00077F13"/>
    <w:rsid w:val="000800E5"/>
    <w:rsid w:val="000801BE"/>
    <w:rsid w:val="00080305"/>
    <w:rsid w:val="0008030E"/>
    <w:rsid w:val="000803A6"/>
    <w:rsid w:val="000804E9"/>
    <w:rsid w:val="00080519"/>
    <w:rsid w:val="00080708"/>
    <w:rsid w:val="00081037"/>
    <w:rsid w:val="00081097"/>
    <w:rsid w:val="00081191"/>
    <w:rsid w:val="000811D3"/>
    <w:rsid w:val="000811E7"/>
    <w:rsid w:val="000813FE"/>
    <w:rsid w:val="00081AF7"/>
    <w:rsid w:val="00081D7E"/>
    <w:rsid w:val="00081FF8"/>
    <w:rsid w:val="0008209A"/>
    <w:rsid w:val="000820B1"/>
    <w:rsid w:val="000820F5"/>
    <w:rsid w:val="00082492"/>
    <w:rsid w:val="00082659"/>
    <w:rsid w:val="0008268B"/>
    <w:rsid w:val="0008279F"/>
    <w:rsid w:val="000827A5"/>
    <w:rsid w:val="00082865"/>
    <w:rsid w:val="0008287A"/>
    <w:rsid w:val="00082A50"/>
    <w:rsid w:val="00082AC0"/>
    <w:rsid w:val="00082C20"/>
    <w:rsid w:val="000830C1"/>
    <w:rsid w:val="000830D1"/>
    <w:rsid w:val="00083174"/>
    <w:rsid w:val="0008327D"/>
    <w:rsid w:val="000834D3"/>
    <w:rsid w:val="0008351D"/>
    <w:rsid w:val="000836BE"/>
    <w:rsid w:val="00083800"/>
    <w:rsid w:val="00083ACC"/>
    <w:rsid w:val="00083DE3"/>
    <w:rsid w:val="00083ED5"/>
    <w:rsid w:val="00083EFD"/>
    <w:rsid w:val="0008400D"/>
    <w:rsid w:val="00084078"/>
    <w:rsid w:val="0008428E"/>
    <w:rsid w:val="0008436C"/>
    <w:rsid w:val="0008456E"/>
    <w:rsid w:val="00084570"/>
    <w:rsid w:val="00084685"/>
    <w:rsid w:val="000846C9"/>
    <w:rsid w:val="00084A50"/>
    <w:rsid w:val="00084B45"/>
    <w:rsid w:val="00084BC7"/>
    <w:rsid w:val="00084CC1"/>
    <w:rsid w:val="00084D1B"/>
    <w:rsid w:val="00084D73"/>
    <w:rsid w:val="00084DAE"/>
    <w:rsid w:val="00084EE2"/>
    <w:rsid w:val="00084F5C"/>
    <w:rsid w:val="00085335"/>
    <w:rsid w:val="000854B9"/>
    <w:rsid w:val="00085AB5"/>
    <w:rsid w:val="00085B6D"/>
    <w:rsid w:val="00085DFB"/>
    <w:rsid w:val="00085E21"/>
    <w:rsid w:val="00085EAA"/>
    <w:rsid w:val="000864DA"/>
    <w:rsid w:val="000865F3"/>
    <w:rsid w:val="00086601"/>
    <w:rsid w:val="00086BF5"/>
    <w:rsid w:val="00086C48"/>
    <w:rsid w:val="00086E21"/>
    <w:rsid w:val="00086F15"/>
    <w:rsid w:val="00086FB4"/>
    <w:rsid w:val="00086FED"/>
    <w:rsid w:val="000870FA"/>
    <w:rsid w:val="0008730F"/>
    <w:rsid w:val="00087387"/>
    <w:rsid w:val="00087513"/>
    <w:rsid w:val="00087661"/>
    <w:rsid w:val="000876D3"/>
    <w:rsid w:val="0008775F"/>
    <w:rsid w:val="00087800"/>
    <w:rsid w:val="00087987"/>
    <w:rsid w:val="00087A80"/>
    <w:rsid w:val="00087BE7"/>
    <w:rsid w:val="00087DB6"/>
    <w:rsid w:val="00090034"/>
    <w:rsid w:val="00090528"/>
    <w:rsid w:val="000906E9"/>
    <w:rsid w:val="00090715"/>
    <w:rsid w:val="00090885"/>
    <w:rsid w:val="00090A50"/>
    <w:rsid w:val="00090FA6"/>
    <w:rsid w:val="00091036"/>
    <w:rsid w:val="0009103E"/>
    <w:rsid w:val="00091264"/>
    <w:rsid w:val="00091338"/>
    <w:rsid w:val="0009148C"/>
    <w:rsid w:val="00091574"/>
    <w:rsid w:val="00091769"/>
    <w:rsid w:val="00091805"/>
    <w:rsid w:val="000919D5"/>
    <w:rsid w:val="00091A3F"/>
    <w:rsid w:val="00091BC9"/>
    <w:rsid w:val="00091C5F"/>
    <w:rsid w:val="00091D4E"/>
    <w:rsid w:val="00091EE2"/>
    <w:rsid w:val="00091F5C"/>
    <w:rsid w:val="00091F78"/>
    <w:rsid w:val="00092116"/>
    <w:rsid w:val="00092173"/>
    <w:rsid w:val="0009231E"/>
    <w:rsid w:val="00092331"/>
    <w:rsid w:val="00092506"/>
    <w:rsid w:val="000925D3"/>
    <w:rsid w:val="0009266F"/>
    <w:rsid w:val="000926C4"/>
    <w:rsid w:val="0009280D"/>
    <w:rsid w:val="000929D3"/>
    <w:rsid w:val="00092C19"/>
    <w:rsid w:val="00092DEB"/>
    <w:rsid w:val="00092E32"/>
    <w:rsid w:val="00092FDE"/>
    <w:rsid w:val="0009301A"/>
    <w:rsid w:val="0009310D"/>
    <w:rsid w:val="00093350"/>
    <w:rsid w:val="00093554"/>
    <w:rsid w:val="000938A1"/>
    <w:rsid w:val="00093A65"/>
    <w:rsid w:val="00093AF9"/>
    <w:rsid w:val="00093B4F"/>
    <w:rsid w:val="00093D3F"/>
    <w:rsid w:val="0009405B"/>
    <w:rsid w:val="0009425E"/>
    <w:rsid w:val="00094275"/>
    <w:rsid w:val="00094577"/>
    <w:rsid w:val="00094700"/>
    <w:rsid w:val="00094742"/>
    <w:rsid w:val="00094A0B"/>
    <w:rsid w:val="00094EC2"/>
    <w:rsid w:val="00094FFF"/>
    <w:rsid w:val="00095140"/>
    <w:rsid w:val="00095454"/>
    <w:rsid w:val="000957D0"/>
    <w:rsid w:val="00095966"/>
    <w:rsid w:val="000959FA"/>
    <w:rsid w:val="00095B76"/>
    <w:rsid w:val="00095F3F"/>
    <w:rsid w:val="0009641C"/>
    <w:rsid w:val="0009653A"/>
    <w:rsid w:val="00096761"/>
    <w:rsid w:val="000969D4"/>
    <w:rsid w:val="00096B57"/>
    <w:rsid w:val="00096F54"/>
    <w:rsid w:val="0009715D"/>
    <w:rsid w:val="00097178"/>
    <w:rsid w:val="00097201"/>
    <w:rsid w:val="00097230"/>
    <w:rsid w:val="0009727A"/>
    <w:rsid w:val="00097462"/>
    <w:rsid w:val="000974EF"/>
    <w:rsid w:val="000975C6"/>
    <w:rsid w:val="00097BEE"/>
    <w:rsid w:val="00097D6D"/>
    <w:rsid w:val="00097E7A"/>
    <w:rsid w:val="000A0008"/>
    <w:rsid w:val="000A00A8"/>
    <w:rsid w:val="000A0108"/>
    <w:rsid w:val="000A0329"/>
    <w:rsid w:val="000A032A"/>
    <w:rsid w:val="000A04FB"/>
    <w:rsid w:val="000A073A"/>
    <w:rsid w:val="000A0A65"/>
    <w:rsid w:val="000A0AEB"/>
    <w:rsid w:val="000A0C5B"/>
    <w:rsid w:val="000A0E3A"/>
    <w:rsid w:val="000A0E63"/>
    <w:rsid w:val="000A0ED2"/>
    <w:rsid w:val="000A105C"/>
    <w:rsid w:val="000A135C"/>
    <w:rsid w:val="000A17A2"/>
    <w:rsid w:val="000A1962"/>
    <w:rsid w:val="000A1DA5"/>
    <w:rsid w:val="000A1E29"/>
    <w:rsid w:val="000A1EB8"/>
    <w:rsid w:val="000A213E"/>
    <w:rsid w:val="000A2274"/>
    <w:rsid w:val="000A2525"/>
    <w:rsid w:val="000A29AF"/>
    <w:rsid w:val="000A2E98"/>
    <w:rsid w:val="000A2F29"/>
    <w:rsid w:val="000A2F36"/>
    <w:rsid w:val="000A3099"/>
    <w:rsid w:val="000A328F"/>
    <w:rsid w:val="000A3419"/>
    <w:rsid w:val="000A348F"/>
    <w:rsid w:val="000A3558"/>
    <w:rsid w:val="000A375F"/>
    <w:rsid w:val="000A37F3"/>
    <w:rsid w:val="000A388C"/>
    <w:rsid w:val="000A3D1C"/>
    <w:rsid w:val="000A3DB5"/>
    <w:rsid w:val="000A3EB4"/>
    <w:rsid w:val="000A434C"/>
    <w:rsid w:val="000A4577"/>
    <w:rsid w:val="000A45B5"/>
    <w:rsid w:val="000A4A91"/>
    <w:rsid w:val="000A4AD5"/>
    <w:rsid w:val="000A4AED"/>
    <w:rsid w:val="000A4E16"/>
    <w:rsid w:val="000A4EB3"/>
    <w:rsid w:val="000A4FC4"/>
    <w:rsid w:val="000A503C"/>
    <w:rsid w:val="000A5071"/>
    <w:rsid w:val="000A515A"/>
    <w:rsid w:val="000A53E9"/>
    <w:rsid w:val="000A56DC"/>
    <w:rsid w:val="000A574D"/>
    <w:rsid w:val="000A5B64"/>
    <w:rsid w:val="000A5D95"/>
    <w:rsid w:val="000A5EC0"/>
    <w:rsid w:val="000A5EDD"/>
    <w:rsid w:val="000A605F"/>
    <w:rsid w:val="000A6199"/>
    <w:rsid w:val="000A61D8"/>
    <w:rsid w:val="000A63FF"/>
    <w:rsid w:val="000A661D"/>
    <w:rsid w:val="000A6824"/>
    <w:rsid w:val="000A69BD"/>
    <w:rsid w:val="000A6B4A"/>
    <w:rsid w:val="000A6CE4"/>
    <w:rsid w:val="000A6FA3"/>
    <w:rsid w:val="000A701D"/>
    <w:rsid w:val="000A7512"/>
    <w:rsid w:val="000A778B"/>
    <w:rsid w:val="000A77A5"/>
    <w:rsid w:val="000A7932"/>
    <w:rsid w:val="000A7BC7"/>
    <w:rsid w:val="000A7DBF"/>
    <w:rsid w:val="000A7DFD"/>
    <w:rsid w:val="000B0001"/>
    <w:rsid w:val="000B01BA"/>
    <w:rsid w:val="000B025E"/>
    <w:rsid w:val="000B0557"/>
    <w:rsid w:val="000B0573"/>
    <w:rsid w:val="000B0613"/>
    <w:rsid w:val="000B07CB"/>
    <w:rsid w:val="000B0844"/>
    <w:rsid w:val="000B0DAC"/>
    <w:rsid w:val="000B0E92"/>
    <w:rsid w:val="000B0FCB"/>
    <w:rsid w:val="000B175A"/>
    <w:rsid w:val="000B1BB9"/>
    <w:rsid w:val="000B1D2B"/>
    <w:rsid w:val="000B203E"/>
    <w:rsid w:val="000B21BA"/>
    <w:rsid w:val="000B21F9"/>
    <w:rsid w:val="000B234C"/>
    <w:rsid w:val="000B274D"/>
    <w:rsid w:val="000B281B"/>
    <w:rsid w:val="000B28FD"/>
    <w:rsid w:val="000B2A72"/>
    <w:rsid w:val="000B2AEB"/>
    <w:rsid w:val="000B2C4A"/>
    <w:rsid w:val="000B30AB"/>
    <w:rsid w:val="000B30C2"/>
    <w:rsid w:val="000B316E"/>
    <w:rsid w:val="000B3504"/>
    <w:rsid w:val="000B390D"/>
    <w:rsid w:val="000B3A78"/>
    <w:rsid w:val="000B3DBF"/>
    <w:rsid w:val="000B3DE2"/>
    <w:rsid w:val="000B3E6A"/>
    <w:rsid w:val="000B3FE7"/>
    <w:rsid w:val="000B4075"/>
    <w:rsid w:val="000B4377"/>
    <w:rsid w:val="000B43EA"/>
    <w:rsid w:val="000B44A2"/>
    <w:rsid w:val="000B4680"/>
    <w:rsid w:val="000B4A05"/>
    <w:rsid w:val="000B4A47"/>
    <w:rsid w:val="000B4AAD"/>
    <w:rsid w:val="000B4E95"/>
    <w:rsid w:val="000B4ECB"/>
    <w:rsid w:val="000B507A"/>
    <w:rsid w:val="000B5268"/>
    <w:rsid w:val="000B52BA"/>
    <w:rsid w:val="000B539B"/>
    <w:rsid w:val="000B5458"/>
    <w:rsid w:val="000B58D1"/>
    <w:rsid w:val="000B5950"/>
    <w:rsid w:val="000B5A07"/>
    <w:rsid w:val="000B5F0C"/>
    <w:rsid w:val="000B5FFC"/>
    <w:rsid w:val="000B6203"/>
    <w:rsid w:val="000B63A4"/>
    <w:rsid w:val="000B63EE"/>
    <w:rsid w:val="000B654C"/>
    <w:rsid w:val="000B65C8"/>
    <w:rsid w:val="000B66A5"/>
    <w:rsid w:val="000B66EB"/>
    <w:rsid w:val="000B66FD"/>
    <w:rsid w:val="000B6763"/>
    <w:rsid w:val="000B67BB"/>
    <w:rsid w:val="000B6A2D"/>
    <w:rsid w:val="000B6B2E"/>
    <w:rsid w:val="000B6E20"/>
    <w:rsid w:val="000B6F55"/>
    <w:rsid w:val="000B73C4"/>
    <w:rsid w:val="000B75F5"/>
    <w:rsid w:val="000B7A0F"/>
    <w:rsid w:val="000B7B69"/>
    <w:rsid w:val="000B7C0E"/>
    <w:rsid w:val="000C0129"/>
    <w:rsid w:val="000C01EE"/>
    <w:rsid w:val="000C026D"/>
    <w:rsid w:val="000C03AF"/>
    <w:rsid w:val="000C06BF"/>
    <w:rsid w:val="000C08B7"/>
    <w:rsid w:val="000C09B7"/>
    <w:rsid w:val="000C0A74"/>
    <w:rsid w:val="000C0A86"/>
    <w:rsid w:val="000C0E3A"/>
    <w:rsid w:val="000C1081"/>
    <w:rsid w:val="000C145F"/>
    <w:rsid w:val="000C19B2"/>
    <w:rsid w:val="000C1ABE"/>
    <w:rsid w:val="000C1D0C"/>
    <w:rsid w:val="000C20D1"/>
    <w:rsid w:val="000C2379"/>
    <w:rsid w:val="000C2624"/>
    <w:rsid w:val="000C285C"/>
    <w:rsid w:val="000C2A86"/>
    <w:rsid w:val="000C2AED"/>
    <w:rsid w:val="000C2B59"/>
    <w:rsid w:val="000C2B9A"/>
    <w:rsid w:val="000C2C2E"/>
    <w:rsid w:val="000C2D0A"/>
    <w:rsid w:val="000C2FDE"/>
    <w:rsid w:val="000C31C9"/>
    <w:rsid w:val="000C32E9"/>
    <w:rsid w:val="000C3453"/>
    <w:rsid w:val="000C3572"/>
    <w:rsid w:val="000C361A"/>
    <w:rsid w:val="000C36C5"/>
    <w:rsid w:val="000C3C2A"/>
    <w:rsid w:val="000C3D53"/>
    <w:rsid w:val="000C3DCA"/>
    <w:rsid w:val="000C3E4E"/>
    <w:rsid w:val="000C4215"/>
    <w:rsid w:val="000C424E"/>
    <w:rsid w:val="000C43E7"/>
    <w:rsid w:val="000C4744"/>
    <w:rsid w:val="000C4908"/>
    <w:rsid w:val="000C4D28"/>
    <w:rsid w:val="000C4F1C"/>
    <w:rsid w:val="000C5361"/>
    <w:rsid w:val="000C53C7"/>
    <w:rsid w:val="000C5625"/>
    <w:rsid w:val="000C5743"/>
    <w:rsid w:val="000C5888"/>
    <w:rsid w:val="000C589E"/>
    <w:rsid w:val="000C5ABE"/>
    <w:rsid w:val="000C5D2D"/>
    <w:rsid w:val="000C5EBB"/>
    <w:rsid w:val="000C5F20"/>
    <w:rsid w:val="000C659B"/>
    <w:rsid w:val="000C6952"/>
    <w:rsid w:val="000C6B32"/>
    <w:rsid w:val="000C6BEF"/>
    <w:rsid w:val="000C6F02"/>
    <w:rsid w:val="000C6F05"/>
    <w:rsid w:val="000C7114"/>
    <w:rsid w:val="000C7217"/>
    <w:rsid w:val="000C742A"/>
    <w:rsid w:val="000C744B"/>
    <w:rsid w:val="000C747C"/>
    <w:rsid w:val="000C754A"/>
    <w:rsid w:val="000C7837"/>
    <w:rsid w:val="000C7856"/>
    <w:rsid w:val="000C791D"/>
    <w:rsid w:val="000C7AC5"/>
    <w:rsid w:val="000C7BA4"/>
    <w:rsid w:val="000C7C1E"/>
    <w:rsid w:val="000C7C4F"/>
    <w:rsid w:val="000C7E47"/>
    <w:rsid w:val="000C7F46"/>
    <w:rsid w:val="000D0193"/>
    <w:rsid w:val="000D01AF"/>
    <w:rsid w:val="000D04E0"/>
    <w:rsid w:val="000D0699"/>
    <w:rsid w:val="000D078C"/>
    <w:rsid w:val="000D0AD2"/>
    <w:rsid w:val="000D0C00"/>
    <w:rsid w:val="000D0D4E"/>
    <w:rsid w:val="000D11F4"/>
    <w:rsid w:val="000D122C"/>
    <w:rsid w:val="000D128C"/>
    <w:rsid w:val="000D160E"/>
    <w:rsid w:val="000D18F5"/>
    <w:rsid w:val="000D1A7E"/>
    <w:rsid w:val="000D1D9D"/>
    <w:rsid w:val="000D1E4C"/>
    <w:rsid w:val="000D1FEE"/>
    <w:rsid w:val="000D2064"/>
    <w:rsid w:val="000D21B3"/>
    <w:rsid w:val="000D2203"/>
    <w:rsid w:val="000D236B"/>
    <w:rsid w:val="000D241E"/>
    <w:rsid w:val="000D2542"/>
    <w:rsid w:val="000D254B"/>
    <w:rsid w:val="000D262A"/>
    <w:rsid w:val="000D273E"/>
    <w:rsid w:val="000D279A"/>
    <w:rsid w:val="000D2A7C"/>
    <w:rsid w:val="000D2AE7"/>
    <w:rsid w:val="000D2B59"/>
    <w:rsid w:val="000D2C70"/>
    <w:rsid w:val="000D2D61"/>
    <w:rsid w:val="000D2E9F"/>
    <w:rsid w:val="000D308F"/>
    <w:rsid w:val="000D319F"/>
    <w:rsid w:val="000D330D"/>
    <w:rsid w:val="000D337E"/>
    <w:rsid w:val="000D35F2"/>
    <w:rsid w:val="000D3612"/>
    <w:rsid w:val="000D368B"/>
    <w:rsid w:val="000D3729"/>
    <w:rsid w:val="000D3A3B"/>
    <w:rsid w:val="000D3B4C"/>
    <w:rsid w:val="000D3BB9"/>
    <w:rsid w:val="000D3F76"/>
    <w:rsid w:val="000D4194"/>
    <w:rsid w:val="000D4219"/>
    <w:rsid w:val="000D4263"/>
    <w:rsid w:val="000D4543"/>
    <w:rsid w:val="000D46BE"/>
    <w:rsid w:val="000D4722"/>
    <w:rsid w:val="000D4A11"/>
    <w:rsid w:val="000D4A96"/>
    <w:rsid w:val="000D4CA1"/>
    <w:rsid w:val="000D4D91"/>
    <w:rsid w:val="000D4ECA"/>
    <w:rsid w:val="000D5381"/>
    <w:rsid w:val="000D598F"/>
    <w:rsid w:val="000D5CCB"/>
    <w:rsid w:val="000D5D34"/>
    <w:rsid w:val="000D5F4C"/>
    <w:rsid w:val="000D5FD7"/>
    <w:rsid w:val="000D6086"/>
    <w:rsid w:val="000D64B1"/>
    <w:rsid w:val="000D64D5"/>
    <w:rsid w:val="000D6753"/>
    <w:rsid w:val="000D677F"/>
    <w:rsid w:val="000D67FB"/>
    <w:rsid w:val="000D68B3"/>
    <w:rsid w:val="000D6954"/>
    <w:rsid w:val="000D6AFA"/>
    <w:rsid w:val="000D6F72"/>
    <w:rsid w:val="000D711B"/>
    <w:rsid w:val="000D717F"/>
    <w:rsid w:val="000D7528"/>
    <w:rsid w:val="000D7870"/>
    <w:rsid w:val="000D78E7"/>
    <w:rsid w:val="000D7963"/>
    <w:rsid w:val="000D7AC6"/>
    <w:rsid w:val="000D7D01"/>
    <w:rsid w:val="000E0185"/>
    <w:rsid w:val="000E0190"/>
    <w:rsid w:val="000E040C"/>
    <w:rsid w:val="000E0422"/>
    <w:rsid w:val="000E097A"/>
    <w:rsid w:val="000E0CC6"/>
    <w:rsid w:val="000E0D58"/>
    <w:rsid w:val="000E0D6E"/>
    <w:rsid w:val="000E14D7"/>
    <w:rsid w:val="000E15B2"/>
    <w:rsid w:val="000E17AF"/>
    <w:rsid w:val="000E1829"/>
    <w:rsid w:val="000E18D9"/>
    <w:rsid w:val="000E18FC"/>
    <w:rsid w:val="000E1AA5"/>
    <w:rsid w:val="000E1D86"/>
    <w:rsid w:val="000E1F19"/>
    <w:rsid w:val="000E22D5"/>
    <w:rsid w:val="000E24D5"/>
    <w:rsid w:val="000E266E"/>
    <w:rsid w:val="000E2764"/>
    <w:rsid w:val="000E284C"/>
    <w:rsid w:val="000E2ADD"/>
    <w:rsid w:val="000E2BB6"/>
    <w:rsid w:val="000E2E7D"/>
    <w:rsid w:val="000E31BE"/>
    <w:rsid w:val="000E33D2"/>
    <w:rsid w:val="000E33FA"/>
    <w:rsid w:val="000E34AF"/>
    <w:rsid w:val="000E3746"/>
    <w:rsid w:val="000E3A2E"/>
    <w:rsid w:val="000E3A5A"/>
    <w:rsid w:val="000E3B13"/>
    <w:rsid w:val="000E3E32"/>
    <w:rsid w:val="000E4025"/>
    <w:rsid w:val="000E415C"/>
    <w:rsid w:val="000E451D"/>
    <w:rsid w:val="000E45C2"/>
    <w:rsid w:val="000E4610"/>
    <w:rsid w:val="000E471D"/>
    <w:rsid w:val="000E476B"/>
    <w:rsid w:val="000E4971"/>
    <w:rsid w:val="000E4BB7"/>
    <w:rsid w:val="000E4D5C"/>
    <w:rsid w:val="000E50B9"/>
    <w:rsid w:val="000E5244"/>
    <w:rsid w:val="000E5345"/>
    <w:rsid w:val="000E5377"/>
    <w:rsid w:val="000E54A2"/>
    <w:rsid w:val="000E5501"/>
    <w:rsid w:val="000E55FB"/>
    <w:rsid w:val="000E5619"/>
    <w:rsid w:val="000E56DD"/>
    <w:rsid w:val="000E58FC"/>
    <w:rsid w:val="000E59FA"/>
    <w:rsid w:val="000E5B2C"/>
    <w:rsid w:val="000E5B49"/>
    <w:rsid w:val="000E5B99"/>
    <w:rsid w:val="000E637C"/>
    <w:rsid w:val="000E63AE"/>
    <w:rsid w:val="000E680D"/>
    <w:rsid w:val="000E6816"/>
    <w:rsid w:val="000E69DC"/>
    <w:rsid w:val="000E6D9C"/>
    <w:rsid w:val="000E6E13"/>
    <w:rsid w:val="000E700F"/>
    <w:rsid w:val="000E7043"/>
    <w:rsid w:val="000E7151"/>
    <w:rsid w:val="000E71D9"/>
    <w:rsid w:val="000E72CB"/>
    <w:rsid w:val="000E72F5"/>
    <w:rsid w:val="000E7306"/>
    <w:rsid w:val="000E741C"/>
    <w:rsid w:val="000E744E"/>
    <w:rsid w:val="000E777F"/>
    <w:rsid w:val="000E784C"/>
    <w:rsid w:val="000E78B4"/>
    <w:rsid w:val="000E7B70"/>
    <w:rsid w:val="000E7C86"/>
    <w:rsid w:val="000E7C90"/>
    <w:rsid w:val="000E7CFB"/>
    <w:rsid w:val="000E7FA7"/>
    <w:rsid w:val="000F017B"/>
    <w:rsid w:val="000F0277"/>
    <w:rsid w:val="000F07BE"/>
    <w:rsid w:val="000F0990"/>
    <w:rsid w:val="000F0B79"/>
    <w:rsid w:val="000F0F54"/>
    <w:rsid w:val="000F0FC1"/>
    <w:rsid w:val="000F1172"/>
    <w:rsid w:val="000F11EB"/>
    <w:rsid w:val="000F1251"/>
    <w:rsid w:val="000F13B6"/>
    <w:rsid w:val="000F1523"/>
    <w:rsid w:val="000F1854"/>
    <w:rsid w:val="000F1BE4"/>
    <w:rsid w:val="000F1D97"/>
    <w:rsid w:val="000F1F7D"/>
    <w:rsid w:val="000F1FA7"/>
    <w:rsid w:val="000F1FF8"/>
    <w:rsid w:val="000F2661"/>
    <w:rsid w:val="000F2738"/>
    <w:rsid w:val="000F29ED"/>
    <w:rsid w:val="000F2A54"/>
    <w:rsid w:val="000F2D31"/>
    <w:rsid w:val="000F3051"/>
    <w:rsid w:val="000F306F"/>
    <w:rsid w:val="000F30C5"/>
    <w:rsid w:val="000F361D"/>
    <w:rsid w:val="000F3672"/>
    <w:rsid w:val="000F3894"/>
    <w:rsid w:val="000F3BBE"/>
    <w:rsid w:val="000F3E33"/>
    <w:rsid w:val="000F3ED7"/>
    <w:rsid w:val="000F3EFA"/>
    <w:rsid w:val="000F4081"/>
    <w:rsid w:val="000F4198"/>
    <w:rsid w:val="000F42A4"/>
    <w:rsid w:val="000F449D"/>
    <w:rsid w:val="000F483D"/>
    <w:rsid w:val="000F4C48"/>
    <w:rsid w:val="000F4CFB"/>
    <w:rsid w:val="000F5354"/>
    <w:rsid w:val="000F54CA"/>
    <w:rsid w:val="000F55A4"/>
    <w:rsid w:val="000F55D0"/>
    <w:rsid w:val="000F5787"/>
    <w:rsid w:val="000F5966"/>
    <w:rsid w:val="000F5BEB"/>
    <w:rsid w:val="000F5E5D"/>
    <w:rsid w:val="000F5FCA"/>
    <w:rsid w:val="000F602B"/>
    <w:rsid w:val="000F6058"/>
    <w:rsid w:val="000F62E6"/>
    <w:rsid w:val="000F665F"/>
    <w:rsid w:val="000F68A2"/>
    <w:rsid w:val="000F69F1"/>
    <w:rsid w:val="000F6B7A"/>
    <w:rsid w:val="000F6BB2"/>
    <w:rsid w:val="000F6E60"/>
    <w:rsid w:val="000F6EB1"/>
    <w:rsid w:val="000F705E"/>
    <w:rsid w:val="000F70BF"/>
    <w:rsid w:val="000F731F"/>
    <w:rsid w:val="000F760D"/>
    <w:rsid w:val="000F7742"/>
    <w:rsid w:val="000F791F"/>
    <w:rsid w:val="000F7A38"/>
    <w:rsid w:val="000F7A5C"/>
    <w:rsid w:val="000F7B8D"/>
    <w:rsid w:val="000F7CCB"/>
    <w:rsid w:val="000F7E08"/>
    <w:rsid w:val="000F7FFD"/>
    <w:rsid w:val="0010023D"/>
    <w:rsid w:val="001003C7"/>
    <w:rsid w:val="0010043A"/>
    <w:rsid w:val="001004D8"/>
    <w:rsid w:val="00100559"/>
    <w:rsid w:val="0010061F"/>
    <w:rsid w:val="00100648"/>
    <w:rsid w:val="0010064B"/>
    <w:rsid w:val="00100693"/>
    <w:rsid w:val="001006F4"/>
    <w:rsid w:val="00100A03"/>
    <w:rsid w:val="00100BF0"/>
    <w:rsid w:val="00101040"/>
    <w:rsid w:val="00101059"/>
    <w:rsid w:val="0010168F"/>
    <w:rsid w:val="00101768"/>
    <w:rsid w:val="00101A6F"/>
    <w:rsid w:val="00101CBC"/>
    <w:rsid w:val="00101CC2"/>
    <w:rsid w:val="00101CF6"/>
    <w:rsid w:val="00101F15"/>
    <w:rsid w:val="0010201F"/>
    <w:rsid w:val="0010205E"/>
    <w:rsid w:val="00102095"/>
    <w:rsid w:val="001022A9"/>
    <w:rsid w:val="00102310"/>
    <w:rsid w:val="001024DB"/>
    <w:rsid w:val="00102615"/>
    <w:rsid w:val="001026C2"/>
    <w:rsid w:val="00102860"/>
    <w:rsid w:val="001029DB"/>
    <w:rsid w:val="00102A4F"/>
    <w:rsid w:val="00102A63"/>
    <w:rsid w:val="00102ADE"/>
    <w:rsid w:val="00102C49"/>
    <w:rsid w:val="00102D24"/>
    <w:rsid w:val="00102EE6"/>
    <w:rsid w:val="0010305A"/>
    <w:rsid w:val="0010310A"/>
    <w:rsid w:val="00103164"/>
    <w:rsid w:val="001031B5"/>
    <w:rsid w:val="001033AE"/>
    <w:rsid w:val="00103A01"/>
    <w:rsid w:val="00103A96"/>
    <w:rsid w:val="00103AE7"/>
    <w:rsid w:val="00103BFA"/>
    <w:rsid w:val="00103D72"/>
    <w:rsid w:val="00104183"/>
    <w:rsid w:val="001041D8"/>
    <w:rsid w:val="00104211"/>
    <w:rsid w:val="00104333"/>
    <w:rsid w:val="00104347"/>
    <w:rsid w:val="001049A8"/>
    <w:rsid w:val="00104A0A"/>
    <w:rsid w:val="00104D9E"/>
    <w:rsid w:val="00104E29"/>
    <w:rsid w:val="00105007"/>
    <w:rsid w:val="001051B0"/>
    <w:rsid w:val="001053A7"/>
    <w:rsid w:val="0010545E"/>
    <w:rsid w:val="00105479"/>
    <w:rsid w:val="00105AD1"/>
    <w:rsid w:val="00105B51"/>
    <w:rsid w:val="00105BA4"/>
    <w:rsid w:val="00105BD5"/>
    <w:rsid w:val="00105DB2"/>
    <w:rsid w:val="00105F48"/>
    <w:rsid w:val="00105F75"/>
    <w:rsid w:val="001060DF"/>
    <w:rsid w:val="00106152"/>
    <w:rsid w:val="0010627E"/>
    <w:rsid w:val="00106439"/>
    <w:rsid w:val="001064D4"/>
    <w:rsid w:val="0010652B"/>
    <w:rsid w:val="001066DE"/>
    <w:rsid w:val="00106714"/>
    <w:rsid w:val="001067D8"/>
    <w:rsid w:val="001067E9"/>
    <w:rsid w:val="00106809"/>
    <w:rsid w:val="00106900"/>
    <w:rsid w:val="00106C2B"/>
    <w:rsid w:val="00106CDE"/>
    <w:rsid w:val="001071A0"/>
    <w:rsid w:val="00107275"/>
    <w:rsid w:val="00107448"/>
    <w:rsid w:val="00107529"/>
    <w:rsid w:val="001075FC"/>
    <w:rsid w:val="00107627"/>
    <w:rsid w:val="001077EE"/>
    <w:rsid w:val="00107B0E"/>
    <w:rsid w:val="00107BA9"/>
    <w:rsid w:val="00107C07"/>
    <w:rsid w:val="00107C12"/>
    <w:rsid w:val="00107CFF"/>
    <w:rsid w:val="00107D36"/>
    <w:rsid w:val="00107E3F"/>
    <w:rsid w:val="00110138"/>
    <w:rsid w:val="00110476"/>
    <w:rsid w:val="001104B3"/>
    <w:rsid w:val="00110514"/>
    <w:rsid w:val="0011088D"/>
    <w:rsid w:val="00110A15"/>
    <w:rsid w:val="00110A20"/>
    <w:rsid w:val="00110B55"/>
    <w:rsid w:val="00110D5E"/>
    <w:rsid w:val="00110DD6"/>
    <w:rsid w:val="0011118D"/>
    <w:rsid w:val="001111B3"/>
    <w:rsid w:val="0011125A"/>
    <w:rsid w:val="00111290"/>
    <w:rsid w:val="00111571"/>
    <w:rsid w:val="001117EC"/>
    <w:rsid w:val="00111A84"/>
    <w:rsid w:val="00111A87"/>
    <w:rsid w:val="00111CE1"/>
    <w:rsid w:val="00111E74"/>
    <w:rsid w:val="001124EE"/>
    <w:rsid w:val="00112813"/>
    <w:rsid w:val="00112B79"/>
    <w:rsid w:val="00112BD2"/>
    <w:rsid w:val="00112BED"/>
    <w:rsid w:val="00112C06"/>
    <w:rsid w:val="00112C7A"/>
    <w:rsid w:val="00112C92"/>
    <w:rsid w:val="00112DFE"/>
    <w:rsid w:val="00112E2F"/>
    <w:rsid w:val="00112E4C"/>
    <w:rsid w:val="00112F6F"/>
    <w:rsid w:val="001132E7"/>
    <w:rsid w:val="001132FF"/>
    <w:rsid w:val="001134AE"/>
    <w:rsid w:val="0011352B"/>
    <w:rsid w:val="001138B5"/>
    <w:rsid w:val="00113A14"/>
    <w:rsid w:val="00113CE7"/>
    <w:rsid w:val="00113E8A"/>
    <w:rsid w:val="001145E0"/>
    <w:rsid w:val="00114636"/>
    <w:rsid w:val="001146AA"/>
    <w:rsid w:val="0011495B"/>
    <w:rsid w:val="001149EE"/>
    <w:rsid w:val="00114A6A"/>
    <w:rsid w:val="00114A6F"/>
    <w:rsid w:val="00114C8D"/>
    <w:rsid w:val="00114CF5"/>
    <w:rsid w:val="00114D16"/>
    <w:rsid w:val="00114DF7"/>
    <w:rsid w:val="0011510E"/>
    <w:rsid w:val="0011511D"/>
    <w:rsid w:val="00115265"/>
    <w:rsid w:val="00115299"/>
    <w:rsid w:val="001152D1"/>
    <w:rsid w:val="00115525"/>
    <w:rsid w:val="0011580F"/>
    <w:rsid w:val="00115843"/>
    <w:rsid w:val="00115A31"/>
    <w:rsid w:val="00115B50"/>
    <w:rsid w:val="00115B89"/>
    <w:rsid w:val="00115CD2"/>
    <w:rsid w:val="00115CE9"/>
    <w:rsid w:val="00115D80"/>
    <w:rsid w:val="00116224"/>
    <w:rsid w:val="00116298"/>
    <w:rsid w:val="0011646E"/>
    <w:rsid w:val="0011648F"/>
    <w:rsid w:val="001164CB"/>
    <w:rsid w:val="0011690B"/>
    <w:rsid w:val="00116A73"/>
    <w:rsid w:val="00116E88"/>
    <w:rsid w:val="00116FB2"/>
    <w:rsid w:val="0011726F"/>
    <w:rsid w:val="001174CC"/>
    <w:rsid w:val="001176EE"/>
    <w:rsid w:val="0011776A"/>
    <w:rsid w:val="001177A7"/>
    <w:rsid w:val="001177C8"/>
    <w:rsid w:val="0011784F"/>
    <w:rsid w:val="00117A0F"/>
    <w:rsid w:val="00117A4E"/>
    <w:rsid w:val="00117BED"/>
    <w:rsid w:val="00117C03"/>
    <w:rsid w:val="00117C4C"/>
    <w:rsid w:val="00117D74"/>
    <w:rsid w:val="00117D7B"/>
    <w:rsid w:val="00117DB7"/>
    <w:rsid w:val="00120098"/>
    <w:rsid w:val="00120143"/>
    <w:rsid w:val="001203CF"/>
    <w:rsid w:val="0012043F"/>
    <w:rsid w:val="001205DD"/>
    <w:rsid w:val="001206CA"/>
    <w:rsid w:val="00120706"/>
    <w:rsid w:val="001207E9"/>
    <w:rsid w:val="00120BB8"/>
    <w:rsid w:val="00120D48"/>
    <w:rsid w:val="00120F39"/>
    <w:rsid w:val="00121307"/>
    <w:rsid w:val="00121489"/>
    <w:rsid w:val="001215BE"/>
    <w:rsid w:val="0012187C"/>
    <w:rsid w:val="00121B22"/>
    <w:rsid w:val="00121B7F"/>
    <w:rsid w:val="00121BE6"/>
    <w:rsid w:val="00121D0C"/>
    <w:rsid w:val="00121F8B"/>
    <w:rsid w:val="001221A5"/>
    <w:rsid w:val="001221DA"/>
    <w:rsid w:val="001222F8"/>
    <w:rsid w:val="00122517"/>
    <w:rsid w:val="0012270F"/>
    <w:rsid w:val="00122A0B"/>
    <w:rsid w:val="00122A4C"/>
    <w:rsid w:val="00122C19"/>
    <w:rsid w:val="00122CE1"/>
    <w:rsid w:val="00123171"/>
    <w:rsid w:val="0012320D"/>
    <w:rsid w:val="00123383"/>
    <w:rsid w:val="00123526"/>
    <w:rsid w:val="0012374E"/>
    <w:rsid w:val="00123874"/>
    <w:rsid w:val="0012397A"/>
    <w:rsid w:val="00123D3E"/>
    <w:rsid w:val="00123E10"/>
    <w:rsid w:val="00123E67"/>
    <w:rsid w:val="00123E73"/>
    <w:rsid w:val="001240B3"/>
    <w:rsid w:val="001240F2"/>
    <w:rsid w:val="0012413D"/>
    <w:rsid w:val="00124200"/>
    <w:rsid w:val="0012424E"/>
    <w:rsid w:val="0012434A"/>
    <w:rsid w:val="0012459E"/>
    <w:rsid w:val="00125018"/>
    <w:rsid w:val="0012514C"/>
    <w:rsid w:val="00125263"/>
    <w:rsid w:val="00125297"/>
    <w:rsid w:val="00125521"/>
    <w:rsid w:val="00125C57"/>
    <w:rsid w:val="00126301"/>
    <w:rsid w:val="00126321"/>
    <w:rsid w:val="0012651D"/>
    <w:rsid w:val="00126521"/>
    <w:rsid w:val="001267AA"/>
    <w:rsid w:val="001267D6"/>
    <w:rsid w:val="00126804"/>
    <w:rsid w:val="00126D0B"/>
    <w:rsid w:val="00126D4B"/>
    <w:rsid w:val="00126FF0"/>
    <w:rsid w:val="0012730D"/>
    <w:rsid w:val="00127370"/>
    <w:rsid w:val="00127642"/>
    <w:rsid w:val="001277B4"/>
    <w:rsid w:val="001277C7"/>
    <w:rsid w:val="001279E0"/>
    <w:rsid w:val="00127A10"/>
    <w:rsid w:val="00127A7C"/>
    <w:rsid w:val="00127B27"/>
    <w:rsid w:val="00127BEB"/>
    <w:rsid w:val="00127E09"/>
    <w:rsid w:val="00127F48"/>
    <w:rsid w:val="00130235"/>
    <w:rsid w:val="00130347"/>
    <w:rsid w:val="0013034B"/>
    <w:rsid w:val="0013057F"/>
    <w:rsid w:val="00130837"/>
    <w:rsid w:val="00130917"/>
    <w:rsid w:val="00130ACA"/>
    <w:rsid w:val="00130B07"/>
    <w:rsid w:val="00130C2F"/>
    <w:rsid w:val="00130D2D"/>
    <w:rsid w:val="00130DC2"/>
    <w:rsid w:val="0013106E"/>
    <w:rsid w:val="001310A3"/>
    <w:rsid w:val="00131178"/>
    <w:rsid w:val="001315F3"/>
    <w:rsid w:val="00131B21"/>
    <w:rsid w:val="00131D41"/>
    <w:rsid w:val="00131F10"/>
    <w:rsid w:val="00132324"/>
    <w:rsid w:val="001324D3"/>
    <w:rsid w:val="00132581"/>
    <w:rsid w:val="001326BE"/>
    <w:rsid w:val="0013277E"/>
    <w:rsid w:val="00132787"/>
    <w:rsid w:val="00132938"/>
    <w:rsid w:val="00132B4C"/>
    <w:rsid w:val="00132C8C"/>
    <w:rsid w:val="00132D01"/>
    <w:rsid w:val="00132D61"/>
    <w:rsid w:val="00133288"/>
    <w:rsid w:val="0013328D"/>
    <w:rsid w:val="001332DE"/>
    <w:rsid w:val="0013351B"/>
    <w:rsid w:val="0013355A"/>
    <w:rsid w:val="001336ED"/>
    <w:rsid w:val="0013386F"/>
    <w:rsid w:val="00133AC5"/>
    <w:rsid w:val="00133D04"/>
    <w:rsid w:val="00133E37"/>
    <w:rsid w:val="00133E76"/>
    <w:rsid w:val="00133EFD"/>
    <w:rsid w:val="00134118"/>
    <w:rsid w:val="0013426F"/>
    <w:rsid w:val="001343F6"/>
    <w:rsid w:val="001345F7"/>
    <w:rsid w:val="00134B0A"/>
    <w:rsid w:val="00134CD1"/>
    <w:rsid w:val="00135011"/>
    <w:rsid w:val="00135145"/>
    <w:rsid w:val="00135298"/>
    <w:rsid w:val="00135449"/>
    <w:rsid w:val="001354F3"/>
    <w:rsid w:val="001355C9"/>
    <w:rsid w:val="001355EC"/>
    <w:rsid w:val="00135871"/>
    <w:rsid w:val="001358A9"/>
    <w:rsid w:val="001358B5"/>
    <w:rsid w:val="00135A47"/>
    <w:rsid w:val="00135BB1"/>
    <w:rsid w:val="00135D47"/>
    <w:rsid w:val="0013646A"/>
    <w:rsid w:val="0013655A"/>
    <w:rsid w:val="00136569"/>
    <w:rsid w:val="001366D4"/>
    <w:rsid w:val="001369ED"/>
    <w:rsid w:val="00136C08"/>
    <w:rsid w:val="00136FC6"/>
    <w:rsid w:val="0013700E"/>
    <w:rsid w:val="001371A5"/>
    <w:rsid w:val="0013724E"/>
    <w:rsid w:val="0013736D"/>
    <w:rsid w:val="0013746F"/>
    <w:rsid w:val="001374D9"/>
    <w:rsid w:val="001374F9"/>
    <w:rsid w:val="00137A21"/>
    <w:rsid w:val="00137B98"/>
    <w:rsid w:val="00137DF2"/>
    <w:rsid w:val="00137F8A"/>
    <w:rsid w:val="00137FF7"/>
    <w:rsid w:val="0014014B"/>
    <w:rsid w:val="001403C1"/>
    <w:rsid w:val="001408C1"/>
    <w:rsid w:val="00140E52"/>
    <w:rsid w:val="00140EBA"/>
    <w:rsid w:val="00140ECB"/>
    <w:rsid w:val="00140F38"/>
    <w:rsid w:val="00141069"/>
    <w:rsid w:val="001413BD"/>
    <w:rsid w:val="00141541"/>
    <w:rsid w:val="001416EC"/>
    <w:rsid w:val="001417C8"/>
    <w:rsid w:val="00141939"/>
    <w:rsid w:val="00141A6D"/>
    <w:rsid w:val="00141F36"/>
    <w:rsid w:val="00142003"/>
    <w:rsid w:val="0014208F"/>
    <w:rsid w:val="00142160"/>
    <w:rsid w:val="0014220B"/>
    <w:rsid w:val="001422EC"/>
    <w:rsid w:val="0014231B"/>
    <w:rsid w:val="001423B9"/>
    <w:rsid w:val="001423EE"/>
    <w:rsid w:val="0014269B"/>
    <w:rsid w:val="00142886"/>
    <w:rsid w:val="00142903"/>
    <w:rsid w:val="00142F10"/>
    <w:rsid w:val="00142F78"/>
    <w:rsid w:val="00143063"/>
    <w:rsid w:val="0014308A"/>
    <w:rsid w:val="001431C3"/>
    <w:rsid w:val="001432E0"/>
    <w:rsid w:val="00143639"/>
    <w:rsid w:val="00143973"/>
    <w:rsid w:val="00143BFF"/>
    <w:rsid w:val="00143DD6"/>
    <w:rsid w:val="00143EA6"/>
    <w:rsid w:val="00143F63"/>
    <w:rsid w:val="001441D2"/>
    <w:rsid w:val="00144309"/>
    <w:rsid w:val="001444FB"/>
    <w:rsid w:val="001446E5"/>
    <w:rsid w:val="001448E9"/>
    <w:rsid w:val="00144FFE"/>
    <w:rsid w:val="00145015"/>
    <w:rsid w:val="0014526C"/>
    <w:rsid w:val="001452A9"/>
    <w:rsid w:val="001457D6"/>
    <w:rsid w:val="00145887"/>
    <w:rsid w:val="00145A53"/>
    <w:rsid w:val="00146263"/>
    <w:rsid w:val="001464B9"/>
    <w:rsid w:val="0014678A"/>
    <w:rsid w:val="0014698C"/>
    <w:rsid w:val="00146A68"/>
    <w:rsid w:val="00146AC5"/>
    <w:rsid w:val="00146C15"/>
    <w:rsid w:val="00146D24"/>
    <w:rsid w:val="00146F60"/>
    <w:rsid w:val="00147046"/>
    <w:rsid w:val="00147185"/>
    <w:rsid w:val="0014733A"/>
    <w:rsid w:val="0014779A"/>
    <w:rsid w:val="001478D2"/>
    <w:rsid w:val="001478ED"/>
    <w:rsid w:val="00147C22"/>
    <w:rsid w:val="00147DBD"/>
    <w:rsid w:val="00147F39"/>
    <w:rsid w:val="00147FA6"/>
    <w:rsid w:val="001504A2"/>
    <w:rsid w:val="00150572"/>
    <w:rsid w:val="0015063A"/>
    <w:rsid w:val="001508DB"/>
    <w:rsid w:val="00150909"/>
    <w:rsid w:val="00150A26"/>
    <w:rsid w:val="00150D44"/>
    <w:rsid w:val="00150E37"/>
    <w:rsid w:val="0015144F"/>
    <w:rsid w:val="00151589"/>
    <w:rsid w:val="001517ED"/>
    <w:rsid w:val="001519C9"/>
    <w:rsid w:val="001519D2"/>
    <w:rsid w:val="00151FD8"/>
    <w:rsid w:val="00152015"/>
    <w:rsid w:val="0015226D"/>
    <w:rsid w:val="00152283"/>
    <w:rsid w:val="00152322"/>
    <w:rsid w:val="0015238D"/>
    <w:rsid w:val="001523BE"/>
    <w:rsid w:val="00152409"/>
    <w:rsid w:val="001527F1"/>
    <w:rsid w:val="00152988"/>
    <w:rsid w:val="00152B4F"/>
    <w:rsid w:val="00152D07"/>
    <w:rsid w:val="00152F33"/>
    <w:rsid w:val="00153159"/>
    <w:rsid w:val="0015323B"/>
    <w:rsid w:val="00153253"/>
    <w:rsid w:val="001536A8"/>
    <w:rsid w:val="001539D4"/>
    <w:rsid w:val="001539F0"/>
    <w:rsid w:val="00153A70"/>
    <w:rsid w:val="00153B04"/>
    <w:rsid w:val="00153C90"/>
    <w:rsid w:val="00153D21"/>
    <w:rsid w:val="00153EF4"/>
    <w:rsid w:val="00154165"/>
    <w:rsid w:val="00154180"/>
    <w:rsid w:val="00154451"/>
    <w:rsid w:val="001545AC"/>
    <w:rsid w:val="001545D6"/>
    <w:rsid w:val="0015494C"/>
    <w:rsid w:val="001549EA"/>
    <w:rsid w:val="00154ABE"/>
    <w:rsid w:val="00154C6B"/>
    <w:rsid w:val="0015502A"/>
    <w:rsid w:val="0015510D"/>
    <w:rsid w:val="0015511A"/>
    <w:rsid w:val="0015541C"/>
    <w:rsid w:val="00155650"/>
    <w:rsid w:val="001556F6"/>
    <w:rsid w:val="00155963"/>
    <w:rsid w:val="001559A1"/>
    <w:rsid w:val="001559C2"/>
    <w:rsid w:val="00155B3C"/>
    <w:rsid w:val="00155EC0"/>
    <w:rsid w:val="00155EFE"/>
    <w:rsid w:val="00156273"/>
    <w:rsid w:val="001562DA"/>
    <w:rsid w:val="00156329"/>
    <w:rsid w:val="0015635E"/>
    <w:rsid w:val="001564D8"/>
    <w:rsid w:val="00156761"/>
    <w:rsid w:val="0015685B"/>
    <w:rsid w:val="00156A54"/>
    <w:rsid w:val="00156A7D"/>
    <w:rsid w:val="00156BC6"/>
    <w:rsid w:val="00156BDA"/>
    <w:rsid w:val="00156BF8"/>
    <w:rsid w:val="00156C1E"/>
    <w:rsid w:val="00156C70"/>
    <w:rsid w:val="00156D7A"/>
    <w:rsid w:val="001573F0"/>
    <w:rsid w:val="00157414"/>
    <w:rsid w:val="00157819"/>
    <w:rsid w:val="00157A61"/>
    <w:rsid w:val="00157B8D"/>
    <w:rsid w:val="00157BC0"/>
    <w:rsid w:val="00157C4F"/>
    <w:rsid w:val="00157DEA"/>
    <w:rsid w:val="00157EF4"/>
    <w:rsid w:val="00157F87"/>
    <w:rsid w:val="00160207"/>
    <w:rsid w:val="001602BC"/>
    <w:rsid w:val="00160509"/>
    <w:rsid w:val="00160518"/>
    <w:rsid w:val="00160529"/>
    <w:rsid w:val="0016052C"/>
    <w:rsid w:val="00160556"/>
    <w:rsid w:val="0016073E"/>
    <w:rsid w:val="00160B38"/>
    <w:rsid w:val="00160E01"/>
    <w:rsid w:val="00160E6E"/>
    <w:rsid w:val="00160F13"/>
    <w:rsid w:val="00161168"/>
    <w:rsid w:val="001611E7"/>
    <w:rsid w:val="00161367"/>
    <w:rsid w:val="0016165A"/>
    <w:rsid w:val="001616E7"/>
    <w:rsid w:val="00161A1A"/>
    <w:rsid w:val="00161C29"/>
    <w:rsid w:val="00161C46"/>
    <w:rsid w:val="00161EA8"/>
    <w:rsid w:val="0016265A"/>
    <w:rsid w:val="001626D1"/>
    <w:rsid w:val="00162853"/>
    <w:rsid w:val="001628BF"/>
    <w:rsid w:val="00162934"/>
    <w:rsid w:val="00162AE9"/>
    <w:rsid w:val="00162B17"/>
    <w:rsid w:val="00162CFF"/>
    <w:rsid w:val="00162FFF"/>
    <w:rsid w:val="00163000"/>
    <w:rsid w:val="00163361"/>
    <w:rsid w:val="00163476"/>
    <w:rsid w:val="001638F1"/>
    <w:rsid w:val="0016390B"/>
    <w:rsid w:val="00163B29"/>
    <w:rsid w:val="00163B82"/>
    <w:rsid w:val="00164052"/>
    <w:rsid w:val="0016425B"/>
    <w:rsid w:val="001644EF"/>
    <w:rsid w:val="0016453E"/>
    <w:rsid w:val="00164617"/>
    <w:rsid w:val="0016477A"/>
    <w:rsid w:val="00164ADA"/>
    <w:rsid w:val="00165114"/>
    <w:rsid w:val="001651EC"/>
    <w:rsid w:val="0016554B"/>
    <w:rsid w:val="001655D9"/>
    <w:rsid w:val="00165619"/>
    <w:rsid w:val="00165731"/>
    <w:rsid w:val="001659E3"/>
    <w:rsid w:val="001659EB"/>
    <w:rsid w:val="00165A91"/>
    <w:rsid w:val="00165B0E"/>
    <w:rsid w:val="00165C97"/>
    <w:rsid w:val="00165D1B"/>
    <w:rsid w:val="00165D6F"/>
    <w:rsid w:val="00165E37"/>
    <w:rsid w:val="00165E72"/>
    <w:rsid w:val="001660E4"/>
    <w:rsid w:val="00166163"/>
    <w:rsid w:val="001661DC"/>
    <w:rsid w:val="001668AD"/>
    <w:rsid w:val="001668DC"/>
    <w:rsid w:val="00166A1F"/>
    <w:rsid w:val="00166B77"/>
    <w:rsid w:val="00167160"/>
    <w:rsid w:val="0016720A"/>
    <w:rsid w:val="00167223"/>
    <w:rsid w:val="00167584"/>
    <w:rsid w:val="00167596"/>
    <w:rsid w:val="001675C4"/>
    <w:rsid w:val="001676E9"/>
    <w:rsid w:val="001677DE"/>
    <w:rsid w:val="00167811"/>
    <w:rsid w:val="0016788A"/>
    <w:rsid w:val="001678CA"/>
    <w:rsid w:val="001679B3"/>
    <w:rsid w:val="00167A4C"/>
    <w:rsid w:val="00167BDE"/>
    <w:rsid w:val="00167BED"/>
    <w:rsid w:val="00167C85"/>
    <w:rsid w:val="00167E25"/>
    <w:rsid w:val="00167EA6"/>
    <w:rsid w:val="00170097"/>
    <w:rsid w:val="0017026D"/>
    <w:rsid w:val="0017039E"/>
    <w:rsid w:val="001704DB"/>
    <w:rsid w:val="001709A5"/>
    <w:rsid w:val="00170DD6"/>
    <w:rsid w:val="00170DFE"/>
    <w:rsid w:val="00170F1F"/>
    <w:rsid w:val="00170FA1"/>
    <w:rsid w:val="001711FB"/>
    <w:rsid w:val="00171334"/>
    <w:rsid w:val="00171483"/>
    <w:rsid w:val="0017152F"/>
    <w:rsid w:val="00171A0B"/>
    <w:rsid w:val="00171C02"/>
    <w:rsid w:val="00171DF4"/>
    <w:rsid w:val="00171EC4"/>
    <w:rsid w:val="001721D1"/>
    <w:rsid w:val="0017235A"/>
    <w:rsid w:val="00172437"/>
    <w:rsid w:val="00172452"/>
    <w:rsid w:val="00172598"/>
    <w:rsid w:val="0017291B"/>
    <w:rsid w:val="00172B03"/>
    <w:rsid w:val="00172C70"/>
    <w:rsid w:val="00172DBC"/>
    <w:rsid w:val="00172E4F"/>
    <w:rsid w:val="00172F3D"/>
    <w:rsid w:val="001730B7"/>
    <w:rsid w:val="001731D2"/>
    <w:rsid w:val="001732C0"/>
    <w:rsid w:val="00173360"/>
    <w:rsid w:val="001735F9"/>
    <w:rsid w:val="001736A1"/>
    <w:rsid w:val="001736B4"/>
    <w:rsid w:val="00173A95"/>
    <w:rsid w:val="00173B42"/>
    <w:rsid w:val="00173DB3"/>
    <w:rsid w:val="0017413A"/>
    <w:rsid w:val="00174144"/>
    <w:rsid w:val="001743F2"/>
    <w:rsid w:val="001748DE"/>
    <w:rsid w:val="00174A03"/>
    <w:rsid w:val="00174B52"/>
    <w:rsid w:val="00174C0D"/>
    <w:rsid w:val="00174C87"/>
    <w:rsid w:val="00174DD7"/>
    <w:rsid w:val="00174EB9"/>
    <w:rsid w:val="00174F1F"/>
    <w:rsid w:val="001751D0"/>
    <w:rsid w:val="00175643"/>
    <w:rsid w:val="00175680"/>
    <w:rsid w:val="00175710"/>
    <w:rsid w:val="00175725"/>
    <w:rsid w:val="00175810"/>
    <w:rsid w:val="00175833"/>
    <w:rsid w:val="001759DB"/>
    <w:rsid w:val="00175AD5"/>
    <w:rsid w:val="00175CD0"/>
    <w:rsid w:val="00175D5E"/>
    <w:rsid w:val="00175DC1"/>
    <w:rsid w:val="00175E8D"/>
    <w:rsid w:val="0017606B"/>
    <w:rsid w:val="0017607D"/>
    <w:rsid w:val="0017646E"/>
    <w:rsid w:val="00176C8B"/>
    <w:rsid w:val="00176D14"/>
    <w:rsid w:val="00176DD9"/>
    <w:rsid w:val="00177052"/>
    <w:rsid w:val="001772FB"/>
    <w:rsid w:val="00177365"/>
    <w:rsid w:val="001774CB"/>
    <w:rsid w:val="001777AF"/>
    <w:rsid w:val="00177AAA"/>
    <w:rsid w:val="00177AD9"/>
    <w:rsid w:val="00177BCB"/>
    <w:rsid w:val="00177C07"/>
    <w:rsid w:val="00177DAF"/>
    <w:rsid w:val="00177DC2"/>
    <w:rsid w:val="00177E5D"/>
    <w:rsid w:val="0018006A"/>
    <w:rsid w:val="001802B7"/>
    <w:rsid w:val="001803FB"/>
    <w:rsid w:val="001807C0"/>
    <w:rsid w:val="001807EE"/>
    <w:rsid w:val="00180AE5"/>
    <w:rsid w:val="00180B2D"/>
    <w:rsid w:val="00180B8A"/>
    <w:rsid w:val="00180C61"/>
    <w:rsid w:val="00180D1D"/>
    <w:rsid w:val="00180D25"/>
    <w:rsid w:val="00180E81"/>
    <w:rsid w:val="001810EF"/>
    <w:rsid w:val="001812FE"/>
    <w:rsid w:val="00181403"/>
    <w:rsid w:val="00181467"/>
    <w:rsid w:val="0018164F"/>
    <w:rsid w:val="00181689"/>
    <w:rsid w:val="00181AE5"/>
    <w:rsid w:val="00181B08"/>
    <w:rsid w:val="00181B29"/>
    <w:rsid w:val="00181B4D"/>
    <w:rsid w:val="00181BAF"/>
    <w:rsid w:val="00181C39"/>
    <w:rsid w:val="00181CD0"/>
    <w:rsid w:val="00181CFD"/>
    <w:rsid w:val="00181DAE"/>
    <w:rsid w:val="00181E19"/>
    <w:rsid w:val="00181E7B"/>
    <w:rsid w:val="00181F7E"/>
    <w:rsid w:val="00181FB5"/>
    <w:rsid w:val="001822A3"/>
    <w:rsid w:val="00182543"/>
    <w:rsid w:val="00182994"/>
    <w:rsid w:val="00182CFD"/>
    <w:rsid w:val="00182D55"/>
    <w:rsid w:val="00182FEA"/>
    <w:rsid w:val="00183007"/>
    <w:rsid w:val="00183010"/>
    <w:rsid w:val="001832E7"/>
    <w:rsid w:val="001835C4"/>
    <w:rsid w:val="0018375F"/>
    <w:rsid w:val="00183775"/>
    <w:rsid w:val="00183BA0"/>
    <w:rsid w:val="00183CEF"/>
    <w:rsid w:val="00183EBB"/>
    <w:rsid w:val="00183FBE"/>
    <w:rsid w:val="00184128"/>
    <w:rsid w:val="001841BD"/>
    <w:rsid w:val="0018422F"/>
    <w:rsid w:val="00184333"/>
    <w:rsid w:val="001843D0"/>
    <w:rsid w:val="001844AE"/>
    <w:rsid w:val="001844F6"/>
    <w:rsid w:val="0018451F"/>
    <w:rsid w:val="001847C7"/>
    <w:rsid w:val="00184909"/>
    <w:rsid w:val="00184ABF"/>
    <w:rsid w:val="00184D36"/>
    <w:rsid w:val="00184DEA"/>
    <w:rsid w:val="00185141"/>
    <w:rsid w:val="001851BA"/>
    <w:rsid w:val="00185539"/>
    <w:rsid w:val="001857AC"/>
    <w:rsid w:val="0018581C"/>
    <w:rsid w:val="00185A65"/>
    <w:rsid w:val="00185A90"/>
    <w:rsid w:val="00185B83"/>
    <w:rsid w:val="00185D37"/>
    <w:rsid w:val="00185F6D"/>
    <w:rsid w:val="001861A1"/>
    <w:rsid w:val="001861AA"/>
    <w:rsid w:val="001864F7"/>
    <w:rsid w:val="001865CB"/>
    <w:rsid w:val="001869B6"/>
    <w:rsid w:val="00186B16"/>
    <w:rsid w:val="00186B5C"/>
    <w:rsid w:val="00186D6A"/>
    <w:rsid w:val="00186DF4"/>
    <w:rsid w:val="0018721E"/>
    <w:rsid w:val="00187337"/>
    <w:rsid w:val="00187366"/>
    <w:rsid w:val="0018754F"/>
    <w:rsid w:val="00187701"/>
    <w:rsid w:val="0018775D"/>
    <w:rsid w:val="001879E8"/>
    <w:rsid w:val="00187A0E"/>
    <w:rsid w:val="00187A2F"/>
    <w:rsid w:val="00187AA6"/>
    <w:rsid w:val="00187D56"/>
    <w:rsid w:val="00187E99"/>
    <w:rsid w:val="00187F1A"/>
    <w:rsid w:val="00187F69"/>
    <w:rsid w:val="00187FB5"/>
    <w:rsid w:val="0019037D"/>
    <w:rsid w:val="001905F9"/>
    <w:rsid w:val="0019099A"/>
    <w:rsid w:val="00190E12"/>
    <w:rsid w:val="00190EF1"/>
    <w:rsid w:val="0019105C"/>
    <w:rsid w:val="0019116E"/>
    <w:rsid w:val="00191227"/>
    <w:rsid w:val="0019171A"/>
    <w:rsid w:val="0019173B"/>
    <w:rsid w:val="00191A83"/>
    <w:rsid w:val="00191AF6"/>
    <w:rsid w:val="00191C44"/>
    <w:rsid w:val="00191D0B"/>
    <w:rsid w:val="00191D94"/>
    <w:rsid w:val="00191DB2"/>
    <w:rsid w:val="00191EED"/>
    <w:rsid w:val="00191EF3"/>
    <w:rsid w:val="001920F6"/>
    <w:rsid w:val="001922BB"/>
    <w:rsid w:val="0019236E"/>
    <w:rsid w:val="001923A4"/>
    <w:rsid w:val="0019262E"/>
    <w:rsid w:val="001927C3"/>
    <w:rsid w:val="00192844"/>
    <w:rsid w:val="00192C17"/>
    <w:rsid w:val="00192D04"/>
    <w:rsid w:val="00192DEE"/>
    <w:rsid w:val="00192E0B"/>
    <w:rsid w:val="00192FBB"/>
    <w:rsid w:val="00193049"/>
    <w:rsid w:val="00193173"/>
    <w:rsid w:val="00193560"/>
    <w:rsid w:val="001935C0"/>
    <w:rsid w:val="00193ACE"/>
    <w:rsid w:val="00193BFC"/>
    <w:rsid w:val="00193E7C"/>
    <w:rsid w:val="00193EFC"/>
    <w:rsid w:val="00193F7E"/>
    <w:rsid w:val="00194218"/>
    <w:rsid w:val="0019429B"/>
    <w:rsid w:val="001945C3"/>
    <w:rsid w:val="001945C9"/>
    <w:rsid w:val="001945D9"/>
    <w:rsid w:val="0019462A"/>
    <w:rsid w:val="00194831"/>
    <w:rsid w:val="001948E1"/>
    <w:rsid w:val="00194904"/>
    <w:rsid w:val="001949E7"/>
    <w:rsid w:val="00194A41"/>
    <w:rsid w:val="00194B94"/>
    <w:rsid w:val="00194C74"/>
    <w:rsid w:val="00194D6D"/>
    <w:rsid w:val="00194DFB"/>
    <w:rsid w:val="00194F3B"/>
    <w:rsid w:val="00194FDC"/>
    <w:rsid w:val="0019500F"/>
    <w:rsid w:val="0019510E"/>
    <w:rsid w:val="00195289"/>
    <w:rsid w:val="0019565B"/>
    <w:rsid w:val="001956B4"/>
    <w:rsid w:val="001956B9"/>
    <w:rsid w:val="001958B0"/>
    <w:rsid w:val="00195ADD"/>
    <w:rsid w:val="00195C78"/>
    <w:rsid w:val="00195D15"/>
    <w:rsid w:val="00195F43"/>
    <w:rsid w:val="00195FA4"/>
    <w:rsid w:val="00196060"/>
    <w:rsid w:val="00196102"/>
    <w:rsid w:val="001966A4"/>
    <w:rsid w:val="00196A54"/>
    <w:rsid w:val="00196DB2"/>
    <w:rsid w:val="00196F05"/>
    <w:rsid w:val="0019703A"/>
    <w:rsid w:val="001970AE"/>
    <w:rsid w:val="00197299"/>
    <w:rsid w:val="00197793"/>
    <w:rsid w:val="0019781E"/>
    <w:rsid w:val="00197B26"/>
    <w:rsid w:val="00197C2F"/>
    <w:rsid w:val="00197CE7"/>
    <w:rsid w:val="00197DDB"/>
    <w:rsid w:val="00197E6C"/>
    <w:rsid w:val="00197F2D"/>
    <w:rsid w:val="00197FAD"/>
    <w:rsid w:val="001A0237"/>
    <w:rsid w:val="001A0318"/>
    <w:rsid w:val="001A03FE"/>
    <w:rsid w:val="001A0402"/>
    <w:rsid w:val="001A040A"/>
    <w:rsid w:val="001A058D"/>
    <w:rsid w:val="001A07C5"/>
    <w:rsid w:val="001A0A3A"/>
    <w:rsid w:val="001A102C"/>
    <w:rsid w:val="001A113D"/>
    <w:rsid w:val="001A11B8"/>
    <w:rsid w:val="001A1207"/>
    <w:rsid w:val="001A1364"/>
    <w:rsid w:val="001A1696"/>
    <w:rsid w:val="001A18F1"/>
    <w:rsid w:val="001A1A46"/>
    <w:rsid w:val="001A1B2F"/>
    <w:rsid w:val="001A1BDF"/>
    <w:rsid w:val="001A1F0C"/>
    <w:rsid w:val="001A205D"/>
    <w:rsid w:val="001A231D"/>
    <w:rsid w:val="001A237D"/>
    <w:rsid w:val="001A24B8"/>
    <w:rsid w:val="001A28F1"/>
    <w:rsid w:val="001A28FC"/>
    <w:rsid w:val="001A2B20"/>
    <w:rsid w:val="001A2C55"/>
    <w:rsid w:val="001A2EF3"/>
    <w:rsid w:val="001A3092"/>
    <w:rsid w:val="001A32FE"/>
    <w:rsid w:val="001A33CE"/>
    <w:rsid w:val="001A3449"/>
    <w:rsid w:val="001A34AC"/>
    <w:rsid w:val="001A377E"/>
    <w:rsid w:val="001A3808"/>
    <w:rsid w:val="001A382E"/>
    <w:rsid w:val="001A39FB"/>
    <w:rsid w:val="001A3B59"/>
    <w:rsid w:val="001A3C4D"/>
    <w:rsid w:val="001A3E2D"/>
    <w:rsid w:val="001A431A"/>
    <w:rsid w:val="001A4335"/>
    <w:rsid w:val="001A437D"/>
    <w:rsid w:val="001A43AF"/>
    <w:rsid w:val="001A44A7"/>
    <w:rsid w:val="001A45AE"/>
    <w:rsid w:val="001A465A"/>
    <w:rsid w:val="001A48B1"/>
    <w:rsid w:val="001A4A1A"/>
    <w:rsid w:val="001A4D1E"/>
    <w:rsid w:val="001A4D70"/>
    <w:rsid w:val="001A4E2F"/>
    <w:rsid w:val="001A4E99"/>
    <w:rsid w:val="001A5076"/>
    <w:rsid w:val="001A522A"/>
    <w:rsid w:val="001A5474"/>
    <w:rsid w:val="001A56C6"/>
    <w:rsid w:val="001A599C"/>
    <w:rsid w:val="001A5BCB"/>
    <w:rsid w:val="001A5F9A"/>
    <w:rsid w:val="001A6021"/>
    <w:rsid w:val="001A603C"/>
    <w:rsid w:val="001A618D"/>
    <w:rsid w:val="001A622C"/>
    <w:rsid w:val="001A6373"/>
    <w:rsid w:val="001A65C8"/>
    <w:rsid w:val="001A65DE"/>
    <w:rsid w:val="001A666F"/>
    <w:rsid w:val="001A68A1"/>
    <w:rsid w:val="001A6AE6"/>
    <w:rsid w:val="001A6B49"/>
    <w:rsid w:val="001A70FC"/>
    <w:rsid w:val="001A73E7"/>
    <w:rsid w:val="001A73F7"/>
    <w:rsid w:val="001A753C"/>
    <w:rsid w:val="001A7844"/>
    <w:rsid w:val="001A78F6"/>
    <w:rsid w:val="001A7BED"/>
    <w:rsid w:val="001A7CA6"/>
    <w:rsid w:val="001A7D54"/>
    <w:rsid w:val="001A7DCC"/>
    <w:rsid w:val="001B00C6"/>
    <w:rsid w:val="001B017C"/>
    <w:rsid w:val="001B02E4"/>
    <w:rsid w:val="001B045E"/>
    <w:rsid w:val="001B05F9"/>
    <w:rsid w:val="001B073A"/>
    <w:rsid w:val="001B07E7"/>
    <w:rsid w:val="001B08BE"/>
    <w:rsid w:val="001B091F"/>
    <w:rsid w:val="001B09B7"/>
    <w:rsid w:val="001B0C54"/>
    <w:rsid w:val="001B0C6F"/>
    <w:rsid w:val="001B1048"/>
    <w:rsid w:val="001B10DE"/>
    <w:rsid w:val="001B1319"/>
    <w:rsid w:val="001B144E"/>
    <w:rsid w:val="001B14DE"/>
    <w:rsid w:val="001B158D"/>
    <w:rsid w:val="001B1869"/>
    <w:rsid w:val="001B1886"/>
    <w:rsid w:val="001B193F"/>
    <w:rsid w:val="001B19F8"/>
    <w:rsid w:val="001B1C28"/>
    <w:rsid w:val="001B1D1B"/>
    <w:rsid w:val="001B22D7"/>
    <w:rsid w:val="001B2396"/>
    <w:rsid w:val="001B2398"/>
    <w:rsid w:val="001B2467"/>
    <w:rsid w:val="001B246C"/>
    <w:rsid w:val="001B2534"/>
    <w:rsid w:val="001B2543"/>
    <w:rsid w:val="001B2646"/>
    <w:rsid w:val="001B26AD"/>
    <w:rsid w:val="001B2A93"/>
    <w:rsid w:val="001B2AA1"/>
    <w:rsid w:val="001B2EA9"/>
    <w:rsid w:val="001B2F75"/>
    <w:rsid w:val="001B300D"/>
    <w:rsid w:val="001B30FD"/>
    <w:rsid w:val="001B32BF"/>
    <w:rsid w:val="001B3334"/>
    <w:rsid w:val="001B339F"/>
    <w:rsid w:val="001B363D"/>
    <w:rsid w:val="001B3798"/>
    <w:rsid w:val="001B391D"/>
    <w:rsid w:val="001B3968"/>
    <w:rsid w:val="001B39A4"/>
    <w:rsid w:val="001B3B14"/>
    <w:rsid w:val="001B3D2C"/>
    <w:rsid w:val="001B3D51"/>
    <w:rsid w:val="001B3EBA"/>
    <w:rsid w:val="001B3EF7"/>
    <w:rsid w:val="001B40E9"/>
    <w:rsid w:val="001B43C5"/>
    <w:rsid w:val="001B4803"/>
    <w:rsid w:val="001B49D2"/>
    <w:rsid w:val="001B4CA4"/>
    <w:rsid w:val="001B4E50"/>
    <w:rsid w:val="001B5017"/>
    <w:rsid w:val="001B50E9"/>
    <w:rsid w:val="001B5243"/>
    <w:rsid w:val="001B5298"/>
    <w:rsid w:val="001B5366"/>
    <w:rsid w:val="001B5523"/>
    <w:rsid w:val="001B59F8"/>
    <w:rsid w:val="001B5D91"/>
    <w:rsid w:val="001B5DFC"/>
    <w:rsid w:val="001B5EB9"/>
    <w:rsid w:val="001B5F3D"/>
    <w:rsid w:val="001B601C"/>
    <w:rsid w:val="001B62A3"/>
    <w:rsid w:val="001B62B7"/>
    <w:rsid w:val="001B63E8"/>
    <w:rsid w:val="001B68C5"/>
    <w:rsid w:val="001B6A04"/>
    <w:rsid w:val="001B6A5E"/>
    <w:rsid w:val="001B6D6F"/>
    <w:rsid w:val="001B6E4B"/>
    <w:rsid w:val="001B714F"/>
    <w:rsid w:val="001B735A"/>
    <w:rsid w:val="001B7879"/>
    <w:rsid w:val="001B7A08"/>
    <w:rsid w:val="001B7B87"/>
    <w:rsid w:val="001B7CAE"/>
    <w:rsid w:val="001B7F54"/>
    <w:rsid w:val="001B7F8D"/>
    <w:rsid w:val="001B7FEA"/>
    <w:rsid w:val="001C0183"/>
    <w:rsid w:val="001C046C"/>
    <w:rsid w:val="001C08E9"/>
    <w:rsid w:val="001C09A9"/>
    <w:rsid w:val="001C0BC8"/>
    <w:rsid w:val="001C0D14"/>
    <w:rsid w:val="001C0D8F"/>
    <w:rsid w:val="001C150F"/>
    <w:rsid w:val="001C1658"/>
    <w:rsid w:val="001C19BB"/>
    <w:rsid w:val="001C1A58"/>
    <w:rsid w:val="001C1A8F"/>
    <w:rsid w:val="001C1AEC"/>
    <w:rsid w:val="001C1B5E"/>
    <w:rsid w:val="001C1B86"/>
    <w:rsid w:val="001C1DA7"/>
    <w:rsid w:val="001C20B9"/>
    <w:rsid w:val="001C20F2"/>
    <w:rsid w:val="001C21EF"/>
    <w:rsid w:val="001C27AE"/>
    <w:rsid w:val="001C2A74"/>
    <w:rsid w:val="001C2CFF"/>
    <w:rsid w:val="001C2D8E"/>
    <w:rsid w:val="001C2E51"/>
    <w:rsid w:val="001C326D"/>
    <w:rsid w:val="001C3274"/>
    <w:rsid w:val="001C3317"/>
    <w:rsid w:val="001C3595"/>
    <w:rsid w:val="001C3760"/>
    <w:rsid w:val="001C3873"/>
    <w:rsid w:val="001C3ABC"/>
    <w:rsid w:val="001C3DB5"/>
    <w:rsid w:val="001C4076"/>
    <w:rsid w:val="001C46DA"/>
    <w:rsid w:val="001C4949"/>
    <w:rsid w:val="001C4F24"/>
    <w:rsid w:val="001C5125"/>
    <w:rsid w:val="001C521B"/>
    <w:rsid w:val="001C568F"/>
    <w:rsid w:val="001C56CF"/>
    <w:rsid w:val="001C5BC2"/>
    <w:rsid w:val="001C5F47"/>
    <w:rsid w:val="001C609E"/>
    <w:rsid w:val="001C60CB"/>
    <w:rsid w:val="001C62E5"/>
    <w:rsid w:val="001C62F7"/>
    <w:rsid w:val="001C634C"/>
    <w:rsid w:val="001C65D7"/>
    <w:rsid w:val="001C6615"/>
    <w:rsid w:val="001C66FB"/>
    <w:rsid w:val="001C672C"/>
    <w:rsid w:val="001C67A9"/>
    <w:rsid w:val="001C6976"/>
    <w:rsid w:val="001C6A3F"/>
    <w:rsid w:val="001C6B27"/>
    <w:rsid w:val="001C6CE2"/>
    <w:rsid w:val="001C6F59"/>
    <w:rsid w:val="001C7248"/>
    <w:rsid w:val="001C72F8"/>
    <w:rsid w:val="001C7535"/>
    <w:rsid w:val="001C753E"/>
    <w:rsid w:val="001C796E"/>
    <w:rsid w:val="001C7D1D"/>
    <w:rsid w:val="001C7FF8"/>
    <w:rsid w:val="001D001C"/>
    <w:rsid w:val="001D008F"/>
    <w:rsid w:val="001D01C7"/>
    <w:rsid w:val="001D041C"/>
    <w:rsid w:val="001D0478"/>
    <w:rsid w:val="001D048E"/>
    <w:rsid w:val="001D04CC"/>
    <w:rsid w:val="001D0A06"/>
    <w:rsid w:val="001D0BDE"/>
    <w:rsid w:val="001D0CE0"/>
    <w:rsid w:val="001D0E79"/>
    <w:rsid w:val="001D0F7C"/>
    <w:rsid w:val="001D1016"/>
    <w:rsid w:val="001D102E"/>
    <w:rsid w:val="001D124D"/>
    <w:rsid w:val="001D12FF"/>
    <w:rsid w:val="001D1360"/>
    <w:rsid w:val="001D1B95"/>
    <w:rsid w:val="001D1DA5"/>
    <w:rsid w:val="001D1F48"/>
    <w:rsid w:val="001D21AB"/>
    <w:rsid w:val="001D2285"/>
    <w:rsid w:val="001D248D"/>
    <w:rsid w:val="001D2499"/>
    <w:rsid w:val="001D249D"/>
    <w:rsid w:val="001D271A"/>
    <w:rsid w:val="001D279C"/>
    <w:rsid w:val="001D2EE8"/>
    <w:rsid w:val="001D3080"/>
    <w:rsid w:val="001D3391"/>
    <w:rsid w:val="001D34EB"/>
    <w:rsid w:val="001D3645"/>
    <w:rsid w:val="001D3721"/>
    <w:rsid w:val="001D3992"/>
    <w:rsid w:val="001D3A50"/>
    <w:rsid w:val="001D3C1B"/>
    <w:rsid w:val="001D3F0B"/>
    <w:rsid w:val="001D3F47"/>
    <w:rsid w:val="001D3F99"/>
    <w:rsid w:val="001D3FEA"/>
    <w:rsid w:val="001D3FFE"/>
    <w:rsid w:val="001D4061"/>
    <w:rsid w:val="001D407A"/>
    <w:rsid w:val="001D430A"/>
    <w:rsid w:val="001D43EF"/>
    <w:rsid w:val="001D447C"/>
    <w:rsid w:val="001D4544"/>
    <w:rsid w:val="001D4693"/>
    <w:rsid w:val="001D46BE"/>
    <w:rsid w:val="001D47F0"/>
    <w:rsid w:val="001D48D9"/>
    <w:rsid w:val="001D496C"/>
    <w:rsid w:val="001D4C46"/>
    <w:rsid w:val="001D4D68"/>
    <w:rsid w:val="001D4E0C"/>
    <w:rsid w:val="001D4E75"/>
    <w:rsid w:val="001D512B"/>
    <w:rsid w:val="001D5848"/>
    <w:rsid w:val="001D5C67"/>
    <w:rsid w:val="001D5E41"/>
    <w:rsid w:val="001D5EAB"/>
    <w:rsid w:val="001D5F76"/>
    <w:rsid w:val="001D6059"/>
    <w:rsid w:val="001D64B9"/>
    <w:rsid w:val="001D6A72"/>
    <w:rsid w:val="001D6B1F"/>
    <w:rsid w:val="001D6C8A"/>
    <w:rsid w:val="001D6C9A"/>
    <w:rsid w:val="001D6CB1"/>
    <w:rsid w:val="001D6DF3"/>
    <w:rsid w:val="001D6E01"/>
    <w:rsid w:val="001D6EFB"/>
    <w:rsid w:val="001D7329"/>
    <w:rsid w:val="001D7501"/>
    <w:rsid w:val="001D7524"/>
    <w:rsid w:val="001D7529"/>
    <w:rsid w:val="001D77B8"/>
    <w:rsid w:val="001D77FF"/>
    <w:rsid w:val="001D7836"/>
    <w:rsid w:val="001D7848"/>
    <w:rsid w:val="001D78CC"/>
    <w:rsid w:val="001D78CF"/>
    <w:rsid w:val="001D78FA"/>
    <w:rsid w:val="001D7917"/>
    <w:rsid w:val="001D793D"/>
    <w:rsid w:val="001D7A04"/>
    <w:rsid w:val="001D7B43"/>
    <w:rsid w:val="001D7B50"/>
    <w:rsid w:val="001D7B7D"/>
    <w:rsid w:val="001D7B88"/>
    <w:rsid w:val="001D7CB1"/>
    <w:rsid w:val="001D7DC0"/>
    <w:rsid w:val="001E016C"/>
    <w:rsid w:val="001E01BE"/>
    <w:rsid w:val="001E028F"/>
    <w:rsid w:val="001E03BE"/>
    <w:rsid w:val="001E0450"/>
    <w:rsid w:val="001E0628"/>
    <w:rsid w:val="001E06F9"/>
    <w:rsid w:val="001E0803"/>
    <w:rsid w:val="001E0B00"/>
    <w:rsid w:val="001E0B54"/>
    <w:rsid w:val="001E0C76"/>
    <w:rsid w:val="001E0C89"/>
    <w:rsid w:val="001E0DB5"/>
    <w:rsid w:val="001E0EFA"/>
    <w:rsid w:val="001E0F4C"/>
    <w:rsid w:val="001E1D61"/>
    <w:rsid w:val="001E1DCC"/>
    <w:rsid w:val="001E1DE0"/>
    <w:rsid w:val="001E1EDE"/>
    <w:rsid w:val="001E1F36"/>
    <w:rsid w:val="001E20CC"/>
    <w:rsid w:val="001E20D1"/>
    <w:rsid w:val="001E2133"/>
    <w:rsid w:val="001E21D7"/>
    <w:rsid w:val="001E21D8"/>
    <w:rsid w:val="001E232D"/>
    <w:rsid w:val="001E26E9"/>
    <w:rsid w:val="001E2AF2"/>
    <w:rsid w:val="001E2D0C"/>
    <w:rsid w:val="001E2DA7"/>
    <w:rsid w:val="001E2DF3"/>
    <w:rsid w:val="001E3060"/>
    <w:rsid w:val="001E318E"/>
    <w:rsid w:val="001E35BC"/>
    <w:rsid w:val="001E37E9"/>
    <w:rsid w:val="001E3937"/>
    <w:rsid w:val="001E3AEE"/>
    <w:rsid w:val="001E3BA7"/>
    <w:rsid w:val="001E3D28"/>
    <w:rsid w:val="001E40D7"/>
    <w:rsid w:val="001E4123"/>
    <w:rsid w:val="001E4187"/>
    <w:rsid w:val="001E42F5"/>
    <w:rsid w:val="001E4358"/>
    <w:rsid w:val="001E43C7"/>
    <w:rsid w:val="001E4402"/>
    <w:rsid w:val="001E45FE"/>
    <w:rsid w:val="001E46E8"/>
    <w:rsid w:val="001E4731"/>
    <w:rsid w:val="001E47E7"/>
    <w:rsid w:val="001E48E5"/>
    <w:rsid w:val="001E4968"/>
    <w:rsid w:val="001E49A7"/>
    <w:rsid w:val="001E4B1D"/>
    <w:rsid w:val="001E4B7C"/>
    <w:rsid w:val="001E4D15"/>
    <w:rsid w:val="001E4D78"/>
    <w:rsid w:val="001E4D7A"/>
    <w:rsid w:val="001E4E2A"/>
    <w:rsid w:val="001E4E76"/>
    <w:rsid w:val="001E50DA"/>
    <w:rsid w:val="001E5306"/>
    <w:rsid w:val="001E553C"/>
    <w:rsid w:val="001E5752"/>
    <w:rsid w:val="001E587A"/>
    <w:rsid w:val="001E58E1"/>
    <w:rsid w:val="001E5A5E"/>
    <w:rsid w:val="001E5AB5"/>
    <w:rsid w:val="001E5B88"/>
    <w:rsid w:val="001E5D12"/>
    <w:rsid w:val="001E5ECD"/>
    <w:rsid w:val="001E643B"/>
    <w:rsid w:val="001E646E"/>
    <w:rsid w:val="001E660F"/>
    <w:rsid w:val="001E66F0"/>
    <w:rsid w:val="001E679A"/>
    <w:rsid w:val="001E685C"/>
    <w:rsid w:val="001E6A49"/>
    <w:rsid w:val="001E6D0A"/>
    <w:rsid w:val="001E7173"/>
    <w:rsid w:val="001E7230"/>
    <w:rsid w:val="001E72A7"/>
    <w:rsid w:val="001E7496"/>
    <w:rsid w:val="001E74C7"/>
    <w:rsid w:val="001E779A"/>
    <w:rsid w:val="001E7878"/>
    <w:rsid w:val="001E7924"/>
    <w:rsid w:val="001E793C"/>
    <w:rsid w:val="001E797A"/>
    <w:rsid w:val="001E7B69"/>
    <w:rsid w:val="001E7F74"/>
    <w:rsid w:val="001E7FB2"/>
    <w:rsid w:val="001F0242"/>
    <w:rsid w:val="001F02FC"/>
    <w:rsid w:val="001F051E"/>
    <w:rsid w:val="001F0976"/>
    <w:rsid w:val="001F0999"/>
    <w:rsid w:val="001F09B4"/>
    <w:rsid w:val="001F0A96"/>
    <w:rsid w:val="001F0AB1"/>
    <w:rsid w:val="001F0C1A"/>
    <w:rsid w:val="001F0EA8"/>
    <w:rsid w:val="001F1466"/>
    <w:rsid w:val="001F1524"/>
    <w:rsid w:val="001F17FC"/>
    <w:rsid w:val="001F1848"/>
    <w:rsid w:val="001F19E7"/>
    <w:rsid w:val="001F1CD2"/>
    <w:rsid w:val="001F22B4"/>
    <w:rsid w:val="001F22D6"/>
    <w:rsid w:val="001F23D5"/>
    <w:rsid w:val="001F2563"/>
    <w:rsid w:val="001F2603"/>
    <w:rsid w:val="001F2710"/>
    <w:rsid w:val="001F271B"/>
    <w:rsid w:val="001F2873"/>
    <w:rsid w:val="001F28F8"/>
    <w:rsid w:val="001F2907"/>
    <w:rsid w:val="001F298C"/>
    <w:rsid w:val="001F2A82"/>
    <w:rsid w:val="001F2B2D"/>
    <w:rsid w:val="001F2B76"/>
    <w:rsid w:val="001F2D0A"/>
    <w:rsid w:val="001F2D5E"/>
    <w:rsid w:val="001F2FDA"/>
    <w:rsid w:val="001F314A"/>
    <w:rsid w:val="001F3192"/>
    <w:rsid w:val="001F33A8"/>
    <w:rsid w:val="001F3562"/>
    <w:rsid w:val="001F3748"/>
    <w:rsid w:val="001F377E"/>
    <w:rsid w:val="001F37CA"/>
    <w:rsid w:val="001F3973"/>
    <w:rsid w:val="001F3A81"/>
    <w:rsid w:val="001F3CDF"/>
    <w:rsid w:val="001F3D34"/>
    <w:rsid w:val="001F3E5D"/>
    <w:rsid w:val="001F3FDD"/>
    <w:rsid w:val="001F4015"/>
    <w:rsid w:val="001F4076"/>
    <w:rsid w:val="001F40F5"/>
    <w:rsid w:val="001F4143"/>
    <w:rsid w:val="001F4374"/>
    <w:rsid w:val="001F442C"/>
    <w:rsid w:val="001F448D"/>
    <w:rsid w:val="001F45F2"/>
    <w:rsid w:val="001F466E"/>
    <w:rsid w:val="001F485C"/>
    <w:rsid w:val="001F4C6E"/>
    <w:rsid w:val="001F4D97"/>
    <w:rsid w:val="001F4DBB"/>
    <w:rsid w:val="001F4EEF"/>
    <w:rsid w:val="001F4EF2"/>
    <w:rsid w:val="001F4F92"/>
    <w:rsid w:val="001F50C8"/>
    <w:rsid w:val="001F5159"/>
    <w:rsid w:val="001F51AB"/>
    <w:rsid w:val="001F5262"/>
    <w:rsid w:val="001F53AD"/>
    <w:rsid w:val="001F5531"/>
    <w:rsid w:val="001F56D3"/>
    <w:rsid w:val="001F56DC"/>
    <w:rsid w:val="001F5712"/>
    <w:rsid w:val="001F5B12"/>
    <w:rsid w:val="001F5D75"/>
    <w:rsid w:val="001F5DEB"/>
    <w:rsid w:val="001F5E97"/>
    <w:rsid w:val="001F5EAB"/>
    <w:rsid w:val="001F5F50"/>
    <w:rsid w:val="001F600D"/>
    <w:rsid w:val="001F634B"/>
    <w:rsid w:val="001F6383"/>
    <w:rsid w:val="001F63E1"/>
    <w:rsid w:val="001F645E"/>
    <w:rsid w:val="001F6575"/>
    <w:rsid w:val="001F680D"/>
    <w:rsid w:val="001F69A7"/>
    <w:rsid w:val="001F6B8F"/>
    <w:rsid w:val="001F6DCB"/>
    <w:rsid w:val="001F6E22"/>
    <w:rsid w:val="001F6E99"/>
    <w:rsid w:val="001F6EED"/>
    <w:rsid w:val="001F6F56"/>
    <w:rsid w:val="001F72F7"/>
    <w:rsid w:val="001F7B30"/>
    <w:rsid w:val="001F7FA6"/>
    <w:rsid w:val="0020006F"/>
    <w:rsid w:val="0020018D"/>
    <w:rsid w:val="002001AB"/>
    <w:rsid w:val="002001DC"/>
    <w:rsid w:val="0020020D"/>
    <w:rsid w:val="002002D9"/>
    <w:rsid w:val="00200524"/>
    <w:rsid w:val="00200793"/>
    <w:rsid w:val="002007C7"/>
    <w:rsid w:val="0020089E"/>
    <w:rsid w:val="00200A69"/>
    <w:rsid w:val="00200BD5"/>
    <w:rsid w:val="00200D4E"/>
    <w:rsid w:val="00200DC4"/>
    <w:rsid w:val="00200FF5"/>
    <w:rsid w:val="002014DB"/>
    <w:rsid w:val="00201684"/>
    <w:rsid w:val="002016B1"/>
    <w:rsid w:val="002018A4"/>
    <w:rsid w:val="00201B5E"/>
    <w:rsid w:val="00201D36"/>
    <w:rsid w:val="00201D71"/>
    <w:rsid w:val="00201E8C"/>
    <w:rsid w:val="00202202"/>
    <w:rsid w:val="002022BC"/>
    <w:rsid w:val="00202703"/>
    <w:rsid w:val="00202A14"/>
    <w:rsid w:val="00202B11"/>
    <w:rsid w:val="00202C98"/>
    <w:rsid w:val="00203740"/>
    <w:rsid w:val="002037A0"/>
    <w:rsid w:val="00203847"/>
    <w:rsid w:val="00203AF1"/>
    <w:rsid w:val="00203B03"/>
    <w:rsid w:val="00203BE7"/>
    <w:rsid w:val="00204193"/>
    <w:rsid w:val="00204209"/>
    <w:rsid w:val="00204413"/>
    <w:rsid w:val="00204676"/>
    <w:rsid w:val="002046E5"/>
    <w:rsid w:val="00204A89"/>
    <w:rsid w:val="00204CC2"/>
    <w:rsid w:val="00204D38"/>
    <w:rsid w:val="00204E05"/>
    <w:rsid w:val="00204F4E"/>
    <w:rsid w:val="002052B3"/>
    <w:rsid w:val="00205371"/>
    <w:rsid w:val="0020538D"/>
    <w:rsid w:val="00205582"/>
    <w:rsid w:val="0020565F"/>
    <w:rsid w:val="00205D96"/>
    <w:rsid w:val="00205F00"/>
    <w:rsid w:val="00205F72"/>
    <w:rsid w:val="00205F7D"/>
    <w:rsid w:val="00205FB8"/>
    <w:rsid w:val="002060C0"/>
    <w:rsid w:val="0020624C"/>
    <w:rsid w:val="00206342"/>
    <w:rsid w:val="002063C0"/>
    <w:rsid w:val="002063F4"/>
    <w:rsid w:val="00206416"/>
    <w:rsid w:val="00206604"/>
    <w:rsid w:val="0020663E"/>
    <w:rsid w:val="0020679B"/>
    <w:rsid w:val="00206BB2"/>
    <w:rsid w:val="00206D2C"/>
    <w:rsid w:val="00206D42"/>
    <w:rsid w:val="00206D6A"/>
    <w:rsid w:val="00206E9B"/>
    <w:rsid w:val="00206EAA"/>
    <w:rsid w:val="00207155"/>
    <w:rsid w:val="00207234"/>
    <w:rsid w:val="00207277"/>
    <w:rsid w:val="002073EA"/>
    <w:rsid w:val="002074AE"/>
    <w:rsid w:val="00207599"/>
    <w:rsid w:val="0020759B"/>
    <w:rsid w:val="002076F8"/>
    <w:rsid w:val="0020789F"/>
    <w:rsid w:val="0020799D"/>
    <w:rsid w:val="00207BC8"/>
    <w:rsid w:val="00207D55"/>
    <w:rsid w:val="00207E79"/>
    <w:rsid w:val="00207FB7"/>
    <w:rsid w:val="00210145"/>
    <w:rsid w:val="002101DA"/>
    <w:rsid w:val="0021035E"/>
    <w:rsid w:val="00210841"/>
    <w:rsid w:val="00210963"/>
    <w:rsid w:val="00210B53"/>
    <w:rsid w:val="00210E6F"/>
    <w:rsid w:val="00210F32"/>
    <w:rsid w:val="00210FE9"/>
    <w:rsid w:val="00211046"/>
    <w:rsid w:val="00211201"/>
    <w:rsid w:val="00211339"/>
    <w:rsid w:val="00211354"/>
    <w:rsid w:val="0021164A"/>
    <w:rsid w:val="002117A7"/>
    <w:rsid w:val="00211814"/>
    <w:rsid w:val="002119DD"/>
    <w:rsid w:val="00211B06"/>
    <w:rsid w:val="00211B1F"/>
    <w:rsid w:val="00211B25"/>
    <w:rsid w:val="00211D00"/>
    <w:rsid w:val="00211DF4"/>
    <w:rsid w:val="0021206E"/>
    <w:rsid w:val="002120C6"/>
    <w:rsid w:val="0021210D"/>
    <w:rsid w:val="00212464"/>
    <w:rsid w:val="0021276B"/>
    <w:rsid w:val="00212D17"/>
    <w:rsid w:val="00212DD4"/>
    <w:rsid w:val="002130E3"/>
    <w:rsid w:val="0021319C"/>
    <w:rsid w:val="00213347"/>
    <w:rsid w:val="002135C5"/>
    <w:rsid w:val="00213BB6"/>
    <w:rsid w:val="00213DAE"/>
    <w:rsid w:val="00213EED"/>
    <w:rsid w:val="00213F05"/>
    <w:rsid w:val="002141CC"/>
    <w:rsid w:val="0021429A"/>
    <w:rsid w:val="002142E4"/>
    <w:rsid w:val="002143F9"/>
    <w:rsid w:val="00214B82"/>
    <w:rsid w:val="00214F91"/>
    <w:rsid w:val="002151F4"/>
    <w:rsid w:val="00215308"/>
    <w:rsid w:val="002153DD"/>
    <w:rsid w:val="002154AF"/>
    <w:rsid w:val="002155A9"/>
    <w:rsid w:val="002157B0"/>
    <w:rsid w:val="002159ED"/>
    <w:rsid w:val="00215D62"/>
    <w:rsid w:val="00215DF9"/>
    <w:rsid w:val="0021622B"/>
    <w:rsid w:val="002163EF"/>
    <w:rsid w:val="00216492"/>
    <w:rsid w:val="002165AB"/>
    <w:rsid w:val="0021683D"/>
    <w:rsid w:val="002169EA"/>
    <w:rsid w:val="00216AA0"/>
    <w:rsid w:val="00216BC0"/>
    <w:rsid w:val="00216C10"/>
    <w:rsid w:val="00216C1D"/>
    <w:rsid w:val="00216C84"/>
    <w:rsid w:val="00216CD7"/>
    <w:rsid w:val="00216D6B"/>
    <w:rsid w:val="00216DC6"/>
    <w:rsid w:val="00216DCE"/>
    <w:rsid w:val="00216E12"/>
    <w:rsid w:val="00217166"/>
    <w:rsid w:val="0021717F"/>
    <w:rsid w:val="002172F4"/>
    <w:rsid w:val="0021732A"/>
    <w:rsid w:val="00217345"/>
    <w:rsid w:val="00217524"/>
    <w:rsid w:val="002177DF"/>
    <w:rsid w:val="00217BF9"/>
    <w:rsid w:val="00217CEB"/>
    <w:rsid w:val="00217D92"/>
    <w:rsid w:val="00217E29"/>
    <w:rsid w:val="00217F04"/>
    <w:rsid w:val="00220001"/>
    <w:rsid w:val="0022012F"/>
    <w:rsid w:val="002202BF"/>
    <w:rsid w:val="00220378"/>
    <w:rsid w:val="00220540"/>
    <w:rsid w:val="002205DE"/>
    <w:rsid w:val="002205DF"/>
    <w:rsid w:val="00220A1A"/>
    <w:rsid w:val="00220C21"/>
    <w:rsid w:val="00220D24"/>
    <w:rsid w:val="00220DF6"/>
    <w:rsid w:val="00221088"/>
    <w:rsid w:val="002210F3"/>
    <w:rsid w:val="00221159"/>
    <w:rsid w:val="002212D7"/>
    <w:rsid w:val="002214BF"/>
    <w:rsid w:val="00221836"/>
    <w:rsid w:val="002218E1"/>
    <w:rsid w:val="00221DA7"/>
    <w:rsid w:val="00221F10"/>
    <w:rsid w:val="00221F66"/>
    <w:rsid w:val="00221FDB"/>
    <w:rsid w:val="0022202A"/>
    <w:rsid w:val="002220DB"/>
    <w:rsid w:val="0022224E"/>
    <w:rsid w:val="0022226D"/>
    <w:rsid w:val="002222F3"/>
    <w:rsid w:val="00222535"/>
    <w:rsid w:val="00222580"/>
    <w:rsid w:val="0022259A"/>
    <w:rsid w:val="002225A3"/>
    <w:rsid w:val="00222697"/>
    <w:rsid w:val="0022282D"/>
    <w:rsid w:val="002228C2"/>
    <w:rsid w:val="00222C0E"/>
    <w:rsid w:val="00222CA5"/>
    <w:rsid w:val="00222CBD"/>
    <w:rsid w:val="00222D81"/>
    <w:rsid w:val="00222D8F"/>
    <w:rsid w:val="00222E16"/>
    <w:rsid w:val="00222E36"/>
    <w:rsid w:val="00222FC3"/>
    <w:rsid w:val="00222FDE"/>
    <w:rsid w:val="002230C6"/>
    <w:rsid w:val="0022325E"/>
    <w:rsid w:val="002236F9"/>
    <w:rsid w:val="0022375B"/>
    <w:rsid w:val="00223858"/>
    <w:rsid w:val="0022394B"/>
    <w:rsid w:val="0022395A"/>
    <w:rsid w:val="00223BEB"/>
    <w:rsid w:val="0022425E"/>
    <w:rsid w:val="00224296"/>
    <w:rsid w:val="002243D3"/>
    <w:rsid w:val="00224708"/>
    <w:rsid w:val="00224881"/>
    <w:rsid w:val="00224899"/>
    <w:rsid w:val="002248CC"/>
    <w:rsid w:val="00224A5A"/>
    <w:rsid w:val="00224DEF"/>
    <w:rsid w:val="00224F44"/>
    <w:rsid w:val="002250A4"/>
    <w:rsid w:val="0022511B"/>
    <w:rsid w:val="002254C7"/>
    <w:rsid w:val="002257AA"/>
    <w:rsid w:val="00225B2B"/>
    <w:rsid w:val="00225D83"/>
    <w:rsid w:val="0022608E"/>
    <w:rsid w:val="002260AA"/>
    <w:rsid w:val="002261F5"/>
    <w:rsid w:val="0022623B"/>
    <w:rsid w:val="002262D3"/>
    <w:rsid w:val="002268C8"/>
    <w:rsid w:val="00226918"/>
    <w:rsid w:val="00226C1A"/>
    <w:rsid w:val="00226E91"/>
    <w:rsid w:val="0022724B"/>
    <w:rsid w:val="002272F1"/>
    <w:rsid w:val="002273C5"/>
    <w:rsid w:val="00227433"/>
    <w:rsid w:val="00227605"/>
    <w:rsid w:val="0022778F"/>
    <w:rsid w:val="002277A3"/>
    <w:rsid w:val="002277CE"/>
    <w:rsid w:val="0022785E"/>
    <w:rsid w:val="00227C9F"/>
    <w:rsid w:val="00227FA6"/>
    <w:rsid w:val="00230361"/>
    <w:rsid w:val="0023055F"/>
    <w:rsid w:val="00230A85"/>
    <w:rsid w:val="00230B5D"/>
    <w:rsid w:val="00230F08"/>
    <w:rsid w:val="002310E4"/>
    <w:rsid w:val="002312ED"/>
    <w:rsid w:val="0023138E"/>
    <w:rsid w:val="00231401"/>
    <w:rsid w:val="00231632"/>
    <w:rsid w:val="00231813"/>
    <w:rsid w:val="00231A79"/>
    <w:rsid w:val="00231C83"/>
    <w:rsid w:val="00231D2C"/>
    <w:rsid w:val="00231E9D"/>
    <w:rsid w:val="002320B3"/>
    <w:rsid w:val="00232246"/>
    <w:rsid w:val="0023235C"/>
    <w:rsid w:val="00232718"/>
    <w:rsid w:val="002329F7"/>
    <w:rsid w:val="00232B1E"/>
    <w:rsid w:val="00232B6B"/>
    <w:rsid w:val="00232C21"/>
    <w:rsid w:val="00232FAC"/>
    <w:rsid w:val="0023328D"/>
    <w:rsid w:val="0023329F"/>
    <w:rsid w:val="0023346D"/>
    <w:rsid w:val="00233B36"/>
    <w:rsid w:val="00233CC2"/>
    <w:rsid w:val="00233D18"/>
    <w:rsid w:val="00233DCD"/>
    <w:rsid w:val="00233DF8"/>
    <w:rsid w:val="0023409E"/>
    <w:rsid w:val="002340B9"/>
    <w:rsid w:val="00234C04"/>
    <w:rsid w:val="00234D0F"/>
    <w:rsid w:val="00234DD4"/>
    <w:rsid w:val="002350D2"/>
    <w:rsid w:val="00235123"/>
    <w:rsid w:val="002351D4"/>
    <w:rsid w:val="0023537F"/>
    <w:rsid w:val="00235411"/>
    <w:rsid w:val="002354FF"/>
    <w:rsid w:val="00235642"/>
    <w:rsid w:val="002356CB"/>
    <w:rsid w:val="002359DA"/>
    <w:rsid w:val="00235EA6"/>
    <w:rsid w:val="00235F49"/>
    <w:rsid w:val="00236161"/>
    <w:rsid w:val="00236389"/>
    <w:rsid w:val="0023649C"/>
    <w:rsid w:val="002365C7"/>
    <w:rsid w:val="00236FEC"/>
    <w:rsid w:val="0023725F"/>
    <w:rsid w:val="00237285"/>
    <w:rsid w:val="002372A4"/>
    <w:rsid w:val="002373A5"/>
    <w:rsid w:val="002373F7"/>
    <w:rsid w:val="00237535"/>
    <w:rsid w:val="0023753C"/>
    <w:rsid w:val="0023763D"/>
    <w:rsid w:val="002377ED"/>
    <w:rsid w:val="00237A13"/>
    <w:rsid w:val="00237B05"/>
    <w:rsid w:val="00237B25"/>
    <w:rsid w:val="002401E2"/>
    <w:rsid w:val="00240466"/>
    <w:rsid w:val="002404C8"/>
    <w:rsid w:val="00240631"/>
    <w:rsid w:val="0024077A"/>
    <w:rsid w:val="002407FB"/>
    <w:rsid w:val="00240838"/>
    <w:rsid w:val="00240B53"/>
    <w:rsid w:val="00240C86"/>
    <w:rsid w:val="00240E8A"/>
    <w:rsid w:val="00240FE7"/>
    <w:rsid w:val="00241240"/>
    <w:rsid w:val="0024133E"/>
    <w:rsid w:val="002413C0"/>
    <w:rsid w:val="00241587"/>
    <w:rsid w:val="002415D6"/>
    <w:rsid w:val="00241647"/>
    <w:rsid w:val="00241837"/>
    <w:rsid w:val="00241853"/>
    <w:rsid w:val="00241A6A"/>
    <w:rsid w:val="00241A84"/>
    <w:rsid w:val="00241AC0"/>
    <w:rsid w:val="00241D69"/>
    <w:rsid w:val="00241F55"/>
    <w:rsid w:val="0024227B"/>
    <w:rsid w:val="002424A6"/>
    <w:rsid w:val="002427A2"/>
    <w:rsid w:val="00242A78"/>
    <w:rsid w:val="00242B96"/>
    <w:rsid w:val="00242F2B"/>
    <w:rsid w:val="00243027"/>
    <w:rsid w:val="0024310E"/>
    <w:rsid w:val="00243187"/>
    <w:rsid w:val="002434BB"/>
    <w:rsid w:val="002435C4"/>
    <w:rsid w:val="00243882"/>
    <w:rsid w:val="00243896"/>
    <w:rsid w:val="00243BCE"/>
    <w:rsid w:val="00243C89"/>
    <w:rsid w:val="00243D7B"/>
    <w:rsid w:val="00244122"/>
    <w:rsid w:val="0024413E"/>
    <w:rsid w:val="00244261"/>
    <w:rsid w:val="002443E4"/>
    <w:rsid w:val="002446AF"/>
    <w:rsid w:val="002447D2"/>
    <w:rsid w:val="00244965"/>
    <w:rsid w:val="00244BE6"/>
    <w:rsid w:val="00244C85"/>
    <w:rsid w:val="00244C96"/>
    <w:rsid w:val="00244D69"/>
    <w:rsid w:val="00244D84"/>
    <w:rsid w:val="00245081"/>
    <w:rsid w:val="0024527A"/>
    <w:rsid w:val="002452B7"/>
    <w:rsid w:val="00245379"/>
    <w:rsid w:val="00245399"/>
    <w:rsid w:val="00245517"/>
    <w:rsid w:val="002455BA"/>
    <w:rsid w:val="00245618"/>
    <w:rsid w:val="00245868"/>
    <w:rsid w:val="00245A50"/>
    <w:rsid w:val="00245C0F"/>
    <w:rsid w:val="00245D44"/>
    <w:rsid w:val="00245E5E"/>
    <w:rsid w:val="00245F8A"/>
    <w:rsid w:val="00245FCE"/>
    <w:rsid w:val="00246064"/>
    <w:rsid w:val="00246073"/>
    <w:rsid w:val="00246098"/>
    <w:rsid w:val="00246164"/>
    <w:rsid w:val="00246240"/>
    <w:rsid w:val="0024644E"/>
    <w:rsid w:val="002464CD"/>
    <w:rsid w:val="002464F7"/>
    <w:rsid w:val="002465C2"/>
    <w:rsid w:val="00246683"/>
    <w:rsid w:val="0024671E"/>
    <w:rsid w:val="00246806"/>
    <w:rsid w:val="002468A8"/>
    <w:rsid w:val="00246B2A"/>
    <w:rsid w:val="00246D7F"/>
    <w:rsid w:val="00246E29"/>
    <w:rsid w:val="0024712B"/>
    <w:rsid w:val="00247260"/>
    <w:rsid w:val="002472F9"/>
    <w:rsid w:val="00247370"/>
    <w:rsid w:val="0024748B"/>
    <w:rsid w:val="002474EC"/>
    <w:rsid w:val="00247683"/>
    <w:rsid w:val="00250075"/>
    <w:rsid w:val="0025041D"/>
    <w:rsid w:val="0025049E"/>
    <w:rsid w:val="002504D6"/>
    <w:rsid w:val="00250635"/>
    <w:rsid w:val="002506D6"/>
    <w:rsid w:val="002506ED"/>
    <w:rsid w:val="00250827"/>
    <w:rsid w:val="0025085B"/>
    <w:rsid w:val="0025093C"/>
    <w:rsid w:val="002509C5"/>
    <w:rsid w:val="002509F2"/>
    <w:rsid w:val="00250B6F"/>
    <w:rsid w:val="00250BF7"/>
    <w:rsid w:val="00251081"/>
    <w:rsid w:val="002510B0"/>
    <w:rsid w:val="002516C8"/>
    <w:rsid w:val="00251779"/>
    <w:rsid w:val="00251AF0"/>
    <w:rsid w:val="00251CC3"/>
    <w:rsid w:val="00251CE4"/>
    <w:rsid w:val="00251D41"/>
    <w:rsid w:val="00251E94"/>
    <w:rsid w:val="002520D7"/>
    <w:rsid w:val="00252101"/>
    <w:rsid w:val="0025219F"/>
    <w:rsid w:val="002522FF"/>
    <w:rsid w:val="00252678"/>
    <w:rsid w:val="00252B25"/>
    <w:rsid w:val="00252C2F"/>
    <w:rsid w:val="00252EDF"/>
    <w:rsid w:val="00252F84"/>
    <w:rsid w:val="002531EC"/>
    <w:rsid w:val="00253377"/>
    <w:rsid w:val="002533C1"/>
    <w:rsid w:val="002534DE"/>
    <w:rsid w:val="00253519"/>
    <w:rsid w:val="0025364A"/>
    <w:rsid w:val="002536EB"/>
    <w:rsid w:val="0025381A"/>
    <w:rsid w:val="0025385E"/>
    <w:rsid w:val="002539A1"/>
    <w:rsid w:val="00253DB2"/>
    <w:rsid w:val="00253EBB"/>
    <w:rsid w:val="00253F21"/>
    <w:rsid w:val="00253FB1"/>
    <w:rsid w:val="002543F1"/>
    <w:rsid w:val="00254471"/>
    <w:rsid w:val="002546BB"/>
    <w:rsid w:val="00254B27"/>
    <w:rsid w:val="00254E34"/>
    <w:rsid w:val="00254EE9"/>
    <w:rsid w:val="00254F56"/>
    <w:rsid w:val="0025518C"/>
    <w:rsid w:val="00255465"/>
    <w:rsid w:val="002554A0"/>
    <w:rsid w:val="0025567F"/>
    <w:rsid w:val="002556B7"/>
    <w:rsid w:val="00255855"/>
    <w:rsid w:val="00255ABB"/>
    <w:rsid w:val="00255EDD"/>
    <w:rsid w:val="002560DE"/>
    <w:rsid w:val="00256379"/>
    <w:rsid w:val="002563C6"/>
    <w:rsid w:val="00256455"/>
    <w:rsid w:val="0025645F"/>
    <w:rsid w:val="002564C5"/>
    <w:rsid w:val="002565D9"/>
    <w:rsid w:val="0025664F"/>
    <w:rsid w:val="00256651"/>
    <w:rsid w:val="0025672D"/>
    <w:rsid w:val="00256760"/>
    <w:rsid w:val="00256837"/>
    <w:rsid w:val="002569A6"/>
    <w:rsid w:val="00256DF8"/>
    <w:rsid w:val="00256EC2"/>
    <w:rsid w:val="00256FA3"/>
    <w:rsid w:val="00257030"/>
    <w:rsid w:val="0025717B"/>
    <w:rsid w:val="00257197"/>
    <w:rsid w:val="00257221"/>
    <w:rsid w:val="0025753C"/>
    <w:rsid w:val="00257887"/>
    <w:rsid w:val="00257A83"/>
    <w:rsid w:val="00257D07"/>
    <w:rsid w:val="00257DA8"/>
    <w:rsid w:val="00257F59"/>
    <w:rsid w:val="00260A41"/>
    <w:rsid w:val="00260BC6"/>
    <w:rsid w:val="00260BCE"/>
    <w:rsid w:val="00260C24"/>
    <w:rsid w:val="00260CCF"/>
    <w:rsid w:val="00260DE5"/>
    <w:rsid w:val="00261006"/>
    <w:rsid w:val="002610F4"/>
    <w:rsid w:val="0026120A"/>
    <w:rsid w:val="00261297"/>
    <w:rsid w:val="002613AD"/>
    <w:rsid w:val="002613D4"/>
    <w:rsid w:val="002613E9"/>
    <w:rsid w:val="002617D1"/>
    <w:rsid w:val="00261A78"/>
    <w:rsid w:val="00261AD0"/>
    <w:rsid w:val="00261D0B"/>
    <w:rsid w:val="00262059"/>
    <w:rsid w:val="002621A6"/>
    <w:rsid w:val="00262316"/>
    <w:rsid w:val="00262379"/>
    <w:rsid w:val="002629EF"/>
    <w:rsid w:val="002629F1"/>
    <w:rsid w:val="00262ADF"/>
    <w:rsid w:val="00262B6D"/>
    <w:rsid w:val="00262B81"/>
    <w:rsid w:val="00262BC1"/>
    <w:rsid w:val="00262BF8"/>
    <w:rsid w:val="00262CE5"/>
    <w:rsid w:val="00263065"/>
    <w:rsid w:val="0026311D"/>
    <w:rsid w:val="0026313E"/>
    <w:rsid w:val="002631AD"/>
    <w:rsid w:val="00263207"/>
    <w:rsid w:val="0026332A"/>
    <w:rsid w:val="002633B1"/>
    <w:rsid w:val="00263408"/>
    <w:rsid w:val="0026357A"/>
    <w:rsid w:val="00263682"/>
    <w:rsid w:val="00263A8F"/>
    <w:rsid w:val="00263FE7"/>
    <w:rsid w:val="00264006"/>
    <w:rsid w:val="002643A5"/>
    <w:rsid w:val="00264477"/>
    <w:rsid w:val="002644AA"/>
    <w:rsid w:val="0026459C"/>
    <w:rsid w:val="002648F1"/>
    <w:rsid w:val="00264972"/>
    <w:rsid w:val="00264E9A"/>
    <w:rsid w:val="00265090"/>
    <w:rsid w:val="002652E1"/>
    <w:rsid w:val="00265418"/>
    <w:rsid w:val="002656AC"/>
    <w:rsid w:val="00265879"/>
    <w:rsid w:val="002658CD"/>
    <w:rsid w:val="002659A0"/>
    <w:rsid w:val="00265A10"/>
    <w:rsid w:val="00265A77"/>
    <w:rsid w:val="00265AA9"/>
    <w:rsid w:val="00265B15"/>
    <w:rsid w:val="00265B32"/>
    <w:rsid w:val="00265C5A"/>
    <w:rsid w:val="00265DFE"/>
    <w:rsid w:val="00265F80"/>
    <w:rsid w:val="0026611B"/>
    <w:rsid w:val="002661BC"/>
    <w:rsid w:val="002661DF"/>
    <w:rsid w:val="002665D6"/>
    <w:rsid w:val="00266B60"/>
    <w:rsid w:val="002670B2"/>
    <w:rsid w:val="00267288"/>
    <w:rsid w:val="0026734B"/>
    <w:rsid w:val="0026748D"/>
    <w:rsid w:val="00267B43"/>
    <w:rsid w:val="00267BA7"/>
    <w:rsid w:val="00267F9C"/>
    <w:rsid w:val="0027000B"/>
    <w:rsid w:val="00270114"/>
    <w:rsid w:val="00270501"/>
    <w:rsid w:val="00270603"/>
    <w:rsid w:val="0027063D"/>
    <w:rsid w:val="002706EF"/>
    <w:rsid w:val="00270748"/>
    <w:rsid w:val="00270B52"/>
    <w:rsid w:val="00270D11"/>
    <w:rsid w:val="00271015"/>
    <w:rsid w:val="00271075"/>
    <w:rsid w:val="002712E2"/>
    <w:rsid w:val="002715A8"/>
    <w:rsid w:val="0027167D"/>
    <w:rsid w:val="00271709"/>
    <w:rsid w:val="00271899"/>
    <w:rsid w:val="00271977"/>
    <w:rsid w:val="00271AE7"/>
    <w:rsid w:val="00271B04"/>
    <w:rsid w:val="00271E01"/>
    <w:rsid w:val="00271E3C"/>
    <w:rsid w:val="002721F0"/>
    <w:rsid w:val="002725E8"/>
    <w:rsid w:val="00272695"/>
    <w:rsid w:val="00272919"/>
    <w:rsid w:val="002729F2"/>
    <w:rsid w:val="00272C1C"/>
    <w:rsid w:val="00272C8B"/>
    <w:rsid w:val="00272CC9"/>
    <w:rsid w:val="00272DC6"/>
    <w:rsid w:val="00272DE3"/>
    <w:rsid w:val="00272E22"/>
    <w:rsid w:val="00272FBB"/>
    <w:rsid w:val="002730B1"/>
    <w:rsid w:val="0027315F"/>
    <w:rsid w:val="002732C7"/>
    <w:rsid w:val="0027347E"/>
    <w:rsid w:val="0027371B"/>
    <w:rsid w:val="002739B4"/>
    <w:rsid w:val="00273B3A"/>
    <w:rsid w:val="00273D59"/>
    <w:rsid w:val="00273E47"/>
    <w:rsid w:val="00273ECA"/>
    <w:rsid w:val="0027404B"/>
    <w:rsid w:val="00274050"/>
    <w:rsid w:val="002742DB"/>
    <w:rsid w:val="0027440C"/>
    <w:rsid w:val="00274460"/>
    <w:rsid w:val="002745E0"/>
    <w:rsid w:val="00274621"/>
    <w:rsid w:val="0027467B"/>
    <w:rsid w:val="0027471C"/>
    <w:rsid w:val="00274E39"/>
    <w:rsid w:val="00274EE4"/>
    <w:rsid w:val="0027531E"/>
    <w:rsid w:val="00275431"/>
    <w:rsid w:val="00275620"/>
    <w:rsid w:val="0027594B"/>
    <w:rsid w:val="00275A14"/>
    <w:rsid w:val="00275A3E"/>
    <w:rsid w:val="00275BEB"/>
    <w:rsid w:val="00275BF1"/>
    <w:rsid w:val="00275C77"/>
    <w:rsid w:val="00275DEC"/>
    <w:rsid w:val="00275F2A"/>
    <w:rsid w:val="002761C2"/>
    <w:rsid w:val="002763B7"/>
    <w:rsid w:val="002763D3"/>
    <w:rsid w:val="002765C1"/>
    <w:rsid w:val="002767E9"/>
    <w:rsid w:val="00276844"/>
    <w:rsid w:val="00276903"/>
    <w:rsid w:val="00276ABD"/>
    <w:rsid w:val="00276ED3"/>
    <w:rsid w:val="0027770C"/>
    <w:rsid w:val="00277A3D"/>
    <w:rsid w:val="00277B38"/>
    <w:rsid w:val="0028009F"/>
    <w:rsid w:val="002802E6"/>
    <w:rsid w:val="002803A2"/>
    <w:rsid w:val="002808A2"/>
    <w:rsid w:val="002809E3"/>
    <w:rsid w:val="00280A3D"/>
    <w:rsid w:val="00280AC1"/>
    <w:rsid w:val="00280DE5"/>
    <w:rsid w:val="00280FCB"/>
    <w:rsid w:val="00281052"/>
    <w:rsid w:val="00281371"/>
    <w:rsid w:val="0028146E"/>
    <w:rsid w:val="00281494"/>
    <w:rsid w:val="00281581"/>
    <w:rsid w:val="002816B2"/>
    <w:rsid w:val="00281BD4"/>
    <w:rsid w:val="00281D2B"/>
    <w:rsid w:val="00281DFF"/>
    <w:rsid w:val="00281EB8"/>
    <w:rsid w:val="002820D8"/>
    <w:rsid w:val="00282462"/>
    <w:rsid w:val="0028279B"/>
    <w:rsid w:val="00282AF0"/>
    <w:rsid w:val="00282BFD"/>
    <w:rsid w:val="00282E44"/>
    <w:rsid w:val="00282E4F"/>
    <w:rsid w:val="00282EFF"/>
    <w:rsid w:val="00283137"/>
    <w:rsid w:val="00283152"/>
    <w:rsid w:val="002832C6"/>
    <w:rsid w:val="002832E8"/>
    <w:rsid w:val="002833FA"/>
    <w:rsid w:val="0028384D"/>
    <w:rsid w:val="0028389F"/>
    <w:rsid w:val="00283A1C"/>
    <w:rsid w:val="00283E92"/>
    <w:rsid w:val="00283F71"/>
    <w:rsid w:val="002840F8"/>
    <w:rsid w:val="0028413A"/>
    <w:rsid w:val="0028450D"/>
    <w:rsid w:val="002846D5"/>
    <w:rsid w:val="00284915"/>
    <w:rsid w:val="002849BD"/>
    <w:rsid w:val="00284B78"/>
    <w:rsid w:val="00284C5C"/>
    <w:rsid w:val="00284D19"/>
    <w:rsid w:val="00284F78"/>
    <w:rsid w:val="00284FA5"/>
    <w:rsid w:val="0028512A"/>
    <w:rsid w:val="002851AA"/>
    <w:rsid w:val="00285477"/>
    <w:rsid w:val="002854DC"/>
    <w:rsid w:val="002854E6"/>
    <w:rsid w:val="00285601"/>
    <w:rsid w:val="00285624"/>
    <w:rsid w:val="0028584A"/>
    <w:rsid w:val="00285922"/>
    <w:rsid w:val="00285A36"/>
    <w:rsid w:val="00285B38"/>
    <w:rsid w:val="00285F81"/>
    <w:rsid w:val="00285FD3"/>
    <w:rsid w:val="00286226"/>
    <w:rsid w:val="00286487"/>
    <w:rsid w:val="002865F0"/>
    <w:rsid w:val="00286705"/>
    <w:rsid w:val="00286882"/>
    <w:rsid w:val="002869AA"/>
    <w:rsid w:val="00286AA9"/>
    <w:rsid w:val="00286BF2"/>
    <w:rsid w:val="00286C0E"/>
    <w:rsid w:val="00286C44"/>
    <w:rsid w:val="00286E7C"/>
    <w:rsid w:val="00286FEE"/>
    <w:rsid w:val="00287119"/>
    <w:rsid w:val="002871A9"/>
    <w:rsid w:val="00287857"/>
    <w:rsid w:val="002878C1"/>
    <w:rsid w:val="0028792A"/>
    <w:rsid w:val="0028799A"/>
    <w:rsid w:val="00287A06"/>
    <w:rsid w:val="00287B0D"/>
    <w:rsid w:val="00287DBA"/>
    <w:rsid w:val="00287DE5"/>
    <w:rsid w:val="00287DF8"/>
    <w:rsid w:val="00287E74"/>
    <w:rsid w:val="00287EB5"/>
    <w:rsid w:val="002900D5"/>
    <w:rsid w:val="0029014D"/>
    <w:rsid w:val="0029019B"/>
    <w:rsid w:val="00290ACB"/>
    <w:rsid w:val="00290B90"/>
    <w:rsid w:val="00290D8C"/>
    <w:rsid w:val="00290F77"/>
    <w:rsid w:val="002913C0"/>
    <w:rsid w:val="002914D0"/>
    <w:rsid w:val="0029158A"/>
    <w:rsid w:val="0029164C"/>
    <w:rsid w:val="002916F3"/>
    <w:rsid w:val="00291999"/>
    <w:rsid w:val="00291C58"/>
    <w:rsid w:val="00291C89"/>
    <w:rsid w:val="00291CB9"/>
    <w:rsid w:val="00291DCF"/>
    <w:rsid w:val="00291E92"/>
    <w:rsid w:val="00291F71"/>
    <w:rsid w:val="00291F7C"/>
    <w:rsid w:val="0029208C"/>
    <w:rsid w:val="00292461"/>
    <w:rsid w:val="002924D5"/>
    <w:rsid w:val="002925F0"/>
    <w:rsid w:val="002928AA"/>
    <w:rsid w:val="002929D0"/>
    <w:rsid w:val="002929E2"/>
    <w:rsid w:val="00292A51"/>
    <w:rsid w:val="00292B7B"/>
    <w:rsid w:val="00292BA9"/>
    <w:rsid w:val="00292C41"/>
    <w:rsid w:val="00292ECD"/>
    <w:rsid w:val="00292F71"/>
    <w:rsid w:val="00292F93"/>
    <w:rsid w:val="00292FBF"/>
    <w:rsid w:val="0029343D"/>
    <w:rsid w:val="0029350A"/>
    <w:rsid w:val="0029377E"/>
    <w:rsid w:val="0029393D"/>
    <w:rsid w:val="0029394F"/>
    <w:rsid w:val="00293BE7"/>
    <w:rsid w:val="00293C33"/>
    <w:rsid w:val="002940EF"/>
    <w:rsid w:val="00294190"/>
    <w:rsid w:val="002941DD"/>
    <w:rsid w:val="002944F6"/>
    <w:rsid w:val="0029452C"/>
    <w:rsid w:val="00294595"/>
    <w:rsid w:val="00294910"/>
    <w:rsid w:val="002949D1"/>
    <w:rsid w:val="00294A56"/>
    <w:rsid w:val="00294B1B"/>
    <w:rsid w:val="00294B2C"/>
    <w:rsid w:val="00294BB3"/>
    <w:rsid w:val="00294C88"/>
    <w:rsid w:val="00294CB4"/>
    <w:rsid w:val="00294E6A"/>
    <w:rsid w:val="00294EA4"/>
    <w:rsid w:val="00295142"/>
    <w:rsid w:val="0029518C"/>
    <w:rsid w:val="002957AA"/>
    <w:rsid w:val="00295C48"/>
    <w:rsid w:val="00295C4C"/>
    <w:rsid w:val="00295CE9"/>
    <w:rsid w:val="00295D55"/>
    <w:rsid w:val="00295DBA"/>
    <w:rsid w:val="00295F26"/>
    <w:rsid w:val="00295F31"/>
    <w:rsid w:val="0029605F"/>
    <w:rsid w:val="002963DB"/>
    <w:rsid w:val="00296656"/>
    <w:rsid w:val="0029670A"/>
    <w:rsid w:val="00296A74"/>
    <w:rsid w:val="00296D49"/>
    <w:rsid w:val="00296DCB"/>
    <w:rsid w:val="00296DF6"/>
    <w:rsid w:val="00296E1C"/>
    <w:rsid w:val="00296E47"/>
    <w:rsid w:val="00296F04"/>
    <w:rsid w:val="0029735D"/>
    <w:rsid w:val="002973D6"/>
    <w:rsid w:val="00297786"/>
    <w:rsid w:val="002977C2"/>
    <w:rsid w:val="0029787F"/>
    <w:rsid w:val="002978D8"/>
    <w:rsid w:val="00297BD0"/>
    <w:rsid w:val="00297C46"/>
    <w:rsid w:val="00297CA5"/>
    <w:rsid w:val="00297EE9"/>
    <w:rsid w:val="00297FA8"/>
    <w:rsid w:val="00297FC8"/>
    <w:rsid w:val="002A0133"/>
    <w:rsid w:val="002A021C"/>
    <w:rsid w:val="002A027F"/>
    <w:rsid w:val="002A04BB"/>
    <w:rsid w:val="002A06C9"/>
    <w:rsid w:val="002A0E61"/>
    <w:rsid w:val="002A103B"/>
    <w:rsid w:val="002A1107"/>
    <w:rsid w:val="002A11A5"/>
    <w:rsid w:val="002A14CC"/>
    <w:rsid w:val="002A14D8"/>
    <w:rsid w:val="002A150E"/>
    <w:rsid w:val="002A166D"/>
    <w:rsid w:val="002A17A2"/>
    <w:rsid w:val="002A1867"/>
    <w:rsid w:val="002A1A39"/>
    <w:rsid w:val="002A1A4D"/>
    <w:rsid w:val="002A1A85"/>
    <w:rsid w:val="002A1D5C"/>
    <w:rsid w:val="002A2104"/>
    <w:rsid w:val="002A235D"/>
    <w:rsid w:val="002A2854"/>
    <w:rsid w:val="002A2872"/>
    <w:rsid w:val="002A375C"/>
    <w:rsid w:val="002A3A69"/>
    <w:rsid w:val="002A3DD9"/>
    <w:rsid w:val="002A3FD7"/>
    <w:rsid w:val="002A415E"/>
    <w:rsid w:val="002A426B"/>
    <w:rsid w:val="002A44DD"/>
    <w:rsid w:val="002A45FB"/>
    <w:rsid w:val="002A4724"/>
    <w:rsid w:val="002A482C"/>
    <w:rsid w:val="002A4A3F"/>
    <w:rsid w:val="002A4A9D"/>
    <w:rsid w:val="002A4D9E"/>
    <w:rsid w:val="002A521C"/>
    <w:rsid w:val="002A5260"/>
    <w:rsid w:val="002A529E"/>
    <w:rsid w:val="002A52BD"/>
    <w:rsid w:val="002A54FD"/>
    <w:rsid w:val="002A559B"/>
    <w:rsid w:val="002A591E"/>
    <w:rsid w:val="002A59D1"/>
    <w:rsid w:val="002A59F2"/>
    <w:rsid w:val="002A5A92"/>
    <w:rsid w:val="002A5CFC"/>
    <w:rsid w:val="002A5FE9"/>
    <w:rsid w:val="002A61E4"/>
    <w:rsid w:val="002A6300"/>
    <w:rsid w:val="002A6339"/>
    <w:rsid w:val="002A634D"/>
    <w:rsid w:val="002A6631"/>
    <w:rsid w:val="002A704F"/>
    <w:rsid w:val="002A7056"/>
    <w:rsid w:val="002A7184"/>
    <w:rsid w:val="002A791A"/>
    <w:rsid w:val="002A7A78"/>
    <w:rsid w:val="002A7D93"/>
    <w:rsid w:val="002A7D9D"/>
    <w:rsid w:val="002A7DBC"/>
    <w:rsid w:val="002A7E06"/>
    <w:rsid w:val="002A7E0F"/>
    <w:rsid w:val="002A7EA1"/>
    <w:rsid w:val="002A7F5B"/>
    <w:rsid w:val="002B0084"/>
    <w:rsid w:val="002B00CA"/>
    <w:rsid w:val="002B013F"/>
    <w:rsid w:val="002B035C"/>
    <w:rsid w:val="002B058F"/>
    <w:rsid w:val="002B05DD"/>
    <w:rsid w:val="002B07DF"/>
    <w:rsid w:val="002B08E2"/>
    <w:rsid w:val="002B09B5"/>
    <w:rsid w:val="002B0C52"/>
    <w:rsid w:val="002B1002"/>
    <w:rsid w:val="002B1113"/>
    <w:rsid w:val="002B111B"/>
    <w:rsid w:val="002B1293"/>
    <w:rsid w:val="002B13B8"/>
    <w:rsid w:val="002B14E0"/>
    <w:rsid w:val="002B1504"/>
    <w:rsid w:val="002B1589"/>
    <w:rsid w:val="002B16FF"/>
    <w:rsid w:val="002B1AD2"/>
    <w:rsid w:val="002B1C03"/>
    <w:rsid w:val="002B1C11"/>
    <w:rsid w:val="002B1F9E"/>
    <w:rsid w:val="002B2156"/>
    <w:rsid w:val="002B22EC"/>
    <w:rsid w:val="002B240C"/>
    <w:rsid w:val="002B28E5"/>
    <w:rsid w:val="002B2D70"/>
    <w:rsid w:val="002B2F94"/>
    <w:rsid w:val="002B303D"/>
    <w:rsid w:val="002B33FC"/>
    <w:rsid w:val="002B33FF"/>
    <w:rsid w:val="002B37A9"/>
    <w:rsid w:val="002B3870"/>
    <w:rsid w:val="002B3920"/>
    <w:rsid w:val="002B3923"/>
    <w:rsid w:val="002B3A94"/>
    <w:rsid w:val="002B3C1E"/>
    <w:rsid w:val="002B3E7A"/>
    <w:rsid w:val="002B40F8"/>
    <w:rsid w:val="002B42C1"/>
    <w:rsid w:val="002B43AE"/>
    <w:rsid w:val="002B4599"/>
    <w:rsid w:val="002B45C5"/>
    <w:rsid w:val="002B4629"/>
    <w:rsid w:val="002B483E"/>
    <w:rsid w:val="002B49BE"/>
    <w:rsid w:val="002B50C8"/>
    <w:rsid w:val="002B53E5"/>
    <w:rsid w:val="002B559C"/>
    <w:rsid w:val="002B56CD"/>
    <w:rsid w:val="002B5A57"/>
    <w:rsid w:val="002B5A58"/>
    <w:rsid w:val="002B5AD8"/>
    <w:rsid w:val="002B5BAB"/>
    <w:rsid w:val="002B6041"/>
    <w:rsid w:val="002B6242"/>
    <w:rsid w:val="002B63F9"/>
    <w:rsid w:val="002B64EE"/>
    <w:rsid w:val="002B6554"/>
    <w:rsid w:val="002B693A"/>
    <w:rsid w:val="002B6B31"/>
    <w:rsid w:val="002B6C82"/>
    <w:rsid w:val="002B6E30"/>
    <w:rsid w:val="002B6F1F"/>
    <w:rsid w:val="002B6FDC"/>
    <w:rsid w:val="002B737B"/>
    <w:rsid w:val="002B73AB"/>
    <w:rsid w:val="002B745D"/>
    <w:rsid w:val="002B74F2"/>
    <w:rsid w:val="002B758E"/>
    <w:rsid w:val="002B7795"/>
    <w:rsid w:val="002B7804"/>
    <w:rsid w:val="002B799F"/>
    <w:rsid w:val="002B7C0A"/>
    <w:rsid w:val="002B7CF6"/>
    <w:rsid w:val="002B7E78"/>
    <w:rsid w:val="002B7F1A"/>
    <w:rsid w:val="002C0213"/>
    <w:rsid w:val="002C0515"/>
    <w:rsid w:val="002C0526"/>
    <w:rsid w:val="002C070D"/>
    <w:rsid w:val="002C0829"/>
    <w:rsid w:val="002C085C"/>
    <w:rsid w:val="002C0B3C"/>
    <w:rsid w:val="002C0BD0"/>
    <w:rsid w:val="002C0C37"/>
    <w:rsid w:val="002C0F3C"/>
    <w:rsid w:val="002C1322"/>
    <w:rsid w:val="002C1904"/>
    <w:rsid w:val="002C1B29"/>
    <w:rsid w:val="002C1BCF"/>
    <w:rsid w:val="002C1F64"/>
    <w:rsid w:val="002C1F72"/>
    <w:rsid w:val="002C1F94"/>
    <w:rsid w:val="002C2141"/>
    <w:rsid w:val="002C222E"/>
    <w:rsid w:val="002C224D"/>
    <w:rsid w:val="002C22E6"/>
    <w:rsid w:val="002C2567"/>
    <w:rsid w:val="002C25DF"/>
    <w:rsid w:val="002C26C5"/>
    <w:rsid w:val="002C2783"/>
    <w:rsid w:val="002C27FB"/>
    <w:rsid w:val="002C29BA"/>
    <w:rsid w:val="002C2DA5"/>
    <w:rsid w:val="002C2FFC"/>
    <w:rsid w:val="002C3073"/>
    <w:rsid w:val="002C3093"/>
    <w:rsid w:val="002C3118"/>
    <w:rsid w:val="002C332B"/>
    <w:rsid w:val="002C3831"/>
    <w:rsid w:val="002C3859"/>
    <w:rsid w:val="002C388B"/>
    <w:rsid w:val="002C3A5F"/>
    <w:rsid w:val="002C3AD6"/>
    <w:rsid w:val="002C3C32"/>
    <w:rsid w:val="002C3CC3"/>
    <w:rsid w:val="002C3CDD"/>
    <w:rsid w:val="002C3D2C"/>
    <w:rsid w:val="002C3F9D"/>
    <w:rsid w:val="002C46D3"/>
    <w:rsid w:val="002C4AF4"/>
    <w:rsid w:val="002C4BB3"/>
    <w:rsid w:val="002C4D83"/>
    <w:rsid w:val="002C4DAC"/>
    <w:rsid w:val="002C5180"/>
    <w:rsid w:val="002C521C"/>
    <w:rsid w:val="002C52CF"/>
    <w:rsid w:val="002C5301"/>
    <w:rsid w:val="002C5346"/>
    <w:rsid w:val="002C55AB"/>
    <w:rsid w:val="002C56CD"/>
    <w:rsid w:val="002C5714"/>
    <w:rsid w:val="002C5B81"/>
    <w:rsid w:val="002C5C74"/>
    <w:rsid w:val="002C5D8E"/>
    <w:rsid w:val="002C5E37"/>
    <w:rsid w:val="002C631F"/>
    <w:rsid w:val="002C633C"/>
    <w:rsid w:val="002C6520"/>
    <w:rsid w:val="002C664B"/>
    <w:rsid w:val="002C666A"/>
    <w:rsid w:val="002C6EDB"/>
    <w:rsid w:val="002C6FDA"/>
    <w:rsid w:val="002C70C8"/>
    <w:rsid w:val="002C763C"/>
    <w:rsid w:val="002C7903"/>
    <w:rsid w:val="002C7A47"/>
    <w:rsid w:val="002C7A4C"/>
    <w:rsid w:val="002D0619"/>
    <w:rsid w:val="002D072A"/>
    <w:rsid w:val="002D104A"/>
    <w:rsid w:val="002D112C"/>
    <w:rsid w:val="002D12D6"/>
    <w:rsid w:val="002D14A2"/>
    <w:rsid w:val="002D150F"/>
    <w:rsid w:val="002D156F"/>
    <w:rsid w:val="002D1684"/>
    <w:rsid w:val="002D1965"/>
    <w:rsid w:val="002D1B9C"/>
    <w:rsid w:val="002D1EE4"/>
    <w:rsid w:val="002D202C"/>
    <w:rsid w:val="002D2271"/>
    <w:rsid w:val="002D23BA"/>
    <w:rsid w:val="002D24B5"/>
    <w:rsid w:val="002D25A7"/>
    <w:rsid w:val="002D2A57"/>
    <w:rsid w:val="002D2B22"/>
    <w:rsid w:val="002D2B5F"/>
    <w:rsid w:val="002D2FD6"/>
    <w:rsid w:val="002D3041"/>
    <w:rsid w:val="002D3317"/>
    <w:rsid w:val="002D332A"/>
    <w:rsid w:val="002D35C7"/>
    <w:rsid w:val="002D3718"/>
    <w:rsid w:val="002D3901"/>
    <w:rsid w:val="002D398E"/>
    <w:rsid w:val="002D39B8"/>
    <w:rsid w:val="002D3AF6"/>
    <w:rsid w:val="002D3BCF"/>
    <w:rsid w:val="002D3C5C"/>
    <w:rsid w:val="002D4073"/>
    <w:rsid w:val="002D40C4"/>
    <w:rsid w:val="002D42B3"/>
    <w:rsid w:val="002D42F8"/>
    <w:rsid w:val="002D4479"/>
    <w:rsid w:val="002D450D"/>
    <w:rsid w:val="002D45D7"/>
    <w:rsid w:val="002D471D"/>
    <w:rsid w:val="002D47FA"/>
    <w:rsid w:val="002D4A7F"/>
    <w:rsid w:val="002D4BCB"/>
    <w:rsid w:val="002D4DC4"/>
    <w:rsid w:val="002D4EF8"/>
    <w:rsid w:val="002D52AF"/>
    <w:rsid w:val="002D5309"/>
    <w:rsid w:val="002D53E8"/>
    <w:rsid w:val="002D540A"/>
    <w:rsid w:val="002D5845"/>
    <w:rsid w:val="002D5B55"/>
    <w:rsid w:val="002D5B6A"/>
    <w:rsid w:val="002D5DD6"/>
    <w:rsid w:val="002D634D"/>
    <w:rsid w:val="002D63AB"/>
    <w:rsid w:val="002D6509"/>
    <w:rsid w:val="002D68BE"/>
    <w:rsid w:val="002D6A42"/>
    <w:rsid w:val="002D6E0B"/>
    <w:rsid w:val="002D6F68"/>
    <w:rsid w:val="002D7215"/>
    <w:rsid w:val="002D7226"/>
    <w:rsid w:val="002D75EE"/>
    <w:rsid w:val="002D7639"/>
    <w:rsid w:val="002D76EC"/>
    <w:rsid w:val="002D78D2"/>
    <w:rsid w:val="002D7BAD"/>
    <w:rsid w:val="002D7C58"/>
    <w:rsid w:val="002D7E22"/>
    <w:rsid w:val="002D7FC8"/>
    <w:rsid w:val="002E0129"/>
    <w:rsid w:val="002E0160"/>
    <w:rsid w:val="002E01DE"/>
    <w:rsid w:val="002E0283"/>
    <w:rsid w:val="002E0963"/>
    <w:rsid w:val="002E0C17"/>
    <w:rsid w:val="002E0E27"/>
    <w:rsid w:val="002E0ED1"/>
    <w:rsid w:val="002E101D"/>
    <w:rsid w:val="002E10AD"/>
    <w:rsid w:val="002E1458"/>
    <w:rsid w:val="002E1493"/>
    <w:rsid w:val="002E1D69"/>
    <w:rsid w:val="002E1F64"/>
    <w:rsid w:val="002E237F"/>
    <w:rsid w:val="002E23AE"/>
    <w:rsid w:val="002E24FA"/>
    <w:rsid w:val="002E2537"/>
    <w:rsid w:val="002E266A"/>
    <w:rsid w:val="002E279D"/>
    <w:rsid w:val="002E2B15"/>
    <w:rsid w:val="002E2D2D"/>
    <w:rsid w:val="002E3064"/>
    <w:rsid w:val="002E34B6"/>
    <w:rsid w:val="002E37A1"/>
    <w:rsid w:val="002E38E9"/>
    <w:rsid w:val="002E3AD3"/>
    <w:rsid w:val="002E3B49"/>
    <w:rsid w:val="002E3B4A"/>
    <w:rsid w:val="002E3D8A"/>
    <w:rsid w:val="002E3F66"/>
    <w:rsid w:val="002E4076"/>
    <w:rsid w:val="002E41E6"/>
    <w:rsid w:val="002E42AB"/>
    <w:rsid w:val="002E446A"/>
    <w:rsid w:val="002E4695"/>
    <w:rsid w:val="002E46DB"/>
    <w:rsid w:val="002E4733"/>
    <w:rsid w:val="002E4811"/>
    <w:rsid w:val="002E481E"/>
    <w:rsid w:val="002E4A66"/>
    <w:rsid w:val="002E4ACD"/>
    <w:rsid w:val="002E4BA4"/>
    <w:rsid w:val="002E4DD1"/>
    <w:rsid w:val="002E4E1C"/>
    <w:rsid w:val="002E4E46"/>
    <w:rsid w:val="002E4EF7"/>
    <w:rsid w:val="002E511E"/>
    <w:rsid w:val="002E5291"/>
    <w:rsid w:val="002E5B39"/>
    <w:rsid w:val="002E5C3C"/>
    <w:rsid w:val="002E5D18"/>
    <w:rsid w:val="002E5E71"/>
    <w:rsid w:val="002E5F6E"/>
    <w:rsid w:val="002E5FC8"/>
    <w:rsid w:val="002E62C5"/>
    <w:rsid w:val="002E6422"/>
    <w:rsid w:val="002E6739"/>
    <w:rsid w:val="002E6772"/>
    <w:rsid w:val="002E68A5"/>
    <w:rsid w:val="002E6A6F"/>
    <w:rsid w:val="002E6B8A"/>
    <w:rsid w:val="002E6BA1"/>
    <w:rsid w:val="002E6C6E"/>
    <w:rsid w:val="002E6E49"/>
    <w:rsid w:val="002E6FF5"/>
    <w:rsid w:val="002E7042"/>
    <w:rsid w:val="002E70E0"/>
    <w:rsid w:val="002E7188"/>
    <w:rsid w:val="002E741A"/>
    <w:rsid w:val="002E7613"/>
    <w:rsid w:val="002E77B9"/>
    <w:rsid w:val="002E79E7"/>
    <w:rsid w:val="002E7C38"/>
    <w:rsid w:val="002E7C48"/>
    <w:rsid w:val="002E7FFE"/>
    <w:rsid w:val="002F01CC"/>
    <w:rsid w:val="002F021C"/>
    <w:rsid w:val="002F03C4"/>
    <w:rsid w:val="002F043F"/>
    <w:rsid w:val="002F05A3"/>
    <w:rsid w:val="002F08CF"/>
    <w:rsid w:val="002F0B1F"/>
    <w:rsid w:val="002F0BE3"/>
    <w:rsid w:val="002F0D00"/>
    <w:rsid w:val="002F0DBC"/>
    <w:rsid w:val="002F0EA3"/>
    <w:rsid w:val="002F1084"/>
    <w:rsid w:val="002F1212"/>
    <w:rsid w:val="002F144A"/>
    <w:rsid w:val="002F15AA"/>
    <w:rsid w:val="002F1688"/>
    <w:rsid w:val="002F1800"/>
    <w:rsid w:val="002F181E"/>
    <w:rsid w:val="002F19F4"/>
    <w:rsid w:val="002F1A48"/>
    <w:rsid w:val="002F1DF4"/>
    <w:rsid w:val="002F1FD0"/>
    <w:rsid w:val="002F20E0"/>
    <w:rsid w:val="002F238C"/>
    <w:rsid w:val="002F245F"/>
    <w:rsid w:val="002F25E2"/>
    <w:rsid w:val="002F27B5"/>
    <w:rsid w:val="002F2918"/>
    <w:rsid w:val="002F29B1"/>
    <w:rsid w:val="002F29BA"/>
    <w:rsid w:val="002F2C0E"/>
    <w:rsid w:val="002F2D84"/>
    <w:rsid w:val="002F2EB5"/>
    <w:rsid w:val="002F2F68"/>
    <w:rsid w:val="002F3085"/>
    <w:rsid w:val="002F312E"/>
    <w:rsid w:val="002F31C3"/>
    <w:rsid w:val="002F3259"/>
    <w:rsid w:val="002F3342"/>
    <w:rsid w:val="002F33BA"/>
    <w:rsid w:val="002F34A8"/>
    <w:rsid w:val="002F3787"/>
    <w:rsid w:val="002F3819"/>
    <w:rsid w:val="002F3ACB"/>
    <w:rsid w:val="002F3B79"/>
    <w:rsid w:val="002F3D89"/>
    <w:rsid w:val="002F3EBD"/>
    <w:rsid w:val="002F3FC0"/>
    <w:rsid w:val="002F4051"/>
    <w:rsid w:val="002F4515"/>
    <w:rsid w:val="002F4667"/>
    <w:rsid w:val="002F4CB6"/>
    <w:rsid w:val="002F527F"/>
    <w:rsid w:val="002F55CB"/>
    <w:rsid w:val="002F5BB3"/>
    <w:rsid w:val="002F5F3E"/>
    <w:rsid w:val="002F5FF8"/>
    <w:rsid w:val="002F627C"/>
    <w:rsid w:val="002F6418"/>
    <w:rsid w:val="002F6533"/>
    <w:rsid w:val="002F65F4"/>
    <w:rsid w:val="002F69AC"/>
    <w:rsid w:val="002F6A6B"/>
    <w:rsid w:val="002F6EAB"/>
    <w:rsid w:val="002F6F9D"/>
    <w:rsid w:val="002F718C"/>
    <w:rsid w:val="002F73E9"/>
    <w:rsid w:val="002F7421"/>
    <w:rsid w:val="002F77F9"/>
    <w:rsid w:val="002F7D01"/>
    <w:rsid w:val="002F7D52"/>
    <w:rsid w:val="002F7E96"/>
    <w:rsid w:val="002F7F66"/>
    <w:rsid w:val="002F7FAD"/>
    <w:rsid w:val="002F7FDD"/>
    <w:rsid w:val="00300228"/>
    <w:rsid w:val="0030023B"/>
    <w:rsid w:val="0030055F"/>
    <w:rsid w:val="003005AF"/>
    <w:rsid w:val="003005EB"/>
    <w:rsid w:val="00300629"/>
    <w:rsid w:val="003006F9"/>
    <w:rsid w:val="00300B29"/>
    <w:rsid w:val="00300C32"/>
    <w:rsid w:val="00300E4C"/>
    <w:rsid w:val="0030110C"/>
    <w:rsid w:val="0030138A"/>
    <w:rsid w:val="0030142C"/>
    <w:rsid w:val="003014F8"/>
    <w:rsid w:val="003014FE"/>
    <w:rsid w:val="003016BC"/>
    <w:rsid w:val="0030172D"/>
    <w:rsid w:val="00301B59"/>
    <w:rsid w:val="00301D45"/>
    <w:rsid w:val="00302050"/>
    <w:rsid w:val="003021D7"/>
    <w:rsid w:val="00302285"/>
    <w:rsid w:val="00302667"/>
    <w:rsid w:val="00302CE4"/>
    <w:rsid w:val="00302DA3"/>
    <w:rsid w:val="00302DA9"/>
    <w:rsid w:val="00302E8C"/>
    <w:rsid w:val="00303278"/>
    <w:rsid w:val="00303307"/>
    <w:rsid w:val="00303737"/>
    <w:rsid w:val="00303799"/>
    <w:rsid w:val="00303879"/>
    <w:rsid w:val="00303A04"/>
    <w:rsid w:val="00303A2F"/>
    <w:rsid w:val="00303CE6"/>
    <w:rsid w:val="00303E03"/>
    <w:rsid w:val="00303F14"/>
    <w:rsid w:val="00304051"/>
    <w:rsid w:val="00304589"/>
    <w:rsid w:val="00304B66"/>
    <w:rsid w:val="00304CA1"/>
    <w:rsid w:val="00304D60"/>
    <w:rsid w:val="00304DD4"/>
    <w:rsid w:val="00304E06"/>
    <w:rsid w:val="003050D6"/>
    <w:rsid w:val="00305404"/>
    <w:rsid w:val="00305761"/>
    <w:rsid w:val="003057BC"/>
    <w:rsid w:val="003057D3"/>
    <w:rsid w:val="00305C99"/>
    <w:rsid w:val="00305CC6"/>
    <w:rsid w:val="00306125"/>
    <w:rsid w:val="00306337"/>
    <w:rsid w:val="0030642C"/>
    <w:rsid w:val="003064A1"/>
    <w:rsid w:val="003066D4"/>
    <w:rsid w:val="003067E8"/>
    <w:rsid w:val="00306850"/>
    <w:rsid w:val="003068F1"/>
    <w:rsid w:val="00306A2F"/>
    <w:rsid w:val="00306C8F"/>
    <w:rsid w:val="00306E15"/>
    <w:rsid w:val="00307087"/>
    <w:rsid w:val="00307244"/>
    <w:rsid w:val="00307285"/>
    <w:rsid w:val="00307331"/>
    <w:rsid w:val="0030738C"/>
    <w:rsid w:val="00307403"/>
    <w:rsid w:val="00307451"/>
    <w:rsid w:val="00307563"/>
    <w:rsid w:val="003075F7"/>
    <w:rsid w:val="0030767C"/>
    <w:rsid w:val="00307682"/>
    <w:rsid w:val="00310167"/>
    <w:rsid w:val="0031022C"/>
    <w:rsid w:val="00310230"/>
    <w:rsid w:val="0031046F"/>
    <w:rsid w:val="00310608"/>
    <w:rsid w:val="00310639"/>
    <w:rsid w:val="00310B94"/>
    <w:rsid w:val="00310C1D"/>
    <w:rsid w:val="00310C29"/>
    <w:rsid w:val="00310CA5"/>
    <w:rsid w:val="00310CC4"/>
    <w:rsid w:val="00310D92"/>
    <w:rsid w:val="00310E2F"/>
    <w:rsid w:val="00311312"/>
    <w:rsid w:val="0031178B"/>
    <w:rsid w:val="003119FD"/>
    <w:rsid w:val="00311B89"/>
    <w:rsid w:val="00311CA8"/>
    <w:rsid w:val="00311E9A"/>
    <w:rsid w:val="00311F40"/>
    <w:rsid w:val="00312088"/>
    <w:rsid w:val="00312241"/>
    <w:rsid w:val="003122F1"/>
    <w:rsid w:val="00312555"/>
    <w:rsid w:val="0031269D"/>
    <w:rsid w:val="00312971"/>
    <w:rsid w:val="00312D32"/>
    <w:rsid w:val="00312E33"/>
    <w:rsid w:val="00312F2C"/>
    <w:rsid w:val="0031313C"/>
    <w:rsid w:val="003135A2"/>
    <w:rsid w:val="003136BC"/>
    <w:rsid w:val="00313930"/>
    <w:rsid w:val="00313A4B"/>
    <w:rsid w:val="00313B7E"/>
    <w:rsid w:val="00313BEA"/>
    <w:rsid w:val="003140C2"/>
    <w:rsid w:val="003142D5"/>
    <w:rsid w:val="003142E7"/>
    <w:rsid w:val="00314576"/>
    <w:rsid w:val="003145F8"/>
    <w:rsid w:val="00314651"/>
    <w:rsid w:val="00314B79"/>
    <w:rsid w:val="00314D82"/>
    <w:rsid w:val="00314F4E"/>
    <w:rsid w:val="00315346"/>
    <w:rsid w:val="00315350"/>
    <w:rsid w:val="0031537A"/>
    <w:rsid w:val="00315563"/>
    <w:rsid w:val="003155C3"/>
    <w:rsid w:val="003159B9"/>
    <w:rsid w:val="00315CA7"/>
    <w:rsid w:val="00315D9B"/>
    <w:rsid w:val="00315F33"/>
    <w:rsid w:val="003161CC"/>
    <w:rsid w:val="003164AE"/>
    <w:rsid w:val="0031667B"/>
    <w:rsid w:val="00316803"/>
    <w:rsid w:val="003168F1"/>
    <w:rsid w:val="00316B25"/>
    <w:rsid w:val="00316D05"/>
    <w:rsid w:val="00316FC7"/>
    <w:rsid w:val="00317099"/>
    <w:rsid w:val="00317113"/>
    <w:rsid w:val="0031717B"/>
    <w:rsid w:val="003173AC"/>
    <w:rsid w:val="003173B5"/>
    <w:rsid w:val="003173BA"/>
    <w:rsid w:val="003174F8"/>
    <w:rsid w:val="0031767E"/>
    <w:rsid w:val="003177AD"/>
    <w:rsid w:val="003179DA"/>
    <w:rsid w:val="00317A3E"/>
    <w:rsid w:val="00317BD4"/>
    <w:rsid w:val="00317D98"/>
    <w:rsid w:val="00317E32"/>
    <w:rsid w:val="00317F33"/>
    <w:rsid w:val="00317FDE"/>
    <w:rsid w:val="00317FF2"/>
    <w:rsid w:val="00320180"/>
    <w:rsid w:val="0032020E"/>
    <w:rsid w:val="00320262"/>
    <w:rsid w:val="003203A1"/>
    <w:rsid w:val="00320406"/>
    <w:rsid w:val="003207B8"/>
    <w:rsid w:val="00320869"/>
    <w:rsid w:val="003208A1"/>
    <w:rsid w:val="00320B2B"/>
    <w:rsid w:val="00320C95"/>
    <w:rsid w:val="00320D14"/>
    <w:rsid w:val="003211A3"/>
    <w:rsid w:val="003211BE"/>
    <w:rsid w:val="003211E3"/>
    <w:rsid w:val="00321237"/>
    <w:rsid w:val="00321467"/>
    <w:rsid w:val="0032165C"/>
    <w:rsid w:val="00321A81"/>
    <w:rsid w:val="00321B9F"/>
    <w:rsid w:val="00321C79"/>
    <w:rsid w:val="00321E8E"/>
    <w:rsid w:val="0032200E"/>
    <w:rsid w:val="003221E8"/>
    <w:rsid w:val="003221F1"/>
    <w:rsid w:val="003223E9"/>
    <w:rsid w:val="00322525"/>
    <w:rsid w:val="0032253A"/>
    <w:rsid w:val="003225CA"/>
    <w:rsid w:val="003227D3"/>
    <w:rsid w:val="0032285B"/>
    <w:rsid w:val="00322B0A"/>
    <w:rsid w:val="00322C75"/>
    <w:rsid w:val="00322E42"/>
    <w:rsid w:val="0032316D"/>
    <w:rsid w:val="0032321A"/>
    <w:rsid w:val="003232D4"/>
    <w:rsid w:val="00323360"/>
    <w:rsid w:val="003235C4"/>
    <w:rsid w:val="00323645"/>
    <w:rsid w:val="00323B2E"/>
    <w:rsid w:val="00323D6F"/>
    <w:rsid w:val="00323DC3"/>
    <w:rsid w:val="00323F22"/>
    <w:rsid w:val="0032407A"/>
    <w:rsid w:val="0032409A"/>
    <w:rsid w:val="003241C8"/>
    <w:rsid w:val="00324266"/>
    <w:rsid w:val="0032450B"/>
    <w:rsid w:val="00324667"/>
    <w:rsid w:val="00324716"/>
    <w:rsid w:val="003247AB"/>
    <w:rsid w:val="0032480D"/>
    <w:rsid w:val="003248EA"/>
    <w:rsid w:val="00324A22"/>
    <w:rsid w:val="00324D03"/>
    <w:rsid w:val="00324D74"/>
    <w:rsid w:val="0032574C"/>
    <w:rsid w:val="00326080"/>
    <w:rsid w:val="00326353"/>
    <w:rsid w:val="003263E4"/>
    <w:rsid w:val="00326787"/>
    <w:rsid w:val="00326D3F"/>
    <w:rsid w:val="00326F30"/>
    <w:rsid w:val="00326F87"/>
    <w:rsid w:val="003270B1"/>
    <w:rsid w:val="00327263"/>
    <w:rsid w:val="003272BC"/>
    <w:rsid w:val="0032730E"/>
    <w:rsid w:val="0032763F"/>
    <w:rsid w:val="003277E1"/>
    <w:rsid w:val="00327889"/>
    <w:rsid w:val="003278CF"/>
    <w:rsid w:val="00327955"/>
    <w:rsid w:val="0033000D"/>
    <w:rsid w:val="003301F6"/>
    <w:rsid w:val="00330435"/>
    <w:rsid w:val="00330463"/>
    <w:rsid w:val="00330515"/>
    <w:rsid w:val="00330903"/>
    <w:rsid w:val="00330ADA"/>
    <w:rsid w:val="0033114B"/>
    <w:rsid w:val="003313B6"/>
    <w:rsid w:val="00331819"/>
    <w:rsid w:val="0033189B"/>
    <w:rsid w:val="003319A0"/>
    <w:rsid w:val="00331C01"/>
    <w:rsid w:val="00331C4D"/>
    <w:rsid w:val="00331FD7"/>
    <w:rsid w:val="003322E2"/>
    <w:rsid w:val="003324AC"/>
    <w:rsid w:val="003324D3"/>
    <w:rsid w:val="003326AD"/>
    <w:rsid w:val="003328D0"/>
    <w:rsid w:val="00332994"/>
    <w:rsid w:val="003329E1"/>
    <w:rsid w:val="00332AF3"/>
    <w:rsid w:val="00332D5F"/>
    <w:rsid w:val="00332F04"/>
    <w:rsid w:val="003330F9"/>
    <w:rsid w:val="00333371"/>
    <w:rsid w:val="00333578"/>
    <w:rsid w:val="003335BC"/>
    <w:rsid w:val="00333763"/>
    <w:rsid w:val="00333C6C"/>
    <w:rsid w:val="0033426D"/>
    <w:rsid w:val="003343E4"/>
    <w:rsid w:val="003345BC"/>
    <w:rsid w:val="003345CE"/>
    <w:rsid w:val="00334620"/>
    <w:rsid w:val="00334748"/>
    <w:rsid w:val="003348B8"/>
    <w:rsid w:val="00334CF9"/>
    <w:rsid w:val="00335080"/>
    <w:rsid w:val="003350C2"/>
    <w:rsid w:val="003351CB"/>
    <w:rsid w:val="00335243"/>
    <w:rsid w:val="00335563"/>
    <w:rsid w:val="00335728"/>
    <w:rsid w:val="00335A2A"/>
    <w:rsid w:val="00335B5C"/>
    <w:rsid w:val="00335C01"/>
    <w:rsid w:val="00335FAB"/>
    <w:rsid w:val="00336182"/>
    <w:rsid w:val="00336212"/>
    <w:rsid w:val="003362D4"/>
    <w:rsid w:val="00336578"/>
    <w:rsid w:val="00336698"/>
    <w:rsid w:val="003366E0"/>
    <w:rsid w:val="003368E0"/>
    <w:rsid w:val="00336945"/>
    <w:rsid w:val="003369B9"/>
    <w:rsid w:val="00336D99"/>
    <w:rsid w:val="00336E30"/>
    <w:rsid w:val="00336F6A"/>
    <w:rsid w:val="00336F95"/>
    <w:rsid w:val="00336FAD"/>
    <w:rsid w:val="00336FC3"/>
    <w:rsid w:val="003371F0"/>
    <w:rsid w:val="003372A8"/>
    <w:rsid w:val="003372ED"/>
    <w:rsid w:val="003377F0"/>
    <w:rsid w:val="00337E9C"/>
    <w:rsid w:val="00337F49"/>
    <w:rsid w:val="0034004E"/>
    <w:rsid w:val="003403DB"/>
    <w:rsid w:val="003403FC"/>
    <w:rsid w:val="0034049C"/>
    <w:rsid w:val="0034057A"/>
    <w:rsid w:val="0034058A"/>
    <w:rsid w:val="00340599"/>
    <w:rsid w:val="0034083C"/>
    <w:rsid w:val="00340D94"/>
    <w:rsid w:val="00340F1C"/>
    <w:rsid w:val="0034123A"/>
    <w:rsid w:val="003412D1"/>
    <w:rsid w:val="003414B3"/>
    <w:rsid w:val="003415F6"/>
    <w:rsid w:val="003416BB"/>
    <w:rsid w:val="0034170A"/>
    <w:rsid w:val="003418D6"/>
    <w:rsid w:val="00341920"/>
    <w:rsid w:val="00341B37"/>
    <w:rsid w:val="00341BB9"/>
    <w:rsid w:val="00341CC4"/>
    <w:rsid w:val="00341D76"/>
    <w:rsid w:val="00341F89"/>
    <w:rsid w:val="00341FB1"/>
    <w:rsid w:val="0034202E"/>
    <w:rsid w:val="0034220A"/>
    <w:rsid w:val="0034231C"/>
    <w:rsid w:val="003423C5"/>
    <w:rsid w:val="003423F7"/>
    <w:rsid w:val="003425C7"/>
    <w:rsid w:val="00342A08"/>
    <w:rsid w:val="003431B0"/>
    <w:rsid w:val="0034328E"/>
    <w:rsid w:val="00343C36"/>
    <w:rsid w:val="003441B1"/>
    <w:rsid w:val="003441B7"/>
    <w:rsid w:val="00344225"/>
    <w:rsid w:val="00344237"/>
    <w:rsid w:val="0034430D"/>
    <w:rsid w:val="003443EA"/>
    <w:rsid w:val="00344452"/>
    <w:rsid w:val="0034446D"/>
    <w:rsid w:val="0034455A"/>
    <w:rsid w:val="003446E1"/>
    <w:rsid w:val="003446EA"/>
    <w:rsid w:val="00344815"/>
    <w:rsid w:val="00344842"/>
    <w:rsid w:val="003449DF"/>
    <w:rsid w:val="003449F8"/>
    <w:rsid w:val="00344A74"/>
    <w:rsid w:val="00344AF3"/>
    <w:rsid w:val="00344B8E"/>
    <w:rsid w:val="00345087"/>
    <w:rsid w:val="003450C9"/>
    <w:rsid w:val="0034511D"/>
    <w:rsid w:val="00345200"/>
    <w:rsid w:val="00345630"/>
    <w:rsid w:val="00345864"/>
    <w:rsid w:val="0034587F"/>
    <w:rsid w:val="003458BD"/>
    <w:rsid w:val="00345AA2"/>
    <w:rsid w:val="00345BBF"/>
    <w:rsid w:val="00345D8A"/>
    <w:rsid w:val="00345DA2"/>
    <w:rsid w:val="00345DD3"/>
    <w:rsid w:val="00345F38"/>
    <w:rsid w:val="00346031"/>
    <w:rsid w:val="0034616F"/>
    <w:rsid w:val="00346404"/>
    <w:rsid w:val="00346639"/>
    <w:rsid w:val="0034675D"/>
    <w:rsid w:val="00346A24"/>
    <w:rsid w:val="00346AE7"/>
    <w:rsid w:val="00346B3C"/>
    <w:rsid w:val="00346D73"/>
    <w:rsid w:val="003471AF"/>
    <w:rsid w:val="00347222"/>
    <w:rsid w:val="00347330"/>
    <w:rsid w:val="003475DD"/>
    <w:rsid w:val="003476A9"/>
    <w:rsid w:val="0034794E"/>
    <w:rsid w:val="00347C54"/>
    <w:rsid w:val="00347D3A"/>
    <w:rsid w:val="00347DC2"/>
    <w:rsid w:val="0035002F"/>
    <w:rsid w:val="003503FE"/>
    <w:rsid w:val="0035068C"/>
    <w:rsid w:val="00350766"/>
    <w:rsid w:val="0035077E"/>
    <w:rsid w:val="00350B88"/>
    <w:rsid w:val="00350DC1"/>
    <w:rsid w:val="00350E24"/>
    <w:rsid w:val="00350FE4"/>
    <w:rsid w:val="003518E1"/>
    <w:rsid w:val="00351AD1"/>
    <w:rsid w:val="00351CE8"/>
    <w:rsid w:val="00351FF3"/>
    <w:rsid w:val="003522D5"/>
    <w:rsid w:val="003522FB"/>
    <w:rsid w:val="003524EC"/>
    <w:rsid w:val="00352596"/>
    <w:rsid w:val="00352810"/>
    <w:rsid w:val="0035281D"/>
    <w:rsid w:val="00352A3A"/>
    <w:rsid w:val="00352A93"/>
    <w:rsid w:val="00352F78"/>
    <w:rsid w:val="003537E9"/>
    <w:rsid w:val="0035395E"/>
    <w:rsid w:val="003539F3"/>
    <w:rsid w:val="00353B54"/>
    <w:rsid w:val="00353DAF"/>
    <w:rsid w:val="00353E56"/>
    <w:rsid w:val="003540AB"/>
    <w:rsid w:val="00354452"/>
    <w:rsid w:val="00354605"/>
    <w:rsid w:val="00354708"/>
    <w:rsid w:val="003549C3"/>
    <w:rsid w:val="00354A12"/>
    <w:rsid w:val="00354A82"/>
    <w:rsid w:val="00354D35"/>
    <w:rsid w:val="003551A9"/>
    <w:rsid w:val="00355294"/>
    <w:rsid w:val="0035532A"/>
    <w:rsid w:val="00355330"/>
    <w:rsid w:val="0035537E"/>
    <w:rsid w:val="0035543D"/>
    <w:rsid w:val="0035588C"/>
    <w:rsid w:val="00355C7E"/>
    <w:rsid w:val="00355CAB"/>
    <w:rsid w:val="00355CD6"/>
    <w:rsid w:val="00355EB5"/>
    <w:rsid w:val="00355F7C"/>
    <w:rsid w:val="003560EB"/>
    <w:rsid w:val="0035632C"/>
    <w:rsid w:val="003565CC"/>
    <w:rsid w:val="0035677E"/>
    <w:rsid w:val="00356902"/>
    <w:rsid w:val="00356BC3"/>
    <w:rsid w:val="00356CC3"/>
    <w:rsid w:val="00356EC8"/>
    <w:rsid w:val="00356F2A"/>
    <w:rsid w:val="003572E8"/>
    <w:rsid w:val="0035735E"/>
    <w:rsid w:val="0035751F"/>
    <w:rsid w:val="00357B5F"/>
    <w:rsid w:val="00357E27"/>
    <w:rsid w:val="00360345"/>
    <w:rsid w:val="003604BB"/>
    <w:rsid w:val="0036070C"/>
    <w:rsid w:val="0036096D"/>
    <w:rsid w:val="00360C00"/>
    <w:rsid w:val="00360CC2"/>
    <w:rsid w:val="00360DBC"/>
    <w:rsid w:val="0036120B"/>
    <w:rsid w:val="003614DE"/>
    <w:rsid w:val="00361A73"/>
    <w:rsid w:val="00361C90"/>
    <w:rsid w:val="00361DF2"/>
    <w:rsid w:val="003620CE"/>
    <w:rsid w:val="003621CC"/>
    <w:rsid w:val="00362269"/>
    <w:rsid w:val="00362513"/>
    <w:rsid w:val="00362591"/>
    <w:rsid w:val="00362645"/>
    <w:rsid w:val="00362874"/>
    <w:rsid w:val="00362940"/>
    <w:rsid w:val="00362978"/>
    <w:rsid w:val="003629CF"/>
    <w:rsid w:val="00362ACE"/>
    <w:rsid w:val="00362D9F"/>
    <w:rsid w:val="00363167"/>
    <w:rsid w:val="00363408"/>
    <w:rsid w:val="0036346B"/>
    <w:rsid w:val="00363534"/>
    <w:rsid w:val="00363549"/>
    <w:rsid w:val="0036359B"/>
    <w:rsid w:val="003635DA"/>
    <w:rsid w:val="0036372A"/>
    <w:rsid w:val="0036378C"/>
    <w:rsid w:val="003637B9"/>
    <w:rsid w:val="00363AF9"/>
    <w:rsid w:val="00363CD0"/>
    <w:rsid w:val="00363D9B"/>
    <w:rsid w:val="00363DD8"/>
    <w:rsid w:val="00363FBC"/>
    <w:rsid w:val="00364429"/>
    <w:rsid w:val="00364474"/>
    <w:rsid w:val="003646EB"/>
    <w:rsid w:val="003647FA"/>
    <w:rsid w:val="0036485B"/>
    <w:rsid w:val="003648CD"/>
    <w:rsid w:val="00364982"/>
    <w:rsid w:val="00364AE5"/>
    <w:rsid w:val="00364BD9"/>
    <w:rsid w:val="003650C7"/>
    <w:rsid w:val="00365118"/>
    <w:rsid w:val="00365427"/>
    <w:rsid w:val="0036547C"/>
    <w:rsid w:val="00365556"/>
    <w:rsid w:val="00365748"/>
    <w:rsid w:val="003658DC"/>
    <w:rsid w:val="003659E7"/>
    <w:rsid w:val="00365A61"/>
    <w:rsid w:val="00365FB3"/>
    <w:rsid w:val="00366471"/>
    <w:rsid w:val="003664B8"/>
    <w:rsid w:val="003664D4"/>
    <w:rsid w:val="003665AF"/>
    <w:rsid w:val="00366782"/>
    <w:rsid w:val="003667CB"/>
    <w:rsid w:val="0036686E"/>
    <w:rsid w:val="00366969"/>
    <w:rsid w:val="00366A3A"/>
    <w:rsid w:val="00366AFE"/>
    <w:rsid w:val="00366B54"/>
    <w:rsid w:val="00366B92"/>
    <w:rsid w:val="00366E0F"/>
    <w:rsid w:val="0036732E"/>
    <w:rsid w:val="003674E4"/>
    <w:rsid w:val="003676A9"/>
    <w:rsid w:val="0036793B"/>
    <w:rsid w:val="003679FF"/>
    <w:rsid w:val="00367BF9"/>
    <w:rsid w:val="00367FAB"/>
    <w:rsid w:val="00367FD3"/>
    <w:rsid w:val="003701FF"/>
    <w:rsid w:val="00370269"/>
    <w:rsid w:val="00370310"/>
    <w:rsid w:val="00370313"/>
    <w:rsid w:val="00370718"/>
    <w:rsid w:val="00370856"/>
    <w:rsid w:val="00370C64"/>
    <w:rsid w:val="00370E55"/>
    <w:rsid w:val="00370EF5"/>
    <w:rsid w:val="00371101"/>
    <w:rsid w:val="00371268"/>
    <w:rsid w:val="003712D4"/>
    <w:rsid w:val="0037165F"/>
    <w:rsid w:val="003717E8"/>
    <w:rsid w:val="0037191B"/>
    <w:rsid w:val="003719F6"/>
    <w:rsid w:val="00371AD5"/>
    <w:rsid w:val="00371DD8"/>
    <w:rsid w:val="00371E1A"/>
    <w:rsid w:val="00371ED3"/>
    <w:rsid w:val="00371F14"/>
    <w:rsid w:val="00372162"/>
    <w:rsid w:val="00372238"/>
    <w:rsid w:val="003722F0"/>
    <w:rsid w:val="00372460"/>
    <w:rsid w:val="003725B6"/>
    <w:rsid w:val="00372ECE"/>
    <w:rsid w:val="0037301F"/>
    <w:rsid w:val="003730CD"/>
    <w:rsid w:val="003733A4"/>
    <w:rsid w:val="00373429"/>
    <w:rsid w:val="00373759"/>
    <w:rsid w:val="003737CF"/>
    <w:rsid w:val="00373800"/>
    <w:rsid w:val="00373BCA"/>
    <w:rsid w:val="00373C18"/>
    <w:rsid w:val="00373C49"/>
    <w:rsid w:val="00373C60"/>
    <w:rsid w:val="00373DD5"/>
    <w:rsid w:val="00373F15"/>
    <w:rsid w:val="0037407A"/>
    <w:rsid w:val="0037440E"/>
    <w:rsid w:val="003744A8"/>
    <w:rsid w:val="00374511"/>
    <w:rsid w:val="00374844"/>
    <w:rsid w:val="00374BDD"/>
    <w:rsid w:val="00374CB7"/>
    <w:rsid w:val="00374CC9"/>
    <w:rsid w:val="00374D3D"/>
    <w:rsid w:val="00374E3E"/>
    <w:rsid w:val="00374E5F"/>
    <w:rsid w:val="00374EAD"/>
    <w:rsid w:val="0037507C"/>
    <w:rsid w:val="0037537B"/>
    <w:rsid w:val="00375395"/>
    <w:rsid w:val="0037565E"/>
    <w:rsid w:val="0037567D"/>
    <w:rsid w:val="003756F4"/>
    <w:rsid w:val="003758ED"/>
    <w:rsid w:val="003759EB"/>
    <w:rsid w:val="00375A13"/>
    <w:rsid w:val="00375A35"/>
    <w:rsid w:val="00375B04"/>
    <w:rsid w:val="00375B91"/>
    <w:rsid w:val="00375BAE"/>
    <w:rsid w:val="00375C83"/>
    <w:rsid w:val="00375F71"/>
    <w:rsid w:val="00376012"/>
    <w:rsid w:val="003760F3"/>
    <w:rsid w:val="003760FB"/>
    <w:rsid w:val="0037613D"/>
    <w:rsid w:val="003761A5"/>
    <w:rsid w:val="003763DB"/>
    <w:rsid w:val="003763E3"/>
    <w:rsid w:val="00376539"/>
    <w:rsid w:val="00376553"/>
    <w:rsid w:val="003768DA"/>
    <w:rsid w:val="00376C12"/>
    <w:rsid w:val="00376D3B"/>
    <w:rsid w:val="00376D5B"/>
    <w:rsid w:val="00376DD5"/>
    <w:rsid w:val="00376FF4"/>
    <w:rsid w:val="0037715A"/>
    <w:rsid w:val="00377325"/>
    <w:rsid w:val="00377358"/>
    <w:rsid w:val="00377397"/>
    <w:rsid w:val="003775A5"/>
    <w:rsid w:val="00377D41"/>
    <w:rsid w:val="00377D57"/>
    <w:rsid w:val="00377E9D"/>
    <w:rsid w:val="003802A8"/>
    <w:rsid w:val="003803A5"/>
    <w:rsid w:val="00380670"/>
    <w:rsid w:val="0038068E"/>
    <w:rsid w:val="0038078C"/>
    <w:rsid w:val="0038096E"/>
    <w:rsid w:val="00380B9A"/>
    <w:rsid w:val="00380C16"/>
    <w:rsid w:val="00380D64"/>
    <w:rsid w:val="00380F0A"/>
    <w:rsid w:val="00381174"/>
    <w:rsid w:val="0038120D"/>
    <w:rsid w:val="0038123D"/>
    <w:rsid w:val="00381345"/>
    <w:rsid w:val="0038139E"/>
    <w:rsid w:val="003814D2"/>
    <w:rsid w:val="003814EB"/>
    <w:rsid w:val="003815A8"/>
    <w:rsid w:val="00381673"/>
    <w:rsid w:val="00381706"/>
    <w:rsid w:val="0038186C"/>
    <w:rsid w:val="0038191F"/>
    <w:rsid w:val="0038230F"/>
    <w:rsid w:val="0038235B"/>
    <w:rsid w:val="003824CC"/>
    <w:rsid w:val="0038257F"/>
    <w:rsid w:val="00382647"/>
    <w:rsid w:val="003828DB"/>
    <w:rsid w:val="003829AA"/>
    <w:rsid w:val="003829C5"/>
    <w:rsid w:val="00382B06"/>
    <w:rsid w:val="003831A3"/>
    <w:rsid w:val="003832F4"/>
    <w:rsid w:val="00383333"/>
    <w:rsid w:val="00383379"/>
    <w:rsid w:val="0038337F"/>
    <w:rsid w:val="0038360F"/>
    <w:rsid w:val="00383698"/>
    <w:rsid w:val="00383841"/>
    <w:rsid w:val="00383880"/>
    <w:rsid w:val="00383916"/>
    <w:rsid w:val="00383EAB"/>
    <w:rsid w:val="00383FC2"/>
    <w:rsid w:val="00384063"/>
    <w:rsid w:val="003841C6"/>
    <w:rsid w:val="00384674"/>
    <w:rsid w:val="003846A5"/>
    <w:rsid w:val="0038485A"/>
    <w:rsid w:val="00384898"/>
    <w:rsid w:val="00384A58"/>
    <w:rsid w:val="00384D32"/>
    <w:rsid w:val="00384DDB"/>
    <w:rsid w:val="0038503B"/>
    <w:rsid w:val="00385068"/>
    <w:rsid w:val="00385098"/>
    <w:rsid w:val="00385108"/>
    <w:rsid w:val="003854C0"/>
    <w:rsid w:val="0038559A"/>
    <w:rsid w:val="00385611"/>
    <w:rsid w:val="003856BE"/>
    <w:rsid w:val="0038586B"/>
    <w:rsid w:val="0038589A"/>
    <w:rsid w:val="0038589F"/>
    <w:rsid w:val="00385967"/>
    <w:rsid w:val="00385B1B"/>
    <w:rsid w:val="00385E8E"/>
    <w:rsid w:val="00385EF9"/>
    <w:rsid w:val="00386189"/>
    <w:rsid w:val="003861BB"/>
    <w:rsid w:val="003864F2"/>
    <w:rsid w:val="00386558"/>
    <w:rsid w:val="00386679"/>
    <w:rsid w:val="003868CC"/>
    <w:rsid w:val="00386958"/>
    <w:rsid w:val="00386A32"/>
    <w:rsid w:val="00386B88"/>
    <w:rsid w:val="00386BD7"/>
    <w:rsid w:val="00386CFA"/>
    <w:rsid w:val="00386F07"/>
    <w:rsid w:val="00387112"/>
    <w:rsid w:val="00387506"/>
    <w:rsid w:val="0038753E"/>
    <w:rsid w:val="0038756E"/>
    <w:rsid w:val="00387702"/>
    <w:rsid w:val="00387848"/>
    <w:rsid w:val="003879D4"/>
    <w:rsid w:val="00387C40"/>
    <w:rsid w:val="00387D1E"/>
    <w:rsid w:val="00387DC7"/>
    <w:rsid w:val="00387E49"/>
    <w:rsid w:val="0039003F"/>
    <w:rsid w:val="00390217"/>
    <w:rsid w:val="003903C5"/>
    <w:rsid w:val="0039046D"/>
    <w:rsid w:val="0039052D"/>
    <w:rsid w:val="003909A8"/>
    <w:rsid w:val="003909BF"/>
    <w:rsid w:val="00390DA2"/>
    <w:rsid w:val="00390E47"/>
    <w:rsid w:val="00390ED1"/>
    <w:rsid w:val="00391238"/>
    <w:rsid w:val="0039148C"/>
    <w:rsid w:val="0039171B"/>
    <w:rsid w:val="003919B9"/>
    <w:rsid w:val="00391AFA"/>
    <w:rsid w:val="00391E1C"/>
    <w:rsid w:val="00391E3D"/>
    <w:rsid w:val="00391E74"/>
    <w:rsid w:val="00391EAD"/>
    <w:rsid w:val="00391F90"/>
    <w:rsid w:val="00392616"/>
    <w:rsid w:val="00392911"/>
    <w:rsid w:val="00392937"/>
    <w:rsid w:val="00392C35"/>
    <w:rsid w:val="00392C90"/>
    <w:rsid w:val="00392D14"/>
    <w:rsid w:val="0039318A"/>
    <w:rsid w:val="00393293"/>
    <w:rsid w:val="0039340D"/>
    <w:rsid w:val="0039351A"/>
    <w:rsid w:val="0039353D"/>
    <w:rsid w:val="003935DB"/>
    <w:rsid w:val="00393A09"/>
    <w:rsid w:val="00393A3F"/>
    <w:rsid w:val="00393A93"/>
    <w:rsid w:val="00393AAB"/>
    <w:rsid w:val="0039402B"/>
    <w:rsid w:val="003940BB"/>
    <w:rsid w:val="003941DA"/>
    <w:rsid w:val="0039432C"/>
    <w:rsid w:val="00394463"/>
    <w:rsid w:val="003947BA"/>
    <w:rsid w:val="00394AFB"/>
    <w:rsid w:val="00394BC4"/>
    <w:rsid w:val="00394CB0"/>
    <w:rsid w:val="00394D57"/>
    <w:rsid w:val="00394D8E"/>
    <w:rsid w:val="00394F11"/>
    <w:rsid w:val="0039504E"/>
    <w:rsid w:val="00395388"/>
    <w:rsid w:val="003953D5"/>
    <w:rsid w:val="00395540"/>
    <w:rsid w:val="003956B3"/>
    <w:rsid w:val="00395A47"/>
    <w:rsid w:val="00395E14"/>
    <w:rsid w:val="00395F31"/>
    <w:rsid w:val="00396065"/>
    <w:rsid w:val="003963B7"/>
    <w:rsid w:val="00396535"/>
    <w:rsid w:val="003967F1"/>
    <w:rsid w:val="003969E3"/>
    <w:rsid w:val="00397054"/>
    <w:rsid w:val="003972A8"/>
    <w:rsid w:val="0039743B"/>
    <w:rsid w:val="00397901"/>
    <w:rsid w:val="00397A8B"/>
    <w:rsid w:val="00397D3E"/>
    <w:rsid w:val="00397F69"/>
    <w:rsid w:val="003A000C"/>
    <w:rsid w:val="003A00F0"/>
    <w:rsid w:val="003A084E"/>
    <w:rsid w:val="003A0A54"/>
    <w:rsid w:val="003A0E75"/>
    <w:rsid w:val="003A1082"/>
    <w:rsid w:val="003A10ED"/>
    <w:rsid w:val="003A129E"/>
    <w:rsid w:val="003A13A9"/>
    <w:rsid w:val="003A14C8"/>
    <w:rsid w:val="003A14E9"/>
    <w:rsid w:val="003A1DE5"/>
    <w:rsid w:val="003A2341"/>
    <w:rsid w:val="003A23DC"/>
    <w:rsid w:val="003A2496"/>
    <w:rsid w:val="003A282F"/>
    <w:rsid w:val="003A2849"/>
    <w:rsid w:val="003A2A78"/>
    <w:rsid w:val="003A2ABE"/>
    <w:rsid w:val="003A2AF4"/>
    <w:rsid w:val="003A2D02"/>
    <w:rsid w:val="003A2E7D"/>
    <w:rsid w:val="003A30F1"/>
    <w:rsid w:val="003A3222"/>
    <w:rsid w:val="003A328A"/>
    <w:rsid w:val="003A33B0"/>
    <w:rsid w:val="003A3612"/>
    <w:rsid w:val="003A3909"/>
    <w:rsid w:val="003A3B68"/>
    <w:rsid w:val="003A3BDB"/>
    <w:rsid w:val="003A3E18"/>
    <w:rsid w:val="003A3E8D"/>
    <w:rsid w:val="003A3F5D"/>
    <w:rsid w:val="003A40B1"/>
    <w:rsid w:val="003A43CA"/>
    <w:rsid w:val="003A4419"/>
    <w:rsid w:val="003A4649"/>
    <w:rsid w:val="003A491D"/>
    <w:rsid w:val="003A498D"/>
    <w:rsid w:val="003A4ABA"/>
    <w:rsid w:val="003A4AEA"/>
    <w:rsid w:val="003A4B55"/>
    <w:rsid w:val="003A4C20"/>
    <w:rsid w:val="003A4D3A"/>
    <w:rsid w:val="003A5309"/>
    <w:rsid w:val="003A5477"/>
    <w:rsid w:val="003A54A4"/>
    <w:rsid w:val="003A5641"/>
    <w:rsid w:val="003A57C5"/>
    <w:rsid w:val="003A59B1"/>
    <w:rsid w:val="003A5A85"/>
    <w:rsid w:val="003A5B46"/>
    <w:rsid w:val="003A5FA4"/>
    <w:rsid w:val="003A6065"/>
    <w:rsid w:val="003A6077"/>
    <w:rsid w:val="003A6252"/>
    <w:rsid w:val="003A6340"/>
    <w:rsid w:val="003A64CC"/>
    <w:rsid w:val="003A685D"/>
    <w:rsid w:val="003A6953"/>
    <w:rsid w:val="003A6963"/>
    <w:rsid w:val="003A6D6C"/>
    <w:rsid w:val="003A6D83"/>
    <w:rsid w:val="003A6E86"/>
    <w:rsid w:val="003A6F42"/>
    <w:rsid w:val="003A7497"/>
    <w:rsid w:val="003A7542"/>
    <w:rsid w:val="003A7735"/>
    <w:rsid w:val="003A7A68"/>
    <w:rsid w:val="003A7D0D"/>
    <w:rsid w:val="003A7E68"/>
    <w:rsid w:val="003B019D"/>
    <w:rsid w:val="003B01D7"/>
    <w:rsid w:val="003B05F3"/>
    <w:rsid w:val="003B0873"/>
    <w:rsid w:val="003B0940"/>
    <w:rsid w:val="003B09A8"/>
    <w:rsid w:val="003B0D3C"/>
    <w:rsid w:val="003B0DC3"/>
    <w:rsid w:val="003B0FC7"/>
    <w:rsid w:val="003B107E"/>
    <w:rsid w:val="003B1125"/>
    <w:rsid w:val="003B1239"/>
    <w:rsid w:val="003B12C3"/>
    <w:rsid w:val="003B18EF"/>
    <w:rsid w:val="003B19BA"/>
    <w:rsid w:val="003B1D2A"/>
    <w:rsid w:val="003B1F18"/>
    <w:rsid w:val="003B22E8"/>
    <w:rsid w:val="003B23F0"/>
    <w:rsid w:val="003B23F1"/>
    <w:rsid w:val="003B2599"/>
    <w:rsid w:val="003B2679"/>
    <w:rsid w:val="003B273D"/>
    <w:rsid w:val="003B284D"/>
    <w:rsid w:val="003B2897"/>
    <w:rsid w:val="003B2904"/>
    <w:rsid w:val="003B29C8"/>
    <w:rsid w:val="003B2AD1"/>
    <w:rsid w:val="003B2F62"/>
    <w:rsid w:val="003B2F6D"/>
    <w:rsid w:val="003B31EB"/>
    <w:rsid w:val="003B36B9"/>
    <w:rsid w:val="003B38E5"/>
    <w:rsid w:val="003B39AE"/>
    <w:rsid w:val="003B3CC6"/>
    <w:rsid w:val="003B3E4B"/>
    <w:rsid w:val="003B4060"/>
    <w:rsid w:val="003B4087"/>
    <w:rsid w:val="003B40A9"/>
    <w:rsid w:val="003B4121"/>
    <w:rsid w:val="003B41E7"/>
    <w:rsid w:val="003B41ED"/>
    <w:rsid w:val="003B4386"/>
    <w:rsid w:val="003B43CA"/>
    <w:rsid w:val="003B4586"/>
    <w:rsid w:val="003B46E5"/>
    <w:rsid w:val="003B47E7"/>
    <w:rsid w:val="003B48A4"/>
    <w:rsid w:val="003B48D1"/>
    <w:rsid w:val="003B4935"/>
    <w:rsid w:val="003B49A9"/>
    <w:rsid w:val="003B49E4"/>
    <w:rsid w:val="003B4A70"/>
    <w:rsid w:val="003B4B39"/>
    <w:rsid w:val="003B4BCD"/>
    <w:rsid w:val="003B4C16"/>
    <w:rsid w:val="003B4E11"/>
    <w:rsid w:val="003B538B"/>
    <w:rsid w:val="003B5470"/>
    <w:rsid w:val="003B57BB"/>
    <w:rsid w:val="003B5874"/>
    <w:rsid w:val="003B5970"/>
    <w:rsid w:val="003B5D74"/>
    <w:rsid w:val="003B5EFE"/>
    <w:rsid w:val="003B5FE4"/>
    <w:rsid w:val="003B61D9"/>
    <w:rsid w:val="003B639B"/>
    <w:rsid w:val="003B65C0"/>
    <w:rsid w:val="003B6703"/>
    <w:rsid w:val="003B68B7"/>
    <w:rsid w:val="003B68C9"/>
    <w:rsid w:val="003B69A5"/>
    <w:rsid w:val="003B6B18"/>
    <w:rsid w:val="003B6DFE"/>
    <w:rsid w:val="003B6E09"/>
    <w:rsid w:val="003B6E42"/>
    <w:rsid w:val="003B75DF"/>
    <w:rsid w:val="003B7669"/>
    <w:rsid w:val="003B785F"/>
    <w:rsid w:val="003B791A"/>
    <w:rsid w:val="003B7CC8"/>
    <w:rsid w:val="003B7FE5"/>
    <w:rsid w:val="003C0565"/>
    <w:rsid w:val="003C06BB"/>
    <w:rsid w:val="003C06FB"/>
    <w:rsid w:val="003C0791"/>
    <w:rsid w:val="003C0AD8"/>
    <w:rsid w:val="003C0C74"/>
    <w:rsid w:val="003C0CC2"/>
    <w:rsid w:val="003C0E2F"/>
    <w:rsid w:val="003C0EE4"/>
    <w:rsid w:val="003C15B6"/>
    <w:rsid w:val="003C1692"/>
    <w:rsid w:val="003C18AC"/>
    <w:rsid w:val="003C18F6"/>
    <w:rsid w:val="003C1A33"/>
    <w:rsid w:val="003C1B17"/>
    <w:rsid w:val="003C1BD4"/>
    <w:rsid w:val="003C1CA3"/>
    <w:rsid w:val="003C1E11"/>
    <w:rsid w:val="003C1E26"/>
    <w:rsid w:val="003C1FDA"/>
    <w:rsid w:val="003C2067"/>
    <w:rsid w:val="003C21CB"/>
    <w:rsid w:val="003C25D9"/>
    <w:rsid w:val="003C27A7"/>
    <w:rsid w:val="003C2A77"/>
    <w:rsid w:val="003C2B33"/>
    <w:rsid w:val="003C2FCE"/>
    <w:rsid w:val="003C3175"/>
    <w:rsid w:val="003C336B"/>
    <w:rsid w:val="003C349C"/>
    <w:rsid w:val="003C35BE"/>
    <w:rsid w:val="003C370D"/>
    <w:rsid w:val="003C37C4"/>
    <w:rsid w:val="003C37EB"/>
    <w:rsid w:val="003C388F"/>
    <w:rsid w:val="003C38A2"/>
    <w:rsid w:val="003C3916"/>
    <w:rsid w:val="003C399C"/>
    <w:rsid w:val="003C3C64"/>
    <w:rsid w:val="003C3E1C"/>
    <w:rsid w:val="003C3FFF"/>
    <w:rsid w:val="003C4581"/>
    <w:rsid w:val="003C485A"/>
    <w:rsid w:val="003C494B"/>
    <w:rsid w:val="003C4A96"/>
    <w:rsid w:val="003C4B8A"/>
    <w:rsid w:val="003C5035"/>
    <w:rsid w:val="003C50BE"/>
    <w:rsid w:val="003C515F"/>
    <w:rsid w:val="003C5265"/>
    <w:rsid w:val="003C5605"/>
    <w:rsid w:val="003C59E7"/>
    <w:rsid w:val="003C59F0"/>
    <w:rsid w:val="003C5A4A"/>
    <w:rsid w:val="003C5B6D"/>
    <w:rsid w:val="003C5BDD"/>
    <w:rsid w:val="003C5DF3"/>
    <w:rsid w:val="003C5F14"/>
    <w:rsid w:val="003C5FDB"/>
    <w:rsid w:val="003C60BF"/>
    <w:rsid w:val="003C6186"/>
    <w:rsid w:val="003C6273"/>
    <w:rsid w:val="003C64C3"/>
    <w:rsid w:val="003C6639"/>
    <w:rsid w:val="003C6A00"/>
    <w:rsid w:val="003C6C9D"/>
    <w:rsid w:val="003C6F10"/>
    <w:rsid w:val="003C6FDE"/>
    <w:rsid w:val="003C7091"/>
    <w:rsid w:val="003C73C4"/>
    <w:rsid w:val="003C7479"/>
    <w:rsid w:val="003C7638"/>
    <w:rsid w:val="003C773A"/>
    <w:rsid w:val="003C7941"/>
    <w:rsid w:val="003C797F"/>
    <w:rsid w:val="003C79FC"/>
    <w:rsid w:val="003C7A33"/>
    <w:rsid w:val="003C7A6D"/>
    <w:rsid w:val="003C7B26"/>
    <w:rsid w:val="003C7ECE"/>
    <w:rsid w:val="003D01A4"/>
    <w:rsid w:val="003D0649"/>
    <w:rsid w:val="003D0661"/>
    <w:rsid w:val="003D0670"/>
    <w:rsid w:val="003D0709"/>
    <w:rsid w:val="003D0809"/>
    <w:rsid w:val="003D09D2"/>
    <w:rsid w:val="003D0BF2"/>
    <w:rsid w:val="003D0FAD"/>
    <w:rsid w:val="003D0FD9"/>
    <w:rsid w:val="003D0FF3"/>
    <w:rsid w:val="003D1066"/>
    <w:rsid w:val="003D10AD"/>
    <w:rsid w:val="003D168F"/>
    <w:rsid w:val="003D1845"/>
    <w:rsid w:val="003D1A8F"/>
    <w:rsid w:val="003D1C56"/>
    <w:rsid w:val="003D1CBC"/>
    <w:rsid w:val="003D1D44"/>
    <w:rsid w:val="003D211D"/>
    <w:rsid w:val="003D22BD"/>
    <w:rsid w:val="003D2438"/>
    <w:rsid w:val="003D2496"/>
    <w:rsid w:val="003D24DC"/>
    <w:rsid w:val="003D2557"/>
    <w:rsid w:val="003D25B8"/>
    <w:rsid w:val="003D29F0"/>
    <w:rsid w:val="003D2B56"/>
    <w:rsid w:val="003D2D95"/>
    <w:rsid w:val="003D3172"/>
    <w:rsid w:val="003D328B"/>
    <w:rsid w:val="003D3495"/>
    <w:rsid w:val="003D3689"/>
    <w:rsid w:val="003D3D4B"/>
    <w:rsid w:val="003D3DAD"/>
    <w:rsid w:val="003D3E8C"/>
    <w:rsid w:val="003D3EC5"/>
    <w:rsid w:val="003D3FFC"/>
    <w:rsid w:val="003D4107"/>
    <w:rsid w:val="003D41C2"/>
    <w:rsid w:val="003D4405"/>
    <w:rsid w:val="003D453B"/>
    <w:rsid w:val="003D47E8"/>
    <w:rsid w:val="003D48DB"/>
    <w:rsid w:val="003D4A17"/>
    <w:rsid w:val="003D4BBD"/>
    <w:rsid w:val="003D4C51"/>
    <w:rsid w:val="003D4CFC"/>
    <w:rsid w:val="003D4E17"/>
    <w:rsid w:val="003D5120"/>
    <w:rsid w:val="003D531F"/>
    <w:rsid w:val="003D55CD"/>
    <w:rsid w:val="003D5646"/>
    <w:rsid w:val="003D56BE"/>
    <w:rsid w:val="003D576F"/>
    <w:rsid w:val="003D57CE"/>
    <w:rsid w:val="003D5865"/>
    <w:rsid w:val="003D5A25"/>
    <w:rsid w:val="003D5B9C"/>
    <w:rsid w:val="003D5BDE"/>
    <w:rsid w:val="003D5BEE"/>
    <w:rsid w:val="003D5DAE"/>
    <w:rsid w:val="003D5FA1"/>
    <w:rsid w:val="003D6059"/>
    <w:rsid w:val="003D625F"/>
    <w:rsid w:val="003D62B2"/>
    <w:rsid w:val="003D62F2"/>
    <w:rsid w:val="003D6556"/>
    <w:rsid w:val="003D6646"/>
    <w:rsid w:val="003D681B"/>
    <w:rsid w:val="003D68D1"/>
    <w:rsid w:val="003D6928"/>
    <w:rsid w:val="003D6960"/>
    <w:rsid w:val="003D6C58"/>
    <w:rsid w:val="003D6F0B"/>
    <w:rsid w:val="003D6F7F"/>
    <w:rsid w:val="003D6FA1"/>
    <w:rsid w:val="003D70B1"/>
    <w:rsid w:val="003D7118"/>
    <w:rsid w:val="003D7229"/>
    <w:rsid w:val="003D73A8"/>
    <w:rsid w:val="003D7466"/>
    <w:rsid w:val="003D749A"/>
    <w:rsid w:val="003D7794"/>
    <w:rsid w:val="003D798F"/>
    <w:rsid w:val="003D7A9C"/>
    <w:rsid w:val="003D7D6D"/>
    <w:rsid w:val="003D7E69"/>
    <w:rsid w:val="003E0183"/>
    <w:rsid w:val="003E0289"/>
    <w:rsid w:val="003E036A"/>
    <w:rsid w:val="003E079D"/>
    <w:rsid w:val="003E09E3"/>
    <w:rsid w:val="003E0A82"/>
    <w:rsid w:val="003E0B28"/>
    <w:rsid w:val="003E0BFF"/>
    <w:rsid w:val="003E0C3C"/>
    <w:rsid w:val="003E0D71"/>
    <w:rsid w:val="003E0F66"/>
    <w:rsid w:val="003E105D"/>
    <w:rsid w:val="003E106C"/>
    <w:rsid w:val="003E10A9"/>
    <w:rsid w:val="003E124C"/>
    <w:rsid w:val="003E1386"/>
    <w:rsid w:val="003E1498"/>
    <w:rsid w:val="003E14FC"/>
    <w:rsid w:val="003E1711"/>
    <w:rsid w:val="003E17B5"/>
    <w:rsid w:val="003E1825"/>
    <w:rsid w:val="003E1A32"/>
    <w:rsid w:val="003E1BEB"/>
    <w:rsid w:val="003E1FB9"/>
    <w:rsid w:val="003E2055"/>
    <w:rsid w:val="003E20AC"/>
    <w:rsid w:val="003E2215"/>
    <w:rsid w:val="003E22CA"/>
    <w:rsid w:val="003E2652"/>
    <w:rsid w:val="003E2819"/>
    <w:rsid w:val="003E2AC2"/>
    <w:rsid w:val="003E2BD2"/>
    <w:rsid w:val="003E2C2E"/>
    <w:rsid w:val="003E2E30"/>
    <w:rsid w:val="003E2ED6"/>
    <w:rsid w:val="003E2FBB"/>
    <w:rsid w:val="003E30E8"/>
    <w:rsid w:val="003E313B"/>
    <w:rsid w:val="003E32D5"/>
    <w:rsid w:val="003E33DB"/>
    <w:rsid w:val="003E3630"/>
    <w:rsid w:val="003E379E"/>
    <w:rsid w:val="003E38B6"/>
    <w:rsid w:val="003E39E3"/>
    <w:rsid w:val="003E3ADA"/>
    <w:rsid w:val="003E3B06"/>
    <w:rsid w:val="003E3B70"/>
    <w:rsid w:val="003E3BC3"/>
    <w:rsid w:val="003E3CE6"/>
    <w:rsid w:val="003E3D12"/>
    <w:rsid w:val="003E3D24"/>
    <w:rsid w:val="003E3E8A"/>
    <w:rsid w:val="003E3F41"/>
    <w:rsid w:val="003E3FB7"/>
    <w:rsid w:val="003E3FF5"/>
    <w:rsid w:val="003E41EA"/>
    <w:rsid w:val="003E43E1"/>
    <w:rsid w:val="003E44DA"/>
    <w:rsid w:val="003E4565"/>
    <w:rsid w:val="003E4633"/>
    <w:rsid w:val="003E4679"/>
    <w:rsid w:val="003E4682"/>
    <w:rsid w:val="003E46BE"/>
    <w:rsid w:val="003E4714"/>
    <w:rsid w:val="003E477C"/>
    <w:rsid w:val="003E484F"/>
    <w:rsid w:val="003E4B7B"/>
    <w:rsid w:val="003E4D19"/>
    <w:rsid w:val="003E4F6E"/>
    <w:rsid w:val="003E50BF"/>
    <w:rsid w:val="003E531D"/>
    <w:rsid w:val="003E53B2"/>
    <w:rsid w:val="003E53E7"/>
    <w:rsid w:val="003E577E"/>
    <w:rsid w:val="003E58E7"/>
    <w:rsid w:val="003E5AC4"/>
    <w:rsid w:val="003E5BDE"/>
    <w:rsid w:val="003E5BE8"/>
    <w:rsid w:val="003E5CA0"/>
    <w:rsid w:val="003E5FF3"/>
    <w:rsid w:val="003E620A"/>
    <w:rsid w:val="003E623F"/>
    <w:rsid w:val="003E659D"/>
    <w:rsid w:val="003E6754"/>
    <w:rsid w:val="003E67B3"/>
    <w:rsid w:val="003E69F3"/>
    <w:rsid w:val="003E6B20"/>
    <w:rsid w:val="003E6CBE"/>
    <w:rsid w:val="003E6CD7"/>
    <w:rsid w:val="003E6EB2"/>
    <w:rsid w:val="003E6FAB"/>
    <w:rsid w:val="003E7084"/>
    <w:rsid w:val="003E727C"/>
    <w:rsid w:val="003E751A"/>
    <w:rsid w:val="003E75E4"/>
    <w:rsid w:val="003E766A"/>
    <w:rsid w:val="003E7724"/>
    <w:rsid w:val="003E777D"/>
    <w:rsid w:val="003E7812"/>
    <w:rsid w:val="003E79E5"/>
    <w:rsid w:val="003E7A51"/>
    <w:rsid w:val="003E7A56"/>
    <w:rsid w:val="003E7A8E"/>
    <w:rsid w:val="003E7CB4"/>
    <w:rsid w:val="003E7D44"/>
    <w:rsid w:val="003F01BB"/>
    <w:rsid w:val="003F04EC"/>
    <w:rsid w:val="003F0795"/>
    <w:rsid w:val="003F09DF"/>
    <w:rsid w:val="003F09F2"/>
    <w:rsid w:val="003F0D53"/>
    <w:rsid w:val="003F0E3F"/>
    <w:rsid w:val="003F0FB2"/>
    <w:rsid w:val="003F107B"/>
    <w:rsid w:val="003F137A"/>
    <w:rsid w:val="003F141D"/>
    <w:rsid w:val="003F1474"/>
    <w:rsid w:val="003F15A9"/>
    <w:rsid w:val="003F1723"/>
    <w:rsid w:val="003F1810"/>
    <w:rsid w:val="003F18C8"/>
    <w:rsid w:val="003F1ADF"/>
    <w:rsid w:val="003F1C0F"/>
    <w:rsid w:val="003F1E5F"/>
    <w:rsid w:val="003F1FFD"/>
    <w:rsid w:val="003F2254"/>
    <w:rsid w:val="003F2426"/>
    <w:rsid w:val="003F2521"/>
    <w:rsid w:val="003F2794"/>
    <w:rsid w:val="003F287A"/>
    <w:rsid w:val="003F28B7"/>
    <w:rsid w:val="003F2D4E"/>
    <w:rsid w:val="003F2E0C"/>
    <w:rsid w:val="003F3195"/>
    <w:rsid w:val="003F34D7"/>
    <w:rsid w:val="003F353D"/>
    <w:rsid w:val="003F3631"/>
    <w:rsid w:val="003F37D5"/>
    <w:rsid w:val="003F380C"/>
    <w:rsid w:val="003F3818"/>
    <w:rsid w:val="003F3E5F"/>
    <w:rsid w:val="003F41BA"/>
    <w:rsid w:val="003F4387"/>
    <w:rsid w:val="003F4853"/>
    <w:rsid w:val="003F4994"/>
    <w:rsid w:val="003F4C43"/>
    <w:rsid w:val="003F4D7D"/>
    <w:rsid w:val="003F52E8"/>
    <w:rsid w:val="003F5387"/>
    <w:rsid w:val="003F54B4"/>
    <w:rsid w:val="003F590D"/>
    <w:rsid w:val="003F5917"/>
    <w:rsid w:val="003F5EF8"/>
    <w:rsid w:val="003F5F0A"/>
    <w:rsid w:val="003F62B5"/>
    <w:rsid w:val="003F6377"/>
    <w:rsid w:val="003F645B"/>
    <w:rsid w:val="003F660E"/>
    <w:rsid w:val="003F66F1"/>
    <w:rsid w:val="003F6BC7"/>
    <w:rsid w:val="003F6DE3"/>
    <w:rsid w:val="003F6EC8"/>
    <w:rsid w:val="003F6FB1"/>
    <w:rsid w:val="003F7287"/>
    <w:rsid w:val="003F72FD"/>
    <w:rsid w:val="003F7386"/>
    <w:rsid w:val="003F74C6"/>
    <w:rsid w:val="003F7A00"/>
    <w:rsid w:val="003F7ABD"/>
    <w:rsid w:val="003F7BBC"/>
    <w:rsid w:val="003F7D5B"/>
    <w:rsid w:val="003F7F60"/>
    <w:rsid w:val="003F7FA2"/>
    <w:rsid w:val="003F7FEA"/>
    <w:rsid w:val="004000AE"/>
    <w:rsid w:val="0040017B"/>
    <w:rsid w:val="0040050D"/>
    <w:rsid w:val="00400530"/>
    <w:rsid w:val="0040055B"/>
    <w:rsid w:val="00400815"/>
    <w:rsid w:val="00400BB4"/>
    <w:rsid w:val="00400BE5"/>
    <w:rsid w:val="00400C34"/>
    <w:rsid w:val="00400ED3"/>
    <w:rsid w:val="004010A9"/>
    <w:rsid w:val="004011A9"/>
    <w:rsid w:val="004015D3"/>
    <w:rsid w:val="00401643"/>
    <w:rsid w:val="00401694"/>
    <w:rsid w:val="00401921"/>
    <w:rsid w:val="00401DB2"/>
    <w:rsid w:val="00401E28"/>
    <w:rsid w:val="00401ED1"/>
    <w:rsid w:val="0040219A"/>
    <w:rsid w:val="004021D3"/>
    <w:rsid w:val="004024F6"/>
    <w:rsid w:val="00402643"/>
    <w:rsid w:val="004029DA"/>
    <w:rsid w:val="00402C66"/>
    <w:rsid w:val="00402D23"/>
    <w:rsid w:val="00402DC7"/>
    <w:rsid w:val="0040326C"/>
    <w:rsid w:val="0040328D"/>
    <w:rsid w:val="00403438"/>
    <w:rsid w:val="00403506"/>
    <w:rsid w:val="00403566"/>
    <w:rsid w:val="00403607"/>
    <w:rsid w:val="00403619"/>
    <w:rsid w:val="0040379A"/>
    <w:rsid w:val="0040391A"/>
    <w:rsid w:val="00403F55"/>
    <w:rsid w:val="00404045"/>
    <w:rsid w:val="0040420C"/>
    <w:rsid w:val="0040430A"/>
    <w:rsid w:val="004045C1"/>
    <w:rsid w:val="004048FA"/>
    <w:rsid w:val="00404A63"/>
    <w:rsid w:val="00404D7D"/>
    <w:rsid w:val="00404DAB"/>
    <w:rsid w:val="00404FD1"/>
    <w:rsid w:val="004052EA"/>
    <w:rsid w:val="00405DAD"/>
    <w:rsid w:val="004060C8"/>
    <w:rsid w:val="0040612A"/>
    <w:rsid w:val="00406693"/>
    <w:rsid w:val="004067CF"/>
    <w:rsid w:val="0040684C"/>
    <w:rsid w:val="004069B1"/>
    <w:rsid w:val="00406A58"/>
    <w:rsid w:val="00406A82"/>
    <w:rsid w:val="00406B84"/>
    <w:rsid w:val="00406F30"/>
    <w:rsid w:val="00407187"/>
    <w:rsid w:val="00407701"/>
    <w:rsid w:val="00407AA9"/>
    <w:rsid w:val="00407C8C"/>
    <w:rsid w:val="00407ED6"/>
    <w:rsid w:val="00410088"/>
    <w:rsid w:val="0041012F"/>
    <w:rsid w:val="0041079E"/>
    <w:rsid w:val="004109CA"/>
    <w:rsid w:val="00410A16"/>
    <w:rsid w:val="00410AE4"/>
    <w:rsid w:val="00410B8F"/>
    <w:rsid w:val="00410B99"/>
    <w:rsid w:val="00410E2F"/>
    <w:rsid w:val="00410FBC"/>
    <w:rsid w:val="00411295"/>
    <w:rsid w:val="004112AA"/>
    <w:rsid w:val="004114FA"/>
    <w:rsid w:val="00411547"/>
    <w:rsid w:val="004117B7"/>
    <w:rsid w:val="00411978"/>
    <w:rsid w:val="00411A28"/>
    <w:rsid w:val="00411CE0"/>
    <w:rsid w:val="00411D64"/>
    <w:rsid w:val="00411EA7"/>
    <w:rsid w:val="00411FC5"/>
    <w:rsid w:val="00411FD0"/>
    <w:rsid w:val="0041216C"/>
    <w:rsid w:val="004123E4"/>
    <w:rsid w:val="00412479"/>
    <w:rsid w:val="004124BF"/>
    <w:rsid w:val="004124E8"/>
    <w:rsid w:val="0041255A"/>
    <w:rsid w:val="00412795"/>
    <w:rsid w:val="004128CB"/>
    <w:rsid w:val="00412941"/>
    <w:rsid w:val="00412947"/>
    <w:rsid w:val="00412A46"/>
    <w:rsid w:val="00412B11"/>
    <w:rsid w:val="00412B6D"/>
    <w:rsid w:val="00412E4F"/>
    <w:rsid w:val="00412FC7"/>
    <w:rsid w:val="004136AE"/>
    <w:rsid w:val="00413734"/>
    <w:rsid w:val="004137F7"/>
    <w:rsid w:val="00413807"/>
    <w:rsid w:val="00413DC3"/>
    <w:rsid w:val="00414129"/>
    <w:rsid w:val="00414351"/>
    <w:rsid w:val="00414444"/>
    <w:rsid w:val="00414699"/>
    <w:rsid w:val="004146CA"/>
    <w:rsid w:val="00414746"/>
    <w:rsid w:val="00414F22"/>
    <w:rsid w:val="00414F4E"/>
    <w:rsid w:val="004153CF"/>
    <w:rsid w:val="0041545E"/>
    <w:rsid w:val="0041550C"/>
    <w:rsid w:val="004155B7"/>
    <w:rsid w:val="004155E4"/>
    <w:rsid w:val="00415670"/>
    <w:rsid w:val="004156B8"/>
    <w:rsid w:val="00415728"/>
    <w:rsid w:val="0041594E"/>
    <w:rsid w:val="00415B34"/>
    <w:rsid w:val="00415B54"/>
    <w:rsid w:val="00415B98"/>
    <w:rsid w:val="00415CD0"/>
    <w:rsid w:val="00415DB8"/>
    <w:rsid w:val="00415DD4"/>
    <w:rsid w:val="00415E65"/>
    <w:rsid w:val="00415E92"/>
    <w:rsid w:val="00416091"/>
    <w:rsid w:val="0041680D"/>
    <w:rsid w:val="00416820"/>
    <w:rsid w:val="0041685A"/>
    <w:rsid w:val="00416923"/>
    <w:rsid w:val="00416B98"/>
    <w:rsid w:val="00416CF5"/>
    <w:rsid w:val="00416E05"/>
    <w:rsid w:val="00416E6C"/>
    <w:rsid w:val="00416F2E"/>
    <w:rsid w:val="004170D3"/>
    <w:rsid w:val="00417380"/>
    <w:rsid w:val="004174E6"/>
    <w:rsid w:val="004177DD"/>
    <w:rsid w:val="004178D4"/>
    <w:rsid w:val="004179E1"/>
    <w:rsid w:val="004179EB"/>
    <w:rsid w:val="00417AA0"/>
    <w:rsid w:val="00417CD8"/>
    <w:rsid w:val="00417DD9"/>
    <w:rsid w:val="00417F8C"/>
    <w:rsid w:val="004201A1"/>
    <w:rsid w:val="004201AF"/>
    <w:rsid w:val="004201C1"/>
    <w:rsid w:val="0042036C"/>
    <w:rsid w:val="0042046C"/>
    <w:rsid w:val="004207A4"/>
    <w:rsid w:val="004207B0"/>
    <w:rsid w:val="004208D4"/>
    <w:rsid w:val="00420A4D"/>
    <w:rsid w:val="00420B97"/>
    <w:rsid w:val="00420C47"/>
    <w:rsid w:val="00420CF9"/>
    <w:rsid w:val="00420FC4"/>
    <w:rsid w:val="00421417"/>
    <w:rsid w:val="004215DA"/>
    <w:rsid w:val="00421979"/>
    <w:rsid w:val="00421F24"/>
    <w:rsid w:val="00421F50"/>
    <w:rsid w:val="00421FA4"/>
    <w:rsid w:val="00422080"/>
    <w:rsid w:val="004221A0"/>
    <w:rsid w:val="004223BD"/>
    <w:rsid w:val="0042252D"/>
    <w:rsid w:val="00422533"/>
    <w:rsid w:val="00422595"/>
    <w:rsid w:val="00422669"/>
    <w:rsid w:val="00422BDB"/>
    <w:rsid w:val="00422E49"/>
    <w:rsid w:val="004232C1"/>
    <w:rsid w:val="00423644"/>
    <w:rsid w:val="004237A7"/>
    <w:rsid w:val="004237AD"/>
    <w:rsid w:val="0042380F"/>
    <w:rsid w:val="00423A96"/>
    <w:rsid w:val="00423AB6"/>
    <w:rsid w:val="00423CD1"/>
    <w:rsid w:val="00423F23"/>
    <w:rsid w:val="00423F3B"/>
    <w:rsid w:val="00423FAC"/>
    <w:rsid w:val="0042407C"/>
    <w:rsid w:val="00424451"/>
    <w:rsid w:val="004246A4"/>
    <w:rsid w:val="0042482A"/>
    <w:rsid w:val="00424834"/>
    <w:rsid w:val="004249BE"/>
    <w:rsid w:val="00424B6C"/>
    <w:rsid w:val="00424C17"/>
    <w:rsid w:val="00424CCF"/>
    <w:rsid w:val="00424E44"/>
    <w:rsid w:val="004251D8"/>
    <w:rsid w:val="004253EF"/>
    <w:rsid w:val="0042580C"/>
    <w:rsid w:val="0042590D"/>
    <w:rsid w:val="00425A1B"/>
    <w:rsid w:val="00425A7D"/>
    <w:rsid w:val="00425D3A"/>
    <w:rsid w:val="00425E20"/>
    <w:rsid w:val="004260A3"/>
    <w:rsid w:val="004260BE"/>
    <w:rsid w:val="004260C8"/>
    <w:rsid w:val="00426228"/>
    <w:rsid w:val="00426505"/>
    <w:rsid w:val="00426870"/>
    <w:rsid w:val="00426963"/>
    <w:rsid w:val="00426BA9"/>
    <w:rsid w:val="00426F60"/>
    <w:rsid w:val="00427174"/>
    <w:rsid w:val="004271CA"/>
    <w:rsid w:val="00427272"/>
    <w:rsid w:val="0042736E"/>
    <w:rsid w:val="0042764A"/>
    <w:rsid w:val="004278BB"/>
    <w:rsid w:val="00427B6B"/>
    <w:rsid w:val="00427BE0"/>
    <w:rsid w:val="00427BEC"/>
    <w:rsid w:val="00427C47"/>
    <w:rsid w:val="00427DE7"/>
    <w:rsid w:val="00430328"/>
    <w:rsid w:val="00430469"/>
    <w:rsid w:val="0043049B"/>
    <w:rsid w:val="00430820"/>
    <w:rsid w:val="00430986"/>
    <w:rsid w:val="0043099A"/>
    <w:rsid w:val="00430A34"/>
    <w:rsid w:val="00430A92"/>
    <w:rsid w:val="00430FD6"/>
    <w:rsid w:val="00430FE6"/>
    <w:rsid w:val="004310F2"/>
    <w:rsid w:val="00431317"/>
    <w:rsid w:val="00431330"/>
    <w:rsid w:val="00431382"/>
    <w:rsid w:val="00431480"/>
    <w:rsid w:val="0043159C"/>
    <w:rsid w:val="004315A6"/>
    <w:rsid w:val="0043164E"/>
    <w:rsid w:val="00431787"/>
    <w:rsid w:val="00431935"/>
    <w:rsid w:val="004319A9"/>
    <w:rsid w:val="00431A61"/>
    <w:rsid w:val="00431C15"/>
    <w:rsid w:val="00431C40"/>
    <w:rsid w:val="00431D45"/>
    <w:rsid w:val="00432056"/>
    <w:rsid w:val="00432146"/>
    <w:rsid w:val="004321A4"/>
    <w:rsid w:val="004326D0"/>
    <w:rsid w:val="00432874"/>
    <w:rsid w:val="004328CF"/>
    <w:rsid w:val="00432988"/>
    <w:rsid w:val="00432BA9"/>
    <w:rsid w:val="00432CE3"/>
    <w:rsid w:val="00432E44"/>
    <w:rsid w:val="00432EFA"/>
    <w:rsid w:val="00432F90"/>
    <w:rsid w:val="0043318A"/>
    <w:rsid w:val="004331AC"/>
    <w:rsid w:val="004331E3"/>
    <w:rsid w:val="00433345"/>
    <w:rsid w:val="004333B8"/>
    <w:rsid w:val="004333CD"/>
    <w:rsid w:val="00433A2A"/>
    <w:rsid w:val="00433C57"/>
    <w:rsid w:val="00433EC4"/>
    <w:rsid w:val="0043456D"/>
    <w:rsid w:val="004347AB"/>
    <w:rsid w:val="00434C1D"/>
    <w:rsid w:val="00434D7F"/>
    <w:rsid w:val="004350C6"/>
    <w:rsid w:val="004351C2"/>
    <w:rsid w:val="004356CE"/>
    <w:rsid w:val="004357BA"/>
    <w:rsid w:val="004357D8"/>
    <w:rsid w:val="004357E1"/>
    <w:rsid w:val="00435952"/>
    <w:rsid w:val="004359CC"/>
    <w:rsid w:val="004359D7"/>
    <w:rsid w:val="004359FC"/>
    <w:rsid w:val="00435A19"/>
    <w:rsid w:val="00435B48"/>
    <w:rsid w:val="00435B6C"/>
    <w:rsid w:val="00435BAF"/>
    <w:rsid w:val="00435BDE"/>
    <w:rsid w:val="00435C6E"/>
    <w:rsid w:val="00436151"/>
    <w:rsid w:val="0043621C"/>
    <w:rsid w:val="004365CC"/>
    <w:rsid w:val="004367C5"/>
    <w:rsid w:val="004367CB"/>
    <w:rsid w:val="0043683B"/>
    <w:rsid w:val="004368AE"/>
    <w:rsid w:val="00436E94"/>
    <w:rsid w:val="004370A3"/>
    <w:rsid w:val="004372AA"/>
    <w:rsid w:val="00437306"/>
    <w:rsid w:val="00437532"/>
    <w:rsid w:val="00437607"/>
    <w:rsid w:val="004376A3"/>
    <w:rsid w:val="00437769"/>
    <w:rsid w:val="00437822"/>
    <w:rsid w:val="00437A20"/>
    <w:rsid w:val="00437EB8"/>
    <w:rsid w:val="00437F6D"/>
    <w:rsid w:val="0044008A"/>
    <w:rsid w:val="004403D2"/>
    <w:rsid w:val="004404AD"/>
    <w:rsid w:val="0044051A"/>
    <w:rsid w:val="0044083D"/>
    <w:rsid w:val="004409D0"/>
    <w:rsid w:val="00440C5B"/>
    <w:rsid w:val="00440CD6"/>
    <w:rsid w:val="00440D2A"/>
    <w:rsid w:val="00440E4F"/>
    <w:rsid w:val="00440E7F"/>
    <w:rsid w:val="00440EB0"/>
    <w:rsid w:val="00440F59"/>
    <w:rsid w:val="0044135D"/>
    <w:rsid w:val="004413DA"/>
    <w:rsid w:val="00441498"/>
    <w:rsid w:val="004414BA"/>
    <w:rsid w:val="00441A88"/>
    <w:rsid w:val="00441D2E"/>
    <w:rsid w:val="00441D54"/>
    <w:rsid w:val="00441E09"/>
    <w:rsid w:val="00441F35"/>
    <w:rsid w:val="00441F73"/>
    <w:rsid w:val="00441FE8"/>
    <w:rsid w:val="00442116"/>
    <w:rsid w:val="0044217F"/>
    <w:rsid w:val="004421DD"/>
    <w:rsid w:val="00442332"/>
    <w:rsid w:val="00442612"/>
    <w:rsid w:val="00442613"/>
    <w:rsid w:val="00442795"/>
    <w:rsid w:val="00442A03"/>
    <w:rsid w:val="00442AA0"/>
    <w:rsid w:val="00442AD5"/>
    <w:rsid w:val="00442C3C"/>
    <w:rsid w:val="00442C66"/>
    <w:rsid w:val="00442E7E"/>
    <w:rsid w:val="00442E82"/>
    <w:rsid w:val="004432D5"/>
    <w:rsid w:val="00443547"/>
    <w:rsid w:val="00443746"/>
    <w:rsid w:val="00443869"/>
    <w:rsid w:val="00443BDA"/>
    <w:rsid w:val="00443C4A"/>
    <w:rsid w:val="00443C80"/>
    <w:rsid w:val="00443FA9"/>
    <w:rsid w:val="00444316"/>
    <w:rsid w:val="00444377"/>
    <w:rsid w:val="004445B5"/>
    <w:rsid w:val="004445F8"/>
    <w:rsid w:val="0044478D"/>
    <w:rsid w:val="00444A66"/>
    <w:rsid w:val="00444B28"/>
    <w:rsid w:val="00444E11"/>
    <w:rsid w:val="00444EC1"/>
    <w:rsid w:val="004451AA"/>
    <w:rsid w:val="00445440"/>
    <w:rsid w:val="004454E6"/>
    <w:rsid w:val="0044556B"/>
    <w:rsid w:val="004456C0"/>
    <w:rsid w:val="004456C7"/>
    <w:rsid w:val="00445A3B"/>
    <w:rsid w:val="00445B87"/>
    <w:rsid w:val="00445BEC"/>
    <w:rsid w:val="00445F60"/>
    <w:rsid w:val="00446037"/>
    <w:rsid w:val="0044609B"/>
    <w:rsid w:val="00446194"/>
    <w:rsid w:val="00446249"/>
    <w:rsid w:val="004463EF"/>
    <w:rsid w:val="0044646C"/>
    <w:rsid w:val="004467BA"/>
    <w:rsid w:val="004468A6"/>
    <w:rsid w:val="0044697E"/>
    <w:rsid w:val="00446C16"/>
    <w:rsid w:val="00446CD7"/>
    <w:rsid w:val="00446D9F"/>
    <w:rsid w:val="00446DE1"/>
    <w:rsid w:val="00446F03"/>
    <w:rsid w:val="00446F46"/>
    <w:rsid w:val="0044706C"/>
    <w:rsid w:val="004470BB"/>
    <w:rsid w:val="00447373"/>
    <w:rsid w:val="00447432"/>
    <w:rsid w:val="0044764C"/>
    <w:rsid w:val="00447662"/>
    <w:rsid w:val="0044784E"/>
    <w:rsid w:val="00447C43"/>
    <w:rsid w:val="00447DBA"/>
    <w:rsid w:val="00447E0E"/>
    <w:rsid w:val="00447F55"/>
    <w:rsid w:val="00447F69"/>
    <w:rsid w:val="004505A6"/>
    <w:rsid w:val="0045066B"/>
    <w:rsid w:val="00450705"/>
    <w:rsid w:val="0045086A"/>
    <w:rsid w:val="004508B6"/>
    <w:rsid w:val="0045092A"/>
    <w:rsid w:val="004509EE"/>
    <w:rsid w:val="00450A1D"/>
    <w:rsid w:val="00450A82"/>
    <w:rsid w:val="00450C63"/>
    <w:rsid w:val="00450DA9"/>
    <w:rsid w:val="00450FC6"/>
    <w:rsid w:val="004510BE"/>
    <w:rsid w:val="00451383"/>
    <w:rsid w:val="0045151D"/>
    <w:rsid w:val="004515A3"/>
    <w:rsid w:val="0045162F"/>
    <w:rsid w:val="004517D6"/>
    <w:rsid w:val="00451B60"/>
    <w:rsid w:val="00451C7D"/>
    <w:rsid w:val="00451D7A"/>
    <w:rsid w:val="00452035"/>
    <w:rsid w:val="00452095"/>
    <w:rsid w:val="004521CC"/>
    <w:rsid w:val="00452263"/>
    <w:rsid w:val="004522CD"/>
    <w:rsid w:val="0045236C"/>
    <w:rsid w:val="0045258B"/>
    <w:rsid w:val="00452654"/>
    <w:rsid w:val="004526F7"/>
    <w:rsid w:val="004529DC"/>
    <w:rsid w:val="00452A84"/>
    <w:rsid w:val="00452B6C"/>
    <w:rsid w:val="00452F48"/>
    <w:rsid w:val="004530F8"/>
    <w:rsid w:val="004535DF"/>
    <w:rsid w:val="0045366A"/>
    <w:rsid w:val="004536C1"/>
    <w:rsid w:val="004537FF"/>
    <w:rsid w:val="004538AF"/>
    <w:rsid w:val="00453904"/>
    <w:rsid w:val="004539CD"/>
    <w:rsid w:val="00453A42"/>
    <w:rsid w:val="00453AE1"/>
    <w:rsid w:val="00453B8E"/>
    <w:rsid w:val="00453E31"/>
    <w:rsid w:val="0045417F"/>
    <w:rsid w:val="0045427E"/>
    <w:rsid w:val="0045428E"/>
    <w:rsid w:val="004543BC"/>
    <w:rsid w:val="00454421"/>
    <w:rsid w:val="00454435"/>
    <w:rsid w:val="004545FA"/>
    <w:rsid w:val="00454694"/>
    <w:rsid w:val="004548AB"/>
    <w:rsid w:val="00454A9B"/>
    <w:rsid w:val="00454BE4"/>
    <w:rsid w:val="004551B2"/>
    <w:rsid w:val="004555DD"/>
    <w:rsid w:val="00455B1F"/>
    <w:rsid w:val="00456088"/>
    <w:rsid w:val="00456280"/>
    <w:rsid w:val="004562E2"/>
    <w:rsid w:val="00456572"/>
    <w:rsid w:val="004565EB"/>
    <w:rsid w:val="004569B6"/>
    <w:rsid w:val="00456A23"/>
    <w:rsid w:val="00456B8F"/>
    <w:rsid w:val="00456C49"/>
    <w:rsid w:val="00456D54"/>
    <w:rsid w:val="00456DC1"/>
    <w:rsid w:val="00456ED4"/>
    <w:rsid w:val="00456F81"/>
    <w:rsid w:val="00457107"/>
    <w:rsid w:val="00457149"/>
    <w:rsid w:val="00457469"/>
    <w:rsid w:val="0045750D"/>
    <w:rsid w:val="00457542"/>
    <w:rsid w:val="00457831"/>
    <w:rsid w:val="004578CD"/>
    <w:rsid w:val="004578E8"/>
    <w:rsid w:val="00457AAB"/>
    <w:rsid w:val="00457C85"/>
    <w:rsid w:val="00457DA7"/>
    <w:rsid w:val="00460062"/>
    <w:rsid w:val="00460099"/>
    <w:rsid w:val="004602EA"/>
    <w:rsid w:val="004603BE"/>
    <w:rsid w:val="00460620"/>
    <w:rsid w:val="00460828"/>
    <w:rsid w:val="004608E6"/>
    <w:rsid w:val="004609B8"/>
    <w:rsid w:val="00460D9B"/>
    <w:rsid w:val="00460DD5"/>
    <w:rsid w:val="00460F33"/>
    <w:rsid w:val="004610AB"/>
    <w:rsid w:val="004610BC"/>
    <w:rsid w:val="0046155C"/>
    <w:rsid w:val="00461578"/>
    <w:rsid w:val="00461728"/>
    <w:rsid w:val="004617CA"/>
    <w:rsid w:val="00461A8F"/>
    <w:rsid w:val="00461CC4"/>
    <w:rsid w:val="00461E08"/>
    <w:rsid w:val="00461F39"/>
    <w:rsid w:val="0046230E"/>
    <w:rsid w:val="0046236B"/>
    <w:rsid w:val="004623D7"/>
    <w:rsid w:val="00462575"/>
    <w:rsid w:val="00462603"/>
    <w:rsid w:val="00462789"/>
    <w:rsid w:val="004629E2"/>
    <w:rsid w:val="00462D62"/>
    <w:rsid w:val="0046319F"/>
    <w:rsid w:val="00463836"/>
    <w:rsid w:val="00463AF7"/>
    <w:rsid w:val="00463B31"/>
    <w:rsid w:val="00463C3E"/>
    <w:rsid w:val="00463D46"/>
    <w:rsid w:val="00463EC5"/>
    <w:rsid w:val="0046419B"/>
    <w:rsid w:val="004642D0"/>
    <w:rsid w:val="00464B57"/>
    <w:rsid w:val="00465081"/>
    <w:rsid w:val="00465261"/>
    <w:rsid w:val="0046551C"/>
    <w:rsid w:val="0046558F"/>
    <w:rsid w:val="004656BE"/>
    <w:rsid w:val="004656CC"/>
    <w:rsid w:val="0046574B"/>
    <w:rsid w:val="004657D0"/>
    <w:rsid w:val="00465992"/>
    <w:rsid w:val="00465BC1"/>
    <w:rsid w:val="00465CDE"/>
    <w:rsid w:val="0046679D"/>
    <w:rsid w:val="004667F7"/>
    <w:rsid w:val="00466807"/>
    <w:rsid w:val="00466885"/>
    <w:rsid w:val="00466940"/>
    <w:rsid w:val="004669AF"/>
    <w:rsid w:val="004669DC"/>
    <w:rsid w:val="004669E1"/>
    <w:rsid w:val="00466A1F"/>
    <w:rsid w:val="004670F7"/>
    <w:rsid w:val="004672BE"/>
    <w:rsid w:val="00467414"/>
    <w:rsid w:val="00467805"/>
    <w:rsid w:val="00467B0D"/>
    <w:rsid w:val="00467C0F"/>
    <w:rsid w:val="00467C5B"/>
    <w:rsid w:val="00467D7A"/>
    <w:rsid w:val="00467F6F"/>
    <w:rsid w:val="0047019A"/>
    <w:rsid w:val="004701EE"/>
    <w:rsid w:val="004703E3"/>
    <w:rsid w:val="00470732"/>
    <w:rsid w:val="004708B5"/>
    <w:rsid w:val="00470B3C"/>
    <w:rsid w:val="00470B4C"/>
    <w:rsid w:val="00470CB3"/>
    <w:rsid w:val="00470D3F"/>
    <w:rsid w:val="00470F65"/>
    <w:rsid w:val="00471146"/>
    <w:rsid w:val="00471174"/>
    <w:rsid w:val="004711C3"/>
    <w:rsid w:val="004711F1"/>
    <w:rsid w:val="004712B5"/>
    <w:rsid w:val="00471300"/>
    <w:rsid w:val="00471452"/>
    <w:rsid w:val="00471496"/>
    <w:rsid w:val="0047155A"/>
    <w:rsid w:val="0047171E"/>
    <w:rsid w:val="0047173A"/>
    <w:rsid w:val="004717CC"/>
    <w:rsid w:val="004719C7"/>
    <w:rsid w:val="00471BAC"/>
    <w:rsid w:val="00471CA0"/>
    <w:rsid w:val="00471F7B"/>
    <w:rsid w:val="0047240F"/>
    <w:rsid w:val="004725A3"/>
    <w:rsid w:val="004727AE"/>
    <w:rsid w:val="00472D4E"/>
    <w:rsid w:val="00472E0B"/>
    <w:rsid w:val="00472F77"/>
    <w:rsid w:val="004731EF"/>
    <w:rsid w:val="00473375"/>
    <w:rsid w:val="0047337A"/>
    <w:rsid w:val="004735AF"/>
    <w:rsid w:val="004736ED"/>
    <w:rsid w:val="00473798"/>
    <w:rsid w:val="0047398D"/>
    <w:rsid w:val="00473B39"/>
    <w:rsid w:val="00473C50"/>
    <w:rsid w:val="00473DBB"/>
    <w:rsid w:val="004741C2"/>
    <w:rsid w:val="0047420E"/>
    <w:rsid w:val="004743AB"/>
    <w:rsid w:val="004745E1"/>
    <w:rsid w:val="004745F6"/>
    <w:rsid w:val="00474688"/>
    <w:rsid w:val="0047496D"/>
    <w:rsid w:val="00474A6E"/>
    <w:rsid w:val="00474ADD"/>
    <w:rsid w:val="00474B1E"/>
    <w:rsid w:val="00474D52"/>
    <w:rsid w:val="00474F46"/>
    <w:rsid w:val="00475058"/>
    <w:rsid w:val="004750A3"/>
    <w:rsid w:val="004756CC"/>
    <w:rsid w:val="00475732"/>
    <w:rsid w:val="00475811"/>
    <w:rsid w:val="00475909"/>
    <w:rsid w:val="0047594A"/>
    <w:rsid w:val="00475D5C"/>
    <w:rsid w:val="00475FE7"/>
    <w:rsid w:val="004760C5"/>
    <w:rsid w:val="004762DB"/>
    <w:rsid w:val="00476371"/>
    <w:rsid w:val="0047637A"/>
    <w:rsid w:val="004764BB"/>
    <w:rsid w:val="0047653B"/>
    <w:rsid w:val="0047654C"/>
    <w:rsid w:val="004766A8"/>
    <w:rsid w:val="00476825"/>
    <w:rsid w:val="0047688A"/>
    <w:rsid w:val="00476B2E"/>
    <w:rsid w:val="00476C83"/>
    <w:rsid w:val="00476CC1"/>
    <w:rsid w:val="00476DD1"/>
    <w:rsid w:val="00476EF7"/>
    <w:rsid w:val="00476FEE"/>
    <w:rsid w:val="00477382"/>
    <w:rsid w:val="00477410"/>
    <w:rsid w:val="00477629"/>
    <w:rsid w:val="004777B6"/>
    <w:rsid w:val="004778D2"/>
    <w:rsid w:val="00477B2D"/>
    <w:rsid w:val="00477C9B"/>
    <w:rsid w:val="00477FA5"/>
    <w:rsid w:val="0048001F"/>
    <w:rsid w:val="0048019F"/>
    <w:rsid w:val="004802BD"/>
    <w:rsid w:val="00480332"/>
    <w:rsid w:val="0048055D"/>
    <w:rsid w:val="00480668"/>
    <w:rsid w:val="004807DD"/>
    <w:rsid w:val="004808D1"/>
    <w:rsid w:val="00480A8D"/>
    <w:rsid w:val="00480BC9"/>
    <w:rsid w:val="00480D5E"/>
    <w:rsid w:val="00480E37"/>
    <w:rsid w:val="00480F09"/>
    <w:rsid w:val="00480FEC"/>
    <w:rsid w:val="0048114F"/>
    <w:rsid w:val="0048128E"/>
    <w:rsid w:val="00481721"/>
    <w:rsid w:val="004817F0"/>
    <w:rsid w:val="00481B88"/>
    <w:rsid w:val="00481D55"/>
    <w:rsid w:val="00481F44"/>
    <w:rsid w:val="00481FA7"/>
    <w:rsid w:val="00481FC8"/>
    <w:rsid w:val="004821A2"/>
    <w:rsid w:val="0048257B"/>
    <w:rsid w:val="0048269E"/>
    <w:rsid w:val="0048270B"/>
    <w:rsid w:val="00482AA7"/>
    <w:rsid w:val="00482B14"/>
    <w:rsid w:val="00482B5F"/>
    <w:rsid w:val="00482DF5"/>
    <w:rsid w:val="00482F04"/>
    <w:rsid w:val="00482F16"/>
    <w:rsid w:val="00483169"/>
    <w:rsid w:val="004831FA"/>
    <w:rsid w:val="0048323A"/>
    <w:rsid w:val="00483293"/>
    <w:rsid w:val="004832B6"/>
    <w:rsid w:val="0048335A"/>
    <w:rsid w:val="0048338C"/>
    <w:rsid w:val="004833B5"/>
    <w:rsid w:val="0048355D"/>
    <w:rsid w:val="00483732"/>
    <w:rsid w:val="00483953"/>
    <w:rsid w:val="00483CC3"/>
    <w:rsid w:val="00483CE0"/>
    <w:rsid w:val="00483E2C"/>
    <w:rsid w:val="00483E53"/>
    <w:rsid w:val="004840B8"/>
    <w:rsid w:val="004845D5"/>
    <w:rsid w:val="00484A18"/>
    <w:rsid w:val="00484AC6"/>
    <w:rsid w:val="00484DEC"/>
    <w:rsid w:val="00484EA5"/>
    <w:rsid w:val="00484FFA"/>
    <w:rsid w:val="00485414"/>
    <w:rsid w:val="0048542B"/>
    <w:rsid w:val="00485488"/>
    <w:rsid w:val="00485568"/>
    <w:rsid w:val="004855AC"/>
    <w:rsid w:val="00485620"/>
    <w:rsid w:val="00485675"/>
    <w:rsid w:val="004857DD"/>
    <w:rsid w:val="00485A47"/>
    <w:rsid w:val="00485B34"/>
    <w:rsid w:val="00485CC9"/>
    <w:rsid w:val="0048619C"/>
    <w:rsid w:val="004862EE"/>
    <w:rsid w:val="00486471"/>
    <w:rsid w:val="00486977"/>
    <w:rsid w:val="004869BB"/>
    <w:rsid w:val="00486B42"/>
    <w:rsid w:val="00486BF4"/>
    <w:rsid w:val="00486D94"/>
    <w:rsid w:val="00486E25"/>
    <w:rsid w:val="004872B9"/>
    <w:rsid w:val="004872DD"/>
    <w:rsid w:val="0048738B"/>
    <w:rsid w:val="004874D1"/>
    <w:rsid w:val="0048751C"/>
    <w:rsid w:val="00487582"/>
    <w:rsid w:val="00487689"/>
    <w:rsid w:val="00487700"/>
    <w:rsid w:val="00487874"/>
    <w:rsid w:val="00487B74"/>
    <w:rsid w:val="00487B91"/>
    <w:rsid w:val="00487E48"/>
    <w:rsid w:val="00490079"/>
    <w:rsid w:val="0049052B"/>
    <w:rsid w:val="004906E0"/>
    <w:rsid w:val="00490731"/>
    <w:rsid w:val="00490A38"/>
    <w:rsid w:val="00490A6F"/>
    <w:rsid w:val="00490E8A"/>
    <w:rsid w:val="00490E98"/>
    <w:rsid w:val="004911EA"/>
    <w:rsid w:val="00491235"/>
    <w:rsid w:val="004912EE"/>
    <w:rsid w:val="00491433"/>
    <w:rsid w:val="00491495"/>
    <w:rsid w:val="0049153B"/>
    <w:rsid w:val="004918A4"/>
    <w:rsid w:val="00491BF5"/>
    <w:rsid w:val="00491EA1"/>
    <w:rsid w:val="00491EAE"/>
    <w:rsid w:val="00491FF9"/>
    <w:rsid w:val="0049216D"/>
    <w:rsid w:val="0049230C"/>
    <w:rsid w:val="0049277D"/>
    <w:rsid w:val="00492E57"/>
    <w:rsid w:val="004931E8"/>
    <w:rsid w:val="00493439"/>
    <w:rsid w:val="00493485"/>
    <w:rsid w:val="004934CF"/>
    <w:rsid w:val="00493592"/>
    <w:rsid w:val="004936B6"/>
    <w:rsid w:val="0049388F"/>
    <w:rsid w:val="00493942"/>
    <w:rsid w:val="0049397A"/>
    <w:rsid w:val="00493A51"/>
    <w:rsid w:val="00493E08"/>
    <w:rsid w:val="00493F0A"/>
    <w:rsid w:val="00494057"/>
    <w:rsid w:val="0049405B"/>
    <w:rsid w:val="00494302"/>
    <w:rsid w:val="0049432D"/>
    <w:rsid w:val="00494356"/>
    <w:rsid w:val="004943C4"/>
    <w:rsid w:val="0049454D"/>
    <w:rsid w:val="004945E4"/>
    <w:rsid w:val="0049474F"/>
    <w:rsid w:val="00494808"/>
    <w:rsid w:val="00494815"/>
    <w:rsid w:val="00494B7B"/>
    <w:rsid w:val="00494BC7"/>
    <w:rsid w:val="00495109"/>
    <w:rsid w:val="004952F1"/>
    <w:rsid w:val="0049532C"/>
    <w:rsid w:val="004954A9"/>
    <w:rsid w:val="004955E5"/>
    <w:rsid w:val="00495686"/>
    <w:rsid w:val="0049590E"/>
    <w:rsid w:val="00495AF4"/>
    <w:rsid w:val="00495D4F"/>
    <w:rsid w:val="00495E1A"/>
    <w:rsid w:val="00495ED1"/>
    <w:rsid w:val="00495EEA"/>
    <w:rsid w:val="00495EF3"/>
    <w:rsid w:val="00495F83"/>
    <w:rsid w:val="00496027"/>
    <w:rsid w:val="004961AF"/>
    <w:rsid w:val="00496360"/>
    <w:rsid w:val="004965FA"/>
    <w:rsid w:val="00496A98"/>
    <w:rsid w:val="00496B02"/>
    <w:rsid w:val="00496C7E"/>
    <w:rsid w:val="00496ECC"/>
    <w:rsid w:val="00496F6C"/>
    <w:rsid w:val="004971DD"/>
    <w:rsid w:val="00497259"/>
    <w:rsid w:val="0049731A"/>
    <w:rsid w:val="0049738B"/>
    <w:rsid w:val="0049764A"/>
    <w:rsid w:val="004976FF"/>
    <w:rsid w:val="00497782"/>
    <w:rsid w:val="00497802"/>
    <w:rsid w:val="00497AD3"/>
    <w:rsid w:val="00497AF7"/>
    <w:rsid w:val="00497BB7"/>
    <w:rsid w:val="00497CE6"/>
    <w:rsid w:val="00497D90"/>
    <w:rsid w:val="00497F6F"/>
    <w:rsid w:val="00497FEC"/>
    <w:rsid w:val="004A01AA"/>
    <w:rsid w:val="004A0245"/>
    <w:rsid w:val="004A0577"/>
    <w:rsid w:val="004A0700"/>
    <w:rsid w:val="004A0792"/>
    <w:rsid w:val="004A09A3"/>
    <w:rsid w:val="004A0B12"/>
    <w:rsid w:val="004A0BCA"/>
    <w:rsid w:val="004A0CFF"/>
    <w:rsid w:val="004A0D10"/>
    <w:rsid w:val="004A0D39"/>
    <w:rsid w:val="004A15A0"/>
    <w:rsid w:val="004A1645"/>
    <w:rsid w:val="004A17C2"/>
    <w:rsid w:val="004A1AFF"/>
    <w:rsid w:val="004A1D2D"/>
    <w:rsid w:val="004A1D4E"/>
    <w:rsid w:val="004A1D55"/>
    <w:rsid w:val="004A1DDF"/>
    <w:rsid w:val="004A1F5D"/>
    <w:rsid w:val="004A1FFD"/>
    <w:rsid w:val="004A2014"/>
    <w:rsid w:val="004A2132"/>
    <w:rsid w:val="004A21A2"/>
    <w:rsid w:val="004A2471"/>
    <w:rsid w:val="004A24F8"/>
    <w:rsid w:val="004A26C1"/>
    <w:rsid w:val="004A26FD"/>
    <w:rsid w:val="004A273B"/>
    <w:rsid w:val="004A2937"/>
    <w:rsid w:val="004A2A2D"/>
    <w:rsid w:val="004A2A69"/>
    <w:rsid w:val="004A2A75"/>
    <w:rsid w:val="004A2D7A"/>
    <w:rsid w:val="004A2F7B"/>
    <w:rsid w:val="004A301B"/>
    <w:rsid w:val="004A3058"/>
    <w:rsid w:val="004A30B2"/>
    <w:rsid w:val="004A3162"/>
    <w:rsid w:val="004A3245"/>
    <w:rsid w:val="004A33A3"/>
    <w:rsid w:val="004A35AE"/>
    <w:rsid w:val="004A3604"/>
    <w:rsid w:val="004A3822"/>
    <w:rsid w:val="004A3AD2"/>
    <w:rsid w:val="004A3B0B"/>
    <w:rsid w:val="004A3B31"/>
    <w:rsid w:val="004A3DE5"/>
    <w:rsid w:val="004A3E66"/>
    <w:rsid w:val="004A3E90"/>
    <w:rsid w:val="004A3F7C"/>
    <w:rsid w:val="004A415C"/>
    <w:rsid w:val="004A4185"/>
    <w:rsid w:val="004A47C9"/>
    <w:rsid w:val="004A49B5"/>
    <w:rsid w:val="004A4B24"/>
    <w:rsid w:val="004A5037"/>
    <w:rsid w:val="004A5280"/>
    <w:rsid w:val="004A5406"/>
    <w:rsid w:val="004A5602"/>
    <w:rsid w:val="004A568E"/>
    <w:rsid w:val="004A571B"/>
    <w:rsid w:val="004A586A"/>
    <w:rsid w:val="004A5996"/>
    <w:rsid w:val="004A5A6A"/>
    <w:rsid w:val="004A5A88"/>
    <w:rsid w:val="004A5AF3"/>
    <w:rsid w:val="004A5BFB"/>
    <w:rsid w:val="004A5DBF"/>
    <w:rsid w:val="004A6577"/>
    <w:rsid w:val="004A659A"/>
    <w:rsid w:val="004A6815"/>
    <w:rsid w:val="004A68AC"/>
    <w:rsid w:val="004A6B62"/>
    <w:rsid w:val="004A6B92"/>
    <w:rsid w:val="004A6CF3"/>
    <w:rsid w:val="004A6DD2"/>
    <w:rsid w:val="004A6F98"/>
    <w:rsid w:val="004A70F7"/>
    <w:rsid w:val="004A71BE"/>
    <w:rsid w:val="004A7362"/>
    <w:rsid w:val="004A7364"/>
    <w:rsid w:val="004A7383"/>
    <w:rsid w:val="004A76F1"/>
    <w:rsid w:val="004A7702"/>
    <w:rsid w:val="004A77D8"/>
    <w:rsid w:val="004A7829"/>
    <w:rsid w:val="004A79AC"/>
    <w:rsid w:val="004A7A7B"/>
    <w:rsid w:val="004A7ADE"/>
    <w:rsid w:val="004A7C2A"/>
    <w:rsid w:val="004A7CA4"/>
    <w:rsid w:val="004A7F64"/>
    <w:rsid w:val="004B0192"/>
    <w:rsid w:val="004B01A4"/>
    <w:rsid w:val="004B03E1"/>
    <w:rsid w:val="004B078E"/>
    <w:rsid w:val="004B07CB"/>
    <w:rsid w:val="004B0904"/>
    <w:rsid w:val="004B0B27"/>
    <w:rsid w:val="004B0BFE"/>
    <w:rsid w:val="004B10B0"/>
    <w:rsid w:val="004B10F1"/>
    <w:rsid w:val="004B1519"/>
    <w:rsid w:val="004B15CC"/>
    <w:rsid w:val="004B16C7"/>
    <w:rsid w:val="004B1761"/>
    <w:rsid w:val="004B186E"/>
    <w:rsid w:val="004B1916"/>
    <w:rsid w:val="004B193E"/>
    <w:rsid w:val="004B1A1E"/>
    <w:rsid w:val="004B1BEA"/>
    <w:rsid w:val="004B1DBE"/>
    <w:rsid w:val="004B1F40"/>
    <w:rsid w:val="004B2113"/>
    <w:rsid w:val="004B216A"/>
    <w:rsid w:val="004B233B"/>
    <w:rsid w:val="004B2AFE"/>
    <w:rsid w:val="004B2C7A"/>
    <w:rsid w:val="004B2E02"/>
    <w:rsid w:val="004B2E7B"/>
    <w:rsid w:val="004B2FF4"/>
    <w:rsid w:val="004B3251"/>
    <w:rsid w:val="004B32C1"/>
    <w:rsid w:val="004B336B"/>
    <w:rsid w:val="004B3619"/>
    <w:rsid w:val="004B365C"/>
    <w:rsid w:val="004B36FE"/>
    <w:rsid w:val="004B3745"/>
    <w:rsid w:val="004B3C36"/>
    <w:rsid w:val="004B3E33"/>
    <w:rsid w:val="004B3EFC"/>
    <w:rsid w:val="004B4101"/>
    <w:rsid w:val="004B42B3"/>
    <w:rsid w:val="004B42F6"/>
    <w:rsid w:val="004B44C6"/>
    <w:rsid w:val="004B4981"/>
    <w:rsid w:val="004B4AFE"/>
    <w:rsid w:val="004B4B5F"/>
    <w:rsid w:val="004B4C21"/>
    <w:rsid w:val="004B50C3"/>
    <w:rsid w:val="004B53AC"/>
    <w:rsid w:val="004B53E2"/>
    <w:rsid w:val="004B5444"/>
    <w:rsid w:val="004B54A4"/>
    <w:rsid w:val="004B54EA"/>
    <w:rsid w:val="004B5554"/>
    <w:rsid w:val="004B588B"/>
    <w:rsid w:val="004B5C07"/>
    <w:rsid w:val="004B5D02"/>
    <w:rsid w:val="004B5F9B"/>
    <w:rsid w:val="004B61AC"/>
    <w:rsid w:val="004B61B3"/>
    <w:rsid w:val="004B6362"/>
    <w:rsid w:val="004B6432"/>
    <w:rsid w:val="004B6601"/>
    <w:rsid w:val="004B6670"/>
    <w:rsid w:val="004B6836"/>
    <w:rsid w:val="004B6B28"/>
    <w:rsid w:val="004B6B63"/>
    <w:rsid w:val="004B6B81"/>
    <w:rsid w:val="004B6EC8"/>
    <w:rsid w:val="004B6FEE"/>
    <w:rsid w:val="004B70BE"/>
    <w:rsid w:val="004B7579"/>
    <w:rsid w:val="004B75DA"/>
    <w:rsid w:val="004B7810"/>
    <w:rsid w:val="004B785A"/>
    <w:rsid w:val="004B797F"/>
    <w:rsid w:val="004B7C6D"/>
    <w:rsid w:val="004B7FC7"/>
    <w:rsid w:val="004C00B2"/>
    <w:rsid w:val="004C0511"/>
    <w:rsid w:val="004C071C"/>
    <w:rsid w:val="004C078E"/>
    <w:rsid w:val="004C082A"/>
    <w:rsid w:val="004C0B5A"/>
    <w:rsid w:val="004C0C96"/>
    <w:rsid w:val="004C0CE7"/>
    <w:rsid w:val="004C0DB5"/>
    <w:rsid w:val="004C0EAE"/>
    <w:rsid w:val="004C106C"/>
    <w:rsid w:val="004C11F9"/>
    <w:rsid w:val="004C12E6"/>
    <w:rsid w:val="004C175C"/>
    <w:rsid w:val="004C18B5"/>
    <w:rsid w:val="004C18DD"/>
    <w:rsid w:val="004C1911"/>
    <w:rsid w:val="004C19FF"/>
    <w:rsid w:val="004C1B7A"/>
    <w:rsid w:val="004C1F5B"/>
    <w:rsid w:val="004C201B"/>
    <w:rsid w:val="004C2085"/>
    <w:rsid w:val="004C209A"/>
    <w:rsid w:val="004C20DE"/>
    <w:rsid w:val="004C20EA"/>
    <w:rsid w:val="004C2279"/>
    <w:rsid w:val="004C2406"/>
    <w:rsid w:val="004C250C"/>
    <w:rsid w:val="004C2522"/>
    <w:rsid w:val="004C25F2"/>
    <w:rsid w:val="004C2650"/>
    <w:rsid w:val="004C26AA"/>
    <w:rsid w:val="004C278C"/>
    <w:rsid w:val="004C291F"/>
    <w:rsid w:val="004C2BF1"/>
    <w:rsid w:val="004C2D73"/>
    <w:rsid w:val="004C2D75"/>
    <w:rsid w:val="004C2E13"/>
    <w:rsid w:val="004C30DD"/>
    <w:rsid w:val="004C330E"/>
    <w:rsid w:val="004C3374"/>
    <w:rsid w:val="004C3429"/>
    <w:rsid w:val="004C3556"/>
    <w:rsid w:val="004C3657"/>
    <w:rsid w:val="004C36B0"/>
    <w:rsid w:val="004C3775"/>
    <w:rsid w:val="004C3912"/>
    <w:rsid w:val="004C3970"/>
    <w:rsid w:val="004C39C4"/>
    <w:rsid w:val="004C39D0"/>
    <w:rsid w:val="004C3AD8"/>
    <w:rsid w:val="004C3B4A"/>
    <w:rsid w:val="004C3EF4"/>
    <w:rsid w:val="004C4716"/>
    <w:rsid w:val="004C47B4"/>
    <w:rsid w:val="004C4892"/>
    <w:rsid w:val="004C4963"/>
    <w:rsid w:val="004C4A21"/>
    <w:rsid w:val="004C4A5C"/>
    <w:rsid w:val="004C4A66"/>
    <w:rsid w:val="004C4A73"/>
    <w:rsid w:val="004C4AF8"/>
    <w:rsid w:val="004C4B28"/>
    <w:rsid w:val="004C4C3A"/>
    <w:rsid w:val="004C4ECF"/>
    <w:rsid w:val="004C513F"/>
    <w:rsid w:val="004C51E2"/>
    <w:rsid w:val="004C5290"/>
    <w:rsid w:val="004C53E1"/>
    <w:rsid w:val="004C53EA"/>
    <w:rsid w:val="004C5579"/>
    <w:rsid w:val="004C56EA"/>
    <w:rsid w:val="004C584A"/>
    <w:rsid w:val="004C5877"/>
    <w:rsid w:val="004C5AE3"/>
    <w:rsid w:val="004C5AFB"/>
    <w:rsid w:val="004C5C2C"/>
    <w:rsid w:val="004C5E84"/>
    <w:rsid w:val="004C5F06"/>
    <w:rsid w:val="004C6214"/>
    <w:rsid w:val="004C6322"/>
    <w:rsid w:val="004C6404"/>
    <w:rsid w:val="004C6472"/>
    <w:rsid w:val="004C696A"/>
    <w:rsid w:val="004C6CDB"/>
    <w:rsid w:val="004C6D87"/>
    <w:rsid w:val="004C6FC5"/>
    <w:rsid w:val="004C7034"/>
    <w:rsid w:val="004C704F"/>
    <w:rsid w:val="004C73F4"/>
    <w:rsid w:val="004C74F1"/>
    <w:rsid w:val="004C7633"/>
    <w:rsid w:val="004C7648"/>
    <w:rsid w:val="004C774E"/>
    <w:rsid w:val="004C78FC"/>
    <w:rsid w:val="004C78FF"/>
    <w:rsid w:val="004C7CC9"/>
    <w:rsid w:val="004C7E3F"/>
    <w:rsid w:val="004C7F28"/>
    <w:rsid w:val="004D04A9"/>
    <w:rsid w:val="004D0690"/>
    <w:rsid w:val="004D0CF4"/>
    <w:rsid w:val="004D0DAA"/>
    <w:rsid w:val="004D0F39"/>
    <w:rsid w:val="004D105F"/>
    <w:rsid w:val="004D10B9"/>
    <w:rsid w:val="004D1217"/>
    <w:rsid w:val="004D12C2"/>
    <w:rsid w:val="004D15C6"/>
    <w:rsid w:val="004D16C2"/>
    <w:rsid w:val="004D19B6"/>
    <w:rsid w:val="004D1C18"/>
    <w:rsid w:val="004D1DB1"/>
    <w:rsid w:val="004D202B"/>
    <w:rsid w:val="004D22E2"/>
    <w:rsid w:val="004D2661"/>
    <w:rsid w:val="004D2850"/>
    <w:rsid w:val="004D2F01"/>
    <w:rsid w:val="004D3146"/>
    <w:rsid w:val="004D32D3"/>
    <w:rsid w:val="004D3320"/>
    <w:rsid w:val="004D3359"/>
    <w:rsid w:val="004D33C1"/>
    <w:rsid w:val="004D38D6"/>
    <w:rsid w:val="004D3D99"/>
    <w:rsid w:val="004D3DC1"/>
    <w:rsid w:val="004D4219"/>
    <w:rsid w:val="004D457F"/>
    <w:rsid w:val="004D46A9"/>
    <w:rsid w:val="004D4812"/>
    <w:rsid w:val="004D491E"/>
    <w:rsid w:val="004D494F"/>
    <w:rsid w:val="004D4B70"/>
    <w:rsid w:val="004D4B91"/>
    <w:rsid w:val="004D4D37"/>
    <w:rsid w:val="004D4FDC"/>
    <w:rsid w:val="004D504F"/>
    <w:rsid w:val="004D50D4"/>
    <w:rsid w:val="004D58E4"/>
    <w:rsid w:val="004D5944"/>
    <w:rsid w:val="004D5C52"/>
    <w:rsid w:val="004D5DC3"/>
    <w:rsid w:val="004D5E90"/>
    <w:rsid w:val="004D605B"/>
    <w:rsid w:val="004D6338"/>
    <w:rsid w:val="004D6575"/>
    <w:rsid w:val="004D6A22"/>
    <w:rsid w:val="004D6D94"/>
    <w:rsid w:val="004D6E64"/>
    <w:rsid w:val="004D6E74"/>
    <w:rsid w:val="004D6E7A"/>
    <w:rsid w:val="004D7069"/>
    <w:rsid w:val="004D7176"/>
    <w:rsid w:val="004D73B8"/>
    <w:rsid w:val="004D7481"/>
    <w:rsid w:val="004D74E1"/>
    <w:rsid w:val="004D7932"/>
    <w:rsid w:val="004D7BB1"/>
    <w:rsid w:val="004D7C5E"/>
    <w:rsid w:val="004D7DCC"/>
    <w:rsid w:val="004D7F79"/>
    <w:rsid w:val="004E023A"/>
    <w:rsid w:val="004E0393"/>
    <w:rsid w:val="004E0889"/>
    <w:rsid w:val="004E0AD5"/>
    <w:rsid w:val="004E0CD8"/>
    <w:rsid w:val="004E1081"/>
    <w:rsid w:val="004E1280"/>
    <w:rsid w:val="004E1312"/>
    <w:rsid w:val="004E14B3"/>
    <w:rsid w:val="004E153B"/>
    <w:rsid w:val="004E180D"/>
    <w:rsid w:val="004E19EF"/>
    <w:rsid w:val="004E1C43"/>
    <w:rsid w:val="004E1CD6"/>
    <w:rsid w:val="004E1D2C"/>
    <w:rsid w:val="004E1D3C"/>
    <w:rsid w:val="004E1E98"/>
    <w:rsid w:val="004E20AE"/>
    <w:rsid w:val="004E20F5"/>
    <w:rsid w:val="004E21AC"/>
    <w:rsid w:val="004E2681"/>
    <w:rsid w:val="004E28DF"/>
    <w:rsid w:val="004E29D3"/>
    <w:rsid w:val="004E2A16"/>
    <w:rsid w:val="004E2C44"/>
    <w:rsid w:val="004E2DC9"/>
    <w:rsid w:val="004E3151"/>
    <w:rsid w:val="004E32ED"/>
    <w:rsid w:val="004E34D3"/>
    <w:rsid w:val="004E375C"/>
    <w:rsid w:val="004E379B"/>
    <w:rsid w:val="004E387E"/>
    <w:rsid w:val="004E3ABB"/>
    <w:rsid w:val="004E3B86"/>
    <w:rsid w:val="004E3BD5"/>
    <w:rsid w:val="004E3C65"/>
    <w:rsid w:val="004E3E4B"/>
    <w:rsid w:val="004E3E5C"/>
    <w:rsid w:val="004E462B"/>
    <w:rsid w:val="004E4653"/>
    <w:rsid w:val="004E4681"/>
    <w:rsid w:val="004E4734"/>
    <w:rsid w:val="004E48EA"/>
    <w:rsid w:val="004E4AA5"/>
    <w:rsid w:val="004E4BB4"/>
    <w:rsid w:val="004E4C78"/>
    <w:rsid w:val="004E4C92"/>
    <w:rsid w:val="004E4CC1"/>
    <w:rsid w:val="004E4D97"/>
    <w:rsid w:val="004E4DF3"/>
    <w:rsid w:val="004E577F"/>
    <w:rsid w:val="004E5804"/>
    <w:rsid w:val="004E58DA"/>
    <w:rsid w:val="004E5BFB"/>
    <w:rsid w:val="004E5C1D"/>
    <w:rsid w:val="004E5F4C"/>
    <w:rsid w:val="004E5F58"/>
    <w:rsid w:val="004E5F60"/>
    <w:rsid w:val="004E5F81"/>
    <w:rsid w:val="004E602B"/>
    <w:rsid w:val="004E60A7"/>
    <w:rsid w:val="004E61A6"/>
    <w:rsid w:val="004E64E8"/>
    <w:rsid w:val="004E6953"/>
    <w:rsid w:val="004E69F7"/>
    <w:rsid w:val="004E69F8"/>
    <w:rsid w:val="004E6A0F"/>
    <w:rsid w:val="004E6A84"/>
    <w:rsid w:val="004E6BD7"/>
    <w:rsid w:val="004E703A"/>
    <w:rsid w:val="004E7136"/>
    <w:rsid w:val="004E728B"/>
    <w:rsid w:val="004E7432"/>
    <w:rsid w:val="004E7512"/>
    <w:rsid w:val="004E755C"/>
    <w:rsid w:val="004E76F0"/>
    <w:rsid w:val="004E7734"/>
    <w:rsid w:val="004E7788"/>
    <w:rsid w:val="004E77BA"/>
    <w:rsid w:val="004E78A7"/>
    <w:rsid w:val="004E79B8"/>
    <w:rsid w:val="004E7DF4"/>
    <w:rsid w:val="004E7FF4"/>
    <w:rsid w:val="004F0008"/>
    <w:rsid w:val="004F01D0"/>
    <w:rsid w:val="004F02B7"/>
    <w:rsid w:val="004F02F4"/>
    <w:rsid w:val="004F041C"/>
    <w:rsid w:val="004F0697"/>
    <w:rsid w:val="004F070A"/>
    <w:rsid w:val="004F09B9"/>
    <w:rsid w:val="004F0B04"/>
    <w:rsid w:val="004F0DE4"/>
    <w:rsid w:val="004F0F63"/>
    <w:rsid w:val="004F0F9D"/>
    <w:rsid w:val="004F107C"/>
    <w:rsid w:val="004F1240"/>
    <w:rsid w:val="004F1245"/>
    <w:rsid w:val="004F140D"/>
    <w:rsid w:val="004F1570"/>
    <w:rsid w:val="004F1719"/>
    <w:rsid w:val="004F1A7B"/>
    <w:rsid w:val="004F1ABD"/>
    <w:rsid w:val="004F1C00"/>
    <w:rsid w:val="004F20D4"/>
    <w:rsid w:val="004F2343"/>
    <w:rsid w:val="004F275C"/>
    <w:rsid w:val="004F27F2"/>
    <w:rsid w:val="004F2B2D"/>
    <w:rsid w:val="004F2BE2"/>
    <w:rsid w:val="004F2CAA"/>
    <w:rsid w:val="004F2DC4"/>
    <w:rsid w:val="004F2DDB"/>
    <w:rsid w:val="004F333A"/>
    <w:rsid w:val="004F3451"/>
    <w:rsid w:val="004F34AB"/>
    <w:rsid w:val="004F374E"/>
    <w:rsid w:val="004F3B49"/>
    <w:rsid w:val="004F3D1A"/>
    <w:rsid w:val="004F3F88"/>
    <w:rsid w:val="004F407B"/>
    <w:rsid w:val="004F4098"/>
    <w:rsid w:val="004F4243"/>
    <w:rsid w:val="004F42C1"/>
    <w:rsid w:val="004F4388"/>
    <w:rsid w:val="004F43BF"/>
    <w:rsid w:val="004F44D2"/>
    <w:rsid w:val="004F4691"/>
    <w:rsid w:val="004F48BF"/>
    <w:rsid w:val="004F4BC1"/>
    <w:rsid w:val="004F4CDB"/>
    <w:rsid w:val="004F4E44"/>
    <w:rsid w:val="004F4FD5"/>
    <w:rsid w:val="004F5038"/>
    <w:rsid w:val="004F5046"/>
    <w:rsid w:val="004F5404"/>
    <w:rsid w:val="004F544D"/>
    <w:rsid w:val="004F553B"/>
    <w:rsid w:val="004F559A"/>
    <w:rsid w:val="004F575F"/>
    <w:rsid w:val="004F577B"/>
    <w:rsid w:val="004F5812"/>
    <w:rsid w:val="004F599D"/>
    <w:rsid w:val="004F5A22"/>
    <w:rsid w:val="004F5A44"/>
    <w:rsid w:val="004F5C41"/>
    <w:rsid w:val="004F5D6C"/>
    <w:rsid w:val="004F5EBD"/>
    <w:rsid w:val="004F5EDC"/>
    <w:rsid w:val="004F5FD9"/>
    <w:rsid w:val="004F61BA"/>
    <w:rsid w:val="004F659E"/>
    <w:rsid w:val="004F682B"/>
    <w:rsid w:val="004F6939"/>
    <w:rsid w:val="004F6A20"/>
    <w:rsid w:val="004F6AD1"/>
    <w:rsid w:val="004F6C8F"/>
    <w:rsid w:val="004F6EBC"/>
    <w:rsid w:val="004F73B2"/>
    <w:rsid w:val="004F74F1"/>
    <w:rsid w:val="004F7598"/>
    <w:rsid w:val="004F75A6"/>
    <w:rsid w:val="004F7643"/>
    <w:rsid w:val="004F7BB4"/>
    <w:rsid w:val="004F7E9A"/>
    <w:rsid w:val="00500072"/>
    <w:rsid w:val="005001A3"/>
    <w:rsid w:val="00500308"/>
    <w:rsid w:val="0050041B"/>
    <w:rsid w:val="005005EC"/>
    <w:rsid w:val="005006F3"/>
    <w:rsid w:val="005009AB"/>
    <w:rsid w:val="00500A44"/>
    <w:rsid w:val="00500EC3"/>
    <w:rsid w:val="00501121"/>
    <w:rsid w:val="005013D6"/>
    <w:rsid w:val="005014EE"/>
    <w:rsid w:val="0050156E"/>
    <w:rsid w:val="00501B01"/>
    <w:rsid w:val="00501CAA"/>
    <w:rsid w:val="00501E4F"/>
    <w:rsid w:val="00502176"/>
    <w:rsid w:val="00502288"/>
    <w:rsid w:val="005024CB"/>
    <w:rsid w:val="0050289A"/>
    <w:rsid w:val="00502A67"/>
    <w:rsid w:val="00502AA4"/>
    <w:rsid w:val="00502ECA"/>
    <w:rsid w:val="00502EEE"/>
    <w:rsid w:val="005030DE"/>
    <w:rsid w:val="00503474"/>
    <w:rsid w:val="00503505"/>
    <w:rsid w:val="00503986"/>
    <w:rsid w:val="00503AA9"/>
    <w:rsid w:val="00503E2F"/>
    <w:rsid w:val="00503F80"/>
    <w:rsid w:val="00504078"/>
    <w:rsid w:val="005040CF"/>
    <w:rsid w:val="005042AD"/>
    <w:rsid w:val="00504360"/>
    <w:rsid w:val="00504643"/>
    <w:rsid w:val="005046EB"/>
    <w:rsid w:val="0050488F"/>
    <w:rsid w:val="00504B05"/>
    <w:rsid w:val="00504E14"/>
    <w:rsid w:val="00504F14"/>
    <w:rsid w:val="00504F81"/>
    <w:rsid w:val="005052C3"/>
    <w:rsid w:val="00505386"/>
    <w:rsid w:val="00505656"/>
    <w:rsid w:val="0050573A"/>
    <w:rsid w:val="0050587A"/>
    <w:rsid w:val="00505D97"/>
    <w:rsid w:val="00505E74"/>
    <w:rsid w:val="00505F34"/>
    <w:rsid w:val="00506099"/>
    <w:rsid w:val="005061EB"/>
    <w:rsid w:val="005063AE"/>
    <w:rsid w:val="00506416"/>
    <w:rsid w:val="00506458"/>
    <w:rsid w:val="005064E5"/>
    <w:rsid w:val="005066A9"/>
    <w:rsid w:val="005067A5"/>
    <w:rsid w:val="00506C5C"/>
    <w:rsid w:val="00506DF6"/>
    <w:rsid w:val="00506F32"/>
    <w:rsid w:val="00507295"/>
    <w:rsid w:val="005073E9"/>
    <w:rsid w:val="005077EA"/>
    <w:rsid w:val="0050784E"/>
    <w:rsid w:val="00507A38"/>
    <w:rsid w:val="00507B01"/>
    <w:rsid w:val="00507BC4"/>
    <w:rsid w:val="00507C5F"/>
    <w:rsid w:val="00507D8D"/>
    <w:rsid w:val="00507EAD"/>
    <w:rsid w:val="00507F3F"/>
    <w:rsid w:val="00507FBF"/>
    <w:rsid w:val="00510083"/>
    <w:rsid w:val="0051011A"/>
    <w:rsid w:val="00510181"/>
    <w:rsid w:val="00510415"/>
    <w:rsid w:val="005104D5"/>
    <w:rsid w:val="0051053F"/>
    <w:rsid w:val="0051056D"/>
    <w:rsid w:val="005106C4"/>
    <w:rsid w:val="00510854"/>
    <w:rsid w:val="00510B74"/>
    <w:rsid w:val="00510C93"/>
    <w:rsid w:val="00510D6E"/>
    <w:rsid w:val="00510DB0"/>
    <w:rsid w:val="00510E5B"/>
    <w:rsid w:val="00510E8E"/>
    <w:rsid w:val="00511030"/>
    <w:rsid w:val="0051115B"/>
    <w:rsid w:val="0051124A"/>
    <w:rsid w:val="005112DE"/>
    <w:rsid w:val="0051137D"/>
    <w:rsid w:val="00511569"/>
    <w:rsid w:val="005115FA"/>
    <w:rsid w:val="00511711"/>
    <w:rsid w:val="00511A97"/>
    <w:rsid w:val="00511A9C"/>
    <w:rsid w:val="00511B11"/>
    <w:rsid w:val="00511C65"/>
    <w:rsid w:val="00511FFC"/>
    <w:rsid w:val="005120EC"/>
    <w:rsid w:val="0051215F"/>
    <w:rsid w:val="005126B9"/>
    <w:rsid w:val="005127B3"/>
    <w:rsid w:val="005128D0"/>
    <w:rsid w:val="00512C7B"/>
    <w:rsid w:val="00512CC6"/>
    <w:rsid w:val="00512CE7"/>
    <w:rsid w:val="005131DC"/>
    <w:rsid w:val="00513241"/>
    <w:rsid w:val="005132A2"/>
    <w:rsid w:val="005133D2"/>
    <w:rsid w:val="0051349C"/>
    <w:rsid w:val="0051366A"/>
    <w:rsid w:val="00513771"/>
    <w:rsid w:val="005138C9"/>
    <w:rsid w:val="00513B94"/>
    <w:rsid w:val="00513CBB"/>
    <w:rsid w:val="00513D9C"/>
    <w:rsid w:val="00513F43"/>
    <w:rsid w:val="00513F5B"/>
    <w:rsid w:val="00514079"/>
    <w:rsid w:val="005141B5"/>
    <w:rsid w:val="005141F8"/>
    <w:rsid w:val="005143C7"/>
    <w:rsid w:val="00514460"/>
    <w:rsid w:val="0051448D"/>
    <w:rsid w:val="00514505"/>
    <w:rsid w:val="00514752"/>
    <w:rsid w:val="00514828"/>
    <w:rsid w:val="00514A4E"/>
    <w:rsid w:val="00514E2A"/>
    <w:rsid w:val="00515113"/>
    <w:rsid w:val="005151F9"/>
    <w:rsid w:val="0051535E"/>
    <w:rsid w:val="00515591"/>
    <w:rsid w:val="00515A29"/>
    <w:rsid w:val="00515B05"/>
    <w:rsid w:val="00515C81"/>
    <w:rsid w:val="00515DA2"/>
    <w:rsid w:val="00515E62"/>
    <w:rsid w:val="00516054"/>
    <w:rsid w:val="0051620C"/>
    <w:rsid w:val="00516371"/>
    <w:rsid w:val="00516653"/>
    <w:rsid w:val="00516BE4"/>
    <w:rsid w:val="00516DB1"/>
    <w:rsid w:val="00516DE3"/>
    <w:rsid w:val="00516E76"/>
    <w:rsid w:val="00517A8B"/>
    <w:rsid w:val="00517C0A"/>
    <w:rsid w:val="00517CA6"/>
    <w:rsid w:val="0052017A"/>
    <w:rsid w:val="005202BA"/>
    <w:rsid w:val="00520624"/>
    <w:rsid w:val="0052067D"/>
    <w:rsid w:val="005206A8"/>
    <w:rsid w:val="00520C67"/>
    <w:rsid w:val="00520E7D"/>
    <w:rsid w:val="0052107A"/>
    <w:rsid w:val="0052114C"/>
    <w:rsid w:val="00521644"/>
    <w:rsid w:val="00521795"/>
    <w:rsid w:val="005217CC"/>
    <w:rsid w:val="005217FF"/>
    <w:rsid w:val="00521F37"/>
    <w:rsid w:val="00521F83"/>
    <w:rsid w:val="00521FAA"/>
    <w:rsid w:val="0052215F"/>
    <w:rsid w:val="005222FB"/>
    <w:rsid w:val="00522341"/>
    <w:rsid w:val="005226DD"/>
    <w:rsid w:val="00522715"/>
    <w:rsid w:val="00522BB8"/>
    <w:rsid w:val="00522D2C"/>
    <w:rsid w:val="00522E39"/>
    <w:rsid w:val="00523071"/>
    <w:rsid w:val="005231F0"/>
    <w:rsid w:val="005233C5"/>
    <w:rsid w:val="0052371E"/>
    <w:rsid w:val="005238B8"/>
    <w:rsid w:val="00523C1D"/>
    <w:rsid w:val="00523C35"/>
    <w:rsid w:val="00523DDD"/>
    <w:rsid w:val="00523E3D"/>
    <w:rsid w:val="00523E75"/>
    <w:rsid w:val="0052411A"/>
    <w:rsid w:val="00524278"/>
    <w:rsid w:val="005242D2"/>
    <w:rsid w:val="00524373"/>
    <w:rsid w:val="00524395"/>
    <w:rsid w:val="005243E9"/>
    <w:rsid w:val="0052457A"/>
    <w:rsid w:val="005249F3"/>
    <w:rsid w:val="00524B43"/>
    <w:rsid w:val="00524BFD"/>
    <w:rsid w:val="00524CE3"/>
    <w:rsid w:val="00524DDA"/>
    <w:rsid w:val="00525125"/>
    <w:rsid w:val="005251DA"/>
    <w:rsid w:val="0052539D"/>
    <w:rsid w:val="0052542A"/>
    <w:rsid w:val="00525573"/>
    <w:rsid w:val="005256CA"/>
    <w:rsid w:val="00525806"/>
    <w:rsid w:val="00525D90"/>
    <w:rsid w:val="005263CF"/>
    <w:rsid w:val="005266F3"/>
    <w:rsid w:val="005267A0"/>
    <w:rsid w:val="00526855"/>
    <w:rsid w:val="00526C73"/>
    <w:rsid w:val="00526FD2"/>
    <w:rsid w:val="005270A2"/>
    <w:rsid w:val="00527464"/>
    <w:rsid w:val="00527663"/>
    <w:rsid w:val="00527938"/>
    <w:rsid w:val="00527973"/>
    <w:rsid w:val="00527AC3"/>
    <w:rsid w:val="00527CBB"/>
    <w:rsid w:val="00527F36"/>
    <w:rsid w:val="00530159"/>
    <w:rsid w:val="005301DD"/>
    <w:rsid w:val="0053030F"/>
    <w:rsid w:val="00530534"/>
    <w:rsid w:val="00530700"/>
    <w:rsid w:val="00530785"/>
    <w:rsid w:val="00530B92"/>
    <w:rsid w:val="005310DB"/>
    <w:rsid w:val="00531543"/>
    <w:rsid w:val="005317D6"/>
    <w:rsid w:val="00531878"/>
    <w:rsid w:val="005318D6"/>
    <w:rsid w:val="00531A39"/>
    <w:rsid w:val="00531B1A"/>
    <w:rsid w:val="00531B7D"/>
    <w:rsid w:val="00531D96"/>
    <w:rsid w:val="00531F9E"/>
    <w:rsid w:val="00532001"/>
    <w:rsid w:val="0053207F"/>
    <w:rsid w:val="005320C5"/>
    <w:rsid w:val="00532567"/>
    <w:rsid w:val="00532A19"/>
    <w:rsid w:val="00532A81"/>
    <w:rsid w:val="00532F50"/>
    <w:rsid w:val="0053320B"/>
    <w:rsid w:val="005332A4"/>
    <w:rsid w:val="00533332"/>
    <w:rsid w:val="00533416"/>
    <w:rsid w:val="005334CF"/>
    <w:rsid w:val="00533749"/>
    <w:rsid w:val="00533B68"/>
    <w:rsid w:val="005341F9"/>
    <w:rsid w:val="005343C4"/>
    <w:rsid w:val="0053445E"/>
    <w:rsid w:val="00534608"/>
    <w:rsid w:val="005347E8"/>
    <w:rsid w:val="0053486D"/>
    <w:rsid w:val="00534A1D"/>
    <w:rsid w:val="00534A77"/>
    <w:rsid w:val="00534B0F"/>
    <w:rsid w:val="00534C5F"/>
    <w:rsid w:val="00534CE8"/>
    <w:rsid w:val="00534D1E"/>
    <w:rsid w:val="00534D46"/>
    <w:rsid w:val="00534E6C"/>
    <w:rsid w:val="00534F15"/>
    <w:rsid w:val="005352E2"/>
    <w:rsid w:val="0053533C"/>
    <w:rsid w:val="005353C7"/>
    <w:rsid w:val="00535454"/>
    <w:rsid w:val="00535632"/>
    <w:rsid w:val="00535695"/>
    <w:rsid w:val="005357AA"/>
    <w:rsid w:val="005359E0"/>
    <w:rsid w:val="00535B31"/>
    <w:rsid w:val="0053600C"/>
    <w:rsid w:val="00536098"/>
    <w:rsid w:val="00536178"/>
    <w:rsid w:val="00536215"/>
    <w:rsid w:val="00536360"/>
    <w:rsid w:val="00536556"/>
    <w:rsid w:val="00536A3D"/>
    <w:rsid w:val="00536BE9"/>
    <w:rsid w:val="00537248"/>
    <w:rsid w:val="00537349"/>
    <w:rsid w:val="00537467"/>
    <w:rsid w:val="00537482"/>
    <w:rsid w:val="005376C2"/>
    <w:rsid w:val="00537BD8"/>
    <w:rsid w:val="00537CA5"/>
    <w:rsid w:val="00540059"/>
    <w:rsid w:val="00540222"/>
    <w:rsid w:val="00540365"/>
    <w:rsid w:val="00540477"/>
    <w:rsid w:val="005404D6"/>
    <w:rsid w:val="0054050E"/>
    <w:rsid w:val="0054058C"/>
    <w:rsid w:val="005406D1"/>
    <w:rsid w:val="00540850"/>
    <w:rsid w:val="00540868"/>
    <w:rsid w:val="00540933"/>
    <w:rsid w:val="005409E2"/>
    <w:rsid w:val="00540A1B"/>
    <w:rsid w:val="00540AA7"/>
    <w:rsid w:val="00540B2F"/>
    <w:rsid w:val="00540BE2"/>
    <w:rsid w:val="00540D18"/>
    <w:rsid w:val="00540D94"/>
    <w:rsid w:val="00541220"/>
    <w:rsid w:val="0054127E"/>
    <w:rsid w:val="005412CD"/>
    <w:rsid w:val="0054134C"/>
    <w:rsid w:val="00541493"/>
    <w:rsid w:val="0054176B"/>
    <w:rsid w:val="00541812"/>
    <w:rsid w:val="00541826"/>
    <w:rsid w:val="0054188A"/>
    <w:rsid w:val="0054192A"/>
    <w:rsid w:val="00541CA1"/>
    <w:rsid w:val="00541D00"/>
    <w:rsid w:val="00541EBB"/>
    <w:rsid w:val="00541F2A"/>
    <w:rsid w:val="00541FA6"/>
    <w:rsid w:val="00542132"/>
    <w:rsid w:val="0054246B"/>
    <w:rsid w:val="005427EC"/>
    <w:rsid w:val="005429E6"/>
    <w:rsid w:val="00542B26"/>
    <w:rsid w:val="00542D17"/>
    <w:rsid w:val="00542E2A"/>
    <w:rsid w:val="00542EEE"/>
    <w:rsid w:val="00543074"/>
    <w:rsid w:val="0054309F"/>
    <w:rsid w:val="00543169"/>
    <w:rsid w:val="005432BA"/>
    <w:rsid w:val="005435CD"/>
    <w:rsid w:val="005437EA"/>
    <w:rsid w:val="0054392E"/>
    <w:rsid w:val="00543A01"/>
    <w:rsid w:val="00543CDC"/>
    <w:rsid w:val="00544085"/>
    <w:rsid w:val="005443B3"/>
    <w:rsid w:val="0054456C"/>
    <w:rsid w:val="005445D5"/>
    <w:rsid w:val="00544914"/>
    <w:rsid w:val="00544DB4"/>
    <w:rsid w:val="00544E37"/>
    <w:rsid w:val="00544F96"/>
    <w:rsid w:val="00545268"/>
    <w:rsid w:val="00545427"/>
    <w:rsid w:val="00545534"/>
    <w:rsid w:val="0054559E"/>
    <w:rsid w:val="005455A1"/>
    <w:rsid w:val="005457D1"/>
    <w:rsid w:val="0054595A"/>
    <w:rsid w:val="00545B84"/>
    <w:rsid w:val="00545DBF"/>
    <w:rsid w:val="00545E85"/>
    <w:rsid w:val="00545FBD"/>
    <w:rsid w:val="0054601E"/>
    <w:rsid w:val="00546229"/>
    <w:rsid w:val="00546444"/>
    <w:rsid w:val="0054657B"/>
    <w:rsid w:val="005465B6"/>
    <w:rsid w:val="00546775"/>
    <w:rsid w:val="00546872"/>
    <w:rsid w:val="005468F7"/>
    <w:rsid w:val="00546A95"/>
    <w:rsid w:val="00546B2D"/>
    <w:rsid w:val="00547274"/>
    <w:rsid w:val="00547330"/>
    <w:rsid w:val="0054746A"/>
    <w:rsid w:val="00547558"/>
    <w:rsid w:val="0054761F"/>
    <w:rsid w:val="00547657"/>
    <w:rsid w:val="005477CC"/>
    <w:rsid w:val="00547977"/>
    <w:rsid w:val="00547AB7"/>
    <w:rsid w:val="00547DB6"/>
    <w:rsid w:val="00547E27"/>
    <w:rsid w:val="00550326"/>
    <w:rsid w:val="005507F6"/>
    <w:rsid w:val="0055088F"/>
    <w:rsid w:val="005508EB"/>
    <w:rsid w:val="005509A3"/>
    <w:rsid w:val="00550A30"/>
    <w:rsid w:val="00550A53"/>
    <w:rsid w:val="00550A69"/>
    <w:rsid w:val="00550B18"/>
    <w:rsid w:val="00550BB1"/>
    <w:rsid w:val="00550CB6"/>
    <w:rsid w:val="00550CC6"/>
    <w:rsid w:val="00550CCE"/>
    <w:rsid w:val="00550FA1"/>
    <w:rsid w:val="0055100E"/>
    <w:rsid w:val="005510C8"/>
    <w:rsid w:val="0055115A"/>
    <w:rsid w:val="00551194"/>
    <w:rsid w:val="0055132B"/>
    <w:rsid w:val="00551413"/>
    <w:rsid w:val="005514CC"/>
    <w:rsid w:val="0055155E"/>
    <w:rsid w:val="005515A3"/>
    <w:rsid w:val="005517C4"/>
    <w:rsid w:val="0055181B"/>
    <w:rsid w:val="00551A67"/>
    <w:rsid w:val="00551A70"/>
    <w:rsid w:val="00551B23"/>
    <w:rsid w:val="00551DEA"/>
    <w:rsid w:val="00552153"/>
    <w:rsid w:val="005526B1"/>
    <w:rsid w:val="00552860"/>
    <w:rsid w:val="00552887"/>
    <w:rsid w:val="00552ACA"/>
    <w:rsid w:val="00552B38"/>
    <w:rsid w:val="00552C18"/>
    <w:rsid w:val="00552C9F"/>
    <w:rsid w:val="00552F9C"/>
    <w:rsid w:val="00553122"/>
    <w:rsid w:val="005531BE"/>
    <w:rsid w:val="005532E8"/>
    <w:rsid w:val="0055331C"/>
    <w:rsid w:val="005538E9"/>
    <w:rsid w:val="00553909"/>
    <w:rsid w:val="00553996"/>
    <w:rsid w:val="00553A3D"/>
    <w:rsid w:val="00553A66"/>
    <w:rsid w:val="00553A6A"/>
    <w:rsid w:val="00553D80"/>
    <w:rsid w:val="00553E7B"/>
    <w:rsid w:val="005540C5"/>
    <w:rsid w:val="005541AC"/>
    <w:rsid w:val="005543C5"/>
    <w:rsid w:val="00554651"/>
    <w:rsid w:val="00554933"/>
    <w:rsid w:val="00554A12"/>
    <w:rsid w:val="00554A4B"/>
    <w:rsid w:val="00554C1B"/>
    <w:rsid w:val="00554E38"/>
    <w:rsid w:val="00554F79"/>
    <w:rsid w:val="00554FC1"/>
    <w:rsid w:val="0055516A"/>
    <w:rsid w:val="005551D2"/>
    <w:rsid w:val="00555267"/>
    <w:rsid w:val="0055526C"/>
    <w:rsid w:val="005553DB"/>
    <w:rsid w:val="0055544E"/>
    <w:rsid w:val="005554B1"/>
    <w:rsid w:val="0055566E"/>
    <w:rsid w:val="00555680"/>
    <w:rsid w:val="005558BB"/>
    <w:rsid w:val="00555F74"/>
    <w:rsid w:val="00556069"/>
    <w:rsid w:val="0055611B"/>
    <w:rsid w:val="00556295"/>
    <w:rsid w:val="005562AA"/>
    <w:rsid w:val="00556425"/>
    <w:rsid w:val="005564E6"/>
    <w:rsid w:val="00556603"/>
    <w:rsid w:val="005568C2"/>
    <w:rsid w:val="0055690F"/>
    <w:rsid w:val="005569BF"/>
    <w:rsid w:val="00556C3D"/>
    <w:rsid w:val="00556EC9"/>
    <w:rsid w:val="00556F5F"/>
    <w:rsid w:val="00557252"/>
    <w:rsid w:val="0055727D"/>
    <w:rsid w:val="00557295"/>
    <w:rsid w:val="0055734E"/>
    <w:rsid w:val="00557872"/>
    <w:rsid w:val="005579BB"/>
    <w:rsid w:val="00557B42"/>
    <w:rsid w:val="00557FD2"/>
    <w:rsid w:val="0056078E"/>
    <w:rsid w:val="00560870"/>
    <w:rsid w:val="005608F3"/>
    <w:rsid w:val="00560C5C"/>
    <w:rsid w:val="00561093"/>
    <w:rsid w:val="005612BC"/>
    <w:rsid w:val="005612E1"/>
    <w:rsid w:val="005614C3"/>
    <w:rsid w:val="0056155B"/>
    <w:rsid w:val="005617AE"/>
    <w:rsid w:val="0056186E"/>
    <w:rsid w:val="00561935"/>
    <w:rsid w:val="00561A15"/>
    <w:rsid w:val="00561C4A"/>
    <w:rsid w:val="00561C8F"/>
    <w:rsid w:val="00561EC6"/>
    <w:rsid w:val="00562139"/>
    <w:rsid w:val="005622FA"/>
    <w:rsid w:val="0056237D"/>
    <w:rsid w:val="00562397"/>
    <w:rsid w:val="0056241C"/>
    <w:rsid w:val="005627C2"/>
    <w:rsid w:val="005629ED"/>
    <w:rsid w:val="00562A8E"/>
    <w:rsid w:val="00562B2E"/>
    <w:rsid w:val="00562B70"/>
    <w:rsid w:val="00562E1C"/>
    <w:rsid w:val="0056302F"/>
    <w:rsid w:val="005632B2"/>
    <w:rsid w:val="005633A9"/>
    <w:rsid w:val="0056343E"/>
    <w:rsid w:val="00563584"/>
    <w:rsid w:val="005635DB"/>
    <w:rsid w:val="005635F7"/>
    <w:rsid w:val="00563730"/>
    <w:rsid w:val="0056391E"/>
    <w:rsid w:val="0056391F"/>
    <w:rsid w:val="00563929"/>
    <w:rsid w:val="00563B70"/>
    <w:rsid w:val="00563C6D"/>
    <w:rsid w:val="00563D41"/>
    <w:rsid w:val="00563D6B"/>
    <w:rsid w:val="00563DD3"/>
    <w:rsid w:val="00563ED9"/>
    <w:rsid w:val="00563F1B"/>
    <w:rsid w:val="00563F83"/>
    <w:rsid w:val="00563FFA"/>
    <w:rsid w:val="00564029"/>
    <w:rsid w:val="005641C2"/>
    <w:rsid w:val="00564382"/>
    <w:rsid w:val="0056497F"/>
    <w:rsid w:val="00564B5A"/>
    <w:rsid w:val="00564D68"/>
    <w:rsid w:val="00564E81"/>
    <w:rsid w:val="00565144"/>
    <w:rsid w:val="00565322"/>
    <w:rsid w:val="00565380"/>
    <w:rsid w:val="005657B1"/>
    <w:rsid w:val="00565852"/>
    <w:rsid w:val="00565A8C"/>
    <w:rsid w:val="00565AC3"/>
    <w:rsid w:val="00565BCE"/>
    <w:rsid w:val="00565C86"/>
    <w:rsid w:val="00565E5B"/>
    <w:rsid w:val="0056611C"/>
    <w:rsid w:val="0056625C"/>
    <w:rsid w:val="0056633B"/>
    <w:rsid w:val="00566581"/>
    <w:rsid w:val="005665E4"/>
    <w:rsid w:val="00566876"/>
    <w:rsid w:val="00566C92"/>
    <w:rsid w:val="00566D25"/>
    <w:rsid w:val="00566E6C"/>
    <w:rsid w:val="00566EAB"/>
    <w:rsid w:val="005671D2"/>
    <w:rsid w:val="005671E4"/>
    <w:rsid w:val="0056748D"/>
    <w:rsid w:val="005674C7"/>
    <w:rsid w:val="00567500"/>
    <w:rsid w:val="00567562"/>
    <w:rsid w:val="00567574"/>
    <w:rsid w:val="005676C3"/>
    <w:rsid w:val="00567907"/>
    <w:rsid w:val="00567A0A"/>
    <w:rsid w:val="00567BAE"/>
    <w:rsid w:val="00567FF0"/>
    <w:rsid w:val="005703F8"/>
    <w:rsid w:val="0057042A"/>
    <w:rsid w:val="005705BB"/>
    <w:rsid w:val="0057089B"/>
    <w:rsid w:val="00570921"/>
    <w:rsid w:val="00570931"/>
    <w:rsid w:val="00570939"/>
    <w:rsid w:val="00570C64"/>
    <w:rsid w:val="00570D47"/>
    <w:rsid w:val="00570E2E"/>
    <w:rsid w:val="0057100B"/>
    <w:rsid w:val="0057100E"/>
    <w:rsid w:val="005710B8"/>
    <w:rsid w:val="0057117E"/>
    <w:rsid w:val="005711D3"/>
    <w:rsid w:val="005713B2"/>
    <w:rsid w:val="005714B2"/>
    <w:rsid w:val="00571559"/>
    <w:rsid w:val="00571A17"/>
    <w:rsid w:val="00571FC1"/>
    <w:rsid w:val="00572135"/>
    <w:rsid w:val="005724A3"/>
    <w:rsid w:val="00572514"/>
    <w:rsid w:val="00572767"/>
    <w:rsid w:val="00572925"/>
    <w:rsid w:val="00572BBB"/>
    <w:rsid w:val="00572C8C"/>
    <w:rsid w:val="00572CFA"/>
    <w:rsid w:val="00572E7C"/>
    <w:rsid w:val="0057340C"/>
    <w:rsid w:val="0057348C"/>
    <w:rsid w:val="005737C8"/>
    <w:rsid w:val="005738A4"/>
    <w:rsid w:val="00573B30"/>
    <w:rsid w:val="00573DF0"/>
    <w:rsid w:val="00573EBE"/>
    <w:rsid w:val="00573EEE"/>
    <w:rsid w:val="00573F35"/>
    <w:rsid w:val="00574003"/>
    <w:rsid w:val="0057444F"/>
    <w:rsid w:val="00574458"/>
    <w:rsid w:val="005746B6"/>
    <w:rsid w:val="00574890"/>
    <w:rsid w:val="00574B35"/>
    <w:rsid w:val="00574C11"/>
    <w:rsid w:val="00574D72"/>
    <w:rsid w:val="00574E85"/>
    <w:rsid w:val="00575006"/>
    <w:rsid w:val="00575070"/>
    <w:rsid w:val="005750EB"/>
    <w:rsid w:val="00575421"/>
    <w:rsid w:val="005756C0"/>
    <w:rsid w:val="005756C5"/>
    <w:rsid w:val="005756DE"/>
    <w:rsid w:val="005756F2"/>
    <w:rsid w:val="00575B51"/>
    <w:rsid w:val="00575B70"/>
    <w:rsid w:val="00575C05"/>
    <w:rsid w:val="005760DE"/>
    <w:rsid w:val="005762B8"/>
    <w:rsid w:val="00576393"/>
    <w:rsid w:val="00576838"/>
    <w:rsid w:val="005769FD"/>
    <w:rsid w:val="00576A40"/>
    <w:rsid w:val="00576ABF"/>
    <w:rsid w:val="00576BF5"/>
    <w:rsid w:val="00576E52"/>
    <w:rsid w:val="00576E77"/>
    <w:rsid w:val="005772B4"/>
    <w:rsid w:val="00577B23"/>
    <w:rsid w:val="00577CA1"/>
    <w:rsid w:val="00577F0C"/>
    <w:rsid w:val="005800E4"/>
    <w:rsid w:val="005803EC"/>
    <w:rsid w:val="005804BF"/>
    <w:rsid w:val="005804EA"/>
    <w:rsid w:val="00580625"/>
    <w:rsid w:val="005806DF"/>
    <w:rsid w:val="0058073E"/>
    <w:rsid w:val="00580823"/>
    <w:rsid w:val="00580B92"/>
    <w:rsid w:val="005811DD"/>
    <w:rsid w:val="00581774"/>
    <w:rsid w:val="00581A2B"/>
    <w:rsid w:val="00581C20"/>
    <w:rsid w:val="00581DEA"/>
    <w:rsid w:val="00581E62"/>
    <w:rsid w:val="00582065"/>
    <w:rsid w:val="00582795"/>
    <w:rsid w:val="00582938"/>
    <w:rsid w:val="0058293A"/>
    <w:rsid w:val="00582C20"/>
    <w:rsid w:val="00582CCE"/>
    <w:rsid w:val="00582D7C"/>
    <w:rsid w:val="00582E8C"/>
    <w:rsid w:val="00582F25"/>
    <w:rsid w:val="0058327F"/>
    <w:rsid w:val="005833DD"/>
    <w:rsid w:val="0058347A"/>
    <w:rsid w:val="0058349B"/>
    <w:rsid w:val="00583637"/>
    <w:rsid w:val="0058378A"/>
    <w:rsid w:val="0058379B"/>
    <w:rsid w:val="00583837"/>
    <w:rsid w:val="00583911"/>
    <w:rsid w:val="00583AEB"/>
    <w:rsid w:val="00583D09"/>
    <w:rsid w:val="00583DC5"/>
    <w:rsid w:val="00583E17"/>
    <w:rsid w:val="00583F13"/>
    <w:rsid w:val="00583FB4"/>
    <w:rsid w:val="0058451C"/>
    <w:rsid w:val="005845C0"/>
    <w:rsid w:val="0058470B"/>
    <w:rsid w:val="00584801"/>
    <w:rsid w:val="005848F9"/>
    <w:rsid w:val="00584934"/>
    <w:rsid w:val="0058497B"/>
    <w:rsid w:val="005849D5"/>
    <w:rsid w:val="00584A51"/>
    <w:rsid w:val="00584C4F"/>
    <w:rsid w:val="00584D8D"/>
    <w:rsid w:val="00584E27"/>
    <w:rsid w:val="00584E48"/>
    <w:rsid w:val="00585072"/>
    <w:rsid w:val="005850AF"/>
    <w:rsid w:val="00585339"/>
    <w:rsid w:val="00585344"/>
    <w:rsid w:val="005856D7"/>
    <w:rsid w:val="005858FD"/>
    <w:rsid w:val="005859CF"/>
    <w:rsid w:val="00585B92"/>
    <w:rsid w:val="00585C38"/>
    <w:rsid w:val="00585D38"/>
    <w:rsid w:val="00585F69"/>
    <w:rsid w:val="00585FCC"/>
    <w:rsid w:val="0058620B"/>
    <w:rsid w:val="005862C5"/>
    <w:rsid w:val="00586372"/>
    <w:rsid w:val="0058638B"/>
    <w:rsid w:val="0058674D"/>
    <w:rsid w:val="00586919"/>
    <w:rsid w:val="00587281"/>
    <w:rsid w:val="005873FD"/>
    <w:rsid w:val="00587436"/>
    <w:rsid w:val="00587622"/>
    <w:rsid w:val="005878EB"/>
    <w:rsid w:val="00587BC7"/>
    <w:rsid w:val="00587E70"/>
    <w:rsid w:val="00587EC3"/>
    <w:rsid w:val="00587F99"/>
    <w:rsid w:val="005900CA"/>
    <w:rsid w:val="00590298"/>
    <w:rsid w:val="00590479"/>
    <w:rsid w:val="00590504"/>
    <w:rsid w:val="005909DD"/>
    <w:rsid w:val="00590BFB"/>
    <w:rsid w:val="00590CB6"/>
    <w:rsid w:val="00590D35"/>
    <w:rsid w:val="00590EED"/>
    <w:rsid w:val="00590F1F"/>
    <w:rsid w:val="00591290"/>
    <w:rsid w:val="00591B63"/>
    <w:rsid w:val="00591BDF"/>
    <w:rsid w:val="00591D9D"/>
    <w:rsid w:val="00591E85"/>
    <w:rsid w:val="00592063"/>
    <w:rsid w:val="00592121"/>
    <w:rsid w:val="0059224E"/>
    <w:rsid w:val="00592268"/>
    <w:rsid w:val="005922F5"/>
    <w:rsid w:val="0059233F"/>
    <w:rsid w:val="00592352"/>
    <w:rsid w:val="005926F8"/>
    <w:rsid w:val="00592980"/>
    <w:rsid w:val="00592A7E"/>
    <w:rsid w:val="00592AD9"/>
    <w:rsid w:val="00592BDB"/>
    <w:rsid w:val="00592F77"/>
    <w:rsid w:val="00593059"/>
    <w:rsid w:val="00593161"/>
    <w:rsid w:val="00593209"/>
    <w:rsid w:val="00593488"/>
    <w:rsid w:val="0059360F"/>
    <w:rsid w:val="00593824"/>
    <w:rsid w:val="0059388E"/>
    <w:rsid w:val="00593895"/>
    <w:rsid w:val="00593A47"/>
    <w:rsid w:val="00593AA2"/>
    <w:rsid w:val="00593B2F"/>
    <w:rsid w:val="00593E56"/>
    <w:rsid w:val="00593F2F"/>
    <w:rsid w:val="00593FBF"/>
    <w:rsid w:val="00594127"/>
    <w:rsid w:val="00594132"/>
    <w:rsid w:val="005941EC"/>
    <w:rsid w:val="0059443B"/>
    <w:rsid w:val="00594463"/>
    <w:rsid w:val="005947A3"/>
    <w:rsid w:val="00594A48"/>
    <w:rsid w:val="00594A9D"/>
    <w:rsid w:val="00594BC0"/>
    <w:rsid w:val="00594D34"/>
    <w:rsid w:val="00595081"/>
    <w:rsid w:val="0059511B"/>
    <w:rsid w:val="005951EA"/>
    <w:rsid w:val="005952CE"/>
    <w:rsid w:val="00595468"/>
    <w:rsid w:val="005954EB"/>
    <w:rsid w:val="0059564A"/>
    <w:rsid w:val="005958A6"/>
    <w:rsid w:val="00595A10"/>
    <w:rsid w:val="00595ACB"/>
    <w:rsid w:val="00595C98"/>
    <w:rsid w:val="00595EEA"/>
    <w:rsid w:val="00595FBF"/>
    <w:rsid w:val="0059615E"/>
    <w:rsid w:val="00596252"/>
    <w:rsid w:val="0059635C"/>
    <w:rsid w:val="005965DF"/>
    <w:rsid w:val="00596A28"/>
    <w:rsid w:val="00596AC4"/>
    <w:rsid w:val="00596AEA"/>
    <w:rsid w:val="00596DBF"/>
    <w:rsid w:val="00596DF0"/>
    <w:rsid w:val="00597091"/>
    <w:rsid w:val="005971F9"/>
    <w:rsid w:val="00597255"/>
    <w:rsid w:val="0059730D"/>
    <w:rsid w:val="00597373"/>
    <w:rsid w:val="005973FF"/>
    <w:rsid w:val="00597433"/>
    <w:rsid w:val="005974A6"/>
    <w:rsid w:val="005975B5"/>
    <w:rsid w:val="005975DA"/>
    <w:rsid w:val="005975EE"/>
    <w:rsid w:val="0059763D"/>
    <w:rsid w:val="0059784C"/>
    <w:rsid w:val="00597B9B"/>
    <w:rsid w:val="00597C04"/>
    <w:rsid w:val="00597D15"/>
    <w:rsid w:val="00597DE9"/>
    <w:rsid w:val="005A01C9"/>
    <w:rsid w:val="005A026A"/>
    <w:rsid w:val="005A02AB"/>
    <w:rsid w:val="005A0348"/>
    <w:rsid w:val="005A05C8"/>
    <w:rsid w:val="005A0745"/>
    <w:rsid w:val="005A0887"/>
    <w:rsid w:val="005A08AF"/>
    <w:rsid w:val="005A0BB2"/>
    <w:rsid w:val="005A1579"/>
    <w:rsid w:val="005A15C7"/>
    <w:rsid w:val="005A1933"/>
    <w:rsid w:val="005A1BE8"/>
    <w:rsid w:val="005A1DE4"/>
    <w:rsid w:val="005A206E"/>
    <w:rsid w:val="005A21EE"/>
    <w:rsid w:val="005A2335"/>
    <w:rsid w:val="005A2421"/>
    <w:rsid w:val="005A25D2"/>
    <w:rsid w:val="005A264B"/>
    <w:rsid w:val="005A27AF"/>
    <w:rsid w:val="005A2955"/>
    <w:rsid w:val="005A2CAD"/>
    <w:rsid w:val="005A2E3D"/>
    <w:rsid w:val="005A2F39"/>
    <w:rsid w:val="005A2F66"/>
    <w:rsid w:val="005A31A7"/>
    <w:rsid w:val="005A3297"/>
    <w:rsid w:val="005A36AD"/>
    <w:rsid w:val="005A37B3"/>
    <w:rsid w:val="005A3831"/>
    <w:rsid w:val="005A3992"/>
    <w:rsid w:val="005A3B3D"/>
    <w:rsid w:val="005A3C59"/>
    <w:rsid w:val="005A3DF9"/>
    <w:rsid w:val="005A3EE5"/>
    <w:rsid w:val="005A3F08"/>
    <w:rsid w:val="005A3F33"/>
    <w:rsid w:val="005A4070"/>
    <w:rsid w:val="005A430D"/>
    <w:rsid w:val="005A4335"/>
    <w:rsid w:val="005A43ED"/>
    <w:rsid w:val="005A4865"/>
    <w:rsid w:val="005A49E0"/>
    <w:rsid w:val="005A4B0B"/>
    <w:rsid w:val="005A4B77"/>
    <w:rsid w:val="005A5046"/>
    <w:rsid w:val="005A5167"/>
    <w:rsid w:val="005A51C2"/>
    <w:rsid w:val="005A52BF"/>
    <w:rsid w:val="005A5337"/>
    <w:rsid w:val="005A547D"/>
    <w:rsid w:val="005A55E1"/>
    <w:rsid w:val="005A5652"/>
    <w:rsid w:val="005A57E6"/>
    <w:rsid w:val="005A5C21"/>
    <w:rsid w:val="005A5EE3"/>
    <w:rsid w:val="005A6082"/>
    <w:rsid w:val="005A60B3"/>
    <w:rsid w:val="005A610C"/>
    <w:rsid w:val="005A6121"/>
    <w:rsid w:val="005A61B5"/>
    <w:rsid w:val="005A61C2"/>
    <w:rsid w:val="005A625D"/>
    <w:rsid w:val="005A6475"/>
    <w:rsid w:val="005A6506"/>
    <w:rsid w:val="005A6654"/>
    <w:rsid w:val="005A6B82"/>
    <w:rsid w:val="005A6CEE"/>
    <w:rsid w:val="005A6CFA"/>
    <w:rsid w:val="005A6D36"/>
    <w:rsid w:val="005A6E7D"/>
    <w:rsid w:val="005A6EB5"/>
    <w:rsid w:val="005A6F89"/>
    <w:rsid w:val="005A701F"/>
    <w:rsid w:val="005A70A4"/>
    <w:rsid w:val="005A734A"/>
    <w:rsid w:val="005A7372"/>
    <w:rsid w:val="005A7725"/>
    <w:rsid w:val="005A7740"/>
    <w:rsid w:val="005A7C9F"/>
    <w:rsid w:val="005A7DE1"/>
    <w:rsid w:val="005A7EF2"/>
    <w:rsid w:val="005A7EF9"/>
    <w:rsid w:val="005B0037"/>
    <w:rsid w:val="005B057F"/>
    <w:rsid w:val="005B06BB"/>
    <w:rsid w:val="005B087F"/>
    <w:rsid w:val="005B0A40"/>
    <w:rsid w:val="005B0C16"/>
    <w:rsid w:val="005B1044"/>
    <w:rsid w:val="005B11DE"/>
    <w:rsid w:val="005B12AC"/>
    <w:rsid w:val="005B14C1"/>
    <w:rsid w:val="005B14C4"/>
    <w:rsid w:val="005B16F1"/>
    <w:rsid w:val="005B1AF3"/>
    <w:rsid w:val="005B1B16"/>
    <w:rsid w:val="005B1BF4"/>
    <w:rsid w:val="005B1CB0"/>
    <w:rsid w:val="005B1D0C"/>
    <w:rsid w:val="005B21DA"/>
    <w:rsid w:val="005B260E"/>
    <w:rsid w:val="005B2722"/>
    <w:rsid w:val="005B2798"/>
    <w:rsid w:val="005B2A46"/>
    <w:rsid w:val="005B2AB6"/>
    <w:rsid w:val="005B2BBA"/>
    <w:rsid w:val="005B2D89"/>
    <w:rsid w:val="005B2F55"/>
    <w:rsid w:val="005B309E"/>
    <w:rsid w:val="005B32D1"/>
    <w:rsid w:val="005B34C1"/>
    <w:rsid w:val="005B386D"/>
    <w:rsid w:val="005B389F"/>
    <w:rsid w:val="005B3D2E"/>
    <w:rsid w:val="005B3D79"/>
    <w:rsid w:val="005B3E8E"/>
    <w:rsid w:val="005B411A"/>
    <w:rsid w:val="005B4581"/>
    <w:rsid w:val="005B4651"/>
    <w:rsid w:val="005B4A4C"/>
    <w:rsid w:val="005B4CE6"/>
    <w:rsid w:val="005B4DD3"/>
    <w:rsid w:val="005B5018"/>
    <w:rsid w:val="005B50CB"/>
    <w:rsid w:val="005B527D"/>
    <w:rsid w:val="005B52C4"/>
    <w:rsid w:val="005B53E1"/>
    <w:rsid w:val="005B53EB"/>
    <w:rsid w:val="005B5428"/>
    <w:rsid w:val="005B542E"/>
    <w:rsid w:val="005B5614"/>
    <w:rsid w:val="005B5792"/>
    <w:rsid w:val="005B59B0"/>
    <w:rsid w:val="005B5FD7"/>
    <w:rsid w:val="005B6161"/>
    <w:rsid w:val="005B61FF"/>
    <w:rsid w:val="005B6209"/>
    <w:rsid w:val="005B62D4"/>
    <w:rsid w:val="005B6383"/>
    <w:rsid w:val="005B64D5"/>
    <w:rsid w:val="005B677D"/>
    <w:rsid w:val="005B6964"/>
    <w:rsid w:val="005B69F0"/>
    <w:rsid w:val="005B6A71"/>
    <w:rsid w:val="005B6C17"/>
    <w:rsid w:val="005B7024"/>
    <w:rsid w:val="005B720C"/>
    <w:rsid w:val="005B7227"/>
    <w:rsid w:val="005B7687"/>
    <w:rsid w:val="005B7AC6"/>
    <w:rsid w:val="005B7B28"/>
    <w:rsid w:val="005B7C71"/>
    <w:rsid w:val="005C01EC"/>
    <w:rsid w:val="005C032F"/>
    <w:rsid w:val="005C03C3"/>
    <w:rsid w:val="005C05AF"/>
    <w:rsid w:val="005C082C"/>
    <w:rsid w:val="005C08C3"/>
    <w:rsid w:val="005C0BA7"/>
    <w:rsid w:val="005C0BD1"/>
    <w:rsid w:val="005C0E2B"/>
    <w:rsid w:val="005C11D0"/>
    <w:rsid w:val="005C17D5"/>
    <w:rsid w:val="005C1834"/>
    <w:rsid w:val="005C18FF"/>
    <w:rsid w:val="005C1A21"/>
    <w:rsid w:val="005C1A4F"/>
    <w:rsid w:val="005C2049"/>
    <w:rsid w:val="005C2465"/>
    <w:rsid w:val="005C254F"/>
    <w:rsid w:val="005C25DC"/>
    <w:rsid w:val="005C2684"/>
    <w:rsid w:val="005C26BF"/>
    <w:rsid w:val="005C288F"/>
    <w:rsid w:val="005C2EFF"/>
    <w:rsid w:val="005C30D9"/>
    <w:rsid w:val="005C31E7"/>
    <w:rsid w:val="005C3365"/>
    <w:rsid w:val="005C3407"/>
    <w:rsid w:val="005C352A"/>
    <w:rsid w:val="005C36DA"/>
    <w:rsid w:val="005C37B1"/>
    <w:rsid w:val="005C3AC0"/>
    <w:rsid w:val="005C3BF3"/>
    <w:rsid w:val="005C3C99"/>
    <w:rsid w:val="005C40DD"/>
    <w:rsid w:val="005C40EB"/>
    <w:rsid w:val="005C42D8"/>
    <w:rsid w:val="005C42DE"/>
    <w:rsid w:val="005C4390"/>
    <w:rsid w:val="005C446C"/>
    <w:rsid w:val="005C44C5"/>
    <w:rsid w:val="005C454E"/>
    <w:rsid w:val="005C45D8"/>
    <w:rsid w:val="005C46A6"/>
    <w:rsid w:val="005C47F3"/>
    <w:rsid w:val="005C491B"/>
    <w:rsid w:val="005C4B1A"/>
    <w:rsid w:val="005C4D95"/>
    <w:rsid w:val="005C4EE1"/>
    <w:rsid w:val="005C4F7D"/>
    <w:rsid w:val="005C5022"/>
    <w:rsid w:val="005C51D5"/>
    <w:rsid w:val="005C5200"/>
    <w:rsid w:val="005C552E"/>
    <w:rsid w:val="005C565A"/>
    <w:rsid w:val="005C5A99"/>
    <w:rsid w:val="005C5D48"/>
    <w:rsid w:val="005C5FA8"/>
    <w:rsid w:val="005C61C9"/>
    <w:rsid w:val="005C647D"/>
    <w:rsid w:val="005C666F"/>
    <w:rsid w:val="005C6787"/>
    <w:rsid w:val="005C680B"/>
    <w:rsid w:val="005C69CC"/>
    <w:rsid w:val="005C69D8"/>
    <w:rsid w:val="005C6AF3"/>
    <w:rsid w:val="005C6E0D"/>
    <w:rsid w:val="005C6FF6"/>
    <w:rsid w:val="005C7156"/>
    <w:rsid w:val="005C75E9"/>
    <w:rsid w:val="005C7639"/>
    <w:rsid w:val="005C7948"/>
    <w:rsid w:val="005C7C23"/>
    <w:rsid w:val="005C7D3E"/>
    <w:rsid w:val="005C7E39"/>
    <w:rsid w:val="005C7FA7"/>
    <w:rsid w:val="005D02D6"/>
    <w:rsid w:val="005D040F"/>
    <w:rsid w:val="005D04D9"/>
    <w:rsid w:val="005D0554"/>
    <w:rsid w:val="005D0923"/>
    <w:rsid w:val="005D0A70"/>
    <w:rsid w:val="005D0B95"/>
    <w:rsid w:val="005D0CB8"/>
    <w:rsid w:val="005D0F5C"/>
    <w:rsid w:val="005D1273"/>
    <w:rsid w:val="005D16A8"/>
    <w:rsid w:val="005D16F6"/>
    <w:rsid w:val="005D18A2"/>
    <w:rsid w:val="005D18D5"/>
    <w:rsid w:val="005D1D15"/>
    <w:rsid w:val="005D1D1B"/>
    <w:rsid w:val="005D22F2"/>
    <w:rsid w:val="005D246E"/>
    <w:rsid w:val="005D24E6"/>
    <w:rsid w:val="005D2720"/>
    <w:rsid w:val="005D2811"/>
    <w:rsid w:val="005D2BCC"/>
    <w:rsid w:val="005D2C55"/>
    <w:rsid w:val="005D2CE3"/>
    <w:rsid w:val="005D2F64"/>
    <w:rsid w:val="005D321A"/>
    <w:rsid w:val="005D3534"/>
    <w:rsid w:val="005D3542"/>
    <w:rsid w:val="005D35F2"/>
    <w:rsid w:val="005D3726"/>
    <w:rsid w:val="005D398B"/>
    <w:rsid w:val="005D39D0"/>
    <w:rsid w:val="005D3DF7"/>
    <w:rsid w:val="005D407A"/>
    <w:rsid w:val="005D4126"/>
    <w:rsid w:val="005D4365"/>
    <w:rsid w:val="005D4636"/>
    <w:rsid w:val="005D486B"/>
    <w:rsid w:val="005D4A10"/>
    <w:rsid w:val="005D4E65"/>
    <w:rsid w:val="005D570B"/>
    <w:rsid w:val="005D5716"/>
    <w:rsid w:val="005D57FC"/>
    <w:rsid w:val="005D580E"/>
    <w:rsid w:val="005D5B91"/>
    <w:rsid w:val="005D604B"/>
    <w:rsid w:val="005D622F"/>
    <w:rsid w:val="005D6389"/>
    <w:rsid w:val="005D63FE"/>
    <w:rsid w:val="005D6708"/>
    <w:rsid w:val="005D6B6E"/>
    <w:rsid w:val="005D6C8D"/>
    <w:rsid w:val="005D6DC9"/>
    <w:rsid w:val="005D6EBC"/>
    <w:rsid w:val="005D728C"/>
    <w:rsid w:val="005D7AAA"/>
    <w:rsid w:val="005D7D35"/>
    <w:rsid w:val="005E005F"/>
    <w:rsid w:val="005E0195"/>
    <w:rsid w:val="005E01A0"/>
    <w:rsid w:val="005E0373"/>
    <w:rsid w:val="005E03D9"/>
    <w:rsid w:val="005E0516"/>
    <w:rsid w:val="005E0A22"/>
    <w:rsid w:val="005E0F40"/>
    <w:rsid w:val="005E1053"/>
    <w:rsid w:val="005E10E7"/>
    <w:rsid w:val="005E16D4"/>
    <w:rsid w:val="005E16DB"/>
    <w:rsid w:val="005E194D"/>
    <w:rsid w:val="005E1A2C"/>
    <w:rsid w:val="005E1B00"/>
    <w:rsid w:val="005E1BAF"/>
    <w:rsid w:val="005E1BB5"/>
    <w:rsid w:val="005E1CB5"/>
    <w:rsid w:val="005E1D3F"/>
    <w:rsid w:val="005E1DCD"/>
    <w:rsid w:val="005E225A"/>
    <w:rsid w:val="005E2385"/>
    <w:rsid w:val="005E2605"/>
    <w:rsid w:val="005E287A"/>
    <w:rsid w:val="005E2AF8"/>
    <w:rsid w:val="005E2BEF"/>
    <w:rsid w:val="005E3025"/>
    <w:rsid w:val="005E3048"/>
    <w:rsid w:val="005E305E"/>
    <w:rsid w:val="005E3080"/>
    <w:rsid w:val="005E308A"/>
    <w:rsid w:val="005E3099"/>
    <w:rsid w:val="005E31FD"/>
    <w:rsid w:val="005E3202"/>
    <w:rsid w:val="005E3350"/>
    <w:rsid w:val="005E3589"/>
    <w:rsid w:val="005E35E4"/>
    <w:rsid w:val="005E362B"/>
    <w:rsid w:val="005E36EA"/>
    <w:rsid w:val="005E3703"/>
    <w:rsid w:val="005E37D6"/>
    <w:rsid w:val="005E387C"/>
    <w:rsid w:val="005E38B9"/>
    <w:rsid w:val="005E393C"/>
    <w:rsid w:val="005E3A65"/>
    <w:rsid w:val="005E3AFA"/>
    <w:rsid w:val="005E3C80"/>
    <w:rsid w:val="005E3DBF"/>
    <w:rsid w:val="005E40DA"/>
    <w:rsid w:val="005E4146"/>
    <w:rsid w:val="005E41CF"/>
    <w:rsid w:val="005E4211"/>
    <w:rsid w:val="005E4279"/>
    <w:rsid w:val="005E4326"/>
    <w:rsid w:val="005E43BF"/>
    <w:rsid w:val="005E441B"/>
    <w:rsid w:val="005E4782"/>
    <w:rsid w:val="005E49B6"/>
    <w:rsid w:val="005E4A8D"/>
    <w:rsid w:val="005E4AE6"/>
    <w:rsid w:val="005E4D03"/>
    <w:rsid w:val="005E4EEF"/>
    <w:rsid w:val="005E4F38"/>
    <w:rsid w:val="005E5222"/>
    <w:rsid w:val="005E5318"/>
    <w:rsid w:val="005E5498"/>
    <w:rsid w:val="005E554D"/>
    <w:rsid w:val="005E575D"/>
    <w:rsid w:val="005E579B"/>
    <w:rsid w:val="005E5B1A"/>
    <w:rsid w:val="005E5BAD"/>
    <w:rsid w:val="005E5BDF"/>
    <w:rsid w:val="005E6066"/>
    <w:rsid w:val="005E6213"/>
    <w:rsid w:val="005E63A0"/>
    <w:rsid w:val="005E6469"/>
    <w:rsid w:val="005E64FB"/>
    <w:rsid w:val="005E66FC"/>
    <w:rsid w:val="005E68AC"/>
    <w:rsid w:val="005E68FF"/>
    <w:rsid w:val="005E69A4"/>
    <w:rsid w:val="005E69A6"/>
    <w:rsid w:val="005E6A2D"/>
    <w:rsid w:val="005E6B09"/>
    <w:rsid w:val="005E6B33"/>
    <w:rsid w:val="005E6BF8"/>
    <w:rsid w:val="005E6C51"/>
    <w:rsid w:val="005E6E3D"/>
    <w:rsid w:val="005E6E64"/>
    <w:rsid w:val="005E7094"/>
    <w:rsid w:val="005E7232"/>
    <w:rsid w:val="005E728D"/>
    <w:rsid w:val="005E746B"/>
    <w:rsid w:val="005E757F"/>
    <w:rsid w:val="005E7A28"/>
    <w:rsid w:val="005E7BB8"/>
    <w:rsid w:val="005E7E0B"/>
    <w:rsid w:val="005E7E2A"/>
    <w:rsid w:val="005E7E91"/>
    <w:rsid w:val="005F01A2"/>
    <w:rsid w:val="005F0297"/>
    <w:rsid w:val="005F085C"/>
    <w:rsid w:val="005F0DEA"/>
    <w:rsid w:val="005F0E43"/>
    <w:rsid w:val="005F1267"/>
    <w:rsid w:val="005F13E0"/>
    <w:rsid w:val="005F16EC"/>
    <w:rsid w:val="005F19A2"/>
    <w:rsid w:val="005F1A99"/>
    <w:rsid w:val="005F1CCE"/>
    <w:rsid w:val="005F1E7C"/>
    <w:rsid w:val="005F2278"/>
    <w:rsid w:val="005F24BA"/>
    <w:rsid w:val="005F2534"/>
    <w:rsid w:val="005F256E"/>
    <w:rsid w:val="005F25EC"/>
    <w:rsid w:val="005F2659"/>
    <w:rsid w:val="005F2668"/>
    <w:rsid w:val="005F2703"/>
    <w:rsid w:val="005F29BC"/>
    <w:rsid w:val="005F29FE"/>
    <w:rsid w:val="005F2A1A"/>
    <w:rsid w:val="005F2AC2"/>
    <w:rsid w:val="005F2B34"/>
    <w:rsid w:val="005F2B87"/>
    <w:rsid w:val="005F2BD4"/>
    <w:rsid w:val="005F2C2C"/>
    <w:rsid w:val="005F2EE5"/>
    <w:rsid w:val="005F2F4E"/>
    <w:rsid w:val="005F2FA6"/>
    <w:rsid w:val="005F305A"/>
    <w:rsid w:val="005F314B"/>
    <w:rsid w:val="005F3639"/>
    <w:rsid w:val="005F3657"/>
    <w:rsid w:val="005F3712"/>
    <w:rsid w:val="005F3765"/>
    <w:rsid w:val="005F384A"/>
    <w:rsid w:val="005F3A19"/>
    <w:rsid w:val="005F3AAD"/>
    <w:rsid w:val="005F3D10"/>
    <w:rsid w:val="005F3DFE"/>
    <w:rsid w:val="005F3E1D"/>
    <w:rsid w:val="005F3ED3"/>
    <w:rsid w:val="005F409E"/>
    <w:rsid w:val="005F40EF"/>
    <w:rsid w:val="005F410A"/>
    <w:rsid w:val="005F420B"/>
    <w:rsid w:val="005F438D"/>
    <w:rsid w:val="005F43B4"/>
    <w:rsid w:val="005F43E6"/>
    <w:rsid w:val="005F4414"/>
    <w:rsid w:val="005F44DC"/>
    <w:rsid w:val="005F455A"/>
    <w:rsid w:val="005F4665"/>
    <w:rsid w:val="005F4712"/>
    <w:rsid w:val="005F49FA"/>
    <w:rsid w:val="005F4C49"/>
    <w:rsid w:val="005F4D25"/>
    <w:rsid w:val="005F4E05"/>
    <w:rsid w:val="005F4F3A"/>
    <w:rsid w:val="005F4F52"/>
    <w:rsid w:val="005F4FC0"/>
    <w:rsid w:val="005F4FC1"/>
    <w:rsid w:val="005F5498"/>
    <w:rsid w:val="005F550D"/>
    <w:rsid w:val="005F5761"/>
    <w:rsid w:val="005F57E2"/>
    <w:rsid w:val="005F5953"/>
    <w:rsid w:val="005F5C8F"/>
    <w:rsid w:val="005F5FDC"/>
    <w:rsid w:val="005F61FC"/>
    <w:rsid w:val="005F6200"/>
    <w:rsid w:val="005F6527"/>
    <w:rsid w:val="005F66D4"/>
    <w:rsid w:val="005F6780"/>
    <w:rsid w:val="005F6921"/>
    <w:rsid w:val="005F6C6D"/>
    <w:rsid w:val="005F6FEC"/>
    <w:rsid w:val="005F71F3"/>
    <w:rsid w:val="005F74A6"/>
    <w:rsid w:val="005F74FC"/>
    <w:rsid w:val="005F7521"/>
    <w:rsid w:val="005F7555"/>
    <w:rsid w:val="005F7652"/>
    <w:rsid w:val="005F774D"/>
    <w:rsid w:val="005F77E7"/>
    <w:rsid w:val="005F782E"/>
    <w:rsid w:val="005F7CCE"/>
    <w:rsid w:val="0060007C"/>
    <w:rsid w:val="0060067D"/>
    <w:rsid w:val="0060072A"/>
    <w:rsid w:val="00600C2D"/>
    <w:rsid w:val="00600EB4"/>
    <w:rsid w:val="00600F0B"/>
    <w:rsid w:val="00601070"/>
    <w:rsid w:val="0060114A"/>
    <w:rsid w:val="00601197"/>
    <w:rsid w:val="0060125A"/>
    <w:rsid w:val="0060191F"/>
    <w:rsid w:val="00601980"/>
    <w:rsid w:val="006019D9"/>
    <w:rsid w:val="00601B1E"/>
    <w:rsid w:val="00601FFD"/>
    <w:rsid w:val="00602311"/>
    <w:rsid w:val="006023EA"/>
    <w:rsid w:val="006028DD"/>
    <w:rsid w:val="00602913"/>
    <w:rsid w:val="006029AE"/>
    <w:rsid w:val="00602AA4"/>
    <w:rsid w:val="00602E69"/>
    <w:rsid w:val="00602ED1"/>
    <w:rsid w:val="00602ED4"/>
    <w:rsid w:val="0060311C"/>
    <w:rsid w:val="0060332D"/>
    <w:rsid w:val="00603362"/>
    <w:rsid w:val="0060350E"/>
    <w:rsid w:val="00603586"/>
    <w:rsid w:val="006037B8"/>
    <w:rsid w:val="006037EC"/>
    <w:rsid w:val="00603925"/>
    <w:rsid w:val="00603BBB"/>
    <w:rsid w:val="00603C97"/>
    <w:rsid w:val="00603FAA"/>
    <w:rsid w:val="00604012"/>
    <w:rsid w:val="0060407C"/>
    <w:rsid w:val="00604095"/>
    <w:rsid w:val="006041EE"/>
    <w:rsid w:val="0060457E"/>
    <w:rsid w:val="00604A05"/>
    <w:rsid w:val="00604AF4"/>
    <w:rsid w:val="006050A1"/>
    <w:rsid w:val="006050E3"/>
    <w:rsid w:val="006051D0"/>
    <w:rsid w:val="00605329"/>
    <w:rsid w:val="00605680"/>
    <w:rsid w:val="00605879"/>
    <w:rsid w:val="006059BC"/>
    <w:rsid w:val="00605CF0"/>
    <w:rsid w:val="00605DCB"/>
    <w:rsid w:val="00605E25"/>
    <w:rsid w:val="00605EA6"/>
    <w:rsid w:val="00605F28"/>
    <w:rsid w:val="00606329"/>
    <w:rsid w:val="006063FD"/>
    <w:rsid w:val="006064FB"/>
    <w:rsid w:val="0060661F"/>
    <w:rsid w:val="0060668E"/>
    <w:rsid w:val="00606690"/>
    <w:rsid w:val="00606835"/>
    <w:rsid w:val="00606899"/>
    <w:rsid w:val="006068F7"/>
    <w:rsid w:val="00606B12"/>
    <w:rsid w:val="00606C3C"/>
    <w:rsid w:val="00606DE9"/>
    <w:rsid w:val="00606F68"/>
    <w:rsid w:val="00607009"/>
    <w:rsid w:val="00607078"/>
    <w:rsid w:val="00607092"/>
    <w:rsid w:val="00607171"/>
    <w:rsid w:val="0060749F"/>
    <w:rsid w:val="0060770E"/>
    <w:rsid w:val="0060770F"/>
    <w:rsid w:val="006078A3"/>
    <w:rsid w:val="006078A4"/>
    <w:rsid w:val="0060794C"/>
    <w:rsid w:val="00607CDD"/>
    <w:rsid w:val="00607F06"/>
    <w:rsid w:val="0061017B"/>
    <w:rsid w:val="006109A2"/>
    <w:rsid w:val="00610A15"/>
    <w:rsid w:val="00610CB6"/>
    <w:rsid w:val="00610E23"/>
    <w:rsid w:val="00610F39"/>
    <w:rsid w:val="00610F78"/>
    <w:rsid w:val="0061113B"/>
    <w:rsid w:val="0061120B"/>
    <w:rsid w:val="0061169E"/>
    <w:rsid w:val="00611704"/>
    <w:rsid w:val="00611722"/>
    <w:rsid w:val="00611815"/>
    <w:rsid w:val="00611CF5"/>
    <w:rsid w:val="00611DE2"/>
    <w:rsid w:val="006120D8"/>
    <w:rsid w:val="006122AF"/>
    <w:rsid w:val="0061241B"/>
    <w:rsid w:val="006124A8"/>
    <w:rsid w:val="006124AA"/>
    <w:rsid w:val="006124CE"/>
    <w:rsid w:val="00612736"/>
    <w:rsid w:val="006128CD"/>
    <w:rsid w:val="00612962"/>
    <w:rsid w:val="006129B5"/>
    <w:rsid w:val="00612A50"/>
    <w:rsid w:val="00612B13"/>
    <w:rsid w:val="00612C14"/>
    <w:rsid w:val="00612CDD"/>
    <w:rsid w:val="00612CFD"/>
    <w:rsid w:val="00613266"/>
    <w:rsid w:val="006135EB"/>
    <w:rsid w:val="006139E9"/>
    <w:rsid w:val="00613BE6"/>
    <w:rsid w:val="00613BEB"/>
    <w:rsid w:val="00613CE3"/>
    <w:rsid w:val="00613D3B"/>
    <w:rsid w:val="00613FFD"/>
    <w:rsid w:val="00614141"/>
    <w:rsid w:val="006142EA"/>
    <w:rsid w:val="0061442E"/>
    <w:rsid w:val="0061448B"/>
    <w:rsid w:val="00614616"/>
    <w:rsid w:val="0061465F"/>
    <w:rsid w:val="006147A3"/>
    <w:rsid w:val="006147B9"/>
    <w:rsid w:val="00614A2F"/>
    <w:rsid w:val="00614CDF"/>
    <w:rsid w:val="00614F2B"/>
    <w:rsid w:val="00614FE4"/>
    <w:rsid w:val="00615384"/>
    <w:rsid w:val="0061543D"/>
    <w:rsid w:val="0061564D"/>
    <w:rsid w:val="006156D7"/>
    <w:rsid w:val="00615B03"/>
    <w:rsid w:val="00615DD0"/>
    <w:rsid w:val="0061601D"/>
    <w:rsid w:val="006161F2"/>
    <w:rsid w:val="0061627E"/>
    <w:rsid w:val="0061634D"/>
    <w:rsid w:val="00616520"/>
    <w:rsid w:val="00616AAA"/>
    <w:rsid w:val="00616B89"/>
    <w:rsid w:val="00616C51"/>
    <w:rsid w:val="00616C95"/>
    <w:rsid w:val="00616FD3"/>
    <w:rsid w:val="0061703A"/>
    <w:rsid w:val="00617143"/>
    <w:rsid w:val="0061715F"/>
    <w:rsid w:val="00617276"/>
    <w:rsid w:val="00617530"/>
    <w:rsid w:val="006175CF"/>
    <w:rsid w:val="006175F0"/>
    <w:rsid w:val="00617712"/>
    <w:rsid w:val="00617CB6"/>
    <w:rsid w:val="00617DAD"/>
    <w:rsid w:val="0062024B"/>
    <w:rsid w:val="006204C4"/>
    <w:rsid w:val="006204D3"/>
    <w:rsid w:val="006204DC"/>
    <w:rsid w:val="006205A2"/>
    <w:rsid w:val="00620697"/>
    <w:rsid w:val="00620736"/>
    <w:rsid w:val="0062073C"/>
    <w:rsid w:val="00620A57"/>
    <w:rsid w:val="00620B52"/>
    <w:rsid w:val="00620B8D"/>
    <w:rsid w:val="00620D6F"/>
    <w:rsid w:val="0062136A"/>
    <w:rsid w:val="006215AD"/>
    <w:rsid w:val="006217BD"/>
    <w:rsid w:val="006217D9"/>
    <w:rsid w:val="00621875"/>
    <w:rsid w:val="00621898"/>
    <w:rsid w:val="00622080"/>
    <w:rsid w:val="006221DC"/>
    <w:rsid w:val="006222F8"/>
    <w:rsid w:val="00622512"/>
    <w:rsid w:val="006226DD"/>
    <w:rsid w:val="00622923"/>
    <w:rsid w:val="006229BA"/>
    <w:rsid w:val="00622A2A"/>
    <w:rsid w:val="00622C0E"/>
    <w:rsid w:val="00622DC5"/>
    <w:rsid w:val="00622E08"/>
    <w:rsid w:val="00622E0B"/>
    <w:rsid w:val="00622EB2"/>
    <w:rsid w:val="00622EF3"/>
    <w:rsid w:val="00622F8B"/>
    <w:rsid w:val="006232A4"/>
    <w:rsid w:val="00623402"/>
    <w:rsid w:val="006234AA"/>
    <w:rsid w:val="0062380A"/>
    <w:rsid w:val="00624483"/>
    <w:rsid w:val="006248D1"/>
    <w:rsid w:val="006248F9"/>
    <w:rsid w:val="00624B51"/>
    <w:rsid w:val="00624B6D"/>
    <w:rsid w:val="00624D5C"/>
    <w:rsid w:val="00624E2E"/>
    <w:rsid w:val="0062537B"/>
    <w:rsid w:val="00625400"/>
    <w:rsid w:val="00625466"/>
    <w:rsid w:val="00625713"/>
    <w:rsid w:val="00625729"/>
    <w:rsid w:val="00625751"/>
    <w:rsid w:val="00625774"/>
    <w:rsid w:val="00625857"/>
    <w:rsid w:val="00625A3E"/>
    <w:rsid w:val="00625B41"/>
    <w:rsid w:val="00625B8D"/>
    <w:rsid w:val="00625B93"/>
    <w:rsid w:val="00625C4F"/>
    <w:rsid w:val="00625D58"/>
    <w:rsid w:val="00625D91"/>
    <w:rsid w:val="00625DAF"/>
    <w:rsid w:val="00625E56"/>
    <w:rsid w:val="00625F4E"/>
    <w:rsid w:val="006261C0"/>
    <w:rsid w:val="006262A6"/>
    <w:rsid w:val="0062633C"/>
    <w:rsid w:val="0062646F"/>
    <w:rsid w:val="00626983"/>
    <w:rsid w:val="00626DFC"/>
    <w:rsid w:val="006271B5"/>
    <w:rsid w:val="00627205"/>
    <w:rsid w:val="0062723C"/>
    <w:rsid w:val="00627357"/>
    <w:rsid w:val="0062742C"/>
    <w:rsid w:val="006274CE"/>
    <w:rsid w:val="006277C5"/>
    <w:rsid w:val="006278E9"/>
    <w:rsid w:val="006279AE"/>
    <w:rsid w:val="00627BBB"/>
    <w:rsid w:val="006305E1"/>
    <w:rsid w:val="00630626"/>
    <w:rsid w:val="00630643"/>
    <w:rsid w:val="006306DA"/>
    <w:rsid w:val="0063088C"/>
    <w:rsid w:val="00630B0B"/>
    <w:rsid w:val="00630B1E"/>
    <w:rsid w:val="00630E91"/>
    <w:rsid w:val="00630FF6"/>
    <w:rsid w:val="00631042"/>
    <w:rsid w:val="00631218"/>
    <w:rsid w:val="00631378"/>
    <w:rsid w:val="00631506"/>
    <w:rsid w:val="006316A5"/>
    <w:rsid w:val="006316E4"/>
    <w:rsid w:val="00631770"/>
    <w:rsid w:val="0063179E"/>
    <w:rsid w:val="00631C65"/>
    <w:rsid w:val="00631E3A"/>
    <w:rsid w:val="00631E60"/>
    <w:rsid w:val="00631F70"/>
    <w:rsid w:val="006320EC"/>
    <w:rsid w:val="006323C3"/>
    <w:rsid w:val="00632484"/>
    <w:rsid w:val="0063283D"/>
    <w:rsid w:val="006328A6"/>
    <w:rsid w:val="00632DEC"/>
    <w:rsid w:val="006331E6"/>
    <w:rsid w:val="00633220"/>
    <w:rsid w:val="006333EF"/>
    <w:rsid w:val="0063340E"/>
    <w:rsid w:val="00633565"/>
    <w:rsid w:val="006335D8"/>
    <w:rsid w:val="00633738"/>
    <w:rsid w:val="0063391A"/>
    <w:rsid w:val="0063398E"/>
    <w:rsid w:val="00633A3E"/>
    <w:rsid w:val="00633CDE"/>
    <w:rsid w:val="00633DD6"/>
    <w:rsid w:val="00633EE9"/>
    <w:rsid w:val="006340E2"/>
    <w:rsid w:val="00634463"/>
    <w:rsid w:val="006344F0"/>
    <w:rsid w:val="0063458A"/>
    <w:rsid w:val="00634799"/>
    <w:rsid w:val="00634879"/>
    <w:rsid w:val="00634BA0"/>
    <w:rsid w:val="00634DE8"/>
    <w:rsid w:val="00635173"/>
    <w:rsid w:val="006352CD"/>
    <w:rsid w:val="0063584B"/>
    <w:rsid w:val="00635D04"/>
    <w:rsid w:val="00635E28"/>
    <w:rsid w:val="00635F7F"/>
    <w:rsid w:val="00636098"/>
    <w:rsid w:val="00636270"/>
    <w:rsid w:val="006363FC"/>
    <w:rsid w:val="00636856"/>
    <w:rsid w:val="00636893"/>
    <w:rsid w:val="006368FA"/>
    <w:rsid w:val="00636BD0"/>
    <w:rsid w:val="00636CCB"/>
    <w:rsid w:val="00636D53"/>
    <w:rsid w:val="00636ED0"/>
    <w:rsid w:val="006371BA"/>
    <w:rsid w:val="006373F1"/>
    <w:rsid w:val="006374BC"/>
    <w:rsid w:val="00637587"/>
    <w:rsid w:val="006375AB"/>
    <w:rsid w:val="00637749"/>
    <w:rsid w:val="006378A1"/>
    <w:rsid w:val="00637981"/>
    <w:rsid w:val="00637A8F"/>
    <w:rsid w:val="00637AE3"/>
    <w:rsid w:val="00637D8C"/>
    <w:rsid w:val="00637DBD"/>
    <w:rsid w:val="00637E43"/>
    <w:rsid w:val="00640336"/>
    <w:rsid w:val="00640426"/>
    <w:rsid w:val="0064050E"/>
    <w:rsid w:val="00640514"/>
    <w:rsid w:val="0064053C"/>
    <w:rsid w:val="00640622"/>
    <w:rsid w:val="00640659"/>
    <w:rsid w:val="006406E4"/>
    <w:rsid w:val="0064095E"/>
    <w:rsid w:val="00640C26"/>
    <w:rsid w:val="00640D5B"/>
    <w:rsid w:val="00640E46"/>
    <w:rsid w:val="00641219"/>
    <w:rsid w:val="0064140F"/>
    <w:rsid w:val="00641494"/>
    <w:rsid w:val="006417E6"/>
    <w:rsid w:val="00641998"/>
    <w:rsid w:val="00641E43"/>
    <w:rsid w:val="00641F8E"/>
    <w:rsid w:val="0064228E"/>
    <w:rsid w:val="00642415"/>
    <w:rsid w:val="00642581"/>
    <w:rsid w:val="00642731"/>
    <w:rsid w:val="0064293A"/>
    <w:rsid w:val="0064295D"/>
    <w:rsid w:val="00642B15"/>
    <w:rsid w:val="00642D80"/>
    <w:rsid w:val="0064301D"/>
    <w:rsid w:val="00643150"/>
    <w:rsid w:val="00643159"/>
    <w:rsid w:val="006431A1"/>
    <w:rsid w:val="006431E5"/>
    <w:rsid w:val="00643511"/>
    <w:rsid w:val="00643652"/>
    <w:rsid w:val="00643932"/>
    <w:rsid w:val="006439CB"/>
    <w:rsid w:val="00643AB9"/>
    <w:rsid w:val="00643EE7"/>
    <w:rsid w:val="00643FD5"/>
    <w:rsid w:val="0064402C"/>
    <w:rsid w:val="0064407E"/>
    <w:rsid w:val="006440D5"/>
    <w:rsid w:val="00644251"/>
    <w:rsid w:val="00644548"/>
    <w:rsid w:val="006445C1"/>
    <w:rsid w:val="006449E0"/>
    <w:rsid w:val="00644FE8"/>
    <w:rsid w:val="00645062"/>
    <w:rsid w:val="006452F1"/>
    <w:rsid w:val="006456B6"/>
    <w:rsid w:val="006456DD"/>
    <w:rsid w:val="00645944"/>
    <w:rsid w:val="00645AD0"/>
    <w:rsid w:val="00645D24"/>
    <w:rsid w:val="00646027"/>
    <w:rsid w:val="006463F1"/>
    <w:rsid w:val="0064649C"/>
    <w:rsid w:val="006464FE"/>
    <w:rsid w:val="00646585"/>
    <w:rsid w:val="006465DE"/>
    <w:rsid w:val="00646610"/>
    <w:rsid w:val="006466AD"/>
    <w:rsid w:val="006466C2"/>
    <w:rsid w:val="00646786"/>
    <w:rsid w:val="0064679E"/>
    <w:rsid w:val="00646A8F"/>
    <w:rsid w:val="00646A97"/>
    <w:rsid w:val="00646C51"/>
    <w:rsid w:val="00646D27"/>
    <w:rsid w:val="00646FB3"/>
    <w:rsid w:val="0064708F"/>
    <w:rsid w:val="00647821"/>
    <w:rsid w:val="006478CD"/>
    <w:rsid w:val="00647BA7"/>
    <w:rsid w:val="00647DC5"/>
    <w:rsid w:val="006500AC"/>
    <w:rsid w:val="00650432"/>
    <w:rsid w:val="006507A2"/>
    <w:rsid w:val="00650A08"/>
    <w:rsid w:val="00650A95"/>
    <w:rsid w:val="00650C57"/>
    <w:rsid w:val="00650C69"/>
    <w:rsid w:val="00650EBE"/>
    <w:rsid w:val="00650F2B"/>
    <w:rsid w:val="0065108E"/>
    <w:rsid w:val="006511B0"/>
    <w:rsid w:val="006511EF"/>
    <w:rsid w:val="00651259"/>
    <w:rsid w:val="006512A7"/>
    <w:rsid w:val="00651369"/>
    <w:rsid w:val="006514DB"/>
    <w:rsid w:val="00651627"/>
    <w:rsid w:val="00651668"/>
    <w:rsid w:val="0065186B"/>
    <w:rsid w:val="006518BE"/>
    <w:rsid w:val="00651C79"/>
    <w:rsid w:val="00651CB2"/>
    <w:rsid w:val="00651CE6"/>
    <w:rsid w:val="00651D2C"/>
    <w:rsid w:val="00651D92"/>
    <w:rsid w:val="00651DC4"/>
    <w:rsid w:val="00651E6B"/>
    <w:rsid w:val="00651F11"/>
    <w:rsid w:val="00651F76"/>
    <w:rsid w:val="006520CD"/>
    <w:rsid w:val="006526F1"/>
    <w:rsid w:val="00652784"/>
    <w:rsid w:val="0065299C"/>
    <w:rsid w:val="00652C34"/>
    <w:rsid w:val="00652D52"/>
    <w:rsid w:val="00652E2D"/>
    <w:rsid w:val="00652EB2"/>
    <w:rsid w:val="00652F30"/>
    <w:rsid w:val="0065309D"/>
    <w:rsid w:val="006533EF"/>
    <w:rsid w:val="006533F2"/>
    <w:rsid w:val="00653407"/>
    <w:rsid w:val="00653836"/>
    <w:rsid w:val="0065394F"/>
    <w:rsid w:val="006539DE"/>
    <w:rsid w:val="00653BBD"/>
    <w:rsid w:val="00653BF3"/>
    <w:rsid w:val="00653F7C"/>
    <w:rsid w:val="006540F5"/>
    <w:rsid w:val="00654119"/>
    <w:rsid w:val="006542CE"/>
    <w:rsid w:val="006543BC"/>
    <w:rsid w:val="00654515"/>
    <w:rsid w:val="00654552"/>
    <w:rsid w:val="0065478D"/>
    <w:rsid w:val="006548E2"/>
    <w:rsid w:val="00654A65"/>
    <w:rsid w:val="00654B35"/>
    <w:rsid w:val="00654B8E"/>
    <w:rsid w:val="00654C52"/>
    <w:rsid w:val="00654D85"/>
    <w:rsid w:val="00655212"/>
    <w:rsid w:val="00655430"/>
    <w:rsid w:val="006556E2"/>
    <w:rsid w:val="00655B9F"/>
    <w:rsid w:val="00655DE5"/>
    <w:rsid w:val="00655F37"/>
    <w:rsid w:val="00655FF1"/>
    <w:rsid w:val="00656315"/>
    <w:rsid w:val="006563AE"/>
    <w:rsid w:val="006563D3"/>
    <w:rsid w:val="006563F7"/>
    <w:rsid w:val="00656658"/>
    <w:rsid w:val="00656845"/>
    <w:rsid w:val="0065692C"/>
    <w:rsid w:val="00656A1C"/>
    <w:rsid w:val="00656ABD"/>
    <w:rsid w:val="00656C72"/>
    <w:rsid w:val="00656D42"/>
    <w:rsid w:val="00657421"/>
    <w:rsid w:val="006574DE"/>
    <w:rsid w:val="0065777B"/>
    <w:rsid w:val="00657C75"/>
    <w:rsid w:val="00657ED6"/>
    <w:rsid w:val="00657F2E"/>
    <w:rsid w:val="00657F87"/>
    <w:rsid w:val="00660069"/>
    <w:rsid w:val="00660142"/>
    <w:rsid w:val="0066046B"/>
    <w:rsid w:val="00660715"/>
    <w:rsid w:val="00660814"/>
    <w:rsid w:val="006608CE"/>
    <w:rsid w:val="00660947"/>
    <w:rsid w:val="006609DC"/>
    <w:rsid w:val="00660A47"/>
    <w:rsid w:val="00660BA9"/>
    <w:rsid w:val="00660FDE"/>
    <w:rsid w:val="00661100"/>
    <w:rsid w:val="00661395"/>
    <w:rsid w:val="00661633"/>
    <w:rsid w:val="00661693"/>
    <w:rsid w:val="00661A87"/>
    <w:rsid w:val="00661B9A"/>
    <w:rsid w:val="00661BB2"/>
    <w:rsid w:val="00661D38"/>
    <w:rsid w:val="00661EEA"/>
    <w:rsid w:val="00661FC4"/>
    <w:rsid w:val="006620E1"/>
    <w:rsid w:val="00662146"/>
    <w:rsid w:val="00662198"/>
    <w:rsid w:val="006624BB"/>
    <w:rsid w:val="00662575"/>
    <w:rsid w:val="00662640"/>
    <w:rsid w:val="006629A7"/>
    <w:rsid w:val="006629ED"/>
    <w:rsid w:val="00662C37"/>
    <w:rsid w:val="00662F4C"/>
    <w:rsid w:val="00662FA5"/>
    <w:rsid w:val="0066305B"/>
    <w:rsid w:val="006633E0"/>
    <w:rsid w:val="00663460"/>
    <w:rsid w:val="006634AF"/>
    <w:rsid w:val="00663758"/>
    <w:rsid w:val="006639B2"/>
    <w:rsid w:val="00663B75"/>
    <w:rsid w:val="00664047"/>
    <w:rsid w:val="006640AD"/>
    <w:rsid w:val="006641A9"/>
    <w:rsid w:val="00664231"/>
    <w:rsid w:val="00664647"/>
    <w:rsid w:val="006649EF"/>
    <w:rsid w:val="00664ADA"/>
    <w:rsid w:val="00664BF5"/>
    <w:rsid w:val="00664DC0"/>
    <w:rsid w:val="00664E1B"/>
    <w:rsid w:val="00664EB6"/>
    <w:rsid w:val="00664EEC"/>
    <w:rsid w:val="00664EFF"/>
    <w:rsid w:val="00664FA1"/>
    <w:rsid w:val="006652C1"/>
    <w:rsid w:val="00665A6C"/>
    <w:rsid w:val="00665B46"/>
    <w:rsid w:val="00665D35"/>
    <w:rsid w:val="00665E1B"/>
    <w:rsid w:val="00666192"/>
    <w:rsid w:val="0066628D"/>
    <w:rsid w:val="006662E3"/>
    <w:rsid w:val="0066641B"/>
    <w:rsid w:val="0066657D"/>
    <w:rsid w:val="00666948"/>
    <w:rsid w:val="00666E4C"/>
    <w:rsid w:val="00666E4D"/>
    <w:rsid w:val="00667001"/>
    <w:rsid w:val="00667501"/>
    <w:rsid w:val="00667506"/>
    <w:rsid w:val="006676ED"/>
    <w:rsid w:val="00667B29"/>
    <w:rsid w:val="00667B44"/>
    <w:rsid w:val="00667B6B"/>
    <w:rsid w:val="00667B6D"/>
    <w:rsid w:val="00667B9B"/>
    <w:rsid w:val="00667CE5"/>
    <w:rsid w:val="00667D42"/>
    <w:rsid w:val="00667FE6"/>
    <w:rsid w:val="00670013"/>
    <w:rsid w:val="00670051"/>
    <w:rsid w:val="006700A4"/>
    <w:rsid w:val="006700B6"/>
    <w:rsid w:val="006701BA"/>
    <w:rsid w:val="00670277"/>
    <w:rsid w:val="00670447"/>
    <w:rsid w:val="006705F5"/>
    <w:rsid w:val="0067067B"/>
    <w:rsid w:val="0067079C"/>
    <w:rsid w:val="006709E1"/>
    <w:rsid w:val="00670B34"/>
    <w:rsid w:val="00670EA2"/>
    <w:rsid w:val="00670F85"/>
    <w:rsid w:val="00670FD9"/>
    <w:rsid w:val="00671230"/>
    <w:rsid w:val="0067127A"/>
    <w:rsid w:val="00671326"/>
    <w:rsid w:val="00671372"/>
    <w:rsid w:val="00671376"/>
    <w:rsid w:val="006713FD"/>
    <w:rsid w:val="00671415"/>
    <w:rsid w:val="0067144C"/>
    <w:rsid w:val="00671456"/>
    <w:rsid w:val="00671617"/>
    <w:rsid w:val="00671652"/>
    <w:rsid w:val="00671792"/>
    <w:rsid w:val="0067183B"/>
    <w:rsid w:val="00671B3D"/>
    <w:rsid w:val="00671C7E"/>
    <w:rsid w:val="00671E5A"/>
    <w:rsid w:val="00671EE6"/>
    <w:rsid w:val="00671F40"/>
    <w:rsid w:val="00671F65"/>
    <w:rsid w:val="00672104"/>
    <w:rsid w:val="00672485"/>
    <w:rsid w:val="00672498"/>
    <w:rsid w:val="00672878"/>
    <w:rsid w:val="006729BF"/>
    <w:rsid w:val="00672BE3"/>
    <w:rsid w:val="00672C14"/>
    <w:rsid w:val="00672F8D"/>
    <w:rsid w:val="006736C7"/>
    <w:rsid w:val="00673811"/>
    <w:rsid w:val="00673905"/>
    <w:rsid w:val="006739BD"/>
    <w:rsid w:val="00673CBF"/>
    <w:rsid w:val="00673F21"/>
    <w:rsid w:val="006740F9"/>
    <w:rsid w:val="0067417A"/>
    <w:rsid w:val="00674526"/>
    <w:rsid w:val="00674554"/>
    <w:rsid w:val="00674594"/>
    <w:rsid w:val="00674692"/>
    <w:rsid w:val="00674852"/>
    <w:rsid w:val="00674A74"/>
    <w:rsid w:val="00674C1B"/>
    <w:rsid w:val="00674DBC"/>
    <w:rsid w:val="006755A0"/>
    <w:rsid w:val="0067582B"/>
    <w:rsid w:val="00675996"/>
    <w:rsid w:val="00675A0A"/>
    <w:rsid w:val="00675B8B"/>
    <w:rsid w:val="00675C41"/>
    <w:rsid w:val="00675D3A"/>
    <w:rsid w:val="00675D8A"/>
    <w:rsid w:val="00675F64"/>
    <w:rsid w:val="006761FB"/>
    <w:rsid w:val="00676222"/>
    <w:rsid w:val="0067627B"/>
    <w:rsid w:val="006763E5"/>
    <w:rsid w:val="006764D4"/>
    <w:rsid w:val="00676590"/>
    <w:rsid w:val="006765EF"/>
    <w:rsid w:val="00676668"/>
    <w:rsid w:val="006766C9"/>
    <w:rsid w:val="00676880"/>
    <w:rsid w:val="00676A72"/>
    <w:rsid w:val="00676A8D"/>
    <w:rsid w:val="00676B66"/>
    <w:rsid w:val="00676B75"/>
    <w:rsid w:val="00676CF0"/>
    <w:rsid w:val="00676F47"/>
    <w:rsid w:val="006771C2"/>
    <w:rsid w:val="0067720C"/>
    <w:rsid w:val="0067752D"/>
    <w:rsid w:val="00677590"/>
    <w:rsid w:val="00677774"/>
    <w:rsid w:val="006778E5"/>
    <w:rsid w:val="006779BC"/>
    <w:rsid w:val="00677A86"/>
    <w:rsid w:val="00677B3A"/>
    <w:rsid w:val="00677D25"/>
    <w:rsid w:val="00677F26"/>
    <w:rsid w:val="00677FA6"/>
    <w:rsid w:val="00680076"/>
    <w:rsid w:val="006800DB"/>
    <w:rsid w:val="006800F6"/>
    <w:rsid w:val="006803F6"/>
    <w:rsid w:val="00680444"/>
    <w:rsid w:val="00680547"/>
    <w:rsid w:val="00680861"/>
    <w:rsid w:val="00680E3F"/>
    <w:rsid w:val="00680E97"/>
    <w:rsid w:val="00680F6F"/>
    <w:rsid w:val="00681125"/>
    <w:rsid w:val="0068118A"/>
    <w:rsid w:val="006814B2"/>
    <w:rsid w:val="00681570"/>
    <w:rsid w:val="00681579"/>
    <w:rsid w:val="0068175A"/>
    <w:rsid w:val="00681A9A"/>
    <w:rsid w:val="00681BCB"/>
    <w:rsid w:val="00681BFB"/>
    <w:rsid w:val="00681D58"/>
    <w:rsid w:val="00681DC6"/>
    <w:rsid w:val="00681DCF"/>
    <w:rsid w:val="00681E1A"/>
    <w:rsid w:val="00681E46"/>
    <w:rsid w:val="00681E49"/>
    <w:rsid w:val="0068206E"/>
    <w:rsid w:val="006820C2"/>
    <w:rsid w:val="00682219"/>
    <w:rsid w:val="006823D5"/>
    <w:rsid w:val="0068255E"/>
    <w:rsid w:val="006825CA"/>
    <w:rsid w:val="0068270A"/>
    <w:rsid w:val="00682BA6"/>
    <w:rsid w:val="00682BBD"/>
    <w:rsid w:val="00682EFF"/>
    <w:rsid w:val="00682F7B"/>
    <w:rsid w:val="00682FAA"/>
    <w:rsid w:val="00683497"/>
    <w:rsid w:val="00683543"/>
    <w:rsid w:val="006836F9"/>
    <w:rsid w:val="00683B1E"/>
    <w:rsid w:val="00683C16"/>
    <w:rsid w:val="00683C27"/>
    <w:rsid w:val="00683C97"/>
    <w:rsid w:val="00683CB0"/>
    <w:rsid w:val="00683CFD"/>
    <w:rsid w:val="00683DF0"/>
    <w:rsid w:val="006841EF"/>
    <w:rsid w:val="0068438A"/>
    <w:rsid w:val="0068443E"/>
    <w:rsid w:val="00684492"/>
    <w:rsid w:val="00684578"/>
    <w:rsid w:val="006846A5"/>
    <w:rsid w:val="006848ED"/>
    <w:rsid w:val="00684B75"/>
    <w:rsid w:val="0068535D"/>
    <w:rsid w:val="006854D6"/>
    <w:rsid w:val="006855A5"/>
    <w:rsid w:val="006855EC"/>
    <w:rsid w:val="0068580C"/>
    <w:rsid w:val="00685950"/>
    <w:rsid w:val="00685A62"/>
    <w:rsid w:val="00685CA3"/>
    <w:rsid w:val="00685D04"/>
    <w:rsid w:val="00685E6F"/>
    <w:rsid w:val="00685F77"/>
    <w:rsid w:val="006861C7"/>
    <w:rsid w:val="00686205"/>
    <w:rsid w:val="00686405"/>
    <w:rsid w:val="00686498"/>
    <w:rsid w:val="00686A7E"/>
    <w:rsid w:val="00686AE2"/>
    <w:rsid w:val="00686BCB"/>
    <w:rsid w:val="00686BED"/>
    <w:rsid w:val="00686CAF"/>
    <w:rsid w:val="0068729D"/>
    <w:rsid w:val="006872C7"/>
    <w:rsid w:val="00687449"/>
    <w:rsid w:val="006876D7"/>
    <w:rsid w:val="006877E6"/>
    <w:rsid w:val="006878A9"/>
    <w:rsid w:val="00687AA2"/>
    <w:rsid w:val="00687B26"/>
    <w:rsid w:val="00687B5D"/>
    <w:rsid w:val="00687E08"/>
    <w:rsid w:val="00690106"/>
    <w:rsid w:val="00690171"/>
    <w:rsid w:val="00690309"/>
    <w:rsid w:val="0069058F"/>
    <w:rsid w:val="006908A7"/>
    <w:rsid w:val="00690BEF"/>
    <w:rsid w:val="00690F8D"/>
    <w:rsid w:val="00691000"/>
    <w:rsid w:val="006912CF"/>
    <w:rsid w:val="00691429"/>
    <w:rsid w:val="00691444"/>
    <w:rsid w:val="00691581"/>
    <w:rsid w:val="006915A2"/>
    <w:rsid w:val="0069168A"/>
    <w:rsid w:val="006916C1"/>
    <w:rsid w:val="00691776"/>
    <w:rsid w:val="006917D9"/>
    <w:rsid w:val="006918B0"/>
    <w:rsid w:val="00691C52"/>
    <w:rsid w:val="00691C73"/>
    <w:rsid w:val="00691CBD"/>
    <w:rsid w:val="00691D90"/>
    <w:rsid w:val="00691ED6"/>
    <w:rsid w:val="00692258"/>
    <w:rsid w:val="0069227F"/>
    <w:rsid w:val="006922DD"/>
    <w:rsid w:val="00692824"/>
    <w:rsid w:val="006928BF"/>
    <w:rsid w:val="00692BE2"/>
    <w:rsid w:val="00693054"/>
    <w:rsid w:val="00693533"/>
    <w:rsid w:val="0069360C"/>
    <w:rsid w:val="00693924"/>
    <w:rsid w:val="006940B0"/>
    <w:rsid w:val="00694331"/>
    <w:rsid w:val="0069447B"/>
    <w:rsid w:val="006945DB"/>
    <w:rsid w:val="006945F4"/>
    <w:rsid w:val="00694700"/>
    <w:rsid w:val="00694A89"/>
    <w:rsid w:val="00694AEE"/>
    <w:rsid w:val="00694BC3"/>
    <w:rsid w:val="00694C98"/>
    <w:rsid w:val="00694DBF"/>
    <w:rsid w:val="00694DF6"/>
    <w:rsid w:val="00694F74"/>
    <w:rsid w:val="006950AC"/>
    <w:rsid w:val="006953D9"/>
    <w:rsid w:val="006956F6"/>
    <w:rsid w:val="00695831"/>
    <w:rsid w:val="00695A47"/>
    <w:rsid w:val="00695D28"/>
    <w:rsid w:val="00696332"/>
    <w:rsid w:val="00696935"/>
    <w:rsid w:val="00696A40"/>
    <w:rsid w:val="00696B1A"/>
    <w:rsid w:val="00696DC3"/>
    <w:rsid w:val="00696F48"/>
    <w:rsid w:val="00696FBE"/>
    <w:rsid w:val="00697044"/>
    <w:rsid w:val="0069718E"/>
    <w:rsid w:val="00697270"/>
    <w:rsid w:val="00697540"/>
    <w:rsid w:val="00697568"/>
    <w:rsid w:val="00697656"/>
    <w:rsid w:val="00697715"/>
    <w:rsid w:val="00697742"/>
    <w:rsid w:val="00697752"/>
    <w:rsid w:val="006977EE"/>
    <w:rsid w:val="006979E0"/>
    <w:rsid w:val="00697ABF"/>
    <w:rsid w:val="00697BCB"/>
    <w:rsid w:val="00697BE5"/>
    <w:rsid w:val="00697C93"/>
    <w:rsid w:val="00697CB0"/>
    <w:rsid w:val="00697DBD"/>
    <w:rsid w:val="00697EA5"/>
    <w:rsid w:val="00697F01"/>
    <w:rsid w:val="006A01FA"/>
    <w:rsid w:val="006A03CD"/>
    <w:rsid w:val="006A09E1"/>
    <w:rsid w:val="006A0BCC"/>
    <w:rsid w:val="006A0C9A"/>
    <w:rsid w:val="006A0FFE"/>
    <w:rsid w:val="006A1093"/>
    <w:rsid w:val="006A10D3"/>
    <w:rsid w:val="006A1498"/>
    <w:rsid w:val="006A159D"/>
    <w:rsid w:val="006A193A"/>
    <w:rsid w:val="006A1B13"/>
    <w:rsid w:val="006A1B8D"/>
    <w:rsid w:val="006A1CD4"/>
    <w:rsid w:val="006A1D03"/>
    <w:rsid w:val="006A1D83"/>
    <w:rsid w:val="006A2123"/>
    <w:rsid w:val="006A22C3"/>
    <w:rsid w:val="006A23F1"/>
    <w:rsid w:val="006A2472"/>
    <w:rsid w:val="006A2517"/>
    <w:rsid w:val="006A274D"/>
    <w:rsid w:val="006A27D4"/>
    <w:rsid w:val="006A2CF3"/>
    <w:rsid w:val="006A3037"/>
    <w:rsid w:val="006A3105"/>
    <w:rsid w:val="006A3204"/>
    <w:rsid w:val="006A3269"/>
    <w:rsid w:val="006A33C0"/>
    <w:rsid w:val="006A361A"/>
    <w:rsid w:val="006A39B2"/>
    <w:rsid w:val="006A3A27"/>
    <w:rsid w:val="006A3F42"/>
    <w:rsid w:val="006A3FCE"/>
    <w:rsid w:val="006A4167"/>
    <w:rsid w:val="006A41BB"/>
    <w:rsid w:val="006A4290"/>
    <w:rsid w:val="006A42DA"/>
    <w:rsid w:val="006A4488"/>
    <w:rsid w:val="006A44E3"/>
    <w:rsid w:val="006A4602"/>
    <w:rsid w:val="006A4611"/>
    <w:rsid w:val="006A47F5"/>
    <w:rsid w:val="006A4878"/>
    <w:rsid w:val="006A48AC"/>
    <w:rsid w:val="006A4A33"/>
    <w:rsid w:val="006A4B47"/>
    <w:rsid w:val="006A4CD0"/>
    <w:rsid w:val="006A4D97"/>
    <w:rsid w:val="006A5283"/>
    <w:rsid w:val="006A5310"/>
    <w:rsid w:val="006A541A"/>
    <w:rsid w:val="006A55E9"/>
    <w:rsid w:val="006A55FD"/>
    <w:rsid w:val="006A56C2"/>
    <w:rsid w:val="006A5715"/>
    <w:rsid w:val="006A58CF"/>
    <w:rsid w:val="006A590A"/>
    <w:rsid w:val="006A5B16"/>
    <w:rsid w:val="006A5D26"/>
    <w:rsid w:val="006A5D47"/>
    <w:rsid w:val="006A5D75"/>
    <w:rsid w:val="006A5E5A"/>
    <w:rsid w:val="006A6031"/>
    <w:rsid w:val="006A6296"/>
    <w:rsid w:val="006A63AA"/>
    <w:rsid w:val="006A63F2"/>
    <w:rsid w:val="006A64A8"/>
    <w:rsid w:val="006A64B2"/>
    <w:rsid w:val="006A66CA"/>
    <w:rsid w:val="006A6ACD"/>
    <w:rsid w:val="006A6AD4"/>
    <w:rsid w:val="006A6F61"/>
    <w:rsid w:val="006A70C4"/>
    <w:rsid w:val="006A70D1"/>
    <w:rsid w:val="006A721B"/>
    <w:rsid w:val="006A73DE"/>
    <w:rsid w:val="006A77BE"/>
    <w:rsid w:val="006A7AA8"/>
    <w:rsid w:val="006B0044"/>
    <w:rsid w:val="006B0337"/>
    <w:rsid w:val="006B0408"/>
    <w:rsid w:val="006B0485"/>
    <w:rsid w:val="006B0802"/>
    <w:rsid w:val="006B0980"/>
    <w:rsid w:val="006B09FB"/>
    <w:rsid w:val="006B0BE3"/>
    <w:rsid w:val="006B0D05"/>
    <w:rsid w:val="006B125F"/>
    <w:rsid w:val="006B14D5"/>
    <w:rsid w:val="006B1654"/>
    <w:rsid w:val="006B1A3B"/>
    <w:rsid w:val="006B1B4D"/>
    <w:rsid w:val="006B1BB9"/>
    <w:rsid w:val="006B1D1F"/>
    <w:rsid w:val="006B1E8D"/>
    <w:rsid w:val="006B1FD1"/>
    <w:rsid w:val="006B200B"/>
    <w:rsid w:val="006B231D"/>
    <w:rsid w:val="006B23CA"/>
    <w:rsid w:val="006B25FE"/>
    <w:rsid w:val="006B293D"/>
    <w:rsid w:val="006B2F0F"/>
    <w:rsid w:val="006B2F1B"/>
    <w:rsid w:val="006B327C"/>
    <w:rsid w:val="006B35D7"/>
    <w:rsid w:val="006B36D4"/>
    <w:rsid w:val="006B3894"/>
    <w:rsid w:val="006B3B62"/>
    <w:rsid w:val="006B3D3F"/>
    <w:rsid w:val="006B4021"/>
    <w:rsid w:val="006B412D"/>
    <w:rsid w:val="006B429B"/>
    <w:rsid w:val="006B4397"/>
    <w:rsid w:val="006B44E9"/>
    <w:rsid w:val="006B45B7"/>
    <w:rsid w:val="006B46E0"/>
    <w:rsid w:val="006B481A"/>
    <w:rsid w:val="006B484C"/>
    <w:rsid w:val="006B4A29"/>
    <w:rsid w:val="006B4C34"/>
    <w:rsid w:val="006B4FFE"/>
    <w:rsid w:val="006B50C5"/>
    <w:rsid w:val="006B5130"/>
    <w:rsid w:val="006B5236"/>
    <w:rsid w:val="006B523E"/>
    <w:rsid w:val="006B5258"/>
    <w:rsid w:val="006B5308"/>
    <w:rsid w:val="006B5347"/>
    <w:rsid w:val="006B5601"/>
    <w:rsid w:val="006B58B1"/>
    <w:rsid w:val="006B5D18"/>
    <w:rsid w:val="006B5D1F"/>
    <w:rsid w:val="006B5F9A"/>
    <w:rsid w:val="006B5FEB"/>
    <w:rsid w:val="006B60C4"/>
    <w:rsid w:val="006B60DA"/>
    <w:rsid w:val="006B6179"/>
    <w:rsid w:val="006B6342"/>
    <w:rsid w:val="006B6451"/>
    <w:rsid w:val="006B6587"/>
    <w:rsid w:val="006B676D"/>
    <w:rsid w:val="006B683F"/>
    <w:rsid w:val="006B6847"/>
    <w:rsid w:val="006B6908"/>
    <w:rsid w:val="006B69D0"/>
    <w:rsid w:val="006B6D2A"/>
    <w:rsid w:val="006B6DC8"/>
    <w:rsid w:val="006B6E63"/>
    <w:rsid w:val="006B7469"/>
    <w:rsid w:val="006B7569"/>
    <w:rsid w:val="006B7711"/>
    <w:rsid w:val="006B7762"/>
    <w:rsid w:val="006B77E7"/>
    <w:rsid w:val="006B7ACF"/>
    <w:rsid w:val="006B7AFF"/>
    <w:rsid w:val="006B7B05"/>
    <w:rsid w:val="006B7D38"/>
    <w:rsid w:val="006C0276"/>
    <w:rsid w:val="006C0392"/>
    <w:rsid w:val="006C0592"/>
    <w:rsid w:val="006C05EB"/>
    <w:rsid w:val="006C08A6"/>
    <w:rsid w:val="006C0B19"/>
    <w:rsid w:val="006C0F3C"/>
    <w:rsid w:val="006C0FD7"/>
    <w:rsid w:val="006C10B5"/>
    <w:rsid w:val="006C114F"/>
    <w:rsid w:val="006C11D9"/>
    <w:rsid w:val="006C14EF"/>
    <w:rsid w:val="006C1681"/>
    <w:rsid w:val="006C194E"/>
    <w:rsid w:val="006C19D6"/>
    <w:rsid w:val="006C1B18"/>
    <w:rsid w:val="006C1B1B"/>
    <w:rsid w:val="006C1C02"/>
    <w:rsid w:val="006C1D26"/>
    <w:rsid w:val="006C1D6E"/>
    <w:rsid w:val="006C1D74"/>
    <w:rsid w:val="006C1E8A"/>
    <w:rsid w:val="006C1EDF"/>
    <w:rsid w:val="006C1F0E"/>
    <w:rsid w:val="006C2058"/>
    <w:rsid w:val="006C23AA"/>
    <w:rsid w:val="006C2486"/>
    <w:rsid w:val="006C2573"/>
    <w:rsid w:val="006C26A6"/>
    <w:rsid w:val="006C26CF"/>
    <w:rsid w:val="006C27F8"/>
    <w:rsid w:val="006C2B3B"/>
    <w:rsid w:val="006C31E0"/>
    <w:rsid w:val="006C32E7"/>
    <w:rsid w:val="006C335E"/>
    <w:rsid w:val="006C34B7"/>
    <w:rsid w:val="006C34CF"/>
    <w:rsid w:val="006C358E"/>
    <w:rsid w:val="006C35A8"/>
    <w:rsid w:val="006C35BA"/>
    <w:rsid w:val="006C35DE"/>
    <w:rsid w:val="006C35E3"/>
    <w:rsid w:val="006C3643"/>
    <w:rsid w:val="006C38D3"/>
    <w:rsid w:val="006C3AAC"/>
    <w:rsid w:val="006C3BF2"/>
    <w:rsid w:val="006C3C63"/>
    <w:rsid w:val="006C3E1F"/>
    <w:rsid w:val="006C42AC"/>
    <w:rsid w:val="006C42B4"/>
    <w:rsid w:val="006C42C3"/>
    <w:rsid w:val="006C4410"/>
    <w:rsid w:val="006C45EB"/>
    <w:rsid w:val="006C474F"/>
    <w:rsid w:val="006C477A"/>
    <w:rsid w:val="006C4852"/>
    <w:rsid w:val="006C4A69"/>
    <w:rsid w:val="006C4A9B"/>
    <w:rsid w:val="006C4B42"/>
    <w:rsid w:val="006C4BA3"/>
    <w:rsid w:val="006C4D4C"/>
    <w:rsid w:val="006C4E0B"/>
    <w:rsid w:val="006C4E1A"/>
    <w:rsid w:val="006C4F8E"/>
    <w:rsid w:val="006C5354"/>
    <w:rsid w:val="006C58AD"/>
    <w:rsid w:val="006C58E9"/>
    <w:rsid w:val="006C59BD"/>
    <w:rsid w:val="006C5B51"/>
    <w:rsid w:val="006C5B79"/>
    <w:rsid w:val="006C5BA2"/>
    <w:rsid w:val="006C5C3D"/>
    <w:rsid w:val="006C5C86"/>
    <w:rsid w:val="006C5EC4"/>
    <w:rsid w:val="006C60BA"/>
    <w:rsid w:val="006C6395"/>
    <w:rsid w:val="006C63D4"/>
    <w:rsid w:val="006C6AC1"/>
    <w:rsid w:val="006C730C"/>
    <w:rsid w:val="006C7646"/>
    <w:rsid w:val="006C773C"/>
    <w:rsid w:val="006C790C"/>
    <w:rsid w:val="006C7B06"/>
    <w:rsid w:val="006C7C50"/>
    <w:rsid w:val="006C7C9A"/>
    <w:rsid w:val="006C7E83"/>
    <w:rsid w:val="006C7FC7"/>
    <w:rsid w:val="006D02AB"/>
    <w:rsid w:val="006D034E"/>
    <w:rsid w:val="006D03A3"/>
    <w:rsid w:val="006D088F"/>
    <w:rsid w:val="006D0995"/>
    <w:rsid w:val="006D0A9E"/>
    <w:rsid w:val="006D0C2A"/>
    <w:rsid w:val="006D0D45"/>
    <w:rsid w:val="006D102F"/>
    <w:rsid w:val="006D138E"/>
    <w:rsid w:val="006D16B8"/>
    <w:rsid w:val="006D18C6"/>
    <w:rsid w:val="006D1903"/>
    <w:rsid w:val="006D1919"/>
    <w:rsid w:val="006D1A17"/>
    <w:rsid w:val="006D1D37"/>
    <w:rsid w:val="006D20C6"/>
    <w:rsid w:val="006D20FE"/>
    <w:rsid w:val="006D211B"/>
    <w:rsid w:val="006D23AA"/>
    <w:rsid w:val="006D24A8"/>
    <w:rsid w:val="006D2789"/>
    <w:rsid w:val="006D2903"/>
    <w:rsid w:val="006D2A06"/>
    <w:rsid w:val="006D2ADF"/>
    <w:rsid w:val="006D2B1D"/>
    <w:rsid w:val="006D2B8F"/>
    <w:rsid w:val="006D2D62"/>
    <w:rsid w:val="006D2F35"/>
    <w:rsid w:val="006D3051"/>
    <w:rsid w:val="006D3170"/>
    <w:rsid w:val="006D317C"/>
    <w:rsid w:val="006D3218"/>
    <w:rsid w:val="006D3335"/>
    <w:rsid w:val="006D3340"/>
    <w:rsid w:val="006D3444"/>
    <w:rsid w:val="006D3491"/>
    <w:rsid w:val="006D3593"/>
    <w:rsid w:val="006D35D2"/>
    <w:rsid w:val="006D396E"/>
    <w:rsid w:val="006D3C5C"/>
    <w:rsid w:val="006D3DA5"/>
    <w:rsid w:val="006D3FF2"/>
    <w:rsid w:val="006D43D2"/>
    <w:rsid w:val="006D465B"/>
    <w:rsid w:val="006D4A8B"/>
    <w:rsid w:val="006D4C51"/>
    <w:rsid w:val="006D4C72"/>
    <w:rsid w:val="006D4D44"/>
    <w:rsid w:val="006D4D62"/>
    <w:rsid w:val="006D4DB7"/>
    <w:rsid w:val="006D4DF2"/>
    <w:rsid w:val="006D4E98"/>
    <w:rsid w:val="006D5345"/>
    <w:rsid w:val="006D53B7"/>
    <w:rsid w:val="006D543B"/>
    <w:rsid w:val="006D5656"/>
    <w:rsid w:val="006D579F"/>
    <w:rsid w:val="006D58FF"/>
    <w:rsid w:val="006D59FB"/>
    <w:rsid w:val="006D5A21"/>
    <w:rsid w:val="006D5A8F"/>
    <w:rsid w:val="006D5D56"/>
    <w:rsid w:val="006D5FCE"/>
    <w:rsid w:val="006D621B"/>
    <w:rsid w:val="006D63A2"/>
    <w:rsid w:val="006D6706"/>
    <w:rsid w:val="006D693B"/>
    <w:rsid w:val="006D693C"/>
    <w:rsid w:val="006D6AD2"/>
    <w:rsid w:val="006D6B0B"/>
    <w:rsid w:val="006D6B92"/>
    <w:rsid w:val="006D6BDC"/>
    <w:rsid w:val="006D6C04"/>
    <w:rsid w:val="006D6C6D"/>
    <w:rsid w:val="006D6DCA"/>
    <w:rsid w:val="006D6EB2"/>
    <w:rsid w:val="006D6EDB"/>
    <w:rsid w:val="006D6F96"/>
    <w:rsid w:val="006D70A3"/>
    <w:rsid w:val="006D7350"/>
    <w:rsid w:val="006D7707"/>
    <w:rsid w:val="006D7872"/>
    <w:rsid w:val="006D7943"/>
    <w:rsid w:val="006D7A46"/>
    <w:rsid w:val="006D7C9E"/>
    <w:rsid w:val="006D7E9F"/>
    <w:rsid w:val="006E0265"/>
    <w:rsid w:val="006E07C3"/>
    <w:rsid w:val="006E08D4"/>
    <w:rsid w:val="006E0987"/>
    <w:rsid w:val="006E0991"/>
    <w:rsid w:val="006E0CF6"/>
    <w:rsid w:val="006E0D0A"/>
    <w:rsid w:val="006E117F"/>
    <w:rsid w:val="006E1219"/>
    <w:rsid w:val="006E1441"/>
    <w:rsid w:val="006E1526"/>
    <w:rsid w:val="006E169B"/>
    <w:rsid w:val="006E1701"/>
    <w:rsid w:val="006E184A"/>
    <w:rsid w:val="006E1C56"/>
    <w:rsid w:val="006E1FF5"/>
    <w:rsid w:val="006E21A6"/>
    <w:rsid w:val="006E2233"/>
    <w:rsid w:val="006E2259"/>
    <w:rsid w:val="006E2459"/>
    <w:rsid w:val="006E27EC"/>
    <w:rsid w:val="006E2962"/>
    <w:rsid w:val="006E2B3B"/>
    <w:rsid w:val="006E2B7B"/>
    <w:rsid w:val="006E2BBD"/>
    <w:rsid w:val="006E2C4E"/>
    <w:rsid w:val="006E2D3A"/>
    <w:rsid w:val="006E2E6B"/>
    <w:rsid w:val="006E3156"/>
    <w:rsid w:val="006E31FD"/>
    <w:rsid w:val="006E32A0"/>
    <w:rsid w:val="006E32E1"/>
    <w:rsid w:val="006E3399"/>
    <w:rsid w:val="006E37C3"/>
    <w:rsid w:val="006E387A"/>
    <w:rsid w:val="006E3884"/>
    <w:rsid w:val="006E3A61"/>
    <w:rsid w:val="006E3E24"/>
    <w:rsid w:val="006E3E72"/>
    <w:rsid w:val="006E459E"/>
    <w:rsid w:val="006E45A3"/>
    <w:rsid w:val="006E48F8"/>
    <w:rsid w:val="006E4AF0"/>
    <w:rsid w:val="006E4C28"/>
    <w:rsid w:val="006E4D35"/>
    <w:rsid w:val="006E4F6A"/>
    <w:rsid w:val="006E50A9"/>
    <w:rsid w:val="006E5176"/>
    <w:rsid w:val="006E5221"/>
    <w:rsid w:val="006E532E"/>
    <w:rsid w:val="006E56FB"/>
    <w:rsid w:val="006E58A1"/>
    <w:rsid w:val="006E58D8"/>
    <w:rsid w:val="006E5C66"/>
    <w:rsid w:val="006E5F19"/>
    <w:rsid w:val="006E5FCE"/>
    <w:rsid w:val="006E626D"/>
    <w:rsid w:val="006E6286"/>
    <w:rsid w:val="006E63D6"/>
    <w:rsid w:val="006E65E2"/>
    <w:rsid w:val="006E67C4"/>
    <w:rsid w:val="006E68D4"/>
    <w:rsid w:val="006E6A61"/>
    <w:rsid w:val="006E6C0D"/>
    <w:rsid w:val="006E6C9F"/>
    <w:rsid w:val="006E6DC4"/>
    <w:rsid w:val="006E7141"/>
    <w:rsid w:val="006E71A6"/>
    <w:rsid w:val="006E734D"/>
    <w:rsid w:val="006E7447"/>
    <w:rsid w:val="006E75BB"/>
    <w:rsid w:val="006E76A8"/>
    <w:rsid w:val="006E7766"/>
    <w:rsid w:val="006E7806"/>
    <w:rsid w:val="006E7930"/>
    <w:rsid w:val="006E797B"/>
    <w:rsid w:val="006E7DFE"/>
    <w:rsid w:val="006E7E8E"/>
    <w:rsid w:val="006E7F2D"/>
    <w:rsid w:val="006F0028"/>
    <w:rsid w:val="006F0234"/>
    <w:rsid w:val="006F0494"/>
    <w:rsid w:val="006F064F"/>
    <w:rsid w:val="006F08D2"/>
    <w:rsid w:val="006F09DA"/>
    <w:rsid w:val="006F0C44"/>
    <w:rsid w:val="006F100E"/>
    <w:rsid w:val="006F11DE"/>
    <w:rsid w:val="006F1264"/>
    <w:rsid w:val="006F1267"/>
    <w:rsid w:val="006F1283"/>
    <w:rsid w:val="006F147E"/>
    <w:rsid w:val="006F14E7"/>
    <w:rsid w:val="006F15BD"/>
    <w:rsid w:val="006F176E"/>
    <w:rsid w:val="006F1792"/>
    <w:rsid w:val="006F18A7"/>
    <w:rsid w:val="006F18B8"/>
    <w:rsid w:val="006F1CB6"/>
    <w:rsid w:val="006F1E7F"/>
    <w:rsid w:val="006F1F1D"/>
    <w:rsid w:val="006F1F34"/>
    <w:rsid w:val="006F1F63"/>
    <w:rsid w:val="006F1FE8"/>
    <w:rsid w:val="006F250D"/>
    <w:rsid w:val="006F2514"/>
    <w:rsid w:val="006F2B8F"/>
    <w:rsid w:val="006F2D62"/>
    <w:rsid w:val="006F2DD6"/>
    <w:rsid w:val="006F31D9"/>
    <w:rsid w:val="006F34DB"/>
    <w:rsid w:val="006F3A2D"/>
    <w:rsid w:val="006F3A79"/>
    <w:rsid w:val="006F3AE8"/>
    <w:rsid w:val="006F3C79"/>
    <w:rsid w:val="006F3D35"/>
    <w:rsid w:val="006F3DEC"/>
    <w:rsid w:val="006F3FF2"/>
    <w:rsid w:val="006F406C"/>
    <w:rsid w:val="006F4140"/>
    <w:rsid w:val="006F440D"/>
    <w:rsid w:val="006F48E8"/>
    <w:rsid w:val="006F4940"/>
    <w:rsid w:val="006F4B0F"/>
    <w:rsid w:val="006F4C3A"/>
    <w:rsid w:val="006F4D8B"/>
    <w:rsid w:val="006F4DE4"/>
    <w:rsid w:val="006F4E5A"/>
    <w:rsid w:val="006F4EF3"/>
    <w:rsid w:val="006F510D"/>
    <w:rsid w:val="006F5284"/>
    <w:rsid w:val="006F52FF"/>
    <w:rsid w:val="006F536D"/>
    <w:rsid w:val="006F53BA"/>
    <w:rsid w:val="006F5409"/>
    <w:rsid w:val="006F560C"/>
    <w:rsid w:val="006F57A3"/>
    <w:rsid w:val="006F57BD"/>
    <w:rsid w:val="006F5820"/>
    <w:rsid w:val="006F5AF2"/>
    <w:rsid w:val="006F5DEA"/>
    <w:rsid w:val="006F5EC2"/>
    <w:rsid w:val="006F60C2"/>
    <w:rsid w:val="006F655B"/>
    <w:rsid w:val="006F6595"/>
    <w:rsid w:val="006F65E0"/>
    <w:rsid w:val="006F6754"/>
    <w:rsid w:val="006F677E"/>
    <w:rsid w:val="006F68A9"/>
    <w:rsid w:val="006F695C"/>
    <w:rsid w:val="006F6B6E"/>
    <w:rsid w:val="006F6B78"/>
    <w:rsid w:val="006F6CDB"/>
    <w:rsid w:val="006F6D51"/>
    <w:rsid w:val="006F6E91"/>
    <w:rsid w:val="006F70EF"/>
    <w:rsid w:val="006F7260"/>
    <w:rsid w:val="006F75B3"/>
    <w:rsid w:val="006F784F"/>
    <w:rsid w:val="006F7958"/>
    <w:rsid w:val="006F79D8"/>
    <w:rsid w:val="006F7B69"/>
    <w:rsid w:val="006F7B9D"/>
    <w:rsid w:val="007000D1"/>
    <w:rsid w:val="00700275"/>
    <w:rsid w:val="0070030C"/>
    <w:rsid w:val="007003B4"/>
    <w:rsid w:val="00700586"/>
    <w:rsid w:val="00700791"/>
    <w:rsid w:val="00700875"/>
    <w:rsid w:val="00700B7F"/>
    <w:rsid w:val="00700CB7"/>
    <w:rsid w:val="00700FEB"/>
    <w:rsid w:val="007016F0"/>
    <w:rsid w:val="00701841"/>
    <w:rsid w:val="007023BA"/>
    <w:rsid w:val="00702406"/>
    <w:rsid w:val="0070252A"/>
    <w:rsid w:val="007026CC"/>
    <w:rsid w:val="0070275D"/>
    <w:rsid w:val="007027B1"/>
    <w:rsid w:val="0070283C"/>
    <w:rsid w:val="00703007"/>
    <w:rsid w:val="007033BD"/>
    <w:rsid w:val="00703B25"/>
    <w:rsid w:val="00703CFE"/>
    <w:rsid w:val="00703D56"/>
    <w:rsid w:val="00703EAC"/>
    <w:rsid w:val="00703ED6"/>
    <w:rsid w:val="00704633"/>
    <w:rsid w:val="007046FD"/>
    <w:rsid w:val="00704CBA"/>
    <w:rsid w:val="00704E71"/>
    <w:rsid w:val="0070500B"/>
    <w:rsid w:val="00705269"/>
    <w:rsid w:val="00705288"/>
    <w:rsid w:val="0070579D"/>
    <w:rsid w:val="00705969"/>
    <w:rsid w:val="007059F3"/>
    <w:rsid w:val="00705B72"/>
    <w:rsid w:val="00705EC5"/>
    <w:rsid w:val="007060BE"/>
    <w:rsid w:val="00706163"/>
    <w:rsid w:val="00706219"/>
    <w:rsid w:val="007062C3"/>
    <w:rsid w:val="0070661E"/>
    <w:rsid w:val="007067BE"/>
    <w:rsid w:val="00706AD9"/>
    <w:rsid w:val="00706B19"/>
    <w:rsid w:val="00706C04"/>
    <w:rsid w:val="00706F08"/>
    <w:rsid w:val="00706F0F"/>
    <w:rsid w:val="007070EE"/>
    <w:rsid w:val="0070732E"/>
    <w:rsid w:val="007073E0"/>
    <w:rsid w:val="007078C6"/>
    <w:rsid w:val="00707AF1"/>
    <w:rsid w:val="00707CAD"/>
    <w:rsid w:val="00707CC1"/>
    <w:rsid w:val="00707E41"/>
    <w:rsid w:val="00707E54"/>
    <w:rsid w:val="0071051A"/>
    <w:rsid w:val="007106D1"/>
    <w:rsid w:val="007108DC"/>
    <w:rsid w:val="0071098F"/>
    <w:rsid w:val="007109D6"/>
    <w:rsid w:val="00710B74"/>
    <w:rsid w:val="00710D56"/>
    <w:rsid w:val="00710D60"/>
    <w:rsid w:val="00710E1C"/>
    <w:rsid w:val="00710E72"/>
    <w:rsid w:val="0071126C"/>
    <w:rsid w:val="007112BB"/>
    <w:rsid w:val="007112E2"/>
    <w:rsid w:val="00711371"/>
    <w:rsid w:val="00711525"/>
    <w:rsid w:val="007117C8"/>
    <w:rsid w:val="0071184B"/>
    <w:rsid w:val="00711864"/>
    <w:rsid w:val="00711BC4"/>
    <w:rsid w:val="00711C2B"/>
    <w:rsid w:val="00711C50"/>
    <w:rsid w:val="00711C67"/>
    <w:rsid w:val="00711C7A"/>
    <w:rsid w:val="00711CC4"/>
    <w:rsid w:val="00711EDD"/>
    <w:rsid w:val="00712291"/>
    <w:rsid w:val="007123BA"/>
    <w:rsid w:val="007123BF"/>
    <w:rsid w:val="00712B5E"/>
    <w:rsid w:val="00713115"/>
    <w:rsid w:val="007132DD"/>
    <w:rsid w:val="007134B7"/>
    <w:rsid w:val="00713748"/>
    <w:rsid w:val="00713EA2"/>
    <w:rsid w:val="00714016"/>
    <w:rsid w:val="007141C3"/>
    <w:rsid w:val="0071421A"/>
    <w:rsid w:val="00714342"/>
    <w:rsid w:val="007144C4"/>
    <w:rsid w:val="007145CE"/>
    <w:rsid w:val="00714873"/>
    <w:rsid w:val="00714ACB"/>
    <w:rsid w:val="00714BCB"/>
    <w:rsid w:val="00714C3A"/>
    <w:rsid w:val="00714D60"/>
    <w:rsid w:val="00715181"/>
    <w:rsid w:val="007151D8"/>
    <w:rsid w:val="0071525B"/>
    <w:rsid w:val="00715265"/>
    <w:rsid w:val="00715334"/>
    <w:rsid w:val="007154AA"/>
    <w:rsid w:val="007154F1"/>
    <w:rsid w:val="00715CF4"/>
    <w:rsid w:val="00715E57"/>
    <w:rsid w:val="00715ED9"/>
    <w:rsid w:val="00715F3B"/>
    <w:rsid w:val="0071608B"/>
    <w:rsid w:val="007164F2"/>
    <w:rsid w:val="00716760"/>
    <w:rsid w:val="007167B6"/>
    <w:rsid w:val="0071694E"/>
    <w:rsid w:val="00716A29"/>
    <w:rsid w:val="00716A49"/>
    <w:rsid w:val="00716C93"/>
    <w:rsid w:val="00716EDD"/>
    <w:rsid w:val="007170A1"/>
    <w:rsid w:val="00717175"/>
    <w:rsid w:val="007173DC"/>
    <w:rsid w:val="007174D5"/>
    <w:rsid w:val="00717612"/>
    <w:rsid w:val="0071764B"/>
    <w:rsid w:val="00717696"/>
    <w:rsid w:val="007176F2"/>
    <w:rsid w:val="0071771F"/>
    <w:rsid w:val="007177F6"/>
    <w:rsid w:val="00717922"/>
    <w:rsid w:val="00717D05"/>
    <w:rsid w:val="007201A6"/>
    <w:rsid w:val="00720609"/>
    <w:rsid w:val="00720697"/>
    <w:rsid w:val="007206CE"/>
    <w:rsid w:val="007207ED"/>
    <w:rsid w:val="007208EB"/>
    <w:rsid w:val="007209CB"/>
    <w:rsid w:val="00720ABF"/>
    <w:rsid w:val="00720B66"/>
    <w:rsid w:val="00720BA1"/>
    <w:rsid w:val="00720CFF"/>
    <w:rsid w:val="00720D89"/>
    <w:rsid w:val="00720F2E"/>
    <w:rsid w:val="00720F97"/>
    <w:rsid w:val="00720FEF"/>
    <w:rsid w:val="0072102D"/>
    <w:rsid w:val="00721040"/>
    <w:rsid w:val="00721179"/>
    <w:rsid w:val="00721197"/>
    <w:rsid w:val="00721262"/>
    <w:rsid w:val="00721477"/>
    <w:rsid w:val="00721635"/>
    <w:rsid w:val="007216F9"/>
    <w:rsid w:val="0072170C"/>
    <w:rsid w:val="00721789"/>
    <w:rsid w:val="00721E86"/>
    <w:rsid w:val="00721EB3"/>
    <w:rsid w:val="00721F48"/>
    <w:rsid w:val="00721F69"/>
    <w:rsid w:val="007222DA"/>
    <w:rsid w:val="00722367"/>
    <w:rsid w:val="00722373"/>
    <w:rsid w:val="007223A7"/>
    <w:rsid w:val="0072240D"/>
    <w:rsid w:val="007226C3"/>
    <w:rsid w:val="007229E8"/>
    <w:rsid w:val="00722AB3"/>
    <w:rsid w:val="00722DFD"/>
    <w:rsid w:val="00722F70"/>
    <w:rsid w:val="00723190"/>
    <w:rsid w:val="0072324F"/>
    <w:rsid w:val="007233B4"/>
    <w:rsid w:val="0072382E"/>
    <w:rsid w:val="007238E2"/>
    <w:rsid w:val="00723AEE"/>
    <w:rsid w:val="00723C5E"/>
    <w:rsid w:val="00723C65"/>
    <w:rsid w:val="00723D11"/>
    <w:rsid w:val="00723EF5"/>
    <w:rsid w:val="0072418A"/>
    <w:rsid w:val="0072435E"/>
    <w:rsid w:val="0072437A"/>
    <w:rsid w:val="007244D5"/>
    <w:rsid w:val="00724574"/>
    <w:rsid w:val="007247A7"/>
    <w:rsid w:val="00724B73"/>
    <w:rsid w:val="00724C7D"/>
    <w:rsid w:val="00724DE2"/>
    <w:rsid w:val="00724ED6"/>
    <w:rsid w:val="0072502C"/>
    <w:rsid w:val="00725733"/>
    <w:rsid w:val="00725AD3"/>
    <w:rsid w:val="00725C40"/>
    <w:rsid w:val="00725C48"/>
    <w:rsid w:val="00725DAA"/>
    <w:rsid w:val="00725ED3"/>
    <w:rsid w:val="00725FD9"/>
    <w:rsid w:val="007263CF"/>
    <w:rsid w:val="00726574"/>
    <w:rsid w:val="007267C4"/>
    <w:rsid w:val="00726862"/>
    <w:rsid w:val="00726BFC"/>
    <w:rsid w:val="00726D8F"/>
    <w:rsid w:val="0072715F"/>
    <w:rsid w:val="007272BC"/>
    <w:rsid w:val="007275B8"/>
    <w:rsid w:val="00727867"/>
    <w:rsid w:val="00727B14"/>
    <w:rsid w:val="00727CA8"/>
    <w:rsid w:val="0073019E"/>
    <w:rsid w:val="0073025A"/>
    <w:rsid w:val="007302B2"/>
    <w:rsid w:val="0073084F"/>
    <w:rsid w:val="00730909"/>
    <w:rsid w:val="0073093C"/>
    <w:rsid w:val="00730E55"/>
    <w:rsid w:val="00730F00"/>
    <w:rsid w:val="00730FF5"/>
    <w:rsid w:val="00731067"/>
    <w:rsid w:val="00731284"/>
    <w:rsid w:val="007312C2"/>
    <w:rsid w:val="0073179E"/>
    <w:rsid w:val="007319D7"/>
    <w:rsid w:val="00731A0A"/>
    <w:rsid w:val="00731C5C"/>
    <w:rsid w:val="00731E35"/>
    <w:rsid w:val="00731F4B"/>
    <w:rsid w:val="0073216B"/>
    <w:rsid w:val="007322FB"/>
    <w:rsid w:val="00732399"/>
    <w:rsid w:val="0073251A"/>
    <w:rsid w:val="00732641"/>
    <w:rsid w:val="007327C4"/>
    <w:rsid w:val="007327F7"/>
    <w:rsid w:val="0073298B"/>
    <w:rsid w:val="007329B7"/>
    <w:rsid w:val="00732A6A"/>
    <w:rsid w:val="00732AC2"/>
    <w:rsid w:val="0073305E"/>
    <w:rsid w:val="007331E6"/>
    <w:rsid w:val="0073339D"/>
    <w:rsid w:val="00733587"/>
    <w:rsid w:val="0073369C"/>
    <w:rsid w:val="007336FD"/>
    <w:rsid w:val="0073387D"/>
    <w:rsid w:val="00733C88"/>
    <w:rsid w:val="00733D8F"/>
    <w:rsid w:val="00733DB0"/>
    <w:rsid w:val="007340FC"/>
    <w:rsid w:val="00734684"/>
    <w:rsid w:val="0073491F"/>
    <w:rsid w:val="00734999"/>
    <w:rsid w:val="00735215"/>
    <w:rsid w:val="00735330"/>
    <w:rsid w:val="007355D6"/>
    <w:rsid w:val="007357C4"/>
    <w:rsid w:val="007357ED"/>
    <w:rsid w:val="00735A07"/>
    <w:rsid w:val="00735B9E"/>
    <w:rsid w:val="00735ED4"/>
    <w:rsid w:val="00736301"/>
    <w:rsid w:val="00736374"/>
    <w:rsid w:val="0073641E"/>
    <w:rsid w:val="007364DD"/>
    <w:rsid w:val="0073650C"/>
    <w:rsid w:val="00736597"/>
    <w:rsid w:val="00736812"/>
    <w:rsid w:val="007368A1"/>
    <w:rsid w:val="007368C2"/>
    <w:rsid w:val="00736ABC"/>
    <w:rsid w:val="00736AC5"/>
    <w:rsid w:val="00736ADA"/>
    <w:rsid w:val="00736C17"/>
    <w:rsid w:val="00736E77"/>
    <w:rsid w:val="0073750F"/>
    <w:rsid w:val="00737548"/>
    <w:rsid w:val="007375A0"/>
    <w:rsid w:val="00737844"/>
    <w:rsid w:val="00737E10"/>
    <w:rsid w:val="00737E2F"/>
    <w:rsid w:val="00737EBC"/>
    <w:rsid w:val="00740008"/>
    <w:rsid w:val="007401DD"/>
    <w:rsid w:val="00740536"/>
    <w:rsid w:val="0074068F"/>
    <w:rsid w:val="007406B4"/>
    <w:rsid w:val="00740DB3"/>
    <w:rsid w:val="00740F83"/>
    <w:rsid w:val="00741153"/>
    <w:rsid w:val="00741230"/>
    <w:rsid w:val="00741367"/>
    <w:rsid w:val="00741421"/>
    <w:rsid w:val="007414BF"/>
    <w:rsid w:val="00741526"/>
    <w:rsid w:val="00741552"/>
    <w:rsid w:val="00741663"/>
    <w:rsid w:val="007417B5"/>
    <w:rsid w:val="0074184F"/>
    <w:rsid w:val="00741D07"/>
    <w:rsid w:val="00741FC4"/>
    <w:rsid w:val="00742232"/>
    <w:rsid w:val="0074235A"/>
    <w:rsid w:val="007423AE"/>
    <w:rsid w:val="00742430"/>
    <w:rsid w:val="00742575"/>
    <w:rsid w:val="007429BA"/>
    <w:rsid w:val="007429C5"/>
    <w:rsid w:val="00742B51"/>
    <w:rsid w:val="007430BD"/>
    <w:rsid w:val="0074317F"/>
    <w:rsid w:val="00743318"/>
    <w:rsid w:val="00743435"/>
    <w:rsid w:val="007434E2"/>
    <w:rsid w:val="00743543"/>
    <w:rsid w:val="007435AF"/>
    <w:rsid w:val="00743700"/>
    <w:rsid w:val="0074378E"/>
    <w:rsid w:val="00743879"/>
    <w:rsid w:val="00743AB7"/>
    <w:rsid w:val="00743ADE"/>
    <w:rsid w:val="00743BC0"/>
    <w:rsid w:val="00743C2E"/>
    <w:rsid w:val="00743EFA"/>
    <w:rsid w:val="00743FC2"/>
    <w:rsid w:val="007444D5"/>
    <w:rsid w:val="007444E5"/>
    <w:rsid w:val="007446FB"/>
    <w:rsid w:val="00744A56"/>
    <w:rsid w:val="00744C0D"/>
    <w:rsid w:val="00744C2C"/>
    <w:rsid w:val="00744F85"/>
    <w:rsid w:val="00744FC6"/>
    <w:rsid w:val="00744FED"/>
    <w:rsid w:val="007450AB"/>
    <w:rsid w:val="007450B9"/>
    <w:rsid w:val="007451BE"/>
    <w:rsid w:val="0074549D"/>
    <w:rsid w:val="00745630"/>
    <w:rsid w:val="0074583A"/>
    <w:rsid w:val="00745B66"/>
    <w:rsid w:val="00745BC2"/>
    <w:rsid w:val="00745E30"/>
    <w:rsid w:val="00745F09"/>
    <w:rsid w:val="00746198"/>
    <w:rsid w:val="007461BF"/>
    <w:rsid w:val="00746222"/>
    <w:rsid w:val="007465A6"/>
    <w:rsid w:val="0074666B"/>
    <w:rsid w:val="00746991"/>
    <w:rsid w:val="007469A4"/>
    <w:rsid w:val="00746C17"/>
    <w:rsid w:val="00746D93"/>
    <w:rsid w:val="00746E24"/>
    <w:rsid w:val="00746FD1"/>
    <w:rsid w:val="00747007"/>
    <w:rsid w:val="00747122"/>
    <w:rsid w:val="00747138"/>
    <w:rsid w:val="0074719F"/>
    <w:rsid w:val="00747489"/>
    <w:rsid w:val="00747521"/>
    <w:rsid w:val="00747558"/>
    <w:rsid w:val="00747656"/>
    <w:rsid w:val="007476D3"/>
    <w:rsid w:val="007479BB"/>
    <w:rsid w:val="007479D2"/>
    <w:rsid w:val="00747A86"/>
    <w:rsid w:val="00747AFA"/>
    <w:rsid w:val="00747B08"/>
    <w:rsid w:val="00747B7F"/>
    <w:rsid w:val="00750130"/>
    <w:rsid w:val="00750155"/>
    <w:rsid w:val="00750185"/>
    <w:rsid w:val="0075023E"/>
    <w:rsid w:val="007502DB"/>
    <w:rsid w:val="0075037A"/>
    <w:rsid w:val="0075049C"/>
    <w:rsid w:val="00750575"/>
    <w:rsid w:val="007505EE"/>
    <w:rsid w:val="0075068B"/>
    <w:rsid w:val="00750975"/>
    <w:rsid w:val="00750A2E"/>
    <w:rsid w:val="00750D4C"/>
    <w:rsid w:val="00750DAF"/>
    <w:rsid w:val="00751204"/>
    <w:rsid w:val="00751287"/>
    <w:rsid w:val="007512A3"/>
    <w:rsid w:val="007512EF"/>
    <w:rsid w:val="0075132B"/>
    <w:rsid w:val="00751B8D"/>
    <w:rsid w:val="00751D85"/>
    <w:rsid w:val="00751ED8"/>
    <w:rsid w:val="00751FCF"/>
    <w:rsid w:val="007523A9"/>
    <w:rsid w:val="007523FB"/>
    <w:rsid w:val="0075246C"/>
    <w:rsid w:val="007524A1"/>
    <w:rsid w:val="007526B5"/>
    <w:rsid w:val="00752843"/>
    <w:rsid w:val="00752921"/>
    <w:rsid w:val="00752991"/>
    <w:rsid w:val="00752A08"/>
    <w:rsid w:val="00752B4B"/>
    <w:rsid w:val="00752BE4"/>
    <w:rsid w:val="00752C66"/>
    <w:rsid w:val="00752CAA"/>
    <w:rsid w:val="0075308B"/>
    <w:rsid w:val="007531FD"/>
    <w:rsid w:val="00753329"/>
    <w:rsid w:val="00753352"/>
    <w:rsid w:val="00753527"/>
    <w:rsid w:val="0075380D"/>
    <w:rsid w:val="007538D9"/>
    <w:rsid w:val="007538FE"/>
    <w:rsid w:val="00754209"/>
    <w:rsid w:val="007542A1"/>
    <w:rsid w:val="0075441B"/>
    <w:rsid w:val="00754AD6"/>
    <w:rsid w:val="00754DCD"/>
    <w:rsid w:val="00754E1D"/>
    <w:rsid w:val="00754FA2"/>
    <w:rsid w:val="00754FDE"/>
    <w:rsid w:val="007550AA"/>
    <w:rsid w:val="007551D1"/>
    <w:rsid w:val="007552C0"/>
    <w:rsid w:val="007552E2"/>
    <w:rsid w:val="007553CE"/>
    <w:rsid w:val="007553FA"/>
    <w:rsid w:val="00755473"/>
    <w:rsid w:val="00755522"/>
    <w:rsid w:val="00755555"/>
    <w:rsid w:val="007556ED"/>
    <w:rsid w:val="00755715"/>
    <w:rsid w:val="007558B9"/>
    <w:rsid w:val="00755B52"/>
    <w:rsid w:val="00755FE8"/>
    <w:rsid w:val="007560BC"/>
    <w:rsid w:val="00756251"/>
    <w:rsid w:val="00756358"/>
    <w:rsid w:val="007563FF"/>
    <w:rsid w:val="00756405"/>
    <w:rsid w:val="00756549"/>
    <w:rsid w:val="007568AB"/>
    <w:rsid w:val="00756ACB"/>
    <w:rsid w:val="00756EDF"/>
    <w:rsid w:val="00757093"/>
    <w:rsid w:val="00757330"/>
    <w:rsid w:val="00757343"/>
    <w:rsid w:val="00757412"/>
    <w:rsid w:val="00757445"/>
    <w:rsid w:val="00757867"/>
    <w:rsid w:val="007578B8"/>
    <w:rsid w:val="00757A0E"/>
    <w:rsid w:val="00757A7B"/>
    <w:rsid w:val="00757BBB"/>
    <w:rsid w:val="00757F55"/>
    <w:rsid w:val="00760013"/>
    <w:rsid w:val="007602AE"/>
    <w:rsid w:val="007604C4"/>
    <w:rsid w:val="0076069C"/>
    <w:rsid w:val="007606AB"/>
    <w:rsid w:val="00760766"/>
    <w:rsid w:val="00760A70"/>
    <w:rsid w:val="00760B55"/>
    <w:rsid w:val="00760DE4"/>
    <w:rsid w:val="00760EB1"/>
    <w:rsid w:val="0076100C"/>
    <w:rsid w:val="007613C6"/>
    <w:rsid w:val="007613CC"/>
    <w:rsid w:val="007614D0"/>
    <w:rsid w:val="00761922"/>
    <w:rsid w:val="00761945"/>
    <w:rsid w:val="00761A66"/>
    <w:rsid w:val="00761AB2"/>
    <w:rsid w:val="00761D4D"/>
    <w:rsid w:val="0076200F"/>
    <w:rsid w:val="007620D6"/>
    <w:rsid w:val="00762368"/>
    <w:rsid w:val="0076257D"/>
    <w:rsid w:val="0076270A"/>
    <w:rsid w:val="00762829"/>
    <w:rsid w:val="00762A7E"/>
    <w:rsid w:val="00762B34"/>
    <w:rsid w:val="00762FC9"/>
    <w:rsid w:val="00763101"/>
    <w:rsid w:val="00763548"/>
    <w:rsid w:val="007635F6"/>
    <w:rsid w:val="007636AA"/>
    <w:rsid w:val="007636E0"/>
    <w:rsid w:val="007636F8"/>
    <w:rsid w:val="0076388D"/>
    <w:rsid w:val="00763CEA"/>
    <w:rsid w:val="00763DE4"/>
    <w:rsid w:val="00764007"/>
    <w:rsid w:val="0076427C"/>
    <w:rsid w:val="007644A2"/>
    <w:rsid w:val="00764565"/>
    <w:rsid w:val="0076457E"/>
    <w:rsid w:val="007645A7"/>
    <w:rsid w:val="007646BA"/>
    <w:rsid w:val="00764A19"/>
    <w:rsid w:val="00764B25"/>
    <w:rsid w:val="00764DBA"/>
    <w:rsid w:val="00764E19"/>
    <w:rsid w:val="007651F5"/>
    <w:rsid w:val="0076527B"/>
    <w:rsid w:val="007653FD"/>
    <w:rsid w:val="007654AC"/>
    <w:rsid w:val="0076550E"/>
    <w:rsid w:val="007657E8"/>
    <w:rsid w:val="00765845"/>
    <w:rsid w:val="007658D7"/>
    <w:rsid w:val="00765DCF"/>
    <w:rsid w:val="00765F2A"/>
    <w:rsid w:val="00766141"/>
    <w:rsid w:val="0076622C"/>
    <w:rsid w:val="0076623F"/>
    <w:rsid w:val="0076636D"/>
    <w:rsid w:val="00766489"/>
    <w:rsid w:val="007664A0"/>
    <w:rsid w:val="0076662E"/>
    <w:rsid w:val="00766669"/>
    <w:rsid w:val="007666B3"/>
    <w:rsid w:val="0076670A"/>
    <w:rsid w:val="007667E7"/>
    <w:rsid w:val="00766A08"/>
    <w:rsid w:val="00766DD4"/>
    <w:rsid w:val="007671D2"/>
    <w:rsid w:val="007671ED"/>
    <w:rsid w:val="0076774F"/>
    <w:rsid w:val="00767886"/>
    <w:rsid w:val="00767B3B"/>
    <w:rsid w:val="00767B8E"/>
    <w:rsid w:val="00767C0E"/>
    <w:rsid w:val="0077000F"/>
    <w:rsid w:val="007701C3"/>
    <w:rsid w:val="00770224"/>
    <w:rsid w:val="0077041A"/>
    <w:rsid w:val="00770835"/>
    <w:rsid w:val="00770AD6"/>
    <w:rsid w:val="00770AE5"/>
    <w:rsid w:val="00770AF9"/>
    <w:rsid w:val="00770EDF"/>
    <w:rsid w:val="007710CF"/>
    <w:rsid w:val="007712B4"/>
    <w:rsid w:val="007714F0"/>
    <w:rsid w:val="00771726"/>
    <w:rsid w:val="0077192B"/>
    <w:rsid w:val="007719A3"/>
    <w:rsid w:val="007719DB"/>
    <w:rsid w:val="00771A61"/>
    <w:rsid w:val="00771D33"/>
    <w:rsid w:val="00771DBC"/>
    <w:rsid w:val="00771E5F"/>
    <w:rsid w:val="00771F95"/>
    <w:rsid w:val="00771FD2"/>
    <w:rsid w:val="0077240B"/>
    <w:rsid w:val="00772831"/>
    <w:rsid w:val="007728F3"/>
    <w:rsid w:val="00772A10"/>
    <w:rsid w:val="00772F4F"/>
    <w:rsid w:val="007730AF"/>
    <w:rsid w:val="00773133"/>
    <w:rsid w:val="0077314F"/>
    <w:rsid w:val="007734F6"/>
    <w:rsid w:val="007735F9"/>
    <w:rsid w:val="007736E5"/>
    <w:rsid w:val="0077383E"/>
    <w:rsid w:val="00773A31"/>
    <w:rsid w:val="00773D86"/>
    <w:rsid w:val="00773DF4"/>
    <w:rsid w:val="00773E13"/>
    <w:rsid w:val="007743E1"/>
    <w:rsid w:val="007745C4"/>
    <w:rsid w:val="0077463B"/>
    <w:rsid w:val="007747EE"/>
    <w:rsid w:val="0077483D"/>
    <w:rsid w:val="00774A7A"/>
    <w:rsid w:val="00774A97"/>
    <w:rsid w:val="00774E93"/>
    <w:rsid w:val="0077500B"/>
    <w:rsid w:val="00775089"/>
    <w:rsid w:val="0077515B"/>
    <w:rsid w:val="00775274"/>
    <w:rsid w:val="00775296"/>
    <w:rsid w:val="007753D9"/>
    <w:rsid w:val="00775517"/>
    <w:rsid w:val="0077571F"/>
    <w:rsid w:val="00775A03"/>
    <w:rsid w:val="00775E4C"/>
    <w:rsid w:val="00775F20"/>
    <w:rsid w:val="00775F64"/>
    <w:rsid w:val="00775FC8"/>
    <w:rsid w:val="007762C7"/>
    <w:rsid w:val="00776360"/>
    <w:rsid w:val="007764A4"/>
    <w:rsid w:val="007764D3"/>
    <w:rsid w:val="00776692"/>
    <w:rsid w:val="00776732"/>
    <w:rsid w:val="00776D4F"/>
    <w:rsid w:val="0077708D"/>
    <w:rsid w:val="00777245"/>
    <w:rsid w:val="00777455"/>
    <w:rsid w:val="00777712"/>
    <w:rsid w:val="007778AE"/>
    <w:rsid w:val="00777B34"/>
    <w:rsid w:val="00777BD0"/>
    <w:rsid w:val="00777DCD"/>
    <w:rsid w:val="00777F6B"/>
    <w:rsid w:val="00780091"/>
    <w:rsid w:val="00780195"/>
    <w:rsid w:val="007802DB"/>
    <w:rsid w:val="00780399"/>
    <w:rsid w:val="0078041A"/>
    <w:rsid w:val="007806D1"/>
    <w:rsid w:val="007808A1"/>
    <w:rsid w:val="0078125E"/>
    <w:rsid w:val="007812F0"/>
    <w:rsid w:val="007814A6"/>
    <w:rsid w:val="007815B0"/>
    <w:rsid w:val="007818F5"/>
    <w:rsid w:val="007819AE"/>
    <w:rsid w:val="007819C4"/>
    <w:rsid w:val="00781D58"/>
    <w:rsid w:val="00781F38"/>
    <w:rsid w:val="007823EA"/>
    <w:rsid w:val="00782419"/>
    <w:rsid w:val="00782606"/>
    <w:rsid w:val="007828CF"/>
    <w:rsid w:val="00782968"/>
    <w:rsid w:val="00782987"/>
    <w:rsid w:val="00782A10"/>
    <w:rsid w:val="00782A45"/>
    <w:rsid w:val="00782CC9"/>
    <w:rsid w:val="00782E25"/>
    <w:rsid w:val="00782E91"/>
    <w:rsid w:val="00782EFE"/>
    <w:rsid w:val="0078307C"/>
    <w:rsid w:val="00783376"/>
    <w:rsid w:val="007837EA"/>
    <w:rsid w:val="00783BF9"/>
    <w:rsid w:val="00783D31"/>
    <w:rsid w:val="00783F57"/>
    <w:rsid w:val="00783F6D"/>
    <w:rsid w:val="00783FA7"/>
    <w:rsid w:val="0078446E"/>
    <w:rsid w:val="007844B8"/>
    <w:rsid w:val="007845C9"/>
    <w:rsid w:val="0078484E"/>
    <w:rsid w:val="0078499A"/>
    <w:rsid w:val="007849FF"/>
    <w:rsid w:val="00784BB2"/>
    <w:rsid w:val="00784D03"/>
    <w:rsid w:val="0078502A"/>
    <w:rsid w:val="0078512C"/>
    <w:rsid w:val="007853BA"/>
    <w:rsid w:val="00785696"/>
    <w:rsid w:val="007859B0"/>
    <w:rsid w:val="00785B08"/>
    <w:rsid w:val="00785C74"/>
    <w:rsid w:val="00785D9D"/>
    <w:rsid w:val="00785E34"/>
    <w:rsid w:val="00786106"/>
    <w:rsid w:val="007866C4"/>
    <w:rsid w:val="00786A39"/>
    <w:rsid w:val="00786BCA"/>
    <w:rsid w:val="00786D87"/>
    <w:rsid w:val="00786DE4"/>
    <w:rsid w:val="00786F32"/>
    <w:rsid w:val="00786F6A"/>
    <w:rsid w:val="00787255"/>
    <w:rsid w:val="00787417"/>
    <w:rsid w:val="007874DD"/>
    <w:rsid w:val="00787C78"/>
    <w:rsid w:val="00787CEC"/>
    <w:rsid w:val="00787DE7"/>
    <w:rsid w:val="00790286"/>
    <w:rsid w:val="007904FA"/>
    <w:rsid w:val="0079066A"/>
    <w:rsid w:val="0079088A"/>
    <w:rsid w:val="00790D2D"/>
    <w:rsid w:val="0079125E"/>
    <w:rsid w:val="007912F7"/>
    <w:rsid w:val="0079169B"/>
    <w:rsid w:val="007916F8"/>
    <w:rsid w:val="00791804"/>
    <w:rsid w:val="0079194E"/>
    <w:rsid w:val="00791A03"/>
    <w:rsid w:val="00791BC3"/>
    <w:rsid w:val="00791CFC"/>
    <w:rsid w:val="00791D76"/>
    <w:rsid w:val="00791E22"/>
    <w:rsid w:val="00791F2C"/>
    <w:rsid w:val="00792281"/>
    <w:rsid w:val="007922F5"/>
    <w:rsid w:val="007924DA"/>
    <w:rsid w:val="007925A9"/>
    <w:rsid w:val="00792760"/>
    <w:rsid w:val="00792C37"/>
    <w:rsid w:val="00792C3E"/>
    <w:rsid w:val="00792D36"/>
    <w:rsid w:val="007930C1"/>
    <w:rsid w:val="007932A4"/>
    <w:rsid w:val="00793376"/>
    <w:rsid w:val="0079337C"/>
    <w:rsid w:val="007933A4"/>
    <w:rsid w:val="007935B2"/>
    <w:rsid w:val="007936CD"/>
    <w:rsid w:val="0079378A"/>
    <w:rsid w:val="0079384A"/>
    <w:rsid w:val="00793A6A"/>
    <w:rsid w:val="00793BA0"/>
    <w:rsid w:val="00793BC3"/>
    <w:rsid w:val="00793F3C"/>
    <w:rsid w:val="0079405B"/>
    <w:rsid w:val="0079406F"/>
    <w:rsid w:val="0079414B"/>
    <w:rsid w:val="00794600"/>
    <w:rsid w:val="0079475C"/>
    <w:rsid w:val="0079483C"/>
    <w:rsid w:val="007948FB"/>
    <w:rsid w:val="00794BA7"/>
    <w:rsid w:val="00794C15"/>
    <w:rsid w:val="00794D69"/>
    <w:rsid w:val="00794D93"/>
    <w:rsid w:val="00794F57"/>
    <w:rsid w:val="00795190"/>
    <w:rsid w:val="007951A9"/>
    <w:rsid w:val="00795341"/>
    <w:rsid w:val="00795412"/>
    <w:rsid w:val="007955EC"/>
    <w:rsid w:val="00795736"/>
    <w:rsid w:val="0079573D"/>
    <w:rsid w:val="007957CA"/>
    <w:rsid w:val="00795A99"/>
    <w:rsid w:val="00795D2C"/>
    <w:rsid w:val="00795E87"/>
    <w:rsid w:val="0079605F"/>
    <w:rsid w:val="007961EC"/>
    <w:rsid w:val="007962B3"/>
    <w:rsid w:val="0079637F"/>
    <w:rsid w:val="00796575"/>
    <w:rsid w:val="00796623"/>
    <w:rsid w:val="0079671B"/>
    <w:rsid w:val="007967A3"/>
    <w:rsid w:val="007967EF"/>
    <w:rsid w:val="007968A4"/>
    <w:rsid w:val="00796E03"/>
    <w:rsid w:val="00796F39"/>
    <w:rsid w:val="007971C6"/>
    <w:rsid w:val="00797293"/>
    <w:rsid w:val="00797342"/>
    <w:rsid w:val="00797494"/>
    <w:rsid w:val="00797A45"/>
    <w:rsid w:val="00797B39"/>
    <w:rsid w:val="007A01A2"/>
    <w:rsid w:val="007A01F5"/>
    <w:rsid w:val="007A0414"/>
    <w:rsid w:val="007A0557"/>
    <w:rsid w:val="007A07E5"/>
    <w:rsid w:val="007A0912"/>
    <w:rsid w:val="007A0C4E"/>
    <w:rsid w:val="007A0E03"/>
    <w:rsid w:val="007A0EAD"/>
    <w:rsid w:val="007A0F7E"/>
    <w:rsid w:val="007A0F89"/>
    <w:rsid w:val="007A1081"/>
    <w:rsid w:val="007A133C"/>
    <w:rsid w:val="007A14A0"/>
    <w:rsid w:val="007A14AE"/>
    <w:rsid w:val="007A16F4"/>
    <w:rsid w:val="007A189C"/>
    <w:rsid w:val="007A1A3A"/>
    <w:rsid w:val="007A1C26"/>
    <w:rsid w:val="007A21B2"/>
    <w:rsid w:val="007A2356"/>
    <w:rsid w:val="007A2476"/>
    <w:rsid w:val="007A26E6"/>
    <w:rsid w:val="007A273D"/>
    <w:rsid w:val="007A27A0"/>
    <w:rsid w:val="007A2AC1"/>
    <w:rsid w:val="007A2FD2"/>
    <w:rsid w:val="007A37FE"/>
    <w:rsid w:val="007A395D"/>
    <w:rsid w:val="007A3BEE"/>
    <w:rsid w:val="007A3D7B"/>
    <w:rsid w:val="007A3EBE"/>
    <w:rsid w:val="007A4262"/>
    <w:rsid w:val="007A4406"/>
    <w:rsid w:val="007A4471"/>
    <w:rsid w:val="007A4707"/>
    <w:rsid w:val="007A48C7"/>
    <w:rsid w:val="007A48FF"/>
    <w:rsid w:val="007A4B1C"/>
    <w:rsid w:val="007A51C2"/>
    <w:rsid w:val="007A53FB"/>
    <w:rsid w:val="007A5529"/>
    <w:rsid w:val="007A579D"/>
    <w:rsid w:val="007A5806"/>
    <w:rsid w:val="007A5968"/>
    <w:rsid w:val="007A5A89"/>
    <w:rsid w:val="007A5C12"/>
    <w:rsid w:val="007A5E44"/>
    <w:rsid w:val="007A5F45"/>
    <w:rsid w:val="007A6166"/>
    <w:rsid w:val="007A622F"/>
    <w:rsid w:val="007A628A"/>
    <w:rsid w:val="007A6363"/>
    <w:rsid w:val="007A63C9"/>
    <w:rsid w:val="007A64C0"/>
    <w:rsid w:val="007A670F"/>
    <w:rsid w:val="007A6731"/>
    <w:rsid w:val="007A6785"/>
    <w:rsid w:val="007A679A"/>
    <w:rsid w:val="007A68BC"/>
    <w:rsid w:val="007A6962"/>
    <w:rsid w:val="007A69FA"/>
    <w:rsid w:val="007A6AC7"/>
    <w:rsid w:val="007A6BB5"/>
    <w:rsid w:val="007A6EC1"/>
    <w:rsid w:val="007A6FE3"/>
    <w:rsid w:val="007A7012"/>
    <w:rsid w:val="007A71A6"/>
    <w:rsid w:val="007A751B"/>
    <w:rsid w:val="007A7850"/>
    <w:rsid w:val="007A7952"/>
    <w:rsid w:val="007A7B8D"/>
    <w:rsid w:val="007B00EF"/>
    <w:rsid w:val="007B0101"/>
    <w:rsid w:val="007B052F"/>
    <w:rsid w:val="007B0544"/>
    <w:rsid w:val="007B0556"/>
    <w:rsid w:val="007B059D"/>
    <w:rsid w:val="007B0A4E"/>
    <w:rsid w:val="007B0A72"/>
    <w:rsid w:val="007B0E52"/>
    <w:rsid w:val="007B1078"/>
    <w:rsid w:val="007B1126"/>
    <w:rsid w:val="007B181D"/>
    <w:rsid w:val="007B19F7"/>
    <w:rsid w:val="007B1C2C"/>
    <w:rsid w:val="007B1D95"/>
    <w:rsid w:val="007B1F14"/>
    <w:rsid w:val="007B1F6F"/>
    <w:rsid w:val="007B1F72"/>
    <w:rsid w:val="007B1FD1"/>
    <w:rsid w:val="007B234A"/>
    <w:rsid w:val="007B241C"/>
    <w:rsid w:val="007B2879"/>
    <w:rsid w:val="007B28AA"/>
    <w:rsid w:val="007B2AAA"/>
    <w:rsid w:val="007B2BD8"/>
    <w:rsid w:val="007B2E54"/>
    <w:rsid w:val="007B2E9B"/>
    <w:rsid w:val="007B3123"/>
    <w:rsid w:val="007B3549"/>
    <w:rsid w:val="007B35EF"/>
    <w:rsid w:val="007B3812"/>
    <w:rsid w:val="007B3BED"/>
    <w:rsid w:val="007B3D21"/>
    <w:rsid w:val="007B3DB0"/>
    <w:rsid w:val="007B4070"/>
    <w:rsid w:val="007B4080"/>
    <w:rsid w:val="007B421A"/>
    <w:rsid w:val="007B42FD"/>
    <w:rsid w:val="007B496F"/>
    <w:rsid w:val="007B4A8E"/>
    <w:rsid w:val="007B4B96"/>
    <w:rsid w:val="007B4DBA"/>
    <w:rsid w:val="007B50DB"/>
    <w:rsid w:val="007B5270"/>
    <w:rsid w:val="007B5353"/>
    <w:rsid w:val="007B54A5"/>
    <w:rsid w:val="007B58E7"/>
    <w:rsid w:val="007B5900"/>
    <w:rsid w:val="007B599B"/>
    <w:rsid w:val="007B5A64"/>
    <w:rsid w:val="007B5D7C"/>
    <w:rsid w:val="007B6039"/>
    <w:rsid w:val="007B60E5"/>
    <w:rsid w:val="007B6157"/>
    <w:rsid w:val="007B6264"/>
    <w:rsid w:val="007B6497"/>
    <w:rsid w:val="007B64B7"/>
    <w:rsid w:val="007B65EA"/>
    <w:rsid w:val="007B675B"/>
    <w:rsid w:val="007B68D4"/>
    <w:rsid w:val="007B69CA"/>
    <w:rsid w:val="007B6B17"/>
    <w:rsid w:val="007B6BDE"/>
    <w:rsid w:val="007B736A"/>
    <w:rsid w:val="007B7374"/>
    <w:rsid w:val="007B747A"/>
    <w:rsid w:val="007B75EF"/>
    <w:rsid w:val="007B769C"/>
    <w:rsid w:val="007B7767"/>
    <w:rsid w:val="007B7A4C"/>
    <w:rsid w:val="007B7D09"/>
    <w:rsid w:val="007B7D54"/>
    <w:rsid w:val="007B7F84"/>
    <w:rsid w:val="007C0548"/>
    <w:rsid w:val="007C0621"/>
    <w:rsid w:val="007C07E0"/>
    <w:rsid w:val="007C0892"/>
    <w:rsid w:val="007C0B04"/>
    <w:rsid w:val="007C0C1A"/>
    <w:rsid w:val="007C0D1E"/>
    <w:rsid w:val="007C0ED0"/>
    <w:rsid w:val="007C10CB"/>
    <w:rsid w:val="007C10E6"/>
    <w:rsid w:val="007C13B0"/>
    <w:rsid w:val="007C1777"/>
    <w:rsid w:val="007C1BE3"/>
    <w:rsid w:val="007C1BEB"/>
    <w:rsid w:val="007C1BFD"/>
    <w:rsid w:val="007C1D42"/>
    <w:rsid w:val="007C1ED7"/>
    <w:rsid w:val="007C1F45"/>
    <w:rsid w:val="007C20A5"/>
    <w:rsid w:val="007C2190"/>
    <w:rsid w:val="007C22C3"/>
    <w:rsid w:val="007C241D"/>
    <w:rsid w:val="007C284B"/>
    <w:rsid w:val="007C2A4B"/>
    <w:rsid w:val="007C2C6F"/>
    <w:rsid w:val="007C2D8C"/>
    <w:rsid w:val="007C2F2D"/>
    <w:rsid w:val="007C3076"/>
    <w:rsid w:val="007C30F9"/>
    <w:rsid w:val="007C31B0"/>
    <w:rsid w:val="007C34DA"/>
    <w:rsid w:val="007C3559"/>
    <w:rsid w:val="007C3991"/>
    <w:rsid w:val="007C39BC"/>
    <w:rsid w:val="007C3AA3"/>
    <w:rsid w:val="007C3C35"/>
    <w:rsid w:val="007C40B0"/>
    <w:rsid w:val="007C415F"/>
    <w:rsid w:val="007C43D6"/>
    <w:rsid w:val="007C4675"/>
    <w:rsid w:val="007C4689"/>
    <w:rsid w:val="007C47F0"/>
    <w:rsid w:val="007C4BAE"/>
    <w:rsid w:val="007C4BE6"/>
    <w:rsid w:val="007C4DA7"/>
    <w:rsid w:val="007C4F07"/>
    <w:rsid w:val="007C503F"/>
    <w:rsid w:val="007C5184"/>
    <w:rsid w:val="007C5751"/>
    <w:rsid w:val="007C576E"/>
    <w:rsid w:val="007C5E58"/>
    <w:rsid w:val="007C5F0A"/>
    <w:rsid w:val="007C6004"/>
    <w:rsid w:val="007C62A0"/>
    <w:rsid w:val="007C63DF"/>
    <w:rsid w:val="007C6494"/>
    <w:rsid w:val="007C67A7"/>
    <w:rsid w:val="007C6876"/>
    <w:rsid w:val="007C6923"/>
    <w:rsid w:val="007C6C53"/>
    <w:rsid w:val="007C6C6D"/>
    <w:rsid w:val="007C6C8F"/>
    <w:rsid w:val="007C6D61"/>
    <w:rsid w:val="007C6D64"/>
    <w:rsid w:val="007C6D68"/>
    <w:rsid w:val="007C6F04"/>
    <w:rsid w:val="007C7068"/>
    <w:rsid w:val="007C738E"/>
    <w:rsid w:val="007C77BC"/>
    <w:rsid w:val="007C7880"/>
    <w:rsid w:val="007C79FA"/>
    <w:rsid w:val="007C7A26"/>
    <w:rsid w:val="007C7A65"/>
    <w:rsid w:val="007C7ACC"/>
    <w:rsid w:val="007C7AF8"/>
    <w:rsid w:val="007C7E4C"/>
    <w:rsid w:val="007C7F94"/>
    <w:rsid w:val="007C7FE8"/>
    <w:rsid w:val="007D0130"/>
    <w:rsid w:val="007D013B"/>
    <w:rsid w:val="007D0154"/>
    <w:rsid w:val="007D0353"/>
    <w:rsid w:val="007D066A"/>
    <w:rsid w:val="007D0780"/>
    <w:rsid w:val="007D08C6"/>
    <w:rsid w:val="007D09C7"/>
    <w:rsid w:val="007D0A31"/>
    <w:rsid w:val="007D0E33"/>
    <w:rsid w:val="007D0EDF"/>
    <w:rsid w:val="007D1198"/>
    <w:rsid w:val="007D11D7"/>
    <w:rsid w:val="007D152A"/>
    <w:rsid w:val="007D1847"/>
    <w:rsid w:val="007D19CB"/>
    <w:rsid w:val="007D1BA4"/>
    <w:rsid w:val="007D1F59"/>
    <w:rsid w:val="007D1F99"/>
    <w:rsid w:val="007D21A4"/>
    <w:rsid w:val="007D232C"/>
    <w:rsid w:val="007D2342"/>
    <w:rsid w:val="007D247C"/>
    <w:rsid w:val="007D24B6"/>
    <w:rsid w:val="007D24CA"/>
    <w:rsid w:val="007D2673"/>
    <w:rsid w:val="007D26B3"/>
    <w:rsid w:val="007D2867"/>
    <w:rsid w:val="007D28B0"/>
    <w:rsid w:val="007D297D"/>
    <w:rsid w:val="007D2A4E"/>
    <w:rsid w:val="007D2A70"/>
    <w:rsid w:val="007D2EBD"/>
    <w:rsid w:val="007D2F08"/>
    <w:rsid w:val="007D2FB3"/>
    <w:rsid w:val="007D2FCB"/>
    <w:rsid w:val="007D3279"/>
    <w:rsid w:val="007D329D"/>
    <w:rsid w:val="007D32D0"/>
    <w:rsid w:val="007D3319"/>
    <w:rsid w:val="007D3356"/>
    <w:rsid w:val="007D3460"/>
    <w:rsid w:val="007D347A"/>
    <w:rsid w:val="007D3485"/>
    <w:rsid w:val="007D34D7"/>
    <w:rsid w:val="007D34DD"/>
    <w:rsid w:val="007D37CE"/>
    <w:rsid w:val="007D37E7"/>
    <w:rsid w:val="007D3B51"/>
    <w:rsid w:val="007D3BF3"/>
    <w:rsid w:val="007D3D17"/>
    <w:rsid w:val="007D3DBB"/>
    <w:rsid w:val="007D3F96"/>
    <w:rsid w:val="007D405F"/>
    <w:rsid w:val="007D41A3"/>
    <w:rsid w:val="007D43A0"/>
    <w:rsid w:val="007D4439"/>
    <w:rsid w:val="007D44F3"/>
    <w:rsid w:val="007D4500"/>
    <w:rsid w:val="007D4B20"/>
    <w:rsid w:val="007D4B54"/>
    <w:rsid w:val="007D4E8B"/>
    <w:rsid w:val="007D4FA7"/>
    <w:rsid w:val="007D51C8"/>
    <w:rsid w:val="007D5780"/>
    <w:rsid w:val="007D579C"/>
    <w:rsid w:val="007D582F"/>
    <w:rsid w:val="007D5C50"/>
    <w:rsid w:val="007D5C63"/>
    <w:rsid w:val="007D5CBD"/>
    <w:rsid w:val="007D617E"/>
    <w:rsid w:val="007D6641"/>
    <w:rsid w:val="007D6695"/>
    <w:rsid w:val="007D67A9"/>
    <w:rsid w:val="007D6922"/>
    <w:rsid w:val="007D6BD6"/>
    <w:rsid w:val="007D70EF"/>
    <w:rsid w:val="007D7110"/>
    <w:rsid w:val="007D7412"/>
    <w:rsid w:val="007D75D5"/>
    <w:rsid w:val="007D7623"/>
    <w:rsid w:val="007D7761"/>
    <w:rsid w:val="007D7990"/>
    <w:rsid w:val="007D7AD8"/>
    <w:rsid w:val="007D7B2F"/>
    <w:rsid w:val="007D7B90"/>
    <w:rsid w:val="007D7BD9"/>
    <w:rsid w:val="007D7C79"/>
    <w:rsid w:val="007D7DFB"/>
    <w:rsid w:val="007D7F02"/>
    <w:rsid w:val="007E0094"/>
    <w:rsid w:val="007E02BB"/>
    <w:rsid w:val="007E02C9"/>
    <w:rsid w:val="007E043F"/>
    <w:rsid w:val="007E05D1"/>
    <w:rsid w:val="007E08A4"/>
    <w:rsid w:val="007E0951"/>
    <w:rsid w:val="007E0AA8"/>
    <w:rsid w:val="007E0B30"/>
    <w:rsid w:val="007E0B8A"/>
    <w:rsid w:val="007E0DE6"/>
    <w:rsid w:val="007E1388"/>
    <w:rsid w:val="007E14E4"/>
    <w:rsid w:val="007E1528"/>
    <w:rsid w:val="007E1542"/>
    <w:rsid w:val="007E1910"/>
    <w:rsid w:val="007E1B1A"/>
    <w:rsid w:val="007E1B20"/>
    <w:rsid w:val="007E1BBC"/>
    <w:rsid w:val="007E1F59"/>
    <w:rsid w:val="007E2352"/>
    <w:rsid w:val="007E2478"/>
    <w:rsid w:val="007E24B1"/>
    <w:rsid w:val="007E255E"/>
    <w:rsid w:val="007E267E"/>
    <w:rsid w:val="007E2903"/>
    <w:rsid w:val="007E2B14"/>
    <w:rsid w:val="007E2BC4"/>
    <w:rsid w:val="007E2E2D"/>
    <w:rsid w:val="007E3122"/>
    <w:rsid w:val="007E34E3"/>
    <w:rsid w:val="007E39ED"/>
    <w:rsid w:val="007E3DB6"/>
    <w:rsid w:val="007E3DDB"/>
    <w:rsid w:val="007E43BF"/>
    <w:rsid w:val="007E4747"/>
    <w:rsid w:val="007E4790"/>
    <w:rsid w:val="007E4A81"/>
    <w:rsid w:val="007E4AE9"/>
    <w:rsid w:val="007E4B6E"/>
    <w:rsid w:val="007E4C0A"/>
    <w:rsid w:val="007E4F4D"/>
    <w:rsid w:val="007E5014"/>
    <w:rsid w:val="007E51C3"/>
    <w:rsid w:val="007E51CA"/>
    <w:rsid w:val="007E54A9"/>
    <w:rsid w:val="007E5564"/>
    <w:rsid w:val="007E5978"/>
    <w:rsid w:val="007E5AA8"/>
    <w:rsid w:val="007E5B20"/>
    <w:rsid w:val="007E5B8B"/>
    <w:rsid w:val="007E5C22"/>
    <w:rsid w:val="007E5CCC"/>
    <w:rsid w:val="007E5E22"/>
    <w:rsid w:val="007E6126"/>
    <w:rsid w:val="007E621E"/>
    <w:rsid w:val="007E63D6"/>
    <w:rsid w:val="007E649C"/>
    <w:rsid w:val="007E65F7"/>
    <w:rsid w:val="007E6602"/>
    <w:rsid w:val="007E66DD"/>
    <w:rsid w:val="007E6948"/>
    <w:rsid w:val="007E6B62"/>
    <w:rsid w:val="007E732D"/>
    <w:rsid w:val="007E7417"/>
    <w:rsid w:val="007E790C"/>
    <w:rsid w:val="007E7927"/>
    <w:rsid w:val="007E7ABA"/>
    <w:rsid w:val="007E7B19"/>
    <w:rsid w:val="007F00A8"/>
    <w:rsid w:val="007F0103"/>
    <w:rsid w:val="007F01EB"/>
    <w:rsid w:val="007F01FE"/>
    <w:rsid w:val="007F02D6"/>
    <w:rsid w:val="007F0520"/>
    <w:rsid w:val="007F0640"/>
    <w:rsid w:val="007F0949"/>
    <w:rsid w:val="007F0957"/>
    <w:rsid w:val="007F0B3E"/>
    <w:rsid w:val="007F0C83"/>
    <w:rsid w:val="007F0F19"/>
    <w:rsid w:val="007F10A2"/>
    <w:rsid w:val="007F1240"/>
    <w:rsid w:val="007F1290"/>
    <w:rsid w:val="007F134C"/>
    <w:rsid w:val="007F1384"/>
    <w:rsid w:val="007F173D"/>
    <w:rsid w:val="007F1ABD"/>
    <w:rsid w:val="007F1B0E"/>
    <w:rsid w:val="007F1D88"/>
    <w:rsid w:val="007F1F03"/>
    <w:rsid w:val="007F213C"/>
    <w:rsid w:val="007F22EC"/>
    <w:rsid w:val="007F235A"/>
    <w:rsid w:val="007F24C3"/>
    <w:rsid w:val="007F2573"/>
    <w:rsid w:val="007F2613"/>
    <w:rsid w:val="007F27D4"/>
    <w:rsid w:val="007F2819"/>
    <w:rsid w:val="007F2A94"/>
    <w:rsid w:val="007F2F13"/>
    <w:rsid w:val="007F2FE8"/>
    <w:rsid w:val="007F302A"/>
    <w:rsid w:val="007F32AA"/>
    <w:rsid w:val="007F35F7"/>
    <w:rsid w:val="007F38BB"/>
    <w:rsid w:val="007F3965"/>
    <w:rsid w:val="007F3DE5"/>
    <w:rsid w:val="007F3EB6"/>
    <w:rsid w:val="007F3EC6"/>
    <w:rsid w:val="007F4081"/>
    <w:rsid w:val="007F449B"/>
    <w:rsid w:val="007F4583"/>
    <w:rsid w:val="007F4751"/>
    <w:rsid w:val="007F4B72"/>
    <w:rsid w:val="007F4CCE"/>
    <w:rsid w:val="007F4D98"/>
    <w:rsid w:val="007F4DEA"/>
    <w:rsid w:val="007F4E02"/>
    <w:rsid w:val="007F4F5C"/>
    <w:rsid w:val="007F5333"/>
    <w:rsid w:val="007F5772"/>
    <w:rsid w:val="007F5B0B"/>
    <w:rsid w:val="007F5B80"/>
    <w:rsid w:val="007F5E63"/>
    <w:rsid w:val="007F5EC5"/>
    <w:rsid w:val="007F5F93"/>
    <w:rsid w:val="007F5FAE"/>
    <w:rsid w:val="007F60A3"/>
    <w:rsid w:val="007F64A0"/>
    <w:rsid w:val="007F66F6"/>
    <w:rsid w:val="007F690E"/>
    <w:rsid w:val="007F6916"/>
    <w:rsid w:val="007F697D"/>
    <w:rsid w:val="007F6AD3"/>
    <w:rsid w:val="007F6F1D"/>
    <w:rsid w:val="007F71A7"/>
    <w:rsid w:val="007F734A"/>
    <w:rsid w:val="007F76C2"/>
    <w:rsid w:val="007F7906"/>
    <w:rsid w:val="007F7963"/>
    <w:rsid w:val="007F79CD"/>
    <w:rsid w:val="007F79DD"/>
    <w:rsid w:val="007F7B24"/>
    <w:rsid w:val="007F7E5A"/>
    <w:rsid w:val="00800105"/>
    <w:rsid w:val="008003E2"/>
    <w:rsid w:val="0080045D"/>
    <w:rsid w:val="00800507"/>
    <w:rsid w:val="00800529"/>
    <w:rsid w:val="008006AF"/>
    <w:rsid w:val="0080087B"/>
    <w:rsid w:val="00800C2B"/>
    <w:rsid w:val="00800F51"/>
    <w:rsid w:val="008010D3"/>
    <w:rsid w:val="008010D9"/>
    <w:rsid w:val="00801126"/>
    <w:rsid w:val="00801281"/>
    <w:rsid w:val="00801319"/>
    <w:rsid w:val="0080132E"/>
    <w:rsid w:val="0080133A"/>
    <w:rsid w:val="0080145F"/>
    <w:rsid w:val="00801675"/>
    <w:rsid w:val="008016A2"/>
    <w:rsid w:val="00801B9C"/>
    <w:rsid w:val="00802344"/>
    <w:rsid w:val="008024F0"/>
    <w:rsid w:val="00802518"/>
    <w:rsid w:val="0080252D"/>
    <w:rsid w:val="00802742"/>
    <w:rsid w:val="0080278B"/>
    <w:rsid w:val="00802885"/>
    <w:rsid w:val="008029B2"/>
    <w:rsid w:val="00802A28"/>
    <w:rsid w:val="00802B2B"/>
    <w:rsid w:val="00802B81"/>
    <w:rsid w:val="00802B9D"/>
    <w:rsid w:val="00802BDA"/>
    <w:rsid w:val="00802D3F"/>
    <w:rsid w:val="00802DE3"/>
    <w:rsid w:val="008030E0"/>
    <w:rsid w:val="00803230"/>
    <w:rsid w:val="00803721"/>
    <w:rsid w:val="00803941"/>
    <w:rsid w:val="00803C29"/>
    <w:rsid w:val="00804019"/>
    <w:rsid w:val="008040E0"/>
    <w:rsid w:val="0080422D"/>
    <w:rsid w:val="0080433D"/>
    <w:rsid w:val="00804663"/>
    <w:rsid w:val="00804A5D"/>
    <w:rsid w:val="00804AE6"/>
    <w:rsid w:val="00804C02"/>
    <w:rsid w:val="00804C09"/>
    <w:rsid w:val="00804CC1"/>
    <w:rsid w:val="00804E43"/>
    <w:rsid w:val="00804ED5"/>
    <w:rsid w:val="00805260"/>
    <w:rsid w:val="00805339"/>
    <w:rsid w:val="008053ED"/>
    <w:rsid w:val="008053EF"/>
    <w:rsid w:val="00805482"/>
    <w:rsid w:val="0080569A"/>
    <w:rsid w:val="008058F2"/>
    <w:rsid w:val="00805BC1"/>
    <w:rsid w:val="00806013"/>
    <w:rsid w:val="0080605E"/>
    <w:rsid w:val="008060B0"/>
    <w:rsid w:val="00806142"/>
    <w:rsid w:val="0080614D"/>
    <w:rsid w:val="0080637D"/>
    <w:rsid w:val="008064E1"/>
    <w:rsid w:val="00806545"/>
    <w:rsid w:val="00806679"/>
    <w:rsid w:val="00806862"/>
    <w:rsid w:val="00806993"/>
    <w:rsid w:val="00806B38"/>
    <w:rsid w:val="00806CB3"/>
    <w:rsid w:val="00806DE8"/>
    <w:rsid w:val="00806F46"/>
    <w:rsid w:val="00806FB9"/>
    <w:rsid w:val="00807222"/>
    <w:rsid w:val="00807427"/>
    <w:rsid w:val="008074FF"/>
    <w:rsid w:val="00807583"/>
    <w:rsid w:val="008075C5"/>
    <w:rsid w:val="008078EA"/>
    <w:rsid w:val="00807966"/>
    <w:rsid w:val="00807984"/>
    <w:rsid w:val="008079C0"/>
    <w:rsid w:val="00807AFF"/>
    <w:rsid w:val="00807D31"/>
    <w:rsid w:val="00807F17"/>
    <w:rsid w:val="00810355"/>
    <w:rsid w:val="00810B00"/>
    <w:rsid w:val="00810C56"/>
    <w:rsid w:val="00810DF8"/>
    <w:rsid w:val="00810FB6"/>
    <w:rsid w:val="00811333"/>
    <w:rsid w:val="00811713"/>
    <w:rsid w:val="008117B1"/>
    <w:rsid w:val="00811C0D"/>
    <w:rsid w:val="00811DF2"/>
    <w:rsid w:val="00811E60"/>
    <w:rsid w:val="00811E61"/>
    <w:rsid w:val="0081206A"/>
    <w:rsid w:val="008120A0"/>
    <w:rsid w:val="008120A6"/>
    <w:rsid w:val="008120CD"/>
    <w:rsid w:val="008121BC"/>
    <w:rsid w:val="00812A17"/>
    <w:rsid w:val="00812A9B"/>
    <w:rsid w:val="00812ADA"/>
    <w:rsid w:val="00812ADC"/>
    <w:rsid w:val="00812E3B"/>
    <w:rsid w:val="00812E44"/>
    <w:rsid w:val="00812F0D"/>
    <w:rsid w:val="00813201"/>
    <w:rsid w:val="008139F2"/>
    <w:rsid w:val="00813BC6"/>
    <w:rsid w:val="00813E62"/>
    <w:rsid w:val="00814014"/>
    <w:rsid w:val="008140AC"/>
    <w:rsid w:val="0081416C"/>
    <w:rsid w:val="00814325"/>
    <w:rsid w:val="008143D2"/>
    <w:rsid w:val="00814605"/>
    <w:rsid w:val="0081462A"/>
    <w:rsid w:val="008146A5"/>
    <w:rsid w:val="00814739"/>
    <w:rsid w:val="00814748"/>
    <w:rsid w:val="0081497C"/>
    <w:rsid w:val="00814A11"/>
    <w:rsid w:val="00815229"/>
    <w:rsid w:val="00815396"/>
    <w:rsid w:val="0081576C"/>
    <w:rsid w:val="00815C01"/>
    <w:rsid w:val="00815C60"/>
    <w:rsid w:val="00815C8B"/>
    <w:rsid w:val="00815FA7"/>
    <w:rsid w:val="00816001"/>
    <w:rsid w:val="00816003"/>
    <w:rsid w:val="0081620B"/>
    <w:rsid w:val="00816448"/>
    <w:rsid w:val="00816613"/>
    <w:rsid w:val="00816641"/>
    <w:rsid w:val="008166E5"/>
    <w:rsid w:val="00816732"/>
    <w:rsid w:val="00816780"/>
    <w:rsid w:val="008167BB"/>
    <w:rsid w:val="008167DC"/>
    <w:rsid w:val="0081684D"/>
    <w:rsid w:val="008168C5"/>
    <w:rsid w:val="00816A86"/>
    <w:rsid w:val="00816AFB"/>
    <w:rsid w:val="00816C02"/>
    <w:rsid w:val="00816EF4"/>
    <w:rsid w:val="008172C1"/>
    <w:rsid w:val="008172FC"/>
    <w:rsid w:val="0081753F"/>
    <w:rsid w:val="00817608"/>
    <w:rsid w:val="0081799D"/>
    <w:rsid w:val="00817BB9"/>
    <w:rsid w:val="00817DF1"/>
    <w:rsid w:val="00817F6A"/>
    <w:rsid w:val="00817F9C"/>
    <w:rsid w:val="008201AB"/>
    <w:rsid w:val="008202BC"/>
    <w:rsid w:val="008203BF"/>
    <w:rsid w:val="00820564"/>
    <w:rsid w:val="00820A42"/>
    <w:rsid w:val="00820C33"/>
    <w:rsid w:val="00820C54"/>
    <w:rsid w:val="00820F84"/>
    <w:rsid w:val="0082102F"/>
    <w:rsid w:val="0082112F"/>
    <w:rsid w:val="008211E7"/>
    <w:rsid w:val="00821276"/>
    <w:rsid w:val="0082153C"/>
    <w:rsid w:val="0082158F"/>
    <w:rsid w:val="008219B0"/>
    <w:rsid w:val="008219E2"/>
    <w:rsid w:val="008219FE"/>
    <w:rsid w:val="00821A14"/>
    <w:rsid w:val="00821C20"/>
    <w:rsid w:val="00821D68"/>
    <w:rsid w:val="00821F85"/>
    <w:rsid w:val="0082209C"/>
    <w:rsid w:val="00822349"/>
    <w:rsid w:val="008223A9"/>
    <w:rsid w:val="008225DE"/>
    <w:rsid w:val="0082269C"/>
    <w:rsid w:val="00822AA0"/>
    <w:rsid w:val="00822AB4"/>
    <w:rsid w:val="00822E34"/>
    <w:rsid w:val="00822E7D"/>
    <w:rsid w:val="00822EBC"/>
    <w:rsid w:val="0082363F"/>
    <w:rsid w:val="00823714"/>
    <w:rsid w:val="0082371C"/>
    <w:rsid w:val="00823B05"/>
    <w:rsid w:val="00823CC7"/>
    <w:rsid w:val="00824234"/>
    <w:rsid w:val="0082432B"/>
    <w:rsid w:val="008243F7"/>
    <w:rsid w:val="0082486E"/>
    <w:rsid w:val="0082489C"/>
    <w:rsid w:val="008248E2"/>
    <w:rsid w:val="00824A3B"/>
    <w:rsid w:val="00824B8D"/>
    <w:rsid w:val="00824C41"/>
    <w:rsid w:val="00824CA4"/>
    <w:rsid w:val="00824CD8"/>
    <w:rsid w:val="008251DB"/>
    <w:rsid w:val="0082532B"/>
    <w:rsid w:val="00825477"/>
    <w:rsid w:val="008255E6"/>
    <w:rsid w:val="00825642"/>
    <w:rsid w:val="008258FA"/>
    <w:rsid w:val="008259BA"/>
    <w:rsid w:val="00825A2A"/>
    <w:rsid w:val="00825BCC"/>
    <w:rsid w:val="00825D61"/>
    <w:rsid w:val="00825DD6"/>
    <w:rsid w:val="00826136"/>
    <w:rsid w:val="00826154"/>
    <w:rsid w:val="008264AD"/>
    <w:rsid w:val="00826547"/>
    <w:rsid w:val="0082664A"/>
    <w:rsid w:val="00826654"/>
    <w:rsid w:val="0082681F"/>
    <w:rsid w:val="00826855"/>
    <w:rsid w:val="0082688D"/>
    <w:rsid w:val="00826BA2"/>
    <w:rsid w:val="00826C07"/>
    <w:rsid w:val="00826D73"/>
    <w:rsid w:val="00826DD3"/>
    <w:rsid w:val="00826F2F"/>
    <w:rsid w:val="00827068"/>
    <w:rsid w:val="008270BB"/>
    <w:rsid w:val="00827166"/>
    <w:rsid w:val="00827215"/>
    <w:rsid w:val="008272B8"/>
    <w:rsid w:val="00827504"/>
    <w:rsid w:val="008275A3"/>
    <w:rsid w:val="00827808"/>
    <w:rsid w:val="0082780E"/>
    <w:rsid w:val="00827A31"/>
    <w:rsid w:val="00827BA2"/>
    <w:rsid w:val="00827C5D"/>
    <w:rsid w:val="00827CDC"/>
    <w:rsid w:val="00827E44"/>
    <w:rsid w:val="00830044"/>
    <w:rsid w:val="008301C4"/>
    <w:rsid w:val="00830336"/>
    <w:rsid w:val="00830554"/>
    <w:rsid w:val="00830556"/>
    <w:rsid w:val="00830629"/>
    <w:rsid w:val="008308DF"/>
    <w:rsid w:val="008309D1"/>
    <w:rsid w:val="008309F7"/>
    <w:rsid w:val="00830A82"/>
    <w:rsid w:val="00830BCD"/>
    <w:rsid w:val="00830C00"/>
    <w:rsid w:val="00830F67"/>
    <w:rsid w:val="008312D0"/>
    <w:rsid w:val="0083132B"/>
    <w:rsid w:val="00831647"/>
    <w:rsid w:val="00831F7A"/>
    <w:rsid w:val="0083204A"/>
    <w:rsid w:val="008322C9"/>
    <w:rsid w:val="008323AB"/>
    <w:rsid w:val="008323DD"/>
    <w:rsid w:val="00832676"/>
    <w:rsid w:val="0083270D"/>
    <w:rsid w:val="008328C5"/>
    <w:rsid w:val="00832978"/>
    <w:rsid w:val="00832BA9"/>
    <w:rsid w:val="00832D3C"/>
    <w:rsid w:val="00832D71"/>
    <w:rsid w:val="00832E20"/>
    <w:rsid w:val="00832F0E"/>
    <w:rsid w:val="00833024"/>
    <w:rsid w:val="00833087"/>
    <w:rsid w:val="0083316B"/>
    <w:rsid w:val="00833179"/>
    <w:rsid w:val="0083320F"/>
    <w:rsid w:val="00833392"/>
    <w:rsid w:val="00833696"/>
    <w:rsid w:val="00833725"/>
    <w:rsid w:val="00833B83"/>
    <w:rsid w:val="00833DF8"/>
    <w:rsid w:val="008341C0"/>
    <w:rsid w:val="00834255"/>
    <w:rsid w:val="008342FE"/>
    <w:rsid w:val="00834382"/>
    <w:rsid w:val="00834447"/>
    <w:rsid w:val="008344FF"/>
    <w:rsid w:val="008345B8"/>
    <w:rsid w:val="00834999"/>
    <w:rsid w:val="00834A99"/>
    <w:rsid w:val="00834B38"/>
    <w:rsid w:val="00834C5F"/>
    <w:rsid w:val="00834CBD"/>
    <w:rsid w:val="00834E7E"/>
    <w:rsid w:val="00834F26"/>
    <w:rsid w:val="008350ED"/>
    <w:rsid w:val="00835367"/>
    <w:rsid w:val="008353D7"/>
    <w:rsid w:val="00835467"/>
    <w:rsid w:val="0083550B"/>
    <w:rsid w:val="00835DD4"/>
    <w:rsid w:val="0083614E"/>
    <w:rsid w:val="00836289"/>
    <w:rsid w:val="008364D7"/>
    <w:rsid w:val="0083676F"/>
    <w:rsid w:val="00836854"/>
    <w:rsid w:val="008369F7"/>
    <w:rsid w:val="00836BAD"/>
    <w:rsid w:val="00836BE2"/>
    <w:rsid w:val="00836D9B"/>
    <w:rsid w:val="00836E0B"/>
    <w:rsid w:val="00836F73"/>
    <w:rsid w:val="008372EA"/>
    <w:rsid w:val="008374E4"/>
    <w:rsid w:val="0083758B"/>
    <w:rsid w:val="008377A5"/>
    <w:rsid w:val="00837C88"/>
    <w:rsid w:val="00837CA4"/>
    <w:rsid w:val="00837E99"/>
    <w:rsid w:val="008403B6"/>
    <w:rsid w:val="008404AF"/>
    <w:rsid w:val="00840698"/>
    <w:rsid w:val="00840977"/>
    <w:rsid w:val="00840B1A"/>
    <w:rsid w:val="00840C40"/>
    <w:rsid w:val="00840C51"/>
    <w:rsid w:val="00840D60"/>
    <w:rsid w:val="00841227"/>
    <w:rsid w:val="00841446"/>
    <w:rsid w:val="0084148C"/>
    <w:rsid w:val="008415C9"/>
    <w:rsid w:val="00841821"/>
    <w:rsid w:val="00841852"/>
    <w:rsid w:val="00841F98"/>
    <w:rsid w:val="0084202F"/>
    <w:rsid w:val="008424E4"/>
    <w:rsid w:val="0084253B"/>
    <w:rsid w:val="00842881"/>
    <w:rsid w:val="00842D02"/>
    <w:rsid w:val="00842F76"/>
    <w:rsid w:val="0084315C"/>
    <w:rsid w:val="00843294"/>
    <w:rsid w:val="008432B9"/>
    <w:rsid w:val="0084347E"/>
    <w:rsid w:val="008435A4"/>
    <w:rsid w:val="008435E9"/>
    <w:rsid w:val="008436CB"/>
    <w:rsid w:val="00843828"/>
    <w:rsid w:val="00843A5C"/>
    <w:rsid w:val="00843E40"/>
    <w:rsid w:val="00843ED2"/>
    <w:rsid w:val="00843FC9"/>
    <w:rsid w:val="00843FE3"/>
    <w:rsid w:val="00843FE5"/>
    <w:rsid w:val="00844050"/>
    <w:rsid w:val="00844338"/>
    <w:rsid w:val="0084450C"/>
    <w:rsid w:val="0084461A"/>
    <w:rsid w:val="00844722"/>
    <w:rsid w:val="0084477D"/>
    <w:rsid w:val="00844808"/>
    <w:rsid w:val="00844A4D"/>
    <w:rsid w:val="00844B3F"/>
    <w:rsid w:val="00844CD7"/>
    <w:rsid w:val="00844D65"/>
    <w:rsid w:val="00845055"/>
    <w:rsid w:val="00845C88"/>
    <w:rsid w:val="00845D17"/>
    <w:rsid w:val="00845E61"/>
    <w:rsid w:val="00845EE9"/>
    <w:rsid w:val="0084602E"/>
    <w:rsid w:val="00846044"/>
    <w:rsid w:val="008460C0"/>
    <w:rsid w:val="008461F8"/>
    <w:rsid w:val="0084649E"/>
    <w:rsid w:val="0084654B"/>
    <w:rsid w:val="00846562"/>
    <w:rsid w:val="0084656F"/>
    <w:rsid w:val="008467C9"/>
    <w:rsid w:val="0084688E"/>
    <w:rsid w:val="00846BFF"/>
    <w:rsid w:val="00846DED"/>
    <w:rsid w:val="00846E4D"/>
    <w:rsid w:val="00846F29"/>
    <w:rsid w:val="008471BA"/>
    <w:rsid w:val="008474EA"/>
    <w:rsid w:val="00847517"/>
    <w:rsid w:val="00847559"/>
    <w:rsid w:val="00847597"/>
    <w:rsid w:val="008476B4"/>
    <w:rsid w:val="00847775"/>
    <w:rsid w:val="00847821"/>
    <w:rsid w:val="00847AD3"/>
    <w:rsid w:val="00847B69"/>
    <w:rsid w:val="00847B8B"/>
    <w:rsid w:val="00847FB6"/>
    <w:rsid w:val="00850027"/>
    <w:rsid w:val="0085060F"/>
    <w:rsid w:val="00850D8D"/>
    <w:rsid w:val="008511A7"/>
    <w:rsid w:val="0085120F"/>
    <w:rsid w:val="008512DF"/>
    <w:rsid w:val="00851957"/>
    <w:rsid w:val="008519AF"/>
    <w:rsid w:val="00851A0F"/>
    <w:rsid w:val="00851CE2"/>
    <w:rsid w:val="00851D11"/>
    <w:rsid w:val="0085217C"/>
    <w:rsid w:val="008521E2"/>
    <w:rsid w:val="0085226B"/>
    <w:rsid w:val="008524DA"/>
    <w:rsid w:val="0085260D"/>
    <w:rsid w:val="008528ED"/>
    <w:rsid w:val="008528EE"/>
    <w:rsid w:val="00852AFE"/>
    <w:rsid w:val="00852CFA"/>
    <w:rsid w:val="00852DAE"/>
    <w:rsid w:val="00852EE4"/>
    <w:rsid w:val="0085309B"/>
    <w:rsid w:val="008531D8"/>
    <w:rsid w:val="00853373"/>
    <w:rsid w:val="00853385"/>
    <w:rsid w:val="008533DB"/>
    <w:rsid w:val="008533FF"/>
    <w:rsid w:val="00853493"/>
    <w:rsid w:val="00853744"/>
    <w:rsid w:val="0085374E"/>
    <w:rsid w:val="00853A7B"/>
    <w:rsid w:val="00853CA9"/>
    <w:rsid w:val="00853D19"/>
    <w:rsid w:val="0085444C"/>
    <w:rsid w:val="008546E5"/>
    <w:rsid w:val="0085493C"/>
    <w:rsid w:val="00854A3B"/>
    <w:rsid w:val="00854CD0"/>
    <w:rsid w:val="00854E8D"/>
    <w:rsid w:val="008550AA"/>
    <w:rsid w:val="008550D5"/>
    <w:rsid w:val="00855249"/>
    <w:rsid w:val="0085584D"/>
    <w:rsid w:val="0085594A"/>
    <w:rsid w:val="0085596B"/>
    <w:rsid w:val="00855BED"/>
    <w:rsid w:val="00855D3E"/>
    <w:rsid w:val="00855F95"/>
    <w:rsid w:val="008562BB"/>
    <w:rsid w:val="00856318"/>
    <w:rsid w:val="0085651C"/>
    <w:rsid w:val="0085672B"/>
    <w:rsid w:val="008567C5"/>
    <w:rsid w:val="00856875"/>
    <w:rsid w:val="0085687C"/>
    <w:rsid w:val="008569C6"/>
    <w:rsid w:val="00856A2E"/>
    <w:rsid w:val="00856A70"/>
    <w:rsid w:val="00856D09"/>
    <w:rsid w:val="00856E0F"/>
    <w:rsid w:val="008571CD"/>
    <w:rsid w:val="008573E6"/>
    <w:rsid w:val="00857826"/>
    <w:rsid w:val="008578A5"/>
    <w:rsid w:val="008579D5"/>
    <w:rsid w:val="00857D3B"/>
    <w:rsid w:val="00857E41"/>
    <w:rsid w:val="00857E9F"/>
    <w:rsid w:val="00860105"/>
    <w:rsid w:val="008605F6"/>
    <w:rsid w:val="00860864"/>
    <w:rsid w:val="008608B8"/>
    <w:rsid w:val="00860A00"/>
    <w:rsid w:val="00860D99"/>
    <w:rsid w:val="0086109A"/>
    <w:rsid w:val="0086169C"/>
    <w:rsid w:val="00861A98"/>
    <w:rsid w:val="00861BD6"/>
    <w:rsid w:val="00861EFA"/>
    <w:rsid w:val="00862226"/>
    <w:rsid w:val="00862452"/>
    <w:rsid w:val="0086278B"/>
    <w:rsid w:val="00862B5B"/>
    <w:rsid w:val="00862C74"/>
    <w:rsid w:val="00862F0E"/>
    <w:rsid w:val="00863105"/>
    <w:rsid w:val="0086313C"/>
    <w:rsid w:val="00863424"/>
    <w:rsid w:val="00863466"/>
    <w:rsid w:val="0086366F"/>
    <w:rsid w:val="008636A6"/>
    <w:rsid w:val="00863B53"/>
    <w:rsid w:val="00863D22"/>
    <w:rsid w:val="00863FA6"/>
    <w:rsid w:val="00863FD7"/>
    <w:rsid w:val="00863FF1"/>
    <w:rsid w:val="008640C8"/>
    <w:rsid w:val="0086413A"/>
    <w:rsid w:val="0086443D"/>
    <w:rsid w:val="008644DF"/>
    <w:rsid w:val="008645E7"/>
    <w:rsid w:val="0086467A"/>
    <w:rsid w:val="00864B31"/>
    <w:rsid w:val="00864C4C"/>
    <w:rsid w:val="00864D07"/>
    <w:rsid w:val="00864D1E"/>
    <w:rsid w:val="00864FFA"/>
    <w:rsid w:val="00865091"/>
    <w:rsid w:val="008650DD"/>
    <w:rsid w:val="00865135"/>
    <w:rsid w:val="0086521B"/>
    <w:rsid w:val="0086524E"/>
    <w:rsid w:val="008653C7"/>
    <w:rsid w:val="00865546"/>
    <w:rsid w:val="0086564E"/>
    <w:rsid w:val="00865930"/>
    <w:rsid w:val="00865A24"/>
    <w:rsid w:val="00865BE1"/>
    <w:rsid w:val="00865E39"/>
    <w:rsid w:val="00866193"/>
    <w:rsid w:val="008661C1"/>
    <w:rsid w:val="0086625E"/>
    <w:rsid w:val="008662CB"/>
    <w:rsid w:val="008663AC"/>
    <w:rsid w:val="008664D5"/>
    <w:rsid w:val="00866606"/>
    <w:rsid w:val="008668BD"/>
    <w:rsid w:val="00866909"/>
    <w:rsid w:val="0086698D"/>
    <w:rsid w:val="00866B32"/>
    <w:rsid w:val="008671A6"/>
    <w:rsid w:val="008671B0"/>
    <w:rsid w:val="00867213"/>
    <w:rsid w:val="00867229"/>
    <w:rsid w:val="00867291"/>
    <w:rsid w:val="008673FD"/>
    <w:rsid w:val="008676A0"/>
    <w:rsid w:val="008679D1"/>
    <w:rsid w:val="00867EE7"/>
    <w:rsid w:val="00867F06"/>
    <w:rsid w:val="00867F5C"/>
    <w:rsid w:val="008701A7"/>
    <w:rsid w:val="008701CC"/>
    <w:rsid w:val="008704CD"/>
    <w:rsid w:val="00870675"/>
    <w:rsid w:val="00870889"/>
    <w:rsid w:val="00870A51"/>
    <w:rsid w:val="00870A53"/>
    <w:rsid w:val="00870A7C"/>
    <w:rsid w:val="00870AAC"/>
    <w:rsid w:val="00870C5E"/>
    <w:rsid w:val="00870D22"/>
    <w:rsid w:val="00870E24"/>
    <w:rsid w:val="00870FEF"/>
    <w:rsid w:val="00871022"/>
    <w:rsid w:val="00871047"/>
    <w:rsid w:val="008715A3"/>
    <w:rsid w:val="008715BF"/>
    <w:rsid w:val="00871855"/>
    <w:rsid w:val="00871880"/>
    <w:rsid w:val="00871945"/>
    <w:rsid w:val="00871BE7"/>
    <w:rsid w:val="00871C2D"/>
    <w:rsid w:val="00871D4A"/>
    <w:rsid w:val="00871D96"/>
    <w:rsid w:val="00871F2A"/>
    <w:rsid w:val="008720D0"/>
    <w:rsid w:val="008724D4"/>
    <w:rsid w:val="0087269F"/>
    <w:rsid w:val="00872844"/>
    <w:rsid w:val="00872908"/>
    <w:rsid w:val="00872BE8"/>
    <w:rsid w:val="00872F0D"/>
    <w:rsid w:val="00872F18"/>
    <w:rsid w:val="008732DA"/>
    <w:rsid w:val="008736A8"/>
    <w:rsid w:val="00873886"/>
    <w:rsid w:val="00873B3D"/>
    <w:rsid w:val="00873B53"/>
    <w:rsid w:val="00873B81"/>
    <w:rsid w:val="00873C0C"/>
    <w:rsid w:val="00873C8B"/>
    <w:rsid w:val="00873CA2"/>
    <w:rsid w:val="00873CBF"/>
    <w:rsid w:val="00873D47"/>
    <w:rsid w:val="008740DF"/>
    <w:rsid w:val="008742B8"/>
    <w:rsid w:val="00874353"/>
    <w:rsid w:val="008743CF"/>
    <w:rsid w:val="00874541"/>
    <w:rsid w:val="008748BB"/>
    <w:rsid w:val="00874B7A"/>
    <w:rsid w:val="00874CCE"/>
    <w:rsid w:val="00874FE4"/>
    <w:rsid w:val="0087524F"/>
    <w:rsid w:val="00875453"/>
    <w:rsid w:val="008756AD"/>
    <w:rsid w:val="0087575C"/>
    <w:rsid w:val="00875887"/>
    <w:rsid w:val="008758E5"/>
    <w:rsid w:val="008759F2"/>
    <w:rsid w:val="00876210"/>
    <w:rsid w:val="008762F6"/>
    <w:rsid w:val="0087638A"/>
    <w:rsid w:val="00876403"/>
    <w:rsid w:val="008764B2"/>
    <w:rsid w:val="0087652D"/>
    <w:rsid w:val="00876549"/>
    <w:rsid w:val="0087662F"/>
    <w:rsid w:val="0087668F"/>
    <w:rsid w:val="00876771"/>
    <w:rsid w:val="008768E1"/>
    <w:rsid w:val="00876A6B"/>
    <w:rsid w:val="00876D1C"/>
    <w:rsid w:val="00876EA2"/>
    <w:rsid w:val="00876EB6"/>
    <w:rsid w:val="00876ED1"/>
    <w:rsid w:val="00877520"/>
    <w:rsid w:val="0087755E"/>
    <w:rsid w:val="00877571"/>
    <w:rsid w:val="008779BB"/>
    <w:rsid w:val="00877B94"/>
    <w:rsid w:val="00877DBF"/>
    <w:rsid w:val="00877EE1"/>
    <w:rsid w:val="00877F7F"/>
    <w:rsid w:val="0088062A"/>
    <w:rsid w:val="00880636"/>
    <w:rsid w:val="008807CA"/>
    <w:rsid w:val="008808E8"/>
    <w:rsid w:val="0088092B"/>
    <w:rsid w:val="008809C8"/>
    <w:rsid w:val="00880A1F"/>
    <w:rsid w:val="00880AFB"/>
    <w:rsid w:val="00880BC9"/>
    <w:rsid w:val="00880C96"/>
    <w:rsid w:val="00880D12"/>
    <w:rsid w:val="00880D28"/>
    <w:rsid w:val="00880D69"/>
    <w:rsid w:val="00880EFB"/>
    <w:rsid w:val="00880FA5"/>
    <w:rsid w:val="0088124C"/>
    <w:rsid w:val="008814F9"/>
    <w:rsid w:val="0088189C"/>
    <w:rsid w:val="00881916"/>
    <w:rsid w:val="00881A5A"/>
    <w:rsid w:val="00881AFD"/>
    <w:rsid w:val="00881B02"/>
    <w:rsid w:val="00881E1C"/>
    <w:rsid w:val="00881EFA"/>
    <w:rsid w:val="00881F34"/>
    <w:rsid w:val="00882445"/>
    <w:rsid w:val="00882705"/>
    <w:rsid w:val="0088274E"/>
    <w:rsid w:val="00882B03"/>
    <w:rsid w:val="00882B0B"/>
    <w:rsid w:val="00882D58"/>
    <w:rsid w:val="00882D6A"/>
    <w:rsid w:val="00882DB7"/>
    <w:rsid w:val="0088357C"/>
    <w:rsid w:val="008835C5"/>
    <w:rsid w:val="008838EF"/>
    <w:rsid w:val="00883915"/>
    <w:rsid w:val="00883A51"/>
    <w:rsid w:val="00883A71"/>
    <w:rsid w:val="00883AF6"/>
    <w:rsid w:val="00883B03"/>
    <w:rsid w:val="00883EEF"/>
    <w:rsid w:val="008841C3"/>
    <w:rsid w:val="008843C4"/>
    <w:rsid w:val="00884438"/>
    <w:rsid w:val="008844B6"/>
    <w:rsid w:val="008844E8"/>
    <w:rsid w:val="0088455F"/>
    <w:rsid w:val="0088461A"/>
    <w:rsid w:val="0088464E"/>
    <w:rsid w:val="008846A2"/>
    <w:rsid w:val="008846A8"/>
    <w:rsid w:val="00884717"/>
    <w:rsid w:val="008847A6"/>
    <w:rsid w:val="008849CC"/>
    <w:rsid w:val="00884AB5"/>
    <w:rsid w:val="00884E7E"/>
    <w:rsid w:val="00884FEA"/>
    <w:rsid w:val="00885128"/>
    <w:rsid w:val="0088520B"/>
    <w:rsid w:val="00885441"/>
    <w:rsid w:val="0088557C"/>
    <w:rsid w:val="008856E9"/>
    <w:rsid w:val="008858C9"/>
    <w:rsid w:val="00885A3D"/>
    <w:rsid w:val="00885B1B"/>
    <w:rsid w:val="00885E6C"/>
    <w:rsid w:val="00885F92"/>
    <w:rsid w:val="00886528"/>
    <w:rsid w:val="008867D4"/>
    <w:rsid w:val="0088681F"/>
    <w:rsid w:val="00886824"/>
    <w:rsid w:val="008868BE"/>
    <w:rsid w:val="008868DA"/>
    <w:rsid w:val="00886CFE"/>
    <w:rsid w:val="00886E47"/>
    <w:rsid w:val="00886FEA"/>
    <w:rsid w:val="008871AD"/>
    <w:rsid w:val="008872C4"/>
    <w:rsid w:val="008872EC"/>
    <w:rsid w:val="008873A7"/>
    <w:rsid w:val="008874EF"/>
    <w:rsid w:val="0088753B"/>
    <w:rsid w:val="008879AB"/>
    <w:rsid w:val="008879B9"/>
    <w:rsid w:val="008879EC"/>
    <w:rsid w:val="00887A5F"/>
    <w:rsid w:val="00887B27"/>
    <w:rsid w:val="00887C16"/>
    <w:rsid w:val="0089012A"/>
    <w:rsid w:val="008901CE"/>
    <w:rsid w:val="00890483"/>
    <w:rsid w:val="0089048A"/>
    <w:rsid w:val="00890666"/>
    <w:rsid w:val="008907A6"/>
    <w:rsid w:val="008908E3"/>
    <w:rsid w:val="00890B6C"/>
    <w:rsid w:val="00890BBE"/>
    <w:rsid w:val="00890E4E"/>
    <w:rsid w:val="00890E9A"/>
    <w:rsid w:val="00890FF7"/>
    <w:rsid w:val="00891059"/>
    <w:rsid w:val="008911DD"/>
    <w:rsid w:val="0089130F"/>
    <w:rsid w:val="00891720"/>
    <w:rsid w:val="00891881"/>
    <w:rsid w:val="0089189C"/>
    <w:rsid w:val="00891B39"/>
    <w:rsid w:val="00891E16"/>
    <w:rsid w:val="00892046"/>
    <w:rsid w:val="008920AE"/>
    <w:rsid w:val="008921FE"/>
    <w:rsid w:val="008925A9"/>
    <w:rsid w:val="008927A5"/>
    <w:rsid w:val="00892891"/>
    <w:rsid w:val="008928D7"/>
    <w:rsid w:val="008928E0"/>
    <w:rsid w:val="0089290E"/>
    <w:rsid w:val="00892C7F"/>
    <w:rsid w:val="00892DA5"/>
    <w:rsid w:val="008930A4"/>
    <w:rsid w:val="008932BA"/>
    <w:rsid w:val="00893367"/>
    <w:rsid w:val="008934B0"/>
    <w:rsid w:val="00893950"/>
    <w:rsid w:val="0089396F"/>
    <w:rsid w:val="008939AA"/>
    <w:rsid w:val="00893D4F"/>
    <w:rsid w:val="00893D60"/>
    <w:rsid w:val="00893DD8"/>
    <w:rsid w:val="00893E5D"/>
    <w:rsid w:val="00893FBC"/>
    <w:rsid w:val="00893FC6"/>
    <w:rsid w:val="008940F2"/>
    <w:rsid w:val="00894143"/>
    <w:rsid w:val="008941A3"/>
    <w:rsid w:val="008941F2"/>
    <w:rsid w:val="008947D8"/>
    <w:rsid w:val="00894AEB"/>
    <w:rsid w:val="00894B82"/>
    <w:rsid w:val="00894BC8"/>
    <w:rsid w:val="00894DDB"/>
    <w:rsid w:val="00894DF4"/>
    <w:rsid w:val="00894E3A"/>
    <w:rsid w:val="00894FB5"/>
    <w:rsid w:val="00895011"/>
    <w:rsid w:val="008950AE"/>
    <w:rsid w:val="008951FA"/>
    <w:rsid w:val="00895312"/>
    <w:rsid w:val="0089548A"/>
    <w:rsid w:val="00895550"/>
    <w:rsid w:val="00895C47"/>
    <w:rsid w:val="00895D13"/>
    <w:rsid w:val="00895E01"/>
    <w:rsid w:val="00895F18"/>
    <w:rsid w:val="00895F8D"/>
    <w:rsid w:val="00896645"/>
    <w:rsid w:val="0089693E"/>
    <w:rsid w:val="00896A4F"/>
    <w:rsid w:val="00896B36"/>
    <w:rsid w:val="00896D15"/>
    <w:rsid w:val="00896FCF"/>
    <w:rsid w:val="00897104"/>
    <w:rsid w:val="0089723F"/>
    <w:rsid w:val="0089728A"/>
    <w:rsid w:val="0089748C"/>
    <w:rsid w:val="008974B5"/>
    <w:rsid w:val="008974D2"/>
    <w:rsid w:val="00897538"/>
    <w:rsid w:val="008975F6"/>
    <w:rsid w:val="00897628"/>
    <w:rsid w:val="008976EE"/>
    <w:rsid w:val="00897A1C"/>
    <w:rsid w:val="00897CDA"/>
    <w:rsid w:val="00897E2C"/>
    <w:rsid w:val="00897F09"/>
    <w:rsid w:val="00897FF8"/>
    <w:rsid w:val="008A015D"/>
    <w:rsid w:val="008A0344"/>
    <w:rsid w:val="008A0361"/>
    <w:rsid w:val="008A049E"/>
    <w:rsid w:val="008A05D7"/>
    <w:rsid w:val="008A0C25"/>
    <w:rsid w:val="008A0C8E"/>
    <w:rsid w:val="008A0D9E"/>
    <w:rsid w:val="008A0ED2"/>
    <w:rsid w:val="008A11C7"/>
    <w:rsid w:val="008A1326"/>
    <w:rsid w:val="008A15E1"/>
    <w:rsid w:val="008A15E7"/>
    <w:rsid w:val="008A16E7"/>
    <w:rsid w:val="008A1A91"/>
    <w:rsid w:val="008A1AED"/>
    <w:rsid w:val="008A22DF"/>
    <w:rsid w:val="008A235E"/>
    <w:rsid w:val="008A244F"/>
    <w:rsid w:val="008A246E"/>
    <w:rsid w:val="008A2532"/>
    <w:rsid w:val="008A26C1"/>
    <w:rsid w:val="008A270B"/>
    <w:rsid w:val="008A275A"/>
    <w:rsid w:val="008A2976"/>
    <w:rsid w:val="008A2A38"/>
    <w:rsid w:val="008A2CEC"/>
    <w:rsid w:val="008A2DBF"/>
    <w:rsid w:val="008A2E23"/>
    <w:rsid w:val="008A3109"/>
    <w:rsid w:val="008A3551"/>
    <w:rsid w:val="008A377E"/>
    <w:rsid w:val="008A378E"/>
    <w:rsid w:val="008A3898"/>
    <w:rsid w:val="008A3930"/>
    <w:rsid w:val="008A3949"/>
    <w:rsid w:val="008A3A38"/>
    <w:rsid w:val="008A3A43"/>
    <w:rsid w:val="008A3BC8"/>
    <w:rsid w:val="008A3D38"/>
    <w:rsid w:val="008A3E8C"/>
    <w:rsid w:val="008A3F30"/>
    <w:rsid w:val="008A400A"/>
    <w:rsid w:val="008A400F"/>
    <w:rsid w:val="008A403C"/>
    <w:rsid w:val="008A48C6"/>
    <w:rsid w:val="008A4938"/>
    <w:rsid w:val="008A49E4"/>
    <w:rsid w:val="008A4D37"/>
    <w:rsid w:val="008A5382"/>
    <w:rsid w:val="008A5451"/>
    <w:rsid w:val="008A555E"/>
    <w:rsid w:val="008A56B8"/>
    <w:rsid w:val="008A57B2"/>
    <w:rsid w:val="008A57FE"/>
    <w:rsid w:val="008A5948"/>
    <w:rsid w:val="008A5975"/>
    <w:rsid w:val="008A5989"/>
    <w:rsid w:val="008A59EB"/>
    <w:rsid w:val="008A5AB2"/>
    <w:rsid w:val="008A5E0B"/>
    <w:rsid w:val="008A5FFA"/>
    <w:rsid w:val="008A6010"/>
    <w:rsid w:val="008A64A5"/>
    <w:rsid w:val="008A6641"/>
    <w:rsid w:val="008A664C"/>
    <w:rsid w:val="008A6697"/>
    <w:rsid w:val="008A6A58"/>
    <w:rsid w:val="008A6A85"/>
    <w:rsid w:val="008A6B1E"/>
    <w:rsid w:val="008A6C10"/>
    <w:rsid w:val="008A6D96"/>
    <w:rsid w:val="008A6FB2"/>
    <w:rsid w:val="008A707D"/>
    <w:rsid w:val="008A7082"/>
    <w:rsid w:val="008A7499"/>
    <w:rsid w:val="008A761D"/>
    <w:rsid w:val="008A77A8"/>
    <w:rsid w:val="008A7839"/>
    <w:rsid w:val="008A78F8"/>
    <w:rsid w:val="008A791F"/>
    <w:rsid w:val="008A79AE"/>
    <w:rsid w:val="008A7C46"/>
    <w:rsid w:val="008A7CC1"/>
    <w:rsid w:val="008A7F23"/>
    <w:rsid w:val="008A7FB2"/>
    <w:rsid w:val="008B0004"/>
    <w:rsid w:val="008B015A"/>
    <w:rsid w:val="008B0554"/>
    <w:rsid w:val="008B0559"/>
    <w:rsid w:val="008B057A"/>
    <w:rsid w:val="008B0646"/>
    <w:rsid w:val="008B07D8"/>
    <w:rsid w:val="008B0A6C"/>
    <w:rsid w:val="008B0ADD"/>
    <w:rsid w:val="008B0B66"/>
    <w:rsid w:val="008B0BB8"/>
    <w:rsid w:val="008B0C4E"/>
    <w:rsid w:val="008B0D04"/>
    <w:rsid w:val="008B0EE3"/>
    <w:rsid w:val="008B113E"/>
    <w:rsid w:val="008B120D"/>
    <w:rsid w:val="008B1249"/>
    <w:rsid w:val="008B1462"/>
    <w:rsid w:val="008B1633"/>
    <w:rsid w:val="008B1674"/>
    <w:rsid w:val="008B172B"/>
    <w:rsid w:val="008B188D"/>
    <w:rsid w:val="008B1CA0"/>
    <w:rsid w:val="008B1D6D"/>
    <w:rsid w:val="008B1DC6"/>
    <w:rsid w:val="008B1E36"/>
    <w:rsid w:val="008B1F55"/>
    <w:rsid w:val="008B1F63"/>
    <w:rsid w:val="008B2151"/>
    <w:rsid w:val="008B219C"/>
    <w:rsid w:val="008B2264"/>
    <w:rsid w:val="008B23FC"/>
    <w:rsid w:val="008B2819"/>
    <w:rsid w:val="008B2900"/>
    <w:rsid w:val="008B2D03"/>
    <w:rsid w:val="008B2F72"/>
    <w:rsid w:val="008B3260"/>
    <w:rsid w:val="008B32F3"/>
    <w:rsid w:val="008B347A"/>
    <w:rsid w:val="008B3785"/>
    <w:rsid w:val="008B38F8"/>
    <w:rsid w:val="008B3918"/>
    <w:rsid w:val="008B3AAA"/>
    <w:rsid w:val="008B3BD6"/>
    <w:rsid w:val="008B3C21"/>
    <w:rsid w:val="008B3DF4"/>
    <w:rsid w:val="008B3EE0"/>
    <w:rsid w:val="008B3F46"/>
    <w:rsid w:val="008B3F52"/>
    <w:rsid w:val="008B410F"/>
    <w:rsid w:val="008B417C"/>
    <w:rsid w:val="008B4482"/>
    <w:rsid w:val="008B45D1"/>
    <w:rsid w:val="008B49E9"/>
    <w:rsid w:val="008B4A6C"/>
    <w:rsid w:val="008B4D01"/>
    <w:rsid w:val="008B4F40"/>
    <w:rsid w:val="008B50A7"/>
    <w:rsid w:val="008B524B"/>
    <w:rsid w:val="008B52A4"/>
    <w:rsid w:val="008B54F6"/>
    <w:rsid w:val="008B567F"/>
    <w:rsid w:val="008B56C0"/>
    <w:rsid w:val="008B5771"/>
    <w:rsid w:val="008B5B63"/>
    <w:rsid w:val="008B5B84"/>
    <w:rsid w:val="008B5E55"/>
    <w:rsid w:val="008B5EAA"/>
    <w:rsid w:val="008B60C7"/>
    <w:rsid w:val="008B61C5"/>
    <w:rsid w:val="008B61E7"/>
    <w:rsid w:val="008B6256"/>
    <w:rsid w:val="008B69CE"/>
    <w:rsid w:val="008B6A03"/>
    <w:rsid w:val="008B6ACF"/>
    <w:rsid w:val="008B6AF1"/>
    <w:rsid w:val="008B6B8C"/>
    <w:rsid w:val="008B6EA6"/>
    <w:rsid w:val="008B6FAD"/>
    <w:rsid w:val="008B716E"/>
    <w:rsid w:val="008B7392"/>
    <w:rsid w:val="008B75C4"/>
    <w:rsid w:val="008B7C22"/>
    <w:rsid w:val="008B7C72"/>
    <w:rsid w:val="008B7E8D"/>
    <w:rsid w:val="008B7E9E"/>
    <w:rsid w:val="008B7EC3"/>
    <w:rsid w:val="008B7ED5"/>
    <w:rsid w:val="008C00C8"/>
    <w:rsid w:val="008C01E2"/>
    <w:rsid w:val="008C03A6"/>
    <w:rsid w:val="008C0CE5"/>
    <w:rsid w:val="008C0D8D"/>
    <w:rsid w:val="008C0DD9"/>
    <w:rsid w:val="008C0DE1"/>
    <w:rsid w:val="008C0F63"/>
    <w:rsid w:val="008C109B"/>
    <w:rsid w:val="008C10B8"/>
    <w:rsid w:val="008C1388"/>
    <w:rsid w:val="008C1475"/>
    <w:rsid w:val="008C15F8"/>
    <w:rsid w:val="008C16B2"/>
    <w:rsid w:val="008C16E4"/>
    <w:rsid w:val="008C178C"/>
    <w:rsid w:val="008C17CE"/>
    <w:rsid w:val="008C188A"/>
    <w:rsid w:val="008C1A77"/>
    <w:rsid w:val="008C1BF8"/>
    <w:rsid w:val="008C1E5C"/>
    <w:rsid w:val="008C1E9F"/>
    <w:rsid w:val="008C1EF0"/>
    <w:rsid w:val="008C1FF8"/>
    <w:rsid w:val="008C2164"/>
    <w:rsid w:val="008C2194"/>
    <w:rsid w:val="008C21B1"/>
    <w:rsid w:val="008C21F8"/>
    <w:rsid w:val="008C222A"/>
    <w:rsid w:val="008C22C8"/>
    <w:rsid w:val="008C24DA"/>
    <w:rsid w:val="008C2589"/>
    <w:rsid w:val="008C2775"/>
    <w:rsid w:val="008C293A"/>
    <w:rsid w:val="008C2A13"/>
    <w:rsid w:val="008C2D56"/>
    <w:rsid w:val="008C2E80"/>
    <w:rsid w:val="008C2FFC"/>
    <w:rsid w:val="008C32AE"/>
    <w:rsid w:val="008C3305"/>
    <w:rsid w:val="008C33AB"/>
    <w:rsid w:val="008C34DE"/>
    <w:rsid w:val="008C385D"/>
    <w:rsid w:val="008C38BC"/>
    <w:rsid w:val="008C3A39"/>
    <w:rsid w:val="008C3A58"/>
    <w:rsid w:val="008C3C22"/>
    <w:rsid w:val="008C3C9E"/>
    <w:rsid w:val="008C3DDC"/>
    <w:rsid w:val="008C407E"/>
    <w:rsid w:val="008C4174"/>
    <w:rsid w:val="008C41C0"/>
    <w:rsid w:val="008C495C"/>
    <w:rsid w:val="008C497C"/>
    <w:rsid w:val="008C4A35"/>
    <w:rsid w:val="008C4BF3"/>
    <w:rsid w:val="008C4F04"/>
    <w:rsid w:val="008C5030"/>
    <w:rsid w:val="008C50F1"/>
    <w:rsid w:val="008C51BD"/>
    <w:rsid w:val="008C56CF"/>
    <w:rsid w:val="008C573C"/>
    <w:rsid w:val="008C5856"/>
    <w:rsid w:val="008C5BA3"/>
    <w:rsid w:val="008C5D03"/>
    <w:rsid w:val="008C5F3F"/>
    <w:rsid w:val="008C5F41"/>
    <w:rsid w:val="008C620E"/>
    <w:rsid w:val="008C64D7"/>
    <w:rsid w:val="008C6509"/>
    <w:rsid w:val="008C6673"/>
    <w:rsid w:val="008C68D6"/>
    <w:rsid w:val="008C69A1"/>
    <w:rsid w:val="008C7117"/>
    <w:rsid w:val="008C7511"/>
    <w:rsid w:val="008C77A3"/>
    <w:rsid w:val="008C78A6"/>
    <w:rsid w:val="008C7959"/>
    <w:rsid w:val="008C7981"/>
    <w:rsid w:val="008C79C6"/>
    <w:rsid w:val="008C7C73"/>
    <w:rsid w:val="008C7D29"/>
    <w:rsid w:val="008C7D6C"/>
    <w:rsid w:val="008C7F24"/>
    <w:rsid w:val="008D01B8"/>
    <w:rsid w:val="008D05DA"/>
    <w:rsid w:val="008D0641"/>
    <w:rsid w:val="008D0821"/>
    <w:rsid w:val="008D08E7"/>
    <w:rsid w:val="008D0E14"/>
    <w:rsid w:val="008D1054"/>
    <w:rsid w:val="008D12BD"/>
    <w:rsid w:val="008D12E4"/>
    <w:rsid w:val="008D14A0"/>
    <w:rsid w:val="008D15BE"/>
    <w:rsid w:val="008D1A3A"/>
    <w:rsid w:val="008D1A9D"/>
    <w:rsid w:val="008D1B4A"/>
    <w:rsid w:val="008D1B83"/>
    <w:rsid w:val="008D1BFD"/>
    <w:rsid w:val="008D1CF8"/>
    <w:rsid w:val="008D20BC"/>
    <w:rsid w:val="008D24E6"/>
    <w:rsid w:val="008D253A"/>
    <w:rsid w:val="008D278A"/>
    <w:rsid w:val="008D2968"/>
    <w:rsid w:val="008D2A12"/>
    <w:rsid w:val="008D2B8C"/>
    <w:rsid w:val="008D2C4D"/>
    <w:rsid w:val="008D2E8E"/>
    <w:rsid w:val="008D2F9A"/>
    <w:rsid w:val="008D30A9"/>
    <w:rsid w:val="008D326E"/>
    <w:rsid w:val="008D33B3"/>
    <w:rsid w:val="008D364F"/>
    <w:rsid w:val="008D3795"/>
    <w:rsid w:val="008D3973"/>
    <w:rsid w:val="008D3C84"/>
    <w:rsid w:val="008D3D21"/>
    <w:rsid w:val="008D3D8B"/>
    <w:rsid w:val="008D3DA5"/>
    <w:rsid w:val="008D3EFF"/>
    <w:rsid w:val="008D401E"/>
    <w:rsid w:val="008D4283"/>
    <w:rsid w:val="008D44A9"/>
    <w:rsid w:val="008D45D6"/>
    <w:rsid w:val="008D4611"/>
    <w:rsid w:val="008D46A8"/>
    <w:rsid w:val="008D47B6"/>
    <w:rsid w:val="008D488A"/>
    <w:rsid w:val="008D4920"/>
    <w:rsid w:val="008D492F"/>
    <w:rsid w:val="008D494B"/>
    <w:rsid w:val="008D497C"/>
    <w:rsid w:val="008D4BEB"/>
    <w:rsid w:val="008D4F31"/>
    <w:rsid w:val="008D4FFA"/>
    <w:rsid w:val="008D518A"/>
    <w:rsid w:val="008D51EF"/>
    <w:rsid w:val="008D53C5"/>
    <w:rsid w:val="008D54A6"/>
    <w:rsid w:val="008D54BD"/>
    <w:rsid w:val="008D5564"/>
    <w:rsid w:val="008D5692"/>
    <w:rsid w:val="008D56A2"/>
    <w:rsid w:val="008D5837"/>
    <w:rsid w:val="008D597A"/>
    <w:rsid w:val="008D59B8"/>
    <w:rsid w:val="008D5A33"/>
    <w:rsid w:val="008D5BE0"/>
    <w:rsid w:val="008D5C41"/>
    <w:rsid w:val="008D5CA6"/>
    <w:rsid w:val="008D5CD4"/>
    <w:rsid w:val="008D6177"/>
    <w:rsid w:val="008D6261"/>
    <w:rsid w:val="008D62F9"/>
    <w:rsid w:val="008D658C"/>
    <w:rsid w:val="008D6653"/>
    <w:rsid w:val="008D66E1"/>
    <w:rsid w:val="008D68D6"/>
    <w:rsid w:val="008D6C1F"/>
    <w:rsid w:val="008D6E92"/>
    <w:rsid w:val="008D6FA7"/>
    <w:rsid w:val="008D707D"/>
    <w:rsid w:val="008D7156"/>
    <w:rsid w:val="008D736D"/>
    <w:rsid w:val="008D7409"/>
    <w:rsid w:val="008D7459"/>
    <w:rsid w:val="008D7617"/>
    <w:rsid w:val="008D7653"/>
    <w:rsid w:val="008D7A7D"/>
    <w:rsid w:val="008D7DA3"/>
    <w:rsid w:val="008D7EAD"/>
    <w:rsid w:val="008E009F"/>
    <w:rsid w:val="008E01F2"/>
    <w:rsid w:val="008E0509"/>
    <w:rsid w:val="008E052D"/>
    <w:rsid w:val="008E0581"/>
    <w:rsid w:val="008E05E2"/>
    <w:rsid w:val="008E0703"/>
    <w:rsid w:val="008E0750"/>
    <w:rsid w:val="008E07E2"/>
    <w:rsid w:val="008E09EC"/>
    <w:rsid w:val="008E12A1"/>
    <w:rsid w:val="008E13CE"/>
    <w:rsid w:val="008E146E"/>
    <w:rsid w:val="008E146F"/>
    <w:rsid w:val="008E166C"/>
    <w:rsid w:val="008E1672"/>
    <w:rsid w:val="008E1811"/>
    <w:rsid w:val="008E18B9"/>
    <w:rsid w:val="008E1972"/>
    <w:rsid w:val="008E1C00"/>
    <w:rsid w:val="008E1C18"/>
    <w:rsid w:val="008E1CC9"/>
    <w:rsid w:val="008E1E6E"/>
    <w:rsid w:val="008E1E9C"/>
    <w:rsid w:val="008E1F58"/>
    <w:rsid w:val="008E1F68"/>
    <w:rsid w:val="008E1FCC"/>
    <w:rsid w:val="008E2004"/>
    <w:rsid w:val="008E2071"/>
    <w:rsid w:val="008E20DE"/>
    <w:rsid w:val="008E2178"/>
    <w:rsid w:val="008E23CE"/>
    <w:rsid w:val="008E25DC"/>
    <w:rsid w:val="008E27D1"/>
    <w:rsid w:val="008E2A44"/>
    <w:rsid w:val="008E2B57"/>
    <w:rsid w:val="008E2D0C"/>
    <w:rsid w:val="008E2EED"/>
    <w:rsid w:val="008E3275"/>
    <w:rsid w:val="008E3279"/>
    <w:rsid w:val="008E33E9"/>
    <w:rsid w:val="008E36C9"/>
    <w:rsid w:val="008E3718"/>
    <w:rsid w:val="008E384D"/>
    <w:rsid w:val="008E38EC"/>
    <w:rsid w:val="008E3910"/>
    <w:rsid w:val="008E3927"/>
    <w:rsid w:val="008E3B11"/>
    <w:rsid w:val="008E3FF3"/>
    <w:rsid w:val="008E4071"/>
    <w:rsid w:val="008E4273"/>
    <w:rsid w:val="008E432F"/>
    <w:rsid w:val="008E44BB"/>
    <w:rsid w:val="008E4508"/>
    <w:rsid w:val="008E45A6"/>
    <w:rsid w:val="008E45CE"/>
    <w:rsid w:val="008E47A0"/>
    <w:rsid w:val="008E49AD"/>
    <w:rsid w:val="008E4D4B"/>
    <w:rsid w:val="008E4D97"/>
    <w:rsid w:val="008E509D"/>
    <w:rsid w:val="008E50A8"/>
    <w:rsid w:val="008E558D"/>
    <w:rsid w:val="008E55D5"/>
    <w:rsid w:val="008E5734"/>
    <w:rsid w:val="008E57E6"/>
    <w:rsid w:val="008E57E7"/>
    <w:rsid w:val="008E5907"/>
    <w:rsid w:val="008E59DF"/>
    <w:rsid w:val="008E5AA7"/>
    <w:rsid w:val="008E5ACB"/>
    <w:rsid w:val="008E5B68"/>
    <w:rsid w:val="008E5F42"/>
    <w:rsid w:val="008E5FA4"/>
    <w:rsid w:val="008E607D"/>
    <w:rsid w:val="008E6522"/>
    <w:rsid w:val="008E6866"/>
    <w:rsid w:val="008E68E5"/>
    <w:rsid w:val="008E6919"/>
    <w:rsid w:val="008E6C0A"/>
    <w:rsid w:val="008E6E2D"/>
    <w:rsid w:val="008E6F1F"/>
    <w:rsid w:val="008E7131"/>
    <w:rsid w:val="008E7193"/>
    <w:rsid w:val="008E7328"/>
    <w:rsid w:val="008E75BD"/>
    <w:rsid w:val="008E76A1"/>
    <w:rsid w:val="008E7935"/>
    <w:rsid w:val="008E7C18"/>
    <w:rsid w:val="008F0031"/>
    <w:rsid w:val="008F041A"/>
    <w:rsid w:val="008F051F"/>
    <w:rsid w:val="008F08E9"/>
    <w:rsid w:val="008F099C"/>
    <w:rsid w:val="008F0BA1"/>
    <w:rsid w:val="008F0D02"/>
    <w:rsid w:val="008F0E98"/>
    <w:rsid w:val="008F0F22"/>
    <w:rsid w:val="008F1017"/>
    <w:rsid w:val="008F1062"/>
    <w:rsid w:val="008F1179"/>
    <w:rsid w:val="008F13F6"/>
    <w:rsid w:val="008F1566"/>
    <w:rsid w:val="008F16CD"/>
    <w:rsid w:val="008F1764"/>
    <w:rsid w:val="008F1906"/>
    <w:rsid w:val="008F193B"/>
    <w:rsid w:val="008F1F45"/>
    <w:rsid w:val="008F2121"/>
    <w:rsid w:val="008F2163"/>
    <w:rsid w:val="008F2764"/>
    <w:rsid w:val="008F2840"/>
    <w:rsid w:val="008F28B3"/>
    <w:rsid w:val="008F2C44"/>
    <w:rsid w:val="008F2CDC"/>
    <w:rsid w:val="008F32CF"/>
    <w:rsid w:val="008F32F1"/>
    <w:rsid w:val="008F3349"/>
    <w:rsid w:val="008F341D"/>
    <w:rsid w:val="008F3863"/>
    <w:rsid w:val="008F3890"/>
    <w:rsid w:val="008F3A3D"/>
    <w:rsid w:val="008F3B78"/>
    <w:rsid w:val="008F3BF4"/>
    <w:rsid w:val="008F3C1D"/>
    <w:rsid w:val="008F3CE0"/>
    <w:rsid w:val="008F3E6E"/>
    <w:rsid w:val="008F3E7B"/>
    <w:rsid w:val="008F3EB4"/>
    <w:rsid w:val="008F3F3C"/>
    <w:rsid w:val="008F44FB"/>
    <w:rsid w:val="008F45BE"/>
    <w:rsid w:val="008F47EC"/>
    <w:rsid w:val="008F4898"/>
    <w:rsid w:val="008F4917"/>
    <w:rsid w:val="008F4E37"/>
    <w:rsid w:val="008F51B2"/>
    <w:rsid w:val="008F51B8"/>
    <w:rsid w:val="008F5258"/>
    <w:rsid w:val="008F52C9"/>
    <w:rsid w:val="008F5AB5"/>
    <w:rsid w:val="008F5E52"/>
    <w:rsid w:val="008F5E54"/>
    <w:rsid w:val="008F6029"/>
    <w:rsid w:val="008F6106"/>
    <w:rsid w:val="008F6336"/>
    <w:rsid w:val="008F65BC"/>
    <w:rsid w:val="008F6912"/>
    <w:rsid w:val="008F6AF2"/>
    <w:rsid w:val="008F70DD"/>
    <w:rsid w:val="008F70FF"/>
    <w:rsid w:val="008F7107"/>
    <w:rsid w:val="008F74F7"/>
    <w:rsid w:val="008F76AD"/>
    <w:rsid w:val="008F7745"/>
    <w:rsid w:val="008F78C2"/>
    <w:rsid w:val="008F7AF5"/>
    <w:rsid w:val="008F7DB6"/>
    <w:rsid w:val="008F7E5A"/>
    <w:rsid w:val="008F7EBC"/>
    <w:rsid w:val="00900069"/>
    <w:rsid w:val="009002C1"/>
    <w:rsid w:val="00900324"/>
    <w:rsid w:val="00900387"/>
    <w:rsid w:val="00900663"/>
    <w:rsid w:val="00900846"/>
    <w:rsid w:val="00900851"/>
    <w:rsid w:val="00900897"/>
    <w:rsid w:val="009008CC"/>
    <w:rsid w:val="00900D16"/>
    <w:rsid w:val="00900E1C"/>
    <w:rsid w:val="00900E36"/>
    <w:rsid w:val="00900E54"/>
    <w:rsid w:val="00900E7F"/>
    <w:rsid w:val="00900E8C"/>
    <w:rsid w:val="00900F9E"/>
    <w:rsid w:val="009012C4"/>
    <w:rsid w:val="0090147A"/>
    <w:rsid w:val="00901518"/>
    <w:rsid w:val="009015E4"/>
    <w:rsid w:val="00901633"/>
    <w:rsid w:val="00901708"/>
    <w:rsid w:val="0090174B"/>
    <w:rsid w:val="0090177C"/>
    <w:rsid w:val="00902316"/>
    <w:rsid w:val="00902405"/>
    <w:rsid w:val="00902525"/>
    <w:rsid w:val="00902749"/>
    <w:rsid w:val="009028C8"/>
    <w:rsid w:val="00902962"/>
    <w:rsid w:val="009029CB"/>
    <w:rsid w:val="00902A03"/>
    <w:rsid w:val="00902BDA"/>
    <w:rsid w:val="00902E22"/>
    <w:rsid w:val="00902FE5"/>
    <w:rsid w:val="00903017"/>
    <w:rsid w:val="00903084"/>
    <w:rsid w:val="0090316F"/>
    <w:rsid w:val="00903285"/>
    <w:rsid w:val="009032F2"/>
    <w:rsid w:val="0090338D"/>
    <w:rsid w:val="009033AF"/>
    <w:rsid w:val="009035A1"/>
    <w:rsid w:val="009035EF"/>
    <w:rsid w:val="00903EF7"/>
    <w:rsid w:val="00903FA3"/>
    <w:rsid w:val="00904274"/>
    <w:rsid w:val="009042BA"/>
    <w:rsid w:val="009042EB"/>
    <w:rsid w:val="009043DE"/>
    <w:rsid w:val="0090443D"/>
    <w:rsid w:val="00904527"/>
    <w:rsid w:val="0090455F"/>
    <w:rsid w:val="00904603"/>
    <w:rsid w:val="0090465B"/>
    <w:rsid w:val="00904693"/>
    <w:rsid w:val="00904960"/>
    <w:rsid w:val="00904991"/>
    <w:rsid w:val="009049E9"/>
    <w:rsid w:val="00904AA6"/>
    <w:rsid w:val="00904B16"/>
    <w:rsid w:val="00904CE2"/>
    <w:rsid w:val="00904DB6"/>
    <w:rsid w:val="00904DC7"/>
    <w:rsid w:val="009050BD"/>
    <w:rsid w:val="00905AB3"/>
    <w:rsid w:val="00905BF4"/>
    <w:rsid w:val="00905FAA"/>
    <w:rsid w:val="00905FE1"/>
    <w:rsid w:val="009061FB"/>
    <w:rsid w:val="00906478"/>
    <w:rsid w:val="009064E4"/>
    <w:rsid w:val="0090672E"/>
    <w:rsid w:val="009068FF"/>
    <w:rsid w:val="00906CAA"/>
    <w:rsid w:val="00906D93"/>
    <w:rsid w:val="00907072"/>
    <w:rsid w:val="009075E7"/>
    <w:rsid w:val="00907656"/>
    <w:rsid w:val="00907726"/>
    <w:rsid w:val="0090774B"/>
    <w:rsid w:val="009077AA"/>
    <w:rsid w:val="0090784A"/>
    <w:rsid w:val="0090788A"/>
    <w:rsid w:val="009078C0"/>
    <w:rsid w:val="0090794E"/>
    <w:rsid w:val="00907A5E"/>
    <w:rsid w:val="00907BC9"/>
    <w:rsid w:val="00907F27"/>
    <w:rsid w:val="00907FE4"/>
    <w:rsid w:val="0091016C"/>
    <w:rsid w:val="00910223"/>
    <w:rsid w:val="009104E9"/>
    <w:rsid w:val="0091058D"/>
    <w:rsid w:val="00910972"/>
    <w:rsid w:val="00910982"/>
    <w:rsid w:val="00910A1F"/>
    <w:rsid w:val="00910A91"/>
    <w:rsid w:val="00910D80"/>
    <w:rsid w:val="00910F20"/>
    <w:rsid w:val="009110B3"/>
    <w:rsid w:val="009111D2"/>
    <w:rsid w:val="00911794"/>
    <w:rsid w:val="00911881"/>
    <w:rsid w:val="00911C40"/>
    <w:rsid w:val="00911C52"/>
    <w:rsid w:val="00911F5C"/>
    <w:rsid w:val="0091228D"/>
    <w:rsid w:val="009126BC"/>
    <w:rsid w:val="009126FD"/>
    <w:rsid w:val="009128C8"/>
    <w:rsid w:val="0091290B"/>
    <w:rsid w:val="00912A40"/>
    <w:rsid w:val="00912A8A"/>
    <w:rsid w:val="00912B0C"/>
    <w:rsid w:val="00912D22"/>
    <w:rsid w:val="00912DB8"/>
    <w:rsid w:val="00912EAD"/>
    <w:rsid w:val="00913714"/>
    <w:rsid w:val="0091371A"/>
    <w:rsid w:val="0091393B"/>
    <w:rsid w:val="009139D5"/>
    <w:rsid w:val="00913AC5"/>
    <w:rsid w:val="00913C81"/>
    <w:rsid w:val="00913C92"/>
    <w:rsid w:val="009140ED"/>
    <w:rsid w:val="009143B3"/>
    <w:rsid w:val="009144A2"/>
    <w:rsid w:val="009146E7"/>
    <w:rsid w:val="00914791"/>
    <w:rsid w:val="00914A06"/>
    <w:rsid w:val="00914BF3"/>
    <w:rsid w:val="00914D51"/>
    <w:rsid w:val="00914EBD"/>
    <w:rsid w:val="00914EBF"/>
    <w:rsid w:val="00914F54"/>
    <w:rsid w:val="00915093"/>
    <w:rsid w:val="009150E5"/>
    <w:rsid w:val="009154E3"/>
    <w:rsid w:val="00915573"/>
    <w:rsid w:val="00915642"/>
    <w:rsid w:val="00915661"/>
    <w:rsid w:val="0091587D"/>
    <w:rsid w:val="009158BC"/>
    <w:rsid w:val="00915A06"/>
    <w:rsid w:val="00915A5E"/>
    <w:rsid w:val="00915B3F"/>
    <w:rsid w:val="00915DC9"/>
    <w:rsid w:val="00915DF1"/>
    <w:rsid w:val="00916022"/>
    <w:rsid w:val="0091605D"/>
    <w:rsid w:val="00916288"/>
    <w:rsid w:val="00916409"/>
    <w:rsid w:val="009165E0"/>
    <w:rsid w:val="0091663A"/>
    <w:rsid w:val="00916AA7"/>
    <w:rsid w:val="00916AB0"/>
    <w:rsid w:val="00916D07"/>
    <w:rsid w:val="00916D0B"/>
    <w:rsid w:val="00916F43"/>
    <w:rsid w:val="00916F6D"/>
    <w:rsid w:val="00916F79"/>
    <w:rsid w:val="00917403"/>
    <w:rsid w:val="0091745F"/>
    <w:rsid w:val="009174BC"/>
    <w:rsid w:val="00917599"/>
    <w:rsid w:val="0091782D"/>
    <w:rsid w:val="00917B3F"/>
    <w:rsid w:val="00917BE8"/>
    <w:rsid w:val="00920075"/>
    <w:rsid w:val="0092020E"/>
    <w:rsid w:val="00920287"/>
    <w:rsid w:val="009205A1"/>
    <w:rsid w:val="009207E8"/>
    <w:rsid w:val="009208E3"/>
    <w:rsid w:val="00920C79"/>
    <w:rsid w:val="00920D9F"/>
    <w:rsid w:val="00920EFE"/>
    <w:rsid w:val="00920FB1"/>
    <w:rsid w:val="00921140"/>
    <w:rsid w:val="009213B7"/>
    <w:rsid w:val="00921463"/>
    <w:rsid w:val="00921525"/>
    <w:rsid w:val="009216F5"/>
    <w:rsid w:val="00921714"/>
    <w:rsid w:val="00921717"/>
    <w:rsid w:val="0092183B"/>
    <w:rsid w:val="009219E8"/>
    <w:rsid w:val="00921A25"/>
    <w:rsid w:val="00921A8A"/>
    <w:rsid w:val="00921B0D"/>
    <w:rsid w:val="00921C99"/>
    <w:rsid w:val="00921CE1"/>
    <w:rsid w:val="00921CF2"/>
    <w:rsid w:val="0092226D"/>
    <w:rsid w:val="00922311"/>
    <w:rsid w:val="00922373"/>
    <w:rsid w:val="009223D5"/>
    <w:rsid w:val="00922433"/>
    <w:rsid w:val="00922497"/>
    <w:rsid w:val="0092274D"/>
    <w:rsid w:val="00922A08"/>
    <w:rsid w:val="00922A91"/>
    <w:rsid w:val="00922BD5"/>
    <w:rsid w:val="00922BE6"/>
    <w:rsid w:val="00922D95"/>
    <w:rsid w:val="00922E56"/>
    <w:rsid w:val="00923694"/>
    <w:rsid w:val="009238B6"/>
    <w:rsid w:val="009239A0"/>
    <w:rsid w:val="00923B6F"/>
    <w:rsid w:val="00923D8B"/>
    <w:rsid w:val="00923E54"/>
    <w:rsid w:val="009240C5"/>
    <w:rsid w:val="009246D0"/>
    <w:rsid w:val="00924869"/>
    <w:rsid w:val="009249FA"/>
    <w:rsid w:val="00924A39"/>
    <w:rsid w:val="00924DC1"/>
    <w:rsid w:val="00924EA4"/>
    <w:rsid w:val="00924F41"/>
    <w:rsid w:val="009250C5"/>
    <w:rsid w:val="00925223"/>
    <w:rsid w:val="009253CA"/>
    <w:rsid w:val="009253DE"/>
    <w:rsid w:val="009253F6"/>
    <w:rsid w:val="009254FA"/>
    <w:rsid w:val="0092557B"/>
    <w:rsid w:val="00925E83"/>
    <w:rsid w:val="00925EE9"/>
    <w:rsid w:val="009263ED"/>
    <w:rsid w:val="009263F1"/>
    <w:rsid w:val="00926502"/>
    <w:rsid w:val="00926982"/>
    <w:rsid w:val="00926B1D"/>
    <w:rsid w:val="00926B40"/>
    <w:rsid w:val="00926B99"/>
    <w:rsid w:val="00926C0F"/>
    <w:rsid w:val="00927106"/>
    <w:rsid w:val="009271EB"/>
    <w:rsid w:val="00927234"/>
    <w:rsid w:val="00927260"/>
    <w:rsid w:val="00927294"/>
    <w:rsid w:val="00927357"/>
    <w:rsid w:val="00927374"/>
    <w:rsid w:val="00927603"/>
    <w:rsid w:val="00927783"/>
    <w:rsid w:val="00927AD3"/>
    <w:rsid w:val="00927C36"/>
    <w:rsid w:val="009301AA"/>
    <w:rsid w:val="00930216"/>
    <w:rsid w:val="0093023D"/>
    <w:rsid w:val="00930254"/>
    <w:rsid w:val="00930325"/>
    <w:rsid w:val="009303AF"/>
    <w:rsid w:val="00930574"/>
    <w:rsid w:val="009308DA"/>
    <w:rsid w:val="0093099B"/>
    <w:rsid w:val="00930A04"/>
    <w:rsid w:val="00930B27"/>
    <w:rsid w:val="00930BAC"/>
    <w:rsid w:val="00930C1C"/>
    <w:rsid w:val="00930C63"/>
    <w:rsid w:val="009310CF"/>
    <w:rsid w:val="009310D5"/>
    <w:rsid w:val="0093162B"/>
    <w:rsid w:val="00931874"/>
    <w:rsid w:val="00931D0E"/>
    <w:rsid w:val="00931D47"/>
    <w:rsid w:val="00932098"/>
    <w:rsid w:val="00932499"/>
    <w:rsid w:val="00932675"/>
    <w:rsid w:val="0093285A"/>
    <w:rsid w:val="009328F2"/>
    <w:rsid w:val="009329FB"/>
    <w:rsid w:val="00932B20"/>
    <w:rsid w:val="00932EE5"/>
    <w:rsid w:val="00932FFC"/>
    <w:rsid w:val="0093306C"/>
    <w:rsid w:val="009333CB"/>
    <w:rsid w:val="009334D3"/>
    <w:rsid w:val="00933544"/>
    <w:rsid w:val="009335A5"/>
    <w:rsid w:val="009335C1"/>
    <w:rsid w:val="00933620"/>
    <w:rsid w:val="009336E6"/>
    <w:rsid w:val="0093396B"/>
    <w:rsid w:val="009339F7"/>
    <w:rsid w:val="00933A89"/>
    <w:rsid w:val="00933BB0"/>
    <w:rsid w:val="00933E52"/>
    <w:rsid w:val="00933FE2"/>
    <w:rsid w:val="0093407B"/>
    <w:rsid w:val="009341B9"/>
    <w:rsid w:val="009344D0"/>
    <w:rsid w:val="00934644"/>
    <w:rsid w:val="0093470C"/>
    <w:rsid w:val="00934AF6"/>
    <w:rsid w:val="00934C98"/>
    <w:rsid w:val="00934FD1"/>
    <w:rsid w:val="00935006"/>
    <w:rsid w:val="00935128"/>
    <w:rsid w:val="009352F4"/>
    <w:rsid w:val="00935461"/>
    <w:rsid w:val="009357B5"/>
    <w:rsid w:val="00935973"/>
    <w:rsid w:val="00935AC9"/>
    <w:rsid w:val="00935DF7"/>
    <w:rsid w:val="00935F1F"/>
    <w:rsid w:val="00935FAD"/>
    <w:rsid w:val="00936154"/>
    <w:rsid w:val="00936220"/>
    <w:rsid w:val="00936245"/>
    <w:rsid w:val="00936458"/>
    <w:rsid w:val="009364F6"/>
    <w:rsid w:val="0093661F"/>
    <w:rsid w:val="00936ABB"/>
    <w:rsid w:val="00936B37"/>
    <w:rsid w:val="00936C18"/>
    <w:rsid w:val="00936CAF"/>
    <w:rsid w:val="00936DA2"/>
    <w:rsid w:val="00936F5E"/>
    <w:rsid w:val="009372C8"/>
    <w:rsid w:val="00937319"/>
    <w:rsid w:val="00937428"/>
    <w:rsid w:val="00937718"/>
    <w:rsid w:val="00937871"/>
    <w:rsid w:val="009378CE"/>
    <w:rsid w:val="009379EF"/>
    <w:rsid w:val="00937AF1"/>
    <w:rsid w:val="00940202"/>
    <w:rsid w:val="0094026E"/>
    <w:rsid w:val="00940282"/>
    <w:rsid w:val="0094028C"/>
    <w:rsid w:val="0094061E"/>
    <w:rsid w:val="0094088D"/>
    <w:rsid w:val="0094090C"/>
    <w:rsid w:val="00940928"/>
    <w:rsid w:val="009409E7"/>
    <w:rsid w:val="00940A7A"/>
    <w:rsid w:val="00940E94"/>
    <w:rsid w:val="00940F63"/>
    <w:rsid w:val="00940F8C"/>
    <w:rsid w:val="0094100F"/>
    <w:rsid w:val="00941538"/>
    <w:rsid w:val="00941669"/>
    <w:rsid w:val="009416D2"/>
    <w:rsid w:val="0094194B"/>
    <w:rsid w:val="00941BD0"/>
    <w:rsid w:val="00941E4B"/>
    <w:rsid w:val="009420AD"/>
    <w:rsid w:val="009420CD"/>
    <w:rsid w:val="0094213F"/>
    <w:rsid w:val="00942183"/>
    <w:rsid w:val="009421D8"/>
    <w:rsid w:val="009425DB"/>
    <w:rsid w:val="009426F4"/>
    <w:rsid w:val="009428A8"/>
    <w:rsid w:val="0094295A"/>
    <w:rsid w:val="00942A3B"/>
    <w:rsid w:val="00942CF7"/>
    <w:rsid w:val="00942DA7"/>
    <w:rsid w:val="00942F99"/>
    <w:rsid w:val="00942FD8"/>
    <w:rsid w:val="00943157"/>
    <w:rsid w:val="00943251"/>
    <w:rsid w:val="009434B6"/>
    <w:rsid w:val="009434CD"/>
    <w:rsid w:val="00943842"/>
    <w:rsid w:val="009439CF"/>
    <w:rsid w:val="00943AE1"/>
    <w:rsid w:val="00943B2D"/>
    <w:rsid w:val="00943B6B"/>
    <w:rsid w:val="00943D1F"/>
    <w:rsid w:val="00943E26"/>
    <w:rsid w:val="00943E61"/>
    <w:rsid w:val="00943F43"/>
    <w:rsid w:val="0094403C"/>
    <w:rsid w:val="00944108"/>
    <w:rsid w:val="009445C7"/>
    <w:rsid w:val="009446C7"/>
    <w:rsid w:val="009449E1"/>
    <w:rsid w:val="00944D5D"/>
    <w:rsid w:val="00944E46"/>
    <w:rsid w:val="0094543F"/>
    <w:rsid w:val="0094573A"/>
    <w:rsid w:val="009459E3"/>
    <w:rsid w:val="00945BA0"/>
    <w:rsid w:val="00945C6F"/>
    <w:rsid w:val="00945C98"/>
    <w:rsid w:val="00945C9C"/>
    <w:rsid w:val="00945D34"/>
    <w:rsid w:val="00945D6D"/>
    <w:rsid w:val="00945EB0"/>
    <w:rsid w:val="0094613D"/>
    <w:rsid w:val="009462D7"/>
    <w:rsid w:val="00946337"/>
    <w:rsid w:val="009464CF"/>
    <w:rsid w:val="00946684"/>
    <w:rsid w:val="00946759"/>
    <w:rsid w:val="00946A56"/>
    <w:rsid w:val="00946A9D"/>
    <w:rsid w:val="00946DFC"/>
    <w:rsid w:val="00946F66"/>
    <w:rsid w:val="00947039"/>
    <w:rsid w:val="009471B6"/>
    <w:rsid w:val="00947279"/>
    <w:rsid w:val="009473D7"/>
    <w:rsid w:val="009473FA"/>
    <w:rsid w:val="0094752B"/>
    <w:rsid w:val="009475A3"/>
    <w:rsid w:val="009475E5"/>
    <w:rsid w:val="009477B5"/>
    <w:rsid w:val="009477BF"/>
    <w:rsid w:val="0094784B"/>
    <w:rsid w:val="00947AD8"/>
    <w:rsid w:val="00947B67"/>
    <w:rsid w:val="00947CA5"/>
    <w:rsid w:val="00947DB1"/>
    <w:rsid w:val="00950158"/>
    <w:rsid w:val="009502D1"/>
    <w:rsid w:val="009503C2"/>
    <w:rsid w:val="009504DE"/>
    <w:rsid w:val="009505FC"/>
    <w:rsid w:val="00950E05"/>
    <w:rsid w:val="009512BC"/>
    <w:rsid w:val="0095136B"/>
    <w:rsid w:val="00951576"/>
    <w:rsid w:val="00951771"/>
    <w:rsid w:val="009517C3"/>
    <w:rsid w:val="0095198E"/>
    <w:rsid w:val="00951E35"/>
    <w:rsid w:val="00951E4A"/>
    <w:rsid w:val="00952019"/>
    <w:rsid w:val="009524BA"/>
    <w:rsid w:val="00952635"/>
    <w:rsid w:val="00952672"/>
    <w:rsid w:val="009527E2"/>
    <w:rsid w:val="00953253"/>
    <w:rsid w:val="00953422"/>
    <w:rsid w:val="009534A7"/>
    <w:rsid w:val="00953529"/>
    <w:rsid w:val="0095368F"/>
    <w:rsid w:val="00953695"/>
    <w:rsid w:val="00953843"/>
    <w:rsid w:val="00953B42"/>
    <w:rsid w:val="00953C06"/>
    <w:rsid w:val="00953C44"/>
    <w:rsid w:val="00953E40"/>
    <w:rsid w:val="00953FA4"/>
    <w:rsid w:val="00954528"/>
    <w:rsid w:val="0095474F"/>
    <w:rsid w:val="009547BC"/>
    <w:rsid w:val="00954868"/>
    <w:rsid w:val="009549CC"/>
    <w:rsid w:val="009549CD"/>
    <w:rsid w:val="00954A78"/>
    <w:rsid w:val="00954E3F"/>
    <w:rsid w:val="00954EB6"/>
    <w:rsid w:val="0095505D"/>
    <w:rsid w:val="0095541C"/>
    <w:rsid w:val="00955464"/>
    <w:rsid w:val="00955497"/>
    <w:rsid w:val="0095579C"/>
    <w:rsid w:val="00955FD6"/>
    <w:rsid w:val="00956045"/>
    <w:rsid w:val="009563B5"/>
    <w:rsid w:val="00956413"/>
    <w:rsid w:val="009565A4"/>
    <w:rsid w:val="00956660"/>
    <w:rsid w:val="009566B0"/>
    <w:rsid w:val="009569FC"/>
    <w:rsid w:val="00956A09"/>
    <w:rsid w:val="00956A60"/>
    <w:rsid w:val="00956CAF"/>
    <w:rsid w:val="00956CF5"/>
    <w:rsid w:val="00956D43"/>
    <w:rsid w:val="009570A1"/>
    <w:rsid w:val="00957290"/>
    <w:rsid w:val="00957343"/>
    <w:rsid w:val="009575EE"/>
    <w:rsid w:val="00957A37"/>
    <w:rsid w:val="00957A73"/>
    <w:rsid w:val="00957CC1"/>
    <w:rsid w:val="00957D60"/>
    <w:rsid w:val="00957D77"/>
    <w:rsid w:val="00957F1A"/>
    <w:rsid w:val="0096009B"/>
    <w:rsid w:val="009601DA"/>
    <w:rsid w:val="009602EC"/>
    <w:rsid w:val="00960462"/>
    <w:rsid w:val="00960481"/>
    <w:rsid w:val="00960694"/>
    <w:rsid w:val="009608A4"/>
    <w:rsid w:val="00960909"/>
    <w:rsid w:val="00960B5F"/>
    <w:rsid w:val="00960BE4"/>
    <w:rsid w:val="00960C29"/>
    <w:rsid w:val="0096105B"/>
    <w:rsid w:val="00961098"/>
    <w:rsid w:val="009610B8"/>
    <w:rsid w:val="009611EB"/>
    <w:rsid w:val="00961263"/>
    <w:rsid w:val="00961522"/>
    <w:rsid w:val="00961804"/>
    <w:rsid w:val="0096186C"/>
    <w:rsid w:val="00961BB4"/>
    <w:rsid w:val="00961FF9"/>
    <w:rsid w:val="009621B6"/>
    <w:rsid w:val="009621BE"/>
    <w:rsid w:val="00962464"/>
    <w:rsid w:val="009625DD"/>
    <w:rsid w:val="00962624"/>
    <w:rsid w:val="009627D4"/>
    <w:rsid w:val="00962865"/>
    <w:rsid w:val="00962CAA"/>
    <w:rsid w:val="00962CE4"/>
    <w:rsid w:val="00962E2D"/>
    <w:rsid w:val="00963087"/>
    <w:rsid w:val="009630B9"/>
    <w:rsid w:val="009634CA"/>
    <w:rsid w:val="0096358C"/>
    <w:rsid w:val="009635B3"/>
    <w:rsid w:val="00963D81"/>
    <w:rsid w:val="00963F2A"/>
    <w:rsid w:val="00963FCB"/>
    <w:rsid w:val="0096400A"/>
    <w:rsid w:val="00964370"/>
    <w:rsid w:val="0096447E"/>
    <w:rsid w:val="0096461B"/>
    <w:rsid w:val="009649F2"/>
    <w:rsid w:val="00964B76"/>
    <w:rsid w:val="00964C31"/>
    <w:rsid w:val="00964F16"/>
    <w:rsid w:val="00964F22"/>
    <w:rsid w:val="00965072"/>
    <w:rsid w:val="009650DC"/>
    <w:rsid w:val="0096527C"/>
    <w:rsid w:val="00965362"/>
    <w:rsid w:val="00965367"/>
    <w:rsid w:val="00965421"/>
    <w:rsid w:val="00965B97"/>
    <w:rsid w:val="00966010"/>
    <w:rsid w:val="0096605D"/>
    <w:rsid w:val="009660C6"/>
    <w:rsid w:val="00966179"/>
    <w:rsid w:val="0096635F"/>
    <w:rsid w:val="009663E0"/>
    <w:rsid w:val="009664EF"/>
    <w:rsid w:val="009666DB"/>
    <w:rsid w:val="0096697E"/>
    <w:rsid w:val="00966A6C"/>
    <w:rsid w:val="00966B2A"/>
    <w:rsid w:val="00966D03"/>
    <w:rsid w:val="00966D9B"/>
    <w:rsid w:val="00966EA8"/>
    <w:rsid w:val="00966F82"/>
    <w:rsid w:val="00966F88"/>
    <w:rsid w:val="00966FDA"/>
    <w:rsid w:val="00967038"/>
    <w:rsid w:val="0096721C"/>
    <w:rsid w:val="009674BB"/>
    <w:rsid w:val="00967526"/>
    <w:rsid w:val="0096763C"/>
    <w:rsid w:val="00967999"/>
    <w:rsid w:val="009679CC"/>
    <w:rsid w:val="00967CEB"/>
    <w:rsid w:val="00967D2A"/>
    <w:rsid w:val="00967E4E"/>
    <w:rsid w:val="0097005A"/>
    <w:rsid w:val="009701F9"/>
    <w:rsid w:val="009702D5"/>
    <w:rsid w:val="009703C0"/>
    <w:rsid w:val="009703D9"/>
    <w:rsid w:val="00970708"/>
    <w:rsid w:val="00970803"/>
    <w:rsid w:val="009708F5"/>
    <w:rsid w:val="00970CD1"/>
    <w:rsid w:val="009710D9"/>
    <w:rsid w:val="009711CD"/>
    <w:rsid w:val="0097134B"/>
    <w:rsid w:val="0097146D"/>
    <w:rsid w:val="00971613"/>
    <w:rsid w:val="00971627"/>
    <w:rsid w:val="00971646"/>
    <w:rsid w:val="00971682"/>
    <w:rsid w:val="009716DC"/>
    <w:rsid w:val="00971803"/>
    <w:rsid w:val="0097187E"/>
    <w:rsid w:val="00971AA0"/>
    <w:rsid w:val="00971B16"/>
    <w:rsid w:val="00971CCE"/>
    <w:rsid w:val="00971DB5"/>
    <w:rsid w:val="00971E83"/>
    <w:rsid w:val="009722B0"/>
    <w:rsid w:val="009723A9"/>
    <w:rsid w:val="009725AF"/>
    <w:rsid w:val="009726EF"/>
    <w:rsid w:val="009727A7"/>
    <w:rsid w:val="00972BFB"/>
    <w:rsid w:val="00972C44"/>
    <w:rsid w:val="00972DC3"/>
    <w:rsid w:val="00972E2E"/>
    <w:rsid w:val="00972FCF"/>
    <w:rsid w:val="00973027"/>
    <w:rsid w:val="009730D8"/>
    <w:rsid w:val="00973104"/>
    <w:rsid w:val="0097310A"/>
    <w:rsid w:val="009734C5"/>
    <w:rsid w:val="009735C0"/>
    <w:rsid w:val="009736E6"/>
    <w:rsid w:val="0097386E"/>
    <w:rsid w:val="009739C8"/>
    <w:rsid w:val="00973CA6"/>
    <w:rsid w:val="00974004"/>
    <w:rsid w:val="009740F5"/>
    <w:rsid w:val="009741ED"/>
    <w:rsid w:val="009746B2"/>
    <w:rsid w:val="009746D9"/>
    <w:rsid w:val="00974803"/>
    <w:rsid w:val="00974918"/>
    <w:rsid w:val="00974A03"/>
    <w:rsid w:val="00974A6F"/>
    <w:rsid w:val="00974D45"/>
    <w:rsid w:val="00974DB9"/>
    <w:rsid w:val="00974E01"/>
    <w:rsid w:val="00974FAD"/>
    <w:rsid w:val="00975009"/>
    <w:rsid w:val="009750D0"/>
    <w:rsid w:val="00975129"/>
    <w:rsid w:val="00975131"/>
    <w:rsid w:val="00975475"/>
    <w:rsid w:val="009758C1"/>
    <w:rsid w:val="009759B7"/>
    <w:rsid w:val="00975A09"/>
    <w:rsid w:val="00975AC4"/>
    <w:rsid w:val="00975DEF"/>
    <w:rsid w:val="00975EC9"/>
    <w:rsid w:val="00975F7C"/>
    <w:rsid w:val="00976435"/>
    <w:rsid w:val="009765C1"/>
    <w:rsid w:val="00976671"/>
    <w:rsid w:val="00976833"/>
    <w:rsid w:val="00976880"/>
    <w:rsid w:val="009769E5"/>
    <w:rsid w:val="00976B0F"/>
    <w:rsid w:val="00976DDA"/>
    <w:rsid w:val="00976F46"/>
    <w:rsid w:val="00977037"/>
    <w:rsid w:val="00977152"/>
    <w:rsid w:val="009771A3"/>
    <w:rsid w:val="0097725E"/>
    <w:rsid w:val="0097732D"/>
    <w:rsid w:val="009774D1"/>
    <w:rsid w:val="009777AA"/>
    <w:rsid w:val="0097791F"/>
    <w:rsid w:val="0097798B"/>
    <w:rsid w:val="009779DB"/>
    <w:rsid w:val="009779FB"/>
    <w:rsid w:val="00977D4E"/>
    <w:rsid w:val="00977DCD"/>
    <w:rsid w:val="00980024"/>
    <w:rsid w:val="0098036F"/>
    <w:rsid w:val="00980536"/>
    <w:rsid w:val="00980956"/>
    <w:rsid w:val="00980D1D"/>
    <w:rsid w:val="00980D3E"/>
    <w:rsid w:val="00980EF8"/>
    <w:rsid w:val="009810F7"/>
    <w:rsid w:val="0098122A"/>
    <w:rsid w:val="009812D2"/>
    <w:rsid w:val="009814C7"/>
    <w:rsid w:val="00981573"/>
    <w:rsid w:val="00981680"/>
    <w:rsid w:val="00981778"/>
    <w:rsid w:val="00981807"/>
    <w:rsid w:val="009818C8"/>
    <w:rsid w:val="00981904"/>
    <w:rsid w:val="00981C9F"/>
    <w:rsid w:val="00982125"/>
    <w:rsid w:val="00982188"/>
    <w:rsid w:val="0098233E"/>
    <w:rsid w:val="00982402"/>
    <w:rsid w:val="00982694"/>
    <w:rsid w:val="00982994"/>
    <w:rsid w:val="00982A4F"/>
    <w:rsid w:val="00982C91"/>
    <w:rsid w:val="00982FB7"/>
    <w:rsid w:val="00982FD6"/>
    <w:rsid w:val="0098302C"/>
    <w:rsid w:val="00983177"/>
    <w:rsid w:val="009831DF"/>
    <w:rsid w:val="009832BD"/>
    <w:rsid w:val="00983306"/>
    <w:rsid w:val="009833EA"/>
    <w:rsid w:val="00983701"/>
    <w:rsid w:val="00983716"/>
    <w:rsid w:val="00983996"/>
    <w:rsid w:val="009839F7"/>
    <w:rsid w:val="00983C4C"/>
    <w:rsid w:val="00983E36"/>
    <w:rsid w:val="00983E6C"/>
    <w:rsid w:val="00983EDC"/>
    <w:rsid w:val="0098407B"/>
    <w:rsid w:val="009840B9"/>
    <w:rsid w:val="0098426B"/>
    <w:rsid w:val="009842F4"/>
    <w:rsid w:val="009844EC"/>
    <w:rsid w:val="009847D9"/>
    <w:rsid w:val="009849F3"/>
    <w:rsid w:val="00984A05"/>
    <w:rsid w:val="00984C48"/>
    <w:rsid w:val="00984CD8"/>
    <w:rsid w:val="00984DE3"/>
    <w:rsid w:val="00984FA1"/>
    <w:rsid w:val="00984FC9"/>
    <w:rsid w:val="009851ED"/>
    <w:rsid w:val="0098521C"/>
    <w:rsid w:val="009855C8"/>
    <w:rsid w:val="00985652"/>
    <w:rsid w:val="00985C44"/>
    <w:rsid w:val="00985FC3"/>
    <w:rsid w:val="00986047"/>
    <w:rsid w:val="009860A2"/>
    <w:rsid w:val="009862B8"/>
    <w:rsid w:val="009862C3"/>
    <w:rsid w:val="00986389"/>
    <w:rsid w:val="009863ED"/>
    <w:rsid w:val="00986A28"/>
    <w:rsid w:val="00986BA0"/>
    <w:rsid w:val="009872FC"/>
    <w:rsid w:val="009874C1"/>
    <w:rsid w:val="0098772D"/>
    <w:rsid w:val="00987805"/>
    <w:rsid w:val="00987983"/>
    <w:rsid w:val="00987B15"/>
    <w:rsid w:val="00987E58"/>
    <w:rsid w:val="00987EB8"/>
    <w:rsid w:val="00990057"/>
    <w:rsid w:val="009901AA"/>
    <w:rsid w:val="0099044E"/>
    <w:rsid w:val="009905F4"/>
    <w:rsid w:val="009906AE"/>
    <w:rsid w:val="009906E3"/>
    <w:rsid w:val="009907C4"/>
    <w:rsid w:val="0099084F"/>
    <w:rsid w:val="00990982"/>
    <w:rsid w:val="009909BA"/>
    <w:rsid w:val="00990AA1"/>
    <w:rsid w:val="00990D64"/>
    <w:rsid w:val="00990DF6"/>
    <w:rsid w:val="00990E16"/>
    <w:rsid w:val="00991465"/>
    <w:rsid w:val="009914BD"/>
    <w:rsid w:val="009915B1"/>
    <w:rsid w:val="00991666"/>
    <w:rsid w:val="0099189D"/>
    <w:rsid w:val="00991991"/>
    <w:rsid w:val="00991E23"/>
    <w:rsid w:val="00991E8A"/>
    <w:rsid w:val="00991F9D"/>
    <w:rsid w:val="0099202B"/>
    <w:rsid w:val="0099216C"/>
    <w:rsid w:val="009923FC"/>
    <w:rsid w:val="00992410"/>
    <w:rsid w:val="00992435"/>
    <w:rsid w:val="009926F0"/>
    <w:rsid w:val="009926FD"/>
    <w:rsid w:val="009926FE"/>
    <w:rsid w:val="0099271B"/>
    <w:rsid w:val="00992846"/>
    <w:rsid w:val="009929D3"/>
    <w:rsid w:val="00992BF3"/>
    <w:rsid w:val="00992EAB"/>
    <w:rsid w:val="00993119"/>
    <w:rsid w:val="00993150"/>
    <w:rsid w:val="00993334"/>
    <w:rsid w:val="00993904"/>
    <w:rsid w:val="0099391E"/>
    <w:rsid w:val="009939C8"/>
    <w:rsid w:val="009939EE"/>
    <w:rsid w:val="00993B9A"/>
    <w:rsid w:val="00993CF2"/>
    <w:rsid w:val="00993D1E"/>
    <w:rsid w:val="00993DB5"/>
    <w:rsid w:val="00993E9A"/>
    <w:rsid w:val="009941C8"/>
    <w:rsid w:val="00994260"/>
    <w:rsid w:val="0099433A"/>
    <w:rsid w:val="009943F1"/>
    <w:rsid w:val="009944AB"/>
    <w:rsid w:val="0099454F"/>
    <w:rsid w:val="00994BA9"/>
    <w:rsid w:val="009951FE"/>
    <w:rsid w:val="00995640"/>
    <w:rsid w:val="009956A6"/>
    <w:rsid w:val="00995743"/>
    <w:rsid w:val="00995803"/>
    <w:rsid w:val="0099591E"/>
    <w:rsid w:val="00995AA4"/>
    <w:rsid w:val="00995BF8"/>
    <w:rsid w:val="00995C2C"/>
    <w:rsid w:val="00995CE1"/>
    <w:rsid w:val="00995D23"/>
    <w:rsid w:val="00995DDC"/>
    <w:rsid w:val="00995E18"/>
    <w:rsid w:val="0099619A"/>
    <w:rsid w:val="00996542"/>
    <w:rsid w:val="009967B7"/>
    <w:rsid w:val="00996862"/>
    <w:rsid w:val="0099688F"/>
    <w:rsid w:val="00996A22"/>
    <w:rsid w:val="00996CEC"/>
    <w:rsid w:val="00996DA6"/>
    <w:rsid w:val="00997023"/>
    <w:rsid w:val="00997645"/>
    <w:rsid w:val="00997745"/>
    <w:rsid w:val="00997760"/>
    <w:rsid w:val="009978CE"/>
    <w:rsid w:val="00997DB0"/>
    <w:rsid w:val="00997FA3"/>
    <w:rsid w:val="009A01FC"/>
    <w:rsid w:val="009A02B0"/>
    <w:rsid w:val="009A04D2"/>
    <w:rsid w:val="009A06E7"/>
    <w:rsid w:val="009A087A"/>
    <w:rsid w:val="009A0A5C"/>
    <w:rsid w:val="009A0D04"/>
    <w:rsid w:val="009A0D4D"/>
    <w:rsid w:val="009A0DDA"/>
    <w:rsid w:val="009A0DDF"/>
    <w:rsid w:val="009A0E15"/>
    <w:rsid w:val="009A1051"/>
    <w:rsid w:val="009A1052"/>
    <w:rsid w:val="009A13F8"/>
    <w:rsid w:val="009A18D5"/>
    <w:rsid w:val="009A1C7E"/>
    <w:rsid w:val="009A1CC2"/>
    <w:rsid w:val="009A1D0B"/>
    <w:rsid w:val="009A1DF0"/>
    <w:rsid w:val="009A2513"/>
    <w:rsid w:val="009A2772"/>
    <w:rsid w:val="009A27BD"/>
    <w:rsid w:val="009A2896"/>
    <w:rsid w:val="009A2C1A"/>
    <w:rsid w:val="009A2E30"/>
    <w:rsid w:val="009A300F"/>
    <w:rsid w:val="009A3096"/>
    <w:rsid w:val="009A31F5"/>
    <w:rsid w:val="009A33BA"/>
    <w:rsid w:val="009A33D4"/>
    <w:rsid w:val="009A34B7"/>
    <w:rsid w:val="009A34FB"/>
    <w:rsid w:val="009A363F"/>
    <w:rsid w:val="009A370D"/>
    <w:rsid w:val="009A37E7"/>
    <w:rsid w:val="009A381A"/>
    <w:rsid w:val="009A38C8"/>
    <w:rsid w:val="009A3BBC"/>
    <w:rsid w:val="009A3C23"/>
    <w:rsid w:val="009A3CA3"/>
    <w:rsid w:val="009A3E68"/>
    <w:rsid w:val="009A4420"/>
    <w:rsid w:val="009A5025"/>
    <w:rsid w:val="009A5058"/>
    <w:rsid w:val="009A5198"/>
    <w:rsid w:val="009A536A"/>
    <w:rsid w:val="009A53C8"/>
    <w:rsid w:val="009A5576"/>
    <w:rsid w:val="009A55CD"/>
    <w:rsid w:val="009A563F"/>
    <w:rsid w:val="009A5794"/>
    <w:rsid w:val="009A57D1"/>
    <w:rsid w:val="009A5B1A"/>
    <w:rsid w:val="009A5BF3"/>
    <w:rsid w:val="009A5EA7"/>
    <w:rsid w:val="009A60ED"/>
    <w:rsid w:val="009A6114"/>
    <w:rsid w:val="009A6145"/>
    <w:rsid w:val="009A620E"/>
    <w:rsid w:val="009A6211"/>
    <w:rsid w:val="009A64B4"/>
    <w:rsid w:val="009A64D5"/>
    <w:rsid w:val="009A68FE"/>
    <w:rsid w:val="009A6A69"/>
    <w:rsid w:val="009A6BC0"/>
    <w:rsid w:val="009A6C2C"/>
    <w:rsid w:val="009A6EB4"/>
    <w:rsid w:val="009A7027"/>
    <w:rsid w:val="009A726C"/>
    <w:rsid w:val="009A7736"/>
    <w:rsid w:val="009A7A16"/>
    <w:rsid w:val="009A7B2A"/>
    <w:rsid w:val="009A7C16"/>
    <w:rsid w:val="009A7C91"/>
    <w:rsid w:val="009A7CA1"/>
    <w:rsid w:val="009A7F97"/>
    <w:rsid w:val="009B0162"/>
    <w:rsid w:val="009B0583"/>
    <w:rsid w:val="009B05ED"/>
    <w:rsid w:val="009B0652"/>
    <w:rsid w:val="009B0695"/>
    <w:rsid w:val="009B0738"/>
    <w:rsid w:val="009B098B"/>
    <w:rsid w:val="009B0CAE"/>
    <w:rsid w:val="009B0D88"/>
    <w:rsid w:val="009B0D90"/>
    <w:rsid w:val="009B0EC4"/>
    <w:rsid w:val="009B0F97"/>
    <w:rsid w:val="009B1122"/>
    <w:rsid w:val="009B1746"/>
    <w:rsid w:val="009B175E"/>
    <w:rsid w:val="009B1896"/>
    <w:rsid w:val="009B1ABF"/>
    <w:rsid w:val="009B1C8A"/>
    <w:rsid w:val="009B1CAA"/>
    <w:rsid w:val="009B1DC1"/>
    <w:rsid w:val="009B1EB0"/>
    <w:rsid w:val="009B1F0E"/>
    <w:rsid w:val="009B21EA"/>
    <w:rsid w:val="009B22E3"/>
    <w:rsid w:val="009B259F"/>
    <w:rsid w:val="009B26D3"/>
    <w:rsid w:val="009B2765"/>
    <w:rsid w:val="009B278F"/>
    <w:rsid w:val="009B27AE"/>
    <w:rsid w:val="009B2A71"/>
    <w:rsid w:val="009B2C2E"/>
    <w:rsid w:val="009B2D0E"/>
    <w:rsid w:val="009B2EA6"/>
    <w:rsid w:val="009B2EAD"/>
    <w:rsid w:val="009B2F73"/>
    <w:rsid w:val="009B2FA3"/>
    <w:rsid w:val="009B2FAB"/>
    <w:rsid w:val="009B2FC9"/>
    <w:rsid w:val="009B3040"/>
    <w:rsid w:val="009B3160"/>
    <w:rsid w:val="009B333D"/>
    <w:rsid w:val="009B3626"/>
    <w:rsid w:val="009B366C"/>
    <w:rsid w:val="009B36FE"/>
    <w:rsid w:val="009B37EE"/>
    <w:rsid w:val="009B39A3"/>
    <w:rsid w:val="009B3CA2"/>
    <w:rsid w:val="009B3CE1"/>
    <w:rsid w:val="009B3F23"/>
    <w:rsid w:val="009B4069"/>
    <w:rsid w:val="009B4094"/>
    <w:rsid w:val="009B4418"/>
    <w:rsid w:val="009B45E1"/>
    <w:rsid w:val="009B4697"/>
    <w:rsid w:val="009B4745"/>
    <w:rsid w:val="009B4AC2"/>
    <w:rsid w:val="009B4B38"/>
    <w:rsid w:val="009B4BB5"/>
    <w:rsid w:val="009B4D30"/>
    <w:rsid w:val="009B506D"/>
    <w:rsid w:val="009B5243"/>
    <w:rsid w:val="009B53AF"/>
    <w:rsid w:val="009B540C"/>
    <w:rsid w:val="009B5568"/>
    <w:rsid w:val="009B5596"/>
    <w:rsid w:val="009B5676"/>
    <w:rsid w:val="009B57A7"/>
    <w:rsid w:val="009B5888"/>
    <w:rsid w:val="009B58A7"/>
    <w:rsid w:val="009B58B7"/>
    <w:rsid w:val="009B59F6"/>
    <w:rsid w:val="009B5D87"/>
    <w:rsid w:val="009B5E64"/>
    <w:rsid w:val="009B5E77"/>
    <w:rsid w:val="009B5E87"/>
    <w:rsid w:val="009B656F"/>
    <w:rsid w:val="009B6696"/>
    <w:rsid w:val="009B6784"/>
    <w:rsid w:val="009B68CC"/>
    <w:rsid w:val="009B69D9"/>
    <w:rsid w:val="009B6BE1"/>
    <w:rsid w:val="009B6C84"/>
    <w:rsid w:val="009B6F49"/>
    <w:rsid w:val="009B6FBD"/>
    <w:rsid w:val="009B71CD"/>
    <w:rsid w:val="009B721E"/>
    <w:rsid w:val="009B72A0"/>
    <w:rsid w:val="009B7332"/>
    <w:rsid w:val="009B742E"/>
    <w:rsid w:val="009B74E1"/>
    <w:rsid w:val="009B7747"/>
    <w:rsid w:val="009B776F"/>
    <w:rsid w:val="009B77B5"/>
    <w:rsid w:val="009B785F"/>
    <w:rsid w:val="009B792B"/>
    <w:rsid w:val="009B7FD1"/>
    <w:rsid w:val="009C01C7"/>
    <w:rsid w:val="009C0405"/>
    <w:rsid w:val="009C04F9"/>
    <w:rsid w:val="009C0564"/>
    <w:rsid w:val="009C060A"/>
    <w:rsid w:val="009C0AC4"/>
    <w:rsid w:val="009C0E83"/>
    <w:rsid w:val="009C1114"/>
    <w:rsid w:val="009C12A8"/>
    <w:rsid w:val="009C1351"/>
    <w:rsid w:val="009C14A1"/>
    <w:rsid w:val="009C16EB"/>
    <w:rsid w:val="009C1C02"/>
    <w:rsid w:val="009C1E02"/>
    <w:rsid w:val="009C1F6A"/>
    <w:rsid w:val="009C1FFE"/>
    <w:rsid w:val="009C20B9"/>
    <w:rsid w:val="009C217A"/>
    <w:rsid w:val="009C2538"/>
    <w:rsid w:val="009C263A"/>
    <w:rsid w:val="009C2BD5"/>
    <w:rsid w:val="009C2BDA"/>
    <w:rsid w:val="009C2CCA"/>
    <w:rsid w:val="009C2D39"/>
    <w:rsid w:val="009C2E8F"/>
    <w:rsid w:val="009C3038"/>
    <w:rsid w:val="009C314E"/>
    <w:rsid w:val="009C3160"/>
    <w:rsid w:val="009C3246"/>
    <w:rsid w:val="009C3324"/>
    <w:rsid w:val="009C3471"/>
    <w:rsid w:val="009C35A9"/>
    <w:rsid w:val="009C37B6"/>
    <w:rsid w:val="009C38CC"/>
    <w:rsid w:val="009C3CB7"/>
    <w:rsid w:val="009C3FE1"/>
    <w:rsid w:val="009C4221"/>
    <w:rsid w:val="009C4390"/>
    <w:rsid w:val="009C4459"/>
    <w:rsid w:val="009C490C"/>
    <w:rsid w:val="009C49E0"/>
    <w:rsid w:val="009C4AFF"/>
    <w:rsid w:val="009C4BD4"/>
    <w:rsid w:val="009C4DB6"/>
    <w:rsid w:val="009C4DBF"/>
    <w:rsid w:val="009C4DD5"/>
    <w:rsid w:val="009C528D"/>
    <w:rsid w:val="009C52EE"/>
    <w:rsid w:val="009C5377"/>
    <w:rsid w:val="009C5407"/>
    <w:rsid w:val="009C5673"/>
    <w:rsid w:val="009C5846"/>
    <w:rsid w:val="009C5882"/>
    <w:rsid w:val="009C598C"/>
    <w:rsid w:val="009C5B9C"/>
    <w:rsid w:val="009C5C70"/>
    <w:rsid w:val="009C5D80"/>
    <w:rsid w:val="009C5F92"/>
    <w:rsid w:val="009C5FAE"/>
    <w:rsid w:val="009C6418"/>
    <w:rsid w:val="009C6421"/>
    <w:rsid w:val="009C6698"/>
    <w:rsid w:val="009C6CCC"/>
    <w:rsid w:val="009C6F48"/>
    <w:rsid w:val="009C7010"/>
    <w:rsid w:val="009C7651"/>
    <w:rsid w:val="009C7723"/>
    <w:rsid w:val="009C77D6"/>
    <w:rsid w:val="009C785A"/>
    <w:rsid w:val="009C78C7"/>
    <w:rsid w:val="009C7978"/>
    <w:rsid w:val="009C79B0"/>
    <w:rsid w:val="009C7B37"/>
    <w:rsid w:val="009C7DCA"/>
    <w:rsid w:val="009C7E4D"/>
    <w:rsid w:val="009D01A5"/>
    <w:rsid w:val="009D02F6"/>
    <w:rsid w:val="009D0435"/>
    <w:rsid w:val="009D05E6"/>
    <w:rsid w:val="009D06E4"/>
    <w:rsid w:val="009D0854"/>
    <w:rsid w:val="009D0920"/>
    <w:rsid w:val="009D0A27"/>
    <w:rsid w:val="009D0B4D"/>
    <w:rsid w:val="009D0C18"/>
    <w:rsid w:val="009D0CA5"/>
    <w:rsid w:val="009D0DBC"/>
    <w:rsid w:val="009D0E2C"/>
    <w:rsid w:val="009D1056"/>
    <w:rsid w:val="009D1204"/>
    <w:rsid w:val="009D12CE"/>
    <w:rsid w:val="009D1433"/>
    <w:rsid w:val="009D168C"/>
    <w:rsid w:val="009D16CB"/>
    <w:rsid w:val="009D1820"/>
    <w:rsid w:val="009D1858"/>
    <w:rsid w:val="009D1A41"/>
    <w:rsid w:val="009D1C9B"/>
    <w:rsid w:val="009D1CDA"/>
    <w:rsid w:val="009D1D5B"/>
    <w:rsid w:val="009D1E06"/>
    <w:rsid w:val="009D21A7"/>
    <w:rsid w:val="009D27B3"/>
    <w:rsid w:val="009D2862"/>
    <w:rsid w:val="009D28E1"/>
    <w:rsid w:val="009D28EC"/>
    <w:rsid w:val="009D2D9D"/>
    <w:rsid w:val="009D2F11"/>
    <w:rsid w:val="009D2F43"/>
    <w:rsid w:val="009D3323"/>
    <w:rsid w:val="009D3385"/>
    <w:rsid w:val="009D37C8"/>
    <w:rsid w:val="009D3854"/>
    <w:rsid w:val="009D3E5F"/>
    <w:rsid w:val="009D403C"/>
    <w:rsid w:val="009D4198"/>
    <w:rsid w:val="009D439F"/>
    <w:rsid w:val="009D4454"/>
    <w:rsid w:val="009D4557"/>
    <w:rsid w:val="009D4677"/>
    <w:rsid w:val="009D4A61"/>
    <w:rsid w:val="009D4D13"/>
    <w:rsid w:val="009D4FF1"/>
    <w:rsid w:val="009D5017"/>
    <w:rsid w:val="009D554E"/>
    <w:rsid w:val="009D5618"/>
    <w:rsid w:val="009D573C"/>
    <w:rsid w:val="009D5765"/>
    <w:rsid w:val="009D5A95"/>
    <w:rsid w:val="009D5B63"/>
    <w:rsid w:val="009D5F64"/>
    <w:rsid w:val="009D64DC"/>
    <w:rsid w:val="009D66E0"/>
    <w:rsid w:val="009D685B"/>
    <w:rsid w:val="009D6BE7"/>
    <w:rsid w:val="009D6C4F"/>
    <w:rsid w:val="009D7084"/>
    <w:rsid w:val="009D70A9"/>
    <w:rsid w:val="009D71F3"/>
    <w:rsid w:val="009D73CF"/>
    <w:rsid w:val="009D74D7"/>
    <w:rsid w:val="009D762D"/>
    <w:rsid w:val="009D7700"/>
    <w:rsid w:val="009D7801"/>
    <w:rsid w:val="009D7986"/>
    <w:rsid w:val="009D79D4"/>
    <w:rsid w:val="009D7EE3"/>
    <w:rsid w:val="009E01F2"/>
    <w:rsid w:val="009E03E4"/>
    <w:rsid w:val="009E0494"/>
    <w:rsid w:val="009E06BF"/>
    <w:rsid w:val="009E09D4"/>
    <w:rsid w:val="009E0AA2"/>
    <w:rsid w:val="009E0B61"/>
    <w:rsid w:val="009E0C4C"/>
    <w:rsid w:val="009E1125"/>
    <w:rsid w:val="009E1238"/>
    <w:rsid w:val="009E129D"/>
    <w:rsid w:val="009E16E1"/>
    <w:rsid w:val="009E1902"/>
    <w:rsid w:val="009E1F1F"/>
    <w:rsid w:val="009E2111"/>
    <w:rsid w:val="009E2122"/>
    <w:rsid w:val="009E21EA"/>
    <w:rsid w:val="009E2208"/>
    <w:rsid w:val="009E2368"/>
    <w:rsid w:val="009E25BF"/>
    <w:rsid w:val="009E2761"/>
    <w:rsid w:val="009E2877"/>
    <w:rsid w:val="009E29DA"/>
    <w:rsid w:val="009E2CE1"/>
    <w:rsid w:val="009E2DEF"/>
    <w:rsid w:val="009E2DFB"/>
    <w:rsid w:val="009E2EBC"/>
    <w:rsid w:val="009E30BF"/>
    <w:rsid w:val="009E3891"/>
    <w:rsid w:val="009E38BF"/>
    <w:rsid w:val="009E39AE"/>
    <w:rsid w:val="009E3A72"/>
    <w:rsid w:val="009E3DF1"/>
    <w:rsid w:val="009E4033"/>
    <w:rsid w:val="009E41CD"/>
    <w:rsid w:val="009E4219"/>
    <w:rsid w:val="009E4365"/>
    <w:rsid w:val="009E43A0"/>
    <w:rsid w:val="009E47E3"/>
    <w:rsid w:val="009E4841"/>
    <w:rsid w:val="009E49A0"/>
    <w:rsid w:val="009E4BEE"/>
    <w:rsid w:val="009E4C58"/>
    <w:rsid w:val="009E4CA3"/>
    <w:rsid w:val="009E4D31"/>
    <w:rsid w:val="009E5273"/>
    <w:rsid w:val="009E529B"/>
    <w:rsid w:val="009E5498"/>
    <w:rsid w:val="009E56E1"/>
    <w:rsid w:val="009E56F4"/>
    <w:rsid w:val="009E576D"/>
    <w:rsid w:val="009E5783"/>
    <w:rsid w:val="009E596C"/>
    <w:rsid w:val="009E5A12"/>
    <w:rsid w:val="009E5BB3"/>
    <w:rsid w:val="009E5BC5"/>
    <w:rsid w:val="009E5BF1"/>
    <w:rsid w:val="009E5C29"/>
    <w:rsid w:val="009E5CEA"/>
    <w:rsid w:val="009E5D5C"/>
    <w:rsid w:val="009E5FCD"/>
    <w:rsid w:val="009E6102"/>
    <w:rsid w:val="009E61B6"/>
    <w:rsid w:val="009E626B"/>
    <w:rsid w:val="009E6459"/>
    <w:rsid w:val="009E67DE"/>
    <w:rsid w:val="009E682B"/>
    <w:rsid w:val="009E6917"/>
    <w:rsid w:val="009E6AA7"/>
    <w:rsid w:val="009E6C7D"/>
    <w:rsid w:val="009E6CEE"/>
    <w:rsid w:val="009E6D34"/>
    <w:rsid w:val="009E6F53"/>
    <w:rsid w:val="009E6F8E"/>
    <w:rsid w:val="009E73B0"/>
    <w:rsid w:val="009E74E8"/>
    <w:rsid w:val="009E78AE"/>
    <w:rsid w:val="009E7981"/>
    <w:rsid w:val="009E7B1C"/>
    <w:rsid w:val="009E7C98"/>
    <w:rsid w:val="009E7D58"/>
    <w:rsid w:val="009F0060"/>
    <w:rsid w:val="009F009E"/>
    <w:rsid w:val="009F0580"/>
    <w:rsid w:val="009F08ED"/>
    <w:rsid w:val="009F0C73"/>
    <w:rsid w:val="009F0ED3"/>
    <w:rsid w:val="009F0EE9"/>
    <w:rsid w:val="009F14C4"/>
    <w:rsid w:val="009F15A6"/>
    <w:rsid w:val="009F1622"/>
    <w:rsid w:val="009F1BC8"/>
    <w:rsid w:val="009F1FB5"/>
    <w:rsid w:val="009F23A4"/>
    <w:rsid w:val="009F2450"/>
    <w:rsid w:val="009F250B"/>
    <w:rsid w:val="009F2517"/>
    <w:rsid w:val="009F273A"/>
    <w:rsid w:val="009F2847"/>
    <w:rsid w:val="009F2857"/>
    <w:rsid w:val="009F285D"/>
    <w:rsid w:val="009F2AA1"/>
    <w:rsid w:val="009F2D57"/>
    <w:rsid w:val="009F2E7B"/>
    <w:rsid w:val="009F2EDF"/>
    <w:rsid w:val="009F2F94"/>
    <w:rsid w:val="009F3216"/>
    <w:rsid w:val="009F3225"/>
    <w:rsid w:val="009F3291"/>
    <w:rsid w:val="009F3336"/>
    <w:rsid w:val="009F3740"/>
    <w:rsid w:val="009F377A"/>
    <w:rsid w:val="009F3B14"/>
    <w:rsid w:val="009F3C2C"/>
    <w:rsid w:val="009F43A8"/>
    <w:rsid w:val="009F4499"/>
    <w:rsid w:val="009F456C"/>
    <w:rsid w:val="009F48D4"/>
    <w:rsid w:val="009F4A18"/>
    <w:rsid w:val="009F4A32"/>
    <w:rsid w:val="009F4B2D"/>
    <w:rsid w:val="009F4BD0"/>
    <w:rsid w:val="009F4C3F"/>
    <w:rsid w:val="009F4E7A"/>
    <w:rsid w:val="009F4F96"/>
    <w:rsid w:val="009F4FB8"/>
    <w:rsid w:val="009F50D3"/>
    <w:rsid w:val="009F515E"/>
    <w:rsid w:val="009F5250"/>
    <w:rsid w:val="009F552E"/>
    <w:rsid w:val="009F557F"/>
    <w:rsid w:val="009F5632"/>
    <w:rsid w:val="009F57D7"/>
    <w:rsid w:val="009F592D"/>
    <w:rsid w:val="009F5964"/>
    <w:rsid w:val="009F5CE1"/>
    <w:rsid w:val="009F6023"/>
    <w:rsid w:val="009F6619"/>
    <w:rsid w:val="009F701C"/>
    <w:rsid w:val="009F702D"/>
    <w:rsid w:val="009F70C8"/>
    <w:rsid w:val="009F72F6"/>
    <w:rsid w:val="009F732B"/>
    <w:rsid w:val="009F760F"/>
    <w:rsid w:val="009F76C2"/>
    <w:rsid w:val="009F7747"/>
    <w:rsid w:val="009F779A"/>
    <w:rsid w:val="009F78E3"/>
    <w:rsid w:val="009F7FC9"/>
    <w:rsid w:val="00A00177"/>
    <w:rsid w:val="00A001F9"/>
    <w:rsid w:val="00A00254"/>
    <w:rsid w:val="00A00280"/>
    <w:rsid w:val="00A006AE"/>
    <w:rsid w:val="00A00A07"/>
    <w:rsid w:val="00A00B2A"/>
    <w:rsid w:val="00A00CDE"/>
    <w:rsid w:val="00A00D0B"/>
    <w:rsid w:val="00A00D30"/>
    <w:rsid w:val="00A01173"/>
    <w:rsid w:val="00A0134A"/>
    <w:rsid w:val="00A01978"/>
    <w:rsid w:val="00A01A89"/>
    <w:rsid w:val="00A01BD0"/>
    <w:rsid w:val="00A01D5B"/>
    <w:rsid w:val="00A01FB5"/>
    <w:rsid w:val="00A01FCB"/>
    <w:rsid w:val="00A021BD"/>
    <w:rsid w:val="00A02228"/>
    <w:rsid w:val="00A02238"/>
    <w:rsid w:val="00A024D2"/>
    <w:rsid w:val="00A02760"/>
    <w:rsid w:val="00A027D8"/>
    <w:rsid w:val="00A0290E"/>
    <w:rsid w:val="00A02ABB"/>
    <w:rsid w:val="00A03034"/>
    <w:rsid w:val="00A033EC"/>
    <w:rsid w:val="00A03475"/>
    <w:rsid w:val="00A03506"/>
    <w:rsid w:val="00A0366F"/>
    <w:rsid w:val="00A03748"/>
    <w:rsid w:val="00A03884"/>
    <w:rsid w:val="00A03B1E"/>
    <w:rsid w:val="00A040FE"/>
    <w:rsid w:val="00A041A8"/>
    <w:rsid w:val="00A0420E"/>
    <w:rsid w:val="00A043C0"/>
    <w:rsid w:val="00A04421"/>
    <w:rsid w:val="00A044D6"/>
    <w:rsid w:val="00A04743"/>
    <w:rsid w:val="00A0482C"/>
    <w:rsid w:val="00A04C17"/>
    <w:rsid w:val="00A04F1F"/>
    <w:rsid w:val="00A04F23"/>
    <w:rsid w:val="00A0501E"/>
    <w:rsid w:val="00A0528B"/>
    <w:rsid w:val="00A056D2"/>
    <w:rsid w:val="00A0587E"/>
    <w:rsid w:val="00A058AD"/>
    <w:rsid w:val="00A058AF"/>
    <w:rsid w:val="00A0596D"/>
    <w:rsid w:val="00A05B04"/>
    <w:rsid w:val="00A05EA0"/>
    <w:rsid w:val="00A0602D"/>
    <w:rsid w:val="00A06235"/>
    <w:rsid w:val="00A067AF"/>
    <w:rsid w:val="00A0696D"/>
    <w:rsid w:val="00A06A1B"/>
    <w:rsid w:val="00A06C51"/>
    <w:rsid w:val="00A06E59"/>
    <w:rsid w:val="00A0703D"/>
    <w:rsid w:val="00A070F9"/>
    <w:rsid w:val="00A0725F"/>
    <w:rsid w:val="00A07385"/>
    <w:rsid w:val="00A073CA"/>
    <w:rsid w:val="00A07536"/>
    <w:rsid w:val="00A07A43"/>
    <w:rsid w:val="00A07ADE"/>
    <w:rsid w:val="00A07C16"/>
    <w:rsid w:val="00A07CF6"/>
    <w:rsid w:val="00A07EC7"/>
    <w:rsid w:val="00A10004"/>
    <w:rsid w:val="00A1006D"/>
    <w:rsid w:val="00A103A2"/>
    <w:rsid w:val="00A103FB"/>
    <w:rsid w:val="00A10481"/>
    <w:rsid w:val="00A104B0"/>
    <w:rsid w:val="00A10818"/>
    <w:rsid w:val="00A10853"/>
    <w:rsid w:val="00A10CE9"/>
    <w:rsid w:val="00A10D40"/>
    <w:rsid w:val="00A11031"/>
    <w:rsid w:val="00A11192"/>
    <w:rsid w:val="00A11231"/>
    <w:rsid w:val="00A117A3"/>
    <w:rsid w:val="00A118B5"/>
    <w:rsid w:val="00A119D4"/>
    <w:rsid w:val="00A11A7D"/>
    <w:rsid w:val="00A11CBB"/>
    <w:rsid w:val="00A11F20"/>
    <w:rsid w:val="00A12078"/>
    <w:rsid w:val="00A1245D"/>
    <w:rsid w:val="00A12508"/>
    <w:rsid w:val="00A1250D"/>
    <w:rsid w:val="00A12510"/>
    <w:rsid w:val="00A127B6"/>
    <w:rsid w:val="00A127EB"/>
    <w:rsid w:val="00A12889"/>
    <w:rsid w:val="00A12925"/>
    <w:rsid w:val="00A12936"/>
    <w:rsid w:val="00A12A7C"/>
    <w:rsid w:val="00A12AB6"/>
    <w:rsid w:val="00A13359"/>
    <w:rsid w:val="00A1340A"/>
    <w:rsid w:val="00A135DC"/>
    <w:rsid w:val="00A1366A"/>
    <w:rsid w:val="00A13779"/>
    <w:rsid w:val="00A1387C"/>
    <w:rsid w:val="00A138E2"/>
    <w:rsid w:val="00A13FAD"/>
    <w:rsid w:val="00A13FB2"/>
    <w:rsid w:val="00A1421C"/>
    <w:rsid w:val="00A145FA"/>
    <w:rsid w:val="00A14815"/>
    <w:rsid w:val="00A149EC"/>
    <w:rsid w:val="00A14C20"/>
    <w:rsid w:val="00A14EDC"/>
    <w:rsid w:val="00A1516C"/>
    <w:rsid w:val="00A1547D"/>
    <w:rsid w:val="00A1571D"/>
    <w:rsid w:val="00A15791"/>
    <w:rsid w:val="00A15986"/>
    <w:rsid w:val="00A159B1"/>
    <w:rsid w:val="00A15B11"/>
    <w:rsid w:val="00A15B49"/>
    <w:rsid w:val="00A15D56"/>
    <w:rsid w:val="00A15DB7"/>
    <w:rsid w:val="00A15E9B"/>
    <w:rsid w:val="00A15F38"/>
    <w:rsid w:val="00A162D8"/>
    <w:rsid w:val="00A1649A"/>
    <w:rsid w:val="00A16585"/>
    <w:rsid w:val="00A16798"/>
    <w:rsid w:val="00A168C9"/>
    <w:rsid w:val="00A169A6"/>
    <w:rsid w:val="00A169FF"/>
    <w:rsid w:val="00A16BD2"/>
    <w:rsid w:val="00A16E00"/>
    <w:rsid w:val="00A16F63"/>
    <w:rsid w:val="00A17027"/>
    <w:rsid w:val="00A17130"/>
    <w:rsid w:val="00A17297"/>
    <w:rsid w:val="00A173AF"/>
    <w:rsid w:val="00A17424"/>
    <w:rsid w:val="00A175FD"/>
    <w:rsid w:val="00A1769F"/>
    <w:rsid w:val="00A1777E"/>
    <w:rsid w:val="00A177D9"/>
    <w:rsid w:val="00A1785B"/>
    <w:rsid w:val="00A17B71"/>
    <w:rsid w:val="00A17BDA"/>
    <w:rsid w:val="00A17F4B"/>
    <w:rsid w:val="00A200AB"/>
    <w:rsid w:val="00A200AD"/>
    <w:rsid w:val="00A2025D"/>
    <w:rsid w:val="00A20284"/>
    <w:rsid w:val="00A203C9"/>
    <w:rsid w:val="00A20448"/>
    <w:rsid w:val="00A20564"/>
    <w:rsid w:val="00A20BE9"/>
    <w:rsid w:val="00A20E31"/>
    <w:rsid w:val="00A2152E"/>
    <w:rsid w:val="00A2160F"/>
    <w:rsid w:val="00A21B4B"/>
    <w:rsid w:val="00A21C92"/>
    <w:rsid w:val="00A21D0C"/>
    <w:rsid w:val="00A21FA7"/>
    <w:rsid w:val="00A21FAE"/>
    <w:rsid w:val="00A220BF"/>
    <w:rsid w:val="00A222F1"/>
    <w:rsid w:val="00A223A4"/>
    <w:rsid w:val="00A22589"/>
    <w:rsid w:val="00A226E9"/>
    <w:rsid w:val="00A22927"/>
    <w:rsid w:val="00A22A41"/>
    <w:rsid w:val="00A22D5A"/>
    <w:rsid w:val="00A23174"/>
    <w:rsid w:val="00A23235"/>
    <w:rsid w:val="00A23256"/>
    <w:rsid w:val="00A235F3"/>
    <w:rsid w:val="00A23789"/>
    <w:rsid w:val="00A23809"/>
    <w:rsid w:val="00A23840"/>
    <w:rsid w:val="00A239C9"/>
    <w:rsid w:val="00A23A50"/>
    <w:rsid w:val="00A23B6F"/>
    <w:rsid w:val="00A23D99"/>
    <w:rsid w:val="00A23E5F"/>
    <w:rsid w:val="00A24257"/>
    <w:rsid w:val="00A24266"/>
    <w:rsid w:val="00A245E5"/>
    <w:rsid w:val="00A248F4"/>
    <w:rsid w:val="00A2497F"/>
    <w:rsid w:val="00A24990"/>
    <w:rsid w:val="00A24E17"/>
    <w:rsid w:val="00A24F78"/>
    <w:rsid w:val="00A252C4"/>
    <w:rsid w:val="00A2530B"/>
    <w:rsid w:val="00A253D3"/>
    <w:rsid w:val="00A256E9"/>
    <w:rsid w:val="00A2575D"/>
    <w:rsid w:val="00A25A53"/>
    <w:rsid w:val="00A25D77"/>
    <w:rsid w:val="00A25E64"/>
    <w:rsid w:val="00A25FA9"/>
    <w:rsid w:val="00A25FBE"/>
    <w:rsid w:val="00A2603C"/>
    <w:rsid w:val="00A26093"/>
    <w:rsid w:val="00A260CE"/>
    <w:rsid w:val="00A26137"/>
    <w:rsid w:val="00A2631F"/>
    <w:rsid w:val="00A263F7"/>
    <w:rsid w:val="00A26614"/>
    <w:rsid w:val="00A2663F"/>
    <w:rsid w:val="00A266CC"/>
    <w:rsid w:val="00A266D2"/>
    <w:rsid w:val="00A26FE0"/>
    <w:rsid w:val="00A270F4"/>
    <w:rsid w:val="00A27190"/>
    <w:rsid w:val="00A27191"/>
    <w:rsid w:val="00A2727E"/>
    <w:rsid w:val="00A2737E"/>
    <w:rsid w:val="00A273F8"/>
    <w:rsid w:val="00A2745B"/>
    <w:rsid w:val="00A275CB"/>
    <w:rsid w:val="00A278A5"/>
    <w:rsid w:val="00A27B0A"/>
    <w:rsid w:val="00A27C1E"/>
    <w:rsid w:val="00A27CF1"/>
    <w:rsid w:val="00A27E4A"/>
    <w:rsid w:val="00A27E69"/>
    <w:rsid w:val="00A30198"/>
    <w:rsid w:val="00A30278"/>
    <w:rsid w:val="00A30507"/>
    <w:rsid w:val="00A306A5"/>
    <w:rsid w:val="00A307FE"/>
    <w:rsid w:val="00A3080E"/>
    <w:rsid w:val="00A30A16"/>
    <w:rsid w:val="00A30C47"/>
    <w:rsid w:val="00A30FA1"/>
    <w:rsid w:val="00A31333"/>
    <w:rsid w:val="00A31351"/>
    <w:rsid w:val="00A315C1"/>
    <w:rsid w:val="00A3187C"/>
    <w:rsid w:val="00A3198D"/>
    <w:rsid w:val="00A31AEE"/>
    <w:rsid w:val="00A32328"/>
    <w:rsid w:val="00A32345"/>
    <w:rsid w:val="00A3238E"/>
    <w:rsid w:val="00A32629"/>
    <w:rsid w:val="00A32D7F"/>
    <w:rsid w:val="00A32E88"/>
    <w:rsid w:val="00A33253"/>
    <w:rsid w:val="00A3328F"/>
    <w:rsid w:val="00A334BF"/>
    <w:rsid w:val="00A33729"/>
    <w:rsid w:val="00A33820"/>
    <w:rsid w:val="00A3386A"/>
    <w:rsid w:val="00A33D73"/>
    <w:rsid w:val="00A33E85"/>
    <w:rsid w:val="00A34204"/>
    <w:rsid w:val="00A342EB"/>
    <w:rsid w:val="00A34407"/>
    <w:rsid w:val="00A34449"/>
    <w:rsid w:val="00A34693"/>
    <w:rsid w:val="00A349A6"/>
    <w:rsid w:val="00A34D71"/>
    <w:rsid w:val="00A34E3F"/>
    <w:rsid w:val="00A34E57"/>
    <w:rsid w:val="00A35114"/>
    <w:rsid w:val="00A353C3"/>
    <w:rsid w:val="00A3566F"/>
    <w:rsid w:val="00A3573C"/>
    <w:rsid w:val="00A357FC"/>
    <w:rsid w:val="00A358D7"/>
    <w:rsid w:val="00A35991"/>
    <w:rsid w:val="00A35A7C"/>
    <w:rsid w:val="00A35B71"/>
    <w:rsid w:val="00A35D03"/>
    <w:rsid w:val="00A35DA0"/>
    <w:rsid w:val="00A35EAB"/>
    <w:rsid w:val="00A35EDA"/>
    <w:rsid w:val="00A35F4F"/>
    <w:rsid w:val="00A36178"/>
    <w:rsid w:val="00A362B5"/>
    <w:rsid w:val="00A3634B"/>
    <w:rsid w:val="00A36742"/>
    <w:rsid w:val="00A36782"/>
    <w:rsid w:val="00A369C5"/>
    <w:rsid w:val="00A36CA5"/>
    <w:rsid w:val="00A36FDD"/>
    <w:rsid w:val="00A37063"/>
    <w:rsid w:val="00A37195"/>
    <w:rsid w:val="00A37216"/>
    <w:rsid w:val="00A37459"/>
    <w:rsid w:val="00A3751E"/>
    <w:rsid w:val="00A37533"/>
    <w:rsid w:val="00A375C4"/>
    <w:rsid w:val="00A378D2"/>
    <w:rsid w:val="00A379B3"/>
    <w:rsid w:val="00A37DD2"/>
    <w:rsid w:val="00A4023E"/>
    <w:rsid w:val="00A40494"/>
    <w:rsid w:val="00A408D0"/>
    <w:rsid w:val="00A4097D"/>
    <w:rsid w:val="00A409AE"/>
    <w:rsid w:val="00A40A72"/>
    <w:rsid w:val="00A40B15"/>
    <w:rsid w:val="00A40BC7"/>
    <w:rsid w:val="00A40D0F"/>
    <w:rsid w:val="00A40E62"/>
    <w:rsid w:val="00A40E7A"/>
    <w:rsid w:val="00A4107A"/>
    <w:rsid w:val="00A4116B"/>
    <w:rsid w:val="00A41350"/>
    <w:rsid w:val="00A41377"/>
    <w:rsid w:val="00A4139C"/>
    <w:rsid w:val="00A4146D"/>
    <w:rsid w:val="00A41B12"/>
    <w:rsid w:val="00A41C8B"/>
    <w:rsid w:val="00A41E85"/>
    <w:rsid w:val="00A4219F"/>
    <w:rsid w:val="00A421AC"/>
    <w:rsid w:val="00A42230"/>
    <w:rsid w:val="00A423EA"/>
    <w:rsid w:val="00A42765"/>
    <w:rsid w:val="00A428C0"/>
    <w:rsid w:val="00A428EB"/>
    <w:rsid w:val="00A42921"/>
    <w:rsid w:val="00A42DA6"/>
    <w:rsid w:val="00A43030"/>
    <w:rsid w:val="00A4303F"/>
    <w:rsid w:val="00A431B0"/>
    <w:rsid w:val="00A43276"/>
    <w:rsid w:val="00A43384"/>
    <w:rsid w:val="00A436A6"/>
    <w:rsid w:val="00A436C2"/>
    <w:rsid w:val="00A437E8"/>
    <w:rsid w:val="00A43857"/>
    <w:rsid w:val="00A43886"/>
    <w:rsid w:val="00A4394C"/>
    <w:rsid w:val="00A439F7"/>
    <w:rsid w:val="00A43B23"/>
    <w:rsid w:val="00A43BC4"/>
    <w:rsid w:val="00A43BDB"/>
    <w:rsid w:val="00A43D7F"/>
    <w:rsid w:val="00A43E05"/>
    <w:rsid w:val="00A442FD"/>
    <w:rsid w:val="00A4442B"/>
    <w:rsid w:val="00A444DC"/>
    <w:rsid w:val="00A44836"/>
    <w:rsid w:val="00A44CBB"/>
    <w:rsid w:val="00A44DB5"/>
    <w:rsid w:val="00A44E3A"/>
    <w:rsid w:val="00A44F90"/>
    <w:rsid w:val="00A45031"/>
    <w:rsid w:val="00A45086"/>
    <w:rsid w:val="00A45236"/>
    <w:rsid w:val="00A452C1"/>
    <w:rsid w:val="00A453D7"/>
    <w:rsid w:val="00A45811"/>
    <w:rsid w:val="00A458ED"/>
    <w:rsid w:val="00A459C7"/>
    <w:rsid w:val="00A45B0D"/>
    <w:rsid w:val="00A45B95"/>
    <w:rsid w:val="00A45C47"/>
    <w:rsid w:val="00A461BB"/>
    <w:rsid w:val="00A4634B"/>
    <w:rsid w:val="00A464F4"/>
    <w:rsid w:val="00A46532"/>
    <w:rsid w:val="00A46623"/>
    <w:rsid w:val="00A466AC"/>
    <w:rsid w:val="00A466BD"/>
    <w:rsid w:val="00A46797"/>
    <w:rsid w:val="00A46C03"/>
    <w:rsid w:val="00A46C42"/>
    <w:rsid w:val="00A46CDE"/>
    <w:rsid w:val="00A46D4C"/>
    <w:rsid w:val="00A46F6E"/>
    <w:rsid w:val="00A4708E"/>
    <w:rsid w:val="00A470EE"/>
    <w:rsid w:val="00A47193"/>
    <w:rsid w:val="00A479DC"/>
    <w:rsid w:val="00A47DDD"/>
    <w:rsid w:val="00A47EC3"/>
    <w:rsid w:val="00A47EE9"/>
    <w:rsid w:val="00A50107"/>
    <w:rsid w:val="00A502E7"/>
    <w:rsid w:val="00A50474"/>
    <w:rsid w:val="00A5050B"/>
    <w:rsid w:val="00A50537"/>
    <w:rsid w:val="00A506CA"/>
    <w:rsid w:val="00A507AC"/>
    <w:rsid w:val="00A50A56"/>
    <w:rsid w:val="00A50C5B"/>
    <w:rsid w:val="00A50C65"/>
    <w:rsid w:val="00A50CD9"/>
    <w:rsid w:val="00A51159"/>
    <w:rsid w:val="00A511E9"/>
    <w:rsid w:val="00A51215"/>
    <w:rsid w:val="00A5125E"/>
    <w:rsid w:val="00A5128D"/>
    <w:rsid w:val="00A512B0"/>
    <w:rsid w:val="00A51586"/>
    <w:rsid w:val="00A5172A"/>
    <w:rsid w:val="00A518BB"/>
    <w:rsid w:val="00A519C1"/>
    <w:rsid w:val="00A51E6D"/>
    <w:rsid w:val="00A52005"/>
    <w:rsid w:val="00A523B3"/>
    <w:rsid w:val="00A5245B"/>
    <w:rsid w:val="00A52C1B"/>
    <w:rsid w:val="00A52C3C"/>
    <w:rsid w:val="00A52F3E"/>
    <w:rsid w:val="00A53039"/>
    <w:rsid w:val="00A530A0"/>
    <w:rsid w:val="00A53465"/>
    <w:rsid w:val="00A535C2"/>
    <w:rsid w:val="00A535FD"/>
    <w:rsid w:val="00A53AB9"/>
    <w:rsid w:val="00A53AEB"/>
    <w:rsid w:val="00A53D18"/>
    <w:rsid w:val="00A53DA2"/>
    <w:rsid w:val="00A53E3B"/>
    <w:rsid w:val="00A53FF1"/>
    <w:rsid w:val="00A5401E"/>
    <w:rsid w:val="00A5411D"/>
    <w:rsid w:val="00A54138"/>
    <w:rsid w:val="00A544E6"/>
    <w:rsid w:val="00A54675"/>
    <w:rsid w:val="00A54AE7"/>
    <w:rsid w:val="00A54B65"/>
    <w:rsid w:val="00A54BB0"/>
    <w:rsid w:val="00A54BB5"/>
    <w:rsid w:val="00A54D24"/>
    <w:rsid w:val="00A54E8A"/>
    <w:rsid w:val="00A54F16"/>
    <w:rsid w:val="00A54FA0"/>
    <w:rsid w:val="00A55012"/>
    <w:rsid w:val="00A5522F"/>
    <w:rsid w:val="00A55352"/>
    <w:rsid w:val="00A553FB"/>
    <w:rsid w:val="00A55476"/>
    <w:rsid w:val="00A55479"/>
    <w:rsid w:val="00A5559F"/>
    <w:rsid w:val="00A559D7"/>
    <w:rsid w:val="00A55B74"/>
    <w:rsid w:val="00A55C4F"/>
    <w:rsid w:val="00A55C7A"/>
    <w:rsid w:val="00A55EE1"/>
    <w:rsid w:val="00A5619C"/>
    <w:rsid w:val="00A561B4"/>
    <w:rsid w:val="00A566A2"/>
    <w:rsid w:val="00A567AF"/>
    <w:rsid w:val="00A567C3"/>
    <w:rsid w:val="00A56956"/>
    <w:rsid w:val="00A56A93"/>
    <w:rsid w:val="00A5707C"/>
    <w:rsid w:val="00A57128"/>
    <w:rsid w:val="00A571A7"/>
    <w:rsid w:val="00A57329"/>
    <w:rsid w:val="00A57335"/>
    <w:rsid w:val="00A5754A"/>
    <w:rsid w:val="00A575C0"/>
    <w:rsid w:val="00A57648"/>
    <w:rsid w:val="00A576E8"/>
    <w:rsid w:val="00A578B1"/>
    <w:rsid w:val="00A578C6"/>
    <w:rsid w:val="00A57932"/>
    <w:rsid w:val="00A57B39"/>
    <w:rsid w:val="00A602B2"/>
    <w:rsid w:val="00A60522"/>
    <w:rsid w:val="00A60588"/>
    <w:rsid w:val="00A6070B"/>
    <w:rsid w:val="00A6073C"/>
    <w:rsid w:val="00A6082E"/>
    <w:rsid w:val="00A60AC9"/>
    <w:rsid w:val="00A60E32"/>
    <w:rsid w:val="00A60E82"/>
    <w:rsid w:val="00A60F58"/>
    <w:rsid w:val="00A60FC2"/>
    <w:rsid w:val="00A60FC8"/>
    <w:rsid w:val="00A6112F"/>
    <w:rsid w:val="00A61226"/>
    <w:rsid w:val="00A6139D"/>
    <w:rsid w:val="00A616D7"/>
    <w:rsid w:val="00A617D3"/>
    <w:rsid w:val="00A617F1"/>
    <w:rsid w:val="00A61EA3"/>
    <w:rsid w:val="00A61F4E"/>
    <w:rsid w:val="00A62272"/>
    <w:rsid w:val="00A624A8"/>
    <w:rsid w:val="00A6252E"/>
    <w:rsid w:val="00A629E4"/>
    <w:rsid w:val="00A62B26"/>
    <w:rsid w:val="00A62BE0"/>
    <w:rsid w:val="00A62BF5"/>
    <w:rsid w:val="00A62D93"/>
    <w:rsid w:val="00A631F7"/>
    <w:rsid w:val="00A632FA"/>
    <w:rsid w:val="00A63432"/>
    <w:rsid w:val="00A638E3"/>
    <w:rsid w:val="00A63CBE"/>
    <w:rsid w:val="00A63D37"/>
    <w:rsid w:val="00A640AF"/>
    <w:rsid w:val="00A64475"/>
    <w:rsid w:val="00A644C6"/>
    <w:rsid w:val="00A64748"/>
    <w:rsid w:val="00A6499F"/>
    <w:rsid w:val="00A64ADA"/>
    <w:rsid w:val="00A64B5B"/>
    <w:rsid w:val="00A64D58"/>
    <w:rsid w:val="00A64FB7"/>
    <w:rsid w:val="00A65223"/>
    <w:rsid w:val="00A6532D"/>
    <w:rsid w:val="00A65370"/>
    <w:rsid w:val="00A65665"/>
    <w:rsid w:val="00A65679"/>
    <w:rsid w:val="00A65795"/>
    <w:rsid w:val="00A659E9"/>
    <w:rsid w:val="00A65CB5"/>
    <w:rsid w:val="00A65E94"/>
    <w:rsid w:val="00A65FBD"/>
    <w:rsid w:val="00A660B3"/>
    <w:rsid w:val="00A66135"/>
    <w:rsid w:val="00A6634F"/>
    <w:rsid w:val="00A663B9"/>
    <w:rsid w:val="00A66591"/>
    <w:rsid w:val="00A667BE"/>
    <w:rsid w:val="00A6687C"/>
    <w:rsid w:val="00A66AD0"/>
    <w:rsid w:val="00A66BBA"/>
    <w:rsid w:val="00A66C56"/>
    <w:rsid w:val="00A66D3D"/>
    <w:rsid w:val="00A66F00"/>
    <w:rsid w:val="00A66FF7"/>
    <w:rsid w:val="00A67289"/>
    <w:rsid w:val="00A673BD"/>
    <w:rsid w:val="00A67440"/>
    <w:rsid w:val="00A674A6"/>
    <w:rsid w:val="00A67B1B"/>
    <w:rsid w:val="00A67D2A"/>
    <w:rsid w:val="00A67FB7"/>
    <w:rsid w:val="00A70122"/>
    <w:rsid w:val="00A701F3"/>
    <w:rsid w:val="00A707BB"/>
    <w:rsid w:val="00A70AE9"/>
    <w:rsid w:val="00A70B30"/>
    <w:rsid w:val="00A70D12"/>
    <w:rsid w:val="00A70E49"/>
    <w:rsid w:val="00A7116E"/>
    <w:rsid w:val="00A7120F"/>
    <w:rsid w:val="00A712C7"/>
    <w:rsid w:val="00A712FF"/>
    <w:rsid w:val="00A71547"/>
    <w:rsid w:val="00A7176C"/>
    <w:rsid w:val="00A7176F"/>
    <w:rsid w:val="00A71974"/>
    <w:rsid w:val="00A71980"/>
    <w:rsid w:val="00A71BC2"/>
    <w:rsid w:val="00A71BDE"/>
    <w:rsid w:val="00A71CD3"/>
    <w:rsid w:val="00A71F43"/>
    <w:rsid w:val="00A71FEF"/>
    <w:rsid w:val="00A721C7"/>
    <w:rsid w:val="00A72416"/>
    <w:rsid w:val="00A726B5"/>
    <w:rsid w:val="00A72A1F"/>
    <w:rsid w:val="00A72A2C"/>
    <w:rsid w:val="00A72C75"/>
    <w:rsid w:val="00A72CD6"/>
    <w:rsid w:val="00A73028"/>
    <w:rsid w:val="00A731B4"/>
    <w:rsid w:val="00A731E1"/>
    <w:rsid w:val="00A732F1"/>
    <w:rsid w:val="00A73366"/>
    <w:rsid w:val="00A7387A"/>
    <w:rsid w:val="00A73ABC"/>
    <w:rsid w:val="00A73B1D"/>
    <w:rsid w:val="00A73D2E"/>
    <w:rsid w:val="00A73E20"/>
    <w:rsid w:val="00A73EE7"/>
    <w:rsid w:val="00A73FAD"/>
    <w:rsid w:val="00A7408F"/>
    <w:rsid w:val="00A7410D"/>
    <w:rsid w:val="00A74263"/>
    <w:rsid w:val="00A74283"/>
    <w:rsid w:val="00A745E6"/>
    <w:rsid w:val="00A74794"/>
    <w:rsid w:val="00A74920"/>
    <w:rsid w:val="00A749FB"/>
    <w:rsid w:val="00A74A85"/>
    <w:rsid w:val="00A74BEF"/>
    <w:rsid w:val="00A74CFC"/>
    <w:rsid w:val="00A7513A"/>
    <w:rsid w:val="00A75335"/>
    <w:rsid w:val="00A75651"/>
    <w:rsid w:val="00A75A92"/>
    <w:rsid w:val="00A75C8C"/>
    <w:rsid w:val="00A75CC2"/>
    <w:rsid w:val="00A75D62"/>
    <w:rsid w:val="00A75DB4"/>
    <w:rsid w:val="00A75ED4"/>
    <w:rsid w:val="00A7664B"/>
    <w:rsid w:val="00A766A6"/>
    <w:rsid w:val="00A767E9"/>
    <w:rsid w:val="00A7692F"/>
    <w:rsid w:val="00A76A35"/>
    <w:rsid w:val="00A76B05"/>
    <w:rsid w:val="00A76C34"/>
    <w:rsid w:val="00A76DCB"/>
    <w:rsid w:val="00A76E00"/>
    <w:rsid w:val="00A77251"/>
    <w:rsid w:val="00A77341"/>
    <w:rsid w:val="00A77508"/>
    <w:rsid w:val="00A77719"/>
    <w:rsid w:val="00A7798F"/>
    <w:rsid w:val="00A77A3F"/>
    <w:rsid w:val="00A77AA9"/>
    <w:rsid w:val="00A77B7D"/>
    <w:rsid w:val="00A77C68"/>
    <w:rsid w:val="00A77D87"/>
    <w:rsid w:val="00A8006E"/>
    <w:rsid w:val="00A800E4"/>
    <w:rsid w:val="00A806B7"/>
    <w:rsid w:val="00A8088D"/>
    <w:rsid w:val="00A809C5"/>
    <w:rsid w:val="00A80E75"/>
    <w:rsid w:val="00A80FA9"/>
    <w:rsid w:val="00A81032"/>
    <w:rsid w:val="00A8104D"/>
    <w:rsid w:val="00A810CD"/>
    <w:rsid w:val="00A81115"/>
    <w:rsid w:val="00A811CF"/>
    <w:rsid w:val="00A813A0"/>
    <w:rsid w:val="00A813D5"/>
    <w:rsid w:val="00A8157A"/>
    <w:rsid w:val="00A818F1"/>
    <w:rsid w:val="00A81A0B"/>
    <w:rsid w:val="00A81F14"/>
    <w:rsid w:val="00A81F2A"/>
    <w:rsid w:val="00A82139"/>
    <w:rsid w:val="00A827B4"/>
    <w:rsid w:val="00A8280F"/>
    <w:rsid w:val="00A82904"/>
    <w:rsid w:val="00A8297A"/>
    <w:rsid w:val="00A82A8C"/>
    <w:rsid w:val="00A82E41"/>
    <w:rsid w:val="00A83120"/>
    <w:rsid w:val="00A83472"/>
    <w:rsid w:val="00A83556"/>
    <w:rsid w:val="00A83704"/>
    <w:rsid w:val="00A83B95"/>
    <w:rsid w:val="00A83C46"/>
    <w:rsid w:val="00A83D82"/>
    <w:rsid w:val="00A83FC0"/>
    <w:rsid w:val="00A84238"/>
    <w:rsid w:val="00A845D3"/>
    <w:rsid w:val="00A8468F"/>
    <w:rsid w:val="00A8482C"/>
    <w:rsid w:val="00A84BB2"/>
    <w:rsid w:val="00A84C02"/>
    <w:rsid w:val="00A84D8A"/>
    <w:rsid w:val="00A84FED"/>
    <w:rsid w:val="00A8514E"/>
    <w:rsid w:val="00A8578F"/>
    <w:rsid w:val="00A858BD"/>
    <w:rsid w:val="00A859C1"/>
    <w:rsid w:val="00A85AE0"/>
    <w:rsid w:val="00A85B7E"/>
    <w:rsid w:val="00A85D46"/>
    <w:rsid w:val="00A85F52"/>
    <w:rsid w:val="00A86034"/>
    <w:rsid w:val="00A86268"/>
    <w:rsid w:val="00A8630C"/>
    <w:rsid w:val="00A8656D"/>
    <w:rsid w:val="00A866C3"/>
    <w:rsid w:val="00A8685B"/>
    <w:rsid w:val="00A868BA"/>
    <w:rsid w:val="00A8698E"/>
    <w:rsid w:val="00A869DA"/>
    <w:rsid w:val="00A86A3D"/>
    <w:rsid w:val="00A86A3E"/>
    <w:rsid w:val="00A86C45"/>
    <w:rsid w:val="00A86C6A"/>
    <w:rsid w:val="00A86FBC"/>
    <w:rsid w:val="00A86FC9"/>
    <w:rsid w:val="00A871F9"/>
    <w:rsid w:val="00A87247"/>
    <w:rsid w:val="00A8755B"/>
    <w:rsid w:val="00A87863"/>
    <w:rsid w:val="00A878C0"/>
    <w:rsid w:val="00A87B4E"/>
    <w:rsid w:val="00A87EF5"/>
    <w:rsid w:val="00A8DA36"/>
    <w:rsid w:val="00A90221"/>
    <w:rsid w:val="00A903BB"/>
    <w:rsid w:val="00A90400"/>
    <w:rsid w:val="00A90465"/>
    <w:rsid w:val="00A90978"/>
    <w:rsid w:val="00A90BE4"/>
    <w:rsid w:val="00A90E1C"/>
    <w:rsid w:val="00A90FFC"/>
    <w:rsid w:val="00A91463"/>
    <w:rsid w:val="00A91541"/>
    <w:rsid w:val="00A916A2"/>
    <w:rsid w:val="00A917C8"/>
    <w:rsid w:val="00A9192E"/>
    <w:rsid w:val="00A91A2B"/>
    <w:rsid w:val="00A91C17"/>
    <w:rsid w:val="00A91CE5"/>
    <w:rsid w:val="00A91E06"/>
    <w:rsid w:val="00A91E7A"/>
    <w:rsid w:val="00A92065"/>
    <w:rsid w:val="00A92078"/>
    <w:rsid w:val="00A922BB"/>
    <w:rsid w:val="00A92512"/>
    <w:rsid w:val="00A9251B"/>
    <w:rsid w:val="00A929E3"/>
    <w:rsid w:val="00A92C03"/>
    <w:rsid w:val="00A92CEB"/>
    <w:rsid w:val="00A92E10"/>
    <w:rsid w:val="00A92EBB"/>
    <w:rsid w:val="00A92FFB"/>
    <w:rsid w:val="00A930BA"/>
    <w:rsid w:val="00A93546"/>
    <w:rsid w:val="00A936B7"/>
    <w:rsid w:val="00A937DF"/>
    <w:rsid w:val="00A93ACA"/>
    <w:rsid w:val="00A93BC1"/>
    <w:rsid w:val="00A93C2F"/>
    <w:rsid w:val="00A93CFA"/>
    <w:rsid w:val="00A93DF1"/>
    <w:rsid w:val="00A93F08"/>
    <w:rsid w:val="00A9410A"/>
    <w:rsid w:val="00A9461E"/>
    <w:rsid w:val="00A94779"/>
    <w:rsid w:val="00A94845"/>
    <w:rsid w:val="00A94877"/>
    <w:rsid w:val="00A948AF"/>
    <w:rsid w:val="00A94A41"/>
    <w:rsid w:val="00A94C8C"/>
    <w:rsid w:val="00A94DF3"/>
    <w:rsid w:val="00A94E2A"/>
    <w:rsid w:val="00A94EE0"/>
    <w:rsid w:val="00A952D3"/>
    <w:rsid w:val="00A952DF"/>
    <w:rsid w:val="00A95559"/>
    <w:rsid w:val="00A958D6"/>
    <w:rsid w:val="00A95A17"/>
    <w:rsid w:val="00A95BB7"/>
    <w:rsid w:val="00A95C1B"/>
    <w:rsid w:val="00A95D24"/>
    <w:rsid w:val="00A95ECC"/>
    <w:rsid w:val="00A95F27"/>
    <w:rsid w:val="00A95F9B"/>
    <w:rsid w:val="00A9616A"/>
    <w:rsid w:val="00A9622F"/>
    <w:rsid w:val="00A96271"/>
    <w:rsid w:val="00A962C6"/>
    <w:rsid w:val="00A964DC"/>
    <w:rsid w:val="00A966B1"/>
    <w:rsid w:val="00A96762"/>
    <w:rsid w:val="00A9689C"/>
    <w:rsid w:val="00A968A3"/>
    <w:rsid w:val="00A96920"/>
    <w:rsid w:val="00A9697B"/>
    <w:rsid w:val="00A96B21"/>
    <w:rsid w:val="00A96CC3"/>
    <w:rsid w:val="00A96D21"/>
    <w:rsid w:val="00A96EFD"/>
    <w:rsid w:val="00A96FEA"/>
    <w:rsid w:val="00A972D5"/>
    <w:rsid w:val="00A972DE"/>
    <w:rsid w:val="00A972E2"/>
    <w:rsid w:val="00A975AD"/>
    <w:rsid w:val="00A9767F"/>
    <w:rsid w:val="00A976EA"/>
    <w:rsid w:val="00A978E4"/>
    <w:rsid w:val="00A97915"/>
    <w:rsid w:val="00A97A2A"/>
    <w:rsid w:val="00A97C0F"/>
    <w:rsid w:val="00A97DB5"/>
    <w:rsid w:val="00A97DC4"/>
    <w:rsid w:val="00A97EAF"/>
    <w:rsid w:val="00A97FE1"/>
    <w:rsid w:val="00AA0020"/>
    <w:rsid w:val="00AA00F3"/>
    <w:rsid w:val="00AA0250"/>
    <w:rsid w:val="00AA02F2"/>
    <w:rsid w:val="00AA0364"/>
    <w:rsid w:val="00AA0393"/>
    <w:rsid w:val="00AA04D8"/>
    <w:rsid w:val="00AA0592"/>
    <w:rsid w:val="00AA0832"/>
    <w:rsid w:val="00AA0E34"/>
    <w:rsid w:val="00AA0E8E"/>
    <w:rsid w:val="00AA0F85"/>
    <w:rsid w:val="00AA165B"/>
    <w:rsid w:val="00AA16B3"/>
    <w:rsid w:val="00AA1850"/>
    <w:rsid w:val="00AA1A7E"/>
    <w:rsid w:val="00AA1A91"/>
    <w:rsid w:val="00AA1CB9"/>
    <w:rsid w:val="00AA1E68"/>
    <w:rsid w:val="00AA1E7D"/>
    <w:rsid w:val="00AA22A6"/>
    <w:rsid w:val="00AA22F3"/>
    <w:rsid w:val="00AA235E"/>
    <w:rsid w:val="00AA2412"/>
    <w:rsid w:val="00AA2691"/>
    <w:rsid w:val="00AA2866"/>
    <w:rsid w:val="00AA2914"/>
    <w:rsid w:val="00AA2A74"/>
    <w:rsid w:val="00AA3305"/>
    <w:rsid w:val="00AA3733"/>
    <w:rsid w:val="00AA3788"/>
    <w:rsid w:val="00AA37A4"/>
    <w:rsid w:val="00AA3B80"/>
    <w:rsid w:val="00AA3D62"/>
    <w:rsid w:val="00AA3E2C"/>
    <w:rsid w:val="00AA4046"/>
    <w:rsid w:val="00AA408D"/>
    <w:rsid w:val="00AA4602"/>
    <w:rsid w:val="00AA4706"/>
    <w:rsid w:val="00AA47E7"/>
    <w:rsid w:val="00AA49A9"/>
    <w:rsid w:val="00AA49FB"/>
    <w:rsid w:val="00AA4B78"/>
    <w:rsid w:val="00AA4C4C"/>
    <w:rsid w:val="00AA4ED2"/>
    <w:rsid w:val="00AA4EE1"/>
    <w:rsid w:val="00AA5210"/>
    <w:rsid w:val="00AA5243"/>
    <w:rsid w:val="00AA5245"/>
    <w:rsid w:val="00AA5573"/>
    <w:rsid w:val="00AA571E"/>
    <w:rsid w:val="00AA59CB"/>
    <w:rsid w:val="00AA5B95"/>
    <w:rsid w:val="00AA5CE1"/>
    <w:rsid w:val="00AA6114"/>
    <w:rsid w:val="00AA63B4"/>
    <w:rsid w:val="00AA6468"/>
    <w:rsid w:val="00AA6768"/>
    <w:rsid w:val="00AA68E8"/>
    <w:rsid w:val="00AA698D"/>
    <w:rsid w:val="00AA6B92"/>
    <w:rsid w:val="00AA6E83"/>
    <w:rsid w:val="00AA70CE"/>
    <w:rsid w:val="00AA718F"/>
    <w:rsid w:val="00AA724F"/>
    <w:rsid w:val="00AA73E1"/>
    <w:rsid w:val="00AA7413"/>
    <w:rsid w:val="00AA74DC"/>
    <w:rsid w:val="00AA7909"/>
    <w:rsid w:val="00AA7A78"/>
    <w:rsid w:val="00AA7AD8"/>
    <w:rsid w:val="00AA7C48"/>
    <w:rsid w:val="00AA7C4D"/>
    <w:rsid w:val="00AB038C"/>
    <w:rsid w:val="00AB0469"/>
    <w:rsid w:val="00AB05B4"/>
    <w:rsid w:val="00AB0CD6"/>
    <w:rsid w:val="00AB0DFC"/>
    <w:rsid w:val="00AB0ECC"/>
    <w:rsid w:val="00AB0EE3"/>
    <w:rsid w:val="00AB0FA7"/>
    <w:rsid w:val="00AB0FD0"/>
    <w:rsid w:val="00AB10C6"/>
    <w:rsid w:val="00AB1128"/>
    <w:rsid w:val="00AB1301"/>
    <w:rsid w:val="00AB1838"/>
    <w:rsid w:val="00AB1962"/>
    <w:rsid w:val="00AB1ACE"/>
    <w:rsid w:val="00AB1AE8"/>
    <w:rsid w:val="00AB1C6E"/>
    <w:rsid w:val="00AB1EDC"/>
    <w:rsid w:val="00AB2488"/>
    <w:rsid w:val="00AB252D"/>
    <w:rsid w:val="00AB28FA"/>
    <w:rsid w:val="00AB2BDC"/>
    <w:rsid w:val="00AB2E7D"/>
    <w:rsid w:val="00AB303D"/>
    <w:rsid w:val="00AB308E"/>
    <w:rsid w:val="00AB30CF"/>
    <w:rsid w:val="00AB31F0"/>
    <w:rsid w:val="00AB328A"/>
    <w:rsid w:val="00AB3553"/>
    <w:rsid w:val="00AB3613"/>
    <w:rsid w:val="00AB3656"/>
    <w:rsid w:val="00AB3B4F"/>
    <w:rsid w:val="00AB3CDA"/>
    <w:rsid w:val="00AB3D81"/>
    <w:rsid w:val="00AB3D99"/>
    <w:rsid w:val="00AB426D"/>
    <w:rsid w:val="00AB44F8"/>
    <w:rsid w:val="00AB4515"/>
    <w:rsid w:val="00AB47E5"/>
    <w:rsid w:val="00AB49B5"/>
    <w:rsid w:val="00AB4A71"/>
    <w:rsid w:val="00AB4BB7"/>
    <w:rsid w:val="00AB4EC0"/>
    <w:rsid w:val="00AB50CF"/>
    <w:rsid w:val="00AB5135"/>
    <w:rsid w:val="00AB52D4"/>
    <w:rsid w:val="00AB538D"/>
    <w:rsid w:val="00AB53EC"/>
    <w:rsid w:val="00AB541D"/>
    <w:rsid w:val="00AB5453"/>
    <w:rsid w:val="00AB562B"/>
    <w:rsid w:val="00AB575B"/>
    <w:rsid w:val="00AB5DD6"/>
    <w:rsid w:val="00AB5DE3"/>
    <w:rsid w:val="00AB60EA"/>
    <w:rsid w:val="00AB60F2"/>
    <w:rsid w:val="00AB615B"/>
    <w:rsid w:val="00AB6219"/>
    <w:rsid w:val="00AB62F4"/>
    <w:rsid w:val="00AB635F"/>
    <w:rsid w:val="00AB6638"/>
    <w:rsid w:val="00AB6717"/>
    <w:rsid w:val="00AB684D"/>
    <w:rsid w:val="00AB6B44"/>
    <w:rsid w:val="00AB6C97"/>
    <w:rsid w:val="00AB6CC0"/>
    <w:rsid w:val="00AB6D3E"/>
    <w:rsid w:val="00AB6DF4"/>
    <w:rsid w:val="00AB6FFA"/>
    <w:rsid w:val="00AB72AE"/>
    <w:rsid w:val="00AB734A"/>
    <w:rsid w:val="00AB7515"/>
    <w:rsid w:val="00AB768B"/>
    <w:rsid w:val="00AB7895"/>
    <w:rsid w:val="00AB7AEB"/>
    <w:rsid w:val="00AB7C78"/>
    <w:rsid w:val="00AB7D20"/>
    <w:rsid w:val="00AB7DCE"/>
    <w:rsid w:val="00AB7F31"/>
    <w:rsid w:val="00AB7F49"/>
    <w:rsid w:val="00AC0355"/>
    <w:rsid w:val="00AC03A0"/>
    <w:rsid w:val="00AC0436"/>
    <w:rsid w:val="00AC0648"/>
    <w:rsid w:val="00AC0704"/>
    <w:rsid w:val="00AC07CD"/>
    <w:rsid w:val="00AC07D6"/>
    <w:rsid w:val="00AC0A78"/>
    <w:rsid w:val="00AC0B44"/>
    <w:rsid w:val="00AC0D41"/>
    <w:rsid w:val="00AC0D75"/>
    <w:rsid w:val="00AC0E85"/>
    <w:rsid w:val="00AC0FE0"/>
    <w:rsid w:val="00AC124D"/>
    <w:rsid w:val="00AC1291"/>
    <w:rsid w:val="00AC12C1"/>
    <w:rsid w:val="00AC1410"/>
    <w:rsid w:val="00AC15E0"/>
    <w:rsid w:val="00AC1879"/>
    <w:rsid w:val="00AC19BF"/>
    <w:rsid w:val="00AC1B5C"/>
    <w:rsid w:val="00AC1B93"/>
    <w:rsid w:val="00AC1D24"/>
    <w:rsid w:val="00AC1E5F"/>
    <w:rsid w:val="00AC20D3"/>
    <w:rsid w:val="00AC2276"/>
    <w:rsid w:val="00AC2513"/>
    <w:rsid w:val="00AC25D8"/>
    <w:rsid w:val="00AC2692"/>
    <w:rsid w:val="00AC2791"/>
    <w:rsid w:val="00AC2817"/>
    <w:rsid w:val="00AC2CB5"/>
    <w:rsid w:val="00AC2CCB"/>
    <w:rsid w:val="00AC2F73"/>
    <w:rsid w:val="00AC3085"/>
    <w:rsid w:val="00AC3469"/>
    <w:rsid w:val="00AC366E"/>
    <w:rsid w:val="00AC3A02"/>
    <w:rsid w:val="00AC3DCB"/>
    <w:rsid w:val="00AC3F8C"/>
    <w:rsid w:val="00AC4170"/>
    <w:rsid w:val="00AC43BC"/>
    <w:rsid w:val="00AC463A"/>
    <w:rsid w:val="00AC4918"/>
    <w:rsid w:val="00AC4B2F"/>
    <w:rsid w:val="00AC4B70"/>
    <w:rsid w:val="00AC4E29"/>
    <w:rsid w:val="00AC515B"/>
    <w:rsid w:val="00AC5170"/>
    <w:rsid w:val="00AC52E9"/>
    <w:rsid w:val="00AC5514"/>
    <w:rsid w:val="00AC56F5"/>
    <w:rsid w:val="00AC57A8"/>
    <w:rsid w:val="00AC5BC1"/>
    <w:rsid w:val="00AC5BEB"/>
    <w:rsid w:val="00AC5BF6"/>
    <w:rsid w:val="00AC5D10"/>
    <w:rsid w:val="00AC5DA3"/>
    <w:rsid w:val="00AC5DC8"/>
    <w:rsid w:val="00AC5DD9"/>
    <w:rsid w:val="00AC6002"/>
    <w:rsid w:val="00AC652E"/>
    <w:rsid w:val="00AC6800"/>
    <w:rsid w:val="00AC68E3"/>
    <w:rsid w:val="00AC696C"/>
    <w:rsid w:val="00AC6B9C"/>
    <w:rsid w:val="00AC6BCA"/>
    <w:rsid w:val="00AC6CE5"/>
    <w:rsid w:val="00AC7099"/>
    <w:rsid w:val="00AC7502"/>
    <w:rsid w:val="00AC754E"/>
    <w:rsid w:val="00AC76B4"/>
    <w:rsid w:val="00AC77C3"/>
    <w:rsid w:val="00AC7BEE"/>
    <w:rsid w:val="00AC7C06"/>
    <w:rsid w:val="00AC7CE4"/>
    <w:rsid w:val="00AC7F78"/>
    <w:rsid w:val="00AC7FF7"/>
    <w:rsid w:val="00AD00D1"/>
    <w:rsid w:val="00AD02F5"/>
    <w:rsid w:val="00AD0393"/>
    <w:rsid w:val="00AD04A4"/>
    <w:rsid w:val="00AD05F5"/>
    <w:rsid w:val="00AD0672"/>
    <w:rsid w:val="00AD06AB"/>
    <w:rsid w:val="00AD07B4"/>
    <w:rsid w:val="00AD0842"/>
    <w:rsid w:val="00AD0858"/>
    <w:rsid w:val="00AD0A27"/>
    <w:rsid w:val="00AD0A7D"/>
    <w:rsid w:val="00AD0BA5"/>
    <w:rsid w:val="00AD0DAA"/>
    <w:rsid w:val="00AD0F1A"/>
    <w:rsid w:val="00AD141A"/>
    <w:rsid w:val="00AD160D"/>
    <w:rsid w:val="00AD1797"/>
    <w:rsid w:val="00AD1917"/>
    <w:rsid w:val="00AD1D01"/>
    <w:rsid w:val="00AD203C"/>
    <w:rsid w:val="00AD20F3"/>
    <w:rsid w:val="00AD2146"/>
    <w:rsid w:val="00AD2378"/>
    <w:rsid w:val="00AD25F1"/>
    <w:rsid w:val="00AD2809"/>
    <w:rsid w:val="00AD2911"/>
    <w:rsid w:val="00AD2C7E"/>
    <w:rsid w:val="00AD2ED5"/>
    <w:rsid w:val="00AD3209"/>
    <w:rsid w:val="00AD33BE"/>
    <w:rsid w:val="00AD3503"/>
    <w:rsid w:val="00AD3589"/>
    <w:rsid w:val="00AD3602"/>
    <w:rsid w:val="00AD3873"/>
    <w:rsid w:val="00AD3972"/>
    <w:rsid w:val="00AD3A7E"/>
    <w:rsid w:val="00AD3B14"/>
    <w:rsid w:val="00AD3D0D"/>
    <w:rsid w:val="00AD3F32"/>
    <w:rsid w:val="00AD45C4"/>
    <w:rsid w:val="00AD465A"/>
    <w:rsid w:val="00AD465B"/>
    <w:rsid w:val="00AD470F"/>
    <w:rsid w:val="00AD4714"/>
    <w:rsid w:val="00AD49BA"/>
    <w:rsid w:val="00AD4B70"/>
    <w:rsid w:val="00AD4D43"/>
    <w:rsid w:val="00AD4D6F"/>
    <w:rsid w:val="00AD4EBB"/>
    <w:rsid w:val="00AD525E"/>
    <w:rsid w:val="00AD5295"/>
    <w:rsid w:val="00AD54D3"/>
    <w:rsid w:val="00AD55DC"/>
    <w:rsid w:val="00AD562B"/>
    <w:rsid w:val="00AD5656"/>
    <w:rsid w:val="00AD5784"/>
    <w:rsid w:val="00AD5790"/>
    <w:rsid w:val="00AD588D"/>
    <w:rsid w:val="00AD5AC5"/>
    <w:rsid w:val="00AD5DA0"/>
    <w:rsid w:val="00AD5E06"/>
    <w:rsid w:val="00AD63B4"/>
    <w:rsid w:val="00AD64B0"/>
    <w:rsid w:val="00AD655B"/>
    <w:rsid w:val="00AD6A3B"/>
    <w:rsid w:val="00AD6CCA"/>
    <w:rsid w:val="00AD6DD5"/>
    <w:rsid w:val="00AD6E82"/>
    <w:rsid w:val="00AD6F0F"/>
    <w:rsid w:val="00AD6F48"/>
    <w:rsid w:val="00AD6FE2"/>
    <w:rsid w:val="00AD7053"/>
    <w:rsid w:val="00AD74DB"/>
    <w:rsid w:val="00AD7502"/>
    <w:rsid w:val="00AD7518"/>
    <w:rsid w:val="00AD775B"/>
    <w:rsid w:val="00AD7B09"/>
    <w:rsid w:val="00AD7B15"/>
    <w:rsid w:val="00AD7B35"/>
    <w:rsid w:val="00AD7C95"/>
    <w:rsid w:val="00AE0203"/>
    <w:rsid w:val="00AE02B9"/>
    <w:rsid w:val="00AE04EE"/>
    <w:rsid w:val="00AE064F"/>
    <w:rsid w:val="00AE086C"/>
    <w:rsid w:val="00AE086F"/>
    <w:rsid w:val="00AE0C7B"/>
    <w:rsid w:val="00AE0CA9"/>
    <w:rsid w:val="00AE0CED"/>
    <w:rsid w:val="00AE0D50"/>
    <w:rsid w:val="00AE1023"/>
    <w:rsid w:val="00AE121C"/>
    <w:rsid w:val="00AE12D0"/>
    <w:rsid w:val="00AE14BE"/>
    <w:rsid w:val="00AE1569"/>
    <w:rsid w:val="00AE15BF"/>
    <w:rsid w:val="00AE17FE"/>
    <w:rsid w:val="00AE1807"/>
    <w:rsid w:val="00AE1994"/>
    <w:rsid w:val="00AE1A06"/>
    <w:rsid w:val="00AE1A88"/>
    <w:rsid w:val="00AE1A95"/>
    <w:rsid w:val="00AE1BB0"/>
    <w:rsid w:val="00AE1BBC"/>
    <w:rsid w:val="00AE1CF6"/>
    <w:rsid w:val="00AE1EA6"/>
    <w:rsid w:val="00AE1FF1"/>
    <w:rsid w:val="00AE203E"/>
    <w:rsid w:val="00AE2044"/>
    <w:rsid w:val="00AE207C"/>
    <w:rsid w:val="00AE220C"/>
    <w:rsid w:val="00AE221B"/>
    <w:rsid w:val="00AE224B"/>
    <w:rsid w:val="00AE29EE"/>
    <w:rsid w:val="00AE29F7"/>
    <w:rsid w:val="00AE2AD3"/>
    <w:rsid w:val="00AE2B21"/>
    <w:rsid w:val="00AE2B92"/>
    <w:rsid w:val="00AE2BCF"/>
    <w:rsid w:val="00AE2E83"/>
    <w:rsid w:val="00AE300B"/>
    <w:rsid w:val="00AE310D"/>
    <w:rsid w:val="00AE3152"/>
    <w:rsid w:val="00AE3166"/>
    <w:rsid w:val="00AE31D4"/>
    <w:rsid w:val="00AE3338"/>
    <w:rsid w:val="00AE353D"/>
    <w:rsid w:val="00AE3603"/>
    <w:rsid w:val="00AE3618"/>
    <w:rsid w:val="00AE370E"/>
    <w:rsid w:val="00AE3AB3"/>
    <w:rsid w:val="00AE3C80"/>
    <w:rsid w:val="00AE3DBA"/>
    <w:rsid w:val="00AE3FDF"/>
    <w:rsid w:val="00AE402E"/>
    <w:rsid w:val="00AE4066"/>
    <w:rsid w:val="00AE415D"/>
    <w:rsid w:val="00AE4461"/>
    <w:rsid w:val="00AE481F"/>
    <w:rsid w:val="00AE48B7"/>
    <w:rsid w:val="00AE48E7"/>
    <w:rsid w:val="00AE48F1"/>
    <w:rsid w:val="00AE490C"/>
    <w:rsid w:val="00AE4918"/>
    <w:rsid w:val="00AE4AEE"/>
    <w:rsid w:val="00AE4C03"/>
    <w:rsid w:val="00AE4DDC"/>
    <w:rsid w:val="00AE5084"/>
    <w:rsid w:val="00AE545E"/>
    <w:rsid w:val="00AE54EB"/>
    <w:rsid w:val="00AE556A"/>
    <w:rsid w:val="00AE5675"/>
    <w:rsid w:val="00AE576D"/>
    <w:rsid w:val="00AE5DC2"/>
    <w:rsid w:val="00AE5DF6"/>
    <w:rsid w:val="00AE5F26"/>
    <w:rsid w:val="00AE5FB6"/>
    <w:rsid w:val="00AE64DD"/>
    <w:rsid w:val="00AE65BF"/>
    <w:rsid w:val="00AE6609"/>
    <w:rsid w:val="00AE667D"/>
    <w:rsid w:val="00AE6827"/>
    <w:rsid w:val="00AE684B"/>
    <w:rsid w:val="00AE688F"/>
    <w:rsid w:val="00AE6931"/>
    <w:rsid w:val="00AE6932"/>
    <w:rsid w:val="00AE6A87"/>
    <w:rsid w:val="00AE6B30"/>
    <w:rsid w:val="00AE6C1D"/>
    <w:rsid w:val="00AE6F1C"/>
    <w:rsid w:val="00AE7142"/>
    <w:rsid w:val="00AE718D"/>
    <w:rsid w:val="00AE7343"/>
    <w:rsid w:val="00AE73F0"/>
    <w:rsid w:val="00AE753A"/>
    <w:rsid w:val="00AE78DC"/>
    <w:rsid w:val="00AE7904"/>
    <w:rsid w:val="00AE7991"/>
    <w:rsid w:val="00AE7BB2"/>
    <w:rsid w:val="00AE7DAA"/>
    <w:rsid w:val="00AF0122"/>
    <w:rsid w:val="00AF02BC"/>
    <w:rsid w:val="00AF030D"/>
    <w:rsid w:val="00AF0437"/>
    <w:rsid w:val="00AF0695"/>
    <w:rsid w:val="00AF07F8"/>
    <w:rsid w:val="00AF0AC1"/>
    <w:rsid w:val="00AF0B4C"/>
    <w:rsid w:val="00AF0C1E"/>
    <w:rsid w:val="00AF0D0D"/>
    <w:rsid w:val="00AF0D5F"/>
    <w:rsid w:val="00AF0EBE"/>
    <w:rsid w:val="00AF11AE"/>
    <w:rsid w:val="00AF125B"/>
    <w:rsid w:val="00AF12B2"/>
    <w:rsid w:val="00AF12DA"/>
    <w:rsid w:val="00AF1425"/>
    <w:rsid w:val="00AF151B"/>
    <w:rsid w:val="00AF153F"/>
    <w:rsid w:val="00AF15C9"/>
    <w:rsid w:val="00AF1637"/>
    <w:rsid w:val="00AF16DF"/>
    <w:rsid w:val="00AF1807"/>
    <w:rsid w:val="00AF1B75"/>
    <w:rsid w:val="00AF1BD1"/>
    <w:rsid w:val="00AF1E9D"/>
    <w:rsid w:val="00AF25DB"/>
    <w:rsid w:val="00AF2611"/>
    <w:rsid w:val="00AF2828"/>
    <w:rsid w:val="00AF306F"/>
    <w:rsid w:val="00AF3130"/>
    <w:rsid w:val="00AF32FA"/>
    <w:rsid w:val="00AF3419"/>
    <w:rsid w:val="00AF3452"/>
    <w:rsid w:val="00AF3894"/>
    <w:rsid w:val="00AF3A05"/>
    <w:rsid w:val="00AF3A09"/>
    <w:rsid w:val="00AF3B25"/>
    <w:rsid w:val="00AF3DD0"/>
    <w:rsid w:val="00AF3F65"/>
    <w:rsid w:val="00AF406D"/>
    <w:rsid w:val="00AF415C"/>
    <w:rsid w:val="00AF41C8"/>
    <w:rsid w:val="00AF44B1"/>
    <w:rsid w:val="00AF452D"/>
    <w:rsid w:val="00AF4927"/>
    <w:rsid w:val="00AF49A7"/>
    <w:rsid w:val="00AF49FD"/>
    <w:rsid w:val="00AF4BDA"/>
    <w:rsid w:val="00AF4CE0"/>
    <w:rsid w:val="00AF4D90"/>
    <w:rsid w:val="00AF52CB"/>
    <w:rsid w:val="00AF536D"/>
    <w:rsid w:val="00AF536F"/>
    <w:rsid w:val="00AF557D"/>
    <w:rsid w:val="00AF564E"/>
    <w:rsid w:val="00AF5B2C"/>
    <w:rsid w:val="00AF5ECD"/>
    <w:rsid w:val="00AF5F40"/>
    <w:rsid w:val="00AF60DD"/>
    <w:rsid w:val="00AF639C"/>
    <w:rsid w:val="00AF63F6"/>
    <w:rsid w:val="00AF6480"/>
    <w:rsid w:val="00AF65A7"/>
    <w:rsid w:val="00AF65D4"/>
    <w:rsid w:val="00AF668A"/>
    <w:rsid w:val="00AF6697"/>
    <w:rsid w:val="00AF68A2"/>
    <w:rsid w:val="00AF68E1"/>
    <w:rsid w:val="00AF6BEA"/>
    <w:rsid w:val="00AF6D75"/>
    <w:rsid w:val="00AF6DA4"/>
    <w:rsid w:val="00AF6E4E"/>
    <w:rsid w:val="00AF6EFA"/>
    <w:rsid w:val="00AF6F14"/>
    <w:rsid w:val="00AF6F4D"/>
    <w:rsid w:val="00AF71CF"/>
    <w:rsid w:val="00AF726B"/>
    <w:rsid w:val="00AF744F"/>
    <w:rsid w:val="00AF76D3"/>
    <w:rsid w:val="00AF7701"/>
    <w:rsid w:val="00AF78BC"/>
    <w:rsid w:val="00AF78D8"/>
    <w:rsid w:val="00AF79D5"/>
    <w:rsid w:val="00B000EB"/>
    <w:rsid w:val="00B00290"/>
    <w:rsid w:val="00B00397"/>
    <w:rsid w:val="00B005AB"/>
    <w:rsid w:val="00B00730"/>
    <w:rsid w:val="00B00757"/>
    <w:rsid w:val="00B008A2"/>
    <w:rsid w:val="00B00941"/>
    <w:rsid w:val="00B00A13"/>
    <w:rsid w:val="00B00BF4"/>
    <w:rsid w:val="00B00E1E"/>
    <w:rsid w:val="00B01052"/>
    <w:rsid w:val="00B010E5"/>
    <w:rsid w:val="00B013B3"/>
    <w:rsid w:val="00B01507"/>
    <w:rsid w:val="00B015F9"/>
    <w:rsid w:val="00B016B7"/>
    <w:rsid w:val="00B01822"/>
    <w:rsid w:val="00B01B81"/>
    <w:rsid w:val="00B01B88"/>
    <w:rsid w:val="00B01C7B"/>
    <w:rsid w:val="00B02018"/>
    <w:rsid w:val="00B0209F"/>
    <w:rsid w:val="00B02474"/>
    <w:rsid w:val="00B02735"/>
    <w:rsid w:val="00B0297D"/>
    <w:rsid w:val="00B02A3D"/>
    <w:rsid w:val="00B02AE2"/>
    <w:rsid w:val="00B02C2F"/>
    <w:rsid w:val="00B02D88"/>
    <w:rsid w:val="00B02D91"/>
    <w:rsid w:val="00B030CD"/>
    <w:rsid w:val="00B030D7"/>
    <w:rsid w:val="00B035B1"/>
    <w:rsid w:val="00B03D4C"/>
    <w:rsid w:val="00B03D83"/>
    <w:rsid w:val="00B03FB0"/>
    <w:rsid w:val="00B040A8"/>
    <w:rsid w:val="00B04101"/>
    <w:rsid w:val="00B042D4"/>
    <w:rsid w:val="00B04722"/>
    <w:rsid w:val="00B04D2A"/>
    <w:rsid w:val="00B04D94"/>
    <w:rsid w:val="00B051C9"/>
    <w:rsid w:val="00B05327"/>
    <w:rsid w:val="00B05744"/>
    <w:rsid w:val="00B0589E"/>
    <w:rsid w:val="00B059E5"/>
    <w:rsid w:val="00B05A2C"/>
    <w:rsid w:val="00B05BE6"/>
    <w:rsid w:val="00B05C74"/>
    <w:rsid w:val="00B05D0D"/>
    <w:rsid w:val="00B05E32"/>
    <w:rsid w:val="00B05F6E"/>
    <w:rsid w:val="00B05FC5"/>
    <w:rsid w:val="00B060AA"/>
    <w:rsid w:val="00B0627F"/>
    <w:rsid w:val="00B06432"/>
    <w:rsid w:val="00B065A0"/>
    <w:rsid w:val="00B06638"/>
    <w:rsid w:val="00B06798"/>
    <w:rsid w:val="00B0683F"/>
    <w:rsid w:val="00B06981"/>
    <w:rsid w:val="00B0699E"/>
    <w:rsid w:val="00B06AC0"/>
    <w:rsid w:val="00B06B3C"/>
    <w:rsid w:val="00B06B8F"/>
    <w:rsid w:val="00B06BD2"/>
    <w:rsid w:val="00B06C9B"/>
    <w:rsid w:val="00B06D04"/>
    <w:rsid w:val="00B06E1F"/>
    <w:rsid w:val="00B06E80"/>
    <w:rsid w:val="00B06E95"/>
    <w:rsid w:val="00B06EB8"/>
    <w:rsid w:val="00B06FBA"/>
    <w:rsid w:val="00B07499"/>
    <w:rsid w:val="00B0772A"/>
    <w:rsid w:val="00B077C5"/>
    <w:rsid w:val="00B07849"/>
    <w:rsid w:val="00B079A9"/>
    <w:rsid w:val="00B079D9"/>
    <w:rsid w:val="00B07A01"/>
    <w:rsid w:val="00B07AED"/>
    <w:rsid w:val="00B1011C"/>
    <w:rsid w:val="00B1032E"/>
    <w:rsid w:val="00B1037C"/>
    <w:rsid w:val="00B1050F"/>
    <w:rsid w:val="00B10596"/>
    <w:rsid w:val="00B108BA"/>
    <w:rsid w:val="00B10952"/>
    <w:rsid w:val="00B10D36"/>
    <w:rsid w:val="00B10D7E"/>
    <w:rsid w:val="00B10DBD"/>
    <w:rsid w:val="00B1113B"/>
    <w:rsid w:val="00B11691"/>
    <w:rsid w:val="00B117FF"/>
    <w:rsid w:val="00B1180F"/>
    <w:rsid w:val="00B11870"/>
    <w:rsid w:val="00B11CCF"/>
    <w:rsid w:val="00B11DAA"/>
    <w:rsid w:val="00B11E2E"/>
    <w:rsid w:val="00B11EAC"/>
    <w:rsid w:val="00B11EFC"/>
    <w:rsid w:val="00B12011"/>
    <w:rsid w:val="00B120CF"/>
    <w:rsid w:val="00B12269"/>
    <w:rsid w:val="00B122C0"/>
    <w:rsid w:val="00B123DB"/>
    <w:rsid w:val="00B12568"/>
    <w:rsid w:val="00B1285E"/>
    <w:rsid w:val="00B12893"/>
    <w:rsid w:val="00B1292F"/>
    <w:rsid w:val="00B12B6D"/>
    <w:rsid w:val="00B13024"/>
    <w:rsid w:val="00B131E9"/>
    <w:rsid w:val="00B13538"/>
    <w:rsid w:val="00B13541"/>
    <w:rsid w:val="00B1360A"/>
    <w:rsid w:val="00B137BC"/>
    <w:rsid w:val="00B13817"/>
    <w:rsid w:val="00B13BC3"/>
    <w:rsid w:val="00B13DAE"/>
    <w:rsid w:val="00B13E81"/>
    <w:rsid w:val="00B13F5B"/>
    <w:rsid w:val="00B1401D"/>
    <w:rsid w:val="00B14072"/>
    <w:rsid w:val="00B140EE"/>
    <w:rsid w:val="00B141F9"/>
    <w:rsid w:val="00B14263"/>
    <w:rsid w:val="00B1443C"/>
    <w:rsid w:val="00B1445D"/>
    <w:rsid w:val="00B146DB"/>
    <w:rsid w:val="00B147C9"/>
    <w:rsid w:val="00B14A12"/>
    <w:rsid w:val="00B14A7A"/>
    <w:rsid w:val="00B14C0E"/>
    <w:rsid w:val="00B14CFB"/>
    <w:rsid w:val="00B14E39"/>
    <w:rsid w:val="00B1502C"/>
    <w:rsid w:val="00B150D2"/>
    <w:rsid w:val="00B1513C"/>
    <w:rsid w:val="00B1548D"/>
    <w:rsid w:val="00B154CF"/>
    <w:rsid w:val="00B15552"/>
    <w:rsid w:val="00B155BD"/>
    <w:rsid w:val="00B1566E"/>
    <w:rsid w:val="00B156CB"/>
    <w:rsid w:val="00B157AD"/>
    <w:rsid w:val="00B1587B"/>
    <w:rsid w:val="00B15884"/>
    <w:rsid w:val="00B1594D"/>
    <w:rsid w:val="00B159E3"/>
    <w:rsid w:val="00B15A20"/>
    <w:rsid w:val="00B15D94"/>
    <w:rsid w:val="00B15DE1"/>
    <w:rsid w:val="00B15F23"/>
    <w:rsid w:val="00B160AA"/>
    <w:rsid w:val="00B163C2"/>
    <w:rsid w:val="00B16917"/>
    <w:rsid w:val="00B16C22"/>
    <w:rsid w:val="00B16C68"/>
    <w:rsid w:val="00B16EAF"/>
    <w:rsid w:val="00B170AF"/>
    <w:rsid w:val="00B170E7"/>
    <w:rsid w:val="00B17345"/>
    <w:rsid w:val="00B177A4"/>
    <w:rsid w:val="00B177E3"/>
    <w:rsid w:val="00B17BE5"/>
    <w:rsid w:val="00B17E11"/>
    <w:rsid w:val="00B17EBB"/>
    <w:rsid w:val="00B20259"/>
    <w:rsid w:val="00B20297"/>
    <w:rsid w:val="00B202D2"/>
    <w:rsid w:val="00B20412"/>
    <w:rsid w:val="00B20586"/>
    <w:rsid w:val="00B20669"/>
    <w:rsid w:val="00B2082F"/>
    <w:rsid w:val="00B20936"/>
    <w:rsid w:val="00B20A0B"/>
    <w:rsid w:val="00B20ADF"/>
    <w:rsid w:val="00B20B4B"/>
    <w:rsid w:val="00B20DBC"/>
    <w:rsid w:val="00B20E90"/>
    <w:rsid w:val="00B20F7B"/>
    <w:rsid w:val="00B20FDC"/>
    <w:rsid w:val="00B21164"/>
    <w:rsid w:val="00B21229"/>
    <w:rsid w:val="00B21420"/>
    <w:rsid w:val="00B21489"/>
    <w:rsid w:val="00B21850"/>
    <w:rsid w:val="00B218F1"/>
    <w:rsid w:val="00B21922"/>
    <w:rsid w:val="00B219F7"/>
    <w:rsid w:val="00B21A8C"/>
    <w:rsid w:val="00B21AC4"/>
    <w:rsid w:val="00B21AE2"/>
    <w:rsid w:val="00B21E69"/>
    <w:rsid w:val="00B22347"/>
    <w:rsid w:val="00B226EC"/>
    <w:rsid w:val="00B22B80"/>
    <w:rsid w:val="00B22C25"/>
    <w:rsid w:val="00B22C8D"/>
    <w:rsid w:val="00B22D00"/>
    <w:rsid w:val="00B22F97"/>
    <w:rsid w:val="00B233B3"/>
    <w:rsid w:val="00B235A2"/>
    <w:rsid w:val="00B2393B"/>
    <w:rsid w:val="00B23958"/>
    <w:rsid w:val="00B2399F"/>
    <w:rsid w:val="00B23B25"/>
    <w:rsid w:val="00B24366"/>
    <w:rsid w:val="00B245D4"/>
    <w:rsid w:val="00B2465B"/>
    <w:rsid w:val="00B247F0"/>
    <w:rsid w:val="00B24829"/>
    <w:rsid w:val="00B248BB"/>
    <w:rsid w:val="00B24915"/>
    <w:rsid w:val="00B2497A"/>
    <w:rsid w:val="00B249EC"/>
    <w:rsid w:val="00B24C09"/>
    <w:rsid w:val="00B24ED9"/>
    <w:rsid w:val="00B25009"/>
    <w:rsid w:val="00B25208"/>
    <w:rsid w:val="00B2527C"/>
    <w:rsid w:val="00B25685"/>
    <w:rsid w:val="00B25799"/>
    <w:rsid w:val="00B257B4"/>
    <w:rsid w:val="00B259D9"/>
    <w:rsid w:val="00B25B06"/>
    <w:rsid w:val="00B25B45"/>
    <w:rsid w:val="00B25EEB"/>
    <w:rsid w:val="00B25F27"/>
    <w:rsid w:val="00B2602F"/>
    <w:rsid w:val="00B2606A"/>
    <w:rsid w:val="00B263C0"/>
    <w:rsid w:val="00B264CB"/>
    <w:rsid w:val="00B26540"/>
    <w:rsid w:val="00B265AB"/>
    <w:rsid w:val="00B2662B"/>
    <w:rsid w:val="00B266F2"/>
    <w:rsid w:val="00B26AE4"/>
    <w:rsid w:val="00B26EC9"/>
    <w:rsid w:val="00B26ECF"/>
    <w:rsid w:val="00B26FA3"/>
    <w:rsid w:val="00B26FDB"/>
    <w:rsid w:val="00B27451"/>
    <w:rsid w:val="00B2765E"/>
    <w:rsid w:val="00B27691"/>
    <w:rsid w:val="00B30321"/>
    <w:rsid w:val="00B304B2"/>
    <w:rsid w:val="00B30531"/>
    <w:rsid w:val="00B30690"/>
    <w:rsid w:val="00B306F3"/>
    <w:rsid w:val="00B307B0"/>
    <w:rsid w:val="00B30829"/>
    <w:rsid w:val="00B309BB"/>
    <w:rsid w:val="00B30B52"/>
    <w:rsid w:val="00B30CAC"/>
    <w:rsid w:val="00B30F43"/>
    <w:rsid w:val="00B31208"/>
    <w:rsid w:val="00B3164E"/>
    <w:rsid w:val="00B3173A"/>
    <w:rsid w:val="00B317FB"/>
    <w:rsid w:val="00B317FF"/>
    <w:rsid w:val="00B31854"/>
    <w:rsid w:val="00B31A31"/>
    <w:rsid w:val="00B31A4E"/>
    <w:rsid w:val="00B31A97"/>
    <w:rsid w:val="00B31B3D"/>
    <w:rsid w:val="00B31BDC"/>
    <w:rsid w:val="00B31FBC"/>
    <w:rsid w:val="00B3204D"/>
    <w:rsid w:val="00B32337"/>
    <w:rsid w:val="00B323BA"/>
    <w:rsid w:val="00B32667"/>
    <w:rsid w:val="00B326C7"/>
    <w:rsid w:val="00B326D4"/>
    <w:rsid w:val="00B327CA"/>
    <w:rsid w:val="00B3280B"/>
    <w:rsid w:val="00B328EE"/>
    <w:rsid w:val="00B32971"/>
    <w:rsid w:val="00B3299A"/>
    <w:rsid w:val="00B32ED3"/>
    <w:rsid w:val="00B332B3"/>
    <w:rsid w:val="00B33990"/>
    <w:rsid w:val="00B33C30"/>
    <w:rsid w:val="00B33EEC"/>
    <w:rsid w:val="00B33FD5"/>
    <w:rsid w:val="00B3414B"/>
    <w:rsid w:val="00B345A8"/>
    <w:rsid w:val="00B347F3"/>
    <w:rsid w:val="00B349B1"/>
    <w:rsid w:val="00B34B7E"/>
    <w:rsid w:val="00B34CCA"/>
    <w:rsid w:val="00B34D02"/>
    <w:rsid w:val="00B34F46"/>
    <w:rsid w:val="00B35186"/>
    <w:rsid w:val="00B35239"/>
    <w:rsid w:val="00B35452"/>
    <w:rsid w:val="00B3569D"/>
    <w:rsid w:val="00B35723"/>
    <w:rsid w:val="00B35891"/>
    <w:rsid w:val="00B359CC"/>
    <w:rsid w:val="00B35A22"/>
    <w:rsid w:val="00B35A6D"/>
    <w:rsid w:val="00B35B11"/>
    <w:rsid w:val="00B35CB8"/>
    <w:rsid w:val="00B35D72"/>
    <w:rsid w:val="00B35DBD"/>
    <w:rsid w:val="00B36077"/>
    <w:rsid w:val="00B3607B"/>
    <w:rsid w:val="00B3621D"/>
    <w:rsid w:val="00B363A9"/>
    <w:rsid w:val="00B365A6"/>
    <w:rsid w:val="00B36640"/>
    <w:rsid w:val="00B36665"/>
    <w:rsid w:val="00B36900"/>
    <w:rsid w:val="00B36A58"/>
    <w:rsid w:val="00B36B9C"/>
    <w:rsid w:val="00B36C3D"/>
    <w:rsid w:val="00B36DC9"/>
    <w:rsid w:val="00B36EA9"/>
    <w:rsid w:val="00B36EDA"/>
    <w:rsid w:val="00B36F02"/>
    <w:rsid w:val="00B37010"/>
    <w:rsid w:val="00B3701C"/>
    <w:rsid w:val="00B374D7"/>
    <w:rsid w:val="00B37527"/>
    <w:rsid w:val="00B3757B"/>
    <w:rsid w:val="00B375BE"/>
    <w:rsid w:val="00B377D3"/>
    <w:rsid w:val="00B37829"/>
    <w:rsid w:val="00B37997"/>
    <w:rsid w:val="00B37D03"/>
    <w:rsid w:val="00B37D35"/>
    <w:rsid w:val="00B37D7B"/>
    <w:rsid w:val="00B401AA"/>
    <w:rsid w:val="00B40507"/>
    <w:rsid w:val="00B405CA"/>
    <w:rsid w:val="00B40809"/>
    <w:rsid w:val="00B4096C"/>
    <w:rsid w:val="00B409D6"/>
    <w:rsid w:val="00B40AAC"/>
    <w:rsid w:val="00B40FBF"/>
    <w:rsid w:val="00B413A5"/>
    <w:rsid w:val="00B4159D"/>
    <w:rsid w:val="00B416E5"/>
    <w:rsid w:val="00B41808"/>
    <w:rsid w:val="00B419B2"/>
    <w:rsid w:val="00B419BE"/>
    <w:rsid w:val="00B419F5"/>
    <w:rsid w:val="00B41EF4"/>
    <w:rsid w:val="00B41F23"/>
    <w:rsid w:val="00B41F49"/>
    <w:rsid w:val="00B42151"/>
    <w:rsid w:val="00B42886"/>
    <w:rsid w:val="00B42C9F"/>
    <w:rsid w:val="00B42E46"/>
    <w:rsid w:val="00B43174"/>
    <w:rsid w:val="00B43241"/>
    <w:rsid w:val="00B432A2"/>
    <w:rsid w:val="00B432D4"/>
    <w:rsid w:val="00B4338C"/>
    <w:rsid w:val="00B43504"/>
    <w:rsid w:val="00B437BB"/>
    <w:rsid w:val="00B437EB"/>
    <w:rsid w:val="00B43B0F"/>
    <w:rsid w:val="00B43BA4"/>
    <w:rsid w:val="00B43D00"/>
    <w:rsid w:val="00B43E36"/>
    <w:rsid w:val="00B43F0C"/>
    <w:rsid w:val="00B43F8D"/>
    <w:rsid w:val="00B44190"/>
    <w:rsid w:val="00B4429E"/>
    <w:rsid w:val="00B44424"/>
    <w:rsid w:val="00B444FA"/>
    <w:rsid w:val="00B44509"/>
    <w:rsid w:val="00B446AA"/>
    <w:rsid w:val="00B4484C"/>
    <w:rsid w:val="00B44916"/>
    <w:rsid w:val="00B44B9F"/>
    <w:rsid w:val="00B44CBD"/>
    <w:rsid w:val="00B44CD5"/>
    <w:rsid w:val="00B44F29"/>
    <w:rsid w:val="00B4506B"/>
    <w:rsid w:val="00B450D8"/>
    <w:rsid w:val="00B4518D"/>
    <w:rsid w:val="00B45270"/>
    <w:rsid w:val="00B45954"/>
    <w:rsid w:val="00B45A3C"/>
    <w:rsid w:val="00B45E95"/>
    <w:rsid w:val="00B45F3B"/>
    <w:rsid w:val="00B45FC0"/>
    <w:rsid w:val="00B46020"/>
    <w:rsid w:val="00B460C9"/>
    <w:rsid w:val="00B460DC"/>
    <w:rsid w:val="00B462C9"/>
    <w:rsid w:val="00B46522"/>
    <w:rsid w:val="00B46766"/>
    <w:rsid w:val="00B467AF"/>
    <w:rsid w:val="00B4695E"/>
    <w:rsid w:val="00B46BF1"/>
    <w:rsid w:val="00B47147"/>
    <w:rsid w:val="00B47425"/>
    <w:rsid w:val="00B475AB"/>
    <w:rsid w:val="00B475CE"/>
    <w:rsid w:val="00B47616"/>
    <w:rsid w:val="00B47633"/>
    <w:rsid w:val="00B476DE"/>
    <w:rsid w:val="00B47754"/>
    <w:rsid w:val="00B47902"/>
    <w:rsid w:val="00B47B20"/>
    <w:rsid w:val="00B47C21"/>
    <w:rsid w:val="00B47CD1"/>
    <w:rsid w:val="00B47ED1"/>
    <w:rsid w:val="00B47F5F"/>
    <w:rsid w:val="00B50916"/>
    <w:rsid w:val="00B50A55"/>
    <w:rsid w:val="00B50A7B"/>
    <w:rsid w:val="00B50AA9"/>
    <w:rsid w:val="00B50B6F"/>
    <w:rsid w:val="00B50BB1"/>
    <w:rsid w:val="00B50C50"/>
    <w:rsid w:val="00B50E69"/>
    <w:rsid w:val="00B50F96"/>
    <w:rsid w:val="00B50FAA"/>
    <w:rsid w:val="00B51188"/>
    <w:rsid w:val="00B51197"/>
    <w:rsid w:val="00B512EB"/>
    <w:rsid w:val="00B51381"/>
    <w:rsid w:val="00B51921"/>
    <w:rsid w:val="00B51BF5"/>
    <w:rsid w:val="00B51D2A"/>
    <w:rsid w:val="00B51FEC"/>
    <w:rsid w:val="00B52317"/>
    <w:rsid w:val="00B5245C"/>
    <w:rsid w:val="00B5248E"/>
    <w:rsid w:val="00B52856"/>
    <w:rsid w:val="00B52ABF"/>
    <w:rsid w:val="00B52D07"/>
    <w:rsid w:val="00B52D53"/>
    <w:rsid w:val="00B52FF9"/>
    <w:rsid w:val="00B530D5"/>
    <w:rsid w:val="00B532DA"/>
    <w:rsid w:val="00B53469"/>
    <w:rsid w:val="00B5361E"/>
    <w:rsid w:val="00B536F7"/>
    <w:rsid w:val="00B5397C"/>
    <w:rsid w:val="00B539BE"/>
    <w:rsid w:val="00B53A36"/>
    <w:rsid w:val="00B53B6A"/>
    <w:rsid w:val="00B53C7B"/>
    <w:rsid w:val="00B53C8C"/>
    <w:rsid w:val="00B53FEF"/>
    <w:rsid w:val="00B5401F"/>
    <w:rsid w:val="00B542D0"/>
    <w:rsid w:val="00B544C4"/>
    <w:rsid w:val="00B54555"/>
    <w:rsid w:val="00B54635"/>
    <w:rsid w:val="00B546DF"/>
    <w:rsid w:val="00B54738"/>
    <w:rsid w:val="00B54758"/>
    <w:rsid w:val="00B54A8F"/>
    <w:rsid w:val="00B54AF1"/>
    <w:rsid w:val="00B54F8C"/>
    <w:rsid w:val="00B54FE8"/>
    <w:rsid w:val="00B550D6"/>
    <w:rsid w:val="00B552BB"/>
    <w:rsid w:val="00B553C1"/>
    <w:rsid w:val="00B55433"/>
    <w:rsid w:val="00B555E4"/>
    <w:rsid w:val="00B55734"/>
    <w:rsid w:val="00B55755"/>
    <w:rsid w:val="00B55B70"/>
    <w:rsid w:val="00B55F84"/>
    <w:rsid w:val="00B56517"/>
    <w:rsid w:val="00B5656B"/>
    <w:rsid w:val="00B5676D"/>
    <w:rsid w:val="00B569FE"/>
    <w:rsid w:val="00B56A17"/>
    <w:rsid w:val="00B56AEB"/>
    <w:rsid w:val="00B56CE8"/>
    <w:rsid w:val="00B56D75"/>
    <w:rsid w:val="00B56E12"/>
    <w:rsid w:val="00B56FA7"/>
    <w:rsid w:val="00B57033"/>
    <w:rsid w:val="00B5705C"/>
    <w:rsid w:val="00B57253"/>
    <w:rsid w:val="00B572CF"/>
    <w:rsid w:val="00B57639"/>
    <w:rsid w:val="00B578BF"/>
    <w:rsid w:val="00B57E3B"/>
    <w:rsid w:val="00B57F92"/>
    <w:rsid w:val="00B57F95"/>
    <w:rsid w:val="00B600DF"/>
    <w:rsid w:val="00B60178"/>
    <w:rsid w:val="00B60584"/>
    <w:rsid w:val="00B605E3"/>
    <w:rsid w:val="00B605E5"/>
    <w:rsid w:val="00B6067A"/>
    <w:rsid w:val="00B609DC"/>
    <w:rsid w:val="00B60D63"/>
    <w:rsid w:val="00B60D8F"/>
    <w:rsid w:val="00B60E61"/>
    <w:rsid w:val="00B60FC8"/>
    <w:rsid w:val="00B61102"/>
    <w:rsid w:val="00B61173"/>
    <w:rsid w:val="00B61374"/>
    <w:rsid w:val="00B613A2"/>
    <w:rsid w:val="00B613CA"/>
    <w:rsid w:val="00B613F2"/>
    <w:rsid w:val="00B61440"/>
    <w:rsid w:val="00B61756"/>
    <w:rsid w:val="00B61B21"/>
    <w:rsid w:val="00B61E39"/>
    <w:rsid w:val="00B61EA0"/>
    <w:rsid w:val="00B61F70"/>
    <w:rsid w:val="00B62285"/>
    <w:rsid w:val="00B622AD"/>
    <w:rsid w:val="00B626A1"/>
    <w:rsid w:val="00B62819"/>
    <w:rsid w:val="00B628B8"/>
    <w:rsid w:val="00B62AF2"/>
    <w:rsid w:val="00B62AFA"/>
    <w:rsid w:val="00B62EE4"/>
    <w:rsid w:val="00B62F18"/>
    <w:rsid w:val="00B630B4"/>
    <w:rsid w:val="00B63503"/>
    <w:rsid w:val="00B637CE"/>
    <w:rsid w:val="00B63AD1"/>
    <w:rsid w:val="00B63D78"/>
    <w:rsid w:val="00B63F04"/>
    <w:rsid w:val="00B641BE"/>
    <w:rsid w:val="00B6427E"/>
    <w:rsid w:val="00B642B5"/>
    <w:rsid w:val="00B64393"/>
    <w:rsid w:val="00B64667"/>
    <w:rsid w:val="00B64691"/>
    <w:rsid w:val="00B646A0"/>
    <w:rsid w:val="00B648CC"/>
    <w:rsid w:val="00B6492D"/>
    <w:rsid w:val="00B649DE"/>
    <w:rsid w:val="00B64AC4"/>
    <w:rsid w:val="00B64B42"/>
    <w:rsid w:val="00B64DDD"/>
    <w:rsid w:val="00B65265"/>
    <w:rsid w:val="00B65277"/>
    <w:rsid w:val="00B65294"/>
    <w:rsid w:val="00B65298"/>
    <w:rsid w:val="00B6543D"/>
    <w:rsid w:val="00B6548E"/>
    <w:rsid w:val="00B6561D"/>
    <w:rsid w:val="00B65C11"/>
    <w:rsid w:val="00B65DBA"/>
    <w:rsid w:val="00B65E73"/>
    <w:rsid w:val="00B65F00"/>
    <w:rsid w:val="00B65FF3"/>
    <w:rsid w:val="00B662D2"/>
    <w:rsid w:val="00B66DAD"/>
    <w:rsid w:val="00B66E83"/>
    <w:rsid w:val="00B67180"/>
    <w:rsid w:val="00B6725A"/>
    <w:rsid w:val="00B67262"/>
    <w:rsid w:val="00B672B5"/>
    <w:rsid w:val="00B67749"/>
    <w:rsid w:val="00B6781E"/>
    <w:rsid w:val="00B67919"/>
    <w:rsid w:val="00B67B58"/>
    <w:rsid w:val="00B67D16"/>
    <w:rsid w:val="00B67D7E"/>
    <w:rsid w:val="00B67F6F"/>
    <w:rsid w:val="00B7002B"/>
    <w:rsid w:val="00B7017A"/>
    <w:rsid w:val="00B70183"/>
    <w:rsid w:val="00B70395"/>
    <w:rsid w:val="00B705A4"/>
    <w:rsid w:val="00B70604"/>
    <w:rsid w:val="00B708E5"/>
    <w:rsid w:val="00B70930"/>
    <w:rsid w:val="00B70948"/>
    <w:rsid w:val="00B709A6"/>
    <w:rsid w:val="00B709F4"/>
    <w:rsid w:val="00B70ABE"/>
    <w:rsid w:val="00B70AFC"/>
    <w:rsid w:val="00B71192"/>
    <w:rsid w:val="00B7131D"/>
    <w:rsid w:val="00B714D7"/>
    <w:rsid w:val="00B71676"/>
    <w:rsid w:val="00B7197E"/>
    <w:rsid w:val="00B71A32"/>
    <w:rsid w:val="00B71B08"/>
    <w:rsid w:val="00B71C2C"/>
    <w:rsid w:val="00B71D18"/>
    <w:rsid w:val="00B71D70"/>
    <w:rsid w:val="00B71F0A"/>
    <w:rsid w:val="00B71F1E"/>
    <w:rsid w:val="00B720F9"/>
    <w:rsid w:val="00B724E2"/>
    <w:rsid w:val="00B7254E"/>
    <w:rsid w:val="00B72560"/>
    <w:rsid w:val="00B7269B"/>
    <w:rsid w:val="00B727F5"/>
    <w:rsid w:val="00B7293A"/>
    <w:rsid w:val="00B72B5C"/>
    <w:rsid w:val="00B72BAB"/>
    <w:rsid w:val="00B72D94"/>
    <w:rsid w:val="00B7324D"/>
    <w:rsid w:val="00B73346"/>
    <w:rsid w:val="00B733AF"/>
    <w:rsid w:val="00B734A8"/>
    <w:rsid w:val="00B738D4"/>
    <w:rsid w:val="00B738ED"/>
    <w:rsid w:val="00B73BCF"/>
    <w:rsid w:val="00B73DD1"/>
    <w:rsid w:val="00B73F93"/>
    <w:rsid w:val="00B74202"/>
    <w:rsid w:val="00B74256"/>
    <w:rsid w:val="00B742AB"/>
    <w:rsid w:val="00B742F4"/>
    <w:rsid w:val="00B74301"/>
    <w:rsid w:val="00B745DF"/>
    <w:rsid w:val="00B749EC"/>
    <w:rsid w:val="00B74A12"/>
    <w:rsid w:val="00B74AAE"/>
    <w:rsid w:val="00B74B15"/>
    <w:rsid w:val="00B74C8B"/>
    <w:rsid w:val="00B74CE1"/>
    <w:rsid w:val="00B74E30"/>
    <w:rsid w:val="00B74E7B"/>
    <w:rsid w:val="00B75018"/>
    <w:rsid w:val="00B7511F"/>
    <w:rsid w:val="00B751FC"/>
    <w:rsid w:val="00B75376"/>
    <w:rsid w:val="00B753A0"/>
    <w:rsid w:val="00B755FA"/>
    <w:rsid w:val="00B757BB"/>
    <w:rsid w:val="00B758CB"/>
    <w:rsid w:val="00B75ACE"/>
    <w:rsid w:val="00B75B15"/>
    <w:rsid w:val="00B75E6B"/>
    <w:rsid w:val="00B75F07"/>
    <w:rsid w:val="00B75F55"/>
    <w:rsid w:val="00B76181"/>
    <w:rsid w:val="00B76402"/>
    <w:rsid w:val="00B764EB"/>
    <w:rsid w:val="00B766D3"/>
    <w:rsid w:val="00B76A1D"/>
    <w:rsid w:val="00B76A43"/>
    <w:rsid w:val="00B76B97"/>
    <w:rsid w:val="00B76C2A"/>
    <w:rsid w:val="00B76D33"/>
    <w:rsid w:val="00B76D60"/>
    <w:rsid w:val="00B76DDF"/>
    <w:rsid w:val="00B771E9"/>
    <w:rsid w:val="00B77362"/>
    <w:rsid w:val="00B7737D"/>
    <w:rsid w:val="00B7745C"/>
    <w:rsid w:val="00B774CD"/>
    <w:rsid w:val="00B7764E"/>
    <w:rsid w:val="00B778E6"/>
    <w:rsid w:val="00B77C0C"/>
    <w:rsid w:val="00B77C4B"/>
    <w:rsid w:val="00B77DFE"/>
    <w:rsid w:val="00B77F42"/>
    <w:rsid w:val="00B8003F"/>
    <w:rsid w:val="00B80043"/>
    <w:rsid w:val="00B800F1"/>
    <w:rsid w:val="00B8013F"/>
    <w:rsid w:val="00B801B2"/>
    <w:rsid w:val="00B804D1"/>
    <w:rsid w:val="00B807DC"/>
    <w:rsid w:val="00B80CDA"/>
    <w:rsid w:val="00B80CDB"/>
    <w:rsid w:val="00B80D68"/>
    <w:rsid w:val="00B80DBF"/>
    <w:rsid w:val="00B80E92"/>
    <w:rsid w:val="00B810AD"/>
    <w:rsid w:val="00B81206"/>
    <w:rsid w:val="00B81425"/>
    <w:rsid w:val="00B814CC"/>
    <w:rsid w:val="00B814F6"/>
    <w:rsid w:val="00B814FB"/>
    <w:rsid w:val="00B817E4"/>
    <w:rsid w:val="00B81819"/>
    <w:rsid w:val="00B819FE"/>
    <w:rsid w:val="00B827D2"/>
    <w:rsid w:val="00B82A15"/>
    <w:rsid w:val="00B82AD4"/>
    <w:rsid w:val="00B82AF4"/>
    <w:rsid w:val="00B82B59"/>
    <w:rsid w:val="00B82E1D"/>
    <w:rsid w:val="00B8301C"/>
    <w:rsid w:val="00B830E5"/>
    <w:rsid w:val="00B8350B"/>
    <w:rsid w:val="00B835A6"/>
    <w:rsid w:val="00B836B1"/>
    <w:rsid w:val="00B83840"/>
    <w:rsid w:val="00B83A13"/>
    <w:rsid w:val="00B83AD9"/>
    <w:rsid w:val="00B83EC2"/>
    <w:rsid w:val="00B83F5A"/>
    <w:rsid w:val="00B83F5B"/>
    <w:rsid w:val="00B84040"/>
    <w:rsid w:val="00B84277"/>
    <w:rsid w:val="00B84338"/>
    <w:rsid w:val="00B846A8"/>
    <w:rsid w:val="00B84CCA"/>
    <w:rsid w:val="00B84E48"/>
    <w:rsid w:val="00B84E61"/>
    <w:rsid w:val="00B84EB9"/>
    <w:rsid w:val="00B85328"/>
    <w:rsid w:val="00B854DF"/>
    <w:rsid w:val="00B8581F"/>
    <w:rsid w:val="00B85926"/>
    <w:rsid w:val="00B859AA"/>
    <w:rsid w:val="00B85B31"/>
    <w:rsid w:val="00B85B7C"/>
    <w:rsid w:val="00B85F2C"/>
    <w:rsid w:val="00B86025"/>
    <w:rsid w:val="00B861FA"/>
    <w:rsid w:val="00B8624C"/>
    <w:rsid w:val="00B86373"/>
    <w:rsid w:val="00B864DF"/>
    <w:rsid w:val="00B86943"/>
    <w:rsid w:val="00B86AC8"/>
    <w:rsid w:val="00B86E52"/>
    <w:rsid w:val="00B86F92"/>
    <w:rsid w:val="00B86F93"/>
    <w:rsid w:val="00B870C9"/>
    <w:rsid w:val="00B870DA"/>
    <w:rsid w:val="00B87116"/>
    <w:rsid w:val="00B872EC"/>
    <w:rsid w:val="00B873EE"/>
    <w:rsid w:val="00B87562"/>
    <w:rsid w:val="00B8792A"/>
    <w:rsid w:val="00B87CE0"/>
    <w:rsid w:val="00B90359"/>
    <w:rsid w:val="00B9043B"/>
    <w:rsid w:val="00B90DC7"/>
    <w:rsid w:val="00B91000"/>
    <w:rsid w:val="00B9111A"/>
    <w:rsid w:val="00B9124E"/>
    <w:rsid w:val="00B912D0"/>
    <w:rsid w:val="00B91510"/>
    <w:rsid w:val="00B91986"/>
    <w:rsid w:val="00B91A89"/>
    <w:rsid w:val="00B91B9F"/>
    <w:rsid w:val="00B91C23"/>
    <w:rsid w:val="00B91D3E"/>
    <w:rsid w:val="00B91EE6"/>
    <w:rsid w:val="00B9224D"/>
    <w:rsid w:val="00B92259"/>
    <w:rsid w:val="00B9261F"/>
    <w:rsid w:val="00B9273F"/>
    <w:rsid w:val="00B927BD"/>
    <w:rsid w:val="00B92AE3"/>
    <w:rsid w:val="00B92E3E"/>
    <w:rsid w:val="00B92EA9"/>
    <w:rsid w:val="00B92EC0"/>
    <w:rsid w:val="00B9310B"/>
    <w:rsid w:val="00B931FF"/>
    <w:rsid w:val="00B9336A"/>
    <w:rsid w:val="00B93443"/>
    <w:rsid w:val="00B9371B"/>
    <w:rsid w:val="00B93768"/>
    <w:rsid w:val="00B9388A"/>
    <w:rsid w:val="00B938FC"/>
    <w:rsid w:val="00B93968"/>
    <w:rsid w:val="00B9399F"/>
    <w:rsid w:val="00B939CE"/>
    <w:rsid w:val="00B93A14"/>
    <w:rsid w:val="00B93AF1"/>
    <w:rsid w:val="00B93B91"/>
    <w:rsid w:val="00B93E00"/>
    <w:rsid w:val="00B93EFA"/>
    <w:rsid w:val="00B93F81"/>
    <w:rsid w:val="00B940C2"/>
    <w:rsid w:val="00B943C6"/>
    <w:rsid w:val="00B946A6"/>
    <w:rsid w:val="00B948F4"/>
    <w:rsid w:val="00B94985"/>
    <w:rsid w:val="00B94A56"/>
    <w:rsid w:val="00B94E56"/>
    <w:rsid w:val="00B94E5B"/>
    <w:rsid w:val="00B94F91"/>
    <w:rsid w:val="00B951DA"/>
    <w:rsid w:val="00B953F3"/>
    <w:rsid w:val="00B95590"/>
    <w:rsid w:val="00B956D2"/>
    <w:rsid w:val="00B95720"/>
    <w:rsid w:val="00B958A9"/>
    <w:rsid w:val="00B95A90"/>
    <w:rsid w:val="00B95F1D"/>
    <w:rsid w:val="00B95FE0"/>
    <w:rsid w:val="00B960A9"/>
    <w:rsid w:val="00B962FE"/>
    <w:rsid w:val="00B964A0"/>
    <w:rsid w:val="00B9696B"/>
    <w:rsid w:val="00B96BE6"/>
    <w:rsid w:val="00B96CFC"/>
    <w:rsid w:val="00B96F7C"/>
    <w:rsid w:val="00B97051"/>
    <w:rsid w:val="00B978B0"/>
    <w:rsid w:val="00B978D5"/>
    <w:rsid w:val="00B97A55"/>
    <w:rsid w:val="00B97A62"/>
    <w:rsid w:val="00B97B7E"/>
    <w:rsid w:val="00B97C0B"/>
    <w:rsid w:val="00B97F9E"/>
    <w:rsid w:val="00BA02EA"/>
    <w:rsid w:val="00BA0394"/>
    <w:rsid w:val="00BA0429"/>
    <w:rsid w:val="00BA04AE"/>
    <w:rsid w:val="00BA0B27"/>
    <w:rsid w:val="00BA0B3A"/>
    <w:rsid w:val="00BA0BEB"/>
    <w:rsid w:val="00BA0CCF"/>
    <w:rsid w:val="00BA0F25"/>
    <w:rsid w:val="00BA10D9"/>
    <w:rsid w:val="00BA1195"/>
    <w:rsid w:val="00BA120E"/>
    <w:rsid w:val="00BA1420"/>
    <w:rsid w:val="00BA152E"/>
    <w:rsid w:val="00BA1652"/>
    <w:rsid w:val="00BA192B"/>
    <w:rsid w:val="00BA1990"/>
    <w:rsid w:val="00BA1A4B"/>
    <w:rsid w:val="00BA1B12"/>
    <w:rsid w:val="00BA1C36"/>
    <w:rsid w:val="00BA1EF9"/>
    <w:rsid w:val="00BA1FD5"/>
    <w:rsid w:val="00BA20F1"/>
    <w:rsid w:val="00BA223F"/>
    <w:rsid w:val="00BA243A"/>
    <w:rsid w:val="00BA271A"/>
    <w:rsid w:val="00BA2C2B"/>
    <w:rsid w:val="00BA2EAF"/>
    <w:rsid w:val="00BA2F3E"/>
    <w:rsid w:val="00BA2F4A"/>
    <w:rsid w:val="00BA2F80"/>
    <w:rsid w:val="00BA30A9"/>
    <w:rsid w:val="00BA30B8"/>
    <w:rsid w:val="00BA30DC"/>
    <w:rsid w:val="00BA3174"/>
    <w:rsid w:val="00BA3581"/>
    <w:rsid w:val="00BA37B3"/>
    <w:rsid w:val="00BA37F6"/>
    <w:rsid w:val="00BA3C6E"/>
    <w:rsid w:val="00BA3E78"/>
    <w:rsid w:val="00BA4083"/>
    <w:rsid w:val="00BA410E"/>
    <w:rsid w:val="00BA41A4"/>
    <w:rsid w:val="00BA41D0"/>
    <w:rsid w:val="00BA45E6"/>
    <w:rsid w:val="00BA461B"/>
    <w:rsid w:val="00BA47CE"/>
    <w:rsid w:val="00BA481F"/>
    <w:rsid w:val="00BA48D6"/>
    <w:rsid w:val="00BA4A34"/>
    <w:rsid w:val="00BA4AB3"/>
    <w:rsid w:val="00BA4F5D"/>
    <w:rsid w:val="00BA4FFE"/>
    <w:rsid w:val="00BA5220"/>
    <w:rsid w:val="00BA55D8"/>
    <w:rsid w:val="00BA5747"/>
    <w:rsid w:val="00BA57E4"/>
    <w:rsid w:val="00BA581A"/>
    <w:rsid w:val="00BA597E"/>
    <w:rsid w:val="00BA59A6"/>
    <w:rsid w:val="00BA5EBB"/>
    <w:rsid w:val="00BA5F58"/>
    <w:rsid w:val="00BA605B"/>
    <w:rsid w:val="00BA626D"/>
    <w:rsid w:val="00BA641F"/>
    <w:rsid w:val="00BA65C0"/>
    <w:rsid w:val="00BA665F"/>
    <w:rsid w:val="00BA67CF"/>
    <w:rsid w:val="00BA67E9"/>
    <w:rsid w:val="00BA67FE"/>
    <w:rsid w:val="00BA68A8"/>
    <w:rsid w:val="00BA6A01"/>
    <w:rsid w:val="00BA6CBA"/>
    <w:rsid w:val="00BA6D4A"/>
    <w:rsid w:val="00BA6E01"/>
    <w:rsid w:val="00BA6F3A"/>
    <w:rsid w:val="00BA758F"/>
    <w:rsid w:val="00BA7864"/>
    <w:rsid w:val="00BA7920"/>
    <w:rsid w:val="00BA7B05"/>
    <w:rsid w:val="00BA7BEC"/>
    <w:rsid w:val="00BA7C2C"/>
    <w:rsid w:val="00BA7DDF"/>
    <w:rsid w:val="00BA7ED0"/>
    <w:rsid w:val="00BB0030"/>
    <w:rsid w:val="00BB00BC"/>
    <w:rsid w:val="00BB01EB"/>
    <w:rsid w:val="00BB0338"/>
    <w:rsid w:val="00BB0354"/>
    <w:rsid w:val="00BB0612"/>
    <w:rsid w:val="00BB0715"/>
    <w:rsid w:val="00BB074E"/>
    <w:rsid w:val="00BB0828"/>
    <w:rsid w:val="00BB0852"/>
    <w:rsid w:val="00BB0874"/>
    <w:rsid w:val="00BB11A4"/>
    <w:rsid w:val="00BB12AB"/>
    <w:rsid w:val="00BB136F"/>
    <w:rsid w:val="00BB13B7"/>
    <w:rsid w:val="00BB15A3"/>
    <w:rsid w:val="00BB16A3"/>
    <w:rsid w:val="00BB181C"/>
    <w:rsid w:val="00BB1AFB"/>
    <w:rsid w:val="00BB1B07"/>
    <w:rsid w:val="00BB1DB1"/>
    <w:rsid w:val="00BB1EE2"/>
    <w:rsid w:val="00BB1F35"/>
    <w:rsid w:val="00BB202A"/>
    <w:rsid w:val="00BB22A5"/>
    <w:rsid w:val="00BB2315"/>
    <w:rsid w:val="00BB231D"/>
    <w:rsid w:val="00BB234D"/>
    <w:rsid w:val="00BB25DF"/>
    <w:rsid w:val="00BB2618"/>
    <w:rsid w:val="00BB270C"/>
    <w:rsid w:val="00BB2744"/>
    <w:rsid w:val="00BB293B"/>
    <w:rsid w:val="00BB2C5C"/>
    <w:rsid w:val="00BB2C86"/>
    <w:rsid w:val="00BB2DB4"/>
    <w:rsid w:val="00BB2DDA"/>
    <w:rsid w:val="00BB30F2"/>
    <w:rsid w:val="00BB3139"/>
    <w:rsid w:val="00BB33EA"/>
    <w:rsid w:val="00BB39F8"/>
    <w:rsid w:val="00BB3A84"/>
    <w:rsid w:val="00BB3C42"/>
    <w:rsid w:val="00BB3DB2"/>
    <w:rsid w:val="00BB3DB7"/>
    <w:rsid w:val="00BB4190"/>
    <w:rsid w:val="00BB43FC"/>
    <w:rsid w:val="00BB45D7"/>
    <w:rsid w:val="00BB482D"/>
    <w:rsid w:val="00BB4970"/>
    <w:rsid w:val="00BB4A53"/>
    <w:rsid w:val="00BB4DC8"/>
    <w:rsid w:val="00BB4EC5"/>
    <w:rsid w:val="00BB5168"/>
    <w:rsid w:val="00BB51EB"/>
    <w:rsid w:val="00BB5404"/>
    <w:rsid w:val="00BB579D"/>
    <w:rsid w:val="00BB57A2"/>
    <w:rsid w:val="00BB5897"/>
    <w:rsid w:val="00BB5D17"/>
    <w:rsid w:val="00BB6081"/>
    <w:rsid w:val="00BB61C3"/>
    <w:rsid w:val="00BB6479"/>
    <w:rsid w:val="00BB65C9"/>
    <w:rsid w:val="00BB673C"/>
    <w:rsid w:val="00BB674D"/>
    <w:rsid w:val="00BB6926"/>
    <w:rsid w:val="00BB6946"/>
    <w:rsid w:val="00BB6A98"/>
    <w:rsid w:val="00BB6AEB"/>
    <w:rsid w:val="00BB6D4E"/>
    <w:rsid w:val="00BB6D6C"/>
    <w:rsid w:val="00BB6E82"/>
    <w:rsid w:val="00BB6F30"/>
    <w:rsid w:val="00BB6F3F"/>
    <w:rsid w:val="00BB6F6C"/>
    <w:rsid w:val="00BB701B"/>
    <w:rsid w:val="00BB7026"/>
    <w:rsid w:val="00BB71EF"/>
    <w:rsid w:val="00BB727C"/>
    <w:rsid w:val="00BB746C"/>
    <w:rsid w:val="00BB7934"/>
    <w:rsid w:val="00BB7BBA"/>
    <w:rsid w:val="00BB7D35"/>
    <w:rsid w:val="00BB7F0C"/>
    <w:rsid w:val="00BC01DC"/>
    <w:rsid w:val="00BC02A5"/>
    <w:rsid w:val="00BC04B5"/>
    <w:rsid w:val="00BC0530"/>
    <w:rsid w:val="00BC07AF"/>
    <w:rsid w:val="00BC088C"/>
    <w:rsid w:val="00BC0C33"/>
    <w:rsid w:val="00BC0DF6"/>
    <w:rsid w:val="00BC0F29"/>
    <w:rsid w:val="00BC0F7D"/>
    <w:rsid w:val="00BC0FB9"/>
    <w:rsid w:val="00BC1233"/>
    <w:rsid w:val="00BC1292"/>
    <w:rsid w:val="00BC152F"/>
    <w:rsid w:val="00BC1755"/>
    <w:rsid w:val="00BC1950"/>
    <w:rsid w:val="00BC1B1E"/>
    <w:rsid w:val="00BC1C50"/>
    <w:rsid w:val="00BC1D37"/>
    <w:rsid w:val="00BC210A"/>
    <w:rsid w:val="00BC21B0"/>
    <w:rsid w:val="00BC21B3"/>
    <w:rsid w:val="00BC243D"/>
    <w:rsid w:val="00BC2703"/>
    <w:rsid w:val="00BC2742"/>
    <w:rsid w:val="00BC2A31"/>
    <w:rsid w:val="00BC2C0F"/>
    <w:rsid w:val="00BC2D24"/>
    <w:rsid w:val="00BC2E92"/>
    <w:rsid w:val="00BC2FD6"/>
    <w:rsid w:val="00BC323C"/>
    <w:rsid w:val="00BC3415"/>
    <w:rsid w:val="00BC3735"/>
    <w:rsid w:val="00BC3B76"/>
    <w:rsid w:val="00BC3D00"/>
    <w:rsid w:val="00BC402B"/>
    <w:rsid w:val="00BC402E"/>
    <w:rsid w:val="00BC412B"/>
    <w:rsid w:val="00BC4261"/>
    <w:rsid w:val="00BC4262"/>
    <w:rsid w:val="00BC4397"/>
    <w:rsid w:val="00BC45E9"/>
    <w:rsid w:val="00BC460E"/>
    <w:rsid w:val="00BC474A"/>
    <w:rsid w:val="00BC475B"/>
    <w:rsid w:val="00BC482C"/>
    <w:rsid w:val="00BC4995"/>
    <w:rsid w:val="00BC4B9E"/>
    <w:rsid w:val="00BC4BD8"/>
    <w:rsid w:val="00BC4CF5"/>
    <w:rsid w:val="00BC4DCC"/>
    <w:rsid w:val="00BC4EBE"/>
    <w:rsid w:val="00BC50E8"/>
    <w:rsid w:val="00BC514A"/>
    <w:rsid w:val="00BC544B"/>
    <w:rsid w:val="00BC547D"/>
    <w:rsid w:val="00BC59EA"/>
    <w:rsid w:val="00BC5E1B"/>
    <w:rsid w:val="00BC6020"/>
    <w:rsid w:val="00BC61A9"/>
    <w:rsid w:val="00BC6586"/>
    <w:rsid w:val="00BC68B2"/>
    <w:rsid w:val="00BC6BE8"/>
    <w:rsid w:val="00BC6C7B"/>
    <w:rsid w:val="00BC6CBE"/>
    <w:rsid w:val="00BC6D33"/>
    <w:rsid w:val="00BC6DD5"/>
    <w:rsid w:val="00BC6E6E"/>
    <w:rsid w:val="00BC6E97"/>
    <w:rsid w:val="00BC74DE"/>
    <w:rsid w:val="00BD064C"/>
    <w:rsid w:val="00BD0845"/>
    <w:rsid w:val="00BD0A43"/>
    <w:rsid w:val="00BD0B4E"/>
    <w:rsid w:val="00BD0B54"/>
    <w:rsid w:val="00BD0B7F"/>
    <w:rsid w:val="00BD0E3D"/>
    <w:rsid w:val="00BD0E93"/>
    <w:rsid w:val="00BD105E"/>
    <w:rsid w:val="00BD149F"/>
    <w:rsid w:val="00BD157C"/>
    <w:rsid w:val="00BD184F"/>
    <w:rsid w:val="00BD1917"/>
    <w:rsid w:val="00BD1A06"/>
    <w:rsid w:val="00BD1A53"/>
    <w:rsid w:val="00BD1AD0"/>
    <w:rsid w:val="00BD1DEC"/>
    <w:rsid w:val="00BD2314"/>
    <w:rsid w:val="00BD266B"/>
    <w:rsid w:val="00BD2728"/>
    <w:rsid w:val="00BD29CE"/>
    <w:rsid w:val="00BD2BA2"/>
    <w:rsid w:val="00BD2EC7"/>
    <w:rsid w:val="00BD34AA"/>
    <w:rsid w:val="00BD3699"/>
    <w:rsid w:val="00BD3792"/>
    <w:rsid w:val="00BD396A"/>
    <w:rsid w:val="00BD3979"/>
    <w:rsid w:val="00BD3C38"/>
    <w:rsid w:val="00BD3C7C"/>
    <w:rsid w:val="00BD3D65"/>
    <w:rsid w:val="00BD3FB5"/>
    <w:rsid w:val="00BD4038"/>
    <w:rsid w:val="00BD4385"/>
    <w:rsid w:val="00BD444A"/>
    <w:rsid w:val="00BD444D"/>
    <w:rsid w:val="00BD44DC"/>
    <w:rsid w:val="00BD4708"/>
    <w:rsid w:val="00BD4898"/>
    <w:rsid w:val="00BD48A0"/>
    <w:rsid w:val="00BD4BB6"/>
    <w:rsid w:val="00BD52B5"/>
    <w:rsid w:val="00BD532A"/>
    <w:rsid w:val="00BD5918"/>
    <w:rsid w:val="00BD5A73"/>
    <w:rsid w:val="00BD5D52"/>
    <w:rsid w:val="00BD5F04"/>
    <w:rsid w:val="00BD607F"/>
    <w:rsid w:val="00BD63A5"/>
    <w:rsid w:val="00BD63E7"/>
    <w:rsid w:val="00BD64AE"/>
    <w:rsid w:val="00BD6599"/>
    <w:rsid w:val="00BD669B"/>
    <w:rsid w:val="00BD6703"/>
    <w:rsid w:val="00BD671F"/>
    <w:rsid w:val="00BD6818"/>
    <w:rsid w:val="00BD6DA9"/>
    <w:rsid w:val="00BD7119"/>
    <w:rsid w:val="00BD7139"/>
    <w:rsid w:val="00BD73CB"/>
    <w:rsid w:val="00BD7523"/>
    <w:rsid w:val="00BD7670"/>
    <w:rsid w:val="00BD7823"/>
    <w:rsid w:val="00BD78FD"/>
    <w:rsid w:val="00BD79D8"/>
    <w:rsid w:val="00BD7B06"/>
    <w:rsid w:val="00BD7C0F"/>
    <w:rsid w:val="00BD7D47"/>
    <w:rsid w:val="00BE013A"/>
    <w:rsid w:val="00BE0288"/>
    <w:rsid w:val="00BE02F8"/>
    <w:rsid w:val="00BE041F"/>
    <w:rsid w:val="00BE05D8"/>
    <w:rsid w:val="00BE0764"/>
    <w:rsid w:val="00BE08DC"/>
    <w:rsid w:val="00BE0BB0"/>
    <w:rsid w:val="00BE0D4F"/>
    <w:rsid w:val="00BE0D9D"/>
    <w:rsid w:val="00BE0F12"/>
    <w:rsid w:val="00BE12ED"/>
    <w:rsid w:val="00BE1793"/>
    <w:rsid w:val="00BE1817"/>
    <w:rsid w:val="00BE1C88"/>
    <w:rsid w:val="00BE1F05"/>
    <w:rsid w:val="00BE205C"/>
    <w:rsid w:val="00BE20FF"/>
    <w:rsid w:val="00BE21D8"/>
    <w:rsid w:val="00BE26DE"/>
    <w:rsid w:val="00BE281C"/>
    <w:rsid w:val="00BE2A0D"/>
    <w:rsid w:val="00BE2ADF"/>
    <w:rsid w:val="00BE2C2D"/>
    <w:rsid w:val="00BE2EB8"/>
    <w:rsid w:val="00BE2EFA"/>
    <w:rsid w:val="00BE2F4A"/>
    <w:rsid w:val="00BE307C"/>
    <w:rsid w:val="00BE318C"/>
    <w:rsid w:val="00BE3372"/>
    <w:rsid w:val="00BE344F"/>
    <w:rsid w:val="00BE34AD"/>
    <w:rsid w:val="00BE364C"/>
    <w:rsid w:val="00BE369F"/>
    <w:rsid w:val="00BE36A6"/>
    <w:rsid w:val="00BE3760"/>
    <w:rsid w:val="00BE38CF"/>
    <w:rsid w:val="00BE3A25"/>
    <w:rsid w:val="00BE3A3F"/>
    <w:rsid w:val="00BE3E4A"/>
    <w:rsid w:val="00BE3EAA"/>
    <w:rsid w:val="00BE3F1B"/>
    <w:rsid w:val="00BE3FE0"/>
    <w:rsid w:val="00BE42AE"/>
    <w:rsid w:val="00BE438B"/>
    <w:rsid w:val="00BE43E7"/>
    <w:rsid w:val="00BE43FA"/>
    <w:rsid w:val="00BE4424"/>
    <w:rsid w:val="00BE4A33"/>
    <w:rsid w:val="00BE4F14"/>
    <w:rsid w:val="00BE5057"/>
    <w:rsid w:val="00BE551E"/>
    <w:rsid w:val="00BE569B"/>
    <w:rsid w:val="00BE5E08"/>
    <w:rsid w:val="00BE5FFF"/>
    <w:rsid w:val="00BE61A7"/>
    <w:rsid w:val="00BE6223"/>
    <w:rsid w:val="00BE625A"/>
    <w:rsid w:val="00BE6671"/>
    <w:rsid w:val="00BE69DB"/>
    <w:rsid w:val="00BE6BC5"/>
    <w:rsid w:val="00BE6C6F"/>
    <w:rsid w:val="00BE6D5C"/>
    <w:rsid w:val="00BE708A"/>
    <w:rsid w:val="00BE713D"/>
    <w:rsid w:val="00BE7584"/>
    <w:rsid w:val="00BE7638"/>
    <w:rsid w:val="00BE7B7F"/>
    <w:rsid w:val="00BE7EB8"/>
    <w:rsid w:val="00BE7EBA"/>
    <w:rsid w:val="00BE7F9C"/>
    <w:rsid w:val="00BE7FB0"/>
    <w:rsid w:val="00BF0082"/>
    <w:rsid w:val="00BF022F"/>
    <w:rsid w:val="00BF040C"/>
    <w:rsid w:val="00BF0447"/>
    <w:rsid w:val="00BF04D0"/>
    <w:rsid w:val="00BF06AD"/>
    <w:rsid w:val="00BF0771"/>
    <w:rsid w:val="00BF077C"/>
    <w:rsid w:val="00BF08C1"/>
    <w:rsid w:val="00BF09BD"/>
    <w:rsid w:val="00BF0ABE"/>
    <w:rsid w:val="00BF0B34"/>
    <w:rsid w:val="00BF0D25"/>
    <w:rsid w:val="00BF139C"/>
    <w:rsid w:val="00BF146D"/>
    <w:rsid w:val="00BF1626"/>
    <w:rsid w:val="00BF162C"/>
    <w:rsid w:val="00BF1D80"/>
    <w:rsid w:val="00BF1EAE"/>
    <w:rsid w:val="00BF1F1F"/>
    <w:rsid w:val="00BF2078"/>
    <w:rsid w:val="00BF25A0"/>
    <w:rsid w:val="00BF27B1"/>
    <w:rsid w:val="00BF2929"/>
    <w:rsid w:val="00BF296E"/>
    <w:rsid w:val="00BF29A8"/>
    <w:rsid w:val="00BF2CAE"/>
    <w:rsid w:val="00BF2D0E"/>
    <w:rsid w:val="00BF2D18"/>
    <w:rsid w:val="00BF2D52"/>
    <w:rsid w:val="00BF2ED3"/>
    <w:rsid w:val="00BF2F23"/>
    <w:rsid w:val="00BF3211"/>
    <w:rsid w:val="00BF3793"/>
    <w:rsid w:val="00BF391E"/>
    <w:rsid w:val="00BF393F"/>
    <w:rsid w:val="00BF3A62"/>
    <w:rsid w:val="00BF3A8D"/>
    <w:rsid w:val="00BF3C04"/>
    <w:rsid w:val="00BF3EB0"/>
    <w:rsid w:val="00BF3EFE"/>
    <w:rsid w:val="00BF3FC7"/>
    <w:rsid w:val="00BF408B"/>
    <w:rsid w:val="00BF42B7"/>
    <w:rsid w:val="00BF445E"/>
    <w:rsid w:val="00BF4628"/>
    <w:rsid w:val="00BF4C15"/>
    <w:rsid w:val="00BF4C5C"/>
    <w:rsid w:val="00BF4DCD"/>
    <w:rsid w:val="00BF4DE9"/>
    <w:rsid w:val="00BF4E73"/>
    <w:rsid w:val="00BF502A"/>
    <w:rsid w:val="00BF516C"/>
    <w:rsid w:val="00BF5363"/>
    <w:rsid w:val="00BF547B"/>
    <w:rsid w:val="00BF5489"/>
    <w:rsid w:val="00BF5678"/>
    <w:rsid w:val="00BF56E5"/>
    <w:rsid w:val="00BF5706"/>
    <w:rsid w:val="00BF5A2B"/>
    <w:rsid w:val="00BF5A33"/>
    <w:rsid w:val="00BF5FB1"/>
    <w:rsid w:val="00BF61EB"/>
    <w:rsid w:val="00BF627A"/>
    <w:rsid w:val="00BF6408"/>
    <w:rsid w:val="00BF6991"/>
    <w:rsid w:val="00BF6CE9"/>
    <w:rsid w:val="00BF6D0A"/>
    <w:rsid w:val="00BF6E98"/>
    <w:rsid w:val="00BF6FFB"/>
    <w:rsid w:val="00BF70FF"/>
    <w:rsid w:val="00BF714A"/>
    <w:rsid w:val="00BF71B2"/>
    <w:rsid w:val="00BF7390"/>
    <w:rsid w:val="00BF73F0"/>
    <w:rsid w:val="00BF74AD"/>
    <w:rsid w:val="00BF74BD"/>
    <w:rsid w:val="00BF790E"/>
    <w:rsid w:val="00BF798B"/>
    <w:rsid w:val="00BF7CAB"/>
    <w:rsid w:val="00BF7CED"/>
    <w:rsid w:val="00BF7EA8"/>
    <w:rsid w:val="00BF7F2E"/>
    <w:rsid w:val="00C00000"/>
    <w:rsid w:val="00C0008A"/>
    <w:rsid w:val="00C0013B"/>
    <w:rsid w:val="00C00262"/>
    <w:rsid w:val="00C002A2"/>
    <w:rsid w:val="00C006FA"/>
    <w:rsid w:val="00C00BFF"/>
    <w:rsid w:val="00C00CFB"/>
    <w:rsid w:val="00C00D7F"/>
    <w:rsid w:val="00C00D80"/>
    <w:rsid w:val="00C01046"/>
    <w:rsid w:val="00C01490"/>
    <w:rsid w:val="00C015FB"/>
    <w:rsid w:val="00C01713"/>
    <w:rsid w:val="00C0176E"/>
    <w:rsid w:val="00C017CD"/>
    <w:rsid w:val="00C01E54"/>
    <w:rsid w:val="00C01EE1"/>
    <w:rsid w:val="00C020F5"/>
    <w:rsid w:val="00C021D1"/>
    <w:rsid w:val="00C027AE"/>
    <w:rsid w:val="00C02F52"/>
    <w:rsid w:val="00C02FF8"/>
    <w:rsid w:val="00C03198"/>
    <w:rsid w:val="00C033E8"/>
    <w:rsid w:val="00C034AC"/>
    <w:rsid w:val="00C037FE"/>
    <w:rsid w:val="00C0380E"/>
    <w:rsid w:val="00C038B7"/>
    <w:rsid w:val="00C039E9"/>
    <w:rsid w:val="00C03A0F"/>
    <w:rsid w:val="00C03A2F"/>
    <w:rsid w:val="00C03AEF"/>
    <w:rsid w:val="00C03D98"/>
    <w:rsid w:val="00C03E97"/>
    <w:rsid w:val="00C03F43"/>
    <w:rsid w:val="00C04051"/>
    <w:rsid w:val="00C04052"/>
    <w:rsid w:val="00C042C0"/>
    <w:rsid w:val="00C04421"/>
    <w:rsid w:val="00C0476D"/>
    <w:rsid w:val="00C04777"/>
    <w:rsid w:val="00C04931"/>
    <w:rsid w:val="00C04E49"/>
    <w:rsid w:val="00C04F4B"/>
    <w:rsid w:val="00C04F96"/>
    <w:rsid w:val="00C051CA"/>
    <w:rsid w:val="00C051FA"/>
    <w:rsid w:val="00C052ED"/>
    <w:rsid w:val="00C05376"/>
    <w:rsid w:val="00C053D5"/>
    <w:rsid w:val="00C054C8"/>
    <w:rsid w:val="00C054E6"/>
    <w:rsid w:val="00C055D6"/>
    <w:rsid w:val="00C05745"/>
    <w:rsid w:val="00C05ACB"/>
    <w:rsid w:val="00C05BDA"/>
    <w:rsid w:val="00C05C4C"/>
    <w:rsid w:val="00C05E90"/>
    <w:rsid w:val="00C05FC5"/>
    <w:rsid w:val="00C06076"/>
    <w:rsid w:val="00C060AE"/>
    <w:rsid w:val="00C060D7"/>
    <w:rsid w:val="00C06107"/>
    <w:rsid w:val="00C06543"/>
    <w:rsid w:val="00C065C2"/>
    <w:rsid w:val="00C06751"/>
    <w:rsid w:val="00C06B92"/>
    <w:rsid w:val="00C06C8C"/>
    <w:rsid w:val="00C06D38"/>
    <w:rsid w:val="00C06EA6"/>
    <w:rsid w:val="00C072A0"/>
    <w:rsid w:val="00C0735F"/>
    <w:rsid w:val="00C07381"/>
    <w:rsid w:val="00C07777"/>
    <w:rsid w:val="00C07811"/>
    <w:rsid w:val="00C0790B"/>
    <w:rsid w:val="00C07B05"/>
    <w:rsid w:val="00C07EF6"/>
    <w:rsid w:val="00C1020D"/>
    <w:rsid w:val="00C10236"/>
    <w:rsid w:val="00C10856"/>
    <w:rsid w:val="00C109F3"/>
    <w:rsid w:val="00C10A71"/>
    <w:rsid w:val="00C10A7C"/>
    <w:rsid w:val="00C10CED"/>
    <w:rsid w:val="00C10E33"/>
    <w:rsid w:val="00C10EB2"/>
    <w:rsid w:val="00C10FB4"/>
    <w:rsid w:val="00C111AC"/>
    <w:rsid w:val="00C11325"/>
    <w:rsid w:val="00C11404"/>
    <w:rsid w:val="00C114F3"/>
    <w:rsid w:val="00C11997"/>
    <w:rsid w:val="00C11A4D"/>
    <w:rsid w:val="00C11AA8"/>
    <w:rsid w:val="00C11B06"/>
    <w:rsid w:val="00C11B12"/>
    <w:rsid w:val="00C12257"/>
    <w:rsid w:val="00C12754"/>
    <w:rsid w:val="00C12B8E"/>
    <w:rsid w:val="00C12F34"/>
    <w:rsid w:val="00C12F88"/>
    <w:rsid w:val="00C12FB0"/>
    <w:rsid w:val="00C13011"/>
    <w:rsid w:val="00C13090"/>
    <w:rsid w:val="00C130F3"/>
    <w:rsid w:val="00C13193"/>
    <w:rsid w:val="00C13384"/>
    <w:rsid w:val="00C1376D"/>
    <w:rsid w:val="00C13807"/>
    <w:rsid w:val="00C13888"/>
    <w:rsid w:val="00C138DD"/>
    <w:rsid w:val="00C13DA8"/>
    <w:rsid w:val="00C13F06"/>
    <w:rsid w:val="00C13FAF"/>
    <w:rsid w:val="00C14052"/>
    <w:rsid w:val="00C14157"/>
    <w:rsid w:val="00C14262"/>
    <w:rsid w:val="00C14359"/>
    <w:rsid w:val="00C145BD"/>
    <w:rsid w:val="00C148E6"/>
    <w:rsid w:val="00C14D64"/>
    <w:rsid w:val="00C15036"/>
    <w:rsid w:val="00C152C2"/>
    <w:rsid w:val="00C153AF"/>
    <w:rsid w:val="00C153D8"/>
    <w:rsid w:val="00C15766"/>
    <w:rsid w:val="00C15986"/>
    <w:rsid w:val="00C15CED"/>
    <w:rsid w:val="00C15DC4"/>
    <w:rsid w:val="00C16088"/>
    <w:rsid w:val="00C163AE"/>
    <w:rsid w:val="00C166F1"/>
    <w:rsid w:val="00C16928"/>
    <w:rsid w:val="00C16986"/>
    <w:rsid w:val="00C16A58"/>
    <w:rsid w:val="00C16B81"/>
    <w:rsid w:val="00C16C0D"/>
    <w:rsid w:val="00C16CF6"/>
    <w:rsid w:val="00C17133"/>
    <w:rsid w:val="00C17453"/>
    <w:rsid w:val="00C174B5"/>
    <w:rsid w:val="00C174EE"/>
    <w:rsid w:val="00C174F9"/>
    <w:rsid w:val="00C17961"/>
    <w:rsid w:val="00C17C87"/>
    <w:rsid w:val="00C17D4D"/>
    <w:rsid w:val="00C17E5D"/>
    <w:rsid w:val="00C20034"/>
    <w:rsid w:val="00C20460"/>
    <w:rsid w:val="00C2073D"/>
    <w:rsid w:val="00C2084C"/>
    <w:rsid w:val="00C20A9E"/>
    <w:rsid w:val="00C20B59"/>
    <w:rsid w:val="00C20CC1"/>
    <w:rsid w:val="00C21187"/>
    <w:rsid w:val="00C2123B"/>
    <w:rsid w:val="00C212AA"/>
    <w:rsid w:val="00C212D6"/>
    <w:rsid w:val="00C214D8"/>
    <w:rsid w:val="00C216B5"/>
    <w:rsid w:val="00C21748"/>
    <w:rsid w:val="00C21854"/>
    <w:rsid w:val="00C21C64"/>
    <w:rsid w:val="00C21C89"/>
    <w:rsid w:val="00C22124"/>
    <w:rsid w:val="00C223DB"/>
    <w:rsid w:val="00C22662"/>
    <w:rsid w:val="00C22854"/>
    <w:rsid w:val="00C22F37"/>
    <w:rsid w:val="00C230D8"/>
    <w:rsid w:val="00C23490"/>
    <w:rsid w:val="00C2354A"/>
    <w:rsid w:val="00C23771"/>
    <w:rsid w:val="00C239B5"/>
    <w:rsid w:val="00C23A54"/>
    <w:rsid w:val="00C23B39"/>
    <w:rsid w:val="00C24035"/>
    <w:rsid w:val="00C240CA"/>
    <w:rsid w:val="00C241B6"/>
    <w:rsid w:val="00C2435E"/>
    <w:rsid w:val="00C243FF"/>
    <w:rsid w:val="00C2451B"/>
    <w:rsid w:val="00C24578"/>
    <w:rsid w:val="00C24683"/>
    <w:rsid w:val="00C2476C"/>
    <w:rsid w:val="00C24F2E"/>
    <w:rsid w:val="00C250C7"/>
    <w:rsid w:val="00C251CC"/>
    <w:rsid w:val="00C255E1"/>
    <w:rsid w:val="00C2574C"/>
    <w:rsid w:val="00C25874"/>
    <w:rsid w:val="00C258A8"/>
    <w:rsid w:val="00C25BB4"/>
    <w:rsid w:val="00C25C5A"/>
    <w:rsid w:val="00C25E98"/>
    <w:rsid w:val="00C25F68"/>
    <w:rsid w:val="00C2614E"/>
    <w:rsid w:val="00C26264"/>
    <w:rsid w:val="00C26562"/>
    <w:rsid w:val="00C265CA"/>
    <w:rsid w:val="00C26673"/>
    <w:rsid w:val="00C266BF"/>
    <w:rsid w:val="00C26756"/>
    <w:rsid w:val="00C26911"/>
    <w:rsid w:val="00C26AEA"/>
    <w:rsid w:val="00C26C14"/>
    <w:rsid w:val="00C26C64"/>
    <w:rsid w:val="00C26C7A"/>
    <w:rsid w:val="00C26E98"/>
    <w:rsid w:val="00C27435"/>
    <w:rsid w:val="00C275B0"/>
    <w:rsid w:val="00C27794"/>
    <w:rsid w:val="00C277DD"/>
    <w:rsid w:val="00C278D6"/>
    <w:rsid w:val="00C27A23"/>
    <w:rsid w:val="00C27B5F"/>
    <w:rsid w:val="00C27C7C"/>
    <w:rsid w:val="00C27EA5"/>
    <w:rsid w:val="00C27F66"/>
    <w:rsid w:val="00C3019C"/>
    <w:rsid w:val="00C303A8"/>
    <w:rsid w:val="00C305A4"/>
    <w:rsid w:val="00C30776"/>
    <w:rsid w:val="00C308C7"/>
    <w:rsid w:val="00C30B5A"/>
    <w:rsid w:val="00C30C75"/>
    <w:rsid w:val="00C30C97"/>
    <w:rsid w:val="00C30E8F"/>
    <w:rsid w:val="00C30F05"/>
    <w:rsid w:val="00C30F89"/>
    <w:rsid w:val="00C31310"/>
    <w:rsid w:val="00C314DA"/>
    <w:rsid w:val="00C316A1"/>
    <w:rsid w:val="00C316EE"/>
    <w:rsid w:val="00C316F2"/>
    <w:rsid w:val="00C319B5"/>
    <w:rsid w:val="00C319F3"/>
    <w:rsid w:val="00C31C18"/>
    <w:rsid w:val="00C31C65"/>
    <w:rsid w:val="00C31C90"/>
    <w:rsid w:val="00C31EFE"/>
    <w:rsid w:val="00C320EF"/>
    <w:rsid w:val="00C320F2"/>
    <w:rsid w:val="00C32239"/>
    <w:rsid w:val="00C3267E"/>
    <w:rsid w:val="00C32736"/>
    <w:rsid w:val="00C328B6"/>
    <w:rsid w:val="00C32A11"/>
    <w:rsid w:val="00C32A64"/>
    <w:rsid w:val="00C32B0F"/>
    <w:rsid w:val="00C32D96"/>
    <w:rsid w:val="00C32DD8"/>
    <w:rsid w:val="00C32E70"/>
    <w:rsid w:val="00C32EC6"/>
    <w:rsid w:val="00C332E5"/>
    <w:rsid w:val="00C333D5"/>
    <w:rsid w:val="00C334B9"/>
    <w:rsid w:val="00C334FB"/>
    <w:rsid w:val="00C338E4"/>
    <w:rsid w:val="00C338F1"/>
    <w:rsid w:val="00C339A6"/>
    <w:rsid w:val="00C339DB"/>
    <w:rsid w:val="00C33A6A"/>
    <w:rsid w:val="00C33AAF"/>
    <w:rsid w:val="00C33C98"/>
    <w:rsid w:val="00C33F68"/>
    <w:rsid w:val="00C34312"/>
    <w:rsid w:val="00C34413"/>
    <w:rsid w:val="00C348CE"/>
    <w:rsid w:val="00C349A9"/>
    <w:rsid w:val="00C34A7C"/>
    <w:rsid w:val="00C34EBD"/>
    <w:rsid w:val="00C3520F"/>
    <w:rsid w:val="00C3534E"/>
    <w:rsid w:val="00C35351"/>
    <w:rsid w:val="00C35405"/>
    <w:rsid w:val="00C354C0"/>
    <w:rsid w:val="00C355B0"/>
    <w:rsid w:val="00C35637"/>
    <w:rsid w:val="00C3563B"/>
    <w:rsid w:val="00C356EB"/>
    <w:rsid w:val="00C35753"/>
    <w:rsid w:val="00C358F3"/>
    <w:rsid w:val="00C35918"/>
    <w:rsid w:val="00C35B03"/>
    <w:rsid w:val="00C35DE9"/>
    <w:rsid w:val="00C36477"/>
    <w:rsid w:val="00C3654A"/>
    <w:rsid w:val="00C3673A"/>
    <w:rsid w:val="00C36773"/>
    <w:rsid w:val="00C36777"/>
    <w:rsid w:val="00C367EA"/>
    <w:rsid w:val="00C3694D"/>
    <w:rsid w:val="00C36B8F"/>
    <w:rsid w:val="00C36BDA"/>
    <w:rsid w:val="00C36FA9"/>
    <w:rsid w:val="00C37008"/>
    <w:rsid w:val="00C37436"/>
    <w:rsid w:val="00C376E7"/>
    <w:rsid w:val="00C377FA"/>
    <w:rsid w:val="00C37876"/>
    <w:rsid w:val="00C378B0"/>
    <w:rsid w:val="00C37A81"/>
    <w:rsid w:val="00C40066"/>
    <w:rsid w:val="00C40489"/>
    <w:rsid w:val="00C40942"/>
    <w:rsid w:val="00C40CB0"/>
    <w:rsid w:val="00C40D21"/>
    <w:rsid w:val="00C40D89"/>
    <w:rsid w:val="00C40E1C"/>
    <w:rsid w:val="00C40E38"/>
    <w:rsid w:val="00C41019"/>
    <w:rsid w:val="00C41189"/>
    <w:rsid w:val="00C41312"/>
    <w:rsid w:val="00C414AE"/>
    <w:rsid w:val="00C41562"/>
    <w:rsid w:val="00C41760"/>
    <w:rsid w:val="00C41784"/>
    <w:rsid w:val="00C4194B"/>
    <w:rsid w:val="00C419CE"/>
    <w:rsid w:val="00C41B0F"/>
    <w:rsid w:val="00C41BF8"/>
    <w:rsid w:val="00C420D0"/>
    <w:rsid w:val="00C42319"/>
    <w:rsid w:val="00C42474"/>
    <w:rsid w:val="00C428D2"/>
    <w:rsid w:val="00C42BE3"/>
    <w:rsid w:val="00C42D32"/>
    <w:rsid w:val="00C42D4C"/>
    <w:rsid w:val="00C42FA1"/>
    <w:rsid w:val="00C43159"/>
    <w:rsid w:val="00C431FE"/>
    <w:rsid w:val="00C43239"/>
    <w:rsid w:val="00C432A3"/>
    <w:rsid w:val="00C43538"/>
    <w:rsid w:val="00C43960"/>
    <w:rsid w:val="00C439B8"/>
    <w:rsid w:val="00C43B5A"/>
    <w:rsid w:val="00C43CEE"/>
    <w:rsid w:val="00C43D06"/>
    <w:rsid w:val="00C43F66"/>
    <w:rsid w:val="00C440D6"/>
    <w:rsid w:val="00C44311"/>
    <w:rsid w:val="00C444DA"/>
    <w:rsid w:val="00C447EA"/>
    <w:rsid w:val="00C4482D"/>
    <w:rsid w:val="00C44846"/>
    <w:rsid w:val="00C44BB0"/>
    <w:rsid w:val="00C44CF9"/>
    <w:rsid w:val="00C44EE9"/>
    <w:rsid w:val="00C450DD"/>
    <w:rsid w:val="00C452BC"/>
    <w:rsid w:val="00C452E7"/>
    <w:rsid w:val="00C45419"/>
    <w:rsid w:val="00C457C6"/>
    <w:rsid w:val="00C45807"/>
    <w:rsid w:val="00C45923"/>
    <w:rsid w:val="00C45989"/>
    <w:rsid w:val="00C45A13"/>
    <w:rsid w:val="00C45A19"/>
    <w:rsid w:val="00C45C85"/>
    <w:rsid w:val="00C45D9F"/>
    <w:rsid w:val="00C45DCA"/>
    <w:rsid w:val="00C45F54"/>
    <w:rsid w:val="00C46168"/>
    <w:rsid w:val="00C46239"/>
    <w:rsid w:val="00C466AA"/>
    <w:rsid w:val="00C46728"/>
    <w:rsid w:val="00C4673D"/>
    <w:rsid w:val="00C468D8"/>
    <w:rsid w:val="00C46D73"/>
    <w:rsid w:val="00C46DE4"/>
    <w:rsid w:val="00C46E46"/>
    <w:rsid w:val="00C46EF1"/>
    <w:rsid w:val="00C46FB8"/>
    <w:rsid w:val="00C470DE"/>
    <w:rsid w:val="00C47357"/>
    <w:rsid w:val="00C4772F"/>
    <w:rsid w:val="00C479F3"/>
    <w:rsid w:val="00C47B7C"/>
    <w:rsid w:val="00C47DC4"/>
    <w:rsid w:val="00C47DEE"/>
    <w:rsid w:val="00C47E91"/>
    <w:rsid w:val="00C50185"/>
    <w:rsid w:val="00C501D7"/>
    <w:rsid w:val="00C50416"/>
    <w:rsid w:val="00C50544"/>
    <w:rsid w:val="00C505BA"/>
    <w:rsid w:val="00C50710"/>
    <w:rsid w:val="00C5078E"/>
    <w:rsid w:val="00C50983"/>
    <w:rsid w:val="00C50D84"/>
    <w:rsid w:val="00C510CA"/>
    <w:rsid w:val="00C512AA"/>
    <w:rsid w:val="00C51416"/>
    <w:rsid w:val="00C5156E"/>
    <w:rsid w:val="00C51631"/>
    <w:rsid w:val="00C51689"/>
    <w:rsid w:val="00C51899"/>
    <w:rsid w:val="00C51B80"/>
    <w:rsid w:val="00C51CCB"/>
    <w:rsid w:val="00C51ED2"/>
    <w:rsid w:val="00C52086"/>
    <w:rsid w:val="00C52106"/>
    <w:rsid w:val="00C52190"/>
    <w:rsid w:val="00C523C4"/>
    <w:rsid w:val="00C52547"/>
    <w:rsid w:val="00C526D6"/>
    <w:rsid w:val="00C5271D"/>
    <w:rsid w:val="00C52A33"/>
    <w:rsid w:val="00C52A64"/>
    <w:rsid w:val="00C52ACD"/>
    <w:rsid w:val="00C52AD3"/>
    <w:rsid w:val="00C52BE6"/>
    <w:rsid w:val="00C52EE4"/>
    <w:rsid w:val="00C52F9E"/>
    <w:rsid w:val="00C5300B"/>
    <w:rsid w:val="00C5342D"/>
    <w:rsid w:val="00C5366C"/>
    <w:rsid w:val="00C53716"/>
    <w:rsid w:val="00C537B1"/>
    <w:rsid w:val="00C537B4"/>
    <w:rsid w:val="00C537FC"/>
    <w:rsid w:val="00C53A0B"/>
    <w:rsid w:val="00C53AF3"/>
    <w:rsid w:val="00C53D94"/>
    <w:rsid w:val="00C54087"/>
    <w:rsid w:val="00C54109"/>
    <w:rsid w:val="00C541EC"/>
    <w:rsid w:val="00C54345"/>
    <w:rsid w:val="00C543E0"/>
    <w:rsid w:val="00C54692"/>
    <w:rsid w:val="00C5471A"/>
    <w:rsid w:val="00C54790"/>
    <w:rsid w:val="00C54865"/>
    <w:rsid w:val="00C549A2"/>
    <w:rsid w:val="00C54A22"/>
    <w:rsid w:val="00C54A74"/>
    <w:rsid w:val="00C54E02"/>
    <w:rsid w:val="00C54E13"/>
    <w:rsid w:val="00C54E5E"/>
    <w:rsid w:val="00C54E96"/>
    <w:rsid w:val="00C553A3"/>
    <w:rsid w:val="00C553C6"/>
    <w:rsid w:val="00C554F4"/>
    <w:rsid w:val="00C555A4"/>
    <w:rsid w:val="00C557E9"/>
    <w:rsid w:val="00C55968"/>
    <w:rsid w:val="00C55A53"/>
    <w:rsid w:val="00C55B5B"/>
    <w:rsid w:val="00C55C92"/>
    <w:rsid w:val="00C55EE7"/>
    <w:rsid w:val="00C562B1"/>
    <w:rsid w:val="00C56503"/>
    <w:rsid w:val="00C5669B"/>
    <w:rsid w:val="00C5680A"/>
    <w:rsid w:val="00C568DB"/>
    <w:rsid w:val="00C56A8C"/>
    <w:rsid w:val="00C56FEA"/>
    <w:rsid w:val="00C5702F"/>
    <w:rsid w:val="00C57169"/>
    <w:rsid w:val="00C5737C"/>
    <w:rsid w:val="00C57689"/>
    <w:rsid w:val="00C57693"/>
    <w:rsid w:val="00C57833"/>
    <w:rsid w:val="00C579EB"/>
    <w:rsid w:val="00C57D50"/>
    <w:rsid w:val="00C60290"/>
    <w:rsid w:val="00C60350"/>
    <w:rsid w:val="00C6041C"/>
    <w:rsid w:val="00C60584"/>
    <w:rsid w:val="00C605DD"/>
    <w:rsid w:val="00C60688"/>
    <w:rsid w:val="00C6088B"/>
    <w:rsid w:val="00C6093A"/>
    <w:rsid w:val="00C60A90"/>
    <w:rsid w:val="00C60B9B"/>
    <w:rsid w:val="00C60C98"/>
    <w:rsid w:val="00C60CD8"/>
    <w:rsid w:val="00C60D09"/>
    <w:rsid w:val="00C60E15"/>
    <w:rsid w:val="00C60EB7"/>
    <w:rsid w:val="00C61028"/>
    <w:rsid w:val="00C61186"/>
    <w:rsid w:val="00C61264"/>
    <w:rsid w:val="00C61708"/>
    <w:rsid w:val="00C61884"/>
    <w:rsid w:val="00C619C0"/>
    <w:rsid w:val="00C61B3D"/>
    <w:rsid w:val="00C61D1F"/>
    <w:rsid w:val="00C61E3B"/>
    <w:rsid w:val="00C62085"/>
    <w:rsid w:val="00C620B3"/>
    <w:rsid w:val="00C620CC"/>
    <w:rsid w:val="00C62334"/>
    <w:rsid w:val="00C62350"/>
    <w:rsid w:val="00C62397"/>
    <w:rsid w:val="00C6241C"/>
    <w:rsid w:val="00C624E8"/>
    <w:rsid w:val="00C62775"/>
    <w:rsid w:val="00C6290F"/>
    <w:rsid w:val="00C629B2"/>
    <w:rsid w:val="00C62C6D"/>
    <w:rsid w:val="00C62CDC"/>
    <w:rsid w:val="00C62E0D"/>
    <w:rsid w:val="00C62EFC"/>
    <w:rsid w:val="00C6309C"/>
    <w:rsid w:val="00C630F8"/>
    <w:rsid w:val="00C6341A"/>
    <w:rsid w:val="00C636A8"/>
    <w:rsid w:val="00C637A2"/>
    <w:rsid w:val="00C63958"/>
    <w:rsid w:val="00C63AF1"/>
    <w:rsid w:val="00C63B9E"/>
    <w:rsid w:val="00C63C86"/>
    <w:rsid w:val="00C63E06"/>
    <w:rsid w:val="00C63E77"/>
    <w:rsid w:val="00C64110"/>
    <w:rsid w:val="00C642A1"/>
    <w:rsid w:val="00C64382"/>
    <w:rsid w:val="00C64390"/>
    <w:rsid w:val="00C644A0"/>
    <w:rsid w:val="00C64560"/>
    <w:rsid w:val="00C645D8"/>
    <w:rsid w:val="00C64AA0"/>
    <w:rsid w:val="00C64B02"/>
    <w:rsid w:val="00C64C99"/>
    <w:rsid w:val="00C64D3A"/>
    <w:rsid w:val="00C64FAA"/>
    <w:rsid w:val="00C651C6"/>
    <w:rsid w:val="00C65217"/>
    <w:rsid w:val="00C6526A"/>
    <w:rsid w:val="00C65301"/>
    <w:rsid w:val="00C653C9"/>
    <w:rsid w:val="00C65428"/>
    <w:rsid w:val="00C6545F"/>
    <w:rsid w:val="00C6549E"/>
    <w:rsid w:val="00C65533"/>
    <w:rsid w:val="00C656C9"/>
    <w:rsid w:val="00C65B38"/>
    <w:rsid w:val="00C65D3E"/>
    <w:rsid w:val="00C65E3A"/>
    <w:rsid w:val="00C65EED"/>
    <w:rsid w:val="00C66215"/>
    <w:rsid w:val="00C66294"/>
    <w:rsid w:val="00C664E7"/>
    <w:rsid w:val="00C66BAB"/>
    <w:rsid w:val="00C66C4E"/>
    <w:rsid w:val="00C66D3C"/>
    <w:rsid w:val="00C66E14"/>
    <w:rsid w:val="00C6706C"/>
    <w:rsid w:val="00C670E7"/>
    <w:rsid w:val="00C673E6"/>
    <w:rsid w:val="00C67480"/>
    <w:rsid w:val="00C675AC"/>
    <w:rsid w:val="00C678D5"/>
    <w:rsid w:val="00C67BA2"/>
    <w:rsid w:val="00C67CF5"/>
    <w:rsid w:val="00C67E09"/>
    <w:rsid w:val="00C67F14"/>
    <w:rsid w:val="00C7025D"/>
    <w:rsid w:val="00C703EF"/>
    <w:rsid w:val="00C7063D"/>
    <w:rsid w:val="00C7066D"/>
    <w:rsid w:val="00C706FA"/>
    <w:rsid w:val="00C7077F"/>
    <w:rsid w:val="00C70DF0"/>
    <w:rsid w:val="00C70F6E"/>
    <w:rsid w:val="00C712DF"/>
    <w:rsid w:val="00C713B4"/>
    <w:rsid w:val="00C7144E"/>
    <w:rsid w:val="00C71511"/>
    <w:rsid w:val="00C7162B"/>
    <w:rsid w:val="00C71667"/>
    <w:rsid w:val="00C717DD"/>
    <w:rsid w:val="00C71A70"/>
    <w:rsid w:val="00C71ACE"/>
    <w:rsid w:val="00C71D24"/>
    <w:rsid w:val="00C71DEC"/>
    <w:rsid w:val="00C71E1F"/>
    <w:rsid w:val="00C71F40"/>
    <w:rsid w:val="00C71F9A"/>
    <w:rsid w:val="00C720C7"/>
    <w:rsid w:val="00C72190"/>
    <w:rsid w:val="00C721E9"/>
    <w:rsid w:val="00C7264F"/>
    <w:rsid w:val="00C7276E"/>
    <w:rsid w:val="00C72834"/>
    <w:rsid w:val="00C7289D"/>
    <w:rsid w:val="00C72A3E"/>
    <w:rsid w:val="00C72C9B"/>
    <w:rsid w:val="00C72CD0"/>
    <w:rsid w:val="00C72F55"/>
    <w:rsid w:val="00C73206"/>
    <w:rsid w:val="00C7352F"/>
    <w:rsid w:val="00C73595"/>
    <w:rsid w:val="00C735DD"/>
    <w:rsid w:val="00C737AF"/>
    <w:rsid w:val="00C7396D"/>
    <w:rsid w:val="00C73AD6"/>
    <w:rsid w:val="00C73DBC"/>
    <w:rsid w:val="00C740E2"/>
    <w:rsid w:val="00C74397"/>
    <w:rsid w:val="00C743D7"/>
    <w:rsid w:val="00C7441B"/>
    <w:rsid w:val="00C744FE"/>
    <w:rsid w:val="00C74572"/>
    <w:rsid w:val="00C74704"/>
    <w:rsid w:val="00C74780"/>
    <w:rsid w:val="00C74A75"/>
    <w:rsid w:val="00C74AB2"/>
    <w:rsid w:val="00C74D8A"/>
    <w:rsid w:val="00C75218"/>
    <w:rsid w:val="00C7531E"/>
    <w:rsid w:val="00C75959"/>
    <w:rsid w:val="00C759C0"/>
    <w:rsid w:val="00C75E99"/>
    <w:rsid w:val="00C75EB1"/>
    <w:rsid w:val="00C75EDD"/>
    <w:rsid w:val="00C76044"/>
    <w:rsid w:val="00C7662F"/>
    <w:rsid w:val="00C7679E"/>
    <w:rsid w:val="00C7688F"/>
    <w:rsid w:val="00C76A14"/>
    <w:rsid w:val="00C76C55"/>
    <w:rsid w:val="00C76CCA"/>
    <w:rsid w:val="00C76FA2"/>
    <w:rsid w:val="00C77061"/>
    <w:rsid w:val="00C772D5"/>
    <w:rsid w:val="00C774CA"/>
    <w:rsid w:val="00C775F3"/>
    <w:rsid w:val="00C77629"/>
    <w:rsid w:val="00C776A8"/>
    <w:rsid w:val="00C776F0"/>
    <w:rsid w:val="00C7775D"/>
    <w:rsid w:val="00C7785C"/>
    <w:rsid w:val="00C77942"/>
    <w:rsid w:val="00C77F52"/>
    <w:rsid w:val="00C80397"/>
    <w:rsid w:val="00C8056E"/>
    <w:rsid w:val="00C805F6"/>
    <w:rsid w:val="00C8068C"/>
    <w:rsid w:val="00C808B8"/>
    <w:rsid w:val="00C80A80"/>
    <w:rsid w:val="00C80CA1"/>
    <w:rsid w:val="00C80D6A"/>
    <w:rsid w:val="00C80E51"/>
    <w:rsid w:val="00C80E56"/>
    <w:rsid w:val="00C81265"/>
    <w:rsid w:val="00C81389"/>
    <w:rsid w:val="00C813A4"/>
    <w:rsid w:val="00C81400"/>
    <w:rsid w:val="00C81493"/>
    <w:rsid w:val="00C81581"/>
    <w:rsid w:val="00C8164B"/>
    <w:rsid w:val="00C81BF0"/>
    <w:rsid w:val="00C81CD0"/>
    <w:rsid w:val="00C81D82"/>
    <w:rsid w:val="00C8214A"/>
    <w:rsid w:val="00C82210"/>
    <w:rsid w:val="00C82406"/>
    <w:rsid w:val="00C8270E"/>
    <w:rsid w:val="00C82C6B"/>
    <w:rsid w:val="00C830E1"/>
    <w:rsid w:val="00C8326E"/>
    <w:rsid w:val="00C83280"/>
    <w:rsid w:val="00C8338A"/>
    <w:rsid w:val="00C83550"/>
    <w:rsid w:val="00C83637"/>
    <w:rsid w:val="00C83BDB"/>
    <w:rsid w:val="00C83BF5"/>
    <w:rsid w:val="00C83C65"/>
    <w:rsid w:val="00C83CF4"/>
    <w:rsid w:val="00C83D91"/>
    <w:rsid w:val="00C84046"/>
    <w:rsid w:val="00C840D4"/>
    <w:rsid w:val="00C8463C"/>
    <w:rsid w:val="00C849A4"/>
    <w:rsid w:val="00C84B89"/>
    <w:rsid w:val="00C84CDD"/>
    <w:rsid w:val="00C84DFD"/>
    <w:rsid w:val="00C84E31"/>
    <w:rsid w:val="00C84E72"/>
    <w:rsid w:val="00C84F8E"/>
    <w:rsid w:val="00C85059"/>
    <w:rsid w:val="00C85137"/>
    <w:rsid w:val="00C853B0"/>
    <w:rsid w:val="00C854C8"/>
    <w:rsid w:val="00C854D4"/>
    <w:rsid w:val="00C85ACF"/>
    <w:rsid w:val="00C85B4B"/>
    <w:rsid w:val="00C85BC2"/>
    <w:rsid w:val="00C85C41"/>
    <w:rsid w:val="00C85C42"/>
    <w:rsid w:val="00C85C84"/>
    <w:rsid w:val="00C85F22"/>
    <w:rsid w:val="00C85F63"/>
    <w:rsid w:val="00C85FB7"/>
    <w:rsid w:val="00C86056"/>
    <w:rsid w:val="00C862B7"/>
    <w:rsid w:val="00C86476"/>
    <w:rsid w:val="00C86523"/>
    <w:rsid w:val="00C8652D"/>
    <w:rsid w:val="00C86574"/>
    <w:rsid w:val="00C867EE"/>
    <w:rsid w:val="00C868FA"/>
    <w:rsid w:val="00C86B94"/>
    <w:rsid w:val="00C86C44"/>
    <w:rsid w:val="00C86E41"/>
    <w:rsid w:val="00C86F4A"/>
    <w:rsid w:val="00C87006"/>
    <w:rsid w:val="00C873FA"/>
    <w:rsid w:val="00C875C8"/>
    <w:rsid w:val="00C8770B"/>
    <w:rsid w:val="00C879DD"/>
    <w:rsid w:val="00C87CF1"/>
    <w:rsid w:val="00C87DB3"/>
    <w:rsid w:val="00C87F41"/>
    <w:rsid w:val="00C900B8"/>
    <w:rsid w:val="00C9011C"/>
    <w:rsid w:val="00C9018A"/>
    <w:rsid w:val="00C9069C"/>
    <w:rsid w:val="00C906F0"/>
    <w:rsid w:val="00C90779"/>
    <w:rsid w:val="00C907AB"/>
    <w:rsid w:val="00C90817"/>
    <w:rsid w:val="00C90908"/>
    <w:rsid w:val="00C90A76"/>
    <w:rsid w:val="00C90A9B"/>
    <w:rsid w:val="00C90C2C"/>
    <w:rsid w:val="00C90DFC"/>
    <w:rsid w:val="00C90E3E"/>
    <w:rsid w:val="00C90FFC"/>
    <w:rsid w:val="00C910A0"/>
    <w:rsid w:val="00C911D2"/>
    <w:rsid w:val="00C914A3"/>
    <w:rsid w:val="00C915EE"/>
    <w:rsid w:val="00C91872"/>
    <w:rsid w:val="00C91A6B"/>
    <w:rsid w:val="00C91AE6"/>
    <w:rsid w:val="00C91C5A"/>
    <w:rsid w:val="00C91D40"/>
    <w:rsid w:val="00C91EC4"/>
    <w:rsid w:val="00C91F74"/>
    <w:rsid w:val="00C9204A"/>
    <w:rsid w:val="00C920A6"/>
    <w:rsid w:val="00C922D5"/>
    <w:rsid w:val="00C92523"/>
    <w:rsid w:val="00C92799"/>
    <w:rsid w:val="00C927FD"/>
    <w:rsid w:val="00C92AD3"/>
    <w:rsid w:val="00C92D91"/>
    <w:rsid w:val="00C92E25"/>
    <w:rsid w:val="00C92F80"/>
    <w:rsid w:val="00C9315F"/>
    <w:rsid w:val="00C93430"/>
    <w:rsid w:val="00C935E5"/>
    <w:rsid w:val="00C93ACD"/>
    <w:rsid w:val="00C942BC"/>
    <w:rsid w:val="00C942F1"/>
    <w:rsid w:val="00C944A4"/>
    <w:rsid w:val="00C945D3"/>
    <w:rsid w:val="00C94662"/>
    <w:rsid w:val="00C946A3"/>
    <w:rsid w:val="00C94771"/>
    <w:rsid w:val="00C947E8"/>
    <w:rsid w:val="00C94976"/>
    <w:rsid w:val="00C949B8"/>
    <w:rsid w:val="00C94AA3"/>
    <w:rsid w:val="00C94BE5"/>
    <w:rsid w:val="00C953CC"/>
    <w:rsid w:val="00C953EC"/>
    <w:rsid w:val="00C95808"/>
    <w:rsid w:val="00C9584A"/>
    <w:rsid w:val="00C95851"/>
    <w:rsid w:val="00C959B7"/>
    <w:rsid w:val="00C95AC4"/>
    <w:rsid w:val="00C95D0B"/>
    <w:rsid w:val="00C96228"/>
    <w:rsid w:val="00C962CC"/>
    <w:rsid w:val="00C9678A"/>
    <w:rsid w:val="00C96A0C"/>
    <w:rsid w:val="00C96BED"/>
    <w:rsid w:val="00C96E3F"/>
    <w:rsid w:val="00C96F71"/>
    <w:rsid w:val="00C9716A"/>
    <w:rsid w:val="00C97338"/>
    <w:rsid w:val="00C973E2"/>
    <w:rsid w:val="00C97745"/>
    <w:rsid w:val="00C977ED"/>
    <w:rsid w:val="00C97802"/>
    <w:rsid w:val="00C97885"/>
    <w:rsid w:val="00C9794E"/>
    <w:rsid w:val="00C97B6C"/>
    <w:rsid w:val="00C97BA7"/>
    <w:rsid w:val="00C97C4C"/>
    <w:rsid w:val="00C97CBA"/>
    <w:rsid w:val="00C97D08"/>
    <w:rsid w:val="00C97FB8"/>
    <w:rsid w:val="00CA0270"/>
    <w:rsid w:val="00CA03C7"/>
    <w:rsid w:val="00CA06A1"/>
    <w:rsid w:val="00CA07AF"/>
    <w:rsid w:val="00CA09B1"/>
    <w:rsid w:val="00CA0C17"/>
    <w:rsid w:val="00CA0DBA"/>
    <w:rsid w:val="00CA0F55"/>
    <w:rsid w:val="00CA100D"/>
    <w:rsid w:val="00CA1177"/>
    <w:rsid w:val="00CA13EC"/>
    <w:rsid w:val="00CA1598"/>
    <w:rsid w:val="00CA161A"/>
    <w:rsid w:val="00CA1725"/>
    <w:rsid w:val="00CA1852"/>
    <w:rsid w:val="00CA1858"/>
    <w:rsid w:val="00CA1A79"/>
    <w:rsid w:val="00CA1B90"/>
    <w:rsid w:val="00CA1B96"/>
    <w:rsid w:val="00CA1CB8"/>
    <w:rsid w:val="00CA1D20"/>
    <w:rsid w:val="00CA1EDC"/>
    <w:rsid w:val="00CA1EEF"/>
    <w:rsid w:val="00CA1F02"/>
    <w:rsid w:val="00CA1F1A"/>
    <w:rsid w:val="00CA2279"/>
    <w:rsid w:val="00CA2437"/>
    <w:rsid w:val="00CA2472"/>
    <w:rsid w:val="00CA25ED"/>
    <w:rsid w:val="00CA26C2"/>
    <w:rsid w:val="00CA27DA"/>
    <w:rsid w:val="00CA28B1"/>
    <w:rsid w:val="00CA2957"/>
    <w:rsid w:val="00CA2FE5"/>
    <w:rsid w:val="00CA301D"/>
    <w:rsid w:val="00CA3044"/>
    <w:rsid w:val="00CA3121"/>
    <w:rsid w:val="00CA327D"/>
    <w:rsid w:val="00CA32F1"/>
    <w:rsid w:val="00CA33D7"/>
    <w:rsid w:val="00CA34B4"/>
    <w:rsid w:val="00CA3538"/>
    <w:rsid w:val="00CA37E0"/>
    <w:rsid w:val="00CA39E2"/>
    <w:rsid w:val="00CA3A07"/>
    <w:rsid w:val="00CA3B1F"/>
    <w:rsid w:val="00CA3B40"/>
    <w:rsid w:val="00CA3E0F"/>
    <w:rsid w:val="00CA4118"/>
    <w:rsid w:val="00CA418E"/>
    <w:rsid w:val="00CA4229"/>
    <w:rsid w:val="00CA43ED"/>
    <w:rsid w:val="00CA4667"/>
    <w:rsid w:val="00CA49FD"/>
    <w:rsid w:val="00CA50F2"/>
    <w:rsid w:val="00CA536C"/>
    <w:rsid w:val="00CA537F"/>
    <w:rsid w:val="00CA561B"/>
    <w:rsid w:val="00CA5626"/>
    <w:rsid w:val="00CA567C"/>
    <w:rsid w:val="00CA5945"/>
    <w:rsid w:val="00CA6247"/>
    <w:rsid w:val="00CA64B5"/>
    <w:rsid w:val="00CA66FD"/>
    <w:rsid w:val="00CA6913"/>
    <w:rsid w:val="00CA6AE2"/>
    <w:rsid w:val="00CA6D23"/>
    <w:rsid w:val="00CA6F26"/>
    <w:rsid w:val="00CA6F56"/>
    <w:rsid w:val="00CA71D6"/>
    <w:rsid w:val="00CA7447"/>
    <w:rsid w:val="00CA7B83"/>
    <w:rsid w:val="00CA7B92"/>
    <w:rsid w:val="00CA7C33"/>
    <w:rsid w:val="00CA7C88"/>
    <w:rsid w:val="00CA7D17"/>
    <w:rsid w:val="00CA7D24"/>
    <w:rsid w:val="00CB0355"/>
    <w:rsid w:val="00CB066A"/>
    <w:rsid w:val="00CB082B"/>
    <w:rsid w:val="00CB0888"/>
    <w:rsid w:val="00CB08E6"/>
    <w:rsid w:val="00CB099A"/>
    <w:rsid w:val="00CB0AA1"/>
    <w:rsid w:val="00CB0D30"/>
    <w:rsid w:val="00CB0E2F"/>
    <w:rsid w:val="00CB0F1C"/>
    <w:rsid w:val="00CB13CC"/>
    <w:rsid w:val="00CB155A"/>
    <w:rsid w:val="00CB1773"/>
    <w:rsid w:val="00CB18BF"/>
    <w:rsid w:val="00CB1A81"/>
    <w:rsid w:val="00CB1B82"/>
    <w:rsid w:val="00CB1C27"/>
    <w:rsid w:val="00CB1D29"/>
    <w:rsid w:val="00CB1DE8"/>
    <w:rsid w:val="00CB243D"/>
    <w:rsid w:val="00CB2508"/>
    <w:rsid w:val="00CB250A"/>
    <w:rsid w:val="00CB25BB"/>
    <w:rsid w:val="00CB27A5"/>
    <w:rsid w:val="00CB2BA4"/>
    <w:rsid w:val="00CB2BAC"/>
    <w:rsid w:val="00CB2EB2"/>
    <w:rsid w:val="00CB320E"/>
    <w:rsid w:val="00CB32B1"/>
    <w:rsid w:val="00CB39FE"/>
    <w:rsid w:val="00CB3B4B"/>
    <w:rsid w:val="00CB3B7F"/>
    <w:rsid w:val="00CB3EB5"/>
    <w:rsid w:val="00CB3EF0"/>
    <w:rsid w:val="00CB3FF7"/>
    <w:rsid w:val="00CB400B"/>
    <w:rsid w:val="00CB40EE"/>
    <w:rsid w:val="00CB445B"/>
    <w:rsid w:val="00CB4C22"/>
    <w:rsid w:val="00CB4F76"/>
    <w:rsid w:val="00CB51BE"/>
    <w:rsid w:val="00CB5338"/>
    <w:rsid w:val="00CB5443"/>
    <w:rsid w:val="00CB5581"/>
    <w:rsid w:val="00CB5639"/>
    <w:rsid w:val="00CB5669"/>
    <w:rsid w:val="00CB56AA"/>
    <w:rsid w:val="00CB57C8"/>
    <w:rsid w:val="00CB5B30"/>
    <w:rsid w:val="00CB5C18"/>
    <w:rsid w:val="00CB5CC8"/>
    <w:rsid w:val="00CB5CD1"/>
    <w:rsid w:val="00CB5D8B"/>
    <w:rsid w:val="00CB5DD1"/>
    <w:rsid w:val="00CB5E2B"/>
    <w:rsid w:val="00CB6046"/>
    <w:rsid w:val="00CB620A"/>
    <w:rsid w:val="00CB6445"/>
    <w:rsid w:val="00CB64FB"/>
    <w:rsid w:val="00CB656A"/>
    <w:rsid w:val="00CB6636"/>
    <w:rsid w:val="00CB6686"/>
    <w:rsid w:val="00CB6789"/>
    <w:rsid w:val="00CB693B"/>
    <w:rsid w:val="00CB6988"/>
    <w:rsid w:val="00CB6C13"/>
    <w:rsid w:val="00CB6C22"/>
    <w:rsid w:val="00CB6CE4"/>
    <w:rsid w:val="00CB6EBF"/>
    <w:rsid w:val="00CB6F9B"/>
    <w:rsid w:val="00CB6FED"/>
    <w:rsid w:val="00CB7115"/>
    <w:rsid w:val="00CB7128"/>
    <w:rsid w:val="00CB7187"/>
    <w:rsid w:val="00CB71BA"/>
    <w:rsid w:val="00CB7229"/>
    <w:rsid w:val="00CB73FB"/>
    <w:rsid w:val="00CB7445"/>
    <w:rsid w:val="00CB77EE"/>
    <w:rsid w:val="00CB7846"/>
    <w:rsid w:val="00CB78EF"/>
    <w:rsid w:val="00CB7923"/>
    <w:rsid w:val="00CB7B81"/>
    <w:rsid w:val="00CB7D98"/>
    <w:rsid w:val="00CB7EDE"/>
    <w:rsid w:val="00CB7F3B"/>
    <w:rsid w:val="00CB8254"/>
    <w:rsid w:val="00CC00B9"/>
    <w:rsid w:val="00CC015F"/>
    <w:rsid w:val="00CC0182"/>
    <w:rsid w:val="00CC02CC"/>
    <w:rsid w:val="00CC037B"/>
    <w:rsid w:val="00CC03C5"/>
    <w:rsid w:val="00CC0552"/>
    <w:rsid w:val="00CC05A5"/>
    <w:rsid w:val="00CC0750"/>
    <w:rsid w:val="00CC0806"/>
    <w:rsid w:val="00CC0862"/>
    <w:rsid w:val="00CC09A6"/>
    <w:rsid w:val="00CC09A7"/>
    <w:rsid w:val="00CC0A59"/>
    <w:rsid w:val="00CC0AB4"/>
    <w:rsid w:val="00CC0B5A"/>
    <w:rsid w:val="00CC0BB6"/>
    <w:rsid w:val="00CC0CF8"/>
    <w:rsid w:val="00CC1269"/>
    <w:rsid w:val="00CC1443"/>
    <w:rsid w:val="00CC1563"/>
    <w:rsid w:val="00CC167D"/>
    <w:rsid w:val="00CC1888"/>
    <w:rsid w:val="00CC19C7"/>
    <w:rsid w:val="00CC1A73"/>
    <w:rsid w:val="00CC1B24"/>
    <w:rsid w:val="00CC1B27"/>
    <w:rsid w:val="00CC1C73"/>
    <w:rsid w:val="00CC1C83"/>
    <w:rsid w:val="00CC1CDD"/>
    <w:rsid w:val="00CC1D86"/>
    <w:rsid w:val="00CC1E11"/>
    <w:rsid w:val="00CC1EF6"/>
    <w:rsid w:val="00CC1F0E"/>
    <w:rsid w:val="00CC1F2C"/>
    <w:rsid w:val="00CC2128"/>
    <w:rsid w:val="00CC2191"/>
    <w:rsid w:val="00CC21A0"/>
    <w:rsid w:val="00CC254A"/>
    <w:rsid w:val="00CC25B7"/>
    <w:rsid w:val="00CC2698"/>
    <w:rsid w:val="00CC2798"/>
    <w:rsid w:val="00CC29A9"/>
    <w:rsid w:val="00CC2A65"/>
    <w:rsid w:val="00CC2A7D"/>
    <w:rsid w:val="00CC2FAB"/>
    <w:rsid w:val="00CC30B0"/>
    <w:rsid w:val="00CC33D4"/>
    <w:rsid w:val="00CC3503"/>
    <w:rsid w:val="00CC35A6"/>
    <w:rsid w:val="00CC3781"/>
    <w:rsid w:val="00CC3843"/>
    <w:rsid w:val="00CC398C"/>
    <w:rsid w:val="00CC3BAA"/>
    <w:rsid w:val="00CC4203"/>
    <w:rsid w:val="00CC4474"/>
    <w:rsid w:val="00CC44BB"/>
    <w:rsid w:val="00CC458A"/>
    <w:rsid w:val="00CC4671"/>
    <w:rsid w:val="00CC485A"/>
    <w:rsid w:val="00CC4A7D"/>
    <w:rsid w:val="00CC4CED"/>
    <w:rsid w:val="00CC50CC"/>
    <w:rsid w:val="00CC515A"/>
    <w:rsid w:val="00CC51B1"/>
    <w:rsid w:val="00CC5226"/>
    <w:rsid w:val="00CC5423"/>
    <w:rsid w:val="00CC56F9"/>
    <w:rsid w:val="00CC5760"/>
    <w:rsid w:val="00CC5762"/>
    <w:rsid w:val="00CC5807"/>
    <w:rsid w:val="00CC58C6"/>
    <w:rsid w:val="00CC5D17"/>
    <w:rsid w:val="00CC5F9F"/>
    <w:rsid w:val="00CC603E"/>
    <w:rsid w:val="00CC631D"/>
    <w:rsid w:val="00CC64F9"/>
    <w:rsid w:val="00CC6554"/>
    <w:rsid w:val="00CC66D3"/>
    <w:rsid w:val="00CC672E"/>
    <w:rsid w:val="00CC6789"/>
    <w:rsid w:val="00CC68C4"/>
    <w:rsid w:val="00CC6B67"/>
    <w:rsid w:val="00CC6E05"/>
    <w:rsid w:val="00CC706E"/>
    <w:rsid w:val="00CC72C6"/>
    <w:rsid w:val="00CC7683"/>
    <w:rsid w:val="00CC7755"/>
    <w:rsid w:val="00CC78FB"/>
    <w:rsid w:val="00CC7A8C"/>
    <w:rsid w:val="00CC7A8F"/>
    <w:rsid w:val="00CC7B76"/>
    <w:rsid w:val="00CC7E1A"/>
    <w:rsid w:val="00CC7E9C"/>
    <w:rsid w:val="00CC7F84"/>
    <w:rsid w:val="00CD02FB"/>
    <w:rsid w:val="00CD048E"/>
    <w:rsid w:val="00CD0676"/>
    <w:rsid w:val="00CD073B"/>
    <w:rsid w:val="00CD092E"/>
    <w:rsid w:val="00CD0943"/>
    <w:rsid w:val="00CD0C02"/>
    <w:rsid w:val="00CD0D07"/>
    <w:rsid w:val="00CD1296"/>
    <w:rsid w:val="00CD153E"/>
    <w:rsid w:val="00CD16D9"/>
    <w:rsid w:val="00CD1D35"/>
    <w:rsid w:val="00CD2640"/>
    <w:rsid w:val="00CD280F"/>
    <w:rsid w:val="00CD2836"/>
    <w:rsid w:val="00CD2952"/>
    <w:rsid w:val="00CD2A69"/>
    <w:rsid w:val="00CD2C2D"/>
    <w:rsid w:val="00CD2C33"/>
    <w:rsid w:val="00CD2C7C"/>
    <w:rsid w:val="00CD2DE5"/>
    <w:rsid w:val="00CD2E4C"/>
    <w:rsid w:val="00CD2F18"/>
    <w:rsid w:val="00CD31BF"/>
    <w:rsid w:val="00CD3427"/>
    <w:rsid w:val="00CD37AA"/>
    <w:rsid w:val="00CD3A23"/>
    <w:rsid w:val="00CD3A63"/>
    <w:rsid w:val="00CD3B3D"/>
    <w:rsid w:val="00CD3CE1"/>
    <w:rsid w:val="00CD3D73"/>
    <w:rsid w:val="00CD3DE6"/>
    <w:rsid w:val="00CD456D"/>
    <w:rsid w:val="00CD493C"/>
    <w:rsid w:val="00CD4A36"/>
    <w:rsid w:val="00CD4A85"/>
    <w:rsid w:val="00CD4C8F"/>
    <w:rsid w:val="00CD4D5C"/>
    <w:rsid w:val="00CD4D74"/>
    <w:rsid w:val="00CD50B5"/>
    <w:rsid w:val="00CD52A7"/>
    <w:rsid w:val="00CD5330"/>
    <w:rsid w:val="00CD53A9"/>
    <w:rsid w:val="00CD555E"/>
    <w:rsid w:val="00CD56E4"/>
    <w:rsid w:val="00CD5878"/>
    <w:rsid w:val="00CD5B56"/>
    <w:rsid w:val="00CD5C30"/>
    <w:rsid w:val="00CD5CDE"/>
    <w:rsid w:val="00CD5EEA"/>
    <w:rsid w:val="00CD6141"/>
    <w:rsid w:val="00CD6159"/>
    <w:rsid w:val="00CD61B4"/>
    <w:rsid w:val="00CD63C9"/>
    <w:rsid w:val="00CD640A"/>
    <w:rsid w:val="00CD663D"/>
    <w:rsid w:val="00CD6A77"/>
    <w:rsid w:val="00CD6BE6"/>
    <w:rsid w:val="00CD6C98"/>
    <w:rsid w:val="00CD6E2D"/>
    <w:rsid w:val="00CD6E5D"/>
    <w:rsid w:val="00CD6EBF"/>
    <w:rsid w:val="00CD6EF8"/>
    <w:rsid w:val="00CD6F9E"/>
    <w:rsid w:val="00CD714D"/>
    <w:rsid w:val="00CD71EC"/>
    <w:rsid w:val="00CD7232"/>
    <w:rsid w:val="00CD7609"/>
    <w:rsid w:val="00CD7626"/>
    <w:rsid w:val="00CD7631"/>
    <w:rsid w:val="00CD7AF9"/>
    <w:rsid w:val="00CD7B4F"/>
    <w:rsid w:val="00CD7DE5"/>
    <w:rsid w:val="00CD7DFD"/>
    <w:rsid w:val="00CD7F46"/>
    <w:rsid w:val="00CE01CD"/>
    <w:rsid w:val="00CE0335"/>
    <w:rsid w:val="00CE03CF"/>
    <w:rsid w:val="00CE061B"/>
    <w:rsid w:val="00CE06E9"/>
    <w:rsid w:val="00CE074E"/>
    <w:rsid w:val="00CE0888"/>
    <w:rsid w:val="00CE08EE"/>
    <w:rsid w:val="00CE0AD4"/>
    <w:rsid w:val="00CE0B0C"/>
    <w:rsid w:val="00CE0D9D"/>
    <w:rsid w:val="00CE0E3A"/>
    <w:rsid w:val="00CE0E68"/>
    <w:rsid w:val="00CE0F9B"/>
    <w:rsid w:val="00CE1313"/>
    <w:rsid w:val="00CE14F4"/>
    <w:rsid w:val="00CE1502"/>
    <w:rsid w:val="00CE166A"/>
    <w:rsid w:val="00CE176D"/>
    <w:rsid w:val="00CE1B56"/>
    <w:rsid w:val="00CE1D80"/>
    <w:rsid w:val="00CE1E46"/>
    <w:rsid w:val="00CE1F70"/>
    <w:rsid w:val="00CE2107"/>
    <w:rsid w:val="00CE2147"/>
    <w:rsid w:val="00CE233B"/>
    <w:rsid w:val="00CE2449"/>
    <w:rsid w:val="00CE2671"/>
    <w:rsid w:val="00CE2E94"/>
    <w:rsid w:val="00CE306E"/>
    <w:rsid w:val="00CE31A3"/>
    <w:rsid w:val="00CE3455"/>
    <w:rsid w:val="00CE355A"/>
    <w:rsid w:val="00CE3C6E"/>
    <w:rsid w:val="00CE3F90"/>
    <w:rsid w:val="00CE4295"/>
    <w:rsid w:val="00CE4406"/>
    <w:rsid w:val="00CE4448"/>
    <w:rsid w:val="00CE4822"/>
    <w:rsid w:val="00CE4942"/>
    <w:rsid w:val="00CE4E2E"/>
    <w:rsid w:val="00CE4F96"/>
    <w:rsid w:val="00CE4FA0"/>
    <w:rsid w:val="00CE51A8"/>
    <w:rsid w:val="00CE54FD"/>
    <w:rsid w:val="00CE55F3"/>
    <w:rsid w:val="00CE5815"/>
    <w:rsid w:val="00CE582B"/>
    <w:rsid w:val="00CE5848"/>
    <w:rsid w:val="00CE5C72"/>
    <w:rsid w:val="00CE5C9C"/>
    <w:rsid w:val="00CE6069"/>
    <w:rsid w:val="00CE630F"/>
    <w:rsid w:val="00CE6541"/>
    <w:rsid w:val="00CE6591"/>
    <w:rsid w:val="00CE65B6"/>
    <w:rsid w:val="00CE6622"/>
    <w:rsid w:val="00CE66C2"/>
    <w:rsid w:val="00CE681D"/>
    <w:rsid w:val="00CE69AC"/>
    <w:rsid w:val="00CE6C66"/>
    <w:rsid w:val="00CE6DA3"/>
    <w:rsid w:val="00CE7087"/>
    <w:rsid w:val="00CE7443"/>
    <w:rsid w:val="00CE74A8"/>
    <w:rsid w:val="00CE74FE"/>
    <w:rsid w:val="00CE77AB"/>
    <w:rsid w:val="00CE791F"/>
    <w:rsid w:val="00CE79A2"/>
    <w:rsid w:val="00CE7B64"/>
    <w:rsid w:val="00CE7BF2"/>
    <w:rsid w:val="00CE7DD9"/>
    <w:rsid w:val="00CF0093"/>
    <w:rsid w:val="00CF0421"/>
    <w:rsid w:val="00CF05E3"/>
    <w:rsid w:val="00CF0689"/>
    <w:rsid w:val="00CF0C8C"/>
    <w:rsid w:val="00CF0F39"/>
    <w:rsid w:val="00CF1045"/>
    <w:rsid w:val="00CF1247"/>
    <w:rsid w:val="00CF13D6"/>
    <w:rsid w:val="00CF1455"/>
    <w:rsid w:val="00CF16C0"/>
    <w:rsid w:val="00CF16E8"/>
    <w:rsid w:val="00CF1851"/>
    <w:rsid w:val="00CF1A0A"/>
    <w:rsid w:val="00CF1C9C"/>
    <w:rsid w:val="00CF1D16"/>
    <w:rsid w:val="00CF1D66"/>
    <w:rsid w:val="00CF1FCE"/>
    <w:rsid w:val="00CF20EB"/>
    <w:rsid w:val="00CF2288"/>
    <w:rsid w:val="00CF2439"/>
    <w:rsid w:val="00CF2565"/>
    <w:rsid w:val="00CF2668"/>
    <w:rsid w:val="00CF26BC"/>
    <w:rsid w:val="00CF27D9"/>
    <w:rsid w:val="00CF2840"/>
    <w:rsid w:val="00CF2883"/>
    <w:rsid w:val="00CF28D9"/>
    <w:rsid w:val="00CF29BC"/>
    <w:rsid w:val="00CF2A73"/>
    <w:rsid w:val="00CF2BE9"/>
    <w:rsid w:val="00CF2D95"/>
    <w:rsid w:val="00CF2E1D"/>
    <w:rsid w:val="00CF2EF9"/>
    <w:rsid w:val="00CF3153"/>
    <w:rsid w:val="00CF3293"/>
    <w:rsid w:val="00CF3337"/>
    <w:rsid w:val="00CF354A"/>
    <w:rsid w:val="00CF363D"/>
    <w:rsid w:val="00CF394C"/>
    <w:rsid w:val="00CF3C00"/>
    <w:rsid w:val="00CF3F3C"/>
    <w:rsid w:val="00CF403D"/>
    <w:rsid w:val="00CF4090"/>
    <w:rsid w:val="00CF45A8"/>
    <w:rsid w:val="00CF45B9"/>
    <w:rsid w:val="00CF45F4"/>
    <w:rsid w:val="00CF47D3"/>
    <w:rsid w:val="00CF4BAC"/>
    <w:rsid w:val="00CF4F38"/>
    <w:rsid w:val="00CF5018"/>
    <w:rsid w:val="00CF565F"/>
    <w:rsid w:val="00CF56BA"/>
    <w:rsid w:val="00CF5AA7"/>
    <w:rsid w:val="00CF5B3E"/>
    <w:rsid w:val="00CF5D5A"/>
    <w:rsid w:val="00CF5F73"/>
    <w:rsid w:val="00CF6539"/>
    <w:rsid w:val="00CF6567"/>
    <w:rsid w:val="00CF663F"/>
    <w:rsid w:val="00CF67FE"/>
    <w:rsid w:val="00CF6944"/>
    <w:rsid w:val="00CF6A5A"/>
    <w:rsid w:val="00CF6ACB"/>
    <w:rsid w:val="00CF6E91"/>
    <w:rsid w:val="00CF6F84"/>
    <w:rsid w:val="00CF70AB"/>
    <w:rsid w:val="00CF7331"/>
    <w:rsid w:val="00CF7363"/>
    <w:rsid w:val="00CF73D5"/>
    <w:rsid w:val="00CF74CC"/>
    <w:rsid w:val="00CF74E4"/>
    <w:rsid w:val="00CF7788"/>
    <w:rsid w:val="00CF78DB"/>
    <w:rsid w:val="00CF7A2A"/>
    <w:rsid w:val="00CF7A59"/>
    <w:rsid w:val="00CF7ADF"/>
    <w:rsid w:val="00CF7B61"/>
    <w:rsid w:val="00CF7C02"/>
    <w:rsid w:val="00CF7CCA"/>
    <w:rsid w:val="00CF7CCD"/>
    <w:rsid w:val="00CF7F6B"/>
    <w:rsid w:val="00D00124"/>
    <w:rsid w:val="00D001B6"/>
    <w:rsid w:val="00D00508"/>
    <w:rsid w:val="00D006ED"/>
    <w:rsid w:val="00D00717"/>
    <w:rsid w:val="00D00743"/>
    <w:rsid w:val="00D00786"/>
    <w:rsid w:val="00D009DA"/>
    <w:rsid w:val="00D00A6D"/>
    <w:rsid w:val="00D00DBE"/>
    <w:rsid w:val="00D00FB2"/>
    <w:rsid w:val="00D01068"/>
    <w:rsid w:val="00D01167"/>
    <w:rsid w:val="00D01337"/>
    <w:rsid w:val="00D01394"/>
    <w:rsid w:val="00D013E7"/>
    <w:rsid w:val="00D0151A"/>
    <w:rsid w:val="00D015FB"/>
    <w:rsid w:val="00D01634"/>
    <w:rsid w:val="00D01740"/>
    <w:rsid w:val="00D017C2"/>
    <w:rsid w:val="00D01C2C"/>
    <w:rsid w:val="00D01D03"/>
    <w:rsid w:val="00D01D73"/>
    <w:rsid w:val="00D01DE2"/>
    <w:rsid w:val="00D01DE5"/>
    <w:rsid w:val="00D01EB0"/>
    <w:rsid w:val="00D02230"/>
    <w:rsid w:val="00D023CE"/>
    <w:rsid w:val="00D0264F"/>
    <w:rsid w:val="00D0270E"/>
    <w:rsid w:val="00D02749"/>
    <w:rsid w:val="00D02776"/>
    <w:rsid w:val="00D02D5B"/>
    <w:rsid w:val="00D0317A"/>
    <w:rsid w:val="00D031DA"/>
    <w:rsid w:val="00D031DC"/>
    <w:rsid w:val="00D033F2"/>
    <w:rsid w:val="00D034BF"/>
    <w:rsid w:val="00D0358B"/>
    <w:rsid w:val="00D03621"/>
    <w:rsid w:val="00D03700"/>
    <w:rsid w:val="00D038C3"/>
    <w:rsid w:val="00D0390B"/>
    <w:rsid w:val="00D03A51"/>
    <w:rsid w:val="00D03B51"/>
    <w:rsid w:val="00D03E24"/>
    <w:rsid w:val="00D03FA8"/>
    <w:rsid w:val="00D043C8"/>
    <w:rsid w:val="00D045D3"/>
    <w:rsid w:val="00D04717"/>
    <w:rsid w:val="00D048B3"/>
    <w:rsid w:val="00D0492D"/>
    <w:rsid w:val="00D0499C"/>
    <w:rsid w:val="00D04A20"/>
    <w:rsid w:val="00D04BD5"/>
    <w:rsid w:val="00D04C21"/>
    <w:rsid w:val="00D04D46"/>
    <w:rsid w:val="00D04D8D"/>
    <w:rsid w:val="00D04DAE"/>
    <w:rsid w:val="00D04FC1"/>
    <w:rsid w:val="00D050DF"/>
    <w:rsid w:val="00D0540D"/>
    <w:rsid w:val="00D05426"/>
    <w:rsid w:val="00D05481"/>
    <w:rsid w:val="00D054B4"/>
    <w:rsid w:val="00D0597E"/>
    <w:rsid w:val="00D061A7"/>
    <w:rsid w:val="00D0631C"/>
    <w:rsid w:val="00D0643B"/>
    <w:rsid w:val="00D0662F"/>
    <w:rsid w:val="00D06655"/>
    <w:rsid w:val="00D066C6"/>
    <w:rsid w:val="00D06700"/>
    <w:rsid w:val="00D06765"/>
    <w:rsid w:val="00D06AAB"/>
    <w:rsid w:val="00D06DE6"/>
    <w:rsid w:val="00D06EE6"/>
    <w:rsid w:val="00D07373"/>
    <w:rsid w:val="00D07498"/>
    <w:rsid w:val="00D07774"/>
    <w:rsid w:val="00D077B9"/>
    <w:rsid w:val="00D07B68"/>
    <w:rsid w:val="00D07B92"/>
    <w:rsid w:val="00D07F0B"/>
    <w:rsid w:val="00D07F11"/>
    <w:rsid w:val="00D07FAE"/>
    <w:rsid w:val="00D10009"/>
    <w:rsid w:val="00D10160"/>
    <w:rsid w:val="00D1018B"/>
    <w:rsid w:val="00D10299"/>
    <w:rsid w:val="00D10411"/>
    <w:rsid w:val="00D104C1"/>
    <w:rsid w:val="00D1088A"/>
    <w:rsid w:val="00D108D2"/>
    <w:rsid w:val="00D109A8"/>
    <w:rsid w:val="00D10A20"/>
    <w:rsid w:val="00D10B43"/>
    <w:rsid w:val="00D10C49"/>
    <w:rsid w:val="00D10C80"/>
    <w:rsid w:val="00D10D34"/>
    <w:rsid w:val="00D10DAC"/>
    <w:rsid w:val="00D10EE8"/>
    <w:rsid w:val="00D10FD8"/>
    <w:rsid w:val="00D1105B"/>
    <w:rsid w:val="00D1130D"/>
    <w:rsid w:val="00D11430"/>
    <w:rsid w:val="00D1148D"/>
    <w:rsid w:val="00D11585"/>
    <w:rsid w:val="00D11958"/>
    <w:rsid w:val="00D11BD3"/>
    <w:rsid w:val="00D11BFE"/>
    <w:rsid w:val="00D11DE1"/>
    <w:rsid w:val="00D11DED"/>
    <w:rsid w:val="00D11F47"/>
    <w:rsid w:val="00D12045"/>
    <w:rsid w:val="00D1275F"/>
    <w:rsid w:val="00D128B3"/>
    <w:rsid w:val="00D12B98"/>
    <w:rsid w:val="00D12BFE"/>
    <w:rsid w:val="00D12C6F"/>
    <w:rsid w:val="00D12EC9"/>
    <w:rsid w:val="00D12EEB"/>
    <w:rsid w:val="00D130A2"/>
    <w:rsid w:val="00D13145"/>
    <w:rsid w:val="00D132EA"/>
    <w:rsid w:val="00D13484"/>
    <w:rsid w:val="00D134C6"/>
    <w:rsid w:val="00D13889"/>
    <w:rsid w:val="00D13A86"/>
    <w:rsid w:val="00D13F76"/>
    <w:rsid w:val="00D1436F"/>
    <w:rsid w:val="00D143AF"/>
    <w:rsid w:val="00D14550"/>
    <w:rsid w:val="00D14570"/>
    <w:rsid w:val="00D14674"/>
    <w:rsid w:val="00D1471C"/>
    <w:rsid w:val="00D14CB4"/>
    <w:rsid w:val="00D150C4"/>
    <w:rsid w:val="00D15113"/>
    <w:rsid w:val="00D153E4"/>
    <w:rsid w:val="00D15445"/>
    <w:rsid w:val="00D157F1"/>
    <w:rsid w:val="00D15B62"/>
    <w:rsid w:val="00D15CD6"/>
    <w:rsid w:val="00D164C0"/>
    <w:rsid w:val="00D16540"/>
    <w:rsid w:val="00D16586"/>
    <w:rsid w:val="00D1661F"/>
    <w:rsid w:val="00D16635"/>
    <w:rsid w:val="00D166C7"/>
    <w:rsid w:val="00D16750"/>
    <w:rsid w:val="00D167A5"/>
    <w:rsid w:val="00D16993"/>
    <w:rsid w:val="00D16CB9"/>
    <w:rsid w:val="00D16DAA"/>
    <w:rsid w:val="00D16DE7"/>
    <w:rsid w:val="00D16F5A"/>
    <w:rsid w:val="00D1710E"/>
    <w:rsid w:val="00D172BE"/>
    <w:rsid w:val="00D173E4"/>
    <w:rsid w:val="00D1742F"/>
    <w:rsid w:val="00D17555"/>
    <w:rsid w:val="00D1773E"/>
    <w:rsid w:val="00D1793B"/>
    <w:rsid w:val="00D17CE7"/>
    <w:rsid w:val="00D17FF5"/>
    <w:rsid w:val="00D20136"/>
    <w:rsid w:val="00D2017F"/>
    <w:rsid w:val="00D201E5"/>
    <w:rsid w:val="00D2027F"/>
    <w:rsid w:val="00D202DA"/>
    <w:rsid w:val="00D2064E"/>
    <w:rsid w:val="00D20803"/>
    <w:rsid w:val="00D20A58"/>
    <w:rsid w:val="00D20BD0"/>
    <w:rsid w:val="00D21005"/>
    <w:rsid w:val="00D211CD"/>
    <w:rsid w:val="00D2139A"/>
    <w:rsid w:val="00D213F3"/>
    <w:rsid w:val="00D216E0"/>
    <w:rsid w:val="00D21735"/>
    <w:rsid w:val="00D217B7"/>
    <w:rsid w:val="00D2192D"/>
    <w:rsid w:val="00D21AD7"/>
    <w:rsid w:val="00D21C5D"/>
    <w:rsid w:val="00D21CAF"/>
    <w:rsid w:val="00D21DB2"/>
    <w:rsid w:val="00D21E18"/>
    <w:rsid w:val="00D2220C"/>
    <w:rsid w:val="00D2223C"/>
    <w:rsid w:val="00D227EF"/>
    <w:rsid w:val="00D22ACA"/>
    <w:rsid w:val="00D22B1D"/>
    <w:rsid w:val="00D22C76"/>
    <w:rsid w:val="00D22CE0"/>
    <w:rsid w:val="00D22EE7"/>
    <w:rsid w:val="00D22F83"/>
    <w:rsid w:val="00D23228"/>
    <w:rsid w:val="00D2346E"/>
    <w:rsid w:val="00D2371A"/>
    <w:rsid w:val="00D237EC"/>
    <w:rsid w:val="00D239B0"/>
    <w:rsid w:val="00D23A22"/>
    <w:rsid w:val="00D23C0C"/>
    <w:rsid w:val="00D23CEB"/>
    <w:rsid w:val="00D23E41"/>
    <w:rsid w:val="00D23EF0"/>
    <w:rsid w:val="00D241EA"/>
    <w:rsid w:val="00D24204"/>
    <w:rsid w:val="00D24490"/>
    <w:rsid w:val="00D245ED"/>
    <w:rsid w:val="00D248EF"/>
    <w:rsid w:val="00D24BE1"/>
    <w:rsid w:val="00D24DB5"/>
    <w:rsid w:val="00D25161"/>
    <w:rsid w:val="00D251AE"/>
    <w:rsid w:val="00D2528B"/>
    <w:rsid w:val="00D252CF"/>
    <w:rsid w:val="00D254AE"/>
    <w:rsid w:val="00D25589"/>
    <w:rsid w:val="00D25681"/>
    <w:rsid w:val="00D259F7"/>
    <w:rsid w:val="00D25A03"/>
    <w:rsid w:val="00D25AEE"/>
    <w:rsid w:val="00D25C9E"/>
    <w:rsid w:val="00D25CB3"/>
    <w:rsid w:val="00D25D79"/>
    <w:rsid w:val="00D26209"/>
    <w:rsid w:val="00D26379"/>
    <w:rsid w:val="00D26390"/>
    <w:rsid w:val="00D267EA"/>
    <w:rsid w:val="00D26A1E"/>
    <w:rsid w:val="00D26CDA"/>
    <w:rsid w:val="00D26FA1"/>
    <w:rsid w:val="00D27511"/>
    <w:rsid w:val="00D2771A"/>
    <w:rsid w:val="00D278AD"/>
    <w:rsid w:val="00D2790D"/>
    <w:rsid w:val="00D27A51"/>
    <w:rsid w:val="00D27A67"/>
    <w:rsid w:val="00D27A91"/>
    <w:rsid w:val="00D27AEB"/>
    <w:rsid w:val="00D27C52"/>
    <w:rsid w:val="00D27D7B"/>
    <w:rsid w:val="00D27DD4"/>
    <w:rsid w:val="00D27DDD"/>
    <w:rsid w:val="00D27E43"/>
    <w:rsid w:val="00D30235"/>
    <w:rsid w:val="00D3041F"/>
    <w:rsid w:val="00D304F1"/>
    <w:rsid w:val="00D3059B"/>
    <w:rsid w:val="00D305AA"/>
    <w:rsid w:val="00D307BA"/>
    <w:rsid w:val="00D307C5"/>
    <w:rsid w:val="00D30849"/>
    <w:rsid w:val="00D30BB6"/>
    <w:rsid w:val="00D30BE2"/>
    <w:rsid w:val="00D30D5A"/>
    <w:rsid w:val="00D31139"/>
    <w:rsid w:val="00D31167"/>
    <w:rsid w:val="00D31207"/>
    <w:rsid w:val="00D3140E"/>
    <w:rsid w:val="00D31513"/>
    <w:rsid w:val="00D31584"/>
    <w:rsid w:val="00D316E8"/>
    <w:rsid w:val="00D31722"/>
    <w:rsid w:val="00D31791"/>
    <w:rsid w:val="00D3182B"/>
    <w:rsid w:val="00D31899"/>
    <w:rsid w:val="00D31A60"/>
    <w:rsid w:val="00D31AEB"/>
    <w:rsid w:val="00D31DCB"/>
    <w:rsid w:val="00D321A4"/>
    <w:rsid w:val="00D3235F"/>
    <w:rsid w:val="00D32609"/>
    <w:rsid w:val="00D326B3"/>
    <w:rsid w:val="00D32956"/>
    <w:rsid w:val="00D32EDC"/>
    <w:rsid w:val="00D32FA5"/>
    <w:rsid w:val="00D32FDB"/>
    <w:rsid w:val="00D333B3"/>
    <w:rsid w:val="00D335B5"/>
    <w:rsid w:val="00D3362A"/>
    <w:rsid w:val="00D33651"/>
    <w:rsid w:val="00D336A3"/>
    <w:rsid w:val="00D336ED"/>
    <w:rsid w:val="00D33741"/>
    <w:rsid w:val="00D33848"/>
    <w:rsid w:val="00D33AE5"/>
    <w:rsid w:val="00D33C98"/>
    <w:rsid w:val="00D33CC3"/>
    <w:rsid w:val="00D33DC4"/>
    <w:rsid w:val="00D33EF5"/>
    <w:rsid w:val="00D3416B"/>
    <w:rsid w:val="00D34476"/>
    <w:rsid w:val="00D344DF"/>
    <w:rsid w:val="00D345DE"/>
    <w:rsid w:val="00D346B8"/>
    <w:rsid w:val="00D3470F"/>
    <w:rsid w:val="00D34732"/>
    <w:rsid w:val="00D34780"/>
    <w:rsid w:val="00D347CD"/>
    <w:rsid w:val="00D34B3C"/>
    <w:rsid w:val="00D34C35"/>
    <w:rsid w:val="00D35184"/>
    <w:rsid w:val="00D352E1"/>
    <w:rsid w:val="00D35360"/>
    <w:rsid w:val="00D354F0"/>
    <w:rsid w:val="00D35591"/>
    <w:rsid w:val="00D35655"/>
    <w:rsid w:val="00D356BA"/>
    <w:rsid w:val="00D356E5"/>
    <w:rsid w:val="00D35A35"/>
    <w:rsid w:val="00D35A8B"/>
    <w:rsid w:val="00D35B1B"/>
    <w:rsid w:val="00D35D3B"/>
    <w:rsid w:val="00D35F1E"/>
    <w:rsid w:val="00D3610F"/>
    <w:rsid w:val="00D3612C"/>
    <w:rsid w:val="00D36135"/>
    <w:rsid w:val="00D36784"/>
    <w:rsid w:val="00D36998"/>
    <w:rsid w:val="00D372C3"/>
    <w:rsid w:val="00D37360"/>
    <w:rsid w:val="00D3739A"/>
    <w:rsid w:val="00D3764A"/>
    <w:rsid w:val="00D37726"/>
    <w:rsid w:val="00D3774D"/>
    <w:rsid w:val="00D37892"/>
    <w:rsid w:val="00D37AF2"/>
    <w:rsid w:val="00D37D33"/>
    <w:rsid w:val="00D37E3F"/>
    <w:rsid w:val="00D37EBD"/>
    <w:rsid w:val="00D4012D"/>
    <w:rsid w:val="00D401BA"/>
    <w:rsid w:val="00D4025D"/>
    <w:rsid w:val="00D40262"/>
    <w:rsid w:val="00D407F2"/>
    <w:rsid w:val="00D40B85"/>
    <w:rsid w:val="00D40BD1"/>
    <w:rsid w:val="00D40D83"/>
    <w:rsid w:val="00D40F00"/>
    <w:rsid w:val="00D4110D"/>
    <w:rsid w:val="00D411DB"/>
    <w:rsid w:val="00D41545"/>
    <w:rsid w:val="00D418A6"/>
    <w:rsid w:val="00D418C3"/>
    <w:rsid w:val="00D41A8A"/>
    <w:rsid w:val="00D41B06"/>
    <w:rsid w:val="00D41BFC"/>
    <w:rsid w:val="00D41C0D"/>
    <w:rsid w:val="00D41C66"/>
    <w:rsid w:val="00D41D35"/>
    <w:rsid w:val="00D41DC1"/>
    <w:rsid w:val="00D41FDD"/>
    <w:rsid w:val="00D42317"/>
    <w:rsid w:val="00D42323"/>
    <w:rsid w:val="00D42566"/>
    <w:rsid w:val="00D42687"/>
    <w:rsid w:val="00D427BB"/>
    <w:rsid w:val="00D42890"/>
    <w:rsid w:val="00D429A6"/>
    <w:rsid w:val="00D42B0D"/>
    <w:rsid w:val="00D42E43"/>
    <w:rsid w:val="00D42F3D"/>
    <w:rsid w:val="00D432ED"/>
    <w:rsid w:val="00D43415"/>
    <w:rsid w:val="00D43543"/>
    <w:rsid w:val="00D436CB"/>
    <w:rsid w:val="00D43841"/>
    <w:rsid w:val="00D4401A"/>
    <w:rsid w:val="00D4445D"/>
    <w:rsid w:val="00D44606"/>
    <w:rsid w:val="00D446FC"/>
    <w:rsid w:val="00D448A8"/>
    <w:rsid w:val="00D449A2"/>
    <w:rsid w:val="00D449C9"/>
    <w:rsid w:val="00D44A7C"/>
    <w:rsid w:val="00D44DE6"/>
    <w:rsid w:val="00D450C1"/>
    <w:rsid w:val="00D450E8"/>
    <w:rsid w:val="00D451FC"/>
    <w:rsid w:val="00D45242"/>
    <w:rsid w:val="00D452E0"/>
    <w:rsid w:val="00D452F3"/>
    <w:rsid w:val="00D453CB"/>
    <w:rsid w:val="00D453E6"/>
    <w:rsid w:val="00D457DA"/>
    <w:rsid w:val="00D458C2"/>
    <w:rsid w:val="00D45E28"/>
    <w:rsid w:val="00D45FF4"/>
    <w:rsid w:val="00D46001"/>
    <w:rsid w:val="00D460F6"/>
    <w:rsid w:val="00D46194"/>
    <w:rsid w:val="00D462E3"/>
    <w:rsid w:val="00D4695F"/>
    <w:rsid w:val="00D469C0"/>
    <w:rsid w:val="00D469F6"/>
    <w:rsid w:val="00D46A35"/>
    <w:rsid w:val="00D46A44"/>
    <w:rsid w:val="00D46AB6"/>
    <w:rsid w:val="00D46F8B"/>
    <w:rsid w:val="00D470EF"/>
    <w:rsid w:val="00D472EC"/>
    <w:rsid w:val="00D473F0"/>
    <w:rsid w:val="00D47492"/>
    <w:rsid w:val="00D47574"/>
    <w:rsid w:val="00D475B1"/>
    <w:rsid w:val="00D477E1"/>
    <w:rsid w:val="00D47801"/>
    <w:rsid w:val="00D47A5B"/>
    <w:rsid w:val="00D47B0A"/>
    <w:rsid w:val="00D47B18"/>
    <w:rsid w:val="00D47B69"/>
    <w:rsid w:val="00D47C2C"/>
    <w:rsid w:val="00D47D9F"/>
    <w:rsid w:val="00D47E90"/>
    <w:rsid w:val="00D47E93"/>
    <w:rsid w:val="00D5012B"/>
    <w:rsid w:val="00D502DA"/>
    <w:rsid w:val="00D503A7"/>
    <w:rsid w:val="00D50550"/>
    <w:rsid w:val="00D505A1"/>
    <w:rsid w:val="00D50839"/>
    <w:rsid w:val="00D50BAB"/>
    <w:rsid w:val="00D50FAC"/>
    <w:rsid w:val="00D51055"/>
    <w:rsid w:val="00D510A2"/>
    <w:rsid w:val="00D517EA"/>
    <w:rsid w:val="00D51DC4"/>
    <w:rsid w:val="00D51EEA"/>
    <w:rsid w:val="00D52044"/>
    <w:rsid w:val="00D520E4"/>
    <w:rsid w:val="00D5234B"/>
    <w:rsid w:val="00D523FF"/>
    <w:rsid w:val="00D524DE"/>
    <w:rsid w:val="00D526BF"/>
    <w:rsid w:val="00D52AA6"/>
    <w:rsid w:val="00D53040"/>
    <w:rsid w:val="00D53447"/>
    <w:rsid w:val="00D5370A"/>
    <w:rsid w:val="00D538A3"/>
    <w:rsid w:val="00D53930"/>
    <w:rsid w:val="00D53991"/>
    <w:rsid w:val="00D53AA5"/>
    <w:rsid w:val="00D53B08"/>
    <w:rsid w:val="00D53D78"/>
    <w:rsid w:val="00D53E5B"/>
    <w:rsid w:val="00D541E7"/>
    <w:rsid w:val="00D5430C"/>
    <w:rsid w:val="00D545E6"/>
    <w:rsid w:val="00D5481E"/>
    <w:rsid w:val="00D548D7"/>
    <w:rsid w:val="00D5513A"/>
    <w:rsid w:val="00D55404"/>
    <w:rsid w:val="00D555A2"/>
    <w:rsid w:val="00D55D20"/>
    <w:rsid w:val="00D55D64"/>
    <w:rsid w:val="00D55D6E"/>
    <w:rsid w:val="00D55D87"/>
    <w:rsid w:val="00D55E72"/>
    <w:rsid w:val="00D560B5"/>
    <w:rsid w:val="00D560C3"/>
    <w:rsid w:val="00D560E8"/>
    <w:rsid w:val="00D56102"/>
    <w:rsid w:val="00D562A7"/>
    <w:rsid w:val="00D562A8"/>
    <w:rsid w:val="00D564AD"/>
    <w:rsid w:val="00D5663F"/>
    <w:rsid w:val="00D568DD"/>
    <w:rsid w:val="00D56A70"/>
    <w:rsid w:val="00D56A92"/>
    <w:rsid w:val="00D56AD4"/>
    <w:rsid w:val="00D56B12"/>
    <w:rsid w:val="00D56D19"/>
    <w:rsid w:val="00D56D99"/>
    <w:rsid w:val="00D56E0A"/>
    <w:rsid w:val="00D56F9D"/>
    <w:rsid w:val="00D56FEF"/>
    <w:rsid w:val="00D57069"/>
    <w:rsid w:val="00D5712A"/>
    <w:rsid w:val="00D572AA"/>
    <w:rsid w:val="00D57A1A"/>
    <w:rsid w:val="00D57AB5"/>
    <w:rsid w:val="00D57B82"/>
    <w:rsid w:val="00D57BBB"/>
    <w:rsid w:val="00D57CEE"/>
    <w:rsid w:val="00D57D25"/>
    <w:rsid w:val="00D57DBE"/>
    <w:rsid w:val="00D57E6F"/>
    <w:rsid w:val="00D57E83"/>
    <w:rsid w:val="00D57F0D"/>
    <w:rsid w:val="00D57FE9"/>
    <w:rsid w:val="00D60046"/>
    <w:rsid w:val="00D603B6"/>
    <w:rsid w:val="00D6043C"/>
    <w:rsid w:val="00D605FB"/>
    <w:rsid w:val="00D606F2"/>
    <w:rsid w:val="00D6071F"/>
    <w:rsid w:val="00D60996"/>
    <w:rsid w:val="00D60DCA"/>
    <w:rsid w:val="00D60E8D"/>
    <w:rsid w:val="00D60E9E"/>
    <w:rsid w:val="00D61042"/>
    <w:rsid w:val="00D6133F"/>
    <w:rsid w:val="00D616C4"/>
    <w:rsid w:val="00D61790"/>
    <w:rsid w:val="00D617CE"/>
    <w:rsid w:val="00D61921"/>
    <w:rsid w:val="00D619D1"/>
    <w:rsid w:val="00D61B4C"/>
    <w:rsid w:val="00D61C85"/>
    <w:rsid w:val="00D61EC5"/>
    <w:rsid w:val="00D61F76"/>
    <w:rsid w:val="00D62061"/>
    <w:rsid w:val="00D62066"/>
    <w:rsid w:val="00D620AC"/>
    <w:rsid w:val="00D620DB"/>
    <w:rsid w:val="00D62244"/>
    <w:rsid w:val="00D622DE"/>
    <w:rsid w:val="00D623F1"/>
    <w:rsid w:val="00D625DB"/>
    <w:rsid w:val="00D629B5"/>
    <w:rsid w:val="00D62A20"/>
    <w:rsid w:val="00D62A95"/>
    <w:rsid w:val="00D63204"/>
    <w:rsid w:val="00D63422"/>
    <w:rsid w:val="00D635D4"/>
    <w:rsid w:val="00D63616"/>
    <w:rsid w:val="00D637CC"/>
    <w:rsid w:val="00D638A6"/>
    <w:rsid w:val="00D639B8"/>
    <w:rsid w:val="00D63C08"/>
    <w:rsid w:val="00D63D48"/>
    <w:rsid w:val="00D63E94"/>
    <w:rsid w:val="00D63F52"/>
    <w:rsid w:val="00D64130"/>
    <w:rsid w:val="00D64141"/>
    <w:rsid w:val="00D64183"/>
    <w:rsid w:val="00D64323"/>
    <w:rsid w:val="00D6474D"/>
    <w:rsid w:val="00D64955"/>
    <w:rsid w:val="00D64D1B"/>
    <w:rsid w:val="00D64E08"/>
    <w:rsid w:val="00D64F5E"/>
    <w:rsid w:val="00D65485"/>
    <w:rsid w:val="00D6575D"/>
    <w:rsid w:val="00D65822"/>
    <w:rsid w:val="00D659B8"/>
    <w:rsid w:val="00D659B9"/>
    <w:rsid w:val="00D65B70"/>
    <w:rsid w:val="00D65C39"/>
    <w:rsid w:val="00D65C4A"/>
    <w:rsid w:val="00D65F44"/>
    <w:rsid w:val="00D6645F"/>
    <w:rsid w:val="00D6652B"/>
    <w:rsid w:val="00D665B9"/>
    <w:rsid w:val="00D665C4"/>
    <w:rsid w:val="00D66796"/>
    <w:rsid w:val="00D668C5"/>
    <w:rsid w:val="00D66973"/>
    <w:rsid w:val="00D66CB5"/>
    <w:rsid w:val="00D66D17"/>
    <w:rsid w:val="00D66DEE"/>
    <w:rsid w:val="00D66ECB"/>
    <w:rsid w:val="00D6707F"/>
    <w:rsid w:val="00D67125"/>
    <w:rsid w:val="00D671E2"/>
    <w:rsid w:val="00D6731C"/>
    <w:rsid w:val="00D67492"/>
    <w:rsid w:val="00D6768E"/>
    <w:rsid w:val="00D6783D"/>
    <w:rsid w:val="00D67852"/>
    <w:rsid w:val="00D678E2"/>
    <w:rsid w:val="00D67D96"/>
    <w:rsid w:val="00D7005D"/>
    <w:rsid w:val="00D70070"/>
    <w:rsid w:val="00D701F3"/>
    <w:rsid w:val="00D703D2"/>
    <w:rsid w:val="00D704CC"/>
    <w:rsid w:val="00D70A9B"/>
    <w:rsid w:val="00D70C17"/>
    <w:rsid w:val="00D70E4C"/>
    <w:rsid w:val="00D70E84"/>
    <w:rsid w:val="00D70EE5"/>
    <w:rsid w:val="00D70FFF"/>
    <w:rsid w:val="00D710C9"/>
    <w:rsid w:val="00D7111F"/>
    <w:rsid w:val="00D7114F"/>
    <w:rsid w:val="00D711C9"/>
    <w:rsid w:val="00D713E3"/>
    <w:rsid w:val="00D714D6"/>
    <w:rsid w:val="00D7154F"/>
    <w:rsid w:val="00D7170C"/>
    <w:rsid w:val="00D71AD7"/>
    <w:rsid w:val="00D71C19"/>
    <w:rsid w:val="00D71C1A"/>
    <w:rsid w:val="00D71C41"/>
    <w:rsid w:val="00D71CC5"/>
    <w:rsid w:val="00D71D13"/>
    <w:rsid w:val="00D71D5E"/>
    <w:rsid w:val="00D71DFF"/>
    <w:rsid w:val="00D71EC8"/>
    <w:rsid w:val="00D71EFE"/>
    <w:rsid w:val="00D71FFB"/>
    <w:rsid w:val="00D7222C"/>
    <w:rsid w:val="00D722C1"/>
    <w:rsid w:val="00D72772"/>
    <w:rsid w:val="00D72865"/>
    <w:rsid w:val="00D72891"/>
    <w:rsid w:val="00D72AA8"/>
    <w:rsid w:val="00D72B76"/>
    <w:rsid w:val="00D72C6E"/>
    <w:rsid w:val="00D72D95"/>
    <w:rsid w:val="00D72E3D"/>
    <w:rsid w:val="00D73815"/>
    <w:rsid w:val="00D73843"/>
    <w:rsid w:val="00D73A70"/>
    <w:rsid w:val="00D73BC8"/>
    <w:rsid w:val="00D73EF7"/>
    <w:rsid w:val="00D74184"/>
    <w:rsid w:val="00D742C5"/>
    <w:rsid w:val="00D74316"/>
    <w:rsid w:val="00D743C7"/>
    <w:rsid w:val="00D744C0"/>
    <w:rsid w:val="00D744F8"/>
    <w:rsid w:val="00D745F4"/>
    <w:rsid w:val="00D74601"/>
    <w:rsid w:val="00D74684"/>
    <w:rsid w:val="00D74696"/>
    <w:rsid w:val="00D747B7"/>
    <w:rsid w:val="00D748BF"/>
    <w:rsid w:val="00D74B02"/>
    <w:rsid w:val="00D74C00"/>
    <w:rsid w:val="00D74D07"/>
    <w:rsid w:val="00D74DC9"/>
    <w:rsid w:val="00D74E74"/>
    <w:rsid w:val="00D751F9"/>
    <w:rsid w:val="00D753AC"/>
    <w:rsid w:val="00D754B0"/>
    <w:rsid w:val="00D75711"/>
    <w:rsid w:val="00D758D1"/>
    <w:rsid w:val="00D75AD5"/>
    <w:rsid w:val="00D75C4C"/>
    <w:rsid w:val="00D75D82"/>
    <w:rsid w:val="00D75E9D"/>
    <w:rsid w:val="00D75EF0"/>
    <w:rsid w:val="00D760C8"/>
    <w:rsid w:val="00D76363"/>
    <w:rsid w:val="00D76908"/>
    <w:rsid w:val="00D76A99"/>
    <w:rsid w:val="00D76B82"/>
    <w:rsid w:val="00D76D1C"/>
    <w:rsid w:val="00D76DDB"/>
    <w:rsid w:val="00D76DE5"/>
    <w:rsid w:val="00D77271"/>
    <w:rsid w:val="00D77576"/>
    <w:rsid w:val="00D77FA6"/>
    <w:rsid w:val="00D802A6"/>
    <w:rsid w:val="00D802DE"/>
    <w:rsid w:val="00D8031C"/>
    <w:rsid w:val="00D80444"/>
    <w:rsid w:val="00D80474"/>
    <w:rsid w:val="00D80742"/>
    <w:rsid w:val="00D80D70"/>
    <w:rsid w:val="00D80E04"/>
    <w:rsid w:val="00D80F0D"/>
    <w:rsid w:val="00D810F5"/>
    <w:rsid w:val="00D81577"/>
    <w:rsid w:val="00D816C9"/>
    <w:rsid w:val="00D81ACD"/>
    <w:rsid w:val="00D81BEF"/>
    <w:rsid w:val="00D81C6E"/>
    <w:rsid w:val="00D81C7E"/>
    <w:rsid w:val="00D820AB"/>
    <w:rsid w:val="00D82258"/>
    <w:rsid w:val="00D8237A"/>
    <w:rsid w:val="00D8250B"/>
    <w:rsid w:val="00D82542"/>
    <w:rsid w:val="00D82577"/>
    <w:rsid w:val="00D82635"/>
    <w:rsid w:val="00D82696"/>
    <w:rsid w:val="00D82738"/>
    <w:rsid w:val="00D8276B"/>
    <w:rsid w:val="00D82947"/>
    <w:rsid w:val="00D8294A"/>
    <w:rsid w:val="00D82AB7"/>
    <w:rsid w:val="00D82B05"/>
    <w:rsid w:val="00D82C26"/>
    <w:rsid w:val="00D82E09"/>
    <w:rsid w:val="00D82F0A"/>
    <w:rsid w:val="00D8308B"/>
    <w:rsid w:val="00D830F3"/>
    <w:rsid w:val="00D830F6"/>
    <w:rsid w:val="00D832FD"/>
    <w:rsid w:val="00D8338C"/>
    <w:rsid w:val="00D8353C"/>
    <w:rsid w:val="00D839CF"/>
    <w:rsid w:val="00D83F48"/>
    <w:rsid w:val="00D841BA"/>
    <w:rsid w:val="00D842AF"/>
    <w:rsid w:val="00D842CC"/>
    <w:rsid w:val="00D843E6"/>
    <w:rsid w:val="00D8441A"/>
    <w:rsid w:val="00D84535"/>
    <w:rsid w:val="00D84728"/>
    <w:rsid w:val="00D84933"/>
    <w:rsid w:val="00D84B0E"/>
    <w:rsid w:val="00D84C94"/>
    <w:rsid w:val="00D84CB8"/>
    <w:rsid w:val="00D84F41"/>
    <w:rsid w:val="00D84FE8"/>
    <w:rsid w:val="00D850B4"/>
    <w:rsid w:val="00D8510B"/>
    <w:rsid w:val="00D85174"/>
    <w:rsid w:val="00D85317"/>
    <w:rsid w:val="00D85394"/>
    <w:rsid w:val="00D85483"/>
    <w:rsid w:val="00D8562E"/>
    <w:rsid w:val="00D856C7"/>
    <w:rsid w:val="00D85738"/>
    <w:rsid w:val="00D857C4"/>
    <w:rsid w:val="00D85882"/>
    <w:rsid w:val="00D859D1"/>
    <w:rsid w:val="00D85B6F"/>
    <w:rsid w:val="00D85C29"/>
    <w:rsid w:val="00D85D83"/>
    <w:rsid w:val="00D86128"/>
    <w:rsid w:val="00D864D4"/>
    <w:rsid w:val="00D8657B"/>
    <w:rsid w:val="00D8658E"/>
    <w:rsid w:val="00D865F1"/>
    <w:rsid w:val="00D86A40"/>
    <w:rsid w:val="00D86BBA"/>
    <w:rsid w:val="00D86C64"/>
    <w:rsid w:val="00D86D2D"/>
    <w:rsid w:val="00D87047"/>
    <w:rsid w:val="00D87218"/>
    <w:rsid w:val="00D874E6"/>
    <w:rsid w:val="00D879BA"/>
    <w:rsid w:val="00D87E28"/>
    <w:rsid w:val="00D87E32"/>
    <w:rsid w:val="00D87E72"/>
    <w:rsid w:val="00D9019F"/>
    <w:rsid w:val="00D902D4"/>
    <w:rsid w:val="00D9050B"/>
    <w:rsid w:val="00D90626"/>
    <w:rsid w:val="00D907FA"/>
    <w:rsid w:val="00D90834"/>
    <w:rsid w:val="00D90965"/>
    <w:rsid w:val="00D909CC"/>
    <w:rsid w:val="00D909CE"/>
    <w:rsid w:val="00D90AEF"/>
    <w:rsid w:val="00D90BBA"/>
    <w:rsid w:val="00D90E65"/>
    <w:rsid w:val="00D90FFD"/>
    <w:rsid w:val="00D91105"/>
    <w:rsid w:val="00D911A3"/>
    <w:rsid w:val="00D915C0"/>
    <w:rsid w:val="00D915EF"/>
    <w:rsid w:val="00D91673"/>
    <w:rsid w:val="00D91854"/>
    <w:rsid w:val="00D9188D"/>
    <w:rsid w:val="00D918BA"/>
    <w:rsid w:val="00D91B51"/>
    <w:rsid w:val="00D91B65"/>
    <w:rsid w:val="00D91E7C"/>
    <w:rsid w:val="00D91FE9"/>
    <w:rsid w:val="00D92283"/>
    <w:rsid w:val="00D922F1"/>
    <w:rsid w:val="00D92440"/>
    <w:rsid w:val="00D926C2"/>
    <w:rsid w:val="00D9274F"/>
    <w:rsid w:val="00D92962"/>
    <w:rsid w:val="00D92A03"/>
    <w:rsid w:val="00D92CFD"/>
    <w:rsid w:val="00D92D4F"/>
    <w:rsid w:val="00D92E83"/>
    <w:rsid w:val="00D9305B"/>
    <w:rsid w:val="00D932A1"/>
    <w:rsid w:val="00D935FF"/>
    <w:rsid w:val="00D93767"/>
    <w:rsid w:val="00D937D4"/>
    <w:rsid w:val="00D939F6"/>
    <w:rsid w:val="00D93A72"/>
    <w:rsid w:val="00D93AE3"/>
    <w:rsid w:val="00D93C5C"/>
    <w:rsid w:val="00D93D74"/>
    <w:rsid w:val="00D93FE3"/>
    <w:rsid w:val="00D94144"/>
    <w:rsid w:val="00D942FB"/>
    <w:rsid w:val="00D9445F"/>
    <w:rsid w:val="00D944CC"/>
    <w:rsid w:val="00D94974"/>
    <w:rsid w:val="00D949BC"/>
    <w:rsid w:val="00D94A51"/>
    <w:rsid w:val="00D94B90"/>
    <w:rsid w:val="00D94BBD"/>
    <w:rsid w:val="00D94C7C"/>
    <w:rsid w:val="00D94CDA"/>
    <w:rsid w:val="00D94E60"/>
    <w:rsid w:val="00D9507E"/>
    <w:rsid w:val="00D95394"/>
    <w:rsid w:val="00D9547E"/>
    <w:rsid w:val="00D95581"/>
    <w:rsid w:val="00D95619"/>
    <w:rsid w:val="00D95C51"/>
    <w:rsid w:val="00D95CDA"/>
    <w:rsid w:val="00D95D20"/>
    <w:rsid w:val="00D95F81"/>
    <w:rsid w:val="00D96391"/>
    <w:rsid w:val="00D96444"/>
    <w:rsid w:val="00D967CC"/>
    <w:rsid w:val="00D967DA"/>
    <w:rsid w:val="00D969A5"/>
    <w:rsid w:val="00D96D75"/>
    <w:rsid w:val="00D96E71"/>
    <w:rsid w:val="00D96E93"/>
    <w:rsid w:val="00D9724B"/>
    <w:rsid w:val="00D97285"/>
    <w:rsid w:val="00D975CC"/>
    <w:rsid w:val="00D97690"/>
    <w:rsid w:val="00D97901"/>
    <w:rsid w:val="00D97B28"/>
    <w:rsid w:val="00D97C4F"/>
    <w:rsid w:val="00D97C7F"/>
    <w:rsid w:val="00D97E4F"/>
    <w:rsid w:val="00D97F28"/>
    <w:rsid w:val="00D97F2E"/>
    <w:rsid w:val="00D97FD2"/>
    <w:rsid w:val="00DA0244"/>
    <w:rsid w:val="00DA032E"/>
    <w:rsid w:val="00DA07C3"/>
    <w:rsid w:val="00DA09AA"/>
    <w:rsid w:val="00DA09F6"/>
    <w:rsid w:val="00DA0A83"/>
    <w:rsid w:val="00DA0C09"/>
    <w:rsid w:val="00DA0F4F"/>
    <w:rsid w:val="00DA105A"/>
    <w:rsid w:val="00DA10E0"/>
    <w:rsid w:val="00DA12AA"/>
    <w:rsid w:val="00DA14CC"/>
    <w:rsid w:val="00DA15B1"/>
    <w:rsid w:val="00DA1818"/>
    <w:rsid w:val="00DA1AEC"/>
    <w:rsid w:val="00DA1D87"/>
    <w:rsid w:val="00DA22E1"/>
    <w:rsid w:val="00DA2514"/>
    <w:rsid w:val="00DA2883"/>
    <w:rsid w:val="00DA2895"/>
    <w:rsid w:val="00DA2A9C"/>
    <w:rsid w:val="00DA2B2F"/>
    <w:rsid w:val="00DA2C4C"/>
    <w:rsid w:val="00DA31A5"/>
    <w:rsid w:val="00DA3367"/>
    <w:rsid w:val="00DA33AB"/>
    <w:rsid w:val="00DA3417"/>
    <w:rsid w:val="00DA3658"/>
    <w:rsid w:val="00DA36CC"/>
    <w:rsid w:val="00DA3AF1"/>
    <w:rsid w:val="00DA3B01"/>
    <w:rsid w:val="00DA4012"/>
    <w:rsid w:val="00DA4015"/>
    <w:rsid w:val="00DA415A"/>
    <w:rsid w:val="00DA421D"/>
    <w:rsid w:val="00DA4300"/>
    <w:rsid w:val="00DA4410"/>
    <w:rsid w:val="00DA4415"/>
    <w:rsid w:val="00DA44F7"/>
    <w:rsid w:val="00DA4556"/>
    <w:rsid w:val="00DA4632"/>
    <w:rsid w:val="00DA47E4"/>
    <w:rsid w:val="00DA498E"/>
    <w:rsid w:val="00DA4A2B"/>
    <w:rsid w:val="00DA4A4F"/>
    <w:rsid w:val="00DA4BBF"/>
    <w:rsid w:val="00DA4CF3"/>
    <w:rsid w:val="00DA4D2A"/>
    <w:rsid w:val="00DA4D58"/>
    <w:rsid w:val="00DA4F2D"/>
    <w:rsid w:val="00DA4F6C"/>
    <w:rsid w:val="00DA51D9"/>
    <w:rsid w:val="00DA5333"/>
    <w:rsid w:val="00DA5449"/>
    <w:rsid w:val="00DA5587"/>
    <w:rsid w:val="00DA57A5"/>
    <w:rsid w:val="00DA58CF"/>
    <w:rsid w:val="00DA58E3"/>
    <w:rsid w:val="00DA5A96"/>
    <w:rsid w:val="00DA5FFB"/>
    <w:rsid w:val="00DA6006"/>
    <w:rsid w:val="00DA611F"/>
    <w:rsid w:val="00DA6128"/>
    <w:rsid w:val="00DA65F0"/>
    <w:rsid w:val="00DA660D"/>
    <w:rsid w:val="00DA6727"/>
    <w:rsid w:val="00DA67B0"/>
    <w:rsid w:val="00DA6A24"/>
    <w:rsid w:val="00DA6D98"/>
    <w:rsid w:val="00DA6DE0"/>
    <w:rsid w:val="00DA7004"/>
    <w:rsid w:val="00DA705F"/>
    <w:rsid w:val="00DA73DB"/>
    <w:rsid w:val="00DA742F"/>
    <w:rsid w:val="00DA77A1"/>
    <w:rsid w:val="00DA78DC"/>
    <w:rsid w:val="00DA7A4F"/>
    <w:rsid w:val="00DA7AC2"/>
    <w:rsid w:val="00DA7CFE"/>
    <w:rsid w:val="00DA7D83"/>
    <w:rsid w:val="00DB01A7"/>
    <w:rsid w:val="00DB041A"/>
    <w:rsid w:val="00DB05E5"/>
    <w:rsid w:val="00DB07A2"/>
    <w:rsid w:val="00DB0B55"/>
    <w:rsid w:val="00DB1770"/>
    <w:rsid w:val="00DB1774"/>
    <w:rsid w:val="00DB1826"/>
    <w:rsid w:val="00DB18B5"/>
    <w:rsid w:val="00DB191A"/>
    <w:rsid w:val="00DB1BD2"/>
    <w:rsid w:val="00DB1D7B"/>
    <w:rsid w:val="00DB1E23"/>
    <w:rsid w:val="00DB1E85"/>
    <w:rsid w:val="00DB1F1A"/>
    <w:rsid w:val="00DB1FA7"/>
    <w:rsid w:val="00DB1FC9"/>
    <w:rsid w:val="00DB1FF0"/>
    <w:rsid w:val="00DB2519"/>
    <w:rsid w:val="00DB25B8"/>
    <w:rsid w:val="00DB26DA"/>
    <w:rsid w:val="00DB291E"/>
    <w:rsid w:val="00DB2B96"/>
    <w:rsid w:val="00DB2C0E"/>
    <w:rsid w:val="00DB3030"/>
    <w:rsid w:val="00DB3047"/>
    <w:rsid w:val="00DB330B"/>
    <w:rsid w:val="00DB340D"/>
    <w:rsid w:val="00DB3801"/>
    <w:rsid w:val="00DB3931"/>
    <w:rsid w:val="00DB3B6A"/>
    <w:rsid w:val="00DB3F2B"/>
    <w:rsid w:val="00DB404F"/>
    <w:rsid w:val="00DB421E"/>
    <w:rsid w:val="00DB42A7"/>
    <w:rsid w:val="00DB4CBC"/>
    <w:rsid w:val="00DB4D3C"/>
    <w:rsid w:val="00DB511A"/>
    <w:rsid w:val="00DB5166"/>
    <w:rsid w:val="00DB52DF"/>
    <w:rsid w:val="00DB53C8"/>
    <w:rsid w:val="00DB562D"/>
    <w:rsid w:val="00DB5769"/>
    <w:rsid w:val="00DB59AC"/>
    <w:rsid w:val="00DB5D46"/>
    <w:rsid w:val="00DB601E"/>
    <w:rsid w:val="00DB6234"/>
    <w:rsid w:val="00DB6475"/>
    <w:rsid w:val="00DB64DA"/>
    <w:rsid w:val="00DB64FB"/>
    <w:rsid w:val="00DB6600"/>
    <w:rsid w:val="00DB666F"/>
    <w:rsid w:val="00DB69ED"/>
    <w:rsid w:val="00DB69F5"/>
    <w:rsid w:val="00DB6BFE"/>
    <w:rsid w:val="00DB6D7B"/>
    <w:rsid w:val="00DB6E11"/>
    <w:rsid w:val="00DB6F4E"/>
    <w:rsid w:val="00DB7078"/>
    <w:rsid w:val="00DB709C"/>
    <w:rsid w:val="00DB70BA"/>
    <w:rsid w:val="00DB713C"/>
    <w:rsid w:val="00DB7221"/>
    <w:rsid w:val="00DB7222"/>
    <w:rsid w:val="00DB7487"/>
    <w:rsid w:val="00DB767A"/>
    <w:rsid w:val="00DB7770"/>
    <w:rsid w:val="00DB782F"/>
    <w:rsid w:val="00DB793C"/>
    <w:rsid w:val="00DC00DC"/>
    <w:rsid w:val="00DC05B6"/>
    <w:rsid w:val="00DC0C32"/>
    <w:rsid w:val="00DC12CB"/>
    <w:rsid w:val="00DC13D5"/>
    <w:rsid w:val="00DC14B5"/>
    <w:rsid w:val="00DC1937"/>
    <w:rsid w:val="00DC1DF7"/>
    <w:rsid w:val="00DC1F3C"/>
    <w:rsid w:val="00DC1F55"/>
    <w:rsid w:val="00DC1F8C"/>
    <w:rsid w:val="00DC2451"/>
    <w:rsid w:val="00DC2508"/>
    <w:rsid w:val="00DC2615"/>
    <w:rsid w:val="00DC278D"/>
    <w:rsid w:val="00DC279E"/>
    <w:rsid w:val="00DC287E"/>
    <w:rsid w:val="00DC2B3F"/>
    <w:rsid w:val="00DC2E3E"/>
    <w:rsid w:val="00DC2E5F"/>
    <w:rsid w:val="00DC2F5D"/>
    <w:rsid w:val="00DC3162"/>
    <w:rsid w:val="00DC31C3"/>
    <w:rsid w:val="00DC3466"/>
    <w:rsid w:val="00DC3823"/>
    <w:rsid w:val="00DC388D"/>
    <w:rsid w:val="00DC38D3"/>
    <w:rsid w:val="00DC39B7"/>
    <w:rsid w:val="00DC3AE0"/>
    <w:rsid w:val="00DC3AE5"/>
    <w:rsid w:val="00DC3C9D"/>
    <w:rsid w:val="00DC3F7B"/>
    <w:rsid w:val="00DC413E"/>
    <w:rsid w:val="00DC41EA"/>
    <w:rsid w:val="00DC447D"/>
    <w:rsid w:val="00DC44BD"/>
    <w:rsid w:val="00DC47DA"/>
    <w:rsid w:val="00DC488F"/>
    <w:rsid w:val="00DC48A2"/>
    <w:rsid w:val="00DC4930"/>
    <w:rsid w:val="00DC49E7"/>
    <w:rsid w:val="00DC4A0A"/>
    <w:rsid w:val="00DC4ABF"/>
    <w:rsid w:val="00DC4C0B"/>
    <w:rsid w:val="00DC4CE0"/>
    <w:rsid w:val="00DC4D13"/>
    <w:rsid w:val="00DC4D47"/>
    <w:rsid w:val="00DC572E"/>
    <w:rsid w:val="00DC57C3"/>
    <w:rsid w:val="00DC58FB"/>
    <w:rsid w:val="00DC5915"/>
    <w:rsid w:val="00DC5987"/>
    <w:rsid w:val="00DC598D"/>
    <w:rsid w:val="00DC5A7C"/>
    <w:rsid w:val="00DC5D4E"/>
    <w:rsid w:val="00DC5D95"/>
    <w:rsid w:val="00DC5F81"/>
    <w:rsid w:val="00DC6180"/>
    <w:rsid w:val="00DC629E"/>
    <w:rsid w:val="00DC63A4"/>
    <w:rsid w:val="00DC652E"/>
    <w:rsid w:val="00DC6760"/>
    <w:rsid w:val="00DC6A8D"/>
    <w:rsid w:val="00DC6B81"/>
    <w:rsid w:val="00DC6D1C"/>
    <w:rsid w:val="00DC6D58"/>
    <w:rsid w:val="00DC6ECB"/>
    <w:rsid w:val="00DC70FA"/>
    <w:rsid w:val="00DC720E"/>
    <w:rsid w:val="00DC7367"/>
    <w:rsid w:val="00DC73F1"/>
    <w:rsid w:val="00DC7585"/>
    <w:rsid w:val="00DC77D2"/>
    <w:rsid w:val="00DC788D"/>
    <w:rsid w:val="00DC78AF"/>
    <w:rsid w:val="00DC7B26"/>
    <w:rsid w:val="00DC7C61"/>
    <w:rsid w:val="00DC7D42"/>
    <w:rsid w:val="00DC7D59"/>
    <w:rsid w:val="00DC7ECA"/>
    <w:rsid w:val="00DC7FA4"/>
    <w:rsid w:val="00DD00BF"/>
    <w:rsid w:val="00DD0451"/>
    <w:rsid w:val="00DD059F"/>
    <w:rsid w:val="00DD0831"/>
    <w:rsid w:val="00DD0866"/>
    <w:rsid w:val="00DD0CDE"/>
    <w:rsid w:val="00DD0D5A"/>
    <w:rsid w:val="00DD0FD8"/>
    <w:rsid w:val="00DD0FDF"/>
    <w:rsid w:val="00DD1007"/>
    <w:rsid w:val="00DD13F1"/>
    <w:rsid w:val="00DD148B"/>
    <w:rsid w:val="00DD16C8"/>
    <w:rsid w:val="00DD1A20"/>
    <w:rsid w:val="00DD1B11"/>
    <w:rsid w:val="00DD1CCA"/>
    <w:rsid w:val="00DD2287"/>
    <w:rsid w:val="00DD2302"/>
    <w:rsid w:val="00DD23C5"/>
    <w:rsid w:val="00DD23D4"/>
    <w:rsid w:val="00DD250E"/>
    <w:rsid w:val="00DD259C"/>
    <w:rsid w:val="00DD28E7"/>
    <w:rsid w:val="00DD291D"/>
    <w:rsid w:val="00DD2A54"/>
    <w:rsid w:val="00DD2AE2"/>
    <w:rsid w:val="00DD2AEC"/>
    <w:rsid w:val="00DD2BDF"/>
    <w:rsid w:val="00DD2D2C"/>
    <w:rsid w:val="00DD2F89"/>
    <w:rsid w:val="00DD30C2"/>
    <w:rsid w:val="00DD3119"/>
    <w:rsid w:val="00DD31BC"/>
    <w:rsid w:val="00DD369E"/>
    <w:rsid w:val="00DD3B6D"/>
    <w:rsid w:val="00DD3C53"/>
    <w:rsid w:val="00DD3E7F"/>
    <w:rsid w:val="00DD3ED1"/>
    <w:rsid w:val="00DD3F6D"/>
    <w:rsid w:val="00DD415E"/>
    <w:rsid w:val="00DD429A"/>
    <w:rsid w:val="00DD42C5"/>
    <w:rsid w:val="00DD4338"/>
    <w:rsid w:val="00DD48FB"/>
    <w:rsid w:val="00DD494D"/>
    <w:rsid w:val="00DD4C72"/>
    <w:rsid w:val="00DD4F73"/>
    <w:rsid w:val="00DD5168"/>
    <w:rsid w:val="00DD5391"/>
    <w:rsid w:val="00DD54A1"/>
    <w:rsid w:val="00DD58E2"/>
    <w:rsid w:val="00DD5A5F"/>
    <w:rsid w:val="00DD5B35"/>
    <w:rsid w:val="00DD5C1D"/>
    <w:rsid w:val="00DD5C87"/>
    <w:rsid w:val="00DD5F68"/>
    <w:rsid w:val="00DD6017"/>
    <w:rsid w:val="00DD614B"/>
    <w:rsid w:val="00DD61DD"/>
    <w:rsid w:val="00DD68DB"/>
    <w:rsid w:val="00DD6ABF"/>
    <w:rsid w:val="00DD6B6F"/>
    <w:rsid w:val="00DD6BA5"/>
    <w:rsid w:val="00DD7026"/>
    <w:rsid w:val="00DD7081"/>
    <w:rsid w:val="00DD7251"/>
    <w:rsid w:val="00DD72AB"/>
    <w:rsid w:val="00DD76BB"/>
    <w:rsid w:val="00DD7E90"/>
    <w:rsid w:val="00DD7FDF"/>
    <w:rsid w:val="00DE002E"/>
    <w:rsid w:val="00DE00B1"/>
    <w:rsid w:val="00DE0128"/>
    <w:rsid w:val="00DE0786"/>
    <w:rsid w:val="00DE09D0"/>
    <w:rsid w:val="00DE0A04"/>
    <w:rsid w:val="00DE0C87"/>
    <w:rsid w:val="00DE0F2C"/>
    <w:rsid w:val="00DE107F"/>
    <w:rsid w:val="00DE1140"/>
    <w:rsid w:val="00DE117C"/>
    <w:rsid w:val="00DE12DF"/>
    <w:rsid w:val="00DE144B"/>
    <w:rsid w:val="00DE163B"/>
    <w:rsid w:val="00DE178F"/>
    <w:rsid w:val="00DE1999"/>
    <w:rsid w:val="00DE1A01"/>
    <w:rsid w:val="00DE1D76"/>
    <w:rsid w:val="00DE204B"/>
    <w:rsid w:val="00DE218A"/>
    <w:rsid w:val="00DE2574"/>
    <w:rsid w:val="00DE2667"/>
    <w:rsid w:val="00DE27D9"/>
    <w:rsid w:val="00DE289F"/>
    <w:rsid w:val="00DE28C4"/>
    <w:rsid w:val="00DE2AD7"/>
    <w:rsid w:val="00DE2C41"/>
    <w:rsid w:val="00DE2DD3"/>
    <w:rsid w:val="00DE2DF7"/>
    <w:rsid w:val="00DE3082"/>
    <w:rsid w:val="00DE30D0"/>
    <w:rsid w:val="00DE322B"/>
    <w:rsid w:val="00DE32E9"/>
    <w:rsid w:val="00DE3374"/>
    <w:rsid w:val="00DE3CF0"/>
    <w:rsid w:val="00DE3F1B"/>
    <w:rsid w:val="00DE3F50"/>
    <w:rsid w:val="00DE4315"/>
    <w:rsid w:val="00DE457F"/>
    <w:rsid w:val="00DE45B0"/>
    <w:rsid w:val="00DE45E5"/>
    <w:rsid w:val="00DE46B1"/>
    <w:rsid w:val="00DE4706"/>
    <w:rsid w:val="00DE4718"/>
    <w:rsid w:val="00DE4946"/>
    <w:rsid w:val="00DE50AA"/>
    <w:rsid w:val="00DE50F2"/>
    <w:rsid w:val="00DE5293"/>
    <w:rsid w:val="00DE58E9"/>
    <w:rsid w:val="00DE5946"/>
    <w:rsid w:val="00DE5A56"/>
    <w:rsid w:val="00DE5E3F"/>
    <w:rsid w:val="00DE60B6"/>
    <w:rsid w:val="00DE6280"/>
    <w:rsid w:val="00DE642B"/>
    <w:rsid w:val="00DE68F6"/>
    <w:rsid w:val="00DE6DEF"/>
    <w:rsid w:val="00DE6FC7"/>
    <w:rsid w:val="00DE6FF0"/>
    <w:rsid w:val="00DE7025"/>
    <w:rsid w:val="00DE71FD"/>
    <w:rsid w:val="00DE7201"/>
    <w:rsid w:val="00DE72B8"/>
    <w:rsid w:val="00DE765D"/>
    <w:rsid w:val="00DE79FC"/>
    <w:rsid w:val="00DE7DD2"/>
    <w:rsid w:val="00DE7E0A"/>
    <w:rsid w:val="00DE7EB4"/>
    <w:rsid w:val="00DF00B7"/>
    <w:rsid w:val="00DF00C5"/>
    <w:rsid w:val="00DF055F"/>
    <w:rsid w:val="00DF0595"/>
    <w:rsid w:val="00DF061D"/>
    <w:rsid w:val="00DF0636"/>
    <w:rsid w:val="00DF06ED"/>
    <w:rsid w:val="00DF0D9D"/>
    <w:rsid w:val="00DF0EA4"/>
    <w:rsid w:val="00DF0FD0"/>
    <w:rsid w:val="00DF107C"/>
    <w:rsid w:val="00DF108E"/>
    <w:rsid w:val="00DF127E"/>
    <w:rsid w:val="00DF1313"/>
    <w:rsid w:val="00DF135A"/>
    <w:rsid w:val="00DF1518"/>
    <w:rsid w:val="00DF1634"/>
    <w:rsid w:val="00DF171B"/>
    <w:rsid w:val="00DF1895"/>
    <w:rsid w:val="00DF18A9"/>
    <w:rsid w:val="00DF196B"/>
    <w:rsid w:val="00DF1BA0"/>
    <w:rsid w:val="00DF1DBD"/>
    <w:rsid w:val="00DF1E7A"/>
    <w:rsid w:val="00DF1FE0"/>
    <w:rsid w:val="00DF226D"/>
    <w:rsid w:val="00DF2386"/>
    <w:rsid w:val="00DF2553"/>
    <w:rsid w:val="00DF26E5"/>
    <w:rsid w:val="00DF2778"/>
    <w:rsid w:val="00DF284E"/>
    <w:rsid w:val="00DF2869"/>
    <w:rsid w:val="00DF29BC"/>
    <w:rsid w:val="00DF2B2D"/>
    <w:rsid w:val="00DF2B84"/>
    <w:rsid w:val="00DF2C17"/>
    <w:rsid w:val="00DF2C7E"/>
    <w:rsid w:val="00DF2D3A"/>
    <w:rsid w:val="00DF2E20"/>
    <w:rsid w:val="00DF2E71"/>
    <w:rsid w:val="00DF2F22"/>
    <w:rsid w:val="00DF305A"/>
    <w:rsid w:val="00DF3107"/>
    <w:rsid w:val="00DF33EC"/>
    <w:rsid w:val="00DF36C8"/>
    <w:rsid w:val="00DF3C9E"/>
    <w:rsid w:val="00DF3CD8"/>
    <w:rsid w:val="00DF3DB8"/>
    <w:rsid w:val="00DF407F"/>
    <w:rsid w:val="00DF41CC"/>
    <w:rsid w:val="00DF42F8"/>
    <w:rsid w:val="00DF44A4"/>
    <w:rsid w:val="00DF4645"/>
    <w:rsid w:val="00DF4854"/>
    <w:rsid w:val="00DF4918"/>
    <w:rsid w:val="00DF4B86"/>
    <w:rsid w:val="00DF4B99"/>
    <w:rsid w:val="00DF4FC9"/>
    <w:rsid w:val="00DF518B"/>
    <w:rsid w:val="00DF52BA"/>
    <w:rsid w:val="00DF54C2"/>
    <w:rsid w:val="00DF54FC"/>
    <w:rsid w:val="00DF554B"/>
    <w:rsid w:val="00DF5903"/>
    <w:rsid w:val="00DF5A4F"/>
    <w:rsid w:val="00DF5C2D"/>
    <w:rsid w:val="00DF5CA2"/>
    <w:rsid w:val="00DF5D54"/>
    <w:rsid w:val="00DF5E1C"/>
    <w:rsid w:val="00DF61AB"/>
    <w:rsid w:val="00DF6296"/>
    <w:rsid w:val="00DF687F"/>
    <w:rsid w:val="00DF68D7"/>
    <w:rsid w:val="00DF6D95"/>
    <w:rsid w:val="00DF71F0"/>
    <w:rsid w:val="00DF762D"/>
    <w:rsid w:val="00DF78D2"/>
    <w:rsid w:val="00DF7B6E"/>
    <w:rsid w:val="00DF7BE2"/>
    <w:rsid w:val="00DF7CBC"/>
    <w:rsid w:val="00DF7D92"/>
    <w:rsid w:val="00E00122"/>
    <w:rsid w:val="00E00245"/>
    <w:rsid w:val="00E00253"/>
    <w:rsid w:val="00E003ED"/>
    <w:rsid w:val="00E0068F"/>
    <w:rsid w:val="00E00A33"/>
    <w:rsid w:val="00E00C63"/>
    <w:rsid w:val="00E0109E"/>
    <w:rsid w:val="00E011FF"/>
    <w:rsid w:val="00E01297"/>
    <w:rsid w:val="00E012EF"/>
    <w:rsid w:val="00E01501"/>
    <w:rsid w:val="00E015B1"/>
    <w:rsid w:val="00E01646"/>
    <w:rsid w:val="00E0169E"/>
    <w:rsid w:val="00E01701"/>
    <w:rsid w:val="00E017D9"/>
    <w:rsid w:val="00E01B8E"/>
    <w:rsid w:val="00E01C95"/>
    <w:rsid w:val="00E01E52"/>
    <w:rsid w:val="00E01EAF"/>
    <w:rsid w:val="00E022C0"/>
    <w:rsid w:val="00E02301"/>
    <w:rsid w:val="00E02559"/>
    <w:rsid w:val="00E02569"/>
    <w:rsid w:val="00E0274D"/>
    <w:rsid w:val="00E02957"/>
    <w:rsid w:val="00E029BB"/>
    <w:rsid w:val="00E02B90"/>
    <w:rsid w:val="00E02D4F"/>
    <w:rsid w:val="00E02F4A"/>
    <w:rsid w:val="00E02FA4"/>
    <w:rsid w:val="00E031AF"/>
    <w:rsid w:val="00E031DE"/>
    <w:rsid w:val="00E033D3"/>
    <w:rsid w:val="00E03499"/>
    <w:rsid w:val="00E03515"/>
    <w:rsid w:val="00E035F3"/>
    <w:rsid w:val="00E03625"/>
    <w:rsid w:val="00E038E1"/>
    <w:rsid w:val="00E03BB0"/>
    <w:rsid w:val="00E03CE6"/>
    <w:rsid w:val="00E03DC2"/>
    <w:rsid w:val="00E03F50"/>
    <w:rsid w:val="00E04090"/>
    <w:rsid w:val="00E0412E"/>
    <w:rsid w:val="00E041BD"/>
    <w:rsid w:val="00E043A9"/>
    <w:rsid w:val="00E04799"/>
    <w:rsid w:val="00E0493C"/>
    <w:rsid w:val="00E04952"/>
    <w:rsid w:val="00E04A5A"/>
    <w:rsid w:val="00E04BC5"/>
    <w:rsid w:val="00E05011"/>
    <w:rsid w:val="00E0503C"/>
    <w:rsid w:val="00E05194"/>
    <w:rsid w:val="00E052A6"/>
    <w:rsid w:val="00E0546B"/>
    <w:rsid w:val="00E0550F"/>
    <w:rsid w:val="00E05565"/>
    <w:rsid w:val="00E056AF"/>
    <w:rsid w:val="00E056B6"/>
    <w:rsid w:val="00E05E2A"/>
    <w:rsid w:val="00E05ED8"/>
    <w:rsid w:val="00E060B0"/>
    <w:rsid w:val="00E060FB"/>
    <w:rsid w:val="00E06397"/>
    <w:rsid w:val="00E063E0"/>
    <w:rsid w:val="00E06553"/>
    <w:rsid w:val="00E067A5"/>
    <w:rsid w:val="00E06831"/>
    <w:rsid w:val="00E06D33"/>
    <w:rsid w:val="00E06D36"/>
    <w:rsid w:val="00E06E33"/>
    <w:rsid w:val="00E06E5B"/>
    <w:rsid w:val="00E06ECE"/>
    <w:rsid w:val="00E071F0"/>
    <w:rsid w:val="00E073AC"/>
    <w:rsid w:val="00E07557"/>
    <w:rsid w:val="00E07829"/>
    <w:rsid w:val="00E07878"/>
    <w:rsid w:val="00E07B95"/>
    <w:rsid w:val="00E07C5D"/>
    <w:rsid w:val="00E07C9C"/>
    <w:rsid w:val="00E07ED0"/>
    <w:rsid w:val="00E101BA"/>
    <w:rsid w:val="00E10242"/>
    <w:rsid w:val="00E10305"/>
    <w:rsid w:val="00E10B5C"/>
    <w:rsid w:val="00E10D74"/>
    <w:rsid w:val="00E10E78"/>
    <w:rsid w:val="00E1111A"/>
    <w:rsid w:val="00E111E0"/>
    <w:rsid w:val="00E1130B"/>
    <w:rsid w:val="00E1132F"/>
    <w:rsid w:val="00E1140D"/>
    <w:rsid w:val="00E11830"/>
    <w:rsid w:val="00E118D9"/>
    <w:rsid w:val="00E118E3"/>
    <w:rsid w:val="00E11A2F"/>
    <w:rsid w:val="00E11AAC"/>
    <w:rsid w:val="00E11CDE"/>
    <w:rsid w:val="00E11E49"/>
    <w:rsid w:val="00E1200F"/>
    <w:rsid w:val="00E121F0"/>
    <w:rsid w:val="00E1227B"/>
    <w:rsid w:val="00E125FB"/>
    <w:rsid w:val="00E128AB"/>
    <w:rsid w:val="00E12AEA"/>
    <w:rsid w:val="00E12E08"/>
    <w:rsid w:val="00E130AE"/>
    <w:rsid w:val="00E13212"/>
    <w:rsid w:val="00E1347E"/>
    <w:rsid w:val="00E136DB"/>
    <w:rsid w:val="00E13834"/>
    <w:rsid w:val="00E13883"/>
    <w:rsid w:val="00E13A36"/>
    <w:rsid w:val="00E1444F"/>
    <w:rsid w:val="00E14766"/>
    <w:rsid w:val="00E1487E"/>
    <w:rsid w:val="00E14889"/>
    <w:rsid w:val="00E148BB"/>
    <w:rsid w:val="00E14969"/>
    <w:rsid w:val="00E14A41"/>
    <w:rsid w:val="00E14B4A"/>
    <w:rsid w:val="00E14E47"/>
    <w:rsid w:val="00E151C9"/>
    <w:rsid w:val="00E15277"/>
    <w:rsid w:val="00E154D4"/>
    <w:rsid w:val="00E155F3"/>
    <w:rsid w:val="00E15896"/>
    <w:rsid w:val="00E1597C"/>
    <w:rsid w:val="00E15A65"/>
    <w:rsid w:val="00E15A6A"/>
    <w:rsid w:val="00E15B94"/>
    <w:rsid w:val="00E15C13"/>
    <w:rsid w:val="00E1601F"/>
    <w:rsid w:val="00E16118"/>
    <w:rsid w:val="00E165BF"/>
    <w:rsid w:val="00E165DF"/>
    <w:rsid w:val="00E16634"/>
    <w:rsid w:val="00E16702"/>
    <w:rsid w:val="00E16755"/>
    <w:rsid w:val="00E1679E"/>
    <w:rsid w:val="00E167B5"/>
    <w:rsid w:val="00E168EB"/>
    <w:rsid w:val="00E1691A"/>
    <w:rsid w:val="00E16B75"/>
    <w:rsid w:val="00E16B84"/>
    <w:rsid w:val="00E170F7"/>
    <w:rsid w:val="00E172D4"/>
    <w:rsid w:val="00E17363"/>
    <w:rsid w:val="00E1739B"/>
    <w:rsid w:val="00E1765E"/>
    <w:rsid w:val="00E17748"/>
    <w:rsid w:val="00E17781"/>
    <w:rsid w:val="00E1781D"/>
    <w:rsid w:val="00E1783D"/>
    <w:rsid w:val="00E17D92"/>
    <w:rsid w:val="00E17E3F"/>
    <w:rsid w:val="00E20099"/>
    <w:rsid w:val="00E200EF"/>
    <w:rsid w:val="00E207FB"/>
    <w:rsid w:val="00E208E5"/>
    <w:rsid w:val="00E20A42"/>
    <w:rsid w:val="00E20B22"/>
    <w:rsid w:val="00E20C01"/>
    <w:rsid w:val="00E20C2A"/>
    <w:rsid w:val="00E20D12"/>
    <w:rsid w:val="00E20DDB"/>
    <w:rsid w:val="00E20E2B"/>
    <w:rsid w:val="00E21067"/>
    <w:rsid w:val="00E210B5"/>
    <w:rsid w:val="00E21499"/>
    <w:rsid w:val="00E21AC7"/>
    <w:rsid w:val="00E21C34"/>
    <w:rsid w:val="00E21D05"/>
    <w:rsid w:val="00E21EEF"/>
    <w:rsid w:val="00E21FB7"/>
    <w:rsid w:val="00E22005"/>
    <w:rsid w:val="00E22090"/>
    <w:rsid w:val="00E224D3"/>
    <w:rsid w:val="00E22778"/>
    <w:rsid w:val="00E22A30"/>
    <w:rsid w:val="00E22CA2"/>
    <w:rsid w:val="00E22D24"/>
    <w:rsid w:val="00E230D5"/>
    <w:rsid w:val="00E231BF"/>
    <w:rsid w:val="00E231D6"/>
    <w:rsid w:val="00E233B8"/>
    <w:rsid w:val="00E2349E"/>
    <w:rsid w:val="00E23870"/>
    <w:rsid w:val="00E23B30"/>
    <w:rsid w:val="00E23B32"/>
    <w:rsid w:val="00E23C07"/>
    <w:rsid w:val="00E23E5D"/>
    <w:rsid w:val="00E23E73"/>
    <w:rsid w:val="00E23F6F"/>
    <w:rsid w:val="00E2400F"/>
    <w:rsid w:val="00E24097"/>
    <w:rsid w:val="00E240E7"/>
    <w:rsid w:val="00E24194"/>
    <w:rsid w:val="00E243BC"/>
    <w:rsid w:val="00E244A8"/>
    <w:rsid w:val="00E24509"/>
    <w:rsid w:val="00E245CD"/>
    <w:rsid w:val="00E24872"/>
    <w:rsid w:val="00E24A11"/>
    <w:rsid w:val="00E24CB6"/>
    <w:rsid w:val="00E24E32"/>
    <w:rsid w:val="00E24EC6"/>
    <w:rsid w:val="00E24F8D"/>
    <w:rsid w:val="00E2501B"/>
    <w:rsid w:val="00E25186"/>
    <w:rsid w:val="00E2521B"/>
    <w:rsid w:val="00E25630"/>
    <w:rsid w:val="00E2570C"/>
    <w:rsid w:val="00E25A10"/>
    <w:rsid w:val="00E25A65"/>
    <w:rsid w:val="00E25F1C"/>
    <w:rsid w:val="00E26249"/>
    <w:rsid w:val="00E263FF"/>
    <w:rsid w:val="00E266A1"/>
    <w:rsid w:val="00E268B1"/>
    <w:rsid w:val="00E26979"/>
    <w:rsid w:val="00E26A4F"/>
    <w:rsid w:val="00E26A9E"/>
    <w:rsid w:val="00E26C29"/>
    <w:rsid w:val="00E26C41"/>
    <w:rsid w:val="00E26C5F"/>
    <w:rsid w:val="00E26DBD"/>
    <w:rsid w:val="00E26F3D"/>
    <w:rsid w:val="00E271DE"/>
    <w:rsid w:val="00E2724C"/>
    <w:rsid w:val="00E2727F"/>
    <w:rsid w:val="00E273FA"/>
    <w:rsid w:val="00E274A8"/>
    <w:rsid w:val="00E27704"/>
    <w:rsid w:val="00E278B2"/>
    <w:rsid w:val="00E27D55"/>
    <w:rsid w:val="00E2945F"/>
    <w:rsid w:val="00E30103"/>
    <w:rsid w:val="00E30129"/>
    <w:rsid w:val="00E301F2"/>
    <w:rsid w:val="00E30329"/>
    <w:rsid w:val="00E30614"/>
    <w:rsid w:val="00E30626"/>
    <w:rsid w:val="00E306A9"/>
    <w:rsid w:val="00E3076D"/>
    <w:rsid w:val="00E307F7"/>
    <w:rsid w:val="00E308B6"/>
    <w:rsid w:val="00E30C03"/>
    <w:rsid w:val="00E30CAB"/>
    <w:rsid w:val="00E30CB3"/>
    <w:rsid w:val="00E30D79"/>
    <w:rsid w:val="00E30EB4"/>
    <w:rsid w:val="00E30EE7"/>
    <w:rsid w:val="00E30F29"/>
    <w:rsid w:val="00E311F5"/>
    <w:rsid w:val="00E3120E"/>
    <w:rsid w:val="00E31297"/>
    <w:rsid w:val="00E31484"/>
    <w:rsid w:val="00E3165C"/>
    <w:rsid w:val="00E31736"/>
    <w:rsid w:val="00E31894"/>
    <w:rsid w:val="00E318DB"/>
    <w:rsid w:val="00E319D4"/>
    <w:rsid w:val="00E31FED"/>
    <w:rsid w:val="00E32073"/>
    <w:rsid w:val="00E320A9"/>
    <w:rsid w:val="00E320FB"/>
    <w:rsid w:val="00E32143"/>
    <w:rsid w:val="00E3237E"/>
    <w:rsid w:val="00E323BC"/>
    <w:rsid w:val="00E3253D"/>
    <w:rsid w:val="00E3256F"/>
    <w:rsid w:val="00E325B1"/>
    <w:rsid w:val="00E3264B"/>
    <w:rsid w:val="00E32A92"/>
    <w:rsid w:val="00E32BF4"/>
    <w:rsid w:val="00E32D59"/>
    <w:rsid w:val="00E331C0"/>
    <w:rsid w:val="00E333D5"/>
    <w:rsid w:val="00E3344E"/>
    <w:rsid w:val="00E335C5"/>
    <w:rsid w:val="00E3379F"/>
    <w:rsid w:val="00E337F9"/>
    <w:rsid w:val="00E33807"/>
    <w:rsid w:val="00E3389D"/>
    <w:rsid w:val="00E33963"/>
    <w:rsid w:val="00E33A39"/>
    <w:rsid w:val="00E33C1A"/>
    <w:rsid w:val="00E33C9C"/>
    <w:rsid w:val="00E33E0C"/>
    <w:rsid w:val="00E33E96"/>
    <w:rsid w:val="00E34115"/>
    <w:rsid w:val="00E3422C"/>
    <w:rsid w:val="00E342DA"/>
    <w:rsid w:val="00E34525"/>
    <w:rsid w:val="00E347B1"/>
    <w:rsid w:val="00E349AA"/>
    <w:rsid w:val="00E34D85"/>
    <w:rsid w:val="00E351E6"/>
    <w:rsid w:val="00E352A7"/>
    <w:rsid w:val="00E35303"/>
    <w:rsid w:val="00E354B6"/>
    <w:rsid w:val="00E356B4"/>
    <w:rsid w:val="00E35792"/>
    <w:rsid w:val="00E35A6D"/>
    <w:rsid w:val="00E35B20"/>
    <w:rsid w:val="00E35E10"/>
    <w:rsid w:val="00E3600F"/>
    <w:rsid w:val="00E3603D"/>
    <w:rsid w:val="00E36046"/>
    <w:rsid w:val="00E360CE"/>
    <w:rsid w:val="00E362D7"/>
    <w:rsid w:val="00E3631F"/>
    <w:rsid w:val="00E36391"/>
    <w:rsid w:val="00E363AC"/>
    <w:rsid w:val="00E363B7"/>
    <w:rsid w:val="00E3661D"/>
    <w:rsid w:val="00E3670C"/>
    <w:rsid w:val="00E36D91"/>
    <w:rsid w:val="00E36F00"/>
    <w:rsid w:val="00E37237"/>
    <w:rsid w:val="00E3733D"/>
    <w:rsid w:val="00E37818"/>
    <w:rsid w:val="00E37879"/>
    <w:rsid w:val="00E37A61"/>
    <w:rsid w:val="00E37D74"/>
    <w:rsid w:val="00E37EF2"/>
    <w:rsid w:val="00E40134"/>
    <w:rsid w:val="00E40205"/>
    <w:rsid w:val="00E404BD"/>
    <w:rsid w:val="00E40500"/>
    <w:rsid w:val="00E40727"/>
    <w:rsid w:val="00E40799"/>
    <w:rsid w:val="00E4095A"/>
    <w:rsid w:val="00E40981"/>
    <w:rsid w:val="00E40996"/>
    <w:rsid w:val="00E40AA8"/>
    <w:rsid w:val="00E40AD2"/>
    <w:rsid w:val="00E410DC"/>
    <w:rsid w:val="00E411FA"/>
    <w:rsid w:val="00E414B1"/>
    <w:rsid w:val="00E418EE"/>
    <w:rsid w:val="00E41B24"/>
    <w:rsid w:val="00E41C04"/>
    <w:rsid w:val="00E41F87"/>
    <w:rsid w:val="00E41FB5"/>
    <w:rsid w:val="00E42082"/>
    <w:rsid w:val="00E425C9"/>
    <w:rsid w:val="00E42830"/>
    <w:rsid w:val="00E4289B"/>
    <w:rsid w:val="00E42904"/>
    <w:rsid w:val="00E42BBF"/>
    <w:rsid w:val="00E42BC4"/>
    <w:rsid w:val="00E42C35"/>
    <w:rsid w:val="00E42C71"/>
    <w:rsid w:val="00E42F61"/>
    <w:rsid w:val="00E430F0"/>
    <w:rsid w:val="00E43243"/>
    <w:rsid w:val="00E4359A"/>
    <w:rsid w:val="00E438BA"/>
    <w:rsid w:val="00E439C5"/>
    <w:rsid w:val="00E43A11"/>
    <w:rsid w:val="00E43A54"/>
    <w:rsid w:val="00E43B24"/>
    <w:rsid w:val="00E43BE0"/>
    <w:rsid w:val="00E43C72"/>
    <w:rsid w:val="00E43C77"/>
    <w:rsid w:val="00E43CBB"/>
    <w:rsid w:val="00E43D57"/>
    <w:rsid w:val="00E43F80"/>
    <w:rsid w:val="00E43FF0"/>
    <w:rsid w:val="00E4402A"/>
    <w:rsid w:val="00E44178"/>
    <w:rsid w:val="00E442E2"/>
    <w:rsid w:val="00E444DB"/>
    <w:rsid w:val="00E44660"/>
    <w:rsid w:val="00E44787"/>
    <w:rsid w:val="00E44E6C"/>
    <w:rsid w:val="00E4545E"/>
    <w:rsid w:val="00E4587A"/>
    <w:rsid w:val="00E45D8A"/>
    <w:rsid w:val="00E4610E"/>
    <w:rsid w:val="00E463C6"/>
    <w:rsid w:val="00E46669"/>
    <w:rsid w:val="00E466D6"/>
    <w:rsid w:val="00E46721"/>
    <w:rsid w:val="00E46BBD"/>
    <w:rsid w:val="00E47410"/>
    <w:rsid w:val="00E474D3"/>
    <w:rsid w:val="00E4750E"/>
    <w:rsid w:val="00E47510"/>
    <w:rsid w:val="00E47570"/>
    <w:rsid w:val="00E4762F"/>
    <w:rsid w:val="00E4768E"/>
    <w:rsid w:val="00E479DF"/>
    <w:rsid w:val="00E47A73"/>
    <w:rsid w:val="00E47C60"/>
    <w:rsid w:val="00E47C76"/>
    <w:rsid w:val="00E47D06"/>
    <w:rsid w:val="00E47D70"/>
    <w:rsid w:val="00E47E2F"/>
    <w:rsid w:val="00E47EDA"/>
    <w:rsid w:val="00E47F9A"/>
    <w:rsid w:val="00E5007F"/>
    <w:rsid w:val="00E50117"/>
    <w:rsid w:val="00E502DE"/>
    <w:rsid w:val="00E50412"/>
    <w:rsid w:val="00E50476"/>
    <w:rsid w:val="00E50482"/>
    <w:rsid w:val="00E50632"/>
    <w:rsid w:val="00E506C7"/>
    <w:rsid w:val="00E50A2D"/>
    <w:rsid w:val="00E50AA1"/>
    <w:rsid w:val="00E50B41"/>
    <w:rsid w:val="00E50C02"/>
    <w:rsid w:val="00E50E6C"/>
    <w:rsid w:val="00E511D5"/>
    <w:rsid w:val="00E513BF"/>
    <w:rsid w:val="00E515AA"/>
    <w:rsid w:val="00E515B5"/>
    <w:rsid w:val="00E519A1"/>
    <w:rsid w:val="00E51A1F"/>
    <w:rsid w:val="00E51B84"/>
    <w:rsid w:val="00E51BAE"/>
    <w:rsid w:val="00E51BE0"/>
    <w:rsid w:val="00E51E17"/>
    <w:rsid w:val="00E51EC9"/>
    <w:rsid w:val="00E51FA0"/>
    <w:rsid w:val="00E52017"/>
    <w:rsid w:val="00E52021"/>
    <w:rsid w:val="00E521D4"/>
    <w:rsid w:val="00E5222B"/>
    <w:rsid w:val="00E5265E"/>
    <w:rsid w:val="00E52796"/>
    <w:rsid w:val="00E52AD0"/>
    <w:rsid w:val="00E52AD2"/>
    <w:rsid w:val="00E52B8D"/>
    <w:rsid w:val="00E52BD4"/>
    <w:rsid w:val="00E52C72"/>
    <w:rsid w:val="00E53291"/>
    <w:rsid w:val="00E53366"/>
    <w:rsid w:val="00E5338D"/>
    <w:rsid w:val="00E53395"/>
    <w:rsid w:val="00E534E8"/>
    <w:rsid w:val="00E5358C"/>
    <w:rsid w:val="00E53A4D"/>
    <w:rsid w:val="00E53D04"/>
    <w:rsid w:val="00E53D13"/>
    <w:rsid w:val="00E53EF5"/>
    <w:rsid w:val="00E540EF"/>
    <w:rsid w:val="00E54140"/>
    <w:rsid w:val="00E542C5"/>
    <w:rsid w:val="00E542F2"/>
    <w:rsid w:val="00E54332"/>
    <w:rsid w:val="00E54438"/>
    <w:rsid w:val="00E54541"/>
    <w:rsid w:val="00E54589"/>
    <w:rsid w:val="00E5459A"/>
    <w:rsid w:val="00E54685"/>
    <w:rsid w:val="00E546F5"/>
    <w:rsid w:val="00E547AD"/>
    <w:rsid w:val="00E54803"/>
    <w:rsid w:val="00E54963"/>
    <w:rsid w:val="00E54F91"/>
    <w:rsid w:val="00E54F99"/>
    <w:rsid w:val="00E54FCD"/>
    <w:rsid w:val="00E5515B"/>
    <w:rsid w:val="00E558D8"/>
    <w:rsid w:val="00E559D9"/>
    <w:rsid w:val="00E55A17"/>
    <w:rsid w:val="00E55BD4"/>
    <w:rsid w:val="00E55BE8"/>
    <w:rsid w:val="00E55C14"/>
    <w:rsid w:val="00E56295"/>
    <w:rsid w:val="00E56712"/>
    <w:rsid w:val="00E56822"/>
    <w:rsid w:val="00E568C1"/>
    <w:rsid w:val="00E56AEA"/>
    <w:rsid w:val="00E56AF9"/>
    <w:rsid w:val="00E5732C"/>
    <w:rsid w:val="00E5736F"/>
    <w:rsid w:val="00E57389"/>
    <w:rsid w:val="00E574E6"/>
    <w:rsid w:val="00E576D5"/>
    <w:rsid w:val="00E5772E"/>
    <w:rsid w:val="00E577CB"/>
    <w:rsid w:val="00E57AE5"/>
    <w:rsid w:val="00E57CAF"/>
    <w:rsid w:val="00E6009E"/>
    <w:rsid w:val="00E600D4"/>
    <w:rsid w:val="00E6015E"/>
    <w:rsid w:val="00E604C0"/>
    <w:rsid w:val="00E60608"/>
    <w:rsid w:val="00E6061F"/>
    <w:rsid w:val="00E60679"/>
    <w:rsid w:val="00E606D7"/>
    <w:rsid w:val="00E60708"/>
    <w:rsid w:val="00E6076C"/>
    <w:rsid w:val="00E608B5"/>
    <w:rsid w:val="00E609EA"/>
    <w:rsid w:val="00E60C52"/>
    <w:rsid w:val="00E60DCF"/>
    <w:rsid w:val="00E60DDB"/>
    <w:rsid w:val="00E60F64"/>
    <w:rsid w:val="00E61001"/>
    <w:rsid w:val="00E610CD"/>
    <w:rsid w:val="00E61105"/>
    <w:rsid w:val="00E61116"/>
    <w:rsid w:val="00E611C9"/>
    <w:rsid w:val="00E611D7"/>
    <w:rsid w:val="00E61650"/>
    <w:rsid w:val="00E61885"/>
    <w:rsid w:val="00E618DB"/>
    <w:rsid w:val="00E6190B"/>
    <w:rsid w:val="00E619AB"/>
    <w:rsid w:val="00E619F2"/>
    <w:rsid w:val="00E61C3C"/>
    <w:rsid w:val="00E61CA8"/>
    <w:rsid w:val="00E61D03"/>
    <w:rsid w:val="00E61F73"/>
    <w:rsid w:val="00E6208F"/>
    <w:rsid w:val="00E620D2"/>
    <w:rsid w:val="00E62160"/>
    <w:rsid w:val="00E62177"/>
    <w:rsid w:val="00E62225"/>
    <w:rsid w:val="00E6229A"/>
    <w:rsid w:val="00E623EB"/>
    <w:rsid w:val="00E62435"/>
    <w:rsid w:val="00E6257E"/>
    <w:rsid w:val="00E62779"/>
    <w:rsid w:val="00E62A21"/>
    <w:rsid w:val="00E62A4B"/>
    <w:rsid w:val="00E62BB3"/>
    <w:rsid w:val="00E62D91"/>
    <w:rsid w:val="00E62EDF"/>
    <w:rsid w:val="00E62F6C"/>
    <w:rsid w:val="00E63045"/>
    <w:rsid w:val="00E630B7"/>
    <w:rsid w:val="00E630C8"/>
    <w:rsid w:val="00E63136"/>
    <w:rsid w:val="00E636DD"/>
    <w:rsid w:val="00E63A80"/>
    <w:rsid w:val="00E63CC4"/>
    <w:rsid w:val="00E63FC6"/>
    <w:rsid w:val="00E64314"/>
    <w:rsid w:val="00E6451D"/>
    <w:rsid w:val="00E646C6"/>
    <w:rsid w:val="00E6483C"/>
    <w:rsid w:val="00E64A1D"/>
    <w:rsid w:val="00E64B58"/>
    <w:rsid w:val="00E64B61"/>
    <w:rsid w:val="00E64DE5"/>
    <w:rsid w:val="00E64E7C"/>
    <w:rsid w:val="00E6554F"/>
    <w:rsid w:val="00E65586"/>
    <w:rsid w:val="00E65631"/>
    <w:rsid w:val="00E6570A"/>
    <w:rsid w:val="00E65824"/>
    <w:rsid w:val="00E65CA1"/>
    <w:rsid w:val="00E65CEE"/>
    <w:rsid w:val="00E65E08"/>
    <w:rsid w:val="00E6608B"/>
    <w:rsid w:val="00E66196"/>
    <w:rsid w:val="00E66412"/>
    <w:rsid w:val="00E66797"/>
    <w:rsid w:val="00E6680C"/>
    <w:rsid w:val="00E6699F"/>
    <w:rsid w:val="00E66C43"/>
    <w:rsid w:val="00E66D84"/>
    <w:rsid w:val="00E66EA8"/>
    <w:rsid w:val="00E66EAB"/>
    <w:rsid w:val="00E66F31"/>
    <w:rsid w:val="00E66FE1"/>
    <w:rsid w:val="00E670B3"/>
    <w:rsid w:val="00E671EB"/>
    <w:rsid w:val="00E6738F"/>
    <w:rsid w:val="00E67546"/>
    <w:rsid w:val="00E677B1"/>
    <w:rsid w:val="00E67BCE"/>
    <w:rsid w:val="00E67E11"/>
    <w:rsid w:val="00E67EA8"/>
    <w:rsid w:val="00E67EB2"/>
    <w:rsid w:val="00E70000"/>
    <w:rsid w:val="00E7008C"/>
    <w:rsid w:val="00E7054A"/>
    <w:rsid w:val="00E707E9"/>
    <w:rsid w:val="00E708A6"/>
    <w:rsid w:val="00E708D9"/>
    <w:rsid w:val="00E70A2B"/>
    <w:rsid w:val="00E70BE5"/>
    <w:rsid w:val="00E70D47"/>
    <w:rsid w:val="00E70DA7"/>
    <w:rsid w:val="00E711AB"/>
    <w:rsid w:val="00E71607"/>
    <w:rsid w:val="00E71750"/>
    <w:rsid w:val="00E719C4"/>
    <w:rsid w:val="00E71B77"/>
    <w:rsid w:val="00E7216B"/>
    <w:rsid w:val="00E72186"/>
    <w:rsid w:val="00E723D1"/>
    <w:rsid w:val="00E72A61"/>
    <w:rsid w:val="00E72C47"/>
    <w:rsid w:val="00E72FFA"/>
    <w:rsid w:val="00E7330C"/>
    <w:rsid w:val="00E73354"/>
    <w:rsid w:val="00E734C4"/>
    <w:rsid w:val="00E736DF"/>
    <w:rsid w:val="00E7399A"/>
    <w:rsid w:val="00E73A1D"/>
    <w:rsid w:val="00E73C5D"/>
    <w:rsid w:val="00E73DDA"/>
    <w:rsid w:val="00E73F98"/>
    <w:rsid w:val="00E74814"/>
    <w:rsid w:val="00E74AE4"/>
    <w:rsid w:val="00E74B4A"/>
    <w:rsid w:val="00E74B68"/>
    <w:rsid w:val="00E74E62"/>
    <w:rsid w:val="00E751AD"/>
    <w:rsid w:val="00E75252"/>
    <w:rsid w:val="00E75597"/>
    <w:rsid w:val="00E7584F"/>
    <w:rsid w:val="00E75B57"/>
    <w:rsid w:val="00E75DBD"/>
    <w:rsid w:val="00E75E00"/>
    <w:rsid w:val="00E75E0D"/>
    <w:rsid w:val="00E75E92"/>
    <w:rsid w:val="00E76008"/>
    <w:rsid w:val="00E7633E"/>
    <w:rsid w:val="00E763BA"/>
    <w:rsid w:val="00E7645C"/>
    <w:rsid w:val="00E76653"/>
    <w:rsid w:val="00E76E94"/>
    <w:rsid w:val="00E76FAF"/>
    <w:rsid w:val="00E772AE"/>
    <w:rsid w:val="00E773FD"/>
    <w:rsid w:val="00E77449"/>
    <w:rsid w:val="00E774CB"/>
    <w:rsid w:val="00E77785"/>
    <w:rsid w:val="00E777BD"/>
    <w:rsid w:val="00E778FE"/>
    <w:rsid w:val="00E77D48"/>
    <w:rsid w:val="00E801CF"/>
    <w:rsid w:val="00E80620"/>
    <w:rsid w:val="00E8073A"/>
    <w:rsid w:val="00E80ABF"/>
    <w:rsid w:val="00E80CC0"/>
    <w:rsid w:val="00E80DD0"/>
    <w:rsid w:val="00E80E8A"/>
    <w:rsid w:val="00E80F6E"/>
    <w:rsid w:val="00E813CB"/>
    <w:rsid w:val="00E81448"/>
    <w:rsid w:val="00E8199A"/>
    <w:rsid w:val="00E81A85"/>
    <w:rsid w:val="00E81C52"/>
    <w:rsid w:val="00E81D37"/>
    <w:rsid w:val="00E81E57"/>
    <w:rsid w:val="00E8228A"/>
    <w:rsid w:val="00E825A4"/>
    <w:rsid w:val="00E8266E"/>
    <w:rsid w:val="00E82696"/>
    <w:rsid w:val="00E8297A"/>
    <w:rsid w:val="00E829C4"/>
    <w:rsid w:val="00E82BAD"/>
    <w:rsid w:val="00E82C90"/>
    <w:rsid w:val="00E82D93"/>
    <w:rsid w:val="00E82F1B"/>
    <w:rsid w:val="00E8329F"/>
    <w:rsid w:val="00E834EA"/>
    <w:rsid w:val="00E8359B"/>
    <w:rsid w:val="00E839D8"/>
    <w:rsid w:val="00E83A9D"/>
    <w:rsid w:val="00E83D17"/>
    <w:rsid w:val="00E83E2F"/>
    <w:rsid w:val="00E83ECE"/>
    <w:rsid w:val="00E83F6D"/>
    <w:rsid w:val="00E840B1"/>
    <w:rsid w:val="00E840BF"/>
    <w:rsid w:val="00E840D9"/>
    <w:rsid w:val="00E840EA"/>
    <w:rsid w:val="00E842EB"/>
    <w:rsid w:val="00E8457C"/>
    <w:rsid w:val="00E847EF"/>
    <w:rsid w:val="00E8483A"/>
    <w:rsid w:val="00E84A84"/>
    <w:rsid w:val="00E84B44"/>
    <w:rsid w:val="00E84B8E"/>
    <w:rsid w:val="00E84ED5"/>
    <w:rsid w:val="00E856C4"/>
    <w:rsid w:val="00E8588E"/>
    <w:rsid w:val="00E85C76"/>
    <w:rsid w:val="00E85D85"/>
    <w:rsid w:val="00E85F7F"/>
    <w:rsid w:val="00E85F9F"/>
    <w:rsid w:val="00E86126"/>
    <w:rsid w:val="00E8621A"/>
    <w:rsid w:val="00E86471"/>
    <w:rsid w:val="00E86504"/>
    <w:rsid w:val="00E865DD"/>
    <w:rsid w:val="00E868D4"/>
    <w:rsid w:val="00E869D2"/>
    <w:rsid w:val="00E86A2F"/>
    <w:rsid w:val="00E86A95"/>
    <w:rsid w:val="00E86E19"/>
    <w:rsid w:val="00E86E4B"/>
    <w:rsid w:val="00E87089"/>
    <w:rsid w:val="00E87100"/>
    <w:rsid w:val="00E8736E"/>
    <w:rsid w:val="00E87379"/>
    <w:rsid w:val="00E876CC"/>
    <w:rsid w:val="00E8773C"/>
    <w:rsid w:val="00E87A9B"/>
    <w:rsid w:val="00E87B5A"/>
    <w:rsid w:val="00E87C4C"/>
    <w:rsid w:val="00E87C70"/>
    <w:rsid w:val="00E87D39"/>
    <w:rsid w:val="00E87E56"/>
    <w:rsid w:val="00E87EDE"/>
    <w:rsid w:val="00E901D6"/>
    <w:rsid w:val="00E90218"/>
    <w:rsid w:val="00E90251"/>
    <w:rsid w:val="00E90293"/>
    <w:rsid w:val="00E909E4"/>
    <w:rsid w:val="00E90AAE"/>
    <w:rsid w:val="00E90B14"/>
    <w:rsid w:val="00E90C77"/>
    <w:rsid w:val="00E90F58"/>
    <w:rsid w:val="00E90F76"/>
    <w:rsid w:val="00E91012"/>
    <w:rsid w:val="00E91107"/>
    <w:rsid w:val="00E9129F"/>
    <w:rsid w:val="00E91375"/>
    <w:rsid w:val="00E91561"/>
    <w:rsid w:val="00E915D0"/>
    <w:rsid w:val="00E91A61"/>
    <w:rsid w:val="00E91AEB"/>
    <w:rsid w:val="00E91BB5"/>
    <w:rsid w:val="00E91C7E"/>
    <w:rsid w:val="00E91C8E"/>
    <w:rsid w:val="00E91E48"/>
    <w:rsid w:val="00E91F40"/>
    <w:rsid w:val="00E92132"/>
    <w:rsid w:val="00E92589"/>
    <w:rsid w:val="00E927BB"/>
    <w:rsid w:val="00E9280D"/>
    <w:rsid w:val="00E929D8"/>
    <w:rsid w:val="00E92A3E"/>
    <w:rsid w:val="00E92AFA"/>
    <w:rsid w:val="00E92B1C"/>
    <w:rsid w:val="00E92CC7"/>
    <w:rsid w:val="00E92DF1"/>
    <w:rsid w:val="00E92E02"/>
    <w:rsid w:val="00E92E62"/>
    <w:rsid w:val="00E92FA3"/>
    <w:rsid w:val="00E932C9"/>
    <w:rsid w:val="00E933E9"/>
    <w:rsid w:val="00E9372A"/>
    <w:rsid w:val="00E93887"/>
    <w:rsid w:val="00E9391B"/>
    <w:rsid w:val="00E93965"/>
    <w:rsid w:val="00E93A28"/>
    <w:rsid w:val="00E93A9A"/>
    <w:rsid w:val="00E93B87"/>
    <w:rsid w:val="00E94165"/>
    <w:rsid w:val="00E9440E"/>
    <w:rsid w:val="00E94545"/>
    <w:rsid w:val="00E9472A"/>
    <w:rsid w:val="00E948C4"/>
    <w:rsid w:val="00E94B21"/>
    <w:rsid w:val="00E94E77"/>
    <w:rsid w:val="00E94F33"/>
    <w:rsid w:val="00E95087"/>
    <w:rsid w:val="00E95517"/>
    <w:rsid w:val="00E95521"/>
    <w:rsid w:val="00E9562E"/>
    <w:rsid w:val="00E95C97"/>
    <w:rsid w:val="00E95CEB"/>
    <w:rsid w:val="00E95CED"/>
    <w:rsid w:val="00E95F6F"/>
    <w:rsid w:val="00E961BF"/>
    <w:rsid w:val="00E962CB"/>
    <w:rsid w:val="00E96503"/>
    <w:rsid w:val="00E965BB"/>
    <w:rsid w:val="00E96677"/>
    <w:rsid w:val="00E96895"/>
    <w:rsid w:val="00E968CE"/>
    <w:rsid w:val="00E96969"/>
    <w:rsid w:val="00E96AEB"/>
    <w:rsid w:val="00E96C64"/>
    <w:rsid w:val="00E96DE7"/>
    <w:rsid w:val="00E97162"/>
    <w:rsid w:val="00E97287"/>
    <w:rsid w:val="00E97542"/>
    <w:rsid w:val="00E975FB"/>
    <w:rsid w:val="00E978D7"/>
    <w:rsid w:val="00E97B54"/>
    <w:rsid w:val="00E97B73"/>
    <w:rsid w:val="00E97DC8"/>
    <w:rsid w:val="00EA011E"/>
    <w:rsid w:val="00EA0505"/>
    <w:rsid w:val="00EA0584"/>
    <w:rsid w:val="00EA08B4"/>
    <w:rsid w:val="00EA0B63"/>
    <w:rsid w:val="00EA0FB5"/>
    <w:rsid w:val="00EA10CB"/>
    <w:rsid w:val="00EA11C5"/>
    <w:rsid w:val="00EA11E4"/>
    <w:rsid w:val="00EA1247"/>
    <w:rsid w:val="00EA1343"/>
    <w:rsid w:val="00EA185D"/>
    <w:rsid w:val="00EA1890"/>
    <w:rsid w:val="00EA1937"/>
    <w:rsid w:val="00EA1A91"/>
    <w:rsid w:val="00EA1B55"/>
    <w:rsid w:val="00EA1E84"/>
    <w:rsid w:val="00EA1EE6"/>
    <w:rsid w:val="00EA20FE"/>
    <w:rsid w:val="00EA2155"/>
    <w:rsid w:val="00EA2190"/>
    <w:rsid w:val="00EA2201"/>
    <w:rsid w:val="00EA223D"/>
    <w:rsid w:val="00EA2589"/>
    <w:rsid w:val="00EA27E8"/>
    <w:rsid w:val="00EA281B"/>
    <w:rsid w:val="00EA2871"/>
    <w:rsid w:val="00EA2C7C"/>
    <w:rsid w:val="00EA2D2A"/>
    <w:rsid w:val="00EA2E22"/>
    <w:rsid w:val="00EA2E6C"/>
    <w:rsid w:val="00EA2FB8"/>
    <w:rsid w:val="00EA3017"/>
    <w:rsid w:val="00EA30D3"/>
    <w:rsid w:val="00EA350D"/>
    <w:rsid w:val="00EA355B"/>
    <w:rsid w:val="00EA36CD"/>
    <w:rsid w:val="00EA399B"/>
    <w:rsid w:val="00EA3AAD"/>
    <w:rsid w:val="00EA3B87"/>
    <w:rsid w:val="00EA3BFE"/>
    <w:rsid w:val="00EA4329"/>
    <w:rsid w:val="00EA436F"/>
    <w:rsid w:val="00EA4606"/>
    <w:rsid w:val="00EA475C"/>
    <w:rsid w:val="00EA4D50"/>
    <w:rsid w:val="00EA4E10"/>
    <w:rsid w:val="00EA4E5C"/>
    <w:rsid w:val="00EA5189"/>
    <w:rsid w:val="00EA522D"/>
    <w:rsid w:val="00EA5293"/>
    <w:rsid w:val="00EA539C"/>
    <w:rsid w:val="00EA56B6"/>
    <w:rsid w:val="00EA56F7"/>
    <w:rsid w:val="00EA56F9"/>
    <w:rsid w:val="00EA577B"/>
    <w:rsid w:val="00EA5957"/>
    <w:rsid w:val="00EA5A07"/>
    <w:rsid w:val="00EA5AB8"/>
    <w:rsid w:val="00EA5B5C"/>
    <w:rsid w:val="00EA5D37"/>
    <w:rsid w:val="00EA5D6D"/>
    <w:rsid w:val="00EA60B0"/>
    <w:rsid w:val="00EA6154"/>
    <w:rsid w:val="00EA63CE"/>
    <w:rsid w:val="00EA646E"/>
    <w:rsid w:val="00EA6499"/>
    <w:rsid w:val="00EA66C6"/>
    <w:rsid w:val="00EA6739"/>
    <w:rsid w:val="00EA6F90"/>
    <w:rsid w:val="00EA756A"/>
    <w:rsid w:val="00EB04A5"/>
    <w:rsid w:val="00EB05D1"/>
    <w:rsid w:val="00EB06FC"/>
    <w:rsid w:val="00EB08A5"/>
    <w:rsid w:val="00EB0909"/>
    <w:rsid w:val="00EB0B0F"/>
    <w:rsid w:val="00EB0B82"/>
    <w:rsid w:val="00EB0BC1"/>
    <w:rsid w:val="00EB0C4B"/>
    <w:rsid w:val="00EB0EB4"/>
    <w:rsid w:val="00EB0F6B"/>
    <w:rsid w:val="00EB0FCE"/>
    <w:rsid w:val="00EB11B0"/>
    <w:rsid w:val="00EB13EA"/>
    <w:rsid w:val="00EB140E"/>
    <w:rsid w:val="00EB1509"/>
    <w:rsid w:val="00EB157F"/>
    <w:rsid w:val="00EB16EE"/>
    <w:rsid w:val="00EB1944"/>
    <w:rsid w:val="00EB1A2D"/>
    <w:rsid w:val="00EB1B5F"/>
    <w:rsid w:val="00EB1DE6"/>
    <w:rsid w:val="00EB20F0"/>
    <w:rsid w:val="00EB2273"/>
    <w:rsid w:val="00EB2292"/>
    <w:rsid w:val="00EB22A1"/>
    <w:rsid w:val="00EB2345"/>
    <w:rsid w:val="00EB23A2"/>
    <w:rsid w:val="00EB2594"/>
    <w:rsid w:val="00EB2633"/>
    <w:rsid w:val="00EB269D"/>
    <w:rsid w:val="00EB27B0"/>
    <w:rsid w:val="00EB29F8"/>
    <w:rsid w:val="00EB2B33"/>
    <w:rsid w:val="00EB2BE6"/>
    <w:rsid w:val="00EB2CC2"/>
    <w:rsid w:val="00EB2E84"/>
    <w:rsid w:val="00EB2EA4"/>
    <w:rsid w:val="00EB3004"/>
    <w:rsid w:val="00EB3077"/>
    <w:rsid w:val="00EB3154"/>
    <w:rsid w:val="00EB3195"/>
    <w:rsid w:val="00EB31CD"/>
    <w:rsid w:val="00EB329B"/>
    <w:rsid w:val="00EB3316"/>
    <w:rsid w:val="00EB34E5"/>
    <w:rsid w:val="00EB3597"/>
    <w:rsid w:val="00EB3599"/>
    <w:rsid w:val="00EB35E3"/>
    <w:rsid w:val="00EB367D"/>
    <w:rsid w:val="00EB37C2"/>
    <w:rsid w:val="00EB3961"/>
    <w:rsid w:val="00EB3B4F"/>
    <w:rsid w:val="00EB3B87"/>
    <w:rsid w:val="00EB3CD7"/>
    <w:rsid w:val="00EB3F7E"/>
    <w:rsid w:val="00EB3F9F"/>
    <w:rsid w:val="00EB4282"/>
    <w:rsid w:val="00EB42D2"/>
    <w:rsid w:val="00EB4427"/>
    <w:rsid w:val="00EB44F2"/>
    <w:rsid w:val="00EB45D1"/>
    <w:rsid w:val="00EB4CAD"/>
    <w:rsid w:val="00EB4D6A"/>
    <w:rsid w:val="00EB4E35"/>
    <w:rsid w:val="00EB50B3"/>
    <w:rsid w:val="00EB5183"/>
    <w:rsid w:val="00EB54F8"/>
    <w:rsid w:val="00EB554C"/>
    <w:rsid w:val="00EB556E"/>
    <w:rsid w:val="00EB5844"/>
    <w:rsid w:val="00EB5AFA"/>
    <w:rsid w:val="00EB5C6C"/>
    <w:rsid w:val="00EB6270"/>
    <w:rsid w:val="00EB6699"/>
    <w:rsid w:val="00EB6747"/>
    <w:rsid w:val="00EB684A"/>
    <w:rsid w:val="00EB69AB"/>
    <w:rsid w:val="00EB6CD9"/>
    <w:rsid w:val="00EB6D0B"/>
    <w:rsid w:val="00EB6DED"/>
    <w:rsid w:val="00EB6F0E"/>
    <w:rsid w:val="00EB7072"/>
    <w:rsid w:val="00EB734A"/>
    <w:rsid w:val="00EB73D7"/>
    <w:rsid w:val="00EB770F"/>
    <w:rsid w:val="00EB7737"/>
    <w:rsid w:val="00EB7A1F"/>
    <w:rsid w:val="00EB7B4A"/>
    <w:rsid w:val="00EB7D5A"/>
    <w:rsid w:val="00EB7F42"/>
    <w:rsid w:val="00EC007F"/>
    <w:rsid w:val="00EC01F2"/>
    <w:rsid w:val="00EC02A6"/>
    <w:rsid w:val="00EC0406"/>
    <w:rsid w:val="00EC06BE"/>
    <w:rsid w:val="00EC0903"/>
    <w:rsid w:val="00EC09E3"/>
    <w:rsid w:val="00EC0A09"/>
    <w:rsid w:val="00EC0A19"/>
    <w:rsid w:val="00EC0A7E"/>
    <w:rsid w:val="00EC0BF6"/>
    <w:rsid w:val="00EC0C02"/>
    <w:rsid w:val="00EC0C38"/>
    <w:rsid w:val="00EC0CF4"/>
    <w:rsid w:val="00EC1100"/>
    <w:rsid w:val="00EC1241"/>
    <w:rsid w:val="00EC1351"/>
    <w:rsid w:val="00EC15ED"/>
    <w:rsid w:val="00EC17AC"/>
    <w:rsid w:val="00EC189F"/>
    <w:rsid w:val="00EC1A27"/>
    <w:rsid w:val="00EC1B9F"/>
    <w:rsid w:val="00EC1DD7"/>
    <w:rsid w:val="00EC1E2C"/>
    <w:rsid w:val="00EC202E"/>
    <w:rsid w:val="00EC2393"/>
    <w:rsid w:val="00EC23DC"/>
    <w:rsid w:val="00EC2552"/>
    <w:rsid w:val="00EC26E2"/>
    <w:rsid w:val="00EC2745"/>
    <w:rsid w:val="00EC29C4"/>
    <w:rsid w:val="00EC29D8"/>
    <w:rsid w:val="00EC2D24"/>
    <w:rsid w:val="00EC2DA5"/>
    <w:rsid w:val="00EC2F1A"/>
    <w:rsid w:val="00EC311D"/>
    <w:rsid w:val="00EC3221"/>
    <w:rsid w:val="00EC338E"/>
    <w:rsid w:val="00EC3444"/>
    <w:rsid w:val="00EC348E"/>
    <w:rsid w:val="00EC34E2"/>
    <w:rsid w:val="00EC35BD"/>
    <w:rsid w:val="00EC3696"/>
    <w:rsid w:val="00EC36AB"/>
    <w:rsid w:val="00EC3741"/>
    <w:rsid w:val="00EC3957"/>
    <w:rsid w:val="00EC3A5F"/>
    <w:rsid w:val="00EC3BF1"/>
    <w:rsid w:val="00EC3F88"/>
    <w:rsid w:val="00EC41F1"/>
    <w:rsid w:val="00EC432D"/>
    <w:rsid w:val="00EC447D"/>
    <w:rsid w:val="00EC44ED"/>
    <w:rsid w:val="00EC4532"/>
    <w:rsid w:val="00EC4B74"/>
    <w:rsid w:val="00EC4B76"/>
    <w:rsid w:val="00EC4B7F"/>
    <w:rsid w:val="00EC4CCA"/>
    <w:rsid w:val="00EC5135"/>
    <w:rsid w:val="00EC54F6"/>
    <w:rsid w:val="00EC566F"/>
    <w:rsid w:val="00EC5918"/>
    <w:rsid w:val="00EC5A0B"/>
    <w:rsid w:val="00EC5C04"/>
    <w:rsid w:val="00EC5CEA"/>
    <w:rsid w:val="00EC5CED"/>
    <w:rsid w:val="00EC5DDE"/>
    <w:rsid w:val="00EC5DF2"/>
    <w:rsid w:val="00EC5FBC"/>
    <w:rsid w:val="00EC60D9"/>
    <w:rsid w:val="00EC6215"/>
    <w:rsid w:val="00EC6243"/>
    <w:rsid w:val="00EC63D9"/>
    <w:rsid w:val="00EC65E1"/>
    <w:rsid w:val="00EC6697"/>
    <w:rsid w:val="00EC66AD"/>
    <w:rsid w:val="00EC6AEE"/>
    <w:rsid w:val="00EC6DCF"/>
    <w:rsid w:val="00EC6F44"/>
    <w:rsid w:val="00EC723D"/>
    <w:rsid w:val="00EC73E7"/>
    <w:rsid w:val="00EC7558"/>
    <w:rsid w:val="00EC7609"/>
    <w:rsid w:val="00EC7659"/>
    <w:rsid w:val="00EC77A5"/>
    <w:rsid w:val="00EC7857"/>
    <w:rsid w:val="00EC7A77"/>
    <w:rsid w:val="00ED0006"/>
    <w:rsid w:val="00ED0132"/>
    <w:rsid w:val="00ED02FC"/>
    <w:rsid w:val="00ED0504"/>
    <w:rsid w:val="00ED0558"/>
    <w:rsid w:val="00ED076B"/>
    <w:rsid w:val="00ED0B4E"/>
    <w:rsid w:val="00ED0BA0"/>
    <w:rsid w:val="00ED0DE8"/>
    <w:rsid w:val="00ED0EAE"/>
    <w:rsid w:val="00ED13F6"/>
    <w:rsid w:val="00ED186F"/>
    <w:rsid w:val="00ED1885"/>
    <w:rsid w:val="00ED18EB"/>
    <w:rsid w:val="00ED196C"/>
    <w:rsid w:val="00ED1B94"/>
    <w:rsid w:val="00ED1CCE"/>
    <w:rsid w:val="00ED1E1B"/>
    <w:rsid w:val="00ED1FBA"/>
    <w:rsid w:val="00ED22C2"/>
    <w:rsid w:val="00ED245D"/>
    <w:rsid w:val="00ED252F"/>
    <w:rsid w:val="00ED2530"/>
    <w:rsid w:val="00ED28B0"/>
    <w:rsid w:val="00ED28DF"/>
    <w:rsid w:val="00ED2AA6"/>
    <w:rsid w:val="00ED2CB3"/>
    <w:rsid w:val="00ED2CCD"/>
    <w:rsid w:val="00ED30C6"/>
    <w:rsid w:val="00ED353F"/>
    <w:rsid w:val="00ED357B"/>
    <w:rsid w:val="00ED35F7"/>
    <w:rsid w:val="00ED3849"/>
    <w:rsid w:val="00ED3DAB"/>
    <w:rsid w:val="00ED3E63"/>
    <w:rsid w:val="00ED403F"/>
    <w:rsid w:val="00ED4113"/>
    <w:rsid w:val="00ED418A"/>
    <w:rsid w:val="00ED45E5"/>
    <w:rsid w:val="00ED46DF"/>
    <w:rsid w:val="00ED47C9"/>
    <w:rsid w:val="00ED49B5"/>
    <w:rsid w:val="00ED4A5C"/>
    <w:rsid w:val="00ED4BC6"/>
    <w:rsid w:val="00ED4CDB"/>
    <w:rsid w:val="00ED4FF3"/>
    <w:rsid w:val="00ED5262"/>
    <w:rsid w:val="00ED526F"/>
    <w:rsid w:val="00ED5458"/>
    <w:rsid w:val="00ED5814"/>
    <w:rsid w:val="00ED59A0"/>
    <w:rsid w:val="00ED5A0F"/>
    <w:rsid w:val="00ED5C98"/>
    <w:rsid w:val="00ED5D28"/>
    <w:rsid w:val="00ED625A"/>
    <w:rsid w:val="00ED634A"/>
    <w:rsid w:val="00ED63CD"/>
    <w:rsid w:val="00ED63F1"/>
    <w:rsid w:val="00ED66A5"/>
    <w:rsid w:val="00ED68A6"/>
    <w:rsid w:val="00ED6BED"/>
    <w:rsid w:val="00ED6F0F"/>
    <w:rsid w:val="00ED7354"/>
    <w:rsid w:val="00ED7546"/>
    <w:rsid w:val="00ED764E"/>
    <w:rsid w:val="00ED76CF"/>
    <w:rsid w:val="00ED7721"/>
    <w:rsid w:val="00ED7F99"/>
    <w:rsid w:val="00EE02A5"/>
    <w:rsid w:val="00EE064D"/>
    <w:rsid w:val="00EE07F4"/>
    <w:rsid w:val="00EE09B9"/>
    <w:rsid w:val="00EE0A69"/>
    <w:rsid w:val="00EE0C42"/>
    <w:rsid w:val="00EE0C8F"/>
    <w:rsid w:val="00EE0EA0"/>
    <w:rsid w:val="00EE0EC3"/>
    <w:rsid w:val="00EE102C"/>
    <w:rsid w:val="00EE10CF"/>
    <w:rsid w:val="00EE1268"/>
    <w:rsid w:val="00EE1547"/>
    <w:rsid w:val="00EE1572"/>
    <w:rsid w:val="00EE1603"/>
    <w:rsid w:val="00EE1732"/>
    <w:rsid w:val="00EE19B6"/>
    <w:rsid w:val="00EE1B28"/>
    <w:rsid w:val="00EE1C99"/>
    <w:rsid w:val="00EE1EA3"/>
    <w:rsid w:val="00EE1EFB"/>
    <w:rsid w:val="00EE241D"/>
    <w:rsid w:val="00EE2439"/>
    <w:rsid w:val="00EE243E"/>
    <w:rsid w:val="00EE24E1"/>
    <w:rsid w:val="00EE2D07"/>
    <w:rsid w:val="00EE2D30"/>
    <w:rsid w:val="00EE2D49"/>
    <w:rsid w:val="00EE2F30"/>
    <w:rsid w:val="00EE3047"/>
    <w:rsid w:val="00EE30AE"/>
    <w:rsid w:val="00EE3BCB"/>
    <w:rsid w:val="00EE3CA0"/>
    <w:rsid w:val="00EE3DFD"/>
    <w:rsid w:val="00EE4430"/>
    <w:rsid w:val="00EE4457"/>
    <w:rsid w:val="00EE4470"/>
    <w:rsid w:val="00EE46C2"/>
    <w:rsid w:val="00EE482B"/>
    <w:rsid w:val="00EE4876"/>
    <w:rsid w:val="00EE49B9"/>
    <w:rsid w:val="00EE4F22"/>
    <w:rsid w:val="00EE513A"/>
    <w:rsid w:val="00EE5362"/>
    <w:rsid w:val="00EE546A"/>
    <w:rsid w:val="00EE54CD"/>
    <w:rsid w:val="00EE5699"/>
    <w:rsid w:val="00EE5917"/>
    <w:rsid w:val="00EE5A68"/>
    <w:rsid w:val="00EE5B70"/>
    <w:rsid w:val="00EE5C77"/>
    <w:rsid w:val="00EE607A"/>
    <w:rsid w:val="00EE6568"/>
    <w:rsid w:val="00EE6577"/>
    <w:rsid w:val="00EE6AE1"/>
    <w:rsid w:val="00EE6B0A"/>
    <w:rsid w:val="00EE6BAD"/>
    <w:rsid w:val="00EE6CF8"/>
    <w:rsid w:val="00EE6D8D"/>
    <w:rsid w:val="00EE6E97"/>
    <w:rsid w:val="00EE6EF9"/>
    <w:rsid w:val="00EE70FD"/>
    <w:rsid w:val="00EE7295"/>
    <w:rsid w:val="00EE738C"/>
    <w:rsid w:val="00EE740A"/>
    <w:rsid w:val="00EE753B"/>
    <w:rsid w:val="00EE78E2"/>
    <w:rsid w:val="00EE7BDB"/>
    <w:rsid w:val="00EE7D01"/>
    <w:rsid w:val="00EE7D31"/>
    <w:rsid w:val="00EF030E"/>
    <w:rsid w:val="00EF031F"/>
    <w:rsid w:val="00EF05CC"/>
    <w:rsid w:val="00EF0935"/>
    <w:rsid w:val="00EF0A4F"/>
    <w:rsid w:val="00EF0A50"/>
    <w:rsid w:val="00EF0B2F"/>
    <w:rsid w:val="00EF0D1B"/>
    <w:rsid w:val="00EF1073"/>
    <w:rsid w:val="00EF107F"/>
    <w:rsid w:val="00EF1174"/>
    <w:rsid w:val="00EF1244"/>
    <w:rsid w:val="00EF12F8"/>
    <w:rsid w:val="00EF13D1"/>
    <w:rsid w:val="00EF14D3"/>
    <w:rsid w:val="00EF17CD"/>
    <w:rsid w:val="00EF1A00"/>
    <w:rsid w:val="00EF1A81"/>
    <w:rsid w:val="00EF1B42"/>
    <w:rsid w:val="00EF1C67"/>
    <w:rsid w:val="00EF1FC5"/>
    <w:rsid w:val="00EF2787"/>
    <w:rsid w:val="00EF27C4"/>
    <w:rsid w:val="00EF2B32"/>
    <w:rsid w:val="00EF2E47"/>
    <w:rsid w:val="00EF2EDE"/>
    <w:rsid w:val="00EF2F94"/>
    <w:rsid w:val="00EF304A"/>
    <w:rsid w:val="00EF3287"/>
    <w:rsid w:val="00EF32E2"/>
    <w:rsid w:val="00EF3434"/>
    <w:rsid w:val="00EF3454"/>
    <w:rsid w:val="00EF3856"/>
    <w:rsid w:val="00EF3B4C"/>
    <w:rsid w:val="00EF3BFE"/>
    <w:rsid w:val="00EF3E77"/>
    <w:rsid w:val="00EF3F01"/>
    <w:rsid w:val="00EF3F6D"/>
    <w:rsid w:val="00EF3FA4"/>
    <w:rsid w:val="00EF4184"/>
    <w:rsid w:val="00EF42C0"/>
    <w:rsid w:val="00EF444B"/>
    <w:rsid w:val="00EF4668"/>
    <w:rsid w:val="00EF489A"/>
    <w:rsid w:val="00EF4AE1"/>
    <w:rsid w:val="00EF4B22"/>
    <w:rsid w:val="00EF4C16"/>
    <w:rsid w:val="00EF4DB1"/>
    <w:rsid w:val="00EF4FA5"/>
    <w:rsid w:val="00EF53E9"/>
    <w:rsid w:val="00EF553B"/>
    <w:rsid w:val="00EF559C"/>
    <w:rsid w:val="00EF598A"/>
    <w:rsid w:val="00EF5BD9"/>
    <w:rsid w:val="00EF5D6F"/>
    <w:rsid w:val="00EF5E6B"/>
    <w:rsid w:val="00EF5F25"/>
    <w:rsid w:val="00EF5F9D"/>
    <w:rsid w:val="00EF624E"/>
    <w:rsid w:val="00EF646C"/>
    <w:rsid w:val="00EF64DF"/>
    <w:rsid w:val="00EF6506"/>
    <w:rsid w:val="00EF65F2"/>
    <w:rsid w:val="00EF751B"/>
    <w:rsid w:val="00EF76C7"/>
    <w:rsid w:val="00EF7834"/>
    <w:rsid w:val="00EF7B44"/>
    <w:rsid w:val="00EF7C67"/>
    <w:rsid w:val="00EF7EC9"/>
    <w:rsid w:val="00F0000A"/>
    <w:rsid w:val="00F000B1"/>
    <w:rsid w:val="00F001C8"/>
    <w:rsid w:val="00F00437"/>
    <w:rsid w:val="00F00A6C"/>
    <w:rsid w:val="00F00B1A"/>
    <w:rsid w:val="00F01227"/>
    <w:rsid w:val="00F0122C"/>
    <w:rsid w:val="00F01747"/>
    <w:rsid w:val="00F0182F"/>
    <w:rsid w:val="00F0190D"/>
    <w:rsid w:val="00F01A1C"/>
    <w:rsid w:val="00F01D0B"/>
    <w:rsid w:val="00F01F5C"/>
    <w:rsid w:val="00F0204B"/>
    <w:rsid w:val="00F020E1"/>
    <w:rsid w:val="00F020E3"/>
    <w:rsid w:val="00F02251"/>
    <w:rsid w:val="00F02405"/>
    <w:rsid w:val="00F0255C"/>
    <w:rsid w:val="00F027D2"/>
    <w:rsid w:val="00F027EA"/>
    <w:rsid w:val="00F02802"/>
    <w:rsid w:val="00F02E1D"/>
    <w:rsid w:val="00F02F16"/>
    <w:rsid w:val="00F0308A"/>
    <w:rsid w:val="00F0319A"/>
    <w:rsid w:val="00F031A8"/>
    <w:rsid w:val="00F031C3"/>
    <w:rsid w:val="00F031DB"/>
    <w:rsid w:val="00F03284"/>
    <w:rsid w:val="00F034C0"/>
    <w:rsid w:val="00F035DA"/>
    <w:rsid w:val="00F036A3"/>
    <w:rsid w:val="00F0373F"/>
    <w:rsid w:val="00F0382D"/>
    <w:rsid w:val="00F03953"/>
    <w:rsid w:val="00F03AD6"/>
    <w:rsid w:val="00F03B62"/>
    <w:rsid w:val="00F03BFA"/>
    <w:rsid w:val="00F03EBB"/>
    <w:rsid w:val="00F03F31"/>
    <w:rsid w:val="00F03F36"/>
    <w:rsid w:val="00F03F5E"/>
    <w:rsid w:val="00F04116"/>
    <w:rsid w:val="00F04594"/>
    <w:rsid w:val="00F0469D"/>
    <w:rsid w:val="00F04A9D"/>
    <w:rsid w:val="00F04BE1"/>
    <w:rsid w:val="00F04C51"/>
    <w:rsid w:val="00F04C5B"/>
    <w:rsid w:val="00F04C73"/>
    <w:rsid w:val="00F04D5C"/>
    <w:rsid w:val="00F05028"/>
    <w:rsid w:val="00F053B8"/>
    <w:rsid w:val="00F05415"/>
    <w:rsid w:val="00F05577"/>
    <w:rsid w:val="00F05641"/>
    <w:rsid w:val="00F057B1"/>
    <w:rsid w:val="00F057E4"/>
    <w:rsid w:val="00F057F9"/>
    <w:rsid w:val="00F057FE"/>
    <w:rsid w:val="00F0596E"/>
    <w:rsid w:val="00F0598C"/>
    <w:rsid w:val="00F059D1"/>
    <w:rsid w:val="00F05B45"/>
    <w:rsid w:val="00F05CED"/>
    <w:rsid w:val="00F05EE0"/>
    <w:rsid w:val="00F0616F"/>
    <w:rsid w:val="00F061EC"/>
    <w:rsid w:val="00F065DD"/>
    <w:rsid w:val="00F06766"/>
    <w:rsid w:val="00F067AB"/>
    <w:rsid w:val="00F067BA"/>
    <w:rsid w:val="00F0685E"/>
    <w:rsid w:val="00F06F24"/>
    <w:rsid w:val="00F06FAD"/>
    <w:rsid w:val="00F07349"/>
    <w:rsid w:val="00F073CD"/>
    <w:rsid w:val="00F07C25"/>
    <w:rsid w:val="00F07D81"/>
    <w:rsid w:val="00F07F95"/>
    <w:rsid w:val="00F07FF8"/>
    <w:rsid w:val="00F106B3"/>
    <w:rsid w:val="00F1073D"/>
    <w:rsid w:val="00F1089B"/>
    <w:rsid w:val="00F1093D"/>
    <w:rsid w:val="00F10AF6"/>
    <w:rsid w:val="00F10D10"/>
    <w:rsid w:val="00F10DA9"/>
    <w:rsid w:val="00F110B3"/>
    <w:rsid w:val="00F111CD"/>
    <w:rsid w:val="00F113C0"/>
    <w:rsid w:val="00F11501"/>
    <w:rsid w:val="00F1164B"/>
    <w:rsid w:val="00F1171C"/>
    <w:rsid w:val="00F11771"/>
    <w:rsid w:val="00F119D8"/>
    <w:rsid w:val="00F11E6C"/>
    <w:rsid w:val="00F11F2C"/>
    <w:rsid w:val="00F11F80"/>
    <w:rsid w:val="00F1212D"/>
    <w:rsid w:val="00F12201"/>
    <w:rsid w:val="00F12303"/>
    <w:rsid w:val="00F1233E"/>
    <w:rsid w:val="00F12537"/>
    <w:rsid w:val="00F12855"/>
    <w:rsid w:val="00F12E95"/>
    <w:rsid w:val="00F13016"/>
    <w:rsid w:val="00F130C4"/>
    <w:rsid w:val="00F1324F"/>
    <w:rsid w:val="00F136FA"/>
    <w:rsid w:val="00F1374D"/>
    <w:rsid w:val="00F13787"/>
    <w:rsid w:val="00F137FA"/>
    <w:rsid w:val="00F13869"/>
    <w:rsid w:val="00F138BE"/>
    <w:rsid w:val="00F13F3D"/>
    <w:rsid w:val="00F13FE6"/>
    <w:rsid w:val="00F14169"/>
    <w:rsid w:val="00F141F4"/>
    <w:rsid w:val="00F14203"/>
    <w:rsid w:val="00F14219"/>
    <w:rsid w:val="00F1434D"/>
    <w:rsid w:val="00F143F5"/>
    <w:rsid w:val="00F14617"/>
    <w:rsid w:val="00F14830"/>
    <w:rsid w:val="00F148DC"/>
    <w:rsid w:val="00F14A29"/>
    <w:rsid w:val="00F14C29"/>
    <w:rsid w:val="00F150E2"/>
    <w:rsid w:val="00F15139"/>
    <w:rsid w:val="00F15178"/>
    <w:rsid w:val="00F153F9"/>
    <w:rsid w:val="00F15475"/>
    <w:rsid w:val="00F154A7"/>
    <w:rsid w:val="00F15581"/>
    <w:rsid w:val="00F157DD"/>
    <w:rsid w:val="00F1584B"/>
    <w:rsid w:val="00F15A22"/>
    <w:rsid w:val="00F15BB9"/>
    <w:rsid w:val="00F15BFC"/>
    <w:rsid w:val="00F15C4A"/>
    <w:rsid w:val="00F15D04"/>
    <w:rsid w:val="00F15F3F"/>
    <w:rsid w:val="00F16338"/>
    <w:rsid w:val="00F16372"/>
    <w:rsid w:val="00F16764"/>
    <w:rsid w:val="00F168D7"/>
    <w:rsid w:val="00F16A10"/>
    <w:rsid w:val="00F16A7F"/>
    <w:rsid w:val="00F16BF7"/>
    <w:rsid w:val="00F1704D"/>
    <w:rsid w:val="00F170FE"/>
    <w:rsid w:val="00F1737C"/>
    <w:rsid w:val="00F176BE"/>
    <w:rsid w:val="00F176DE"/>
    <w:rsid w:val="00F17989"/>
    <w:rsid w:val="00F208CF"/>
    <w:rsid w:val="00F20C63"/>
    <w:rsid w:val="00F20FDA"/>
    <w:rsid w:val="00F21053"/>
    <w:rsid w:val="00F21318"/>
    <w:rsid w:val="00F2161A"/>
    <w:rsid w:val="00F21677"/>
    <w:rsid w:val="00F21D20"/>
    <w:rsid w:val="00F21DE5"/>
    <w:rsid w:val="00F21E57"/>
    <w:rsid w:val="00F221E3"/>
    <w:rsid w:val="00F222CB"/>
    <w:rsid w:val="00F2265D"/>
    <w:rsid w:val="00F227A7"/>
    <w:rsid w:val="00F22911"/>
    <w:rsid w:val="00F229C5"/>
    <w:rsid w:val="00F22EF4"/>
    <w:rsid w:val="00F22FFE"/>
    <w:rsid w:val="00F230CF"/>
    <w:rsid w:val="00F231F5"/>
    <w:rsid w:val="00F23371"/>
    <w:rsid w:val="00F234BF"/>
    <w:rsid w:val="00F234D2"/>
    <w:rsid w:val="00F2370F"/>
    <w:rsid w:val="00F237A3"/>
    <w:rsid w:val="00F2380B"/>
    <w:rsid w:val="00F2386D"/>
    <w:rsid w:val="00F23A82"/>
    <w:rsid w:val="00F23C15"/>
    <w:rsid w:val="00F23C79"/>
    <w:rsid w:val="00F23D82"/>
    <w:rsid w:val="00F23E05"/>
    <w:rsid w:val="00F23E9A"/>
    <w:rsid w:val="00F23EFD"/>
    <w:rsid w:val="00F23F8D"/>
    <w:rsid w:val="00F24036"/>
    <w:rsid w:val="00F24053"/>
    <w:rsid w:val="00F24189"/>
    <w:rsid w:val="00F2431B"/>
    <w:rsid w:val="00F24574"/>
    <w:rsid w:val="00F24593"/>
    <w:rsid w:val="00F24694"/>
    <w:rsid w:val="00F248C8"/>
    <w:rsid w:val="00F248F0"/>
    <w:rsid w:val="00F2499D"/>
    <w:rsid w:val="00F24BF0"/>
    <w:rsid w:val="00F24E3D"/>
    <w:rsid w:val="00F24EAD"/>
    <w:rsid w:val="00F250E5"/>
    <w:rsid w:val="00F2529C"/>
    <w:rsid w:val="00F25421"/>
    <w:rsid w:val="00F258FB"/>
    <w:rsid w:val="00F25D1D"/>
    <w:rsid w:val="00F25E83"/>
    <w:rsid w:val="00F25E8B"/>
    <w:rsid w:val="00F25F12"/>
    <w:rsid w:val="00F25F23"/>
    <w:rsid w:val="00F26154"/>
    <w:rsid w:val="00F26273"/>
    <w:rsid w:val="00F26755"/>
    <w:rsid w:val="00F267A8"/>
    <w:rsid w:val="00F2694F"/>
    <w:rsid w:val="00F2699A"/>
    <w:rsid w:val="00F26B23"/>
    <w:rsid w:val="00F26BCB"/>
    <w:rsid w:val="00F26D4B"/>
    <w:rsid w:val="00F273F8"/>
    <w:rsid w:val="00F27456"/>
    <w:rsid w:val="00F2770E"/>
    <w:rsid w:val="00F27918"/>
    <w:rsid w:val="00F27A63"/>
    <w:rsid w:val="00F27C29"/>
    <w:rsid w:val="00F30024"/>
    <w:rsid w:val="00F301CF"/>
    <w:rsid w:val="00F301D5"/>
    <w:rsid w:val="00F30335"/>
    <w:rsid w:val="00F3051B"/>
    <w:rsid w:val="00F3054A"/>
    <w:rsid w:val="00F3060D"/>
    <w:rsid w:val="00F3083D"/>
    <w:rsid w:val="00F3090D"/>
    <w:rsid w:val="00F30C5E"/>
    <w:rsid w:val="00F30C99"/>
    <w:rsid w:val="00F30E1C"/>
    <w:rsid w:val="00F31028"/>
    <w:rsid w:val="00F3109A"/>
    <w:rsid w:val="00F3162D"/>
    <w:rsid w:val="00F31637"/>
    <w:rsid w:val="00F3172E"/>
    <w:rsid w:val="00F3174D"/>
    <w:rsid w:val="00F31A75"/>
    <w:rsid w:val="00F31B48"/>
    <w:rsid w:val="00F31CB2"/>
    <w:rsid w:val="00F31E22"/>
    <w:rsid w:val="00F32038"/>
    <w:rsid w:val="00F3221A"/>
    <w:rsid w:val="00F3274D"/>
    <w:rsid w:val="00F328AD"/>
    <w:rsid w:val="00F3299B"/>
    <w:rsid w:val="00F329D6"/>
    <w:rsid w:val="00F32A0F"/>
    <w:rsid w:val="00F32C2E"/>
    <w:rsid w:val="00F32C66"/>
    <w:rsid w:val="00F331FD"/>
    <w:rsid w:val="00F332DB"/>
    <w:rsid w:val="00F33440"/>
    <w:rsid w:val="00F3349F"/>
    <w:rsid w:val="00F33598"/>
    <w:rsid w:val="00F3364B"/>
    <w:rsid w:val="00F336A2"/>
    <w:rsid w:val="00F336B5"/>
    <w:rsid w:val="00F33743"/>
    <w:rsid w:val="00F33826"/>
    <w:rsid w:val="00F33C0E"/>
    <w:rsid w:val="00F33D55"/>
    <w:rsid w:val="00F33DD5"/>
    <w:rsid w:val="00F33E5C"/>
    <w:rsid w:val="00F33E70"/>
    <w:rsid w:val="00F33FAC"/>
    <w:rsid w:val="00F33FC4"/>
    <w:rsid w:val="00F33FCB"/>
    <w:rsid w:val="00F341DB"/>
    <w:rsid w:val="00F34223"/>
    <w:rsid w:val="00F3468A"/>
    <w:rsid w:val="00F3468D"/>
    <w:rsid w:val="00F34696"/>
    <w:rsid w:val="00F346B8"/>
    <w:rsid w:val="00F349C0"/>
    <w:rsid w:val="00F34A42"/>
    <w:rsid w:val="00F34AF4"/>
    <w:rsid w:val="00F34D11"/>
    <w:rsid w:val="00F34D99"/>
    <w:rsid w:val="00F34EFE"/>
    <w:rsid w:val="00F350EF"/>
    <w:rsid w:val="00F3516D"/>
    <w:rsid w:val="00F35260"/>
    <w:rsid w:val="00F3530E"/>
    <w:rsid w:val="00F354B4"/>
    <w:rsid w:val="00F356BB"/>
    <w:rsid w:val="00F356F3"/>
    <w:rsid w:val="00F35708"/>
    <w:rsid w:val="00F35DB9"/>
    <w:rsid w:val="00F35F87"/>
    <w:rsid w:val="00F361B3"/>
    <w:rsid w:val="00F364E9"/>
    <w:rsid w:val="00F364EA"/>
    <w:rsid w:val="00F367C9"/>
    <w:rsid w:val="00F3699A"/>
    <w:rsid w:val="00F36B4E"/>
    <w:rsid w:val="00F36D0D"/>
    <w:rsid w:val="00F36DA6"/>
    <w:rsid w:val="00F36DE5"/>
    <w:rsid w:val="00F370C1"/>
    <w:rsid w:val="00F37122"/>
    <w:rsid w:val="00F37315"/>
    <w:rsid w:val="00F37546"/>
    <w:rsid w:val="00F3755B"/>
    <w:rsid w:val="00F3788F"/>
    <w:rsid w:val="00F40032"/>
    <w:rsid w:val="00F4005F"/>
    <w:rsid w:val="00F40074"/>
    <w:rsid w:val="00F4015A"/>
    <w:rsid w:val="00F40176"/>
    <w:rsid w:val="00F403F0"/>
    <w:rsid w:val="00F4046D"/>
    <w:rsid w:val="00F4078D"/>
    <w:rsid w:val="00F407A8"/>
    <w:rsid w:val="00F407FE"/>
    <w:rsid w:val="00F408D6"/>
    <w:rsid w:val="00F40F61"/>
    <w:rsid w:val="00F40F6B"/>
    <w:rsid w:val="00F41051"/>
    <w:rsid w:val="00F413E8"/>
    <w:rsid w:val="00F41449"/>
    <w:rsid w:val="00F41517"/>
    <w:rsid w:val="00F417BA"/>
    <w:rsid w:val="00F417D8"/>
    <w:rsid w:val="00F417E1"/>
    <w:rsid w:val="00F4185C"/>
    <w:rsid w:val="00F4188C"/>
    <w:rsid w:val="00F41B16"/>
    <w:rsid w:val="00F4206E"/>
    <w:rsid w:val="00F42193"/>
    <w:rsid w:val="00F425C0"/>
    <w:rsid w:val="00F42996"/>
    <w:rsid w:val="00F42C93"/>
    <w:rsid w:val="00F42CE8"/>
    <w:rsid w:val="00F42D84"/>
    <w:rsid w:val="00F42E46"/>
    <w:rsid w:val="00F42ED0"/>
    <w:rsid w:val="00F42F2E"/>
    <w:rsid w:val="00F43165"/>
    <w:rsid w:val="00F4339C"/>
    <w:rsid w:val="00F437F2"/>
    <w:rsid w:val="00F43841"/>
    <w:rsid w:val="00F43DE4"/>
    <w:rsid w:val="00F43F91"/>
    <w:rsid w:val="00F44427"/>
    <w:rsid w:val="00F4457F"/>
    <w:rsid w:val="00F447CC"/>
    <w:rsid w:val="00F4491D"/>
    <w:rsid w:val="00F44A42"/>
    <w:rsid w:val="00F44CFF"/>
    <w:rsid w:val="00F44E0E"/>
    <w:rsid w:val="00F44F26"/>
    <w:rsid w:val="00F44FB2"/>
    <w:rsid w:val="00F45006"/>
    <w:rsid w:val="00F45083"/>
    <w:rsid w:val="00F451F0"/>
    <w:rsid w:val="00F4522E"/>
    <w:rsid w:val="00F452E5"/>
    <w:rsid w:val="00F456D7"/>
    <w:rsid w:val="00F457CB"/>
    <w:rsid w:val="00F45884"/>
    <w:rsid w:val="00F46005"/>
    <w:rsid w:val="00F46199"/>
    <w:rsid w:val="00F4622A"/>
    <w:rsid w:val="00F46301"/>
    <w:rsid w:val="00F4678B"/>
    <w:rsid w:val="00F46888"/>
    <w:rsid w:val="00F46C8A"/>
    <w:rsid w:val="00F46DAF"/>
    <w:rsid w:val="00F470AF"/>
    <w:rsid w:val="00F470B8"/>
    <w:rsid w:val="00F470E7"/>
    <w:rsid w:val="00F471F2"/>
    <w:rsid w:val="00F4725C"/>
    <w:rsid w:val="00F47272"/>
    <w:rsid w:val="00F47710"/>
    <w:rsid w:val="00F47829"/>
    <w:rsid w:val="00F4787E"/>
    <w:rsid w:val="00F478B4"/>
    <w:rsid w:val="00F478C8"/>
    <w:rsid w:val="00F4797B"/>
    <w:rsid w:val="00F47B88"/>
    <w:rsid w:val="00F501AD"/>
    <w:rsid w:val="00F50295"/>
    <w:rsid w:val="00F5045F"/>
    <w:rsid w:val="00F504C3"/>
    <w:rsid w:val="00F506F2"/>
    <w:rsid w:val="00F508C6"/>
    <w:rsid w:val="00F50C0E"/>
    <w:rsid w:val="00F50EBF"/>
    <w:rsid w:val="00F51080"/>
    <w:rsid w:val="00F5154F"/>
    <w:rsid w:val="00F5164D"/>
    <w:rsid w:val="00F51D82"/>
    <w:rsid w:val="00F52422"/>
    <w:rsid w:val="00F526FC"/>
    <w:rsid w:val="00F52736"/>
    <w:rsid w:val="00F52818"/>
    <w:rsid w:val="00F528C2"/>
    <w:rsid w:val="00F5290B"/>
    <w:rsid w:val="00F52B4B"/>
    <w:rsid w:val="00F52BCF"/>
    <w:rsid w:val="00F52BD7"/>
    <w:rsid w:val="00F52C7A"/>
    <w:rsid w:val="00F52C83"/>
    <w:rsid w:val="00F52D67"/>
    <w:rsid w:val="00F52E8F"/>
    <w:rsid w:val="00F53407"/>
    <w:rsid w:val="00F534F0"/>
    <w:rsid w:val="00F5385A"/>
    <w:rsid w:val="00F5389A"/>
    <w:rsid w:val="00F53B96"/>
    <w:rsid w:val="00F53E8F"/>
    <w:rsid w:val="00F5472B"/>
    <w:rsid w:val="00F54866"/>
    <w:rsid w:val="00F54869"/>
    <w:rsid w:val="00F54898"/>
    <w:rsid w:val="00F5496A"/>
    <w:rsid w:val="00F54972"/>
    <w:rsid w:val="00F55340"/>
    <w:rsid w:val="00F55397"/>
    <w:rsid w:val="00F55739"/>
    <w:rsid w:val="00F5573C"/>
    <w:rsid w:val="00F5575E"/>
    <w:rsid w:val="00F55CD9"/>
    <w:rsid w:val="00F55D69"/>
    <w:rsid w:val="00F5606A"/>
    <w:rsid w:val="00F5615C"/>
    <w:rsid w:val="00F5616D"/>
    <w:rsid w:val="00F5628B"/>
    <w:rsid w:val="00F56343"/>
    <w:rsid w:val="00F563A1"/>
    <w:rsid w:val="00F563AD"/>
    <w:rsid w:val="00F563DD"/>
    <w:rsid w:val="00F566D7"/>
    <w:rsid w:val="00F5684C"/>
    <w:rsid w:val="00F56A0A"/>
    <w:rsid w:val="00F56BF6"/>
    <w:rsid w:val="00F56F21"/>
    <w:rsid w:val="00F571D7"/>
    <w:rsid w:val="00F57236"/>
    <w:rsid w:val="00F57321"/>
    <w:rsid w:val="00F57581"/>
    <w:rsid w:val="00F57598"/>
    <w:rsid w:val="00F57611"/>
    <w:rsid w:val="00F57700"/>
    <w:rsid w:val="00F577B9"/>
    <w:rsid w:val="00F5780E"/>
    <w:rsid w:val="00F5781B"/>
    <w:rsid w:val="00F57B29"/>
    <w:rsid w:val="00F57DF0"/>
    <w:rsid w:val="00F57E18"/>
    <w:rsid w:val="00F57E77"/>
    <w:rsid w:val="00F6017E"/>
    <w:rsid w:val="00F6019D"/>
    <w:rsid w:val="00F603B6"/>
    <w:rsid w:val="00F605D2"/>
    <w:rsid w:val="00F609A9"/>
    <w:rsid w:val="00F60AE4"/>
    <w:rsid w:val="00F60C19"/>
    <w:rsid w:val="00F60C86"/>
    <w:rsid w:val="00F60FF1"/>
    <w:rsid w:val="00F6122E"/>
    <w:rsid w:val="00F6127C"/>
    <w:rsid w:val="00F613DC"/>
    <w:rsid w:val="00F61405"/>
    <w:rsid w:val="00F61446"/>
    <w:rsid w:val="00F6185B"/>
    <w:rsid w:val="00F618E1"/>
    <w:rsid w:val="00F61A7C"/>
    <w:rsid w:val="00F61EB0"/>
    <w:rsid w:val="00F61FF5"/>
    <w:rsid w:val="00F6222C"/>
    <w:rsid w:val="00F6261E"/>
    <w:rsid w:val="00F628BF"/>
    <w:rsid w:val="00F62900"/>
    <w:rsid w:val="00F62A58"/>
    <w:rsid w:val="00F62ADD"/>
    <w:rsid w:val="00F62C6B"/>
    <w:rsid w:val="00F62D23"/>
    <w:rsid w:val="00F62DE6"/>
    <w:rsid w:val="00F62F26"/>
    <w:rsid w:val="00F62F30"/>
    <w:rsid w:val="00F62F5D"/>
    <w:rsid w:val="00F63269"/>
    <w:rsid w:val="00F63423"/>
    <w:rsid w:val="00F63441"/>
    <w:rsid w:val="00F634C6"/>
    <w:rsid w:val="00F63702"/>
    <w:rsid w:val="00F63A19"/>
    <w:rsid w:val="00F63BE0"/>
    <w:rsid w:val="00F63C7C"/>
    <w:rsid w:val="00F63C86"/>
    <w:rsid w:val="00F643E7"/>
    <w:rsid w:val="00F64475"/>
    <w:rsid w:val="00F644CA"/>
    <w:rsid w:val="00F644D1"/>
    <w:rsid w:val="00F646D7"/>
    <w:rsid w:val="00F647A4"/>
    <w:rsid w:val="00F648BC"/>
    <w:rsid w:val="00F64942"/>
    <w:rsid w:val="00F64C3E"/>
    <w:rsid w:val="00F64F08"/>
    <w:rsid w:val="00F656C9"/>
    <w:rsid w:val="00F65798"/>
    <w:rsid w:val="00F657B7"/>
    <w:rsid w:val="00F65B1A"/>
    <w:rsid w:val="00F65C8F"/>
    <w:rsid w:val="00F65D0F"/>
    <w:rsid w:val="00F65E02"/>
    <w:rsid w:val="00F65FC0"/>
    <w:rsid w:val="00F6615A"/>
    <w:rsid w:val="00F6620E"/>
    <w:rsid w:val="00F6663D"/>
    <w:rsid w:val="00F6695D"/>
    <w:rsid w:val="00F66A42"/>
    <w:rsid w:val="00F66AA9"/>
    <w:rsid w:val="00F66AFB"/>
    <w:rsid w:val="00F66EE5"/>
    <w:rsid w:val="00F6706A"/>
    <w:rsid w:val="00F67088"/>
    <w:rsid w:val="00F671D4"/>
    <w:rsid w:val="00F67235"/>
    <w:rsid w:val="00F673FF"/>
    <w:rsid w:val="00F67438"/>
    <w:rsid w:val="00F675FD"/>
    <w:rsid w:val="00F67637"/>
    <w:rsid w:val="00F6766A"/>
    <w:rsid w:val="00F679DD"/>
    <w:rsid w:val="00F67A68"/>
    <w:rsid w:val="00F67BF3"/>
    <w:rsid w:val="00F67C24"/>
    <w:rsid w:val="00F67C90"/>
    <w:rsid w:val="00F67D44"/>
    <w:rsid w:val="00F67EC2"/>
    <w:rsid w:val="00F67F70"/>
    <w:rsid w:val="00F67FB3"/>
    <w:rsid w:val="00F701B6"/>
    <w:rsid w:val="00F703E2"/>
    <w:rsid w:val="00F70577"/>
    <w:rsid w:val="00F7076D"/>
    <w:rsid w:val="00F70BFA"/>
    <w:rsid w:val="00F70C26"/>
    <w:rsid w:val="00F70DF4"/>
    <w:rsid w:val="00F70FA5"/>
    <w:rsid w:val="00F7113C"/>
    <w:rsid w:val="00F713AD"/>
    <w:rsid w:val="00F713B9"/>
    <w:rsid w:val="00F713BA"/>
    <w:rsid w:val="00F714F1"/>
    <w:rsid w:val="00F71826"/>
    <w:rsid w:val="00F71CEC"/>
    <w:rsid w:val="00F71D5D"/>
    <w:rsid w:val="00F71DC3"/>
    <w:rsid w:val="00F71E35"/>
    <w:rsid w:val="00F722C4"/>
    <w:rsid w:val="00F72383"/>
    <w:rsid w:val="00F72707"/>
    <w:rsid w:val="00F727CB"/>
    <w:rsid w:val="00F728C3"/>
    <w:rsid w:val="00F72940"/>
    <w:rsid w:val="00F72947"/>
    <w:rsid w:val="00F72A04"/>
    <w:rsid w:val="00F72A43"/>
    <w:rsid w:val="00F72B02"/>
    <w:rsid w:val="00F72C58"/>
    <w:rsid w:val="00F72CF1"/>
    <w:rsid w:val="00F72FBD"/>
    <w:rsid w:val="00F73093"/>
    <w:rsid w:val="00F730F6"/>
    <w:rsid w:val="00F7310A"/>
    <w:rsid w:val="00F73246"/>
    <w:rsid w:val="00F7334F"/>
    <w:rsid w:val="00F73519"/>
    <w:rsid w:val="00F7351F"/>
    <w:rsid w:val="00F73907"/>
    <w:rsid w:val="00F739A5"/>
    <w:rsid w:val="00F739D7"/>
    <w:rsid w:val="00F73B3B"/>
    <w:rsid w:val="00F7421F"/>
    <w:rsid w:val="00F742E8"/>
    <w:rsid w:val="00F743D9"/>
    <w:rsid w:val="00F7452C"/>
    <w:rsid w:val="00F7456E"/>
    <w:rsid w:val="00F74609"/>
    <w:rsid w:val="00F7461F"/>
    <w:rsid w:val="00F748F4"/>
    <w:rsid w:val="00F74AC4"/>
    <w:rsid w:val="00F75272"/>
    <w:rsid w:val="00F7546E"/>
    <w:rsid w:val="00F75862"/>
    <w:rsid w:val="00F75916"/>
    <w:rsid w:val="00F75976"/>
    <w:rsid w:val="00F75AAF"/>
    <w:rsid w:val="00F75DD7"/>
    <w:rsid w:val="00F75EC5"/>
    <w:rsid w:val="00F75F09"/>
    <w:rsid w:val="00F75F90"/>
    <w:rsid w:val="00F7619E"/>
    <w:rsid w:val="00F761AF"/>
    <w:rsid w:val="00F7659D"/>
    <w:rsid w:val="00F76938"/>
    <w:rsid w:val="00F76A63"/>
    <w:rsid w:val="00F76B38"/>
    <w:rsid w:val="00F76B8A"/>
    <w:rsid w:val="00F76D09"/>
    <w:rsid w:val="00F76DE9"/>
    <w:rsid w:val="00F76E9E"/>
    <w:rsid w:val="00F76EBF"/>
    <w:rsid w:val="00F77077"/>
    <w:rsid w:val="00F7738B"/>
    <w:rsid w:val="00F7762E"/>
    <w:rsid w:val="00F77696"/>
    <w:rsid w:val="00F777DA"/>
    <w:rsid w:val="00F77997"/>
    <w:rsid w:val="00F77A61"/>
    <w:rsid w:val="00F77A6B"/>
    <w:rsid w:val="00F77A70"/>
    <w:rsid w:val="00F77AEB"/>
    <w:rsid w:val="00F77B56"/>
    <w:rsid w:val="00F77C39"/>
    <w:rsid w:val="00F77CBC"/>
    <w:rsid w:val="00F77DFA"/>
    <w:rsid w:val="00F77ECB"/>
    <w:rsid w:val="00F77FC2"/>
    <w:rsid w:val="00F80020"/>
    <w:rsid w:val="00F800B1"/>
    <w:rsid w:val="00F80114"/>
    <w:rsid w:val="00F802BE"/>
    <w:rsid w:val="00F802D7"/>
    <w:rsid w:val="00F80426"/>
    <w:rsid w:val="00F80604"/>
    <w:rsid w:val="00F8066E"/>
    <w:rsid w:val="00F80821"/>
    <w:rsid w:val="00F80829"/>
    <w:rsid w:val="00F80905"/>
    <w:rsid w:val="00F8097D"/>
    <w:rsid w:val="00F809F7"/>
    <w:rsid w:val="00F80A40"/>
    <w:rsid w:val="00F80E5C"/>
    <w:rsid w:val="00F8105C"/>
    <w:rsid w:val="00F810CF"/>
    <w:rsid w:val="00F8122E"/>
    <w:rsid w:val="00F81298"/>
    <w:rsid w:val="00F8135B"/>
    <w:rsid w:val="00F813A7"/>
    <w:rsid w:val="00F8152B"/>
    <w:rsid w:val="00F815A2"/>
    <w:rsid w:val="00F815D8"/>
    <w:rsid w:val="00F81772"/>
    <w:rsid w:val="00F817F1"/>
    <w:rsid w:val="00F81A75"/>
    <w:rsid w:val="00F81DA8"/>
    <w:rsid w:val="00F81E45"/>
    <w:rsid w:val="00F821F2"/>
    <w:rsid w:val="00F821FC"/>
    <w:rsid w:val="00F824CA"/>
    <w:rsid w:val="00F8252B"/>
    <w:rsid w:val="00F82975"/>
    <w:rsid w:val="00F82982"/>
    <w:rsid w:val="00F82D7D"/>
    <w:rsid w:val="00F830CC"/>
    <w:rsid w:val="00F83270"/>
    <w:rsid w:val="00F83307"/>
    <w:rsid w:val="00F834FA"/>
    <w:rsid w:val="00F83B10"/>
    <w:rsid w:val="00F840A3"/>
    <w:rsid w:val="00F840A6"/>
    <w:rsid w:val="00F84143"/>
    <w:rsid w:val="00F841A9"/>
    <w:rsid w:val="00F8461F"/>
    <w:rsid w:val="00F84701"/>
    <w:rsid w:val="00F84E55"/>
    <w:rsid w:val="00F85254"/>
    <w:rsid w:val="00F852A5"/>
    <w:rsid w:val="00F85A2B"/>
    <w:rsid w:val="00F85A34"/>
    <w:rsid w:val="00F85C12"/>
    <w:rsid w:val="00F85DD7"/>
    <w:rsid w:val="00F85DEC"/>
    <w:rsid w:val="00F861FF"/>
    <w:rsid w:val="00F8648C"/>
    <w:rsid w:val="00F8649D"/>
    <w:rsid w:val="00F864BB"/>
    <w:rsid w:val="00F865C5"/>
    <w:rsid w:val="00F8669C"/>
    <w:rsid w:val="00F86814"/>
    <w:rsid w:val="00F869AD"/>
    <w:rsid w:val="00F86D1F"/>
    <w:rsid w:val="00F86D82"/>
    <w:rsid w:val="00F86DCB"/>
    <w:rsid w:val="00F86E1F"/>
    <w:rsid w:val="00F872DC"/>
    <w:rsid w:val="00F8751E"/>
    <w:rsid w:val="00F87521"/>
    <w:rsid w:val="00F875E1"/>
    <w:rsid w:val="00F877ED"/>
    <w:rsid w:val="00F8782F"/>
    <w:rsid w:val="00F87A33"/>
    <w:rsid w:val="00F87A46"/>
    <w:rsid w:val="00F87D26"/>
    <w:rsid w:val="00F87DCE"/>
    <w:rsid w:val="00F87F96"/>
    <w:rsid w:val="00F9000D"/>
    <w:rsid w:val="00F90173"/>
    <w:rsid w:val="00F9025C"/>
    <w:rsid w:val="00F90576"/>
    <w:rsid w:val="00F905C9"/>
    <w:rsid w:val="00F9070E"/>
    <w:rsid w:val="00F90983"/>
    <w:rsid w:val="00F90987"/>
    <w:rsid w:val="00F90B2D"/>
    <w:rsid w:val="00F90CCD"/>
    <w:rsid w:val="00F90D86"/>
    <w:rsid w:val="00F90DFB"/>
    <w:rsid w:val="00F90EFE"/>
    <w:rsid w:val="00F90F0E"/>
    <w:rsid w:val="00F91004"/>
    <w:rsid w:val="00F911AD"/>
    <w:rsid w:val="00F91340"/>
    <w:rsid w:val="00F91649"/>
    <w:rsid w:val="00F91666"/>
    <w:rsid w:val="00F917E8"/>
    <w:rsid w:val="00F91869"/>
    <w:rsid w:val="00F91DF5"/>
    <w:rsid w:val="00F91E23"/>
    <w:rsid w:val="00F91F02"/>
    <w:rsid w:val="00F91F21"/>
    <w:rsid w:val="00F91F32"/>
    <w:rsid w:val="00F924A3"/>
    <w:rsid w:val="00F925E6"/>
    <w:rsid w:val="00F928A1"/>
    <w:rsid w:val="00F92934"/>
    <w:rsid w:val="00F92CA0"/>
    <w:rsid w:val="00F92CA5"/>
    <w:rsid w:val="00F92D68"/>
    <w:rsid w:val="00F92EAE"/>
    <w:rsid w:val="00F930F3"/>
    <w:rsid w:val="00F931D4"/>
    <w:rsid w:val="00F93408"/>
    <w:rsid w:val="00F93583"/>
    <w:rsid w:val="00F936DA"/>
    <w:rsid w:val="00F9370A"/>
    <w:rsid w:val="00F937F8"/>
    <w:rsid w:val="00F9387D"/>
    <w:rsid w:val="00F938A8"/>
    <w:rsid w:val="00F93E1B"/>
    <w:rsid w:val="00F94052"/>
    <w:rsid w:val="00F94302"/>
    <w:rsid w:val="00F9439C"/>
    <w:rsid w:val="00F94B5C"/>
    <w:rsid w:val="00F94C80"/>
    <w:rsid w:val="00F94D93"/>
    <w:rsid w:val="00F94DB2"/>
    <w:rsid w:val="00F9549C"/>
    <w:rsid w:val="00F9563D"/>
    <w:rsid w:val="00F956E0"/>
    <w:rsid w:val="00F95830"/>
    <w:rsid w:val="00F959DD"/>
    <w:rsid w:val="00F95B50"/>
    <w:rsid w:val="00F95E2C"/>
    <w:rsid w:val="00F95FD5"/>
    <w:rsid w:val="00F960FD"/>
    <w:rsid w:val="00F96103"/>
    <w:rsid w:val="00F9615A"/>
    <w:rsid w:val="00F96574"/>
    <w:rsid w:val="00F96595"/>
    <w:rsid w:val="00F96AD5"/>
    <w:rsid w:val="00F96B15"/>
    <w:rsid w:val="00F96BF6"/>
    <w:rsid w:val="00F96D17"/>
    <w:rsid w:val="00F96E9A"/>
    <w:rsid w:val="00F970DC"/>
    <w:rsid w:val="00F975B9"/>
    <w:rsid w:val="00F975E5"/>
    <w:rsid w:val="00F97707"/>
    <w:rsid w:val="00F97841"/>
    <w:rsid w:val="00F97983"/>
    <w:rsid w:val="00F979BA"/>
    <w:rsid w:val="00F97A46"/>
    <w:rsid w:val="00F97A89"/>
    <w:rsid w:val="00F97BC1"/>
    <w:rsid w:val="00F97C86"/>
    <w:rsid w:val="00F97C8F"/>
    <w:rsid w:val="00F97D20"/>
    <w:rsid w:val="00F97E7B"/>
    <w:rsid w:val="00FA0123"/>
    <w:rsid w:val="00FA013D"/>
    <w:rsid w:val="00FA01E0"/>
    <w:rsid w:val="00FA020B"/>
    <w:rsid w:val="00FA0824"/>
    <w:rsid w:val="00FA0847"/>
    <w:rsid w:val="00FA08D7"/>
    <w:rsid w:val="00FA0B70"/>
    <w:rsid w:val="00FA0C6E"/>
    <w:rsid w:val="00FA111E"/>
    <w:rsid w:val="00FA1196"/>
    <w:rsid w:val="00FA11C1"/>
    <w:rsid w:val="00FA11C6"/>
    <w:rsid w:val="00FA11D5"/>
    <w:rsid w:val="00FA138D"/>
    <w:rsid w:val="00FA14B5"/>
    <w:rsid w:val="00FA15F5"/>
    <w:rsid w:val="00FA1614"/>
    <w:rsid w:val="00FA18C9"/>
    <w:rsid w:val="00FA19EC"/>
    <w:rsid w:val="00FA1A0B"/>
    <w:rsid w:val="00FA1D0A"/>
    <w:rsid w:val="00FA1FBB"/>
    <w:rsid w:val="00FA1FEE"/>
    <w:rsid w:val="00FA2140"/>
    <w:rsid w:val="00FA2213"/>
    <w:rsid w:val="00FA282F"/>
    <w:rsid w:val="00FA2932"/>
    <w:rsid w:val="00FA29D0"/>
    <w:rsid w:val="00FA29FE"/>
    <w:rsid w:val="00FA2BAF"/>
    <w:rsid w:val="00FA2C01"/>
    <w:rsid w:val="00FA2C13"/>
    <w:rsid w:val="00FA2C98"/>
    <w:rsid w:val="00FA2D78"/>
    <w:rsid w:val="00FA2DBA"/>
    <w:rsid w:val="00FA335E"/>
    <w:rsid w:val="00FA33AC"/>
    <w:rsid w:val="00FA3412"/>
    <w:rsid w:val="00FA3585"/>
    <w:rsid w:val="00FA35D5"/>
    <w:rsid w:val="00FA3673"/>
    <w:rsid w:val="00FA36B2"/>
    <w:rsid w:val="00FA372B"/>
    <w:rsid w:val="00FA3734"/>
    <w:rsid w:val="00FA375A"/>
    <w:rsid w:val="00FA37C6"/>
    <w:rsid w:val="00FA3981"/>
    <w:rsid w:val="00FA3DBC"/>
    <w:rsid w:val="00FA3FC5"/>
    <w:rsid w:val="00FA3FEF"/>
    <w:rsid w:val="00FA4379"/>
    <w:rsid w:val="00FA47FF"/>
    <w:rsid w:val="00FA4BBC"/>
    <w:rsid w:val="00FA4BCF"/>
    <w:rsid w:val="00FA4C45"/>
    <w:rsid w:val="00FA515B"/>
    <w:rsid w:val="00FA526D"/>
    <w:rsid w:val="00FA52D4"/>
    <w:rsid w:val="00FA560B"/>
    <w:rsid w:val="00FA5825"/>
    <w:rsid w:val="00FA5896"/>
    <w:rsid w:val="00FA5948"/>
    <w:rsid w:val="00FA5D82"/>
    <w:rsid w:val="00FA5F10"/>
    <w:rsid w:val="00FA5F85"/>
    <w:rsid w:val="00FA5FF3"/>
    <w:rsid w:val="00FA6028"/>
    <w:rsid w:val="00FA647C"/>
    <w:rsid w:val="00FA6536"/>
    <w:rsid w:val="00FA66B1"/>
    <w:rsid w:val="00FA6736"/>
    <w:rsid w:val="00FA6818"/>
    <w:rsid w:val="00FA68B3"/>
    <w:rsid w:val="00FA68B5"/>
    <w:rsid w:val="00FA68BA"/>
    <w:rsid w:val="00FA691D"/>
    <w:rsid w:val="00FA6AE1"/>
    <w:rsid w:val="00FA6BD5"/>
    <w:rsid w:val="00FA6C04"/>
    <w:rsid w:val="00FA6DDB"/>
    <w:rsid w:val="00FA6E52"/>
    <w:rsid w:val="00FA6E53"/>
    <w:rsid w:val="00FA6E7C"/>
    <w:rsid w:val="00FA7122"/>
    <w:rsid w:val="00FA71E1"/>
    <w:rsid w:val="00FA758D"/>
    <w:rsid w:val="00FA7CE5"/>
    <w:rsid w:val="00FA7D79"/>
    <w:rsid w:val="00FA7DF6"/>
    <w:rsid w:val="00FB00B5"/>
    <w:rsid w:val="00FB049C"/>
    <w:rsid w:val="00FB05CF"/>
    <w:rsid w:val="00FB08E5"/>
    <w:rsid w:val="00FB0978"/>
    <w:rsid w:val="00FB0AA9"/>
    <w:rsid w:val="00FB0DB9"/>
    <w:rsid w:val="00FB0F6C"/>
    <w:rsid w:val="00FB1162"/>
    <w:rsid w:val="00FB14C6"/>
    <w:rsid w:val="00FB1524"/>
    <w:rsid w:val="00FB15A7"/>
    <w:rsid w:val="00FB1670"/>
    <w:rsid w:val="00FB1C79"/>
    <w:rsid w:val="00FB1E2F"/>
    <w:rsid w:val="00FB1FD8"/>
    <w:rsid w:val="00FB2052"/>
    <w:rsid w:val="00FB2125"/>
    <w:rsid w:val="00FB2300"/>
    <w:rsid w:val="00FB2379"/>
    <w:rsid w:val="00FB2465"/>
    <w:rsid w:val="00FB24D1"/>
    <w:rsid w:val="00FB288D"/>
    <w:rsid w:val="00FB29CF"/>
    <w:rsid w:val="00FB2A03"/>
    <w:rsid w:val="00FB2AFD"/>
    <w:rsid w:val="00FB2FB6"/>
    <w:rsid w:val="00FB3019"/>
    <w:rsid w:val="00FB30BA"/>
    <w:rsid w:val="00FB3215"/>
    <w:rsid w:val="00FB35C2"/>
    <w:rsid w:val="00FB3724"/>
    <w:rsid w:val="00FB3948"/>
    <w:rsid w:val="00FB3999"/>
    <w:rsid w:val="00FB39C8"/>
    <w:rsid w:val="00FB3E0A"/>
    <w:rsid w:val="00FB3E10"/>
    <w:rsid w:val="00FB3F12"/>
    <w:rsid w:val="00FB400D"/>
    <w:rsid w:val="00FB431E"/>
    <w:rsid w:val="00FB44F9"/>
    <w:rsid w:val="00FB4550"/>
    <w:rsid w:val="00FB456C"/>
    <w:rsid w:val="00FB4657"/>
    <w:rsid w:val="00FB4F27"/>
    <w:rsid w:val="00FB5187"/>
    <w:rsid w:val="00FB539B"/>
    <w:rsid w:val="00FB547A"/>
    <w:rsid w:val="00FB5636"/>
    <w:rsid w:val="00FB5743"/>
    <w:rsid w:val="00FB581C"/>
    <w:rsid w:val="00FB5D04"/>
    <w:rsid w:val="00FB5D0D"/>
    <w:rsid w:val="00FB5E57"/>
    <w:rsid w:val="00FB5E61"/>
    <w:rsid w:val="00FB5F16"/>
    <w:rsid w:val="00FB60B8"/>
    <w:rsid w:val="00FB6301"/>
    <w:rsid w:val="00FB6471"/>
    <w:rsid w:val="00FB6629"/>
    <w:rsid w:val="00FB66F1"/>
    <w:rsid w:val="00FB6748"/>
    <w:rsid w:val="00FB677E"/>
    <w:rsid w:val="00FB6B9B"/>
    <w:rsid w:val="00FB6D0A"/>
    <w:rsid w:val="00FB6DC5"/>
    <w:rsid w:val="00FB6E25"/>
    <w:rsid w:val="00FB6FA6"/>
    <w:rsid w:val="00FB700D"/>
    <w:rsid w:val="00FB7086"/>
    <w:rsid w:val="00FB70BA"/>
    <w:rsid w:val="00FB70C6"/>
    <w:rsid w:val="00FB71DE"/>
    <w:rsid w:val="00FB73F7"/>
    <w:rsid w:val="00FB741F"/>
    <w:rsid w:val="00FB760D"/>
    <w:rsid w:val="00FB782E"/>
    <w:rsid w:val="00FB7838"/>
    <w:rsid w:val="00FB7A59"/>
    <w:rsid w:val="00FB7C25"/>
    <w:rsid w:val="00FB7C2C"/>
    <w:rsid w:val="00FB7C74"/>
    <w:rsid w:val="00FB7CED"/>
    <w:rsid w:val="00FB7EBC"/>
    <w:rsid w:val="00FC0722"/>
    <w:rsid w:val="00FC086A"/>
    <w:rsid w:val="00FC0A70"/>
    <w:rsid w:val="00FC0AC9"/>
    <w:rsid w:val="00FC0C42"/>
    <w:rsid w:val="00FC0D8F"/>
    <w:rsid w:val="00FC0DC4"/>
    <w:rsid w:val="00FC0E86"/>
    <w:rsid w:val="00FC0F7F"/>
    <w:rsid w:val="00FC1625"/>
    <w:rsid w:val="00FC1640"/>
    <w:rsid w:val="00FC186F"/>
    <w:rsid w:val="00FC1917"/>
    <w:rsid w:val="00FC1BE5"/>
    <w:rsid w:val="00FC1D05"/>
    <w:rsid w:val="00FC1DD5"/>
    <w:rsid w:val="00FC2070"/>
    <w:rsid w:val="00FC20A1"/>
    <w:rsid w:val="00FC20E6"/>
    <w:rsid w:val="00FC2301"/>
    <w:rsid w:val="00FC2321"/>
    <w:rsid w:val="00FC2415"/>
    <w:rsid w:val="00FC245D"/>
    <w:rsid w:val="00FC2582"/>
    <w:rsid w:val="00FC261B"/>
    <w:rsid w:val="00FC2752"/>
    <w:rsid w:val="00FC2C23"/>
    <w:rsid w:val="00FC2C90"/>
    <w:rsid w:val="00FC2E27"/>
    <w:rsid w:val="00FC2EF3"/>
    <w:rsid w:val="00FC2FCD"/>
    <w:rsid w:val="00FC309F"/>
    <w:rsid w:val="00FC3133"/>
    <w:rsid w:val="00FC3236"/>
    <w:rsid w:val="00FC3531"/>
    <w:rsid w:val="00FC386D"/>
    <w:rsid w:val="00FC38C9"/>
    <w:rsid w:val="00FC3B17"/>
    <w:rsid w:val="00FC3DAB"/>
    <w:rsid w:val="00FC4094"/>
    <w:rsid w:val="00FC43A5"/>
    <w:rsid w:val="00FC44D8"/>
    <w:rsid w:val="00FC4BA1"/>
    <w:rsid w:val="00FC4BC0"/>
    <w:rsid w:val="00FC54B1"/>
    <w:rsid w:val="00FC573B"/>
    <w:rsid w:val="00FC5961"/>
    <w:rsid w:val="00FC5A9A"/>
    <w:rsid w:val="00FC5AA4"/>
    <w:rsid w:val="00FC5C35"/>
    <w:rsid w:val="00FC5D19"/>
    <w:rsid w:val="00FC5D2E"/>
    <w:rsid w:val="00FC5D73"/>
    <w:rsid w:val="00FC5E75"/>
    <w:rsid w:val="00FC651F"/>
    <w:rsid w:val="00FC652C"/>
    <w:rsid w:val="00FC6720"/>
    <w:rsid w:val="00FC67BD"/>
    <w:rsid w:val="00FC68F7"/>
    <w:rsid w:val="00FC69F6"/>
    <w:rsid w:val="00FC6A20"/>
    <w:rsid w:val="00FC6A41"/>
    <w:rsid w:val="00FC6A62"/>
    <w:rsid w:val="00FC6A6E"/>
    <w:rsid w:val="00FC6EBA"/>
    <w:rsid w:val="00FC7065"/>
    <w:rsid w:val="00FC71D5"/>
    <w:rsid w:val="00FC71DB"/>
    <w:rsid w:val="00FC722B"/>
    <w:rsid w:val="00FC7458"/>
    <w:rsid w:val="00FC7515"/>
    <w:rsid w:val="00FC7680"/>
    <w:rsid w:val="00FC7705"/>
    <w:rsid w:val="00FC7906"/>
    <w:rsid w:val="00FC7980"/>
    <w:rsid w:val="00FC7AAB"/>
    <w:rsid w:val="00FC7B38"/>
    <w:rsid w:val="00FC7D03"/>
    <w:rsid w:val="00FC7F50"/>
    <w:rsid w:val="00FD017F"/>
    <w:rsid w:val="00FD02B6"/>
    <w:rsid w:val="00FD051F"/>
    <w:rsid w:val="00FD06FC"/>
    <w:rsid w:val="00FD0752"/>
    <w:rsid w:val="00FD0AF1"/>
    <w:rsid w:val="00FD0B4E"/>
    <w:rsid w:val="00FD0F08"/>
    <w:rsid w:val="00FD1201"/>
    <w:rsid w:val="00FD12B7"/>
    <w:rsid w:val="00FD1301"/>
    <w:rsid w:val="00FD13D7"/>
    <w:rsid w:val="00FD1871"/>
    <w:rsid w:val="00FD1878"/>
    <w:rsid w:val="00FD1A08"/>
    <w:rsid w:val="00FD1ADA"/>
    <w:rsid w:val="00FD1DBE"/>
    <w:rsid w:val="00FD1E2E"/>
    <w:rsid w:val="00FD1EA1"/>
    <w:rsid w:val="00FD2228"/>
    <w:rsid w:val="00FD22D7"/>
    <w:rsid w:val="00FD25FE"/>
    <w:rsid w:val="00FD268C"/>
    <w:rsid w:val="00FD277D"/>
    <w:rsid w:val="00FD27BD"/>
    <w:rsid w:val="00FD27EE"/>
    <w:rsid w:val="00FD27FB"/>
    <w:rsid w:val="00FD2DBC"/>
    <w:rsid w:val="00FD2E3B"/>
    <w:rsid w:val="00FD2E8E"/>
    <w:rsid w:val="00FD3062"/>
    <w:rsid w:val="00FD32A7"/>
    <w:rsid w:val="00FD351A"/>
    <w:rsid w:val="00FD355F"/>
    <w:rsid w:val="00FD3669"/>
    <w:rsid w:val="00FD36B9"/>
    <w:rsid w:val="00FD37C3"/>
    <w:rsid w:val="00FD394F"/>
    <w:rsid w:val="00FD3CDB"/>
    <w:rsid w:val="00FD3DA2"/>
    <w:rsid w:val="00FD3E01"/>
    <w:rsid w:val="00FD3EC6"/>
    <w:rsid w:val="00FD3F37"/>
    <w:rsid w:val="00FD3F69"/>
    <w:rsid w:val="00FD4041"/>
    <w:rsid w:val="00FD4C71"/>
    <w:rsid w:val="00FD4DC7"/>
    <w:rsid w:val="00FD4DFB"/>
    <w:rsid w:val="00FD5053"/>
    <w:rsid w:val="00FD50C7"/>
    <w:rsid w:val="00FD5507"/>
    <w:rsid w:val="00FD5542"/>
    <w:rsid w:val="00FD5756"/>
    <w:rsid w:val="00FD5D5D"/>
    <w:rsid w:val="00FD5E1F"/>
    <w:rsid w:val="00FD60C8"/>
    <w:rsid w:val="00FD6145"/>
    <w:rsid w:val="00FD6220"/>
    <w:rsid w:val="00FD6418"/>
    <w:rsid w:val="00FD66F3"/>
    <w:rsid w:val="00FD6945"/>
    <w:rsid w:val="00FD6A76"/>
    <w:rsid w:val="00FD6F3A"/>
    <w:rsid w:val="00FD70DC"/>
    <w:rsid w:val="00FD741A"/>
    <w:rsid w:val="00FD7512"/>
    <w:rsid w:val="00FD75C8"/>
    <w:rsid w:val="00FD770B"/>
    <w:rsid w:val="00FD77E5"/>
    <w:rsid w:val="00FD781E"/>
    <w:rsid w:val="00FD7A1F"/>
    <w:rsid w:val="00FD7BC6"/>
    <w:rsid w:val="00FD7D31"/>
    <w:rsid w:val="00FD7DAA"/>
    <w:rsid w:val="00FD7F7C"/>
    <w:rsid w:val="00FD7FB5"/>
    <w:rsid w:val="00FD7FF2"/>
    <w:rsid w:val="00FE011C"/>
    <w:rsid w:val="00FE01E2"/>
    <w:rsid w:val="00FE02E1"/>
    <w:rsid w:val="00FE0381"/>
    <w:rsid w:val="00FE065E"/>
    <w:rsid w:val="00FE071D"/>
    <w:rsid w:val="00FE08FF"/>
    <w:rsid w:val="00FE094F"/>
    <w:rsid w:val="00FE0AF3"/>
    <w:rsid w:val="00FE0C07"/>
    <w:rsid w:val="00FE0C2C"/>
    <w:rsid w:val="00FE0CD2"/>
    <w:rsid w:val="00FE0F25"/>
    <w:rsid w:val="00FE1297"/>
    <w:rsid w:val="00FE1334"/>
    <w:rsid w:val="00FE14DC"/>
    <w:rsid w:val="00FE157B"/>
    <w:rsid w:val="00FE16BA"/>
    <w:rsid w:val="00FE172F"/>
    <w:rsid w:val="00FE1868"/>
    <w:rsid w:val="00FE1A05"/>
    <w:rsid w:val="00FE1A7A"/>
    <w:rsid w:val="00FE1B68"/>
    <w:rsid w:val="00FE1D06"/>
    <w:rsid w:val="00FE1D80"/>
    <w:rsid w:val="00FE1F74"/>
    <w:rsid w:val="00FE203A"/>
    <w:rsid w:val="00FE25B6"/>
    <w:rsid w:val="00FE289F"/>
    <w:rsid w:val="00FE2BD3"/>
    <w:rsid w:val="00FE2D95"/>
    <w:rsid w:val="00FE3106"/>
    <w:rsid w:val="00FE312D"/>
    <w:rsid w:val="00FE31A8"/>
    <w:rsid w:val="00FE322E"/>
    <w:rsid w:val="00FE331F"/>
    <w:rsid w:val="00FE33CA"/>
    <w:rsid w:val="00FE3532"/>
    <w:rsid w:val="00FE3622"/>
    <w:rsid w:val="00FE3687"/>
    <w:rsid w:val="00FE3755"/>
    <w:rsid w:val="00FE392A"/>
    <w:rsid w:val="00FE392D"/>
    <w:rsid w:val="00FE3990"/>
    <w:rsid w:val="00FE3CBB"/>
    <w:rsid w:val="00FE3CDB"/>
    <w:rsid w:val="00FE42CB"/>
    <w:rsid w:val="00FE4358"/>
    <w:rsid w:val="00FE4387"/>
    <w:rsid w:val="00FE454D"/>
    <w:rsid w:val="00FE45FB"/>
    <w:rsid w:val="00FE47B3"/>
    <w:rsid w:val="00FE4855"/>
    <w:rsid w:val="00FE4905"/>
    <w:rsid w:val="00FE493C"/>
    <w:rsid w:val="00FE4A9E"/>
    <w:rsid w:val="00FE4BEE"/>
    <w:rsid w:val="00FE4CF6"/>
    <w:rsid w:val="00FE522F"/>
    <w:rsid w:val="00FE5261"/>
    <w:rsid w:val="00FE5408"/>
    <w:rsid w:val="00FE58E3"/>
    <w:rsid w:val="00FE593E"/>
    <w:rsid w:val="00FE5ABB"/>
    <w:rsid w:val="00FE5B97"/>
    <w:rsid w:val="00FE5C55"/>
    <w:rsid w:val="00FE5CE4"/>
    <w:rsid w:val="00FE5D2E"/>
    <w:rsid w:val="00FE5ED5"/>
    <w:rsid w:val="00FE5F21"/>
    <w:rsid w:val="00FE6019"/>
    <w:rsid w:val="00FE61AF"/>
    <w:rsid w:val="00FE62D7"/>
    <w:rsid w:val="00FE689E"/>
    <w:rsid w:val="00FE6A40"/>
    <w:rsid w:val="00FE6C6C"/>
    <w:rsid w:val="00FE6C6E"/>
    <w:rsid w:val="00FE6DC2"/>
    <w:rsid w:val="00FE6DEE"/>
    <w:rsid w:val="00FE6E06"/>
    <w:rsid w:val="00FE6EB5"/>
    <w:rsid w:val="00FE6F13"/>
    <w:rsid w:val="00FE6FE3"/>
    <w:rsid w:val="00FE7452"/>
    <w:rsid w:val="00FE750B"/>
    <w:rsid w:val="00FE75E4"/>
    <w:rsid w:val="00FE7609"/>
    <w:rsid w:val="00FE7648"/>
    <w:rsid w:val="00FE7686"/>
    <w:rsid w:val="00FE768B"/>
    <w:rsid w:val="00FE776F"/>
    <w:rsid w:val="00FE7795"/>
    <w:rsid w:val="00FE781F"/>
    <w:rsid w:val="00FE791A"/>
    <w:rsid w:val="00FE7AA4"/>
    <w:rsid w:val="00FE7BB2"/>
    <w:rsid w:val="00FE7CDE"/>
    <w:rsid w:val="00FE7D8D"/>
    <w:rsid w:val="00FE7E2E"/>
    <w:rsid w:val="00FE7F34"/>
    <w:rsid w:val="00FF0613"/>
    <w:rsid w:val="00FF061D"/>
    <w:rsid w:val="00FF0799"/>
    <w:rsid w:val="00FF0A4F"/>
    <w:rsid w:val="00FF0AC6"/>
    <w:rsid w:val="00FF0C16"/>
    <w:rsid w:val="00FF0C1F"/>
    <w:rsid w:val="00FF0F21"/>
    <w:rsid w:val="00FF104B"/>
    <w:rsid w:val="00FF10E5"/>
    <w:rsid w:val="00FF1541"/>
    <w:rsid w:val="00FF1929"/>
    <w:rsid w:val="00FF19EA"/>
    <w:rsid w:val="00FF1AB9"/>
    <w:rsid w:val="00FF1BA6"/>
    <w:rsid w:val="00FF1DEB"/>
    <w:rsid w:val="00FF2155"/>
    <w:rsid w:val="00FF22ED"/>
    <w:rsid w:val="00FF23A4"/>
    <w:rsid w:val="00FF241C"/>
    <w:rsid w:val="00FF2693"/>
    <w:rsid w:val="00FF2865"/>
    <w:rsid w:val="00FF2922"/>
    <w:rsid w:val="00FF2A03"/>
    <w:rsid w:val="00FF2A62"/>
    <w:rsid w:val="00FF2B21"/>
    <w:rsid w:val="00FF2B28"/>
    <w:rsid w:val="00FF2C55"/>
    <w:rsid w:val="00FF2E50"/>
    <w:rsid w:val="00FF2E80"/>
    <w:rsid w:val="00FF2F4E"/>
    <w:rsid w:val="00FF2F90"/>
    <w:rsid w:val="00FF2FF3"/>
    <w:rsid w:val="00FF31CD"/>
    <w:rsid w:val="00FF31FC"/>
    <w:rsid w:val="00FF331E"/>
    <w:rsid w:val="00FF3412"/>
    <w:rsid w:val="00FF3444"/>
    <w:rsid w:val="00FF366E"/>
    <w:rsid w:val="00FF3720"/>
    <w:rsid w:val="00FF377A"/>
    <w:rsid w:val="00FF3798"/>
    <w:rsid w:val="00FF3A24"/>
    <w:rsid w:val="00FF3BF9"/>
    <w:rsid w:val="00FF3EE2"/>
    <w:rsid w:val="00FF4006"/>
    <w:rsid w:val="00FF402C"/>
    <w:rsid w:val="00FF442E"/>
    <w:rsid w:val="00FF45AA"/>
    <w:rsid w:val="00FF45F6"/>
    <w:rsid w:val="00FF473A"/>
    <w:rsid w:val="00FF4867"/>
    <w:rsid w:val="00FF4ACB"/>
    <w:rsid w:val="00FF4BE5"/>
    <w:rsid w:val="00FF4BF2"/>
    <w:rsid w:val="00FF4DA9"/>
    <w:rsid w:val="00FF50A2"/>
    <w:rsid w:val="00FF52BC"/>
    <w:rsid w:val="00FF55B5"/>
    <w:rsid w:val="00FF5A44"/>
    <w:rsid w:val="00FF5A58"/>
    <w:rsid w:val="00FF5AC4"/>
    <w:rsid w:val="00FF5D84"/>
    <w:rsid w:val="00FF5F89"/>
    <w:rsid w:val="00FF6088"/>
    <w:rsid w:val="00FF6371"/>
    <w:rsid w:val="00FF6435"/>
    <w:rsid w:val="00FF6485"/>
    <w:rsid w:val="00FF6731"/>
    <w:rsid w:val="00FF6FFB"/>
    <w:rsid w:val="00FF71F3"/>
    <w:rsid w:val="00FF75D1"/>
    <w:rsid w:val="00FF76E7"/>
    <w:rsid w:val="00FF7846"/>
    <w:rsid w:val="00FF7AA3"/>
    <w:rsid w:val="00FF7B9A"/>
    <w:rsid w:val="00FF7CA5"/>
    <w:rsid w:val="00FF7E11"/>
    <w:rsid w:val="00FF7EAA"/>
    <w:rsid w:val="00FF7F73"/>
    <w:rsid w:val="012993AF"/>
    <w:rsid w:val="016F9E6F"/>
    <w:rsid w:val="018AE52E"/>
    <w:rsid w:val="01927EA0"/>
    <w:rsid w:val="01E9E9DC"/>
    <w:rsid w:val="02436C62"/>
    <w:rsid w:val="024C646E"/>
    <w:rsid w:val="024D6E61"/>
    <w:rsid w:val="026ED362"/>
    <w:rsid w:val="02CE45DF"/>
    <w:rsid w:val="02E64CB7"/>
    <w:rsid w:val="0303741E"/>
    <w:rsid w:val="031684DD"/>
    <w:rsid w:val="03188A65"/>
    <w:rsid w:val="0329C3CE"/>
    <w:rsid w:val="0367BEB1"/>
    <w:rsid w:val="03CACA83"/>
    <w:rsid w:val="03D8AB20"/>
    <w:rsid w:val="040D6383"/>
    <w:rsid w:val="042AC6EB"/>
    <w:rsid w:val="049A6D70"/>
    <w:rsid w:val="049BBC86"/>
    <w:rsid w:val="04BC3373"/>
    <w:rsid w:val="04FFFC6C"/>
    <w:rsid w:val="05358F53"/>
    <w:rsid w:val="0562D2DB"/>
    <w:rsid w:val="05796960"/>
    <w:rsid w:val="05857833"/>
    <w:rsid w:val="05934067"/>
    <w:rsid w:val="05CFB608"/>
    <w:rsid w:val="05F7A566"/>
    <w:rsid w:val="060C00BD"/>
    <w:rsid w:val="060D1EDB"/>
    <w:rsid w:val="061704A9"/>
    <w:rsid w:val="0653AA7F"/>
    <w:rsid w:val="06CF90BA"/>
    <w:rsid w:val="06D0888A"/>
    <w:rsid w:val="0711AF6B"/>
    <w:rsid w:val="07B596D1"/>
    <w:rsid w:val="07BBD932"/>
    <w:rsid w:val="08745ACC"/>
    <w:rsid w:val="09503401"/>
    <w:rsid w:val="0A0B0FFB"/>
    <w:rsid w:val="0ACAAD3C"/>
    <w:rsid w:val="0B24BD5A"/>
    <w:rsid w:val="0B3087EB"/>
    <w:rsid w:val="0B7BFC5A"/>
    <w:rsid w:val="0BC587F2"/>
    <w:rsid w:val="0BFD58B6"/>
    <w:rsid w:val="0C0C98C0"/>
    <w:rsid w:val="0C64D7D0"/>
    <w:rsid w:val="0CE075B7"/>
    <w:rsid w:val="0D0F4BF6"/>
    <w:rsid w:val="0D3DE28A"/>
    <w:rsid w:val="0E4329F3"/>
    <w:rsid w:val="0E452059"/>
    <w:rsid w:val="0E8F1420"/>
    <w:rsid w:val="0EAA5684"/>
    <w:rsid w:val="0F1D5C22"/>
    <w:rsid w:val="0F2A1D20"/>
    <w:rsid w:val="0F7683E5"/>
    <w:rsid w:val="1080A182"/>
    <w:rsid w:val="10B3B8BE"/>
    <w:rsid w:val="10BDE535"/>
    <w:rsid w:val="10FD031B"/>
    <w:rsid w:val="11B1035F"/>
    <w:rsid w:val="11BCD693"/>
    <w:rsid w:val="11E34F8E"/>
    <w:rsid w:val="120AF3AB"/>
    <w:rsid w:val="12383B1E"/>
    <w:rsid w:val="12417B17"/>
    <w:rsid w:val="12653156"/>
    <w:rsid w:val="1279D3A0"/>
    <w:rsid w:val="127EA8B2"/>
    <w:rsid w:val="127F68F0"/>
    <w:rsid w:val="1294C90F"/>
    <w:rsid w:val="135BAA6F"/>
    <w:rsid w:val="138B34C7"/>
    <w:rsid w:val="1430F49B"/>
    <w:rsid w:val="14C9271A"/>
    <w:rsid w:val="1559C202"/>
    <w:rsid w:val="156B3B4C"/>
    <w:rsid w:val="157DC2EA"/>
    <w:rsid w:val="15898A56"/>
    <w:rsid w:val="15ABA4B7"/>
    <w:rsid w:val="1641C3FB"/>
    <w:rsid w:val="16449D6B"/>
    <w:rsid w:val="16870930"/>
    <w:rsid w:val="16F47CF9"/>
    <w:rsid w:val="174E0681"/>
    <w:rsid w:val="177F5804"/>
    <w:rsid w:val="17B345B7"/>
    <w:rsid w:val="17CD5102"/>
    <w:rsid w:val="17D1A418"/>
    <w:rsid w:val="17DE357D"/>
    <w:rsid w:val="18066B52"/>
    <w:rsid w:val="18923FE4"/>
    <w:rsid w:val="18AEEDD8"/>
    <w:rsid w:val="18DC215D"/>
    <w:rsid w:val="18FE71E5"/>
    <w:rsid w:val="19767A94"/>
    <w:rsid w:val="1A12DC88"/>
    <w:rsid w:val="1A1687E7"/>
    <w:rsid w:val="1A5B8590"/>
    <w:rsid w:val="1A5F148B"/>
    <w:rsid w:val="1B75AA95"/>
    <w:rsid w:val="1BF189CC"/>
    <w:rsid w:val="1C399D9E"/>
    <w:rsid w:val="1C3A2BA3"/>
    <w:rsid w:val="1C42DAB4"/>
    <w:rsid w:val="1CDEADC0"/>
    <w:rsid w:val="1CECE7F7"/>
    <w:rsid w:val="1D5DEB2A"/>
    <w:rsid w:val="1D70CEC9"/>
    <w:rsid w:val="1D9C10C6"/>
    <w:rsid w:val="1DC1DFC6"/>
    <w:rsid w:val="1DC47CAB"/>
    <w:rsid w:val="1E050BF1"/>
    <w:rsid w:val="1E2D9B08"/>
    <w:rsid w:val="1E4C7D5A"/>
    <w:rsid w:val="1F0A7F85"/>
    <w:rsid w:val="1F1E55FE"/>
    <w:rsid w:val="1F863F6D"/>
    <w:rsid w:val="201164CF"/>
    <w:rsid w:val="2019868B"/>
    <w:rsid w:val="2051E001"/>
    <w:rsid w:val="20A271CD"/>
    <w:rsid w:val="20C8B18F"/>
    <w:rsid w:val="20EEB7D5"/>
    <w:rsid w:val="2102C780"/>
    <w:rsid w:val="210FC33C"/>
    <w:rsid w:val="2125B087"/>
    <w:rsid w:val="212C0800"/>
    <w:rsid w:val="215A01F4"/>
    <w:rsid w:val="21C73719"/>
    <w:rsid w:val="21DCD3EC"/>
    <w:rsid w:val="220B8C69"/>
    <w:rsid w:val="220D761A"/>
    <w:rsid w:val="227748DF"/>
    <w:rsid w:val="22B73E4B"/>
    <w:rsid w:val="22DF8A5D"/>
    <w:rsid w:val="2304BE11"/>
    <w:rsid w:val="234B4EC4"/>
    <w:rsid w:val="2354BA67"/>
    <w:rsid w:val="23D72C3B"/>
    <w:rsid w:val="23FBADDD"/>
    <w:rsid w:val="245D33A2"/>
    <w:rsid w:val="24A5338A"/>
    <w:rsid w:val="24BEFBED"/>
    <w:rsid w:val="2515336F"/>
    <w:rsid w:val="2521D913"/>
    <w:rsid w:val="254876D6"/>
    <w:rsid w:val="254ADAB6"/>
    <w:rsid w:val="255C4BE8"/>
    <w:rsid w:val="25625144"/>
    <w:rsid w:val="25629D8D"/>
    <w:rsid w:val="256A4CE1"/>
    <w:rsid w:val="264AB056"/>
    <w:rsid w:val="265E19DD"/>
    <w:rsid w:val="26A0A478"/>
    <w:rsid w:val="26A7C4F7"/>
    <w:rsid w:val="2723625F"/>
    <w:rsid w:val="278A3733"/>
    <w:rsid w:val="278E2246"/>
    <w:rsid w:val="27BE91A2"/>
    <w:rsid w:val="27F10A22"/>
    <w:rsid w:val="2802EDB2"/>
    <w:rsid w:val="281AA7B6"/>
    <w:rsid w:val="2861B8B4"/>
    <w:rsid w:val="286C38A4"/>
    <w:rsid w:val="28CC30D8"/>
    <w:rsid w:val="292B8640"/>
    <w:rsid w:val="2954527A"/>
    <w:rsid w:val="29562425"/>
    <w:rsid w:val="297AF280"/>
    <w:rsid w:val="29E124AC"/>
    <w:rsid w:val="2A096151"/>
    <w:rsid w:val="2A6E4C14"/>
    <w:rsid w:val="2AF97CE0"/>
    <w:rsid w:val="2B15F341"/>
    <w:rsid w:val="2B5DA501"/>
    <w:rsid w:val="2C373720"/>
    <w:rsid w:val="2C39CE1C"/>
    <w:rsid w:val="2C5A474B"/>
    <w:rsid w:val="2C70726D"/>
    <w:rsid w:val="2C9B221B"/>
    <w:rsid w:val="2CA57E03"/>
    <w:rsid w:val="2CB0027A"/>
    <w:rsid w:val="2CDA7B4A"/>
    <w:rsid w:val="2D468CC3"/>
    <w:rsid w:val="2D791980"/>
    <w:rsid w:val="2D82FF71"/>
    <w:rsid w:val="2DA06207"/>
    <w:rsid w:val="2DB5820E"/>
    <w:rsid w:val="2E265F4D"/>
    <w:rsid w:val="2E465C44"/>
    <w:rsid w:val="2E58B675"/>
    <w:rsid w:val="2E9CD430"/>
    <w:rsid w:val="2EB90AB2"/>
    <w:rsid w:val="2F0184FB"/>
    <w:rsid w:val="2F38ADDD"/>
    <w:rsid w:val="2F58ECCE"/>
    <w:rsid w:val="2FEED981"/>
    <w:rsid w:val="2FFF9637"/>
    <w:rsid w:val="3045F5AB"/>
    <w:rsid w:val="30B00410"/>
    <w:rsid w:val="30B1DBDC"/>
    <w:rsid w:val="3158013B"/>
    <w:rsid w:val="3164DFAB"/>
    <w:rsid w:val="31F337A4"/>
    <w:rsid w:val="31FF9A42"/>
    <w:rsid w:val="3271C820"/>
    <w:rsid w:val="328854D4"/>
    <w:rsid w:val="337A723F"/>
    <w:rsid w:val="34988ECC"/>
    <w:rsid w:val="34D30B2D"/>
    <w:rsid w:val="34D51569"/>
    <w:rsid w:val="35297BF9"/>
    <w:rsid w:val="35882E1D"/>
    <w:rsid w:val="3613EB9A"/>
    <w:rsid w:val="361DB07A"/>
    <w:rsid w:val="3691AAF0"/>
    <w:rsid w:val="36D53D37"/>
    <w:rsid w:val="370D1CA1"/>
    <w:rsid w:val="374C5538"/>
    <w:rsid w:val="3763ACFF"/>
    <w:rsid w:val="378F1EB8"/>
    <w:rsid w:val="37D4B97C"/>
    <w:rsid w:val="37EAD634"/>
    <w:rsid w:val="383827AF"/>
    <w:rsid w:val="3860D43F"/>
    <w:rsid w:val="38A45520"/>
    <w:rsid w:val="3940F414"/>
    <w:rsid w:val="39856E9B"/>
    <w:rsid w:val="399673FF"/>
    <w:rsid w:val="3BAC6843"/>
    <w:rsid w:val="3BFBDBA7"/>
    <w:rsid w:val="3C2F063B"/>
    <w:rsid w:val="3C82DEAC"/>
    <w:rsid w:val="3CAB998F"/>
    <w:rsid w:val="3CBEFE70"/>
    <w:rsid w:val="3D12CA9C"/>
    <w:rsid w:val="3D82EEC4"/>
    <w:rsid w:val="3DB7DE00"/>
    <w:rsid w:val="3E260927"/>
    <w:rsid w:val="3EC60587"/>
    <w:rsid w:val="3ED12CB8"/>
    <w:rsid w:val="3ED36DCD"/>
    <w:rsid w:val="3ED52426"/>
    <w:rsid w:val="3EF237FF"/>
    <w:rsid w:val="3F405AC0"/>
    <w:rsid w:val="3F708CF0"/>
    <w:rsid w:val="3F90FA21"/>
    <w:rsid w:val="3FB3D3BD"/>
    <w:rsid w:val="3FBABDAA"/>
    <w:rsid w:val="3FC22835"/>
    <w:rsid w:val="404D0C21"/>
    <w:rsid w:val="4059B81C"/>
    <w:rsid w:val="406A6629"/>
    <w:rsid w:val="40A6DBBD"/>
    <w:rsid w:val="40B3F8F4"/>
    <w:rsid w:val="412F7AE2"/>
    <w:rsid w:val="41B37296"/>
    <w:rsid w:val="41D3D1FC"/>
    <w:rsid w:val="4226906E"/>
    <w:rsid w:val="4227B747"/>
    <w:rsid w:val="42445137"/>
    <w:rsid w:val="42515A46"/>
    <w:rsid w:val="429D4409"/>
    <w:rsid w:val="42B447F1"/>
    <w:rsid w:val="42BAD7FE"/>
    <w:rsid w:val="42E8FF13"/>
    <w:rsid w:val="42F2FF18"/>
    <w:rsid w:val="43396419"/>
    <w:rsid w:val="436CFD78"/>
    <w:rsid w:val="438B345F"/>
    <w:rsid w:val="44996BD8"/>
    <w:rsid w:val="44A00654"/>
    <w:rsid w:val="44EB2D82"/>
    <w:rsid w:val="44F2A640"/>
    <w:rsid w:val="4528B718"/>
    <w:rsid w:val="4563CAA2"/>
    <w:rsid w:val="459F624C"/>
    <w:rsid w:val="45F7AC88"/>
    <w:rsid w:val="462FA192"/>
    <w:rsid w:val="46875BD2"/>
    <w:rsid w:val="46CCFD46"/>
    <w:rsid w:val="473B60F4"/>
    <w:rsid w:val="474B1488"/>
    <w:rsid w:val="474FAEBB"/>
    <w:rsid w:val="478BE766"/>
    <w:rsid w:val="478CB5C4"/>
    <w:rsid w:val="485BE2CE"/>
    <w:rsid w:val="4865B5A2"/>
    <w:rsid w:val="4888B21A"/>
    <w:rsid w:val="48C3D786"/>
    <w:rsid w:val="48E21786"/>
    <w:rsid w:val="48F1078F"/>
    <w:rsid w:val="4924E50E"/>
    <w:rsid w:val="4929CEFD"/>
    <w:rsid w:val="4978CBC4"/>
    <w:rsid w:val="49B19CE6"/>
    <w:rsid w:val="49B30F22"/>
    <w:rsid w:val="49FCEC70"/>
    <w:rsid w:val="4A3364CE"/>
    <w:rsid w:val="4A708061"/>
    <w:rsid w:val="4A7DC442"/>
    <w:rsid w:val="4ABBCE40"/>
    <w:rsid w:val="4AC554D9"/>
    <w:rsid w:val="4B06095E"/>
    <w:rsid w:val="4B1AC438"/>
    <w:rsid w:val="4BA6DE94"/>
    <w:rsid w:val="4BBB1598"/>
    <w:rsid w:val="4C0543B8"/>
    <w:rsid w:val="4C47D812"/>
    <w:rsid w:val="4C7B84B1"/>
    <w:rsid w:val="4CF3C36A"/>
    <w:rsid w:val="4D1D9898"/>
    <w:rsid w:val="4D34A602"/>
    <w:rsid w:val="4D50E7F7"/>
    <w:rsid w:val="4D67D8FF"/>
    <w:rsid w:val="4D82C0E3"/>
    <w:rsid w:val="4DA5E505"/>
    <w:rsid w:val="4DCCA085"/>
    <w:rsid w:val="4DE9CD90"/>
    <w:rsid w:val="4E112839"/>
    <w:rsid w:val="4E5710AC"/>
    <w:rsid w:val="4E6F862C"/>
    <w:rsid w:val="4E9EA67A"/>
    <w:rsid w:val="4F146FEC"/>
    <w:rsid w:val="4F873301"/>
    <w:rsid w:val="4F947E0A"/>
    <w:rsid w:val="4FEAB4EB"/>
    <w:rsid w:val="50820877"/>
    <w:rsid w:val="50AB52B0"/>
    <w:rsid w:val="50ADED4B"/>
    <w:rsid w:val="50CF77D7"/>
    <w:rsid w:val="50D8BD93"/>
    <w:rsid w:val="50F997A0"/>
    <w:rsid w:val="514A44D7"/>
    <w:rsid w:val="51784BD6"/>
    <w:rsid w:val="51DA0739"/>
    <w:rsid w:val="5244FE62"/>
    <w:rsid w:val="524FBF00"/>
    <w:rsid w:val="5254FCC5"/>
    <w:rsid w:val="529959C3"/>
    <w:rsid w:val="53230961"/>
    <w:rsid w:val="53896B36"/>
    <w:rsid w:val="53A13BB4"/>
    <w:rsid w:val="53B53634"/>
    <w:rsid w:val="540B3025"/>
    <w:rsid w:val="5453EE85"/>
    <w:rsid w:val="547C961A"/>
    <w:rsid w:val="54910CC5"/>
    <w:rsid w:val="549E7F21"/>
    <w:rsid w:val="54D49625"/>
    <w:rsid w:val="54EC0AC3"/>
    <w:rsid w:val="5509532A"/>
    <w:rsid w:val="55D34FAD"/>
    <w:rsid w:val="56183162"/>
    <w:rsid w:val="5619BA9A"/>
    <w:rsid w:val="5623B241"/>
    <w:rsid w:val="5645DE89"/>
    <w:rsid w:val="56493C6B"/>
    <w:rsid w:val="568FE54A"/>
    <w:rsid w:val="569411B2"/>
    <w:rsid w:val="56B1EFB6"/>
    <w:rsid w:val="5710DBD2"/>
    <w:rsid w:val="5710E58D"/>
    <w:rsid w:val="57462366"/>
    <w:rsid w:val="5780EC2D"/>
    <w:rsid w:val="57ADC196"/>
    <w:rsid w:val="57BDA43C"/>
    <w:rsid w:val="57C29FB0"/>
    <w:rsid w:val="582E2D03"/>
    <w:rsid w:val="58386B7B"/>
    <w:rsid w:val="5864FACF"/>
    <w:rsid w:val="586F6B7B"/>
    <w:rsid w:val="59CB200A"/>
    <w:rsid w:val="5A7A6144"/>
    <w:rsid w:val="5AB17A67"/>
    <w:rsid w:val="5B2EAD36"/>
    <w:rsid w:val="5B7A50CA"/>
    <w:rsid w:val="5B84223B"/>
    <w:rsid w:val="5B876ABF"/>
    <w:rsid w:val="5BAF10AD"/>
    <w:rsid w:val="5BEA13A0"/>
    <w:rsid w:val="5BEC34BA"/>
    <w:rsid w:val="5C092EBC"/>
    <w:rsid w:val="5C1EADF5"/>
    <w:rsid w:val="5C79B02C"/>
    <w:rsid w:val="5CB604A2"/>
    <w:rsid w:val="5D2092BB"/>
    <w:rsid w:val="5DA8F5D2"/>
    <w:rsid w:val="5DB0A768"/>
    <w:rsid w:val="5DBD67AE"/>
    <w:rsid w:val="5DC3665B"/>
    <w:rsid w:val="5E4AB4D9"/>
    <w:rsid w:val="5E7089A2"/>
    <w:rsid w:val="5F9CD185"/>
    <w:rsid w:val="5FF70457"/>
    <w:rsid w:val="6013B992"/>
    <w:rsid w:val="6017B4A9"/>
    <w:rsid w:val="6066EA1A"/>
    <w:rsid w:val="60AC08BC"/>
    <w:rsid w:val="60DABA4A"/>
    <w:rsid w:val="60F123DC"/>
    <w:rsid w:val="60F5988B"/>
    <w:rsid w:val="60FF0320"/>
    <w:rsid w:val="61016805"/>
    <w:rsid w:val="61456AD3"/>
    <w:rsid w:val="61B73D77"/>
    <w:rsid w:val="6202C53B"/>
    <w:rsid w:val="621E48E7"/>
    <w:rsid w:val="625F0E01"/>
    <w:rsid w:val="6267E01D"/>
    <w:rsid w:val="627130C7"/>
    <w:rsid w:val="62C4D1A5"/>
    <w:rsid w:val="62DA3C95"/>
    <w:rsid w:val="6320565C"/>
    <w:rsid w:val="632DCFE5"/>
    <w:rsid w:val="63BE6D35"/>
    <w:rsid w:val="63CECACE"/>
    <w:rsid w:val="63CF15DF"/>
    <w:rsid w:val="63DE56C9"/>
    <w:rsid w:val="64034C34"/>
    <w:rsid w:val="64604DBB"/>
    <w:rsid w:val="64A0B33F"/>
    <w:rsid w:val="64E76ABA"/>
    <w:rsid w:val="650D5D3F"/>
    <w:rsid w:val="6542A2E9"/>
    <w:rsid w:val="65527D1D"/>
    <w:rsid w:val="655B31C3"/>
    <w:rsid w:val="65C66A62"/>
    <w:rsid w:val="65E309FF"/>
    <w:rsid w:val="66060A15"/>
    <w:rsid w:val="66093D01"/>
    <w:rsid w:val="66C0C633"/>
    <w:rsid w:val="66EF355D"/>
    <w:rsid w:val="67485056"/>
    <w:rsid w:val="675722CA"/>
    <w:rsid w:val="675CEA16"/>
    <w:rsid w:val="677F5ED2"/>
    <w:rsid w:val="68079A94"/>
    <w:rsid w:val="68358970"/>
    <w:rsid w:val="684BEB6A"/>
    <w:rsid w:val="684F5FE2"/>
    <w:rsid w:val="6854D277"/>
    <w:rsid w:val="69B2BA02"/>
    <w:rsid w:val="69CAB855"/>
    <w:rsid w:val="6A189A2F"/>
    <w:rsid w:val="6A309133"/>
    <w:rsid w:val="6A4A59C0"/>
    <w:rsid w:val="6A6874C2"/>
    <w:rsid w:val="6AA009F0"/>
    <w:rsid w:val="6AD49176"/>
    <w:rsid w:val="6AE19D51"/>
    <w:rsid w:val="6B9608F4"/>
    <w:rsid w:val="6BEB65A4"/>
    <w:rsid w:val="6C5971C6"/>
    <w:rsid w:val="6CD46B53"/>
    <w:rsid w:val="6D0222D2"/>
    <w:rsid w:val="6D45C1CF"/>
    <w:rsid w:val="6D906EF2"/>
    <w:rsid w:val="6D92806C"/>
    <w:rsid w:val="6DAED5EE"/>
    <w:rsid w:val="6DE0C63B"/>
    <w:rsid w:val="6E01BBC0"/>
    <w:rsid w:val="6E7C4F52"/>
    <w:rsid w:val="6E9B5F6A"/>
    <w:rsid w:val="6ECCFBF1"/>
    <w:rsid w:val="6FD8A133"/>
    <w:rsid w:val="7007D10D"/>
    <w:rsid w:val="70493F2F"/>
    <w:rsid w:val="715A4E4B"/>
    <w:rsid w:val="71F6CAD3"/>
    <w:rsid w:val="72241611"/>
    <w:rsid w:val="72297BC6"/>
    <w:rsid w:val="724E4512"/>
    <w:rsid w:val="7255A51F"/>
    <w:rsid w:val="72931FF4"/>
    <w:rsid w:val="72A2702F"/>
    <w:rsid w:val="72DFECFE"/>
    <w:rsid w:val="733056A0"/>
    <w:rsid w:val="7350CBF5"/>
    <w:rsid w:val="741D490F"/>
    <w:rsid w:val="744ED542"/>
    <w:rsid w:val="74FA6A13"/>
    <w:rsid w:val="7511CA71"/>
    <w:rsid w:val="754434CB"/>
    <w:rsid w:val="75D6F0F9"/>
    <w:rsid w:val="75F528F8"/>
    <w:rsid w:val="75F78640"/>
    <w:rsid w:val="765F83FC"/>
    <w:rsid w:val="76F8FDDA"/>
    <w:rsid w:val="771A9A65"/>
    <w:rsid w:val="78956033"/>
    <w:rsid w:val="791251EC"/>
    <w:rsid w:val="797853E6"/>
    <w:rsid w:val="79CA09C5"/>
    <w:rsid w:val="79E02327"/>
    <w:rsid w:val="7A0C7F1F"/>
    <w:rsid w:val="7AC752DC"/>
    <w:rsid w:val="7AED8800"/>
    <w:rsid w:val="7B69636C"/>
    <w:rsid w:val="7C178653"/>
    <w:rsid w:val="7C47C48B"/>
    <w:rsid w:val="7C5F59F6"/>
    <w:rsid w:val="7C6C34F8"/>
    <w:rsid w:val="7CEA8B83"/>
    <w:rsid w:val="7DFC1579"/>
    <w:rsid w:val="7E489D1E"/>
    <w:rsid w:val="7EC57C6F"/>
    <w:rsid w:val="7EDA7FA9"/>
    <w:rsid w:val="7EE0FF6D"/>
    <w:rsid w:val="7F29A624"/>
    <w:rsid w:val="7F3C8363"/>
    <w:rsid w:val="7F737630"/>
    <w:rsid w:val="7FA5942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138C9"/>
  <w15:chartTrackingRefBased/>
  <w15:docId w15:val="{E6D0BCF4-8350-4041-8111-CE9ADB29B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0D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itre1">
    <w:name w:val="heading 1"/>
    <w:basedOn w:val="Normal"/>
    <w:next w:val="Titre2"/>
    <w:link w:val="Titre1Car"/>
    <w:uiPriority w:val="9"/>
    <w:qFormat/>
    <w:rsid w:val="006440D5"/>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CBDNormalNumber"/>
    <w:link w:val="Titre2Car"/>
    <w:uiPriority w:val="9"/>
    <w:qFormat/>
    <w:rsid w:val="006440D5"/>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6440D5"/>
    <w:pPr>
      <w:keepNext/>
      <w:keepLines/>
      <w:numPr>
        <w:ilvl w:val="2"/>
        <w:numId w:val="7"/>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6440D5"/>
    <w:pPr>
      <w:keepNext/>
      <w:numPr>
        <w:ilvl w:val="3"/>
        <w:numId w:val="7"/>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6440D5"/>
    <w:pPr>
      <w:keepNext/>
      <w:numPr>
        <w:ilvl w:val="4"/>
        <w:numId w:val="7"/>
      </w:numPr>
      <w:spacing w:before="120" w:after="120"/>
      <w:jc w:val="left"/>
      <w:outlineLvl w:val="4"/>
    </w:pPr>
    <w:rPr>
      <w:rFonts w:eastAsiaTheme="majorEastAsia"/>
      <w:i/>
      <w:iCs/>
    </w:rPr>
  </w:style>
  <w:style w:type="paragraph" w:styleId="Titre6">
    <w:name w:val="heading 6"/>
    <w:basedOn w:val="Normal"/>
    <w:next w:val="Normal"/>
    <w:link w:val="Titre6Car"/>
    <w:semiHidden/>
    <w:rsid w:val="006440D5"/>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6440D5"/>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6440D5"/>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6440D5"/>
    <w:pPr>
      <w:keepNext/>
      <w:widowControl w:val="0"/>
      <w:numPr>
        <w:ilvl w:val="8"/>
        <w:numId w:val="8"/>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6440D5"/>
    <w:pPr>
      <w:suppressLineNumbers/>
      <w:suppressAutoHyphens/>
      <w:spacing w:before="240" w:after="120"/>
      <w:jc w:val="left"/>
    </w:pPr>
    <w:rPr>
      <w:rFonts w:eastAsia="Times New Roman"/>
      <w:b/>
      <w:iCs/>
      <w:snapToGrid w:val="0"/>
      <w:kern w:val="22"/>
      <w:sz w:val="24"/>
      <w:lang w:val="en-GB"/>
    </w:rPr>
  </w:style>
  <w:style w:type="paragraph" w:styleId="Corpsdetexte">
    <w:name w:val="Body Text"/>
    <w:basedOn w:val="Normal"/>
    <w:link w:val="CorpsdetexteCar"/>
    <w:uiPriority w:val="99"/>
    <w:semiHidden/>
    <w:unhideWhenUsed/>
    <w:rsid w:val="006440D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CorpsdetexteCar">
    <w:name w:val="Corps de texte Car"/>
    <w:basedOn w:val="Policepardfaut"/>
    <w:link w:val="Corpsdetexte"/>
    <w:uiPriority w:val="99"/>
    <w:semiHidden/>
    <w:rsid w:val="006440D5"/>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6440D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unhideWhenUsed/>
    <w:qFormat/>
    <w:rsid w:val="006440D5"/>
    <w:pPr>
      <w:jc w:val="left"/>
    </w:pPr>
    <w:rPr>
      <w:sz w:val="18"/>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6440D5"/>
    <w:rPr>
      <w:rFonts w:ascii="Times New Roman" w:eastAsia="SimSun" w:hAnsi="Times New Roman" w:cs="Times New Roman"/>
      <w:kern w:val="0"/>
      <w:sz w:val="18"/>
      <w:szCs w:val="20"/>
      <w:lang w:val="en-US"/>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nhideWhenUsed/>
    <w:qFormat/>
    <w:rsid w:val="006440D5"/>
    <w:rPr>
      <w:vertAlign w:val="superscript"/>
    </w:rPr>
  </w:style>
  <w:style w:type="paragraph" w:customStyle="1" w:styleId="Footnote">
    <w:name w:val="Footnote"/>
    <w:basedOn w:val="Notedebasdepage"/>
    <w:qFormat/>
    <w:rsid w:val="006440D5"/>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ind w:left="567" w:firstLine="0"/>
    </w:pPr>
    <w:rPr>
      <w:lang w:val="en-CA"/>
    </w:rPr>
  </w:style>
  <w:style w:type="character" w:customStyle="1" w:styleId="Titre2Car">
    <w:name w:val="Titre 2 Car"/>
    <w:basedOn w:val="Policepardfaut"/>
    <w:link w:val="Titre2"/>
    <w:uiPriority w:val="9"/>
    <w:rsid w:val="006440D5"/>
    <w:rPr>
      <w:rFonts w:ascii="Times New Roman Bold" w:eastAsiaTheme="majorEastAsia" w:hAnsi="Times New Roman Bold" w:cstheme="majorBidi"/>
      <w:b/>
      <w:kern w:val="0"/>
      <w:sz w:val="24"/>
      <w:szCs w:val="26"/>
      <w:lang w:val="en-US"/>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6440D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6440D5"/>
    <w:rPr>
      <w:rFonts w:ascii="Times New Roman" w:eastAsia="SimSun" w:hAnsi="Times New Roman" w:cs="Times New Roman"/>
      <w:kern w:val="0"/>
      <w:sz w:val="20"/>
      <w:lang w:val="en-US"/>
      <w14:ligatures w14:val="none"/>
    </w:rPr>
  </w:style>
  <w:style w:type="paragraph" w:styleId="Pieddepage">
    <w:name w:val="footer"/>
    <w:basedOn w:val="Normal"/>
    <w:link w:val="PieddepageCar"/>
    <w:uiPriority w:val="99"/>
    <w:rsid w:val="006440D5"/>
    <w:pPr>
      <w:tabs>
        <w:tab w:val="center" w:pos="4680"/>
        <w:tab w:val="right" w:pos="9360"/>
      </w:tabs>
    </w:pPr>
    <w:rPr>
      <w:sz w:val="20"/>
    </w:rPr>
  </w:style>
  <w:style w:type="character" w:customStyle="1" w:styleId="PieddepageCar">
    <w:name w:val="Pied de page Car"/>
    <w:basedOn w:val="Policepardfaut"/>
    <w:link w:val="Pieddepage"/>
    <w:uiPriority w:val="99"/>
    <w:rsid w:val="006440D5"/>
    <w:rPr>
      <w:rFonts w:ascii="Times New Roman" w:eastAsia="SimSun" w:hAnsi="Times New Roman" w:cs="Times New Roman"/>
      <w:kern w:val="0"/>
      <w:sz w:val="20"/>
      <w:lang w:val="en-US"/>
      <w14:ligatures w14:val="none"/>
    </w:rPr>
  </w:style>
  <w:style w:type="character" w:customStyle="1" w:styleId="Titre3Car">
    <w:name w:val="Titre 3 Car"/>
    <w:basedOn w:val="Policepardfaut"/>
    <w:link w:val="Titre3"/>
    <w:uiPriority w:val="9"/>
    <w:rsid w:val="006440D5"/>
    <w:rPr>
      <w:rFonts w:ascii="Times New Roman" w:eastAsiaTheme="majorEastAsia" w:hAnsi="Times New Roman" w:cs="Times New Roman"/>
      <w:b/>
      <w:bCs/>
      <w:kern w:val="0"/>
      <w:lang w:val="en-US"/>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6440D5"/>
    <w:pPr>
      <w:spacing w:after="240"/>
    </w:pPr>
    <w:rPr>
      <w:b/>
      <w:sz w:val="28"/>
    </w:rPr>
  </w:style>
  <w:style w:type="paragraph" w:customStyle="1" w:styleId="Para3">
    <w:name w:val="Para 3"/>
    <w:basedOn w:val="Normal"/>
    <w:qFormat/>
    <w:rsid w:val="002B00CA"/>
    <w:pPr>
      <w:numPr>
        <w:numId w:val="3"/>
      </w:numPr>
      <w:spacing w:before="120" w:after="120"/>
      <w:ind w:left="1134" w:firstLine="0"/>
    </w:pPr>
  </w:style>
  <w:style w:type="character" w:customStyle="1" w:styleId="Titre4Car">
    <w:name w:val="Titre 4 Car"/>
    <w:basedOn w:val="Policepardfaut"/>
    <w:link w:val="Titre4"/>
    <w:uiPriority w:val="9"/>
    <w:rsid w:val="006440D5"/>
    <w:rPr>
      <w:rFonts w:ascii="Times New Roman" w:eastAsiaTheme="majorEastAsia" w:hAnsi="Times New Roman" w:cs="Times New Roman"/>
      <w:b/>
      <w:bCs/>
      <w:kern w:val="0"/>
      <w:lang w:val="en-US"/>
      <w14:ligatures w14:val="none"/>
    </w:rPr>
  </w:style>
  <w:style w:type="character" w:customStyle="1" w:styleId="Titre5Car">
    <w:name w:val="Titre 5 Car"/>
    <w:basedOn w:val="Policepardfaut"/>
    <w:link w:val="Titre5"/>
    <w:uiPriority w:val="9"/>
    <w:rsid w:val="006440D5"/>
    <w:rPr>
      <w:rFonts w:ascii="Times New Roman" w:eastAsiaTheme="majorEastAsia" w:hAnsi="Times New Roman" w:cs="Times New Roman"/>
      <w:i/>
      <w:iCs/>
      <w:kern w:val="0"/>
      <w:lang w:val="en-US"/>
      <w14:ligatures w14:val="none"/>
    </w:rPr>
  </w:style>
  <w:style w:type="character" w:styleId="Marquedecommentaire">
    <w:name w:val="annotation reference"/>
    <w:basedOn w:val="Policepardfaut"/>
    <w:uiPriority w:val="99"/>
    <w:semiHidden/>
    <w:unhideWhenUsed/>
    <w:rsid w:val="006440D5"/>
    <w:rPr>
      <w:sz w:val="16"/>
      <w:szCs w:val="16"/>
    </w:rPr>
  </w:style>
  <w:style w:type="paragraph" w:styleId="Commentaire">
    <w:name w:val="annotation text"/>
    <w:basedOn w:val="Normal"/>
    <w:link w:val="CommentaireCar"/>
    <w:uiPriority w:val="99"/>
    <w:rsid w:val="006440D5"/>
    <w:rPr>
      <w:sz w:val="20"/>
      <w:szCs w:val="20"/>
    </w:rPr>
  </w:style>
  <w:style w:type="character" w:customStyle="1" w:styleId="CommentaireCar">
    <w:name w:val="Commentaire Car"/>
    <w:basedOn w:val="Policepardfaut"/>
    <w:link w:val="Commentaire"/>
    <w:uiPriority w:val="99"/>
    <w:rsid w:val="006440D5"/>
    <w:rPr>
      <w:rFonts w:ascii="Times New Roman" w:eastAsia="SimSun" w:hAnsi="Times New Roman" w:cs="Times New Roman"/>
      <w:kern w:val="0"/>
      <w:sz w:val="20"/>
      <w:szCs w:val="20"/>
      <w:lang w:val="en-US"/>
      <w14:ligatures w14:val="none"/>
    </w:rPr>
  </w:style>
  <w:style w:type="paragraph" w:styleId="Objetducommentaire">
    <w:name w:val="annotation subject"/>
    <w:basedOn w:val="Commentaire"/>
    <w:next w:val="Commentaire"/>
    <w:link w:val="ObjetducommentaireCar"/>
    <w:uiPriority w:val="99"/>
    <w:semiHidden/>
    <w:unhideWhenUsed/>
    <w:rsid w:val="006440D5"/>
    <w:rPr>
      <w:b/>
      <w:bCs/>
    </w:rPr>
  </w:style>
  <w:style w:type="character" w:customStyle="1" w:styleId="ObjetducommentaireCar">
    <w:name w:val="Objet du commentaire Car"/>
    <w:basedOn w:val="CommentaireCar"/>
    <w:link w:val="Objetducommentaire"/>
    <w:uiPriority w:val="99"/>
    <w:semiHidden/>
    <w:rsid w:val="006440D5"/>
    <w:rPr>
      <w:rFonts w:ascii="Times New Roman" w:eastAsia="SimSun" w:hAnsi="Times New Roman" w:cs="Times New Roman"/>
      <w:b/>
      <w:bCs/>
      <w:kern w:val="0"/>
      <w:sz w:val="20"/>
      <w:szCs w:val="20"/>
      <w:lang w:val="en-US"/>
      <w14:ligatures w14:val="none"/>
    </w:rPr>
  </w:style>
  <w:style w:type="paragraph" w:styleId="Textedebulles">
    <w:name w:val="Balloon Text"/>
    <w:basedOn w:val="Normal"/>
    <w:link w:val="TextedebullesCar"/>
    <w:uiPriority w:val="99"/>
    <w:semiHidden/>
    <w:unhideWhenUsed/>
    <w:rsid w:val="003227D3"/>
    <w:rPr>
      <w:rFonts w:ascii="Segoe UI" w:hAnsi="Segoe UI" w:cs="Segoe UI"/>
      <w:sz w:val="18"/>
      <w:szCs w:val="18"/>
    </w:rPr>
  </w:style>
  <w:style w:type="character" w:customStyle="1" w:styleId="TextedebullesCar">
    <w:name w:val="Texte de bulles Car"/>
    <w:basedOn w:val="Policepardfaut"/>
    <w:link w:val="Textedebulles"/>
    <w:uiPriority w:val="99"/>
    <w:semiHidden/>
    <w:rsid w:val="003227D3"/>
    <w:rPr>
      <w:rFonts w:ascii="Segoe UI" w:eastAsia="Times New Roman" w:hAnsi="Segoe UI" w:cs="Segoe UI"/>
      <w:kern w:val="0"/>
      <w:sz w:val="18"/>
      <w:szCs w:val="18"/>
      <w:lang w:val="en-GB"/>
      <w14:ligatures w14:val="none"/>
    </w:rPr>
  </w:style>
  <w:style w:type="paragraph" w:styleId="Rvision">
    <w:name w:val="Revision"/>
    <w:hidden/>
    <w:uiPriority w:val="99"/>
    <w:semiHidden/>
    <w:rsid w:val="00AD655B"/>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6440D5"/>
    <w:pPr>
      <w:jc w:val="left"/>
    </w:pPr>
    <w:rPr>
      <w:lang w:val="en-GB"/>
    </w:rPr>
  </w:style>
  <w:style w:type="paragraph" w:customStyle="1" w:styleId="AASmallLogo">
    <w:name w:val="AA_SmallLogo"/>
    <w:basedOn w:val="AEDistrNormal"/>
    <w:unhideWhenUsed/>
    <w:rsid w:val="006440D5"/>
    <w:pPr>
      <w:spacing w:before="40"/>
    </w:pPr>
    <w:rPr>
      <w:sz w:val="4"/>
    </w:rPr>
  </w:style>
  <w:style w:type="paragraph" w:customStyle="1" w:styleId="ABSymbol">
    <w:name w:val="AB_Symbol"/>
    <w:basedOn w:val="Normal"/>
    <w:qFormat/>
    <w:rsid w:val="006440D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6440D5"/>
    <w:rPr>
      <w:lang w:val="en-GB"/>
    </w:rPr>
  </w:style>
  <w:style w:type="paragraph" w:customStyle="1" w:styleId="ACLargeLogo">
    <w:name w:val="AC_LargeLogo"/>
    <w:basedOn w:val="AFCorNotNormal"/>
    <w:next w:val="AISpacer"/>
    <w:unhideWhenUsed/>
    <w:rsid w:val="006440D5"/>
    <w:pPr>
      <w:spacing w:before="120"/>
      <w:contextualSpacing/>
      <w:jc w:val="left"/>
    </w:pPr>
    <w:rPr>
      <w:sz w:val="8"/>
    </w:rPr>
  </w:style>
  <w:style w:type="paragraph" w:customStyle="1" w:styleId="AEDistrNormal6pt">
    <w:name w:val="AE_DistrNormal6pt"/>
    <w:basedOn w:val="AEDistrNormal"/>
    <w:next w:val="AFCorNotNormal"/>
    <w:unhideWhenUsed/>
    <w:qFormat/>
    <w:rsid w:val="006440D5"/>
    <w:pPr>
      <w:spacing w:before="120"/>
    </w:pPr>
  </w:style>
  <w:style w:type="paragraph" w:customStyle="1" w:styleId="AENormal">
    <w:name w:val="AE_Normal"/>
    <w:basedOn w:val="Normal"/>
    <w:rsid w:val="006440D5"/>
    <w:rPr>
      <w:lang w:val="en-GB"/>
    </w:rPr>
  </w:style>
  <w:style w:type="paragraph" w:customStyle="1" w:styleId="AFCorNot12Bold">
    <w:name w:val="AF_CorNot12Bold"/>
    <w:basedOn w:val="AFCorNotNormal"/>
    <w:next w:val="AFCorNotNormal"/>
    <w:unhideWhenUsed/>
    <w:qFormat/>
    <w:rsid w:val="006440D5"/>
    <w:pPr>
      <w:jc w:val="left"/>
    </w:pPr>
    <w:rPr>
      <w:b/>
      <w:sz w:val="24"/>
    </w:rPr>
  </w:style>
  <w:style w:type="paragraph" w:customStyle="1" w:styleId="AFCorNotBold">
    <w:name w:val="AF_CorNotBold"/>
    <w:basedOn w:val="AFCorNotNormal"/>
    <w:next w:val="AFCorNotNormal"/>
    <w:unhideWhenUsed/>
    <w:qFormat/>
    <w:rsid w:val="006440D5"/>
    <w:rPr>
      <w:b/>
    </w:rPr>
  </w:style>
  <w:style w:type="paragraph" w:customStyle="1" w:styleId="AISpacer">
    <w:name w:val="AI_Spacer"/>
    <w:next w:val="Normal"/>
    <w:unhideWhenUsed/>
    <w:qFormat/>
    <w:rsid w:val="006440D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6440D5"/>
    <w:pPr>
      <w:keepNext/>
      <w:keepLines/>
      <w:spacing w:before="240" w:after="120"/>
      <w:jc w:val="left"/>
    </w:pPr>
    <w:rPr>
      <w:b/>
      <w:sz w:val="24"/>
    </w:rPr>
  </w:style>
  <w:style w:type="paragraph" w:customStyle="1" w:styleId="CBDNormal">
    <w:name w:val="CBD_Normal"/>
    <w:unhideWhenUsed/>
    <w:qFormat/>
    <w:rsid w:val="006440D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CBDTitle"/>
    <w:qFormat/>
    <w:rsid w:val="006440D5"/>
    <w:pPr>
      <w:keepNext/>
      <w:keepLines/>
      <w:spacing w:after="240"/>
      <w:jc w:val="left"/>
    </w:pPr>
    <w:rPr>
      <w:b/>
      <w:sz w:val="28"/>
      <w:lang w:val="en-GB" w:bidi="ar-SY"/>
    </w:rPr>
  </w:style>
  <w:style w:type="paragraph" w:customStyle="1" w:styleId="CBDDesicionAnnex">
    <w:name w:val="CBD_DesicionAnnex"/>
    <w:basedOn w:val="CBDNormal"/>
    <w:next w:val="CBDDesicionText"/>
    <w:qFormat/>
    <w:rsid w:val="006440D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6440D5"/>
    <w:pPr>
      <w:spacing w:after="120"/>
      <w:ind w:left="567"/>
    </w:pPr>
  </w:style>
  <w:style w:type="paragraph" w:customStyle="1" w:styleId="CBDFigureTitle">
    <w:name w:val="CBD_FigureTitle"/>
    <w:basedOn w:val="CBDNormal"/>
    <w:next w:val="CBDNormalNoNumber"/>
    <w:qFormat/>
    <w:rsid w:val="006440D5"/>
    <w:pPr>
      <w:keepNext/>
      <w:keepLines/>
      <w:spacing w:before="120" w:after="60"/>
      <w:ind w:left="567"/>
      <w:jc w:val="left"/>
    </w:pPr>
    <w:rPr>
      <w:b/>
    </w:rPr>
  </w:style>
  <w:style w:type="paragraph" w:customStyle="1" w:styleId="CBDFooter">
    <w:name w:val="CBD_Footer"/>
    <w:basedOn w:val="CBDNormal"/>
    <w:qFormat/>
    <w:rsid w:val="006440D5"/>
    <w:rPr>
      <w:sz w:val="20"/>
    </w:rPr>
  </w:style>
  <w:style w:type="paragraph" w:customStyle="1" w:styleId="CBDFootnoteText">
    <w:name w:val="CBD_Footnote_Text"/>
    <w:basedOn w:val="CBDNormal"/>
    <w:qFormat/>
    <w:rsid w:val="006440D5"/>
    <w:pPr>
      <w:jc w:val="left"/>
    </w:pPr>
    <w:rPr>
      <w:sz w:val="18"/>
    </w:rPr>
  </w:style>
  <w:style w:type="paragraph" w:customStyle="1" w:styleId="CBDH1">
    <w:name w:val="CBD_H1"/>
    <w:basedOn w:val="CBDNormal"/>
    <w:qFormat/>
    <w:rsid w:val="006440D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6440D5"/>
    <w:pPr>
      <w:numPr>
        <w:numId w:val="6"/>
      </w:numPr>
      <w:tabs>
        <w:tab w:val="left" w:pos="3969"/>
      </w:tabs>
      <w:spacing w:before="120" w:after="120"/>
    </w:pPr>
    <w:rPr>
      <w:lang w:val="en-GB"/>
    </w:rPr>
  </w:style>
  <w:style w:type="paragraph" w:customStyle="1" w:styleId="CBDH2">
    <w:name w:val="CBD_H2"/>
    <w:basedOn w:val="CBDNormalNumber"/>
    <w:qFormat/>
    <w:rsid w:val="002F6F9D"/>
    <w:pPr>
      <w:keepNext/>
      <w:keepLines/>
      <w:numPr>
        <w:numId w:val="0"/>
      </w:numPr>
      <w:ind w:left="567" w:hanging="567"/>
      <w:outlineLvl w:val="1"/>
    </w:pPr>
    <w:rPr>
      <w:b/>
      <w:sz w:val="24"/>
    </w:rPr>
  </w:style>
  <w:style w:type="paragraph" w:customStyle="1" w:styleId="CBDH3">
    <w:name w:val="CBD_H3"/>
    <w:basedOn w:val="CBDNormal"/>
    <w:qFormat/>
    <w:rsid w:val="006440D5"/>
    <w:pPr>
      <w:keepNext/>
      <w:keepLines/>
      <w:spacing w:before="120" w:after="120"/>
      <w:ind w:left="567" w:hanging="567"/>
      <w:jc w:val="left"/>
    </w:pPr>
    <w:rPr>
      <w:b/>
    </w:rPr>
  </w:style>
  <w:style w:type="paragraph" w:customStyle="1" w:styleId="CBDH4">
    <w:name w:val="CBD_H4"/>
    <w:basedOn w:val="CBDNormal"/>
    <w:rsid w:val="006440D5"/>
    <w:pPr>
      <w:keepNext/>
      <w:keepLines/>
      <w:spacing w:before="120" w:after="120"/>
      <w:ind w:left="567" w:hanging="567"/>
      <w:jc w:val="left"/>
    </w:pPr>
    <w:rPr>
      <w:b/>
    </w:rPr>
  </w:style>
  <w:style w:type="paragraph" w:customStyle="1" w:styleId="CBDH5">
    <w:name w:val="CBD_H5"/>
    <w:basedOn w:val="CBDNormal"/>
    <w:qFormat/>
    <w:rsid w:val="006440D5"/>
    <w:pPr>
      <w:keepNext/>
      <w:keepLines/>
      <w:spacing w:before="120" w:after="120"/>
      <w:ind w:left="567" w:hanging="567"/>
      <w:jc w:val="left"/>
    </w:pPr>
    <w:rPr>
      <w:i/>
    </w:rPr>
  </w:style>
  <w:style w:type="paragraph" w:customStyle="1" w:styleId="CBDHeader">
    <w:name w:val="CBD_Header"/>
    <w:basedOn w:val="CBDNormal"/>
    <w:next w:val="CBDFooter"/>
    <w:qFormat/>
    <w:rsid w:val="006440D5"/>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6440D5"/>
    <w:pPr>
      <w:numPr>
        <w:numId w:val="4"/>
      </w:numPr>
    </w:pPr>
  </w:style>
  <w:style w:type="numbering" w:customStyle="1" w:styleId="CBDHeadings">
    <w:name w:val="CBD_Headings"/>
    <w:basedOn w:val="ListCBD"/>
    <w:uiPriority w:val="99"/>
    <w:rsid w:val="006440D5"/>
    <w:pPr>
      <w:numPr>
        <w:numId w:val="5"/>
      </w:numPr>
    </w:pPr>
  </w:style>
  <w:style w:type="paragraph" w:customStyle="1" w:styleId="CBDNormalNoNumber">
    <w:name w:val="CBD_Normal_NoNumber"/>
    <w:basedOn w:val="CBDNormal"/>
    <w:qFormat/>
    <w:rsid w:val="006440D5"/>
    <w:pPr>
      <w:spacing w:after="120"/>
      <w:ind w:left="567"/>
    </w:pPr>
  </w:style>
  <w:style w:type="paragraph" w:customStyle="1" w:styleId="CBDSubTitle">
    <w:name w:val="CBD_SubTitle"/>
    <w:basedOn w:val="CBDNormal"/>
    <w:qFormat/>
    <w:rsid w:val="006440D5"/>
    <w:pPr>
      <w:keepNext/>
      <w:keepLines/>
      <w:spacing w:before="240" w:after="240"/>
      <w:ind w:left="567"/>
      <w:jc w:val="left"/>
    </w:pPr>
    <w:rPr>
      <w:b/>
      <w:lang w:val="en-GB"/>
    </w:rPr>
  </w:style>
  <w:style w:type="paragraph" w:customStyle="1" w:styleId="CBDTableNormal">
    <w:name w:val="CBD_TableNormal"/>
    <w:basedOn w:val="CBDNormal"/>
    <w:qFormat/>
    <w:rsid w:val="006440D5"/>
    <w:pPr>
      <w:spacing w:before="40" w:after="80"/>
      <w:jc w:val="left"/>
    </w:pPr>
    <w:rPr>
      <w:sz w:val="20"/>
    </w:rPr>
  </w:style>
  <w:style w:type="paragraph" w:customStyle="1" w:styleId="CBDTableTitle">
    <w:name w:val="CBD_TableTitle"/>
    <w:basedOn w:val="CBDNormal"/>
    <w:qFormat/>
    <w:rsid w:val="006440D5"/>
    <w:pPr>
      <w:keepNext/>
      <w:keepLines/>
      <w:spacing w:before="120" w:after="60"/>
      <w:ind w:left="567"/>
      <w:jc w:val="left"/>
    </w:pPr>
    <w:rPr>
      <w:b/>
    </w:rPr>
  </w:style>
  <w:style w:type="paragraph" w:customStyle="1" w:styleId="CBDTitle">
    <w:name w:val="CBD_Title"/>
    <w:basedOn w:val="CBDNormal"/>
    <w:next w:val="CBDSubTitle"/>
    <w:qFormat/>
    <w:rsid w:val="006440D5"/>
    <w:pPr>
      <w:keepNext/>
      <w:keepLines/>
      <w:spacing w:before="240" w:after="240"/>
      <w:ind w:left="567"/>
      <w:jc w:val="left"/>
    </w:pPr>
    <w:rPr>
      <w:b/>
      <w:sz w:val="28"/>
      <w:lang w:val="en-GB"/>
    </w:rPr>
  </w:style>
  <w:style w:type="character" w:customStyle="1" w:styleId="Titre6Car">
    <w:name w:val="Titre 6 Car"/>
    <w:basedOn w:val="Policepardfaut"/>
    <w:link w:val="Titre6"/>
    <w:semiHidden/>
    <w:rsid w:val="006440D5"/>
    <w:rPr>
      <w:rFonts w:ascii="Times New Roman" w:eastAsia="SimSun" w:hAnsi="Times New Roman" w:cs="Times New Roman"/>
      <w:bCs/>
      <w:kern w:val="0"/>
      <w:sz w:val="24"/>
      <w:lang w:val="en-US"/>
      <w14:ligatures w14:val="none"/>
    </w:rPr>
  </w:style>
  <w:style w:type="character" w:customStyle="1" w:styleId="Titre7Car">
    <w:name w:val="Titre 7 Car"/>
    <w:basedOn w:val="Policepardfaut"/>
    <w:link w:val="Titre7"/>
    <w:semiHidden/>
    <w:rsid w:val="006440D5"/>
    <w:rPr>
      <w:rFonts w:ascii="Times New Roman" w:eastAsia="SimSun" w:hAnsi="Times New Roman" w:cs="Times New Roman"/>
      <w:b/>
      <w:snapToGrid w:val="0"/>
      <w:kern w:val="0"/>
      <w:u w:val="single"/>
      <w:lang w:val="en-US"/>
      <w14:ligatures w14:val="none"/>
    </w:rPr>
  </w:style>
  <w:style w:type="character" w:customStyle="1" w:styleId="Titre8Car">
    <w:name w:val="Titre 8 Car"/>
    <w:basedOn w:val="Policepardfaut"/>
    <w:link w:val="Titre8"/>
    <w:semiHidden/>
    <w:rsid w:val="006440D5"/>
    <w:rPr>
      <w:rFonts w:ascii="Times New Roman" w:eastAsia="SimSun" w:hAnsi="Times New Roman" w:cs="Times New Roman"/>
      <w:b/>
      <w:snapToGrid w:val="0"/>
      <w:kern w:val="0"/>
      <w:u w:val="single"/>
      <w:lang w:val="en-US"/>
      <w14:ligatures w14:val="none"/>
    </w:rPr>
  </w:style>
  <w:style w:type="character" w:customStyle="1" w:styleId="Titre9Car">
    <w:name w:val="Titre 9 Car"/>
    <w:basedOn w:val="Policepardfaut"/>
    <w:link w:val="Titre9"/>
    <w:semiHidden/>
    <w:rsid w:val="006440D5"/>
    <w:rPr>
      <w:rFonts w:ascii="Times New Roman" w:eastAsia="SimSun" w:hAnsi="Times New Roman" w:cs="Times New Roman"/>
      <w:snapToGrid w:val="0"/>
      <w:kern w:val="0"/>
      <w:u w:val="single"/>
      <w:lang w:val="en-US"/>
      <w14:ligatures w14:val="none"/>
    </w:rPr>
  </w:style>
  <w:style w:type="character" w:styleId="Lienhypertexte">
    <w:name w:val="Hyperlink"/>
    <w:basedOn w:val="Policepardfaut"/>
    <w:uiPriority w:val="99"/>
    <w:unhideWhenUsed/>
    <w:rsid w:val="006440D5"/>
    <w:rPr>
      <w:rFonts w:ascii="Times New Roman" w:hAnsi="Times New Roman"/>
      <w:color w:val="0563C1" w:themeColor="hyperlink"/>
      <w:u w:val="single"/>
    </w:rPr>
  </w:style>
  <w:style w:type="paragraph" w:styleId="Liste">
    <w:name w:val="List"/>
    <w:basedOn w:val="Normal"/>
    <w:semiHidden/>
    <w:rsid w:val="006440D5"/>
    <w:pPr>
      <w:contextualSpacing/>
    </w:pPr>
  </w:style>
  <w:style w:type="paragraph" w:styleId="Paragraphedeliste">
    <w:name w:val="List Paragraph"/>
    <w:basedOn w:val="Normal"/>
    <w:uiPriority w:val="34"/>
    <w:qFormat/>
    <w:rsid w:val="006440D5"/>
    <w:pPr>
      <w:ind w:left="720"/>
      <w:contextualSpacing/>
    </w:pPr>
  </w:style>
  <w:style w:type="table" w:customStyle="1" w:styleId="TableGrid2">
    <w:name w:val="Table Grid2"/>
    <w:basedOn w:val="TableauNormal"/>
    <w:next w:val="Grilledutableau"/>
    <w:uiPriority w:val="39"/>
    <w:rsid w:val="00335B5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uiPriority w:val="39"/>
    <w:rsid w:val="00B52D07"/>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qFormat/>
    <w:rsid w:val="00802A28"/>
    <w:pPr>
      <w:spacing w:after="160" w:line="240" w:lineRule="exact"/>
    </w:pPr>
    <w:rPr>
      <w:rFonts w:asciiTheme="minorHAnsi" w:eastAsiaTheme="minorHAnsi" w:hAnsiTheme="minorHAnsi" w:cstheme="minorBidi"/>
      <w:kern w:val="2"/>
      <w:vertAlign w:val="superscript"/>
      <w:lang w:val="en-CA"/>
      <w14:ligatures w14:val="standardContextual"/>
    </w:rPr>
  </w:style>
  <w:style w:type="character" w:styleId="Mentionnonrsolue">
    <w:name w:val="Unresolved Mention"/>
    <w:basedOn w:val="Policepardfaut"/>
    <w:uiPriority w:val="99"/>
    <w:semiHidden/>
    <w:unhideWhenUsed/>
    <w:rsid w:val="00930254"/>
    <w:rPr>
      <w:color w:val="605E5C"/>
      <w:shd w:val="clear" w:color="auto" w:fill="E1DFDD"/>
    </w:rPr>
  </w:style>
  <w:style w:type="character" w:styleId="Lienhypertextesuivivisit">
    <w:name w:val="FollowedHyperlink"/>
    <w:basedOn w:val="Policepardfaut"/>
    <w:uiPriority w:val="99"/>
    <w:semiHidden/>
    <w:unhideWhenUsed/>
    <w:rsid w:val="005E16DB"/>
    <w:rPr>
      <w:color w:val="954F72" w:themeColor="followedHyperlink"/>
      <w:u w:val="single"/>
    </w:rPr>
  </w:style>
  <w:style w:type="character" w:styleId="Mention">
    <w:name w:val="Mention"/>
    <w:basedOn w:val="Policepardfaut"/>
    <w:uiPriority w:val="99"/>
    <w:unhideWhenUsed/>
    <w:rsid w:val="00F6695D"/>
    <w:rPr>
      <w:color w:val="2B579A"/>
      <w:shd w:val="clear" w:color="auto" w:fill="E1DFDD"/>
    </w:rPr>
  </w:style>
  <w:style w:type="paragraph" w:styleId="PrformatHTML">
    <w:name w:val="HTML Preformatted"/>
    <w:basedOn w:val="Normal"/>
    <w:link w:val="PrformatHTMLCar"/>
    <w:uiPriority w:val="99"/>
    <w:semiHidden/>
    <w:unhideWhenUsed/>
    <w:rsid w:val="001F02FC"/>
    <w:rPr>
      <w:rFonts w:ascii="Consolas" w:hAnsi="Consolas"/>
      <w:sz w:val="20"/>
      <w:szCs w:val="20"/>
    </w:rPr>
  </w:style>
  <w:style w:type="character" w:customStyle="1" w:styleId="PrformatHTMLCar">
    <w:name w:val="Préformaté HTML Car"/>
    <w:basedOn w:val="Policepardfaut"/>
    <w:link w:val="PrformatHTML"/>
    <w:uiPriority w:val="99"/>
    <w:semiHidden/>
    <w:rsid w:val="001F02FC"/>
    <w:rPr>
      <w:rFonts w:ascii="Consolas" w:eastAsia="SimSun" w:hAnsi="Consolas" w:cs="Times New Roman"/>
      <w:kern w:val="0"/>
      <w:sz w:val="20"/>
      <w:szCs w:val="20"/>
      <w:lang w:val="en-US"/>
      <w14:ligatures w14:val="none"/>
    </w:rPr>
  </w:style>
  <w:style w:type="paragraph" w:customStyle="1" w:styleId="CBD-Doc">
    <w:name w:val="CBD-Doc"/>
    <w:basedOn w:val="Normal"/>
    <w:rsid w:val="00046BD7"/>
    <w:pPr>
      <w:keepLines/>
      <w:numPr>
        <w:numId w:val="49"/>
      </w:numPr>
      <w:spacing w:after="120"/>
    </w:pPr>
    <w:rPr>
      <w:rFonts w:cs="Angsana New"/>
      <w:lang w:val="en-GB"/>
    </w:rPr>
  </w:style>
  <w:style w:type="paragraph" w:customStyle="1" w:styleId="AFCorNNormal">
    <w:name w:val="AF_CorNNormal"/>
    <w:basedOn w:val="Normal"/>
    <w:unhideWhenUsed/>
    <w:rsid w:val="00046BD7"/>
    <w:pPr>
      <w:jc w:val="left"/>
    </w:pPr>
    <w:rPr>
      <w:lang w:val="en-GB"/>
    </w:rPr>
  </w:style>
  <w:style w:type="paragraph" w:customStyle="1" w:styleId="AFCorNBold">
    <w:name w:val="AF_CorNBold"/>
    <w:basedOn w:val="AFCorNNormal"/>
    <w:next w:val="AFCorNNormal"/>
    <w:unhideWhenUsed/>
    <w:qFormat/>
    <w:rsid w:val="00046BD7"/>
    <w:rPr>
      <w:b/>
    </w:rPr>
  </w:style>
  <w:style w:type="paragraph" w:customStyle="1" w:styleId="AFCorN12Bold">
    <w:name w:val="AF_CorN12Bold"/>
    <w:basedOn w:val="AFCorNNormal"/>
    <w:next w:val="AFCorNNormal"/>
    <w:unhideWhenUsed/>
    <w:qFormat/>
    <w:rsid w:val="00046BD7"/>
    <w:rPr>
      <w:b/>
      <w:sz w:val="24"/>
    </w:rPr>
  </w:style>
  <w:style w:type="paragraph" w:styleId="NormalWeb">
    <w:name w:val="Normal (Web)"/>
    <w:basedOn w:val="Normal"/>
    <w:uiPriority w:val="99"/>
    <w:semiHidden/>
    <w:unhideWhenUsed/>
    <w:rsid w:val="00FE312D"/>
    <w:pPr>
      <w:tabs>
        <w:tab w:val="clear" w:pos="567"/>
        <w:tab w:val="clear" w:pos="1134"/>
        <w:tab w:val="clear" w:pos="1701"/>
        <w:tab w:val="clear" w:pos="2268"/>
      </w:tabs>
      <w:spacing w:before="100" w:beforeAutospacing="1" w:after="100" w:afterAutospacing="1"/>
      <w:jc w:val="left"/>
    </w:pPr>
    <w:rPr>
      <w:rFonts w:eastAsia="Times New Roman"/>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meetings/CP-MOP-10" TargetMode="External"/><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5.png"/><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meetings/CP-MOP-10" TargetMode="External"/><Relationship Id="rId25" Type="http://schemas.openxmlformats.org/officeDocument/2006/relationships/image" Target="media/image8.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meetings/CP-MOP-10" TargetMode="External"/><Relationship Id="rId20" Type="http://schemas.openxmlformats.org/officeDocument/2006/relationships/image" Target="media/image4.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7.png"/><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bd.int/meetings/CP-MOP-10" TargetMode="External"/><Relationship Id="rId23" Type="http://schemas.openxmlformats.org/officeDocument/2006/relationships/image" Target="media/image6.png"/><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cbd.int/meetings/CP-MOP-10"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meetings/CP-MOP-10" TargetMode="External"/><Relationship Id="rId22" Type="http://schemas.openxmlformats.org/officeDocument/2006/relationships/hyperlink" Target="https://bch.cbd.int/fr/kb/tags/nr5/Frequently-Asked-Questions-Fifth-National-Report/6529434b05aa4d43a9bf0936" TargetMode="External"/><Relationship Id="rId27" Type="http://schemas.openxmlformats.org/officeDocument/2006/relationships/image" Target="media/image10.png"/><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ca65/92c9/6815b913a74d1ac68923cd04/cp-rarm-om-2022-02-02-en.pdf" TargetMode="External"/><Relationship Id="rId13" Type="http://schemas.openxmlformats.org/officeDocument/2006/relationships/hyperlink" Target="https://www.cbd.int/doc/c/2ca8/e8d0/aa506372033b6114bacd3b17/cp-diom-2023-01-01-en.pdf" TargetMode="External"/><Relationship Id="rId3" Type="http://schemas.openxmlformats.org/officeDocument/2006/relationships/hyperlink" Target="https://bch.cbd.int/protocol/issues/5ar.shtml" TargetMode="External"/><Relationship Id="rId7" Type="http://schemas.openxmlformats.org/officeDocument/2006/relationships/hyperlink" Target="https://www.cbd.int/doc/c/23e0/4bb1/d309d7a73154a7df480cd4ff/cp-rarm-om-2022-01-02-fr.pdf" TargetMode="External"/><Relationship Id="rId12" Type="http://schemas.openxmlformats.org/officeDocument/2006/relationships/hyperlink" Target="https://bch.cbd.int/fr/database/VLR/BCH-VLR-SCBD-260177" TargetMode="External"/><Relationship Id="rId2" Type="http://schemas.openxmlformats.org/officeDocument/2006/relationships/hyperlink" Target="https://bch.cbd.int/fr/reports" TargetMode="External"/><Relationship Id="rId16" Type="http://schemas.openxmlformats.org/officeDocument/2006/relationships/hyperlink" Target="https://bch.cbd.int/en/portals/capacity-building/forum"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meetings/CP-MOP-10" TargetMode="External"/><Relationship Id="rId11" Type="http://schemas.openxmlformats.org/officeDocument/2006/relationships/hyperlink" Target="https://www.cbd.int/doc/c/a5b6/c563/73c80eb3334c9dee1a320f85/ra-om-2025-01-02-en.pdf" TargetMode="External"/><Relationship Id="rId5" Type="http://schemas.openxmlformats.org/officeDocument/2006/relationships/hyperlink" Target="https://bch.cbd.int/fr/kb/tags/nr5/Frequently-Asked-Questions-Fifth-National-Report/6529434b05aa4d43a9bf0936" TargetMode="External"/><Relationship Id="rId15" Type="http://schemas.openxmlformats.org/officeDocument/2006/relationships/hyperlink" Target="https://www.cbd.int/doc/notifications/2025/ntf-2025-001-bs-en.pdf" TargetMode="External"/><Relationship Id="rId10" Type="http://schemas.openxmlformats.org/officeDocument/2006/relationships/hyperlink" Target="https://www.cbd.int/doc/c/03fe/0d6a/627cb90a3c452f58b91c0e11/cp-ra-om-2024-01-02-en.pdf" TargetMode="External"/><Relationship Id="rId4" Type="http://schemas.openxmlformats.org/officeDocument/2006/relationships/hyperlink" Target="https://unitednations.sharepoint.com/sites/MEA-CBD-EditingTeam/Shared%20Documents/Meeting%20documents/SBI/SBI-07/www.thegef.org/projects-operations/projects/5688" TargetMode="External"/><Relationship Id="rId9" Type="http://schemas.openxmlformats.org/officeDocument/2006/relationships/hyperlink" Target="https://www.cbd.int/doc/c/e7ca/9b20/07b17c52c3478d465883ebc6/cp-rarm-om-2022-03-02-en.pdf" TargetMode="External"/><Relationship Id="rId14" Type="http://schemas.openxmlformats.org/officeDocument/2006/relationships/hyperlink" Target="https://www.cbd.int/doc/c/c077/9c5d/e9861c73e063b8fae11d7499/cp-di-ws-2025-01-02-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E85BEDD486447E885E558869939F08"/>
        <w:category>
          <w:name w:val="General"/>
          <w:gallery w:val="placeholder"/>
        </w:category>
        <w:types>
          <w:type w:val="bbPlcHdr"/>
        </w:types>
        <w:behaviors>
          <w:behavior w:val="content"/>
        </w:behaviors>
        <w:guid w:val="{66BB3FAA-7DAC-440B-BCEE-2287EE8A55E2}"/>
      </w:docPartPr>
      <w:docPartBody>
        <w:p w:rsidR="00DD4C4B" w:rsidRDefault="00283E92">
          <w:pPr>
            <w:pStyle w:val="D2E85BEDD486447E885E558869939F08"/>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6FF" w:usb1="4000FCFF" w:usb2="00000009" w:usb3="00000000" w:csb0="000001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AB5"/>
    <w:rsid w:val="000454F2"/>
    <w:rsid w:val="00045ED5"/>
    <w:rsid w:val="00061917"/>
    <w:rsid w:val="000621B5"/>
    <w:rsid w:val="00066999"/>
    <w:rsid w:val="000B3504"/>
    <w:rsid w:val="000C7C4F"/>
    <w:rsid w:val="000D4722"/>
    <w:rsid w:val="00102D24"/>
    <w:rsid w:val="00130837"/>
    <w:rsid w:val="00131AA4"/>
    <w:rsid w:val="001358A9"/>
    <w:rsid w:val="00151505"/>
    <w:rsid w:val="00172F3D"/>
    <w:rsid w:val="00191AFA"/>
    <w:rsid w:val="0019623D"/>
    <w:rsid w:val="001A4743"/>
    <w:rsid w:val="001C4076"/>
    <w:rsid w:val="00207599"/>
    <w:rsid w:val="00225ED9"/>
    <w:rsid w:val="00243027"/>
    <w:rsid w:val="002534DE"/>
    <w:rsid w:val="00283E92"/>
    <w:rsid w:val="002C3AD6"/>
    <w:rsid w:val="002D7701"/>
    <w:rsid w:val="002E77B9"/>
    <w:rsid w:val="002F238C"/>
    <w:rsid w:val="00325159"/>
    <w:rsid w:val="00366969"/>
    <w:rsid w:val="003746B9"/>
    <w:rsid w:val="00376B08"/>
    <w:rsid w:val="00384898"/>
    <w:rsid w:val="003A4ABA"/>
    <w:rsid w:val="003B4586"/>
    <w:rsid w:val="003C0AB5"/>
    <w:rsid w:val="003C2A77"/>
    <w:rsid w:val="003C4458"/>
    <w:rsid w:val="003E3248"/>
    <w:rsid w:val="003F1488"/>
    <w:rsid w:val="004043D2"/>
    <w:rsid w:val="004315A6"/>
    <w:rsid w:val="00443C80"/>
    <w:rsid w:val="00493592"/>
    <w:rsid w:val="004A1AD6"/>
    <w:rsid w:val="004D7C5E"/>
    <w:rsid w:val="005221E2"/>
    <w:rsid w:val="00525A2E"/>
    <w:rsid w:val="00541134"/>
    <w:rsid w:val="00563779"/>
    <w:rsid w:val="00584E27"/>
    <w:rsid w:val="005C352A"/>
    <w:rsid w:val="005E757F"/>
    <w:rsid w:val="005F49FA"/>
    <w:rsid w:val="00620375"/>
    <w:rsid w:val="00622F8B"/>
    <w:rsid w:val="00623BFC"/>
    <w:rsid w:val="0063466C"/>
    <w:rsid w:val="006558A8"/>
    <w:rsid w:val="006563AE"/>
    <w:rsid w:val="00670013"/>
    <w:rsid w:val="006702E5"/>
    <w:rsid w:val="00686358"/>
    <w:rsid w:val="007204B5"/>
    <w:rsid w:val="007368C2"/>
    <w:rsid w:val="007B71E9"/>
    <w:rsid w:val="007D5E69"/>
    <w:rsid w:val="00804C02"/>
    <w:rsid w:val="008706CA"/>
    <w:rsid w:val="008743FA"/>
    <w:rsid w:val="00875729"/>
    <w:rsid w:val="008854E5"/>
    <w:rsid w:val="00895FCE"/>
    <w:rsid w:val="008A0B85"/>
    <w:rsid w:val="008B0B66"/>
    <w:rsid w:val="008F099C"/>
    <w:rsid w:val="00905FE1"/>
    <w:rsid w:val="0093306C"/>
    <w:rsid w:val="00934ADA"/>
    <w:rsid w:val="00942F99"/>
    <w:rsid w:val="00966AFB"/>
    <w:rsid w:val="0099296F"/>
    <w:rsid w:val="009A5BBF"/>
    <w:rsid w:val="009B1746"/>
    <w:rsid w:val="009D1858"/>
    <w:rsid w:val="00A15111"/>
    <w:rsid w:val="00A15CB3"/>
    <w:rsid w:val="00A26E18"/>
    <w:rsid w:val="00A575C0"/>
    <w:rsid w:val="00A72A34"/>
    <w:rsid w:val="00A73D7A"/>
    <w:rsid w:val="00A82304"/>
    <w:rsid w:val="00A978E4"/>
    <w:rsid w:val="00AD07B4"/>
    <w:rsid w:val="00AF5E97"/>
    <w:rsid w:val="00B01052"/>
    <w:rsid w:val="00B04D2A"/>
    <w:rsid w:val="00B11D79"/>
    <w:rsid w:val="00B1630C"/>
    <w:rsid w:val="00B233B3"/>
    <w:rsid w:val="00B27CDD"/>
    <w:rsid w:val="00B36EEB"/>
    <w:rsid w:val="00BA1BF1"/>
    <w:rsid w:val="00BB2DAD"/>
    <w:rsid w:val="00BC21B3"/>
    <w:rsid w:val="00BF39B2"/>
    <w:rsid w:val="00C10FB4"/>
    <w:rsid w:val="00C17133"/>
    <w:rsid w:val="00C42FA1"/>
    <w:rsid w:val="00C60CD8"/>
    <w:rsid w:val="00C620CC"/>
    <w:rsid w:val="00C85838"/>
    <w:rsid w:val="00C915E8"/>
    <w:rsid w:val="00CD3427"/>
    <w:rsid w:val="00CF0DFB"/>
    <w:rsid w:val="00CF2883"/>
    <w:rsid w:val="00D21E18"/>
    <w:rsid w:val="00D23474"/>
    <w:rsid w:val="00D32D30"/>
    <w:rsid w:val="00D41FE7"/>
    <w:rsid w:val="00D62A95"/>
    <w:rsid w:val="00D85882"/>
    <w:rsid w:val="00D967CC"/>
    <w:rsid w:val="00DD4C4B"/>
    <w:rsid w:val="00DE788E"/>
    <w:rsid w:val="00E2312A"/>
    <w:rsid w:val="00E26A4F"/>
    <w:rsid w:val="00E50939"/>
    <w:rsid w:val="00E52D98"/>
    <w:rsid w:val="00E569BA"/>
    <w:rsid w:val="00E75BD2"/>
    <w:rsid w:val="00E91107"/>
    <w:rsid w:val="00E95521"/>
    <w:rsid w:val="00EA185D"/>
    <w:rsid w:val="00EB2BF3"/>
    <w:rsid w:val="00F437F2"/>
    <w:rsid w:val="00F4636D"/>
    <w:rsid w:val="00F817F1"/>
    <w:rsid w:val="00F9370A"/>
    <w:rsid w:val="00FC0E86"/>
    <w:rsid w:val="00FD09CB"/>
    <w:rsid w:val="00FE29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34ADA"/>
    <w:rPr>
      <w:color w:val="808080"/>
    </w:rPr>
  </w:style>
  <w:style w:type="paragraph" w:customStyle="1" w:styleId="D2E85BEDD486447E885E558869939F08">
    <w:name w:val="D2E85BEDD486447E885E558869939F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2FF833-0F1D-4BDF-826A-FCBEEEC3DDF8}">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E8A006F5-1EAC-4E62-BAF7-39792650B9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2F7A552-A68E-4DFD-A40A-DCC313863853}"/>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template-general.dotm</Template>
  <TotalTime>4580</TotalTime>
  <Pages>49</Pages>
  <Words>28358</Words>
  <Characters>155975</Characters>
  <Application>Microsoft Office Word</Application>
  <DocSecurity>0</DocSecurity>
  <Lines>1299</Lines>
  <Paragraphs>367</Paragraphs>
  <ScaleCrop>false</ScaleCrop>
  <Company/>
  <LinksUpToDate>false</LinksUpToDate>
  <CharactersWithSpaces>183966</CharactersWithSpaces>
  <SharedDoc>false</SharedDoc>
  <HLinks>
    <vt:vector size="138" baseType="variant">
      <vt:variant>
        <vt:i4>5505050</vt:i4>
      </vt:variant>
      <vt:variant>
        <vt:i4>18</vt:i4>
      </vt:variant>
      <vt:variant>
        <vt:i4>0</vt:i4>
      </vt:variant>
      <vt:variant>
        <vt:i4>5</vt:i4>
      </vt:variant>
      <vt:variant>
        <vt:lpwstr>https://bch.cbd.int/en/kb</vt:lpwstr>
      </vt:variant>
      <vt:variant>
        <vt:lpwstr/>
      </vt:variant>
      <vt:variant>
        <vt:i4>7667759</vt:i4>
      </vt:variant>
      <vt:variant>
        <vt:i4>15</vt:i4>
      </vt:variant>
      <vt:variant>
        <vt:i4>0</vt:i4>
      </vt:variant>
      <vt:variant>
        <vt:i4>5</vt:i4>
      </vt:variant>
      <vt:variant>
        <vt:lpwstr>https://www.cbd.int/meetings/CP-MOP-10</vt:lpwstr>
      </vt:variant>
      <vt:variant>
        <vt:lpwstr/>
      </vt:variant>
      <vt:variant>
        <vt:i4>7667759</vt:i4>
      </vt:variant>
      <vt:variant>
        <vt:i4>12</vt:i4>
      </vt:variant>
      <vt:variant>
        <vt:i4>0</vt:i4>
      </vt:variant>
      <vt:variant>
        <vt:i4>5</vt:i4>
      </vt:variant>
      <vt:variant>
        <vt:lpwstr>https://www.cbd.int/meetings/CP-MOP-10</vt:lpwstr>
      </vt:variant>
      <vt:variant>
        <vt:lpwstr/>
      </vt:variant>
      <vt:variant>
        <vt:i4>7667759</vt:i4>
      </vt:variant>
      <vt:variant>
        <vt:i4>9</vt:i4>
      </vt:variant>
      <vt:variant>
        <vt:i4>0</vt:i4>
      </vt:variant>
      <vt:variant>
        <vt:i4>5</vt:i4>
      </vt:variant>
      <vt:variant>
        <vt:lpwstr>https://www.cbd.int/meetings/CP-MOP-10</vt:lpwstr>
      </vt:variant>
      <vt:variant>
        <vt:lpwstr/>
      </vt:variant>
      <vt:variant>
        <vt:i4>7667759</vt:i4>
      </vt:variant>
      <vt:variant>
        <vt:i4>6</vt:i4>
      </vt:variant>
      <vt:variant>
        <vt:i4>0</vt:i4>
      </vt:variant>
      <vt:variant>
        <vt:i4>5</vt:i4>
      </vt:variant>
      <vt:variant>
        <vt:lpwstr>https://www.cbd.int/meetings/CP-MOP-10</vt:lpwstr>
      </vt:variant>
      <vt:variant>
        <vt:lpwstr/>
      </vt:variant>
      <vt:variant>
        <vt:i4>7667759</vt:i4>
      </vt:variant>
      <vt:variant>
        <vt:i4>3</vt:i4>
      </vt:variant>
      <vt:variant>
        <vt:i4>0</vt:i4>
      </vt:variant>
      <vt:variant>
        <vt:i4>5</vt:i4>
      </vt:variant>
      <vt:variant>
        <vt:lpwstr>https://www.cbd.int/meetings/CP-MOP-10</vt:lpwstr>
      </vt:variant>
      <vt:variant>
        <vt:lpwstr/>
      </vt:variant>
      <vt:variant>
        <vt:i4>7667759</vt:i4>
      </vt:variant>
      <vt:variant>
        <vt:i4>0</vt:i4>
      </vt:variant>
      <vt:variant>
        <vt:i4>0</vt:i4>
      </vt:variant>
      <vt:variant>
        <vt:i4>5</vt:i4>
      </vt:variant>
      <vt:variant>
        <vt:lpwstr>https://www.cbd.int/meetings/CP-MOP-10</vt:lpwstr>
      </vt:variant>
      <vt:variant>
        <vt:lpwstr/>
      </vt:variant>
      <vt:variant>
        <vt:i4>6815846</vt:i4>
      </vt:variant>
      <vt:variant>
        <vt:i4>45</vt:i4>
      </vt:variant>
      <vt:variant>
        <vt:i4>0</vt:i4>
      </vt:variant>
      <vt:variant>
        <vt:i4>5</vt:i4>
      </vt:variant>
      <vt:variant>
        <vt:lpwstr>https://bch.cbd.int/en/portals/capacity-building/forum</vt:lpwstr>
      </vt:variant>
      <vt:variant>
        <vt:lpwstr/>
      </vt:variant>
      <vt:variant>
        <vt:i4>6750256</vt:i4>
      </vt:variant>
      <vt:variant>
        <vt:i4>42</vt:i4>
      </vt:variant>
      <vt:variant>
        <vt:i4>0</vt:i4>
      </vt:variant>
      <vt:variant>
        <vt:i4>5</vt:i4>
      </vt:variant>
      <vt:variant>
        <vt:lpwstr>https://www.cbd.int/notifications/2025-001</vt:lpwstr>
      </vt:variant>
      <vt:variant>
        <vt:lpwstr/>
      </vt:variant>
      <vt:variant>
        <vt:i4>2818158</vt:i4>
      </vt:variant>
      <vt:variant>
        <vt:i4>39</vt:i4>
      </vt:variant>
      <vt:variant>
        <vt:i4>0</vt:i4>
      </vt:variant>
      <vt:variant>
        <vt:i4>5</vt:i4>
      </vt:variant>
      <vt:variant>
        <vt:lpwstr>https://www.cbd.int/doc/c/c077/9c5d/e9861c73e063b8fae11d7499/cp-di-ws-2025-01-02-en.pdf</vt:lpwstr>
      </vt:variant>
      <vt:variant>
        <vt:lpwstr/>
      </vt:variant>
      <vt:variant>
        <vt:i4>3670113</vt:i4>
      </vt:variant>
      <vt:variant>
        <vt:i4>36</vt:i4>
      </vt:variant>
      <vt:variant>
        <vt:i4>0</vt:i4>
      </vt:variant>
      <vt:variant>
        <vt:i4>5</vt:i4>
      </vt:variant>
      <vt:variant>
        <vt:lpwstr>https://www.cbd.int/doc/c/2ca8/e8d0/aa506372033b6114bacd3b17/cp-diom-2023-01-01-en.pdf</vt:lpwstr>
      </vt:variant>
      <vt:variant>
        <vt:lpwstr/>
      </vt:variant>
      <vt:variant>
        <vt:i4>7274543</vt:i4>
      </vt:variant>
      <vt:variant>
        <vt:i4>33</vt:i4>
      </vt:variant>
      <vt:variant>
        <vt:i4>0</vt:i4>
      </vt:variant>
      <vt:variant>
        <vt:i4>5</vt:i4>
      </vt:variant>
      <vt:variant>
        <vt:lpwstr>https://bch.cbd.int/en/database/VLR/BCH-VLR-SCBD-260177</vt:lpwstr>
      </vt:variant>
      <vt:variant>
        <vt:lpwstr/>
      </vt:variant>
      <vt:variant>
        <vt:i4>1310794</vt:i4>
      </vt:variant>
      <vt:variant>
        <vt:i4>30</vt:i4>
      </vt:variant>
      <vt:variant>
        <vt:i4>0</vt:i4>
      </vt:variant>
      <vt:variant>
        <vt:i4>5</vt:i4>
      </vt:variant>
      <vt:variant>
        <vt:lpwstr>https://www.cbd.int/doc/c/a5b6/c563/73c80eb3334c9dee1a320f85/ra-om-2025-01-02-en.pdf</vt:lpwstr>
      </vt:variant>
      <vt:variant>
        <vt:lpwstr/>
      </vt:variant>
      <vt:variant>
        <vt:i4>3342385</vt:i4>
      </vt:variant>
      <vt:variant>
        <vt:i4>27</vt:i4>
      </vt:variant>
      <vt:variant>
        <vt:i4>0</vt:i4>
      </vt:variant>
      <vt:variant>
        <vt:i4>5</vt:i4>
      </vt:variant>
      <vt:variant>
        <vt:lpwstr>https://www.cbd.int/doc/c/03fe/0d6a/627cb90a3c452f58b91c0e11/cp-ra-om-2024-01-02-en.pdf</vt:lpwstr>
      </vt:variant>
      <vt:variant>
        <vt:lpwstr/>
      </vt:variant>
      <vt:variant>
        <vt:i4>262215</vt:i4>
      </vt:variant>
      <vt:variant>
        <vt:i4>24</vt:i4>
      </vt:variant>
      <vt:variant>
        <vt:i4>0</vt:i4>
      </vt:variant>
      <vt:variant>
        <vt:i4>5</vt:i4>
      </vt:variant>
      <vt:variant>
        <vt:lpwstr>https://www.cbd.int/doc/c/e7ca/9b20/07b17c52c3478d465883ebc6/cp-rarm-om-2022-03-02-en.pdf</vt:lpwstr>
      </vt:variant>
      <vt:variant>
        <vt:lpwstr/>
      </vt:variant>
      <vt:variant>
        <vt:i4>5242950</vt:i4>
      </vt:variant>
      <vt:variant>
        <vt:i4>21</vt:i4>
      </vt:variant>
      <vt:variant>
        <vt:i4>0</vt:i4>
      </vt:variant>
      <vt:variant>
        <vt:i4>5</vt:i4>
      </vt:variant>
      <vt:variant>
        <vt:lpwstr>https://www.cbd.int/doc/c/ca65/92c9/6815b913a74d1ac68923cd04/cp-rarm-om-2022-02-02-en.pdf</vt:lpwstr>
      </vt:variant>
      <vt:variant>
        <vt:lpwstr/>
      </vt:variant>
      <vt:variant>
        <vt:i4>393309</vt:i4>
      </vt:variant>
      <vt:variant>
        <vt:i4>18</vt:i4>
      </vt:variant>
      <vt:variant>
        <vt:i4>0</vt:i4>
      </vt:variant>
      <vt:variant>
        <vt:i4>5</vt:i4>
      </vt:variant>
      <vt:variant>
        <vt:lpwstr>https://www.cbd.int/doc/c/23e0/4bb1/d309d7a73154a7df480cd4ff/cp-rarm-om-2022-01-02-fr.pdf</vt:lpwstr>
      </vt:variant>
      <vt:variant>
        <vt:lpwstr/>
      </vt:variant>
      <vt:variant>
        <vt:i4>7667759</vt:i4>
      </vt:variant>
      <vt:variant>
        <vt:i4>15</vt:i4>
      </vt:variant>
      <vt:variant>
        <vt:i4>0</vt:i4>
      </vt:variant>
      <vt:variant>
        <vt:i4>5</vt:i4>
      </vt:variant>
      <vt:variant>
        <vt:lpwstr>https://www.cbd.int/meetings/CP-MOP-10</vt:lpwstr>
      </vt:variant>
      <vt:variant>
        <vt:lpwstr/>
      </vt:variant>
      <vt:variant>
        <vt:i4>1507354</vt:i4>
      </vt:variant>
      <vt:variant>
        <vt:i4>12</vt:i4>
      </vt:variant>
      <vt:variant>
        <vt:i4>0</vt:i4>
      </vt:variant>
      <vt:variant>
        <vt:i4>5</vt:i4>
      </vt:variant>
      <vt:variant>
        <vt:lpwstr>https://bch.cbd.int/en/kb/tags/nr5/Frequently-Asked-Questions-Fifth-National-Report/6529434b05aa4d43a9bf0936</vt:lpwstr>
      </vt:variant>
      <vt:variant>
        <vt:lpwstr/>
      </vt:variant>
      <vt:variant>
        <vt:i4>5177353</vt:i4>
      </vt:variant>
      <vt:variant>
        <vt:i4>9</vt:i4>
      </vt:variant>
      <vt:variant>
        <vt:i4>0</vt:i4>
      </vt:variant>
      <vt:variant>
        <vt:i4>5</vt:i4>
      </vt:variant>
      <vt:variant>
        <vt:lpwstr>https://www.thegef.org/projects-operations/projects/5688</vt:lpwstr>
      </vt:variant>
      <vt:variant>
        <vt:lpwstr/>
      </vt:variant>
      <vt:variant>
        <vt:i4>4325461</vt:i4>
      </vt:variant>
      <vt:variant>
        <vt:i4>6</vt:i4>
      </vt:variant>
      <vt:variant>
        <vt:i4>0</vt:i4>
      </vt:variant>
      <vt:variant>
        <vt:i4>5</vt:i4>
      </vt:variant>
      <vt:variant>
        <vt:lpwstr>https://bch.cbd.int/protocol/issues/5ar.shtml</vt:lpwstr>
      </vt:variant>
      <vt:variant>
        <vt:lpwstr/>
      </vt:variant>
      <vt:variant>
        <vt:i4>3932260</vt:i4>
      </vt:variant>
      <vt:variant>
        <vt:i4>3</vt:i4>
      </vt:variant>
      <vt:variant>
        <vt:i4>0</vt:i4>
      </vt:variant>
      <vt:variant>
        <vt:i4>5</vt:i4>
      </vt:variant>
      <vt:variant>
        <vt:lpwstr>https://bch.cbd.int/en/reports</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Analyse des informations en vue du cinquième exercice d’évaluation et d’examen de l’efficacité du Protocole de Cartagena sur la prévention des risques biotechnologiques et évaluation à mi-parcours du plan de mise en œuvre et du plan d’action pour la création et le renforcement des capacités du Protocole</dc:title>
  <dc:subject>CBD/SBI/7/6/Add.1</dc:subject>
  <dc:creator>veronique.lefebvre</dc:creator>
  <cp:keywords/>
  <dc:description/>
  <cp:lastModifiedBy>Lucas MAGDALENA</cp:lastModifiedBy>
  <cp:revision>768</cp:revision>
  <dcterms:created xsi:type="dcterms:W3CDTF">2026-05-29T11:42:00Z</dcterms:created>
  <dcterms:modified xsi:type="dcterms:W3CDTF">2026-06-16T13:13:00Z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0x0101007A328EB00E67F346B6174BE96D327B2B</vt:lpwstr>
  </property>
</Properties>
</file>