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0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
        <w:gridCol w:w="5141"/>
        <w:gridCol w:w="4090"/>
      </w:tblGrid>
      <w:tr w:rsidR="00AD15B5" w:rsidRPr="00C16AB3" w14:paraId="6A671D7E" w14:textId="77777777" w:rsidTr="008E51D3">
        <w:trPr>
          <w:trHeight w:val="851"/>
        </w:trPr>
        <w:tc>
          <w:tcPr>
            <w:tcW w:w="800" w:type="dxa"/>
            <w:tcBorders>
              <w:bottom w:val="single" w:sz="12" w:space="0" w:color="auto"/>
            </w:tcBorders>
          </w:tcPr>
          <w:p w14:paraId="041AC4B1" w14:textId="77777777" w:rsidR="00AD15B5" w:rsidRPr="005025F2" w:rsidRDefault="00AD15B5" w:rsidP="005F3F9A">
            <w:pPr>
              <w:suppressLineNumbers/>
              <w:suppressAutoHyphens/>
              <w:rPr>
                <w:kern w:val="22"/>
              </w:rPr>
            </w:pPr>
            <w:r w:rsidRPr="00F5491E">
              <w:rPr>
                <w:noProof/>
                <w:kern w:val="22"/>
                <w:lang w:eastAsia="en-CA"/>
              </w:rPr>
              <w:drawing>
                <wp:anchor distT="0" distB="0" distL="114300" distR="114300" simplePos="0" relativeHeight="251658241" behindDoc="0" locked="0" layoutInCell="1" allowOverlap="1" wp14:anchorId="58FAA64F" wp14:editId="22CB0356">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1F86AC8" w14:textId="77777777" w:rsidR="00AD15B5" w:rsidRPr="005025F2" w:rsidRDefault="00AD15B5" w:rsidP="005F3F9A">
            <w:pPr>
              <w:suppressLineNumbers/>
              <w:suppressAutoHyphens/>
              <w:rPr>
                <w:kern w:val="22"/>
              </w:rPr>
            </w:pPr>
            <w:r w:rsidRPr="00F5491E">
              <w:rPr>
                <w:noProof/>
                <w:lang w:eastAsia="en-CA"/>
              </w:rPr>
              <w:drawing>
                <wp:anchor distT="0" distB="0" distL="114300" distR="114300" simplePos="0" relativeHeight="251658240" behindDoc="0" locked="0" layoutInCell="1" allowOverlap="1" wp14:anchorId="614BBD87" wp14:editId="31B2C23B">
                  <wp:simplePos x="0" y="0"/>
                  <wp:positionH relativeFrom="column">
                    <wp:posOffset>119380</wp:posOffset>
                  </wp:positionH>
                  <wp:positionV relativeFrom="page">
                    <wp:posOffset>-86995</wp:posOffset>
                  </wp:positionV>
                  <wp:extent cx="941011" cy="59338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02254224" w14:textId="77777777" w:rsidR="00AD15B5" w:rsidRPr="00C16AB3" w:rsidRDefault="00AD15B5" w:rsidP="005F3F9A">
            <w:pPr>
              <w:suppressLineNumbers/>
              <w:suppressAutoHyphens/>
              <w:jc w:val="right"/>
              <w:rPr>
                <w:rFonts w:ascii="Arial" w:hAnsi="Arial" w:cs="Arial"/>
                <w:b/>
                <w:kern w:val="22"/>
                <w:sz w:val="32"/>
                <w:szCs w:val="32"/>
              </w:rPr>
            </w:pPr>
            <w:r w:rsidRPr="00C16AB3">
              <w:rPr>
                <w:rFonts w:ascii="Arial" w:hAnsi="Arial" w:cs="Arial"/>
                <w:b/>
                <w:kern w:val="22"/>
                <w:sz w:val="32"/>
                <w:szCs w:val="32"/>
              </w:rPr>
              <w:t>CBD</w:t>
            </w:r>
          </w:p>
        </w:tc>
      </w:tr>
      <w:tr w:rsidR="00AD15B5" w:rsidRPr="00C16AB3" w14:paraId="6EE81857" w14:textId="77777777" w:rsidTr="008E51D3">
        <w:tc>
          <w:tcPr>
            <w:tcW w:w="5941" w:type="dxa"/>
            <w:gridSpan w:val="2"/>
            <w:tcBorders>
              <w:top w:val="single" w:sz="12" w:space="0" w:color="auto"/>
              <w:bottom w:val="single" w:sz="36" w:space="0" w:color="auto"/>
            </w:tcBorders>
            <w:vAlign w:val="center"/>
          </w:tcPr>
          <w:p w14:paraId="10E35062" w14:textId="77777777" w:rsidR="00AD15B5" w:rsidRPr="005025F2" w:rsidRDefault="00AD15B5" w:rsidP="005F3F9A">
            <w:pPr>
              <w:suppressLineNumbers/>
              <w:suppressAutoHyphens/>
              <w:rPr>
                <w:kern w:val="22"/>
              </w:rPr>
            </w:pPr>
            <w:r w:rsidRPr="00F5491E">
              <w:rPr>
                <w:noProof/>
                <w:kern w:val="22"/>
                <w:lang w:eastAsia="en-CA"/>
              </w:rPr>
              <w:drawing>
                <wp:inline distT="0" distB="0" distL="0" distR="0" wp14:anchorId="31D21146" wp14:editId="62ED7AFA">
                  <wp:extent cx="2887853" cy="1080000"/>
                  <wp:effectExtent l="0" t="0" r="8255" b="12700"/>
                  <wp:docPr id="6" name="Picture 6"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B8F6F67" w14:textId="77777777" w:rsidR="00AD15B5" w:rsidRPr="00C16AB3" w:rsidRDefault="00AD15B5" w:rsidP="005F3F9A">
            <w:pPr>
              <w:suppressLineNumbers/>
              <w:suppressAutoHyphens/>
              <w:ind w:left="1215"/>
              <w:rPr>
                <w:kern w:val="22"/>
                <w:szCs w:val="22"/>
              </w:rPr>
            </w:pPr>
            <w:r w:rsidRPr="00C16AB3">
              <w:rPr>
                <w:kern w:val="22"/>
                <w:szCs w:val="22"/>
              </w:rPr>
              <w:t>Distr.</w:t>
            </w:r>
          </w:p>
          <w:p w14:paraId="48B1BE46" w14:textId="77777777" w:rsidR="00AD15B5" w:rsidRPr="00C16AB3" w:rsidRDefault="00AD15B5" w:rsidP="005F3F9A">
            <w:pPr>
              <w:suppressLineNumbers/>
              <w:suppressAutoHyphens/>
              <w:ind w:left="1215"/>
              <w:rPr>
                <w:kern w:val="22"/>
                <w:szCs w:val="22"/>
              </w:rPr>
            </w:pPr>
            <w:r w:rsidRPr="00C16AB3">
              <w:rPr>
                <w:kern w:val="22"/>
                <w:szCs w:val="22"/>
              </w:rPr>
              <w:t>GENERAL</w:t>
            </w:r>
          </w:p>
          <w:p w14:paraId="65DD6702" w14:textId="77777777" w:rsidR="00AD15B5" w:rsidRPr="00C16AB3" w:rsidRDefault="00AD15B5" w:rsidP="005F3F9A">
            <w:pPr>
              <w:suppressLineNumbers/>
              <w:suppressAutoHyphens/>
              <w:ind w:left="1215"/>
              <w:rPr>
                <w:kern w:val="22"/>
                <w:szCs w:val="22"/>
              </w:rPr>
            </w:pPr>
          </w:p>
          <w:bookmarkStart w:id="0" w:name="_Hlk82676226" w:displacedByCustomXml="next"/>
          <w:sdt>
            <w:sdtPr>
              <w:rPr>
                <w:kern w:val="22"/>
                <w:szCs w:val="22"/>
              </w:rPr>
              <w:alias w:val="Subject"/>
              <w:tag w:val=""/>
              <w:id w:val="475568643"/>
              <w:placeholder>
                <w:docPart w:val="4BFC2725F4D34E609C1F5397B8284F5F"/>
              </w:placeholder>
              <w:dataBinding w:prefixMappings="xmlns:ns0='http://purl.org/dc/elements/1.1/' xmlns:ns1='http://schemas.openxmlformats.org/package/2006/metadata/core-properties' " w:xpath="/ns1:coreProperties[1]/ns0:subject[1]" w:storeItemID="{6C3C8BC8-F283-45AE-878A-BAB7291924A1}"/>
              <w:text/>
            </w:sdtPr>
            <w:sdtEndPr/>
            <w:sdtContent>
              <w:p w14:paraId="79C5A0EC" w14:textId="7ADBEA75" w:rsidR="00AD15B5" w:rsidRPr="005025F2" w:rsidRDefault="00AD15B5" w:rsidP="005F3F9A">
                <w:pPr>
                  <w:suppressLineNumbers/>
                  <w:suppressAutoHyphens/>
                  <w:ind w:left="1215"/>
                  <w:rPr>
                    <w:kern w:val="22"/>
                    <w:szCs w:val="22"/>
                  </w:rPr>
                </w:pPr>
                <w:r w:rsidRPr="005025F2">
                  <w:rPr>
                    <w:kern w:val="22"/>
                    <w:szCs w:val="22"/>
                  </w:rPr>
                  <w:t>CBD/CP/MOP/10/</w:t>
                </w:r>
                <w:r w:rsidR="004A5A70">
                  <w:rPr>
                    <w:kern w:val="22"/>
                    <w:szCs w:val="22"/>
                  </w:rPr>
                  <w:t>INF/</w:t>
                </w:r>
                <w:r w:rsidR="00DE2692">
                  <w:rPr>
                    <w:kern w:val="22"/>
                    <w:szCs w:val="22"/>
                  </w:rPr>
                  <w:t>1</w:t>
                </w:r>
              </w:p>
            </w:sdtContent>
          </w:sdt>
          <w:bookmarkEnd w:id="0" w:displacedByCustomXml="prev"/>
          <w:p w14:paraId="2DBB7ED6" w14:textId="0C253FD7" w:rsidR="00AD15B5" w:rsidRPr="00C16AB3" w:rsidRDefault="004A5A70" w:rsidP="005F3F9A">
            <w:pPr>
              <w:suppressLineNumbers/>
              <w:suppressAutoHyphens/>
              <w:ind w:left="1215"/>
              <w:rPr>
                <w:kern w:val="22"/>
                <w:szCs w:val="22"/>
              </w:rPr>
            </w:pPr>
            <w:r>
              <w:rPr>
                <w:kern w:val="22"/>
                <w:szCs w:val="22"/>
              </w:rPr>
              <w:t>11</w:t>
            </w:r>
            <w:r w:rsidR="00AD15B5" w:rsidRPr="00C16AB3">
              <w:rPr>
                <w:kern w:val="22"/>
                <w:szCs w:val="22"/>
              </w:rPr>
              <w:t xml:space="preserve"> </w:t>
            </w:r>
            <w:r>
              <w:rPr>
                <w:kern w:val="22"/>
                <w:szCs w:val="22"/>
              </w:rPr>
              <w:t>Octo</w:t>
            </w:r>
            <w:r w:rsidR="000069C6">
              <w:rPr>
                <w:kern w:val="22"/>
                <w:szCs w:val="22"/>
              </w:rPr>
              <w:t>ber</w:t>
            </w:r>
            <w:r w:rsidR="00AD15B5" w:rsidRPr="00C16AB3">
              <w:rPr>
                <w:kern w:val="22"/>
                <w:szCs w:val="22"/>
              </w:rPr>
              <w:t xml:space="preserve"> 202</w:t>
            </w:r>
            <w:r w:rsidR="000069C6">
              <w:rPr>
                <w:kern w:val="22"/>
                <w:szCs w:val="22"/>
              </w:rPr>
              <w:t>1</w:t>
            </w:r>
          </w:p>
          <w:p w14:paraId="0CFDB063" w14:textId="77777777" w:rsidR="00AD15B5" w:rsidRPr="00C16AB3" w:rsidRDefault="00AD15B5" w:rsidP="005F3F9A">
            <w:pPr>
              <w:suppressLineNumbers/>
              <w:suppressAutoHyphens/>
              <w:ind w:left="1215"/>
              <w:rPr>
                <w:kern w:val="22"/>
                <w:szCs w:val="22"/>
              </w:rPr>
            </w:pPr>
          </w:p>
          <w:p w14:paraId="7B6474DE" w14:textId="4C85FB4F" w:rsidR="00AD15B5" w:rsidRPr="00C16AB3" w:rsidRDefault="00AD15B5" w:rsidP="005F3F9A">
            <w:pPr>
              <w:suppressLineNumbers/>
              <w:suppressAutoHyphens/>
              <w:ind w:left="1215"/>
              <w:rPr>
                <w:kern w:val="22"/>
                <w:szCs w:val="22"/>
              </w:rPr>
            </w:pPr>
            <w:r w:rsidRPr="00C16AB3">
              <w:rPr>
                <w:kern w:val="22"/>
                <w:szCs w:val="22"/>
              </w:rPr>
              <w:t>ORIGINA</w:t>
            </w:r>
            <w:r w:rsidR="00B445CA" w:rsidRPr="00C16AB3">
              <w:rPr>
                <w:kern w:val="22"/>
                <w:szCs w:val="22"/>
              </w:rPr>
              <w:t>L</w:t>
            </w:r>
            <w:r w:rsidRPr="00C16AB3">
              <w:rPr>
                <w:kern w:val="22"/>
                <w:szCs w:val="22"/>
              </w:rPr>
              <w:t>: ENGLISH</w:t>
            </w:r>
          </w:p>
          <w:p w14:paraId="57E45D9C" w14:textId="77777777" w:rsidR="00AD15B5" w:rsidRPr="00C16AB3" w:rsidRDefault="00AD15B5" w:rsidP="005F3F9A">
            <w:pPr>
              <w:suppressLineNumbers/>
              <w:suppressAutoHyphens/>
              <w:rPr>
                <w:kern w:val="22"/>
              </w:rPr>
            </w:pPr>
          </w:p>
        </w:tc>
      </w:tr>
    </w:tbl>
    <w:p w14:paraId="31BB7B48" w14:textId="1D8E299D" w:rsidR="00391A45" w:rsidRPr="00C16AB3" w:rsidRDefault="00391A45" w:rsidP="000F539C">
      <w:pPr>
        <w:pStyle w:val="Cornernotation"/>
        <w:ind w:left="142" w:right="3831" w:hanging="142"/>
        <w:rPr>
          <w:kern w:val="22"/>
          <w:szCs w:val="22"/>
        </w:rPr>
      </w:pPr>
      <w:r w:rsidRPr="005025F2">
        <w:rPr>
          <w:kern w:val="22"/>
          <w:szCs w:val="22"/>
        </w:rPr>
        <w:t xml:space="preserve">CONFERENCE OF THE PARTIES </w:t>
      </w:r>
      <w:r w:rsidR="00A866D5">
        <w:rPr>
          <w:kern w:val="22"/>
          <w:szCs w:val="22"/>
        </w:rPr>
        <w:t xml:space="preserve">TO THE CONVENTION </w:t>
      </w:r>
      <w:r w:rsidR="005915FC">
        <w:rPr>
          <w:kern w:val="22"/>
          <w:szCs w:val="22"/>
        </w:rPr>
        <w:t xml:space="preserve">ON BIOLOGICAL DIVERSITY </w:t>
      </w:r>
      <w:r w:rsidRPr="005025F2">
        <w:rPr>
          <w:kern w:val="22"/>
          <w:szCs w:val="22"/>
        </w:rPr>
        <w:t>SERVING AS THE MEETING OF THE PARTIES TO THE CARTAGENA PROTOCOL ON BIOSAFETY</w:t>
      </w:r>
    </w:p>
    <w:p w14:paraId="00754703" w14:textId="539B3170" w:rsidR="00391A45" w:rsidRPr="00C16AB3" w:rsidRDefault="00AD15B5" w:rsidP="00F5491E">
      <w:pPr>
        <w:pStyle w:val="Cornernotation"/>
        <w:ind w:left="284" w:right="5816" w:hanging="284"/>
        <w:rPr>
          <w:kern w:val="22"/>
          <w:szCs w:val="22"/>
        </w:rPr>
      </w:pPr>
      <w:r w:rsidRPr="00C16AB3">
        <w:rPr>
          <w:kern w:val="22"/>
          <w:szCs w:val="22"/>
        </w:rPr>
        <w:t>Tenth</w:t>
      </w:r>
      <w:r w:rsidR="00391A45" w:rsidRPr="00C16AB3">
        <w:rPr>
          <w:kern w:val="22"/>
          <w:szCs w:val="22"/>
        </w:rPr>
        <w:t xml:space="preserve"> meeting</w:t>
      </w:r>
    </w:p>
    <w:p w14:paraId="4DC9FDA4" w14:textId="6A82081B" w:rsidR="00C9161D" w:rsidRPr="005025F2" w:rsidRDefault="00514335" w:rsidP="00F5491E">
      <w:pPr>
        <w:ind w:left="284" w:right="5816" w:hanging="284"/>
        <w:jc w:val="left"/>
        <w:rPr>
          <w:kern w:val="22"/>
        </w:rPr>
      </w:pPr>
      <w:r w:rsidRPr="00F5491E">
        <w:rPr>
          <w:kern w:val="22"/>
        </w:rPr>
        <w:t>Kunming, China, 11-15 October 2021 and 25 April to 8 May 2022</w:t>
      </w:r>
    </w:p>
    <w:p w14:paraId="68E13656" w14:textId="40D098AE" w:rsidR="00AD15B5" w:rsidRPr="00C16AB3" w:rsidRDefault="00334C65" w:rsidP="00F5491E">
      <w:pPr>
        <w:spacing w:after="240"/>
        <w:jc w:val="left"/>
        <w:rPr>
          <w:kern w:val="22"/>
        </w:rPr>
      </w:pPr>
      <w:r w:rsidRPr="003443B2">
        <w:rPr>
          <w:kern w:val="22"/>
        </w:rPr>
        <w:t>Item</w:t>
      </w:r>
      <w:r w:rsidR="00772D25" w:rsidRPr="003443B2">
        <w:rPr>
          <w:kern w:val="22"/>
        </w:rPr>
        <w:t xml:space="preserve"> </w:t>
      </w:r>
      <w:r w:rsidR="004A5A70">
        <w:rPr>
          <w:kern w:val="22"/>
        </w:rPr>
        <w:t>17</w:t>
      </w:r>
      <w:r w:rsidRPr="00C16AB3">
        <w:rPr>
          <w:kern w:val="22"/>
        </w:rPr>
        <w:t xml:space="preserve"> of the provisional agenda</w:t>
      </w:r>
      <w:r w:rsidR="00772D25" w:rsidRPr="00C16AB3">
        <w:rPr>
          <w:rStyle w:val="FootnoteReference"/>
          <w:kern w:val="22"/>
        </w:rPr>
        <w:footnoteReference w:customMarkFollows="1" w:id="2"/>
        <w:t>*</w:t>
      </w:r>
    </w:p>
    <w:p w14:paraId="59144AF4" w14:textId="728AF317" w:rsidR="00C9161D" w:rsidRPr="002C2D29" w:rsidRDefault="004B5490" w:rsidP="006B2916">
      <w:pPr>
        <w:pStyle w:val="Heading1"/>
      </w:pPr>
      <w:sdt>
        <w:sdt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231A2">
            <w:t>S</w:t>
          </w:r>
          <w:r w:rsidR="006231A2" w:rsidRPr="004A5A70">
            <w:t>tudy on financial security mechanisms (</w:t>
          </w:r>
          <w:r w:rsidR="006231A2">
            <w:t>A</w:t>
          </w:r>
          <w:r w:rsidR="006231A2" w:rsidRPr="004A5A70">
            <w:t xml:space="preserve">rticle 10 of the </w:t>
          </w:r>
          <w:r w:rsidR="006231A2">
            <w:t>N</w:t>
          </w:r>
          <w:r w:rsidR="006231A2" w:rsidRPr="004A5A70">
            <w:t xml:space="preserve">agoya – </w:t>
          </w:r>
          <w:r w:rsidR="006231A2">
            <w:t>K</w:t>
          </w:r>
          <w:r w:rsidR="006231A2" w:rsidRPr="004A5A70">
            <w:t xml:space="preserve">uala </w:t>
          </w:r>
          <w:r w:rsidR="006231A2">
            <w:t>L</w:t>
          </w:r>
          <w:r w:rsidR="006231A2" w:rsidRPr="004A5A70">
            <w:t xml:space="preserve">umpur </w:t>
          </w:r>
          <w:r w:rsidR="006231A2">
            <w:t>S</w:t>
          </w:r>
          <w:r w:rsidR="006231A2" w:rsidRPr="004A5A70">
            <w:t xml:space="preserve">upplementary </w:t>
          </w:r>
          <w:r w:rsidR="006231A2">
            <w:t>P</w:t>
          </w:r>
          <w:r w:rsidR="006231A2" w:rsidRPr="004A5A70">
            <w:t>rotocol</w:t>
          </w:r>
          <w:r w:rsidR="006231A2">
            <w:t xml:space="preserve"> on Liability and Redress</w:t>
          </w:r>
          <w:r w:rsidR="006231A2" w:rsidRPr="004A5A70">
            <w:t>)</w:t>
          </w:r>
        </w:sdtContent>
      </w:sdt>
    </w:p>
    <w:p w14:paraId="393D892F" w14:textId="25380B11" w:rsidR="00DE2692" w:rsidRDefault="00057CAE" w:rsidP="006B2916">
      <w:pPr>
        <w:pStyle w:val="Para1"/>
        <w:numPr>
          <w:ilvl w:val="0"/>
          <w:numId w:val="14"/>
        </w:numPr>
        <w:suppressLineNumbers/>
        <w:tabs>
          <w:tab w:val="clear" w:pos="360"/>
          <w:tab w:val="left" w:pos="720"/>
        </w:tabs>
        <w:suppressAutoHyphens/>
        <w:snapToGrid w:val="0"/>
        <w:rPr>
          <w:i/>
          <w:kern w:val="22"/>
          <w:szCs w:val="22"/>
        </w:rPr>
      </w:pPr>
      <w:r>
        <w:t>I</w:t>
      </w:r>
      <w:r w:rsidR="004909B7">
        <w:t xml:space="preserve">n </w:t>
      </w:r>
      <w:hyperlink r:id="rId15" w:history="1">
        <w:r w:rsidR="004909B7" w:rsidRPr="004909B7">
          <w:rPr>
            <w:rStyle w:val="Hyperlink"/>
            <w:sz w:val="22"/>
          </w:rPr>
          <w:t>decision CP-9/15</w:t>
        </w:r>
      </w:hyperlink>
      <w:r w:rsidR="004909B7">
        <w:t>,</w:t>
      </w:r>
      <w:r w:rsidR="00DE2692">
        <w:t xml:space="preserve"> the Conference of the Parties serving as the meeting of the Parties to the Cartagena Protocol on Biosafety requested</w:t>
      </w:r>
      <w:r w:rsidR="004909B7">
        <w:t xml:space="preserve"> </w:t>
      </w:r>
      <w:r w:rsidR="00DE2692">
        <w:t xml:space="preserve">the Executive Secretary, in accordance with </w:t>
      </w:r>
      <w:r w:rsidR="00DE2692" w:rsidRPr="00B84603">
        <w:t xml:space="preserve">Article 10, paragraph 3, of the </w:t>
      </w:r>
      <w:r w:rsidR="00053DCB">
        <w:t xml:space="preserve">Nagoya-Kuala Lumpur </w:t>
      </w:r>
      <w:r w:rsidR="00DE2692" w:rsidRPr="00B84603">
        <w:t>Supplementary Protocol</w:t>
      </w:r>
      <w:r w:rsidR="00053DCB">
        <w:t xml:space="preserve"> on Liability and Redress (Supplementary Protocol)</w:t>
      </w:r>
      <w:r w:rsidR="00DE2692">
        <w:t>, to undertake a comprehensive study</w:t>
      </w:r>
      <w:r w:rsidR="00DE2692">
        <w:rPr>
          <w:kern w:val="22"/>
          <w:szCs w:val="22"/>
        </w:rPr>
        <w:t>, subject to the availability of funds from the Voluntary Trust Fund, for consideration at its next meeting, addressing:</w:t>
      </w:r>
    </w:p>
    <w:p w14:paraId="08C49C94" w14:textId="77777777" w:rsidR="00DE2692" w:rsidRDefault="00DE2692" w:rsidP="006B2916">
      <w:pPr>
        <w:pStyle w:val="Para1"/>
        <w:numPr>
          <w:ilvl w:val="0"/>
          <w:numId w:val="15"/>
        </w:numPr>
        <w:suppressLineNumbers/>
        <w:tabs>
          <w:tab w:val="clear" w:pos="360"/>
        </w:tabs>
        <w:suppressAutoHyphens/>
        <w:snapToGrid w:val="0"/>
        <w:spacing w:before="0"/>
        <w:ind w:firstLine="720"/>
        <w:rPr>
          <w:kern w:val="22"/>
          <w:szCs w:val="22"/>
        </w:rPr>
      </w:pPr>
      <w:r>
        <w:rPr>
          <w:kern w:val="22"/>
          <w:szCs w:val="22"/>
        </w:rPr>
        <w:t>The modalities of financial security mechanisms;</w:t>
      </w:r>
    </w:p>
    <w:p w14:paraId="79B79EB2" w14:textId="77777777" w:rsidR="00DE2692" w:rsidRDefault="00DE2692" w:rsidP="006B2916">
      <w:pPr>
        <w:pStyle w:val="Para1"/>
        <w:numPr>
          <w:ilvl w:val="0"/>
          <w:numId w:val="15"/>
        </w:numPr>
        <w:suppressLineNumbers/>
        <w:tabs>
          <w:tab w:val="clear" w:pos="360"/>
        </w:tabs>
        <w:suppressAutoHyphens/>
        <w:snapToGrid w:val="0"/>
        <w:spacing w:before="0"/>
        <w:ind w:firstLine="720"/>
        <w:rPr>
          <w:kern w:val="22"/>
          <w:szCs w:val="22"/>
        </w:rPr>
      </w:pPr>
      <w:r>
        <w:rPr>
          <w:kern w:val="22"/>
          <w:szCs w:val="22"/>
        </w:rPr>
        <w:t xml:space="preserve">An assessment of the environmental, economic and social impacts of such mechanisms, </w:t>
      </w:r>
      <w:proofErr w:type="gramStart"/>
      <w:r>
        <w:rPr>
          <w:kern w:val="22"/>
          <w:szCs w:val="22"/>
        </w:rPr>
        <w:t>in particular on</w:t>
      </w:r>
      <w:proofErr w:type="gramEnd"/>
      <w:r>
        <w:rPr>
          <w:kern w:val="22"/>
          <w:szCs w:val="22"/>
        </w:rPr>
        <w:t xml:space="preserve"> developing countries;</w:t>
      </w:r>
    </w:p>
    <w:p w14:paraId="14501711" w14:textId="2E4DF803" w:rsidR="00DE2692" w:rsidRDefault="00DE2692" w:rsidP="006B2916">
      <w:pPr>
        <w:pStyle w:val="Para1"/>
        <w:numPr>
          <w:ilvl w:val="0"/>
          <w:numId w:val="15"/>
        </w:numPr>
        <w:suppressLineNumbers/>
        <w:tabs>
          <w:tab w:val="clear" w:pos="360"/>
        </w:tabs>
        <w:suppressAutoHyphens/>
        <w:snapToGrid w:val="0"/>
        <w:spacing w:before="0"/>
        <w:ind w:firstLine="720"/>
        <w:rPr>
          <w:kern w:val="22"/>
          <w:szCs w:val="22"/>
        </w:rPr>
      </w:pPr>
      <w:r>
        <w:rPr>
          <w:kern w:val="22"/>
          <w:szCs w:val="22"/>
        </w:rPr>
        <w:t>An identification of the appropriate entities to provide financial security</w:t>
      </w:r>
      <w:r w:rsidR="00C84F19">
        <w:rPr>
          <w:kern w:val="22"/>
          <w:szCs w:val="22"/>
        </w:rPr>
        <w:t>.</w:t>
      </w:r>
    </w:p>
    <w:p w14:paraId="007098FD" w14:textId="720D5E45" w:rsidR="00515AA4" w:rsidRDefault="00D57DD3" w:rsidP="00C84F19">
      <w:pPr>
        <w:pStyle w:val="Para1"/>
        <w:tabs>
          <w:tab w:val="clear" w:pos="360"/>
        </w:tabs>
      </w:pPr>
      <w:r>
        <w:t xml:space="preserve">Accordingly, </w:t>
      </w:r>
      <w:r w:rsidR="00515AA4">
        <w:t>a consultant was commissioned to undertake the study</w:t>
      </w:r>
      <w:r w:rsidR="00C84F19">
        <w:t xml:space="preserve"> using funds available in the Voluntary Trust Fund</w:t>
      </w:r>
      <w:r>
        <w:t>.</w:t>
      </w:r>
    </w:p>
    <w:p w14:paraId="5EB8FC72" w14:textId="7A5235EE" w:rsidR="00515AA4" w:rsidRDefault="00D57DD3" w:rsidP="00C84F19">
      <w:pPr>
        <w:pStyle w:val="Para1"/>
        <w:tabs>
          <w:tab w:val="clear" w:pos="360"/>
        </w:tabs>
      </w:pPr>
      <w:r>
        <w:t xml:space="preserve">A draft of the study was made available </w:t>
      </w:r>
      <w:r w:rsidR="00515AA4">
        <w:t>on the Secretariat website</w:t>
      </w:r>
      <w:r>
        <w:t xml:space="preserve"> for peer review from 2</w:t>
      </w:r>
      <w:r w:rsidR="00515AA4">
        <w:t>5</w:t>
      </w:r>
      <w:r>
        <w:t xml:space="preserve"> </w:t>
      </w:r>
      <w:r w:rsidR="00515AA4">
        <w:t>May</w:t>
      </w:r>
      <w:r>
        <w:t xml:space="preserve"> to 2</w:t>
      </w:r>
      <w:r w:rsidR="00515AA4">
        <w:t>5</w:t>
      </w:r>
      <w:r>
        <w:t xml:space="preserve"> </w:t>
      </w:r>
      <w:r w:rsidR="00515AA4">
        <w:t>June</w:t>
      </w:r>
      <w:r>
        <w:t xml:space="preserve"> 20</w:t>
      </w:r>
      <w:r w:rsidR="00515AA4">
        <w:t>21</w:t>
      </w:r>
      <w:r w:rsidR="00B64F90">
        <w:t>,</w:t>
      </w:r>
      <w:r w:rsidR="00515AA4">
        <w:t xml:space="preserve"> and Parties to the Supplementary Protocol, as well as other Governments, relevant organizations and indigenous peoples and local communities, were invited to submit comments.</w:t>
      </w:r>
      <w:r w:rsidR="00EC00F0">
        <w:rPr>
          <w:rStyle w:val="FootnoteReference"/>
        </w:rPr>
        <w:footnoteReference w:id="3"/>
      </w:r>
      <w:r w:rsidR="00515AA4">
        <w:t xml:space="preserve"> </w:t>
      </w:r>
    </w:p>
    <w:p w14:paraId="0E063A7E" w14:textId="67D871C9" w:rsidR="00DE2692" w:rsidRPr="00515AA4" w:rsidRDefault="00DE2692" w:rsidP="009168FF">
      <w:pPr>
        <w:pStyle w:val="Para1"/>
        <w:tabs>
          <w:tab w:val="clear" w:pos="360"/>
        </w:tabs>
      </w:pPr>
      <w:r>
        <w:t xml:space="preserve">Comments </w:t>
      </w:r>
      <w:r w:rsidR="00C84F19">
        <w:t xml:space="preserve">were received </w:t>
      </w:r>
      <w:r w:rsidR="00B26BA4">
        <w:t>from</w:t>
      </w:r>
      <w:r>
        <w:t xml:space="preserve"> </w:t>
      </w:r>
      <w:r w:rsidR="00C84F19">
        <w:t>three</w:t>
      </w:r>
      <w:r>
        <w:t xml:space="preserve"> Parties to the Supplementary Protocol, </w:t>
      </w:r>
      <w:r w:rsidR="00C84F19">
        <w:t>four</w:t>
      </w:r>
      <w:r>
        <w:t xml:space="preserve"> other Governments and two organizations and </w:t>
      </w:r>
      <w:r w:rsidR="004909B7">
        <w:t>were</w:t>
      </w:r>
      <w:r>
        <w:t xml:space="preserve"> made available on</w:t>
      </w:r>
      <w:r w:rsidR="00515AA4">
        <w:t>line</w:t>
      </w:r>
      <w:r>
        <w:t>.</w:t>
      </w:r>
      <w:r>
        <w:rPr>
          <w:rStyle w:val="FootnoteReference"/>
        </w:rPr>
        <w:footnoteReference w:id="4"/>
      </w:r>
    </w:p>
    <w:p w14:paraId="07B84481" w14:textId="05E667C5" w:rsidR="006F45CF" w:rsidRPr="006F45CF" w:rsidRDefault="00D57DD3" w:rsidP="00515AA4">
      <w:pPr>
        <w:pStyle w:val="Para1"/>
        <w:tabs>
          <w:tab w:val="clear" w:pos="360"/>
        </w:tabs>
        <w:rPr>
          <w:kern w:val="22"/>
        </w:rPr>
      </w:pPr>
      <w:r>
        <w:t xml:space="preserve">The </w:t>
      </w:r>
      <w:r w:rsidR="00515AA4">
        <w:t>consultant</w:t>
      </w:r>
      <w:r>
        <w:t xml:space="preserve"> revised the study in </w:t>
      </w:r>
      <w:r w:rsidR="00B64F90">
        <w:t xml:space="preserve">the </w:t>
      </w:r>
      <w:r>
        <w:t xml:space="preserve">light of the comments received and prepared, in consultation with the Secretariat, the final version </w:t>
      </w:r>
      <w:r w:rsidR="00226F98">
        <w:t>of the study</w:t>
      </w:r>
      <w:r>
        <w:t>. Any views expressed in the study are those of the author or the sources cited in the study and do not necessarily reflect the views of the Secretariat.</w:t>
      </w:r>
    </w:p>
    <w:p w14:paraId="2B2FF839" w14:textId="732796DA" w:rsidR="00391A45" w:rsidRDefault="00D57DD3" w:rsidP="006F45CF">
      <w:pPr>
        <w:pStyle w:val="Para1"/>
        <w:tabs>
          <w:tab w:val="clear" w:pos="360"/>
        </w:tabs>
        <w:rPr>
          <w:kern w:val="22"/>
          <w:szCs w:val="22"/>
        </w:rPr>
      </w:pPr>
      <w:r>
        <w:t>The executive summary of the study is presented below, and the full text of the study is contained in the annex. The study is presented in the form and language in which it was received by the Secretariat.</w:t>
      </w:r>
    </w:p>
    <w:p w14:paraId="2B24070C" w14:textId="77777777" w:rsidR="00515AA4" w:rsidRDefault="00515AA4" w:rsidP="006B2916">
      <w:pPr>
        <w:pStyle w:val="Para1"/>
        <w:numPr>
          <w:ilvl w:val="0"/>
          <w:numId w:val="0"/>
        </w:numPr>
        <w:spacing w:before="0" w:after="0"/>
        <w:rPr>
          <w:kern w:val="22"/>
          <w:szCs w:val="22"/>
        </w:rPr>
      </w:pPr>
    </w:p>
    <w:p w14:paraId="64033A1C" w14:textId="0F34A3DE" w:rsidR="006F45CF" w:rsidRPr="006F45CF" w:rsidRDefault="006F45CF" w:rsidP="006B2916">
      <w:pPr>
        <w:pStyle w:val="recommendationheader"/>
        <w:spacing w:before="0" w:after="0"/>
        <w:rPr>
          <w:kern w:val="22"/>
          <w:szCs w:val="22"/>
        </w:rPr>
      </w:pPr>
      <w:r>
        <w:t>EXECUTIVE SUMMARY</w:t>
      </w:r>
    </w:p>
    <w:p w14:paraId="301F0644" w14:textId="57650BCF" w:rsidR="006F45CF" w:rsidRPr="006F45CF" w:rsidRDefault="006F45CF" w:rsidP="006B2916">
      <w:pPr>
        <w:pStyle w:val="Para1"/>
        <w:keepNext/>
        <w:numPr>
          <w:ilvl w:val="0"/>
          <w:numId w:val="0"/>
        </w:numPr>
        <w:spacing w:line="160" w:lineRule="atLeast"/>
        <w:rPr>
          <w:i/>
          <w:iCs/>
          <w:kern w:val="22"/>
          <w:szCs w:val="22"/>
        </w:rPr>
      </w:pPr>
      <w:r w:rsidRPr="006F45CF">
        <w:rPr>
          <w:i/>
          <w:iCs/>
          <w:kern w:val="22"/>
          <w:szCs w:val="22"/>
        </w:rPr>
        <w:t>Introduction</w:t>
      </w:r>
    </w:p>
    <w:p w14:paraId="6AD9433F" w14:textId="4EDCABE7" w:rsidR="006F45CF" w:rsidRPr="00ED6930" w:rsidRDefault="006F45CF" w:rsidP="006B2916">
      <w:pPr>
        <w:pStyle w:val="Para1"/>
        <w:tabs>
          <w:tab w:val="clear" w:pos="360"/>
        </w:tabs>
        <w:spacing w:line="160" w:lineRule="atLeast"/>
        <w:rPr>
          <w:kern w:val="22"/>
          <w:szCs w:val="22"/>
        </w:rPr>
      </w:pPr>
      <w:r w:rsidRPr="00ED6930">
        <w:rPr>
          <w:kern w:val="22"/>
          <w:szCs w:val="22"/>
        </w:rPr>
        <w:t>Article 10, paragraph 3, of the Nagoya–Kuala Lumpur Supplementary Protocol on Liability and Redress provides that the first meeting of the Conference of the Parties serving as the meeting of the Parties to the Cartagena Protocol (COP-MOP) after the entry into force of the Supplementary Protocol shall request the Secretariat t</w:t>
      </w:r>
      <w:bookmarkStart w:id="1" w:name="_GoBack"/>
      <w:bookmarkEnd w:id="1"/>
      <w:r w:rsidRPr="00ED6930">
        <w:rPr>
          <w:kern w:val="22"/>
          <w:szCs w:val="22"/>
        </w:rPr>
        <w:t>o undertake a comprehensive study, which shall address, inter alia:</w:t>
      </w:r>
    </w:p>
    <w:p w14:paraId="2BF5CA7D" w14:textId="02BBA3E0" w:rsidR="006F45CF" w:rsidRPr="00ED6930" w:rsidRDefault="006830BC" w:rsidP="006B2916">
      <w:pPr>
        <w:pStyle w:val="Para1"/>
        <w:numPr>
          <w:ilvl w:val="0"/>
          <w:numId w:val="13"/>
        </w:numPr>
        <w:tabs>
          <w:tab w:val="clear" w:pos="360"/>
        </w:tabs>
        <w:spacing w:line="160" w:lineRule="atLeast"/>
        <w:ind w:firstLine="774"/>
        <w:rPr>
          <w:kern w:val="22"/>
          <w:szCs w:val="22"/>
        </w:rPr>
      </w:pPr>
      <w:r w:rsidRPr="00ED6930">
        <w:rPr>
          <w:kern w:val="22"/>
          <w:szCs w:val="22"/>
        </w:rPr>
        <w:t>T</w:t>
      </w:r>
      <w:r w:rsidR="006F45CF" w:rsidRPr="00ED6930">
        <w:rPr>
          <w:kern w:val="22"/>
          <w:szCs w:val="22"/>
        </w:rPr>
        <w:t>he modalities of financial security mechanisms;</w:t>
      </w:r>
    </w:p>
    <w:p w14:paraId="0F65E7F8" w14:textId="204B8811" w:rsidR="006F45CF" w:rsidRPr="00ED6930" w:rsidRDefault="006830BC" w:rsidP="006B2916">
      <w:pPr>
        <w:pStyle w:val="Para1"/>
        <w:numPr>
          <w:ilvl w:val="0"/>
          <w:numId w:val="13"/>
        </w:numPr>
        <w:tabs>
          <w:tab w:val="clear" w:pos="360"/>
        </w:tabs>
        <w:spacing w:line="160" w:lineRule="atLeast"/>
        <w:ind w:firstLine="774"/>
        <w:rPr>
          <w:kern w:val="22"/>
          <w:szCs w:val="22"/>
        </w:rPr>
      </w:pPr>
      <w:r w:rsidRPr="00ED6930">
        <w:rPr>
          <w:kern w:val="22"/>
          <w:szCs w:val="22"/>
        </w:rPr>
        <w:t>A</w:t>
      </w:r>
      <w:r w:rsidR="006F45CF" w:rsidRPr="00ED6930">
        <w:rPr>
          <w:kern w:val="22"/>
          <w:szCs w:val="22"/>
        </w:rPr>
        <w:t xml:space="preserve">n assessment of the environmental, economic and social impacts of such mechanisms, </w:t>
      </w:r>
      <w:proofErr w:type="gramStart"/>
      <w:r w:rsidR="006F45CF" w:rsidRPr="00ED6930">
        <w:rPr>
          <w:kern w:val="22"/>
          <w:szCs w:val="22"/>
        </w:rPr>
        <w:t>in particular on</w:t>
      </w:r>
      <w:proofErr w:type="gramEnd"/>
      <w:r w:rsidR="006F45CF" w:rsidRPr="00ED6930">
        <w:rPr>
          <w:kern w:val="22"/>
          <w:szCs w:val="22"/>
        </w:rPr>
        <w:t xml:space="preserve"> developing countries;</w:t>
      </w:r>
    </w:p>
    <w:p w14:paraId="5380BE4E" w14:textId="0CAFA7F4" w:rsidR="006F45CF" w:rsidRPr="00ED6930" w:rsidRDefault="006830BC" w:rsidP="006B2916">
      <w:pPr>
        <w:pStyle w:val="Para1"/>
        <w:numPr>
          <w:ilvl w:val="0"/>
          <w:numId w:val="13"/>
        </w:numPr>
        <w:tabs>
          <w:tab w:val="clear" w:pos="360"/>
        </w:tabs>
        <w:spacing w:line="160" w:lineRule="atLeast"/>
        <w:ind w:firstLine="774"/>
        <w:rPr>
          <w:kern w:val="22"/>
          <w:szCs w:val="22"/>
        </w:rPr>
      </w:pPr>
      <w:r w:rsidRPr="00ED6930">
        <w:rPr>
          <w:kern w:val="22"/>
          <w:szCs w:val="22"/>
        </w:rPr>
        <w:t>A</w:t>
      </w:r>
      <w:r w:rsidR="006F45CF" w:rsidRPr="00ED6930">
        <w:rPr>
          <w:kern w:val="22"/>
          <w:szCs w:val="22"/>
        </w:rPr>
        <w:t>n identification of the appropriate entities to provide financial security.</w:t>
      </w:r>
    </w:p>
    <w:p w14:paraId="0D118C6F" w14:textId="49CB02D2" w:rsidR="006F45CF" w:rsidRPr="006F45CF" w:rsidRDefault="006F45CF" w:rsidP="006B2916">
      <w:pPr>
        <w:pStyle w:val="Para1"/>
        <w:tabs>
          <w:tab w:val="clear" w:pos="360"/>
        </w:tabs>
        <w:spacing w:line="160" w:lineRule="atLeast"/>
        <w:rPr>
          <w:kern w:val="22"/>
          <w:szCs w:val="22"/>
        </w:rPr>
      </w:pPr>
      <w:r w:rsidRPr="00ED6930">
        <w:rPr>
          <w:kern w:val="22"/>
          <w:szCs w:val="22"/>
        </w:rPr>
        <w:t xml:space="preserve">The </w:t>
      </w:r>
      <w:r w:rsidR="006830BC" w:rsidRPr="00ED6930">
        <w:rPr>
          <w:kern w:val="22"/>
          <w:szCs w:val="22"/>
        </w:rPr>
        <w:t xml:space="preserve">Conference of the Parties serving as the meeting of the Parties to the Cartagena Protocol </w:t>
      </w:r>
      <w:r w:rsidRPr="00ED6930">
        <w:rPr>
          <w:kern w:val="22"/>
          <w:szCs w:val="22"/>
        </w:rPr>
        <w:t>gave effect to this provision in its decision CP-9/15</w:t>
      </w:r>
      <w:r w:rsidR="00D14731" w:rsidRPr="00ED6930">
        <w:rPr>
          <w:kern w:val="22"/>
          <w:szCs w:val="22"/>
        </w:rPr>
        <w:t>,</w:t>
      </w:r>
      <w:r w:rsidRPr="00ED6930">
        <w:rPr>
          <w:kern w:val="22"/>
          <w:szCs w:val="22"/>
        </w:rPr>
        <w:t xml:space="preserve"> and this study was commissioned in response. The research </w:t>
      </w:r>
      <w:r w:rsidRPr="006F45CF">
        <w:rPr>
          <w:kern w:val="22"/>
          <w:szCs w:val="22"/>
        </w:rPr>
        <w:t>for this study involved reviewing relevant literature</w:t>
      </w:r>
      <w:r w:rsidR="00D14731">
        <w:rPr>
          <w:kern w:val="22"/>
          <w:szCs w:val="22"/>
        </w:rPr>
        <w:t>,</w:t>
      </w:r>
      <w:r w:rsidRPr="006F45CF">
        <w:rPr>
          <w:kern w:val="22"/>
          <w:szCs w:val="22"/>
        </w:rPr>
        <w:t xml:space="preserve"> including reports and studies prepared during the negotiations of the Supplementary Protocol, available economic literature dealing with the various types of financial security available</w:t>
      </w:r>
      <w:r w:rsidR="003251D7">
        <w:rPr>
          <w:kern w:val="22"/>
          <w:szCs w:val="22"/>
        </w:rPr>
        <w:t>,</w:t>
      </w:r>
      <w:r w:rsidRPr="006F45CF">
        <w:rPr>
          <w:kern w:val="22"/>
          <w:szCs w:val="22"/>
        </w:rPr>
        <w:t xml:space="preserve"> and literature outlining existing financial security mechanisms established for environmental damage (other than damage from living modified organisms (LMOs)). The literature and examples directly addressing financial security for damage to biodiversity as defined in the Supplementary Protocol is relatively limited; however, examples from other areas are presented to help illustrate the points described.</w:t>
      </w:r>
    </w:p>
    <w:p w14:paraId="7545267C" w14:textId="0C382190" w:rsidR="006F45CF" w:rsidRPr="006F45CF" w:rsidRDefault="006F45CF" w:rsidP="006B2916">
      <w:pPr>
        <w:pStyle w:val="Para1"/>
        <w:tabs>
          <w:tab w:val="clear" w:pos="360"/>
        </w:tabs>
        <w:spacing w:line="160" w:lineRule="atLeast"/>
        <w:rPr>
          <w:kern w:val="22"/>
          <w:szCs w:val="22"/>
        </w:rPr>
      </w:pPr>
      <w:r w:rsidRPr="006F45CF">
        <w:rPr>
          <w:kern w:val="22"/>
          <w:szCs w:val="22"/>
        </w:rPr>
        <w:t xml:space="preserve">Financial security </w:t>
      </w:r>
      <w:proofErr w:type="gramStart"/>
      <w:r w:rsidRPr="006F45CF">
        <w:rPr>
          <w:kern w:val="22"/>
          <w:szCs w:val="22"/>
        </w:rPr>
        <w:t>can be seen as</w:t>
      </w:r>
      <w:proofErr w:type="gramEnd"/>
      <w:r w:rsidRPr="006F45CF">
        <w:rPr>
          <w:kern w:val="22"/>
          <w:szCs w:val="22"/>
        </w:rPr>
        <w:t xml:space="preserve"> a mechanism to protect against financial risk. Financial security mechanisms aim at ensuring the availability of resources to redress damage. They can help protect biodiversity by ensuring that resources are available to take the necessary restorative measures and, in some cases, can also create incentives for preventing damage to biodiversity from occurring in the first place.</w:t>
      </w:r>
    </w:p>
    <w:p w14:paraId="78E24AAB" w14:textId="3313BC84" w:rsidR="006F45CF" w:rsidRPr="006F45CF" w:rsidRDefault="006F45CF" w:rsidP="006B2916">
      <w:pPr>
        <w:pStyle w:val="Para1"/>
        <w:tabs>
          <w:tab w:val="clear" w:pos="360"/>
        </w:tabs>
        <w:spacing w:line="160" w:lineRule="atLeast"/>
        <w:rPr>
          <w:kern w:val="22"/>
          <w:szCs w:val="22"/>
        </w:rPr>
      </w:pPr>
      <w:r w:rsidRPr="006F45CF">
        <w:rPr>
          <w:kern w:val="22"/>
          <w:szCs w:val="22"/>
        </w:rPr>
        <w:t xml:space="preserve">First party financial security provides cover to an individual or company that is exposed to a particular risk of damage – it is the potential victim of the damage who seeks financial security. Third party financial security serves those who are liable for damage and provides them </w:t>
      </w:r>
      <w:r w:rsidR="00702D8D">
        <w:rPr>
          <w:kern w:val="22"/>
          <w:szCs w:val="22"/>
        </w:rPr>
        <w:t xml:space="preserve">with </w:t>
      </w:r>
      <w:r w:rsidRPr="006F45CF">
        <w:rPr>
          <w:kern w:val="22"/>
          <w:szCs w:val="22"/>
        </w:rPr>
        <w:t xml:space="preserve">the means to compensate victims (the </w:t>
      </w:r>
      <w:r w:rsidR="00702D8D">
        <w:rPr>
          <w:kern w:val="22"/>
          <w:szCs w:val="22"/>
        </w:rPr>
        <w:t>“</w:t>
      </w:r>
      <w:r w:rsidRPr="006F45CF">
        <w:rPr>
          <w:kern w:val="22"/>
          <w:szCs w:val="22"/>
        </w:rPr>
        <w:t>third party</w:t>
      </w:r>
      <w:r w:rsidR="00702D8D">
        <w:rPr>
          <w:kern w:val="22"/>
          <w:szCs w:val="22"/>
        </w:rPr>
        <w:t>”</w:t>
      </w:r>
      <w:r w:rsidRPr="006F45CF">
        <w:rPr>
          <w:kern w:val="22"/>
          <w:szCs w:val="22"/>
        </w:rPr>
        <w:t>).</w:t>
      </w:r>
    </w:p>
    <w:p w14:paraId="1C578A6B" w14:textId="1733DA3D" w:rsidR="006F45CF" w:rsidRPr="006F45CF" w:rsidRDefault="006F45CF" w:rsidP="006B2916">
      <w:pPr>
        <w:pStyle w:val="Para1"/>
        <w:numPr>
          <w:ilvl w:val="0"/>
          <w:numId w:val="0"/>
        </w:numPr>
        <w:spacing w:line="160" w:lineRule="atLeast"/>
        <w:rPr>
          <w:i/>
          <w:iCs/>
          <w:kern w:val="22"/>
          <w:szCs w:val="22"/>
        </w:rPr>
      </w:pPr>
      <w:r w:rsidRPr="006F45CF">
        <w:rPr>
          <w:i/>
          <w:iCs/>
          <w:kern w:val="22"/>
          <w:szCs w:val="22"/>
        </w:rPr>
        <w:t>Types of financial security mechanisms and economic, social and environmental impacts</w:t>
      </w:r>
    </w:p>
    <w:p w14:paraId="6565EDEE" w14:textId="73695438" w:rsidR="006F45CF" w:rsidRPr="006F45CF" w:rsidRDefault="006F45CF" w:rsidP="006B2916">
      <w:pPr>
        <w:pStyle w:val="Para1"/>
        <w:tabs>
          <w:tab w:val="clear" w:pos="360"/>
        </w:tabs>
        <w:spacing w:before="100" w:after="100"/>
        <w:rPr>
          <w:kern w:val="22"/>
          <w:szCs w:val="22"/>
        </w:rPr>
      </w:pPr>
      <w:r w:rsidRPr="006F45CF">
        <w:rPr>
          <w:kern w:val="22"/>
          <w:szCs w:val="22"/>
        </w:rPr>
        <w:t>Different types of financial security mechanisms are described in this study, including their modalities of operation and the entities that can provide financial security. Th</w:t>
      </w:r>
      <w:r w:rsidR="006830BC">
        <w:rPr>
          <w:kern w:val="22"/>
          <w:szCs w:val="22"/>
        </w:rPr>
        <w:t>i</w:t>
      </w:r>
      <w:r w:rsidRPr="006F45CF">
        <w:rPr>
          <w:kern w:val="22"/>
          <w:szCs w:val="22"/>
        </w:rPr>
        <w:t xml:space="preserve">s study explores the suitability of these mechanisms to cover damage to biodiversity caused by LMOs and assesses the economic, environmental and social impacts of these mechanisms, </w:t>
      </w:r>
      <w:proofErr w:type="gramStart"/>
      <w:r w:rsidRPr="006F45CF">
        <w:rPr>
          <w:kern w:val="22"/>
          <w:szCs w:val="22"/>
        </w:rPr>
        <w:t>in particular on</w:t>
      </w:r>
      <w:proofErr w:type="gramEnd"/>
      <w:r w:rsidRPr="006F45CF">
        <w:rPr>
          <w:kern w:val="22"/>
          <w:szCs w:val="22"/>
        </w:rPr>
        <w:t xml:space="preserve"> developing countries. It highlights some key characteristics of these mechanisms, including how they create incentives for prevention</w:t>
      </w:r>
      <w:r w:rsidR="00AE65A2">
        <w:rPr>
          <w:kern w:val="22"/>
          <w:szCs w:val="22"/>
        </w:rPr>
        <w:t>,</w:t>
      </w:r>
      <w:r w:rsidRPr="006F45CF">
        <w:rPr>
          <w:kern w:val="22"/>
          <w:szCs w:val="22"/>
        </w:rPr>
        <w:t xml:space="preserve"> their operational and administrative cost</w:t>
      </w:r>
      <w:r w:rsidR="00AE65A2">
        <w:rPr>
          <w:kern w:val="22"/>
          <w:szCs w:val="22"/>
        </w:rPr>
        <w:t>s,</w:t>
      </w:r>
      <w:r w:rsidRPr="006F45CF">
        <w:rPr>
          <w:kern w:val="22"/>
          <w:szCs w:val="22"/>
        </w:rPr>
        <w:t xml:space="preserve"> and the moment at which contributions are due (</w:t>
      </w:r>
      <w:proofErr w:type="spellStart"/>
      <w:r w:rsidRPr="006F45CF">
        <w:rPr>
          <w:kern w:val="22"/>
          <w:szCs w:val="22"/>
        </w:rPr>
        <w:t>ex</w:t>
      </w:r>
      <w:r w:rsidR="002B1EAE">
        <w:rPr>
          <w:kern w:val="22"/>
          <w:szCs w:val="22"/>
        </w:rPr>
        <w:t> </w:t>
      </w:r>
      <w:r w:rsidRPr="006F45CF">
        <w:rPr>
          <w:kern w:val="22"/>
          <w:szCs w:val="22"/>
        </w:rPr>
        <w:t>ante</w:t>
      </w:r>
      <w:proofErr w:type="spellEnd"/>
      <w:r w:rsidRPr="006F45CF">
        <w:rPr>
          <w:kern w:val="22"/>
          <w:szCs w:val="22"/>
        </w:rPr>
        <w:t xml:space="preserve"> or ex</w:t>
      </w:r>
      <w:r w:rsidR="002B1EAE">
        <w:rPr>
          <w:kern w:val="22"/>
          <w:szCs w:val="22"/>
        </w:rPr>
        <w:t> </w:t>
      </w:r>
      <w:r w:rsidRPr="006F45CF">
        <w:rPr>
          <w:kern w:val="22"/>
          <w:szCs w:val="22"/>
        </w:rPr>
        <w:t>post).</w:t>
      </w:r>
    </w:p>
    <w:p w14:paraId="1265B31B" w14:textId="28489922" w:rsidR="006F45CF" w:rsidRPr="006F45CF" w:rsidRDefault="006F45CF" w:rsidP="006B2916">
      <w:pPr>
        <w:pStyle w:val="Para1"/>
        <w:tabs>
          <w:tab w:val="clear" w:pos="360"/>
        </w:tabs>
        <w:spacing w:before="100" w:after="100"/>
        <w:rPr>
          <w:kern w:val="22"/>
          <w:szCs w:val="22"/>
        </w:rPr>
      </w:pPr>
      <w:r w:rsidRPr="006B2916">
        <w:rPr>
          <w:i/>
          <w:iCs/>
          <w:kern w:val="22"/>
          <w:szCs w:val="22"/>
        </w:rPr>
        <w:t>Insurance</w:t>
      </w:r>
      <w:r w:rsidRPr="006F45CF">
        <w:rPr>
          <w:kern w:val="22"/>
          <w:szCs w:val="22"/>
        </w:rPr>
        <w:t xml:space="preserve"> can provide financial security for many risks. Insurance guarantees that compensation is available for response measures if damage were to occur. One of the advantages of insurance is that the cost of the risk, which is expressed through the insurance premium, is foreseeable and can be integrated in production costs. However, as it relates to insurance for damage to biodiversity caused by LMOs, insurers would face difficulty calculating an actuarially fair premium, given the lack of sufficient data about the probability and potential magnitude of damage. This uncertainty causes insurer ambiguity</w:t>
      </w:r>
      <w:r w:rsidR="00E30308">
        <w:rPr>
          <w:kern w:val="22"/>
          <w:szCs w:val="22"/>
        </w:rPr>
        <w:t>,</w:t>
      </w:r>
      <w:r w:rsidRPr="006F45CF">
        <w:rPr>
          <w:kern w:val="22"/>
          <w:szCs w:val="22"/>
        </w:rPr>
        <w:t xml:space="preserve"> which may lead to </w:t>
      </w:r>
      <w:proofErr w:type="spellStart"/>
      <w:r w:rsidRPr="006F45CF">
        <w:rPr>
          <w:kern w:val="22"/>
          <w:szCs w:val="22"/>
        </w:rPr>
        <w:t>uninsurability</w:t>
      </w:r>
      <w:proofErr w:type="spellEnd"/>
      <w:r w:rsidRPr="006F45CF">
        <w:rPr>
          <w:kern w:val="22"/>
          <w:szCs w:val="22"/>
        </w:rPr>
        <w:t xml:space="preserve"> or to unaffordability of premiums. Insurance also generally requires large numbers of insured among </w:t>
      </w:r>
      <w:r w:rsidR="00D13690">
        <w:rPr>
          <w:kern w:val="22"/>
          <w:szCs w:val="22"/>
        </w:rPr>
        <w:t>whom</w:t>
      </w:r>
      <w:r w:rsidR="00D13690" w:rsidRPr="006F45CF">
        <w:rPr>
          <w:kern w:val="22"/>
          <w:szCs w:val="22"/>
        </w:rPr>
        <w:t xml:space="preserve"> </w:t>
      </w:r>
      <w:r w:rsidRPr="006F45CF">
        <w:rPr>
          <w:kern w:val="22"/>
          <w:szCs w:val="22"/>
        </w:rPr>
        <w:t xml:space="preserve">the risk is spread and </w:t>
      </w:r>
      <w:r w:rsidR="00D13690">
        <w:rPr>
          <w:kern w:val="22"/>
          <w:szCs w:val="22"/>
        </w:rPr>
        <w:t xml:space="preserve">from whom </w:t>
      </w:r>
      <w:r w:rsidRPr="006F45CF">
        <w:rPr>
          <w:kern w:val="22"/>
          <w:szCs w:val="22"/>
        </w:rPr>
        <w:t>premiums are collected.</w:t>
      </w:r>
    </w:p>
    <w:p w14:paraId="6294DF02" w14:textId="7DA2DB6C" w:rsidR="006F45CF" w:rsidRPr="006F45CF" w:rsidRDefault="006F45CF" w:rsidP="006B2916">
      <w:pPr>
        <w:pStyle w:val="Para1"/>
        <w:tabs>
          <w:tab w:val="clear" w:pos="360"/>
        </w:tabs>
        <w:spacing w:before="100" w:after="100"/>
        <w:rPr>
          <w:kern w:val="22"/>
          <w:szCs w:val="22"/>
        </w:rPr>
      </w:pPr>
      <w:r w:rsidRPr="006F45CF">
        <w:rPr>
          <w:kern w:val="22"/>
          <w:szCs w:val="22"/>
        </w:rPr>
        <w:t>Insurance requires payment of a premium ex</w:t>
      </w:r>
      <w:r w:rsidR="00980EBF">
        <w:rPr>
          <w:kern w:val="22"/>
          <w:szCs w:val="22"/>
        </w:rPr>
        <w:t> </w:t>
      </w:r>
      <w:r w:rsidRPr="006F45CF">
        <w:rPr>
          <w:kern w:val="22"/>
          <w:szCs w:val="22"/>
        </w:rPr>
        <w:t>ante and involves administrative costs</w:t>
      </w:r>
      <w:r w:rsidR="00D33A9D">
        <w:rPr>
          <w:kern w:val="22"/>
          <w:szCs w:val="22"/>
        </w:rPr>
        <w:t>;</w:t>
      </w:r>
      <w:r w:rsidRPr="006F45CF">
        <w:rPr>
          <w:kern w:val="22"/>
          <w:szCs w:val="22"/>
        </w:rPr>
        <w:t xml:space="preserve"> therefore</w:t>
      </w:r>
      <w:r w:rsidR="00D33A9D">
        <w:rPr>
          <w:kern w:val="22"/>
          <w:szCs w:val="22"/>
        </w:rPr>
        <w:t>, it is</w:t>
      </w:r>
      <w:r w:rsidRPr="006F45CF">
        <w:rPr>
          <w:kern w:val="22"/>
          <w:szCs w:val="22"/>
        </w:rPr>
        <w:t xml:space="preserve"> generally considered costly. The payment of an insurance premium could</w:t>
      </w:r>
      <w:r w:rsidR="00F26DFC">
        <w:rPr>
          <w:kern w:val="22"/>
          <w:szCs w:val="22"/>
        </w:rPr>
        <w:t>,</w:t>
      </w:r>
      <w:r w:rsidRPr="006F45CF">
        <w:rPr>
          <w:kern w:val="22"/>
          <w:szCs w:val="22"/>
        </w:rPr>
        <w:t xml:space="preserve"> in principle</w:t>
      </w:r>
      <w:r w:rsidR="00F26DFC">
        <w:rPr>
          <w:kern w:val="22"/>
          <w:szCs w:val="22"/>
        </w:rPr>
        <w:t>,</w:t>
      </w:r>
      <w:r w:rsidRPr="006F45CF">
        <w:rPr>
          <w:kern w:val="22"/>
          <w:szCs w:val="22"/>
        </w:rPr>
        <w:t xml:space="preserve"> lead to an increase in the prices of products deriving from LMOs, which could have negative economic and social effects. One of the social effects of insurance is that it is fairer if those creating the risks are the ones required to pay for </w:t>
      </w:r>
      <w:r w:rsidRPr="006F45CF">
        <w:rPr>
          <w:kern w:val="22"/>
          <w:szCs w:val="22"/>
        </w:rPr>
        <w:lastRenderedPageBreak/>
        <w:t xml:space="preserve">the insurance, which can be achieved through third party insurance. In the absence of a large insurance market for certain products, premiums may be high to account for insurer ambiguity and because of lack of competition. Through risk differentiation, insurers can adapt policies and premiums to incentivize prudent </w:t>
      </w:r>
      <w:r w:rsidR="007811BE" w:rsidRPr="006F45CF">
        <w:rPr>
          <w:kern w:val="22"/>
          <w:szCs w:val="22"/>
        </w:rPr>
        <w:t>behaviour</w:t>
      </w:r>
      <w:r w:rsidRPr="006F45CF">
        <w:rPr>
          <w:kern w:val="22"/>
          <w:szCs w:val="22"/>
        </w:rPr>
        <w:t xml:space="preserve"> and to address moral hazard (</w:t>
      </w:r>
      <w:r w:rsidR="001A2F92">
        <w:rPr>
          <w:kern w:val="22"/>
          <w:szCs w:val="22"/>
        </w:rPr>
        <w:t>that is</w:t>
      </w:r>
      <w:r w:rsidR="00ED7B5E">
        <w:rPr>
          <w:kern w:val="22"/>
          <w:szCs w:val="22"/>
        </w:rPr>
        <w:t>,</w:t>
      </w:r>
      <w:r w:rsidRPr="006F45CF">
        <w:rPr>
          <w:kern w:val="22"/>
          <w:szCs w:val="22"/>
        </w:rPr>
        <w:t xml:space="preserve"> the tendency of an insured individual to increase the risk as the individual </w:t>
      </w:r>
      <w:r w:rsidR="00ED7B5E">
        <w:rPr>
          <w:kern w:val="22"/>
          <w:szCs w:val="22"/>
        </w:rPr>
        <w:t>him</w:t>
      </w:r>
      <w:r w:rsidRPr="006F45CF">
        <w:rPr>
          <w:kern w:val="22"/>
          <w:szCs w:val="22"/>
        </w:rPr>
        <w:t>self is no longer exposed to the risk), which can help to prevent negative environmental impacts. Monitoring and control by the insurance company also helps address moral hazard. Issues related to monitoring, governance and enforcement of insurance mechanisms may be particularly challenging in developing countries.</w:t>
      </w:r>
    </w:p>
    <w:p w14:paraId="043C4585" w14:textId="6BC8CA46" w:rsidR="006F45CF" w:rsidRPr="006F45CF" w:rsidRDefault="006F45CF" w:rsidP="006B2916">
      <w:pPr>
        <w:pStyle w:val="Para1"/>
        <w:tabs>
          <w:tab w:val="clear" w:pos="360"/>
        </w:tabs>
        <w:spacing w:before="100" w:after="100"/>
        <w:rPr>
          <w:kern w:val="22"/>
          <w:szCs w:val="22"/>
        </w:rPr>
      </w:pPr>
      <w:r w:rsidRPr="006F45CF">
        <w:rPr>
          <w:kern w:val="22"/>
          <w:szCs w:val="22"/>
        </w:rPr>
        <w:t xml:space="preserve">Insurance facilitates the availability of compensation for </w:t>
      </w:r>
      <w:r w:rsidR="005605B3">
        <w:rPr>
          <w:kern w:val="22"/>
          <w:szCs w:val="22"/>
        </w:rPr>
        <w:t xml:space="preserve">the </w:t>
      </w:r>
      <w:r w:rsidRPr="006F45CF">
        <w:rPr>
          <w:kern w:val="22"/>
          <w:szCs w:val="22"/>
        </w:rPr>
        <w:t>costs of response measures. Coverage must be sufficient for the environmental benefit to be optimal. Ideally, for facilitating restoration, those who incur costs for taking response measures have a direct action on the insurer to claim the insurance proceeds.</w:t>
      </w:r>
    </w:p>
    <w:p w14:paraId="188885F1" w14:textId="2B390332" w:rsidR="006F45CF" w:rsidRPr="006F45CF" w:rsidRDefault="006F45CF" w:rsidP="006B2916">
      <w:pPr>
        <w:pStyle w:val="Para1"/>
        <w:tabs>
          <w:tab w:val="clear" w:pos="360"/>
        </w:tabs>
        <w:spacing w:before="100" w:after="100"/>
        <w:rPr>
          <w:kern w:val="22"/>
          <w:szCs w:val="22"/>
        </w:rPr>
      </w:pPr>
      <w:r w:rsidRPr="006B2916">
        <w:rPr>
          <w:i/>
          <w:iCs/>
          <w:kern w:val="22"/>
          <w:szCs w:val="22"/>
        </w:rPr>
        <w:t>Self-insurance</w:t>
      </w:r>
      <w:r w:rsidRPr="006F45CF">
        <w:rPr>
          <w:kern w:val="22"/>
          <w:szCs w:val="22"/>
        </w:rPr>
        <w:t xml:space="preserve"> provides a mechanism through which operators can cover damage claims with their own assets. Self-insurance can be an attractive model for operators</w:t>
      </w:r>
      <w:r w:rsidR="00894161">
        <w:rPr>
          <w:kern w:val="22"/>
          <w:szCs w:val="22"/>
        </w:rPr>
        <w:t>,</w:t>
      </w:r>
      <w:r w:rsidRPr="006F45CF">
        <w:rPr>
          <w:kern w:val="22"/>
          <w:szCs w:val="22"/>
        </w:rPr>
        <w:t xml:space="preserve"> as costs generally arise only when damage occurs, while the operation and establishment of the self-insurance mechanism itself requires </w:t>
      </w:r>
      <w:r w:rsidR="00EB5909">
        <w:rPr>
          <w:kern w:val="22"/>
          <w:szCs w:val="22"/>
        </w:rPr>
        <w:t>modest</w:t>
      </w:r>
      <w:r w:rsidR="00EB5909" w:rsidRPr="006F45CF">
        <w:rPr>
          <w:kern w:val="22"/>
          <w:szCs w:val="22"/>
        </w:rPr>
        <w:t xml:space="preserve"> </w:t>
      </w:r>
      <w:r w:rsidRPr="006F45CF">
        <w:rPr>
          <w:kern w:val="22"/>
          <w:szCs w:val="22"/>
        </w:rPr>
        <w:t>resources. Self-insurance provides an incentive for prevention</w:t>
      </w:r>
      <w:r w:rsidR="00416AFF">
        <w:rPr>
          <w:kern w:val="22"/>
          <w:szCs w:val="22"/>
        </w:rPr>
        <w:t>,</w:t>
      </w:r>
      <w:r w:rsidRPr="006F45CF">
        <w:rPr>
          <w:kern w:val="22"/>
          <w:szCs w:val="22"/>
        </w:rPr>
        <w:t xml:space="preserve"> as the operator would save costs </w:t>
      </w:r>
      <w:proofErr w:type="gramStart"/>
      <w:r w:rsidRPr="006F45CF">
        <w:rPr>
          <w:kern w:val="22"/>
          <w:szCs w:val="22"/>
        </w:rPr>
        <w:t>as long as</w:t>
      </w:r>
      <w:proofErr w:type="gramEnd"/>
      <w:r w:rsidRPr="006F45CF">
        <w:rPr>
          <w:kern w:val="22"/>
          <w:szCs w:val="22"/>
        </w:rPr>
        <w:t xml:space="preserve"> damage </w:t>
      </w:r>
      <w:r w:rsidR="00047864">
        <w:rPr>
          <w:kern w:val="22"/>
          <w:szCs w:val="22"/>
        </w:rPr>
        <w:t>did</w:t>
      </w:r>
      <w:r w:rsidR="00047864" w:rsidRPr="006F45CF">
        <w:rPr>
          <w:kern w:val="22"/>
          <w:szCs w:val="22"/>
        </w:rPr>
        <w:t xml:space="preserve"> </w:t>
      </w:r>
      <w:r w:rsidRPr="006F45CF">
        <w:rPr>
          <w:kern w:val="22"/>
          <w:szCs w:val="22"/>
        </w:rPr>
        <w:t>not occur.</w:t>
      </w:r>
    </w:p>
    <w:p w14:paraId="052561B7" w14:textId="453C5C45" w:rsidR="006F45CF" w:rsidRPr="006F45CF" w:rsidRDefault="006F45CF" w:rsidP="006B2916">
      <w:pPr>
        <w:pStyle w:val="Para1"/>
        <w:tabs>
          <w:tab w:val="clear" w:pos="360"/>
        </w:tabs>
        <w:spacing w:before="100" w:after="100"/>
        <w:rPr>
          <w:kern w:val="22"/>
          <w:szCs w:val="22"/>
        </w:rPr>
      </w:pPr>
      <w:r w:rsidRPr="006F45CF">
        <w:rPr>
          <w:kern w:val="22"/>
          <w:szCs w:val="22"/>
        </w:rPr>
        <w:t>Self-insurance can only be considered an effective means of financial security if guarantees can be provided that sufficient funds are available, even in case of insolvency, to avoid negative environmental impacts. This requires some level of external control and monitoring.</w:t>
      </w:r>
    </w:p>
    <w:p w14:paraId="7109E104" w14:textId="3860DBEE" w:rsidR="006F45CF" w:rsidRPr="006F45CF" w:rsidRDefault="006F45CF" w:rsidP="006B2916">
      <w:pPr>
        <w:pStyle w:val="Para1"/>
        <w:tabs>
          <w:tab w:val="clear" w:pos="360"/>
        </w:tabs>
        <w:spacing w:before="100" w:after="100"/>
        <w:rPr>
          <w:kern w:val="22"/>
          <w:szCs w:val="22"/>
        </w:rPr>
      </w:pPr>
      <w:r w:rsidRPr="006F45CF">
        <w:rPr>
          <w:kern w:val="22"/>
          <w:szCs w:val="22"/>
        </w:rPr>
        <w:t>In case of insolvency of the operator</w:t>
      </w:r>
      <w:r w:rsidR="00506CD9">
        <w:rPr>
          <w:kern w:val="22"/>
          <w:szCs w:val="22"/>
        </w:rPr>
        <w:t>,</w:t>
      </w:r>
      <w:r w:rsidRPr="006F45CF">
        <w:rPr>
          <w:kern w:val="22"/>
          <w:szCs w:val="22"/>
        </w:rPr>
        <w:t xml:space="preserve"> the assets set aside to cover damage may no longer be available</w:t>
      </w:r>
      <w:r w:rsidR="00870ED4">
        <w:rPr>
          <w:kern w:val="22"/>
          <w:szCs w:val="22"/>
        </w:rPr>
        <w:t>,</w:t>
      </w:r>
      <w:r w:rsidRPr="006F45CF">
        <w:rPr>
          <w:kern w:val="22"/>
          <w:szCs w:val="22"/>
        </w:rPr>
        <w:t xml:space="preserve"> and </w:t>
      </w:r>
      <w:r w:rsidR="00870ED4">
        <w:rPr>
          <w:kern w:val="22"/>
          <w:szCs w:val="22"/>
        </w:rPr>
        <w:t xml:space="preserve">the </w:t>
      </w:r>
      <w:r w:rsidRPr="006F45CF">
        <w:rPr>
          <w:kern w:val="22"/>
          <w:szCs w:val="22"/>
        </w:rPr>
        <w:t>costs associated with the damage may have to borne by other operators or society at large, leading to unfair distribution of losses. Since self-insurance requires large assets, it is an instrument suitable for larger players in the supply chain. Consequently, smaller operators may have to resort to other financial security mechanisms, which may be more expensive, creating competition disparities. Even for larger entities in developing countries, self-insurance may not be available if systems for assessing or reviewing the solvency of operators and monitoring self-insurance guarantees are not available. Self-insurance provides strong incentives for preventing damage</w:t>
      </w:r>
      <w:r w:rsidR="0056237E">
        <w:rPr>
          <w:kern w:val="22"/>
          <w:szCs w:val="22"/>
        </w:rPr>
        <w:t>,</w:t>
      </w:r>
      <w:r w:rsidRPr="006F45CF">
        <w:rPr>
          <w:kern w:val="22"/>
          <w:szCs w:val="22"/>
        </w:rPr>
        <w:t xml:space="preserve"> as the operator is not able to shift the risk to a third party and</w:t>
      </w:r>
      <w:r w:rsidR="00A972B9">
        <w:rPr>
          <w:kern w:val="22"/>
          <w:szCs w:val="22"/>
        </w:rPr>
        <w:t>,</w:t>
      </w:r>
      <w:r w:rsidRPr="006F45CF">
        <w:rPr>
          <w:kern w:val="22"/>
          <w:szCs w:val="22"/>
        </w:rPr>
        <w:t xml:space="preserve"> therefore</w:t>
      </w:r>
      <w:r w:rsidR="00A972B9">
        <w:rPr>
          <w:kern w:val="22"/>
          <w:szCs w:val="22"/>
        </w:rPr>
        <w:t>,</w:t>
      </w:r>
      <w:r w:rsidRPr="006F45CF">
        <w:rPr>
          <w:kern w:val="22"/>
          <w:szCs w:val="22"/>
        </w:rPr>
        <w:t xml:space="preserve"> no moral hazard risk emerges. However, environmental problems can arise if self-insurance results in insufficient compensation </w:t>
      </w:r>
      <w:r w:rsidR="00323A50">
        <w:rPr>
          <w:kern w:val="22"/>
          <w:szCs w:val="22"/>
        </w:rPr>
        <w:t>in case</w:t>
      </w:r>
      <w:r w:rsidRPr="006F45CF">
        <w:rPr>
          <w:kern w:val="22"/>
          <w:szCs w:val="22"/>
        </w:rPr>
        <w:t xml:space="preserve"> damage to biodiversity occur</w:t>
      </w:r>
      <w:r w:rsidR="00323A50">
        <w:rPr>
          <w:kern w:val="22"/>
          <w:szCs w:val="22"/>
        </w:rPr>
        <w:t>s</w:t>
      </w:r>
      <w:r w:rsidRPr="006F45CF">
        <w:rPr>
          <w:kern w:val="22"/>
          <w:szCs w:val="22"/>
        </w:rPr>
        <w:t>.</w:t>
      </w:r>
    </w:p>
    <w:p w14:paraId="230A499F" w14:textId="7AA908C1" w:rsidR="006F45CF" w:rsidRPr="006F45CF" w:rsidRDefault="006F45CF" w:rsidP="006B2916">
      <w:pPr>
        <w:pStyle w:val="Para1"/>
        <w:tabs>
          <w:tab w:val="clear" w:pos="360"/>
        </w:tabs>
        <w:spacing w:before="100" w:after="100"/>
        <w:rPr>
          <w:kern w:val="22"/>
          <w:szCs w:val="22"/>
        </w:rPr>
      </w:pPr>
      <w:r w:rsidRPr="006B2916">
        <w:rPr>
          <w:i/>
          <w:iCs/>
          <w:kern w:val="22"/>
          <w:szCs w:val="22"/>
        </w:rPr>
        <w:t>Risk</w:t>
      </w:r>
      <w:r w:rsidR="00354CEC">
        <w:rPr>
          <w:i/>
          <w:iCs/>
          <w:kern w:val="22"/>
          <w:szCs w:val="22"/>
        </w:rPr>
        <w:t xml:space="preserve"> </w:t>
      </w:r>
      <w:r w:rsidRPr="006B2916">
        <w:rPr>
          <w:i/>
          <w:iCs/>
          <w:kern w:val="22"/>
          <w:szCs w:val="22"/>
        </w:rPr>
        <w:t>pooling</w:t>
      </w:r>
      <w:r w:rsidRPr="006F45CF">
        <w:rPr>
          <w:kern w:val="22"/>
          <w:szCs w:val="22"/>
        </w:rPr>
        <w:t xml:space="preserve"> involves the sharing of losses or risk among operators through a risk</w:t>
      </w:r>
      <w:r w:rsidR="009A4C9C">
        <w:rPr>
          <w:kern w:val="22"/>
          <w:szCs w:val="22"/>
        </w:rPr>
        <w:t>-</w:t>
      </w:r>
      <w:r w:rsidRPr="006F45CF">
        <w:rPr>
          <w:kern w:val="22"/>
          <w:szCs w:val="22"/>
        </w:rPr>
        <w:t>sharing agreement. In the absence of damage, no substantial contributions are paid under such arrangements</w:t>
      </w:r>
      <w:r w:rsidR="00FF403C">
        <w:rPr>
          <w:kern w:val="22"/>
          <w:szCs w:val="22"/>
        </w:rPr>
        <w:t>,</w:t>
      </w:r>
      <w:r w:rsidRPr="006F45CF">
        <w:rPr>
          <w:kern w:val="22"/>
          <w:szCs w:val="22"/>
        </w:rPr>
        <w:t xml:space="preserve"> as administrative costs are usually low and risk pooling allows for ex</w:t>
      </w:r>
      <w:r w:rsidR="00EC1D88">
        <w:rPr>
          <w:kern w:val="22"/>
          <w:szCs w:val="22"/>
        </w:rPr>
        <w:t> </w:t>
      </w:r>
      <w:r w:rsidRPr="006F45CF">
        <w:rPr>
          <w:kern w:val="22"/>
          <w:szCs w:val="22"/>
        </w:rPr>
        <w:t>post payments of premiums. A risk-pooling agreement does not require actuarial information ex</w:t>
      </w:r>
      <w:r w:rsidR="00C667DC">
        <w:rPr>
          <w:kern w:val="22"/>
          <w:szCs w:val="22"/>
        </w:rPr>
        <w:t> </w:t>
      </w:r>
      <w:r w:rsidRPr="006F45CF">
        <w:rPr>
          <w:kern w:val="22"/>
          <w:szCs w:val="22"/>
        </w:rPr>
        <w:t>ante on the probability of an accident and the scope of the damage, as no ex</w:t>
      </w:r>
      <w:r w:rsidR="009A4C9C">
        <w:rPr>
          <w:kern w:val="22"/>
          <w:szCs w:val="22"/>
        </w:rPr>
        <w:t> </w:t>
      </w:r>
      <w:r w:rsidRPr="006F45CF">
        <w:rPr>
          <w:kern w:val="22"/>
          <w:szCs w:val="22"/>
        </w:rPr>
        <w:t xml:space="preserve">ante premium </w:t>
      </w:r>
      <w:proofErr w:type="gramStart"/>
      <w:r w:rsidRPr="006F45CF">
        <w:rPr>
          <w:kern w:val="22"/>
          <w:szCs w:val="22"/>
        </w:rPr>
        <w:t>has to</w:t>
      </w:r>
      <w:proofErr w:type="gramEnd"/>
      <w:r w:rsidRPr="006F45CF">
        <w:rPr>
          <w:kern w:val="22"/>
          <w:szCs w:val="22"/>
        </w:rPr>
        <w:t xml:space="preserve"> be fixed.</w:t>
      </w:r>
    </w:p>
    <w:p w14:paraId="5CB71347" w14:textId="4482132B" w:rsidR="006F45CF" w:rsidRPr="006F45CF" w:rsidRDefault="006F45CF" w:rsidP="006B2916">
      <w:pPr>
        <w:pStyle w:val="Para1"/>
        <w:tabs>
          <w:tab w:val="clear" w:pos="360"/>
        </w:tabs>
        <w:spacing w:before="100" w:after="100"/>
        <w:rPr>
          <w:kern w:val="22"/>
          <w:szCs w:val="22"/>
        </w:rPr>
      </w:pPr>
      <w:r w:rsidRPr="006F45CF">
        <w:rPr>
          <w:kern w:val="22"/>
          <w:szCs w:val="22"/>
        </w:rPr>
        <w:t>Risk-pooling arrangements generally require homogeneity and a limited number of participants</w:t>
      </w:r>
      <w:r w:rsidR="00DC5843">
        <w:rPr>
          <w:kern w:val="22"/>
          <w:szCs w:val="22"/>
        </w:rPr>
        <w:t>. They</w:t>
      </w:r>
      <w:r w:rsidRPr="006F45CF">
        <w:rPr>
          <w:kern w:val="22"/>
          <w:szCs w:val="22"/>
        </w:rPr>
        <w:t xml:space="preserve"> are suitable for situations in which operators are better placed to gauge the risk of their activity than external insurers, for example for highly technical, complicated or new risks.</w:t>
      </w:r>
    </w:p>
    <w:p w14:paraId="766B85AC" w14:textId="52CCFF79" w:rsidR="006F45CF" w:rsidRPr="00DD1734" w:rsidRDefault="006F45CF" w:rsidP="006B2916">
      <w:pPr>
        <w:pStyle w:val="Para1"/>
        <w:tabs>
          <w:tab w:val="clear" w:pos="360"/>
        </w:tabs>
        <w:spacing w:before="100" w:after="100"/>
        <w:rPr>
          <w:kern w:val="22"/>
          <w:szCs w:val="22"/>
        </w:rPr>
      </w:pPr>
      <w:r w:rsidRPr="00DD1734">
        <w:rPr>
          <w:kern w:val="22"/>
          <w:szCs w:val="22"/>
        </w:rPr>
        <w:t xml:space="preserve">Risk-pooling arrangements allow operators to differentiate the contribution of each member according to the risk </w:t>
      </w:r>
      <w:r w:rsidR="002433A5" w:rsidRPr="00DD1734">
        <w:rPr>
          <w:kern w:val="22"/>
          <w:szCs w:val="22"/>
        </w:rPr>
        <w:t xml:space="preserve">associated with </w:t>
      </w:r>
      <w:r w:rsidRPr="00DD1734">
        <w:rPr>
          <w:kern w:val="22"/>
          <w:szCs w:val="22"/>
        </w:rPr>
        <w:t>the activit</w:t>
      </w:r>
      <w:r w:rsidR="002433A5" w:rsidRPr="00DD1734">
        <w:rPr>
          <w:kern w:val="22"/>
          <w:szCs w:val="22"/>
        </w:rPr>
        <w:t>y</w:t>
      </w:r>
      <w:r w:rsidRPr="00DD1734">
        <w:rPr>
          <w:kern w:val="22"/>
          <w:szCs w:val="22"/>
        </w:rPr>
        <w:t xml:space="preserve"> and the preventive measures taken by each of them. Risk</w:t>
      </w:r>
      <w:r w:rsidR="00314E56" w:rsidRPr="00DD1734">
        <w:rPr>
          <w:kern w:val="22"/>
          <w:szCs w:val="22"/>
        </w:rPr>
        <w:t xml:space="preserve"> </w:t>
      </w:r>
      <w:r w:rsidRPr="00DD1734">
        <w:rPr>
          <w:kern w:val="22"/>
          <w:szCs w:val="22"/>
        </w:rPr>
        <w:t>pooling creates incentives for mutual monitoring</w:t>
      </w:r>
      <w:r w:rsidR="00721F65" w:rsidRPr="00DD1734">
        <w:rPr>
          <w:kern w:val="22"/>
          <w:szCs w:val="22"/>
        </w:rPr>
        <w:t>,</w:t>
      </w:r>
      <w:r w:rsidRPr="00DD1734">
        <w:rPr>
          <w:kern w:val="22"/>
          <w:szCs w:val="22"/>
        </w:rPr>
        <w:t xml:space="preserve"> as a bad risk member can increase the likelihood of damage and the need for compensation by the pool. For risk</w:t>
      </w:r>
      <w:r w:rsidR="001E2081" w:rsidRPr="00DD1734">
        <w:rPr>
          <w:kern w:val="22"/>
          <w:szCs w:val="22"/>
        </w:rPr>
        <w:t xml:space="preserve"> </w:t>
      </w:r>
      <w:r w:rsidRPr="00DD1734">
        <w:rPr>
          <w:kern w:val="22"/>
          <w:szCs w:val="22"/>
        </w:rPr>
        <w:t>pooling to be effective, the scheme must be set</w:t>
      </w:r>
      <w:r w:rsidR="000F2A74" w:rsidRPr="00DD1734">
        <w:rPr>
          <w:kern w:val="22"/>
          <w:szCs w:val="22"/>
        </w:rPr>
        <w:t xml:space="preserve"> </w:t>
      </w:r>
      <w:r w:rsidRPr="00DD1734">
        <w:rPr>
          <w:kern w:val="22"/>
          <w:szCs w:val="22"/>
        </w:rPr>
        <w:t xml:space="preserve">up to include coverage for LMO-related damage to biodiversity, provide </w:t>
      </w:r>
      <w:proofErr w:type="gramStart"/>
      <w:r w:rsidRPr="00DD1734">
        <w:rPr>
          <w:kern w:val="22"/>
          <w:szCs w:val="22"/>
        </w:rPr>
        <w:t>sufficient</w:t>
      </w:r>
      <w:proofErr w:type="gramEnd"/>
      <w:r w:rsidRPr="00DD1734">
        <w:rPr>
          <w:kern w:val="22"/>
          <w:szCs w:val="22"/>
        </w:rPr>
        <w:t xml:space="preserve"> cover and ideally allow for direct claims to be made to access the funds. Risk pools </w:t>
      </w:r>
      <w:r w:rsidR="00AD5FD4" w:rsidRPr="00DD1734">
        <w:rPr>
          <w:kern w:val="22"/>
          <w:szCs w:val="22"/>
        </w:rPr>
        <w:t xml:space="preserve">can </w:t>
      </w:r>
      <w:r w:rsidRPr="00DD1734">
        <w:rPr>
          <w:kern w:val="22"/>
          <w:szCs w:val="22"/>
        </w:rPr>
        <w:t>be established in developing countries among sufficiently homogenous groups of members with the financial capacity to cover LMO-related damage to biodiversity</w:t>
      </w:r>
      <w:r w:rsidR="00C2221E">
        <w:rPr>
          <w:kern w:val="22"/>
          <w:szCs w:val="22"/>
        </w:rPr>
        <w:t>,</w:t>
      </w:r>
      <w:r w:rsidRPr="00DD1734">
        <w:rPr>
          <w:kern w:val="22"/>
          <w:szCs w:val="22"/>
        </w:rPr>
        <w:t xml:space="preserve"> or </w:t>
      </w:r>
      <w:r w:rsidR="002D2E45" w:rsidRPr="006B2916">
        <w:rPr>
          <w:kern w:val="22"/>
          <w:szCs w:val="22"/>
        </w:rPr>
        <w:t xml:space="preserve">else </w:t>
      </w:r>
      <w:r w:rsidRPr="00DD1734">
        <w:rPr>
          <w:kern w:val="22"/>
          <w:szCs w:val="22"/>
        </w:rPr>
        <w:t xml:space="preserve">global risk-sharing arrangements funded by a small group of large members </w:t>
      </w:r>
      <w:r w:rsidR="002D2E45" w:rsidRPr="006B2916">
        <w:rPr>
          <w:kern w:val="22"/>
          <w:szCs w:val="22"/>
        </w:rPr>
        <w:t>can</w:t>
      </w:r>
      <w:r w:rsidR="002D2E45" w:rsidRPr="00DD1734">
        <w:rPr>
          <w:kern w:val="22"/>
          <w:szCs w:val="22"/>
        </w:rPr>
        <w:t xml:space="preserve"> </w:t>
      </w:r>
      <w:r w:rsidRPr="00DD1734">
        <w:rPr>
          <w:kern w:val="22"/>
          <w:szCs w:val="22"/>
        </w:rPr>
        <w:t>be set</w:t>
      </w:r>
      <w:r w:rsidR="002D2E45" w:rsidRPr="006B2916">
        <w:rPr>
          <w:kern w:val="22"/>
          <w:szCs w:val="22"/>
        </w:rPr>
        <w:t xml:space="preserve"> </w:t>
      </w:r>
      <w:r w:rsidRPr="00DD1734">
        <w:rPr>
          <w:kern w:val="22"/>
          <w:szCs w:val="22"/>
        </w:rPr>
        <w:t>up that would cover LMO-related damage to biodiversity occurring in developing countries.</w:t>
      </w:r>
    </w:p>
    <w:p w14:paraId="15F4137E" w14:textId="29DA75CF" w:rsidR="006F45CF" w:rsidRPr="006F45CF" w:rsidRDefault="006F45CF" w:rsidP="006B2916">
      <w:pPr>
        <w:pStyle w:val="Para1"/>
        <w:tabs>
          <w:tab w:val="clear" w:pos="360"/>
        </w:tabs>
        <w:spacing w:before="100" w:after="100"/>
        <w:rPr>
          <w:kern w:val="22"/>
          <w:szCs w:val="22"/>
        </w:rPr>
      </w:pPr>
      <w:r w:rsidRPr="006F45CF">
        <w:rPr>
          <w:kern w:val="22"/>
          <w:szCs w:val="22"/>
        </w:rPr>
        <w:t xml:space="preserve">Pools need to be built in </w:t>
      </w:r>
      <w:r w:rsidR="00411D02">
        <w:rPr>
          <w:kern w:val="22"/>
          <w:szCs w:val="22"/>
        </w:rPr>
        <w:t xml:space="preserve">such </w:t>
      </w:r>
      <w:r w:rsidRPr="006F45CF">
        <w:rPr>
          <w:kern w:val="22"/>
          <w:szCs w:val="22"/>
        </w:rPr>
        <w:t xml:space="preserve">a way </w:t>
      </w:r>
      <w:r w:rsidR="00411D02">
        <w:rPr>
          <w:kern w:val="22"/>
          <w:szCs w:val="22"/>
        </w:rPr>
        <w:t xml:space="preserve">as </w:t>
      </w:r>
      <w:r w:rsidRPr="006F45CF">
        <w:rPr>
          <w:kern w:val="22"/>
          <w:szCs w:val="22"/>
        </w:rPr>
        <w:t>to allow monitoring among the members. Where monitoring is effective, risk-pooling leads to a fair distribution of costs as cross-subsidization or free-riding can be excluded through mutual monitoring. Exclusion of members can</w:t>
      </w:r>
      <w:r w:rsidR="00A63E41">
        <w:rPr>
          <w:kern w:val="22"/>
          <w:szCs w:val="22"/>
        </w:rPr>
        <w:t xml:space="preserve"> </w:t>
      </w:r>
      <w:r w:rsidRPr="006F45CF">
        <w:rPr>
          <w:kern w:val="22"/>
          <w:szCs w:val="22"/>
        </w:rPr>
        <w:t>be problematic</w:t>
      </w:r>
      <w:r w:rsidR="00A63E41">
        <w:rPr>
          <w:kern w:val="22"/>
          <w:szCs w:val="22"/>
        </w:rPr>
        <w:t>,</w:t>
      </w:r>
      <w:r w:rsidR="00A63E41" w:rsidRPr="006F45CF">
        <w:rPr>
          <w:kern w:val="22"/>
          <w:szCs w:val="22"/>
        </w:rPr>
        <w:t xml:space="preserve"> however</w:t>
      </w:r>
      <w:r w:rsidR="00A63E41">
        <w:rPr>
          <w:kern w:val="22"/>
          <w:szCs w:val="22"/>
        </w:rPr>
        <w:t>,</w:t>
      </w:r>
      <w:r w:rsidRPr="006F45CF">
        <w:rPr>
          <w:kern w:val="22"/>
          <w:szCs w:val="22"/>
        </w:rPr>
        <w:t xml:space="preserve"> if no other financial security mechanisms are available for those not </w:t>
      </w:r>
      <w:r w:rsidR="008420F9">
        <w:rPr>
          <w:kern w:val="22"/>
          <w:szCs w:val="22"/>
        </w:rPr>
        <w:t xml:space="preserve">who are </w:t>
      </w:r>
      <w:r w:rsidRPr="006F45CF">
        <w:rPr>
          <w:kern w:val="22"/>
          <w:szCs w:val="22"/>
        </w:rPr>
        <w:t xml:space="preserve">able to participate in the pool. </w:t>
      </w:r>
      <w:r w:rsidRPr="006F45CF">
        <w:rPr>
          <w:kern w:val="22"/>
          <w:szCs w:val="22"/>
        </w:rPr>
        <w:lastRenderedPageBreak/>
        <w:t>Insufficiency of cover may be an issue where pools are made up of smaller operators or small numbers of operators. As all members in the pool become collectively liable to contribute when the risk materializes, risk pools provide good incentives for mutual monitoring and preventing damage.</w:t>
      </w:r>
    </w:p>
    <w:p w14:paraId="44E3CC0E" w14:textId="6646A7AB" w:rsidR="006F45CF" w:rsidRPr="006F45CF" w:rsidRDefault="006F45CF" w:rsidP="006B2916">
      <w:pPr>
        <w:pStyle w:val="Para1"/>
        <w:tabs>
          <w:tab w:val="clear" w:pos="360"/>
        </w:tabs>
        <w:spacing w:before="100" w:after="100"/>
        <w:rPr>
          <w:kern w:val="22"/>
          <w:szCs w:val="22"/>
        </w:rPr>
      </w:pPr>
      <w:r w:rsidRPr="006F45CF">
        <w:rPr>
          <w:kern w:val="22"/>
          <w:szCs w:val="22"/>
        </w:rPr>
        <w:t xml:space="preserve">A </w:t>
      </w:r>
      <w:r w:rsidRPr="006B2916">
        <w:rPr>
          <w:i/>
          <w:iCs/>
          <w:kern w:val="22"/>
          <w:szCs w:val="22"/>
        </w:rPr>
        <w:t>compensation fund</w:t>
      </w:r>
      <w:r w:rsidRPr="006F45CF">
        <w:rPr>
          <w:kern w:val="22"/>
          <w:szCs w:val="22"/>
        </w:rPr>
        <w:t xml:space="preserve"> is a mechanism that directly compensates </w:t>
      </w:r>
      <w:r w:rsidR="00807EC7" w:rsidRPr="006F45CF">
        <w:rPr>
          <w:kern w:val="22"/>
          <w:szCs w:val="22"/>
        </w:rPr>
        <w:t xml:space="preserve">a </w:t>
      </w:r>
      <w:proofErr w:type="gramStart"/>
      <w:r w:rsidR="00807EC7" w:rsidRPr="006F45CF">
        <w:rPr>
          <w:kern w:val="22"/>
          <w:szCs w:val="22"/>
        </w:rPr>
        <w:t>particular victim</w:t>
      </w:r>
      <w:proofErr w:type="gramEnd"/>
      <w:r w:rsidR="00807EC7" w:rsidRPr="006F45CF">
        <w:rPr>
          <w:kern w:val="22"/>
          <w:szCs w:val="22"/>
        </w:rPr>
        <w:t xml:space="preserve"> </w:t>
      </w:r>
      <w:r w:rsidR="00807EC7">
        <w:rPr>
          <w:kern w:val="22"/>
          <w:szCs w:val="22"/>
        </w:rPr>
        <w:t>for</w:t>
      </w:r>
      <w:r w:rsidR="00807EC7" w:rsidRPr="006F45CF">
        <w:rPr>
          <w:kern w:val="22"/>
          <w:szCs w:val="22"/>
        </w:rPr>
        <w:t xml:space="preserve"> </w:t>
      </w:r>
      <w:r w:rsidRPr="006F45CF">
        <w:rPr>
          <w:kern w:val="22"/>
          <w:szCs w:val="22"/>
        </w:rPr>
        <w:t>losses. A compensation fund usually requires State intervention at the national or intergovernmental level to regulate its financing (either through contributions by risk</w:t>
      </w:r>
      <w:r w:rsidR="00D43C3E">
        <w:rPr>
          <w:kern w:val="22"/>
          <w:szCs w:val="22"/>
        </w:rPr>
        <w:t xml:space="preserve"> </w:t>
      </w:r>
      <w:r w:rsidRPr="006F45CF">
        <w:rPr>
          <w:kern w:val="22"/>
          <w:szCs w:val="22"/>
        </w:rPr>
        <w:t>creators or through general taxation), which is based on ex</w:t>
      </w:r>
      <w:r w:rsidR="00D43C3E">
        <w:rPr>
          <w:kern w:val="22"/>
          <w:szCs w:val="22"/>
        </w:rPr>
        <w:t> </w:t>
      </w:r>
      <w:r w:rsidRPr="006F45CF">
        <w:rPr>
          <w:kern w:val="22"/>
          <w:szCs w:val="22"/>
        </w:rPr>
        <w:t>ante payments. A compensation fund can ensure payment when there is no liable party (e.g. in case of natural disasters), when the liable party is insolvent, or when a liable party cannot be identified. Compensation funds are often used in combination with other financial security mechanisms and could provide basic coverage or could be established to supplement other types of financial security. The administration of a fund can be adjusted to specific needs which may reduce barriers for claimants.</w:t>
      </w:r>
    </w:p>
    <w:p w14:paraId="2040A8ED" w14:textId="3F9B38BE" w:rsidR="006F45CF" w:rsidRPr="006F45CF" w:rsidRDefault="006F45CF" w:rsidP="006B2916">
      <w:pPr>
        <w:pStyle w:val="Para1"/>
        <w:tabs>
          <w:tab w:val="clear" w:pos="360"/>
        </w:tabs>
        <w:spacing w:before="100" w:after="100"/>
        <w:rPr>
          <w:kern w:val="22"/>
          <w:szCs w:val="22"/>
        </w:rPr>
      </w:pPr>
      <w:r w:rsidRPr="006F45CF">
        <w:rPr>
          <w:kern w:val="22"/>
          <w:szCs w:val="22"/>
        </w:rPr>
        <w:t>Administrative costs of funds can be relatively large. If contributions are collected through general taxes, incentives for prevention are low, while the incentive for prevention would be higher if contributions are collected from the operators creating the risk. Funds often have standardized and simplified procedures that facilitate the submission and consideration of claims. Compensation is often based on a fixed lump-sum payment, which may be insufficient to cover the damage but can, on the other hand, expedite access to the redress. The impacts of a compensation fund on developing countries may depend on the characteristics of the fund – a national-level fund may be complex to establish and administer. If funds effectively apply a mechanism of risk differentiation, incentives to prevent damage can be created.</w:t>
      </w:r>
    </w:p>
    <w:p w14:paraId="6B9D578C" w14:textId="40DCA0E6" w:rsidR="006F45CF" w:rsidRPr="006F45CF" w:rsidRDefault="006F45CF" w:rsidP="006B2916">
      <w:pPr>
        <w:pStyle w:val="Para1"/>
        <w:tabs>
          <w:tab w:val="clear" w:pos="360"/>
        </w:tabs>
        <w:spacing w:before="100" w:after="100"/>
        <w:rPr>
          <w:kern w:val="22"/>
          <w:szCs w:val="22"/>
        </w:rPr>
      </w:pPr>
      <w:r w:rsidRPr="006F45CF">
        <w:rPr>
          <w:kern w:val="22"/>
          <w:szCs w:val="22"/>
        </w:rPr>
        <w:t xml:space="preserve">The study includes examples of financial security mechanisms that combine various characteristics of different mechanisms (hybrid mechanisms) that provide the flexibility needed for </w:t>
      </w:r>
      <w:proofErr w:type="gramStart"/>
      <w:r w:rsidRPr="006F45CF">
        <w:rPr>
          <w:kern w:val="22"/>
          <w:szCs w:val="22"/>
        </w:rPr>
        <w:t>particular sectors</w:t>
      </w:r>
      <w:proofErr w:type="gramEnd"/>
      <w:r w:rsidRPr="006F45CF">
        <w:rPr>
          <w:kern w:val="22"/>
          <w:szCs w:val="22"/>
        </w:rPr>
        <w:t>. Some mechanisms are multi-layered combining different elements of various mechanisms.</w:t>
      </w:r>
    </w:p>
    <w:p w14:paraId="0E3492B1" w14:textId="77777777" w:rsidR="006F45CF" w:rsidRPr="006F45CF" w:rsidRDefault="006F45CF" w:rsidP="006B2916">
      <w:pPr>
        <w:pStyle w:val="Para1"/>
        <w:keepNext/>
        <w:numPr>
          <w:ilvl w:val="0"/>
          <w:numId w:val="0"/>
        </w:numPr>
        <w:spacing w:before="100" w:after="100"/>
        <w:rPr>
          <w:i/>
          <w:iCs/>
          <w:kern w:val="22"/>
          <w:szCs w:val="22"/>
        </w:rPr>
      </w:pPr>
      <w:r w:rsidRPr="006F45CF">
        <w:rPr>
          <w:i/>
          <w:iCs/>
          <w:kern w:val="22"/>
          <w:szCs w:val="22"/>
        </w:rPr>
        <w:t>Conclusions</w:t>
      </w:r>
    </w:p>
    <w:p w14:paraId="11EC5B75" w14:textId="2E89D9F0" w:rsidR="006F45CF" w:rsidRPr="006F45CF" w:rsidRDefault="006F45CF" w:rsidP="006B2916">
      <w:pPr>
        <w:pStyle w:val="Para1"/>
        <w:tabs>
          <w:tab w:val="clear" w:pos="360"/>
        </w:tabs>
        <w:spacing w:before="100" w:after="100"/>
        <w:rPr>
          <w:kern w:val="22"/>
          <w:szCs w:val="22"/>
        </w:rPr>
      </w:pPr>
      <w:r w:rsidRPr="006F45CF">
        <w:rPr>
          <w:kern w:val="22"/>
          <w:szCs w:val="22"/>
        </w:rPr>
        <w:t xml:space="preserve">The Supplementary Protocol focuses on damage to biodiversity from LMOs, which poses </w:t>
      </w:r>
      <w:proofErr w:type="gramStart"/>
      <w:r w:rsidRPr="006F45CF">
        <w:rPr>
          <w:kern w:val="22"/>
          <w:szCs w:val="22"/>
        </w:rPr>
        <w:t>a number of</w:t>
      </w:r>
      <w:proofErr w:type="gramEnd"/>
      <w:r w:rsidRPr="006F45CF">
        <w:rPr>
          <w:kern w:val="22"/>
          <w:szCs w:val="22"/>
        </w:rPr>
        <w:t xml:space="preserve"> challenges for financial security mechanisms. One issue is the high uncertainty with respect to the probability of an incident and the potential scope of the damage. A further challenge is that first party financial security mechanisms do not seem to fit very well with the concept of damage to biodiversity as biodiversity is not generally attributed to or owned by an individual. Consequently, third party financial security mechanisms would seem to be more suitable.</w:t>
      </w:r>
    </w:p>
    <w:p w14:paraId="337D5219" w14:textId="6DCAD40B" w:rsidR="006F45CF" w:rsidRPr="006F45CF" w:rsidRDefault="006F45CF" w:rsidP="006B2916">
      <w:pPr>
        <w:pStyle w:val="Para1"/>
        <w:tabs>
          <w:tab w:val="clear" w:pos="360"/>
        </w:tabs>
        <w:spacing w:before="100" w:after="100"/>
        <w:rPr>
          <w:kern w:val="22"/>
          <w:szCs w:val="22"/>
        </w:rPr>
      </w:pPr>
      <w:r w:rsidRPr="006F45CF">
        <w:rPr>
          <w:kern w:val="22"/>
          <w:szCs w:val="22"/>
        </w:rPr>
        <w:t xml:space="preserve">The study identified possible providers of financial security for LMO-related damage to biodiversity in </w:t>
      </w:r>
      <w:r w:rsidR="00297A61">
        <w:rPr>
          <w:kern w:val="22"/>
          <w:szCs w:val="22"/>
        </w:rPr>
        <w:t xml:space="preserve">the </w:t>
      </w:r>
      <w:r w:rsidRPr="006F45CF">
        <w:rPr>
          <w:kern w:val="22"/>
          <w:szCs w:val="22"/>
        </w:rPr>
        <w:t>light of the suitability of the financial security mechanism. Given the uncertainties surrounding the type of risk (biodiversity damage)</w:t>
      </w:r>
      <w:r w:rsidR="00E67942">
        <w:rPr>
          <w:kern w:val="22"/>
          <w:szCs w:val="22"/>
        </w:rPr>
        <w:t>,</w:t>
      </w:r>
      <w:r w:rsidRPr="006F45CF">
        <w:rPr>
          <w:kern w:val="22"/>
          <w:szCs w:val="22"/>
        </w:rPr>
        <w:t xml:space="preserve"> there is a high reluctance among insurers to provide cover, which makes it unlikely that insurers would be able to provide third party liability cover for LMO</w:t>
      </w:r>
      <w:r w:rsidR="00953149">
        <w:rPr>
          <w:kern w:val="22"/>
          <w:szCs w:val="22"/>
        </w:rPr>
        <w:noBreakHyphen/>
      </w:r>
      <w:r w:rsidRPr="006F45CF">
        <w:rPr>
          <w:kern w:val="22"/>
          <w:szCs w:val="22"/>
        </w:rPr>
        <w:t>related damage to biodiversity. There may</w:t>
      </w:r>
      <w:r w:rsidR="00710880">
        <w:rPr>
          <w:kern w:val="22"/>
          <w:szCs w:val="22"/>
        </w:rPr>
        <w:t xml:space="preserve"> </w:t>
      </w:r>
      <w:r w:rsidRPr="006F45CF">
        <w:rPr>
          <w:kern w:val="22"/>
          <w:szCs w:val="22"/>
        </w:rPr>
        <w:t>be</w:t>
      </w:r>
      <w:r w:rsidR="00710880" w:rsidRPr="006F45CF">
        <w:rPr>
          <w:kern w:val="22"/>
          <w:szCs w:val="22"/>
        </w:rPr>
        <w:t>, however,</w:t>
      </w:r>
      <w:r w:rsidRPr="006F45CF">
        <w:rPr>
          <w:kern w:val="22"/>
          <w:szCs w:val="22"/>
        </w:rPr>
        <w:t xml:space="preserve"> other providers of financial security (for example larger operators in the supply chain) who might be willing to provide financial security either via self-insurance or via a risk-sharing agreement.</w:t>
      </w:r>
    </w:p>
    <w:p w14:paraId="69C36491" w14:textId="1935AD33" w:rsidR="006F45CF" w:rsidRPr="006F45CF" w:rsidRDefault="006F45CF" w:rsidP="006B2916">
      <w:pPr>
        <w:pStyle w:val="Para1"/>
        <w:tabs>
          <w:tab w:val="clear" w:pos="360"/>
        </w:tabs>
        <w:spacing w:before="100" w:after="100"/>
        <w:rPr>
          <w:kern w:val="22"/>
          <w:szCs w:val="22"/>
        </w:rPr>
      </w:pPr>
      <w:r w:rsidRPr="006F45CF">
        <w:rPr>
          <w:kern w:val="22"/>
          <w:szCs w:val="22"/>
        </w:rPr>
        <w:t>In that respect</w:t>
      </w:r>
      <w:r w:rsidR="006D7BF3">
        <w:rPr>
          <w:kern w:val="22"/>
          <w:szCs w:val="22"/>
        </w:rPr>
        <w:t>,</w:t>
      </w:r>
      <w:r w:rsidRPr="006F45CF">
        <w:rPr>
          <w:kern w:val="22"/>
          <w:szCs w:val="22"/>
        </w:rPr>
        <w:t xml:space="preserve"> </w:t>
      </w:r>
      <w:r w:rsidR="006D7BF3">
        <w:rPr>
          <w:kern w:val="22"/>
          <w:szCs w:val="22"/>
        </w:rPr>
        <w:t>G</w:t>
      </w:r>
      <w:r w:rsidRPr="006F45CF">
        <w:rPr>
          <w:kern w:val="22"/>
          <w:szCs w:val="22"/>
        </w:rPr>
        <w:t>overnments could play a facilitative role to promote financial security, including by creating the enabling conditions for the development of a variety of financial security mechanisms.  Moreover, it would be beneficial that information is shared on existing financial security mechanisms for damage to biodiversity.</w:t>
      </w:r>
    </w:p>
    <w:p w14:paraId="07F60691" w14:textId="75AF4169" w:rsidR="006F45CF" w:rsidRPr="006F45CF" w:rsidRDefault="006F45CF" w:rsidP="006B2916">
      <w:pPr>
        <w:pStyle w:val="Para1"/>
        <w:tabs>
          <w:tab w:val="clear" w:pos="360"/>
        </w:tabs>
        <w:spacing w:before="100" w:after="100"/>
        <w:rPr>
          <w:kern w:val="22"/>
          <w:szCs w:val="22"/>
        </w:rPr>
      </w:pPr>
      <w:r w:rsidRPr="006F45CF">
        <w:rPr>
          <w:kern w:val="22"/>
          <w:szCs w:val="22"/>
        </w:rPr>
        <w:t>The study showed that</w:t>
      </w:r>
      <w:r w:rsidR="002821AF">
        <w:rPr>
          <w:kern w:val="22"/>
          <w:szCs w:val="22"/>
        </w:rPr>
        <w:t>,</w:t>
      </w:r>
      <w:r w:rsidRPr="006F45CF">
        <w:rPr>
          <w:kern w:val="22"/>
          <w:szCs w:val="22"/>
        </w:rPr>
        <w:t xml:space="preserve"> in </w:t>
      </w:r>
      <w:proofErr w:type="gramStart"/>
      <w:r w:rsidRPr="006F45CF">
        <w:rPr>
          <w:kern w:val="22"/>
          <w:szCs w:val="22"/>
        </w:rPr>
        <w:t>a number of</w:t>
      </w:r>
      <w:proofErr w:type="gramEnd"/>
      <w:r w:rsidRPr="006F45CF">
        <w:rPr>
          <w:kern w:val="22"/>
          <w:szCs w:val="22"/>
        </w:rPr>
        <w:t xml:space="preserve"> developing countries, experience with financial security mechanisms exists, including </w:t>
      </w:r>
      <w:r w:rsidR="00D42798" w:rsidRPr="006F45CF">
        <w:rPr>
          <w:kern w:val="22"/>
          <w:szCs w:val="22"/>
        </w:rPr>
        <w:t xml:space="preserve">such </w:t>
      </w:r>
      <w:r w:rsidRPr="006F45CF">
        <w:rPr>
          <w:kern w:val="22"/>
          <w:szCs w:val="22"/>
        </w:rPr>
        <w:t xml:space="preserve">informal mechanisms as de facto self-insurance as well as </w:t>
      </w:r>
      <w:proofErr w:type="spellStart"/>
      <w:r w:rsidRPr="006F45CF">
        <w:rPr>
          <w:kern w:val="22"/>
          <w:szCs w:val="22"/>
        </w:rPr>
        <w:t>ris</w:t>
      </w:r>
      <w:proofErr w:type="spellEnd"/>
      <w:r w:rsidR="00DC3D56">
        <w:rPr>
          <w:kern w:val="22"/>
          <w:szCs w:val="22"/>
        </w:rPr>
        <w:t>\</w:t>
      </w:r>
      <w:r w:rsidRPr="006F45CF">
        <w:rPr>
          <w:kern w:val="22"/>
          <w:szCs w:val="22"/>
        </w:rPr>
        <w:t xml:space="preserve">-pooling among farmers. The administrative, regulatory and institutional challenges </w:t>
      </w:r>
      <w:r w:rsidR="00604777">
        <w:rPr>
          <w:kern w:val="22"/>
          <w:szCs w:val="22"/>
        </w:rPr>
        <w:t xml:space="preserve">that </w:t>
      </w:r>
      <w:r w:rsidRPr="006F45CF">
        <w:rPr>
          <w:kern w:val="22"/>
          <w:szCs w:val="22"/>
        </w:rPr>
        <w:t>many developing countries face would likely exacerbate the general difficulty to develop financial security mechanisms to cover damage to biodiversity caused by LMOs. International practice shows</w:t>
      </w:r>
      <w:r w:rsidR="00B36A80">
        <w:rPr>
          <w:kern w:val="22"/>
          <w:szCs w:val="22"/>
        </w:rPr>
        <w:t>,</w:t>
      </w:r>
      <w:r w:rsidRPr="006F45CF">
        <w:rPr>
          <w:kern w:val="22"/>
          <w:szCs w:val="22"/>
        </w:rPr>
        <w:t xml:space="preserve"> however</w:t>
      </w:r>
      <w:r w:rsidR="00B36A80">
        <w:rPr>
          <w:kern w:val="22"/>
          <w:szCs w:val="22"/>
        </w:rPr>
        <w:t>,</w:t>
      </w:r>
      <w:r w:rsidRPr="006F45CF">
        <w:rPr>
          <w:kern w:val="22"/>
          <w:szCs w:val="22"/>
        </w:rPr>
        <w:t xml:space="preserve"> that</w:t>
      </w:r>
      <w:r w:rsidR="00B36A80">
        <w:rPr>
          <w:kern w:val="22"/>
          <w:szCs w:val="22"/>
        </w:rPr>
        <w:t>,</w:t>
      </w:r>
      <w:r w:rsidRPr="006F45CF">
        <w:rPr>
          <w:kern w:val="22"/>
          <w:szCs w:val="22"/>
        </w:rPr>
        <w:t xml:space="preserve"> with adequate regulatory support, transboundary financial security mechanisms can be developed in which operators in developing countries could also participate.</w:t>
      </w:r>
    </w:p>
    <w:p w14:paraId="04668DC5" w14:textId="00ECBE60" w:rsidR="006F45CF" w:rsidRPr="006F45CF" w:rsidRDefault="006F45CF" w:rsidP="006B2916">
      <w:pPr>
        <w:pStyle w:val="Para1"/>
        <w:tabs>
          <w:tab w:val="clear" w:pos="360"/>
        </w:tabs>
        <w:spacing w:before="100" w:after="100"/>
        <w:rPr>
          <w:kern w:val="22"/>
          <w:szCs w:val="22"/>
        </w:rPr>
      </w:pPr>
      <w:r w:rsidRPr="006F45CF">
        <w:rPr>
          <w:kern w:val="22"/>
          <w:szCs w:val="22"/>
        </w:rPr>
        <w:t xml:space="preserve">Further exploration of this topic would benefit from </w:t>
      </w:r>
      <w:r w:rsidR="00142EB8">
        <w:rPr>
          <w:kern w:val="22"/>
          <w:szCs w:val="22"/>
        </w:rPr>
        <w:t xml:space="preserve">an </w:t>
      </w:r>
      <w:r w:rsidR="00142EB8" w:rsidRPr="006F45CF">
        <w:rPr>
          <w:kern w:val="22"/>
          <w:szCs w:val="22"/>
        </w:rPr>
        <w:t xml:space="preserve">exchange </w:t>
      </w:r>
      <w:r w:rsidR="00142EB8">
        <w:rPr>
          <w:kern w:val="22"/>
          <w:szCs w:val="22"/>
        </w:rPr>
        <w:t xml:space="preserve">of </w:t>
      </w:r>
      <w:r w:rsidRPr="006F45CF">
        <w:rPr>
          <w:kern w:val="22"/>
          <w:szCs w:val="22"/>
        </w:rPr>
        <w:t>information on the availability of financial security for damage to biodiversity.</w:t>
      </w:r>
    </w:p>
    <w:p w14:paraId="6A527174" w14:textId="54963A6D" w:rsidR="006F45CF" w:rsidRPr="005025F2" w:rsidRDefault="006F45CF" w:rsidP="006B2916">
      <w:pPr>
        <w:pStyle w:val="Para1"/>
        <w:numPr>
          <w:ilvl w:val="0"/>
          <w:numId w:val="0"/>
        </w:numPr>
        <w:spacing w:before="100" w:after="100"/>
        <w:ind w:firstLine="360"/>
        <w:outlineLvl w:val="0"/>
        <w:rPr>
          <w:kern w:val="22"/>
          <w:szCs w:val="22"/>
        </w:rPr>
        <w:sectPr w:rsidR="006F45CF" w:rsidRPr="005025F2" w:rsidSect="006B2916">
          <w:headerReference w:type="even" r:id="rId16"/>
          <w:headerReference w:type="default" r:id="rId17"/>
          <w:footerReference w:type="even" r:id="rId18"/>
          <w:footerReference w:type="default" r:id="rId19"/>
          <w:footerReference w:type="first" r:id="rId20"/>
          <w:pgSz w:w="12240" w:h="15840" w:code="1"/>
          <w:pgMar w:top="1134" w:right="1440" w:bottom="1134" w:left="1440" w:header="459" w:footer="720" w:gutter="0"/>
          <w:cols w:space="720"/>
          <w:titlePg/>
          <w:docGrid w:linePitch="299"/>
        </w:sectPr>
      </w:pPr>
    </w:p>
    <w:p w14:paraId="77D76BAB" w14:textId="2889E1AA" w:rsidR="00391A45" w:rsidRDefault="00391A45" w:rsidP="00391A45">
      <w:pPr>
        <w:pStyle w:val="Para1"/>
        <w:numPr>
          <w:ilvl w:val="0"/>
          <w:numId w:val="0"/>
        </w:numPr>
        <w:jc w:val="center"/>
        <w:outlineLvl w:val="0"/>
        <w:rPr>
          <w:i/>
          <w:kern w:val="22"/>
          <w:szCs w:val="22"/>
        </w:rPr>
      </w:pPr>
      <w:r w:rsidRPr="005025F2">
        <w:rPr>
          <w:i/>
          <w:kern w:val="22"/>
          <w:szCs w:val="22"/>
        </w:rPr>
        <w:lastRenderedPageBreak/>
        <w:t>Annex</w:t>
      </w:r>
    </w:p>
    <w:p w14:paraId="23A732F3" w14:textId="77777777" w:rsidR="006F45CF" w:rsidRPr="00005AE0" w:rsidRDefault="006F45CF" w:rsidP="006F45CF">
      <w:pPr>
        <w:jc w:val="center"/>
        <w:rPr>
          <w:b/>
          <w:bCs/>
          <w:sz w:val="28"/>
          <w:szCs w:val="28"/>
        </w:rPr>
      </w:pPr>
      <w:r w:rsidRPr="00005AE0">
        <w:rPr>
          <w:b/>
          <w:bCs/>
          <w:sz w:val="28"/>
          <w:szCs w:val="28"/>
        </w:rPr>
        <w:t xml:space="preserve">Study on Financial Security Mechanisms </w:t>
      </w:r>
    </w:p>
    <w:p w14:paraId="605A602E" w14:textId="411E4773" w:rsidR="006F45CF" w:rsidRPr="00005AE0" w:rsidRDefault="006F45CF" w:rsidP="006F45CF">
      <w:pPr>
        <w:jc w:val="center"/>
        <w:rPr>
          <w:b/>
          <w:bCs/>
          <w:sz w:val="28"/>
          <w:szCs w:val="28"/>
        </w:rPr>
      </w:pPr>
      <w:r w:rsidRPr="00005AE0">
        <w:rPr>
          <w:b/>
          <w:bCs/>
          <w:sz w:val="28"/>
          <w:szCs w:val="28"/>
        </w:rPr>
        <w:t>(Article 10 of the Nagoya – Kuala Lumpur Supplementary Protocol</w:t>
      </w:r>
      <w:r w:rsidR="009A4316">
        <w:rPr>
          <w:b/>
          <w:bCs/>
          <w:sz w:val="28"/>
          <w:szCs w:val="28"/>
        </w:rPr>
        <w:t xml:space="preserve"> on Liability and Redress</w:t>
      </w:r>
      <w:r w:rsidRPr="00005AE0">
        <w:rPr>
          <w:b/>
          <w:bCs/>
          <w:sz w:val="28"/>
          <w:szCs w:val="28"/>
        </w:rPr>
        <w:t>)</w:t>
      </w:r>
    </w:p>
    <w:p w14:paraId="5F5A38C3" w14:textId="77777777" w:rsidR="006F45CF" w:rsidRDefault="006F45CF" w:rsidP="006F45CF"/>
    <w:p w14:paraId="23408C79" w14:textId="77777777" w:rsidR="006F45CF" w:rsidRDefault="006F45CF" w:rsidP="006F45CF"/>
    <w:p w14:paraId="7E59CC8E" w14:textId="77777777" w:rsidR="006F45CF" w:rsidRPr="00005AE0" w:rsidRDefault="006F45CF" w:rsidP="006F45CF">
      <w:pPr>
        <w:jc w:val="center"/>
        <w:rPr>
          <w:rFonts w:asciiTheme="majorBidi" w:hAnsiTheme="majorBidi" w:cstheme="majorBidi"/>
          <w:szCs w:val="22"/>
          <w:lang w:val="fr-FR"/>
        </w:rPr>
      </w:pPr>
      <w:r w:rsidRPr="00005AE0">
        <w:rPr>
          <w:rFonts w:asciiTheme="majorBidi" w:hAnsiTheme="majorBidi" w:cstheme="majorBidi"/>
          <w:szCs w:val="22"/>
          <w:lang w:val="fr-FR"/>
        </w:rPr>
        <w:t>Prof. Dr. Michael G. Faure LL.M.</w:t>
      </w:r>
    </w:p>
    <w:p w14:paraId="28645B41" w14:textId="6F971CD7" w:rsidR="006F45CF" w:rsidRPr="00005AE0" w:rsidRDefault="006F45CF" w:rsidP="00541277">
      <w:pPr>
        <w:spacing w:before="120"/>
        <w:jc w:val="center"/>
        <w:rPr>
          <w:rFonts w:asciiTheme="majorBidi" w:hAnsiTheme="majorBidi" w:cstheme="majorBidi"/>
          <w:szCs w:val="22"/>
        </w:rPr>
      </w:pPr>
      <w:r w:rsidRPr="00005AE0">
        <w:rPr>
          <w:rFonts w:asciiTheme="majorBidi" w:hAnsiTheme="majorBidi" w:cstheme="majorBidi"/>
          <w:szCs w:val="22"/>
        </w:rPr>
        <w:t>With the cooperation of Minzhen Jiang</w:t>
      </w:r>
    </w:p>
    <w:p w14:paraId="133A5374" w14:textId="6C08EA38" w:rsidR="006F45CF" w:rsidRPr="00005AE0" w:rsidRDefault="006F45CF" w:rsidP="006F45CF">
      <w:pPr>
        <w:jc w:val="center"/>
        <w:rPr>
          <w:rFonts w:asciiTheme="majorBidi" w:hAnsiTheme="majorBidi" w:cstheme="majorBidi"/>
          <w:szCs w:val="22"/>
        </w:rPr>
      </w:pPr>
    </w:p>
    <w:p w14:paraId="2D0E4A26" w14:textId="3D1F93F2" w:rsidR="006F45CF" w:rsidRPr="00005AE0" w:rsidRDefault="006F45CF" w:rsidP="006F45CF">
      <w:pPr>
        <w:jc w:val="center"/>
        <w:rPr>
          <w:rFonts w:asciiTheme="majorBidi" w:hAnsiTheme="majorBidi" w:cstheme="majorBidi"/>
          <w:szCs w:val="22"/>
        </w:rPr>
      </w:pPr>
      <w:r w:rsidRPr="00005AE0">
        <w:rPr>
          <w:rFonts w:asciiTheme="majorBidi" w:hAnsiTheme="majorBidi" w:cstheme="majorBidi"/>
          <w:szCs w:val="22"/>
        </w:rPr>
        <w:t>15</w:t>
      </w:r>
      <w:r w:rsidR="00282731">
        <w:rPr>
          <w:rFonts w:asciiTheme="majorBidi" w:hAnsiTheme="majorBidi" w:cstheme="majorBidi"/>
          <w:szCs w:val="22"/>
        </w:rPr>
        <w:t xml:space="preserve"> September </w:t>
      </w:r>
      <w:r w:rsidRPr="00005AE0">
        <w:rPr>
          <w:rFonts w:asciiTheme="majorBidi" w:hAnsiTheme="majorBidi" w:cstheme="majorBidi"/>
          <w:szCs w:val="22"/>
        </w:rPr>
        <w:t>2021</w:t>
      </w:r>
    </w:p>
    <w:p w14:paraId="2D0D8E67" w14:textId="77777777" w:rsidR="006F45CF" w:rsidRPr="00541277" w:rsidRDefault="006F45CF" w:rsidP="006F45CF">
      <w:pPr>
        <w:pStyle w:val="Heading1"/>
        <w:rPr>
          <w:rFonts w:asciiTheme="majorBidi" w:hAnsiTheme="majorBidi" w:cstheme="majorBidi"/>
          <w:color w:val="548DD4" w:themeColor="text2" w:themeTint="99"/>
          <w:sz w:val="24"/>
        </w:rPr>
      </w:pPr>
      <w:bookmarkStart w:id="2" w:name="_Toc57907646"/>
      <w:bookmarkStart w:id="3" w:name="_Toc57908074"/>
      <w:bookmarkStart w:id="4" w:name="_Toc58602924"/>
      <w:bookmarkStart w:id="5" w:name="_Toc59049356"/>
      <w:bookmarkStart w:id="6" w:name="_Toc67575687"/>
      <w:bookmarkStart w:id="7" w:name="_Toc71630621"/>
      <w:bookmarkStart w:id="8" w:name="_Toc72148904"/>
      <w:bookmarkStart w:id="9" w:name="_Toc82176397"/>
      <w:r w:rsidRPr="00541277">
        <w:rPr>
          <w:rFonts w:asciiTheme="majorBidi" w:hAnsiTheme="majorBidi" w:cstheme="majorBidi"/>
          <w:color w:val="548DD4" w:themeColor="text2" w:themeTint="99"/>
          <w:sz w:val="24"/>
        </w:rPr>
        <w:t>Table of Contents</w:t>
      </w:r>
      <w:bookmarkEnd w:id="2"/>
      <w:bookmarkEnd w:id="3"/>
      <w:bookmarkEnd w:id="4"/>
      <w:bookmarkEnd w:id="5"/>
      <w:bookmarkEnd w:id="6"/>
      <w:bookmarkEnd w:id="7"/>
      <w:bookmarkEnd w:id="8"/>
      <w:bookmarkEnd w:id="9"/>
    </w:p>
    <w:p w14:paraId="7C1CCB53" w14:textId="155025B8" w:rsidR="006F45CF" w:rsidRPr="00001663" w:rsidRDefault="006F45CF" w:rsidP="00282731">
      <w:pPr>
        <w:pStyle w:val="TOC1"/>
        <w:tabs>
          <w:tab w:val="clear" w:pos="8910"/>
          <w:tab w:val="left" w:pos="9000"/>
        </w:tabs>
        <w:spacing w:after="120"/>
        <w:rPr>
          <w:rFonts w:eastAsiaTheme="minorEastAsia"/>
          <w:noProof/>
          <w:lang w:eastAsia="zh-CN"/>
        </w:rPr>
      </w:pPr>
      <w:r w:rsidRPr="00005AE0">
        <w:rPr>
          <w:color w:val="2B579A"/>
          <w:shd w:val="clear" w:color="auto" w:fill="E6E6E6"/>
        </w:rPr>
        <w:fldChar w:fldCharType="begin"/>
      </w:r>
      <w:r w:rsidRPr="00005AE0">
        <w:instrText xml:space="preserve"> TOC \o "1-3" \h \z \u </w:instrText>
      </w:r>
      <w:r w:rsidRPr="00005AE0">
        <w:rPr>
          <w:color w:val="2B579A"/>
          <w:shd w:val="clear" w:color="auto" w:fill="E6E6E6"/>
        </w:rPr>
        <w:fldChar w:fldCharType="separate"/>
      </w:r>
      <w:hyperlink w:anchor="_Toc82176397" w:history="1">
        <w:r w:rsidRPr="00001663">
          <w:rPr>
            <w:rStyle w:val="Hyperlink"/>
            <w:rFonts w:asciiTheme="majorBidi" w:hAnsiTheme="majorBidi" w:cstheme="majorBidi"/>
            <w:noProof/>
            <w:sz w:val="22"/>
            <w:szCs w:val="22"/>
          </w:rPr>
          <w:t>Table of Contents</w:t>
        </w:r>
        <w:r w:rsidRPr="00001663">
          <w:rPr>
            <w:noProof/>
            <w:webHidden/>
          </w:rPr>
          <w:tab/>
        </w:r>
        <w:r w:rsidR="00001663">
          <w:rPr>
            <w:noProof/>
            <w:webHidden/>
          </w:rPr>
          <w:t xml:space="preserve"> </w:t>
        </w:r>
        <w:r w:rsidR="00282731">
          <w:rPr>
            <w:noProof/>
            <w:webHidden/>
          </w:rPr>
          <w:t xml:space="preserve"> </w:t>
        </w:r>
        <w:r w:rsidR="00001663">
          <w:rPr>
            <w:noProof/>
            <w:webHidden/>
          </w:rPr>
          <w:t xml:space="preserve"> </w:t>
        </w:r>
        <w:r w:rsidRPr="00001663">
          <w:rPr>
            <w:noProof/>
            <w:webHidden/>
          </w:rPr>
          <w:fldChar w:fldCharType="begin"/>
        </w:r>
        <w:r w:rsidRPr="00001663">
          <w:rPr>
            <w:noProof/>
            <w:webHidden/>
          </w:rPr>
          <w:instrText xml:space="preserve"> PAGEREF _Toc82176397 \h </w:instrText>
        </w:r>
        <w:r w:rsidRPr="00001663">
          <w:rPr>
            <w:noProof/>
            <w:webHidden/>
          </w:rPr>
        </w:r>
        <w:r w:rsidRPr="00001663">
          <w:rPr>
            <w:noProof/>
            <w:webHidden/>
          </w:rPr>
          <w:fldChar w:fldCharType="separate"/>
        </w:r>
        <w:r w:rsidR="00726278">
          <w:rPr>
            <w:noProof/>
            <w:webHidden/>
          </w:rPr>
          <w:t>6</w:t>
        </w:r>
        <w:r w:rsidRPr="00001663">
          <w:rPr>
            <w:noProof/>
            <w:webHidden/>
          </w:rPr>
          <w:fldChar w:fldCharType="end"/>
        </w:r>
      </w:hyperlink>
    </w:p>
    <w:p w14:paraId="77B11B0C" w14:textId="3EC3CA34" w:rsidR="006F45CF" w:rsidRPr="00001663" w:rsidRDefault="00726278" w:rsidP="00282731">
      <w:pPr>
        <w:pStyle w:val="TOC1"/>
        <w:tabs>
          <w:tab w:val="clear" w:pos="8910"/>
          <w:tab w:val="left" w:pos="9000"/>
        </w:tabs>
        <w:spacing w:after="120"/>
        <w:rPr>
          <w:rFonts w:eastAsiaTheme="minorEastAsia"/>
          <w:noProof/>
          <w:lang w:eastAsia="zh-CN"/>
        </w:rPr>
      </w:pPr>
      <w:hyperlink w:anchor="_Toc82176398" w:history="1">
        <w:r w:rsidR="006F45CF" w:rsidRPr="00001663">
          <w:rPr>
            <w:rStyle w:val="Hyperlink"/>
            <w:rFonts w:asciiTheme="majorBidi" w:hAnsiTheme="majorBidi" w:cstheme="majorBidi"/>
            <w:noProof/>
            <w:sz w:val="22"/>
            <w:szCs w:val="22"/>
          </w:rPr>
          <w:t>List of Abbreviations</w:t>
        </w:r>
        <w:r w:rsidR="006F45CF" w:rsidRPr="00001663">
          <w:rPr>
            <w:noProof/>
            <w:webHidden/>
          </w:rPr>
          <w:tab/>
        </w:r>
        <w:r w:rsidR="00001663">
          <w:rPr>
            <w:noProof/>
            <w:webHidden/>
          </w:rPr>
          <w:t xml:space="preserve">  </w:t>
        </w:r>
        <w:r w:rsidR="00282731">
          <w:rPr>
            <w:noProof/>
            <w:webHidden/>
          </w:rPr>
          <w:t xml:space="preserve"> </w:t>
        </w:r>
        <w:r w:rsidR="006F45CF" w:rsidRPr="00001663">
          <w:rPr>
            <w:noProof/>
            <w:webHidden/>
          </w:rPr>
          <w:fldChar w:fldCharType="begin"/>
        </w:r>
        <w:r w:rsidR="006F45CF" w:rsidRPr="00001663">
          <w:rPr>
            <w:noProof/>
            <w:webHidden/>
          </w:rPr>
          <w:instrText xml:space="preserve"> PAGEREF _Toc82176398 \h </w:instrText>
        </w:r>
        <w:r w:rsidR="006F45CF" w:rsidRPr="00001663">
          <w:rPr>
            <w:noProof/>
            <w:webHidden/>
          </w:rPr>
        </w:r>
        <w:r w:rsidR="006F45CF" w:rsidRPr="00001663">
          <w:rPr>
            <w:noProof/>
            <w:webHidden/>
          </w:rPr>
          <w:fldChar w:fldCharType="separate"/>
        </w:r>
        <w:r>
          <w:rPr>
            <w:noProof/>
            <w:webHidden/>
          </w:rPr>
          <w:t>8</w:t>
        </w:r>
        <w:r w:rsidR="006F45CF" w:rsidRPr="00001663">
          <w:rPr>
            <w:noProof/>
            <w:webHidden/>
          </w:rPr>
          <w:fldChar w:fldCharType="end"/>
        </w:r>
      </w:hyperlink>
    </w:p>
    <w:p w14:paraId="60678AC7" w14:textId="7831015F" w:rsidR="006F45CF" w:rsidRPr="00001663" w:rsidRDefault="00726278" w:rsidP="00282731">
      <w:pPr>
        <w:pStyle w:val="TOC1"/>
        <w:tabs>
          <w:tab w:val="clear" w:pos="8910"/>
          <w:tab w:val="left" w:pos="9000"/>
        </w:tabs>
        <w:spacing w:after="120"/>
        <w:rPr>
          <w:rFonts w:eastAsiaTheme="minorEastAsia"/>
          <w:noProof/>
          <w:lang w:eastAsia="zh-CN"/>
        </w:rPr>
      </w:pPr>
      <w:hyperlink w:anchor="_Toc82176399" w:history="1">
        <w:r w:rsidR="006F45CF" w:rsidRPr="00001663">
          <w:rPr>
            <w:rStyle w:val="Hyperlink"/>
            <w:rFonts w:asciiTheme="majorBidi" w:hAnsiTheme="majorBidi" w:cstheme="majorBidi"/>
            <w:noProof/>
            <w:sz w:val="22"/>
            <w:szCs w:val="22"/>
          </w:rPr>
          <w:t>List of Boxes</w:t>
        </w:r>
        <w:r w:rsidR="006F45CF" w:rsidRPr="00001663">
          <w:rPr>
            <w:noProof/>
            <w:webHidden/>
          </w:rPr>
          <w:tab/>
        </w:r>
        <w:r w:rsidR="00282731">
          <w:rPr>
            <w:noProof/>
            <w:webHidden/>
          </w:rPr>
          <w:t xml:space="preserve"> </w:t>
        </w:r>
        <w:r w:rsidR="00001663">
          <w:rPr>
            <w:noProof/>
            <w:webHidden/>
          </w:rPr>
          <w:t xml:space="preserve">  </w:t>
        </w:r>
        <w:r w:rsidR="006F45CF" w:rsidRPr="00001663">
          <w:rPr>
            <w:noProof/>
            <w:webHidden/>
          </w:rPr>
          <w:fldChar w:fldCharType="begin"/>
        </w:r>
        <w:r w:rsidR="006F45CF" w:rsidRPr="00001663">
          <w:rPr>
            <w:noProof/>
            <w:webHidden/>
          </w:rPr>
          <w:instrText xml:space="preserve"> PAGEREF _Toc82176399 \h </w:instrText>
        </w:r>
        <w:r w:rsidR="006F45CF" w:rsidRPr="00001663">
          <w:rPr>
            <w:noProof/>
            <w:webHidden/>
          </w:rPr>
        </w:r>
        <w:r w:rsidR="006F45CF" w:rsidRPr="00001663">
          <w:rPr>
            <w:noProof/>
            <w:webHidden/>
          </w:rPr>
          <w:fldChar w:fldCharType="separate"/>
        </w:r>
        <w:r>
          <w:rPr>
            <w:noProof/>
            <w:webHidden/>
          </w:rPr>
          <w:t>9</w:t>
        </w:r>
        <w:r w:rsidR="006F45CF" w:rsidRPr="00001663">
          <w:rPr>
            <w:noProof/>
            <w:webHidden/>
          </w:rPr>
          <w:fldChar w:fldCharType="end"/>
        </w:r>
      </w:hyperlink>
    </w:p>
    <w:p w14:paraId="7F43D206" w14:textId="4623E195" w:rsidR="006F45CF" w:rsidRPr="00001663" w:rsidRDefault="00726278" w:rsidP="00282731">
      <w:pPr>
        <w:pStyle w:val="TOC1"/>
        <w:tabs>
          <w:tab w:val="clear" w:pos="8910"/>
          <w:tab w:val="left" w:pos="9000"/>
        </w:tabs>
        <w:spacing w:after="120"/>
        <w:rPr>
          <w:rFonts w:eastAsiaTheme="minorEastAsia"/>
          <w:noProof/>
          <w:lang w:eastAsia="zh-CN"/>
        </w:rPr>
      </w:pPr>
      <w:hyperlink w:anchor="_Toc82176400" w:history="1">
        <w:r w:rsidR="006F45CF" w:rsidRPr="00001663">
          <w:rPr>
            <w:rStyle w:val="Hyperlink"/>
            <w:rFonts w:asciiTheme="majorBidi" w:hAnsiTheme="majorBidi" w:cstheme="majorBidi"/>
            <w:noProof/>
            <w:sz w:val="22"/>
            <w:szCs w:val="22"/>
          </w:rPr>
          <w:t>Glossary</w:t>
        </w:r>
        <w:r w:rsidR="006F45CF" w:rsidRPr="00001663">
          <w:rPr>
            <w:noProof/>
            <w:webHidden/>
          </w:rPr>
          <w:tab/>
        </w:r>
        <w:r w:rsidR="00282731">
          <w:rPr>
            <w:noProof/>
            <w:webHidden/>
          </w:rPr>
          <w:t xml:space="preserve"> </w:t>
        </w:r>
        <w:r w:rsidR="006F45CF" w:rsidRPr="00001663">
          <w:rPr>
            <w:noProof/>
            <w:webHidden/>
          </w:rPr>
          <w:fldChar w:fldCharType="begin"/>
        </w:r>
        <w:r w:rsidR="006F45CF" w:rsidRPr="00001663">
          <w:rPr>
            <w:noProof/>
            <w:webHidden/>
          </w:rPr>
          <w:instrText xml:space="preserve"> PAGEREF _Toc82176400 \h </w:instrText>
        </w:r>
        <w:r w:rsidR="006F45CF" w:rsidRPr="00001663">
          <w:rPr>
            <w:noProof/>
            <w:webHidden/>
          </w:rPr>
        </w:r>
        <w:r w:rsidR="006F45CF" w:rsidRPr="00001663">
          <w:rPr>
            <w:noProof/>
            <w:webHidden/>
          </w:rPr>
          <w:fldChar w:fldCharType="separate"/>
        </w:r>
        <w:r>
          <w:rPr>
            <w:noProof/>
            <w:webHidden/>
          </w:rPr>
          <w:t>10</w:t>
        </w:r>
        <w:r w:rsidR="006F45CF" w:rsidRPr="00001663">
          <w:rPr>
            <w:noProof/>
            <w:webHidden/>
          </w:rPr>
          <w:fldChar w:fldCharType="end"/>
        </w:r>
      </w:hyperlink>
    </w:p>
    <w:p w14:paraId="67DD394C" w14:textId="6991D9CF" w:rsidR="006F45CF" w:rsidRPr="00001663" w:rsidRDefault="00726278" w:rsidP="00282731">
      <w:pPr>
        <w:pStyle w:val="TOC1"/>
        <w:tabs>
          <w:tab w:val="clear" w:pos="8910"/>
          <w:tab w:val="left" w:pos="9000"/>
        </w:tabs>
        <w:spacing w:after="120"/>
        <w:rPr>
          <w:rFonts w:eastAsiaTheme="minorEastAsia"/>
          <w:noProof/>
          <w:lang w:eastAsia="zh-CN"/>
        </w:rPr>
      </w:pPr>
      <w:hyperlink w:anchor="_Toc82176401" w:history="1">
        <w:r w:rsidR="006F45CF" w:rsidRPr="00001663">
          <w:rPr>
            <w:rStyle w:val="Hyperlink"/>
            <w:rFonts w:asciiTheme="majorBidi" w:hAnsiTheme="majorBidi" w:cstheme="majorBidi"/>
            <w:noProof/>
            <w:sz w:val="22"/>
            <w:szCs w:val="22"/>
          </w:rPr>
          <w:t>1.</w:t>
        </w:r>
        <w:r w:rsidR="006F45CF" w:rsidRPr="00001663">
          <w:rPr>
            <w:rFonts w:eastAsiaTheme="minorEastAsia"/>
            <w:noProof/>
            <w:lang w:eastAsia="zh-CN"/>
          </w:rPr>
          <w:tab/>
        </w:r>
        <w:r w:rsidR="006F45CF" w:rsidRPr="00001663">
          <w:rPr>
            <w:rStyle w:val="Hyperlink"/>
            <w:rFonts w:asciiTheme="majorBidi" w:hAnsiTheme="majorBidi" w:cstheme="majorBidi"/>
            <w:noProof/>
            <w:sz w:val="22"/>
            <w:szCs w:val="22"/>
          </w:rPr>
          <w:t>Introduction</w:t>
        </w:r>
        <w:r w:rsidR="006F45CF" w:rsidRPr="00001663">
          <w:rPr>
            <w:noProof/>
            <w:webHidden/>
          </w:rPr>
          <w:tab/>
        </w:r>
        <w:r w:rsidR="00001663">
          <w:rPr>
            <w:noProof/>
            <w:webHidden/>
          </w:rPr>
          <w:t xml:space="preserve"> </w:t>
        </w:r>
        <w:r w:rsidR="006F45CF" w:rsidRPr="00001663">
          <w:rPr>
            <w:noProof/>
            <w:webHidden/>
          </w:rPr>
          <w:fldChar w:fldCharType="begin"/>
        </w:r>
        <w:r w:rsidR="006F45CF" w:rsidRPr="00001663">
          <w:rPr>
            <w:noProof/>
            <w:webHidden/>
          </w:rPr>
          <w:instrText xml:space="preserve"> PAGEREF _Toc82176401 \h </w:instrText>
        </w:r>
        <w:r w:rsidR="006F45CF" w:rsidRPr="00001663">
          <w:rPr>
            <w:noProof/>
            <w:webHidden/>
          </w:rPr>
        </w:r>
        <w:r w:rsidR="006F45CF" w:rsidRPr="00001663">
          <w:rPr>
            <w:noProof/>
            <w:webHidden/>
          </w:rPr>
          <w:fldChar w:fldCharType="separate"/>
        </w:r>
        <w:r>
          <w:rPr>
            <w:noProof/>
            <w:webHidden/>
          </w:rPr>
          <w:t>11</w:t>
        </w:r>
        <w:r w:rsidR="006F45CF" w:rsidRPr="00001663">
          <w:rPr>
            <w:noProof/>
            <w:webHidden/>
          </w:rPr>
          <w:fldChar w:fldCharType="end"/>
        </w:r>
      </w:hyperlink>
    </w:p>
    <w:p w14:paraId="2CEC0209" w14:textId="1B5DBB62" w:rsidR="006F45CF" w:rsidRPr="00001663" w:rsidRDefault="00726278" w:rsidP="00282731">
      <w:pPr>
        <w:pStyle w:val="TOC1"/>
        <w:spacing w:after="120"/>
        <w:rPr>
          <w:rFonts w:eastAsiaTheme="minorEastAsia"/>
          <w:noProof/>
          <w:lang w:eastAsia="zh-CN"/>
        </w:rPr>
      </w:pPr>
      <w:hyperlink w:anchor="_Toc82176402" w:history="1">
        <w:r w:rsidR="006F45CF" w:rsidRPr="00001663">
          <w:rPr>
            <w:rStyle w:val="Hyperlink"/>
            <w:rFonts w:asciiTheme="majorBidi" w:hAnsiTheme="majorBidi" w:cstheme="majorBidi"/>
            <w:noProof/>
            <w:sz w:val="22"/>
            <w:szCs w:val="22"/>
          </w:rPr>
          <w:t>2.</w:t>
        </w:r>
        <w:r w:rsidR="006F45CF" w:rsidRPr="00001663">
          <w:rPr>
            <w:rFonts w:eastAsiaTheme="minorEastAsia"/>
            <w:noProof/>
            <w:lang w:eastAsia="zh-CN"/>
          </w:rPr>
          <w:tab/>
        </w:r>
        <w:r w:rsidR="006F45CF" w:rsidRPr="00001663">
          <w:rPr>
            <w:rStyle w:val="Hyperlink"/>
            <w:rFonts w:asciiTheme="majorBidi" w:hAnsiTheme="majorBidi" w:cstheme="majorBidi"/>
            <w:noProof/>
            <w:sz w:val="22"/>
            <w:szCs w:val="22"/>
          </w:rPr>
          <w:t>The risks to be covered</w:t>
        </w:r>
        <w:r w:rsidR="006F45CF" w:rsidRPr="00001663">
          <w:rPr>
            <w:noProof/>
            <w:webHidden/>
          </w:rPr>
          <w:tab/>
        </w:r>
        <w:r w:rsidR="00001663">
          <w:rPr>
            <w:noProof/>
            <w:webHidden/>
          </w:rPr>
          <w:t xml:space="preserve">  </w:t>
        </w:r>
        <w:r w:rsidR="006F45CF" w:rsidRPr="00001663">
          <w:rPr>
            <w:noProof/>
            <w:webHidden/>
          </w:rPr>
          <w:fldChar w:fldCharType="begin"/>
        </w:r>
        <w:r w:rsidR="006F45CF" w:rsidRPr="00001663">
          <w:rPr>
            <w:noProof/>
            <w:webHidden/>
          </w:rPr>
          <w:instrText xml:space="preserve"> PAGEREF _Toc82176402 \h </w:instrText>
        </w:r>
        <w:r w:rsidR="006F45CF" w:rsidRPr="00001663">
          <w:rPr>
            <w:noProof/>
            <w:webHidden/>
          </w:rPr>
        </w:r>
        <w:r w:rsidR="006F45CF" w:rsidRPr="00001663">
          <w:rPr>
            <w:noProof/>
            <w:webHidden/>
          </w:rPr>
          <w:fldChar w:fldCharType="separate"/>
        </w:r>
        <w:r>
          <w:rPr>
            <w:noProof/>
            <w:webHidden/>
          </w:rPr>
          <w:t>12</w:t>
        </w:r>
        <w:r w:rsidR="006F45CF" w:rsidRPr="00001663">
          <w:rPr>
            <w:noProof/>
            <w:webHidden/>
          </w:rPr>
          <w:fldChar w:fldCharType="end"/>
        </w:r>
      </w:hyperlink>
    </w:p>
    <w:p w14:paraId="7516DC8C" w14:textId="75EA68A1" w:rsidR="006F45CF" w:rsidRPr="00001663" w:rsidRDefault="00726278" w:rsidP="00282731">
      <w:pPr>
        <w:pStyle w:val="TOC2"/>
        <w:tabs>
          <w:tab w:val="clear" w:pos="9000"/>
          <w:tab w:val="left" w:pos="8910"/>
        </w:tabs>
        <w:spacing w:after="120"/>
        <w:rPr>
          <w:rFonts w:eastAsiaTheme="minorEastAsia"/>
          <w:lang w:eastAsia="zh-CN"/>
        </w:rPr>
      </w:pPr>
      <w:hyperlink w:anchor="_Toc82176403" w:history="1">
        <w:r w:rsidR="006F45CF" w:rsidRPr="00001663">
          <w:rPr>
            <w:rStyle w:val="Hyperlink"/>
            <w:rFonts w:asciiTheme="majorBidi" w:hAnsiTheme="majorBidi" w:cstheme="majorBidi"/>
            <w:sz w:val="22"/>
          </w:rPr>
          <w:t>2.1 Goal</w:t>
        </w:r>
        <w:r w:rsidR="006F45CF" w:rsidRPr="00001663">
          <w:rPr>
            <w:webHidden/>
          </w:rPr>
          <w:tab/>
        </w:r>
        <w:r w:rsidR="00001663">
          <w:rPr>
            <w:webHidden/>
          </w:rPr>
          <w:t xml:space="preserve">  </w:t>
        </w:r>
        <w:r w:rsidR="006F45CF" w:rsidRPr="00001663">
          <w:rPr>
            <w:webHidden/>
          </w:rPr>
          <w:fldChar w:fldCharType="begin"/>
        </w:r>
        <w:r w:rsidR="006F45CF" w:rsidRPr="00001663">
          <w:rPr>
            <w:webHidden/>
          </w:rPr>
          <w:instrText xml:space="preserve"> PAGEREF _Toc82176403 \h </w:instrText>
        </w:r>
        <w:r w:rsidR="006F45CF" w:rsidRPr="00001663">
          <w:rPr>
            <w:webHidden/>
          </w:rPr>
        </w:r>
        <w:r w:rsidR="006F45CF" w:rsidRPr="00001663">
          <w:rPr>
            <w:webHidden/>
          </w:rPr>
          <w:fldChar w:fldCharType="separate"/>
        </w:r>
        <w:r>
          <w:rPr>
            <w:webHidden/>
          </w:rPr>
          <w:t>12</w:t>
        </w:r>
        <w:r w:rsidR="006F45CF" w:rsidRPr="00001663">
          <w:rPr>
            <w:webHidden/>
          </w:rPr>
          <w:fldChar w:fldCharType="end"/>
        </w:r>
      </w:hyperlink>
    </w:p>
    <w:p w14:paraId="0917D96E" w14:textId="36652623" w:rsidR="006F45CF" w:rsidRPr="00001663" w:rsidRDefault="004B5490" w:rsidP="00282731">
      <w:pPr>
        <w:pStyle w:val="TOC2"/>
        <w:tabs>
          <w:tab w:val="clear" w:pos="9000"/>
          <w:tab w:val="left" w:pos="8910"/>
        </w:tabs>
        <w:spacing w:after="120"/>
        <w:rPr>
          <w:rFonts w:eastAsiaTheme="minorEastAsia"/>
          <w:lang w:eastAsia="zh-CN"/>
        </w:rPr>
      </w:pPr>
      <w:hyperlink w:anchor="_Toc82176404" w:history="1">
        <w:r w:rsidR="006F45CF" w:rsidRPr="00001663">
          <w:rPr>
            <w:rStyle w:val="Hyperlink"/>
            <w:rFonts w:asciiTheme="majorBidi" w:hAnsiTheme="majorBidi" w:cstheme="majorBidi"/>
            <w:sz w:val="22"/>
          </w:rPr>
          <w:t>2.2 Reasons for financial security</w:t>
        </w:r>
        <w:r w:rsidR="006F45CF" w:rsidRPr="00001663">
          <w:rPr>
            <w:webHidden/>
          </w:rPr>
          <w:tab/>
        </w:r>
        <w:r w:rsidR="00001663">
          <w:rPr>
            <w:webHidden/>
          </w:rPr>
          <w:t xml:space="preserve">  </w:t>
        </w:r>
        <w:r w:rsidR="006F45CF" w:rsidRPr="00001663">
          <w:rPr>
            <w:webHidden/>
          </w:rPr>
          <w:fldChar w:fldCharType="begin"/>
        </w:r>
        <w:r w:rsidR="006F45CF" w:rsidRPr="00001663">
          <w:rPr>
            <w:webHidden/>
          </w:rPr>
          <w:instrText xml:space="preserve"> PAGEREF _Toc82176404 \h </w:instrText>
        </w:r>
        <w:r w:rsidR="006F45CF" w:rsidRPr="00001663">
          <w:rPr>
            <w:webHidden/>
          </w:rPr>
        </w:r>
        <w:r w:rsidR="006F45CF" w:rsidRPr="00001663">
          <w:rPr>
            <w:webHidden/>
          </w:rPr>
          <w:fldChar w:fldCharType="separate"/>
        </w:r>
        <w:r w:rsidR="00726278">
          <w:rPr>
            <w:webHidden/>
          </w:rPr>
          <w:t>12</w:t>
        </w:r>
        <w:r w:rsidR="006F45CF" w:rsidRPr="00001663">
          <w:rPr>
            <w:webHidden/>
          </w:rPr>
          <w:fldChar w:fldCharType="end"/>
        </w:r>
      </w:hyperlink>
    </w:p>
    <w:p w14:paraId="72FCFA18" w14:textId="3CBCD403" w:rsidR="006F45CF" w:rsidRPr="00001663" w:rsidRDefault="00726278" w:rsidP="00282731">
      <w:pPr>
        <w:pStyle w:val="TOC2"/>
        <w:tabs>
          <w:tab w:val="clear" w:pos="9000"/>
          <w:tab w:val="left" w:pos="8910"/>
        </w:tabs>
        <w:spacing w:after="120"/>
        <w:rPr>
          <w:rFonts w:eastAsiaTheme="minorEastAsia"/>
          <w:lang w:eastAsia="zh-CN"/>
        </w:rPr>
      </w:pPr>
      <w:hyperlink w:anchor="_Toc82176405" w:history="1">
        <w:r w:rsidR="006F45CF" w:rsidRPr="00001663">
          <w:rPr>
            <w:rStyle w:val="Hyperlink"/>
            <w:rFonts w:asciiTheme="majorBidi" w:hAnsiTheme="majorBidi" w:cstheme="majorBidi"/>
            <w:sz w:val="22"/>
          </w:rPr>
          <w:t>2.3 Liability and redress</w:t>
        </w:r>
        <w:r w:rsidR="006F45CF" w:rsidRPr="00001663">
          <w:rPr>
            <w:webHidden/>
          </w:rPr>
          <w:tab/>
        </w:r>
        <w:r w:rsidR="00001663">
          <w:rPr>
            <w:webHidden/>
          </w:rPr>
          <w:t xml:space="preserve">  </w:t>
        </w:r>
        <w:r w:rsidR="006F45CF" w:rsidRPr="00001663">
          <w:rPr>
            <w:webHidden/>
          </w:rPr>
          <w:fldChar w:fldCharType="begin"/>
        </w:r>
        <w:r w:rsidR="006F45CF" w:rsidRPr="00001663">
          <w:rPr>
            <w:webHidden/>
          </w:rPr>
          <w:instrText xml:space="preserve"> PAGEREF _Toc82176405 \h </w:instrText>
        </w:r>
        <w:r w:rsidR="006F45CF" w:rsidRPr="00001663">
          <w:rPr>
            <w:webHidden/>
          </w:rPr>
        </w:r>
        <w:r w:rsidR="006F45CF" w:rsidRPr="00001663">
          <w:rPr>
            <w:webHidden/>
          </w:rPr>
          <w:fldChar w:fldCharType="separate"/>
        </w:r>
        <w:r>
          <w:rPr>
            <w:webHidden/>
          </w:rPr>
          <w:t>13</w:t>
        </w:r>
        <w:r w:rsidR="006F45CF" w:rsidRPr="00001663">
          <w:rPr>
            <w:webHidden/>
          </w:rPr>
          <w:fldChar w:fldCharType="end"/>
        </w:r>
      </w:hyperlink>
    </w:p>
    <w:p w14:paraId="6E136034" w14:textId="331E43BE" w:rsidR="006F45CF" w:rsidRPr="00001663" w:rsidRDefault="00726278" w:rsidP="00282731">
      <w:pPr>
        <w:pStyle w:val="TOC2"/>
        <w:spacing w:after="120"/>
        <w:rPr>
          <w:rFonts w:eastAsiaTheme="minorEastAsia"/>
          <w:lang w:eastAsia="zh-CN"/>
        </w:rPr>
      </w:pPr>
      <w:hyperlink w:anchor="_Toc82176406" w:history="1">
        <w:r w:rsidR="006F45CF" w:rsidRPr="00001663">
          <w:rPr>
            <w:rStyle w:val="Hyperlink"/>
            <w:rFonts w:asciiTheme="majorBidi" w:hAnsiTheme="majorBidi" w:cstheme="majorBidi"/>
            <w:sz w:val="22"/>
          </w:rPr>
          <w:t>2.4 Damage versus liability: first and third party cover</w:t>
        </w:r>
        <w:r w:rsidR="006F45CF" w:rsidRPr="00001663">
          <w:rPr>
            <w:webHidden/>
          </w:rPr>
          <w:tab/>
        </w:r>
        <w:r w:rsidR="006F45CF" w:rsidRPr="00001663">
          <w:rPr>
            <w:webHidden/>
          </w:rPr>
          <w:fldChar w:fldCharType="begin"/>
        </w:r>
        <w:r w:rsidR="006F45CF" w:rsidRPr="00001663">
          <w:rPr>
            <w:webHidden/>
          </w:rPr>
          <w:instrText xml:space="preserve"> PAGEREF _Toc82176406 \h </w:instrText>
        </w:r>
        <w:r w:rsidR="006F45CF" w:rsidRPr="00001663">
          <w:rPr>
            <w:webHidden/>
          </w:rPr>
        </w:r>
        <w:r w:rsidR="006F45CF" w:rsidRPr="00001663">
          <w:rPr>
            <w:webHidden/>
          </w:rPr>
          <w:fldChar w:fldCharType="separate"/>
        </w:r>
        <w:r>
          <w:rPr>
            <w:webHidden/>
          </w:rPr>
          <w:t>14</w:t>
        </w:r>
        <w:r w:rsidR="006F45CF" w:rsidRPr="00001663">
          <w:rPr>
            <w:webHidden/>
          </w:rPr>
          <w:fldChar w:fldCharType="end"/>
        </w:r>
      </w:hyperlink>
    </w:p>
    <w:p w14:paraId="785EA3E6" w14:textId="46A48694" w:rsidR="006F45CF" w:rsidRPr="00001663" w:rsidRDefault="004B5490" w:rsidP="00282731">
      <w:pPr>
        <w:pStyle w:val="TOC2"/>
        <w:spacing w:after="120"/>
        <w:rPr>
          <w:rFonts w:eastAsiaTheme="minorEastAsia"/>
          <w:lang w:eastAsia="zh-CN"/>
        </w:rPr>
      </w:pPr>
      <w:hyperlink w:anchor="_Toc82176407" w:history="1">
        <w:r w:rsidR="006F45CF" w:rsidRPr="00001663">
          <w:rPr>
            <w:rStyle w:val="Hyperlink"/>
            <w:rFonts w:asciiTheme="majorBidi" w:hAnsiTheme="majorBidi" w:cstheme="majorBidi"/>
            <w:sz w:val="22"/>
          </w:rPr>
          <w:t>2.5 Potential damage and risk scenarios</w:t>
        </w:r>
        <w:r w:rsidR="006F45CF" w:rsidRPr="00001663">
          <w:rPr>
            <w:webHidden/>
          </w:rPr>
          <w:tab/>
        </w:r>
        <w:r w:rsidR="006F45CF" w:rsidRPr="00001663">
          <w:rPr>
            <w:webHidden/>
          </w:rPr>
          <w:fldChar w:fldCharType="begin"/>
        </w:r>
        <w:r w:rsidR="006F45CF" w:rsidRPr="00001663">
          <w:rPr>
            <w:webHidden/>
          </w:rPr>
          <w:instrText xml:space="preserve"> PAGEREF _Toc82176407 \h </w:instrText>
        </w:r>
        <w:r w:rsidR="006F45CF" w:rsidRPr="00001663">
          <w:rPr>
            <w:webHidden/>
          </w:rPr>
        </w:r>
        <w:r w:rsidR="006F45CF" w:rsidRPr="00001663">
          <w:rPr>
            <w:webHidden/>
          </w:rPr>
          <w:fldChar w:fldCharType="separate"/>
        </w:r>
        <w:r w:rsidR="00726278">
          <w:rPr>
            <w:webHidden/>
          </w:rPr>
          <w:t>14</w:t>
        </w:r>
        <w:r w:rsidR="006F45CF" w:rsidRPr="00001663">
          <w:rPr>
            <w:webHidden/>
          </w:rPr>
          <w:fldChar w:fldCharType="end"/>
        </w:r>
      </w:hyperlink>
    </w:p>
    <w:p w14:paraId="61C295E1" w14:textId="2B19A2E5" w:rsidR="006F45CF" w:rsidRPr="00001663" w:rsidRDefault="00726278" w:rsidP="00282731">
      <w:pPr>
        <w:pStyle w:val="TOC2"/>
        <w:spacing w:after="120"/>
        <w:rPr>
          <w:rFonts w:eastAsiaTheme="minorEastAsia"/>
          <w:lang w:eastAsia="zh-CN"/>
        </w:rPr>
      </w:pPr>
      <w:hyperlink w:anchor="_Toc82176408" w:history="1">
        <w:r w:rsidR="006F45CF" w:rsidRPr="00001663">
          <w:rPr>
            <w:rStyle w:val="Hyperlink"/>
            <w:rFonts w:asciiTheme="majorBidi" w:hAnsiTheme="majorBidi" w:cstheme="majorBidi"/>
            <w:sz w:val="22"/>
          </w:rPr>
          <w:t>2.6 Uncertainty</w:t>
        </w:r>
        <w:r w:rsidR="006F45CF" w:rsidRPr="00001663">
          <w:rPr>
            <w:webHidden/>
          </w:rPr>
          <w:tab/>
        </w:r>
        <w:r w:rsidR="006F45CF" w:rsidRPr="00001663">
          <w:rPr>
            <w:webHidden/>
          </w:rPr>
          <w:fldChar w:fldCharType="begin"/>
        </w:r>
        <w:r w:rsidR="006F45CF" w:rsidRPr="00001663">
          <w:rPr>
            <w:webHidden/>
          </w:rPr>
          <w:instrText xml:space="preserve"> PAGEREF _Toc82176408 \h </w:instrText>
        </w:r>
        <w:r w:rsidR="006F45CF" w:rsidRPr="00001663">
          <w:rPr>
            <w:webHidden/>
          </w:rPr>
        </w:r>
        <w:r w:rsidR="006F45CF" w:rsidRPr="00001663">
          <w:rPr>
            <w:webHidden/>
          </w:rPr>
          <w:fldChar w:fldCharType="separate"/>
        </w:r>
        <w:r>
          <w:rPr>
            <w:webHidden/>
          </w:rPr>
          <w:t>15</w:t>
        </w:r>
        <w:r w:rsidR="006F45CF" w:rsidRPr="00001663">
          <w:rPr>
            <w:webHidden/>
          </w:rPr>
          <w:fldChar w:fldCharType="end"/>
        </w:r>
      </w:hyperlink>
    </w:p>
    <w:p w14:paraId="00FCC52A" w14:textId="3DC08E84" w:rsidR="006F45CF" w:rsidRPr="00001663" w:rsidRDefault="004B5490" w:rsidP="00282731">
      <w:pPr>
        <w:pStyle w:val="TOC2"/>
        <w:spacing w:after="120"/>
        <w:rPr>
          <w:rFonts w:eastAsiaTheme="minorEastAsia"/>
          <w:lang w:eastAsia="zh-CN"/>
        </w:rPr>
      </w:pPr>
      <w:hyperlink w:anchor="_Toc82176409" w:history="1">
        <w:r w:rsidR="006F45CF" w:rsidRPr="00001663">
          <w:rPr>
            <w:rStyle w:val="Hyperlink"/>
            <w:rFonts w:asciiTheme="majorBidi" w:hAnsiTheme="majorBidi" w:cstheme="majorBidi"/>
            <w:sz w:val="22"/>
          </w:rPr>
          <w:t>2.7 Transboundary scope</w:t>
        </w:r>
        <w:r w:rsidR="006F45CF" w:rsidRPr="00001663">
          <w:rPr>
            <w:webHidden/>
          </w:rPr>
          <w:tab/>
        </w:r>
        <w:r w:rsidR="006F45CF" w:rsidRPr="00001663">
          <w:rPr>
            <w:webHidden/>
          </w:rPr>
          <w:fldChar w:fldCharType="begin"/>
        </w:r>
        <w:r w:rsidR="006F45CF" w:rsidRPr="00001663">
          <w:rPr>
            <w:webHidden/>
          </w:rPr>
          <w:instrText xml:space="preserve"> PAGEREF _Toc82176409 \h </w:instrText>
        </w:r>
        <w:r w:rsidR="006F45CF" w:rsidRPr="00001663">
          <w:rPr>
            <w:webHidden/>
          </w:rPr>
        </w:r>
        <w:r w:rsidR="006F45CF" w:rsidRPr="00001663">
          <w:rPr>
            <w:webHidden/>
          </w:rPr>
          <w:fldChar w:fldCharType="separate"/>
        </w:r>
        <w:r w:rsidR="00726278">
          <w:rPr>
            <w:webHidden/>
          </w:rPr>
          <w:t>15</w:t>
        </w:r>
        <w:r w:rsidR="006F45CF" w:rsidRPr="00001663">
          <w:rPr>
            <w:webHidden/>
          </w:rPr>
          <w:fldChar w:fldCharType="end"/>
        </w:r>
      </w:hyperlink>
    </w:p>
    <w:p w14:paraId="7C24895C" w14:textId="118B00FD" w:rsidR="006F45CF" w:rsidRPr="00005AE0" w:rsidRDefault="00726278" w:rsidP="00282731">
      <w:pPr>
        <w:pStyle w:val="TOC2"/>
        <w:spacing w:after="120"/>
        <w:rPr>
          <w:rFonts w:eastAsiaTheme="minorEastAsia"/>
          <w:lang w:eastAsia="zh-CN"/>
        </w:rPr>
      </w:pPr>
      <w:hyperlink w:anchor="_Toc82176410" w:history="1">
        <w:r w:rsidR="006F45CF" w:rsidRPr="00005AE0">
          <w:rPr>
            <w:rStyle w:val="Hyperlink"/>
            <w:rFonts w:asciiTheme="majorBidi" w:hAnsiTheme="majorBidi" w:cstheme="majorBidi"/>
            <w:sz w:val="22"/>
          </w:rPr>
          <w:t>2.8 Various stakeholders</w:t>
        </w:r>
        <w:r w:rsidR="006F45CF" w:rsidRPr="00005AE0">
          <w:rPr>
            <w:webHidden/>
          </w:rPr>
          <w:tab/>
        </w:r>
        <w:r w:rsidR="006F45CF" w:rsidRPr="00005AE0">
          <w:rPr>
            <w:webHidden/>
          </w:rPr>
          <w:fldChar w:fldCharType="begin"/>
        </w:r>
        <w:r w:rsidR="006F45CF" w:rsidRPr="00005AE0">
          <w:rPr>
            <w:webHidden/>
          </w:rPr>
          <w:instrText xml:space="preserve"> PAGEREF _Toc82176410 \h </w:instrText>
        </w:r>
        <w:r w:rsidR="006F45CF" w:rsidRPr="00005AE0">
          <w:rPr>
            <w:webHidden/>
          </w:rPr>
        </w:r>
        <w:r w:rsidR="006F45CF" w:rsidRPr="00005AE0">
          <w:rPr>
            <w:webHidden/>
          </w:rPr>
          <w:fldChar w:fldCharType="separate"/>
        </w:r>
        <w:r>
          <w:rPr>
            <w:webHidden/>
          </w:rPr>
          <w:t>16</w:t>
        </w:r>
        <w:r w:rsidR="006F45CF" w:rsidRPr="00005AE0">
          <w:rPr>
            <w:webHidden/>
          </w:rPr>
          <w:fldChar w:fldCharType="end"/>
        </w:r>
      </w:hyperlink>
    </w:p>
    <w:p w14:paraId="20B69BF7" w14:textId="1CB19C90" w:rsidR="006F45CF" w:rsidRPr="00005AE0" w:rsidRDefault="00726278" w:rsidP="00282731">
      <w:pPr>
        <w:pStyle w:val="TOC1"/>
        <w:tabs>
          <w:tab w:val="clear" w:pos="8910"/>
          <w:tab w:val="left" w:pos="9000"/>
        </w:tabs>
        <w:spacing w:after="120"/>
        <w:rPr>
          <w:rFonts w:eastAsiaTheme="minorEastAsia"/>
          <w:noProof/>
          <w:lang w:eastAsia="zh-CN"/>
        </w:rPr>
      </w:pPr>
      <w:hyperlink w:anchor="_Toc82176411" w:history="1">
        <w:r w:rsidR="006F45CF" w:rsidRPr="00005AE0">
          <w:rPr>
            <w:rStyle w:val="Hyperlink"/>
            <w:rFonts w:asciiTheme="majorBidi" w:hAnsiTheme="majorBidi" w:cstheme="majorBidi"/>
            <w:noProof/>
            <w:sz w:val="22"/>
            <w:szCs w:val="22"/>
          </w:rPr>
          <w:t>3.</w:t>
        </w:r>
        <w:r w:rsidR="006F45CF" w:rsidRPr="00005AE0">
          <w:rPr>
            <w:rFonts w:eastAsiaTheme="minorEastAsia"/>
            <w:noProof/>
            <w:lang w:eastAsia="zh-CN"/>
          </w:rPr>
          <w:tab/>
        </w:r>
        <w:r w:rsidR="006F45CF" w:rsidRPr="00005AE0">
          <w:rPr>
            <w:rStyle w:val="Hyperlink"/>
            <w:rFonts w:asciiTheme="majorBidi" w:hAnsiTheme="majorBidi" w:cstheme="majorBidi"/>
            <w:noProof/>
            <w:sz w:val="22"/>
            <w:szCs w:val="22"/>
          </w:rPr>
          <w:t>Financial security mechanisms</w:t>
        </w:r>
        <w:r w:rsidR="006F45CF" w:rsidRPr="00005AE0">
          <w:rPr>
            <w:noProof/>
            <w:webHidden/>
          </w:rPr>
          <w:tab/>
        </w:r>
        <w:r w:rsidR="006F45CF" w:rsidRPr="00005AE0">
          <w:rPr>
            <w:noProof/>
            <w:webHidden/>
          </w:rPr>
          <w:fldChar w:fldCharType="begin"/>
        </w:r>
        <w:r w:rsidR="006F45CF" w:rsidRPr="00005AE0">
          <w:rPr>
            <w:noProof/>
            <w:webHidden/>
          </w:rPr>
          <w:instrText xml:space="preserve"> PAGEREF _Toc82176411 \h </w:instrText>
        </w:r>
        <w:r w:rsidR="006F45CF" w:rsidRPr="00005AE0">
          <w:rPr>
            <w:noProof/>
            <w:webHidden/>
          </w:rPr>
        </w:r>
        <w:r w:rsidR="006F45CF" w:rsidRPr="00005AE0">
          <w:rPr>
            <w:noProof/>
            <w:webHidden/>
          </w:rPr>
          <w:fldChar w:fldCharType="separate"/>
        </w:r>
        <w:r>
          <w:rPr>
            <w:noProof/>
            <w:webHidden/>
          </w:rPr>
          <w:t>16</w:t>
        </w:r>
        <w:r w:rsidR="006F45CF" w:rsidRPr="00005AE0">
          <w:rPr>
            <w:noProof/>
            <w:webHidden/>
          </w:rPr>
          <w:fldChar w:fldCharType="end"/>
        </w:r>
      </w:hyperlink>
    </w:p>
    <w:p w14:paraId="188A1665" w14:textId="64D0120F" w:rsidR="006F45CF" w:rsidRPr="00005AE0" w:rsidRDefault="00726278" w:rsidP="00282731">
      <w:pPr>
        <w:pStyle w:val="TOC2"/>
        <w:spacing w:after="120"/>
        <w:rPr>
          <w:rFonts w:eastAsiaTheme="minorEastAsia"/>
          <w:lang w:eastAsia="zh-CN"/>
        </w:rPr>
      </w:pPr>
      <w:hyperlink w:anchor="_Toc82176412" w:history="1">
        <w:r w:rsidR="006F45CF" w:rsidRPr="00005AE0">
          <w:rPr>
            <w:rStyle w:val="Hyperlink"/>
            <w:rFonts w:asciiTheme="majorBidi" w:hAnsiTheme="majorBidi" w:cstheme="majorBidi"/>
            <w:sz w:val="22"/>
          </w:rPr>
          <w:t>3.1 Introduction</w:t>
        </w:r>
        <w:r w:rsidR="006F45CF" w:rsidRPr="00005AE0">
          <w:rPr>
            <w:webHidden/>
          </w:rPr>
          <w:tab/>
        </w:r>
        <w:r w:rsidR="006F45CF" w:rsidRPr="00005AE0">
          <w:rPr>
            <w:webHidden/>
          </w:rPr>
          <w:fldChar w:fldCharType="begin"/>
        </w:r>
        <w:r w:rsidR="006F45CF" w:rsidRPr="00005AE0">
          <w:rPr>
            <w:webHidden/>
          </w:rPr>
          <w:instrText xml:space="preserve"> PAGEREF _Toc82176412 \h </w:instrText>
        </w:r>
        <w:r w:rsidR="006F45CF" w:rsidRPr="00005AE0">
          <w:rPr>
            <w:webHidden/>
          </w:rPr>
        </w:r>
        <w:r w:rsidR="006F45CF" w:rsidRPr="00005AE0">
          <w:rPr>
            <w:webHidden/>
          </w:rPr>
          <w:fldChar w:fldCharType="separate"/>
        </w:r>
        <w:r>
          <w:rPr>
            <w:webHidden/>
          </w:rPr>
          <w:t>16</w:t>
        </w:r>
        <w:r w:rsidR="006F45CF" w:rsidRPr="00005AE0">
          <w:rPr>
            <w:webHidden/>
          </w:rPr>
          <w:fldChar w:fldCharType="end"/>
        </w:r>
      </w:hyperlink>
    </w:p>
    <w:p w14:paraId="0489D4FF" w14:textId="44AF8E17" w:rsidR="006F45CF" w:rsidRPr="00005AE0" w:rsidRDefault="004B5490" w:rsidP="00282731">
      <w:pPr>
        <w:pStyle w:val="TOC2"/>
        <w:spacing w:after="120"/>
        <w:rPr>
          <w:rFonts w:eastAsiaTheme="minorEastAsia"/>
          <w:lang w:eastAsia="zh-CN"/>
        </w:rPr>
      </w:pPr>
      <w:hyperlink w:anchor="_Toc82176413" w:history="1">
        <w:r w:rsidR="006F45CF" w:rsidRPr="00005AE0">
          <w:rPr>
            <w:rStyle w:val="Hyperlink"/>
            <w:rFonts w:asciiTheme="majorBidi" w:hAnsiTheme="majorBidi" w:cstheme="majorBidi"/>
            <w:sz w:val="22"/>
          </w:rPr>
          <w:t>3.2 Insurance and Reinsurance</w:t>
        </w:r>
        <w:r w:rsidR="006F45CF" w:rsidRPr="00005AE0">
          <w:rPr>
            <w:webHidden/>
          </w:rPr>
          <w:tab/>
        </w:r>
        <w:r w:rsidR="006F45CF" w:rsidRPr="00005AE0">
          <w:rPr>
            <w:webHidden/>
          </w:rPr>
          <w:fldChar w:fldCharType="begin"/>
        </w:r>
        <w:r w:rsidR="006F45CF" w:rsidRPr="00005AE0">
          <w:rPr>
            <w:webHidden/>
          </w:rPr>
          <w:instrText xml:space="preserve"> PAGEREF _Toc82176413 \h </w:instrText>
        </w:r>
        <w:r w:rsidR="006F45CF" w:rsidRPr="00005AE0">
          <w:rPr>
            <w:webHidden/>
          </w:rPr>
        </w:r>
        <w:r w:rsidR="006F45CF" w:rsidRPr="00005AE0">
          <w:rPr>
            <w:webHidden/>
          </w:rPr>
          <w:fldChar w:fldCharType="separate"/>
        </w:r>
        <w:r w:rsidR="00726278">
          <w:rPr>
            <w:webHidden/>
          </w:rPr>
          <w:t>16</w:t>
        </w:r>
        <w:r w:rsidR="006F45CF" w:rsidRPr="00005AE0">
          <w:rPr>
            <w:webHidden/>
          </w:rPr>
          <w:fldChar w:fldCharType="end"/>
        </w:r>
      </w:hyperlink>
    </w:p>
    <w:p w14:paraId="36BCE5DF" w14:textId="49F5DCE3" w:rsidR="006F45CF" w:rsidRPr="00005AE0" w:rsidRDefault="004B5490" w:rsidP="00282731">
      <w:pPr>
        <w:pStyle w:val="TOC2"/>
        <w:spacing w:after="120"/>
        <w:rPr>
          <w:rFonts w:eastAsiaTheme="minorEastAsia"/>
          <w:lang w:eastAsia="zh-CN"/>
        </w:rPr>
      </w:pPr>
      <w:hyperlink w:anchor="_Toc82176414" w:history="1">
        <w:r w:rsidR="006F45CF" w:rsidRPr="00005AE0">
          <w:rPr>
            <w:rStyle w:val="Hyperlink"/>
            <w:rFonts w:asciiTheme="majorBidi" w:hAnsiTheme="majorBidi" w:cstheme="majorBidi"/>
            <w:sz w:val="22"/>
          </w:rPr>
          <w:t>3.3 Self-insurance</w:t>
        </w:r>
        <w:r w:rsidR="006F45CF" w:rsidRPr="00005AE0">
          <w:rPr>
            <w:webHidden/>
          </w:rPr>
          <w:tab/>
        </w:r>
        <w:r w:rsidR="006F45CF" w:rsidRPr="00005AE0">
          <w:rPr>
            <w:webHidden/>
          </w:rPr>
          <w:fldChar w:fldCharType="begin"/>
        </w:r>
        <w:r w:rsidR="006F45CF" w:rsidRPr="00005AE0">
          <w:rPr>
            <w:webHidden/>
          </w:rPr>
          <w:instrText xml:space="preserve"> PAGEREF _Toc82176414 \h </w:instrText>
        </w:r>
        <w:r w:rsidR="006F45CF" w:rsidRPr="00005AE0">
          <w:rPr>
            <w:webHidden/>
          </w:rPr>
        </w:r>
        <w:r w:rsidR="006F45CF" w:rsidRPr="00005AE0">
          <w:rPr>
            <w:webHidden/>
          </w:rPr>
          <w:fldChar w:fldCharType="separate"/>
        </w:r>
        <w:r w:rsidR="00726278">
          <w:rPr>
            <w:webHidden/>
          </w:rPr>
          <w:t>21</w:t>
        </w:r>
        <w:r w:rsidR="006F45CF" w:rsidRPr="00005AE0">
          <w:rPr>
            <w:webHidden/>
          </w:rPr>
          <w:fldChar w:fldCharType="end"/>
        </w:r>
      </w:hyperlink>
    </w:p>
    <w:p w14:paraId="07CB6E70" w14:textId="443614E7" w:rsidR="006F45CF" w:rsidRPr="00005AE0" w:rsidRDefault="004B5490" w:rsidP="00282731">
      <w:pPr>
        <w:pStyle w:val="TOC2"/>
        <w:spacing w:after="120"/>
        <w:rPr>
          <w:rFonts w:eastAsiaTheme="minorEastAsia"/>
          <w:lang w:eastAsia="zh-CN"/>
        </w:rPr>
      </w:pPr>
      <w:hyperlink w:anchor="_Toc82176415" w:history="1">
        <w:r w:rsidR="006F45CF" w:rsidRPr="00005AE0">
          <w:rPr>
            <w:rStyle w:val="Hyperlink"/>
            <w:rFonts w:asciiTheme="majorBidi" w:hAnsiTheme="majorBidi" w:cstheme="majorBidi"/>
            <w:sz w:val="22"/>
          </w:rPr>
          <w:t>3.4 Risk pooling</w:t>
        </w:r>
        <w:r w:rsidR="006F45CF" w:rsidRPr="00005AE0">
          <w:rPr>
            <w:webHidden/>
          </w:rPr>
          <w:tab/>
        </w:r>
        <w:r w:rsidR="006F45CF" w:rsidRPr="00005AE0">
          <w:rPr>
            <w:webHidden/>
          </w:rPr>
          <w:fldChar w:fldCharType="begin"/>
        </w:r>
        <w:r w:rsidR="006F45CF" w:rsidRPr="00005AE0">
          <w:rPr>
            <w:webHidden/>
          </w:rPr>
          <w:instrText xml:space="preserve"> PAGEREF _Toc82176415 \h </w:instrText>
        </w:r>
        <w:r w:rsidR="006F45CF" w:rsidRPr="00005AE0">
          <w:rPr>
            <w:webHidden/>
          </w:rPr>
        </w:r>
        <w:r w:rsidR="006F45CF" w:rsidRPr="00005AE0">
          <w:rPr>
            <w:webHidden/>
          </w:rPr>
          <w:fldChar w:fldCharType="separate"/>
        </w:r>
        <w:r w:rsidR="00726278">
          <w:rPr>
            <w:webHidden/>
          </w:rPr>
          <w:t>25</w:t>
        </w:r>
        <w:r w:rsidR="006F45CF" w:rsidRPr="00005AE0">
          <w:rPr>
            <w:webHidden/>
          </w:rPr>
          <w:fldChar w:fldCharType="end"/>
        </w:r>
      </w:hyperlink>
    </w:p>
    <w:p w14:paraId="22586AAC" w14:textId="1D51A9CF" w:rsidR="006F45CF" w:rsidRPr="00005AE0" w:rsidRDefault="00726278" w:rsidP="00282731">
      <w:pPr>
        <w:pStyle w:val="TOC2"/>
        <w:spacing w:after="120"/>
        <w:rPr>
          <w:rFonts w:eastAsiaTheme="minorEastAsia"/>
          <w:lang w:eastAsia="zh-CN"/>
        </w:rPr>
      </w:pPr>
      <w:hyperlink w:anchor="_Toc82176416" w:history="1">
        <w:r w:rsidR="006F45CF" w:rsidRPr="00005AE0">
          <w:rPr>
            <w:rStyle w:val="Hyperlink"/>
            <w:rFonts w:asciiTheme="majorBidi" w:hAnsiTheme="majorBidi" w:cstheme="majorBidi"/>
            <w:sz w:val="22"/>
          </w:rPr>
          <w:t>3.5 Fund</w:t>
        </w:r>
        <w:r w:rsidR="006F45CF" w:rsidRPr="00005AE0">
          <w:rPr>
            <w:webHidden/>
          </w:rPr>
          <w:tab/>
        </w:r>
        <w:r w:rsidR="006F45CF" w:rsidRPr="00005AE0">
          <w:rPr>
            <w:webHidden/>
          </w:rPr>
          <w:fldChar w:fldCharType="begin"/>
        </w:r>
        <w:r w:rsidR="006F45CF" w:rsidRPr="00005AE0">
          <w:rPr>
            <w:webHidden/>
          </w:rPr>
          <w:instrText xml:space="preserve"> PAGEREF _Toc82176416 \h </w:instrText>
        </w:r>
        <w:r w:rsidR="006F45CF" w:rsidRPr="00005AE0">
          <w:rPr>
            <w:webHidden/>
          </w:rPr>
        </w:r>
        <w:r w:rsidR="006F45CF" w:rsidRPr="00005AE0">
          <w:rPr>
            <w:webHidden/>
          </w:rPr>
          <w:fldChar w:fldCharType="separate"/>
        </w:r>
        <w:r>
          <w:rPr>
            <w:webHidden/>
          </w:rPr>
          <w:t>30</w:t>
        </w:r>
        <w:r w:rsidR="006F45CF" w:rsidRPr="00005AE0">
          <w:rPr>
            <w:webHidden/>
          </w:rPr>
          <w:fldChar w:fldCharType="end"/>
        </w:r>
      </w:hyperlink>
    </w:p>
    <w:p w14:paraId="350113DD" w14:textId="5E12FB55" w:rsidR="006F45CF" w:rsidRPr="00005AE0" w:rsidRDefault="004B5490" w:rsidP="00282731">
      <w:pPr>
        <w:pStyle w:val="TOC2"/>
        <w:spacing w:after="120"/>
        <w:rPr>
          <w:rFonts w:eastAsiaTheme="minorEastAsia"/>
          <w:lang w:eastAsia="zh-CN"/>
        </w:rPr>
      </w:pPr>
      <w:hyperlink w:anchor="_Toc82176417" w:history="1">
        <w:r w:rsidR="006F45CF" w:rsidRPr="00005AE0">
          <w:rPr>
            <w:rStyle w:val="Hyperlink"/>
            <w:rFonts w:asciiTheme="majorBidi" w:hAnsiTheme="majorBidi" w:cstheme="majorBidi"/>
            <w:sz w:val="22"/>
          </w:rPr>
          <w:t>3.6 Other financial security mechanisms</w:t>
        </w:r>
        <w:r w:rsidR="006F45CF" w:rsidRPr="00005AE0">
          <w:rPr>
            <w:webHidden/>
          </w:rPr>
          <w:tab/>
        </w:r>
        <w:r w:rsidR="006F45CF" w:rsidRPr="00005AE0">
          <w:rPr>
            <w:webHidden/>
          </w:rPr>
          <w:fldChar w:fldCharType="begin"/>
        </w:r>
        <w:r w:rsidR="006F45CF" w:rsidRPr="00005AE0">
          <w:rPr>
            <w:webHidden/>
          </w:rPr>
          <w:instrText xml:space="preserve"> PAGEREF _Toc82176417 \h </w:instrText>
        </w:r>
        <w:r w:rsidR="006F45CF" w:rsidRPr="00005AE0">
          <w:rPr>
            <w:webHidden/>
          </w:rPr>
        </w:r>
        <w:r w:rsidR="006F45CF" w:rsidRPr="00005AE0">
          <w:rPr>
            <w:webHidden/>
          </w:rPr>
          <w:fldChar w:fldCharType="separate"/>
        </w:r>
        <w:r w:rsidR="00726278">
          <w:rPr>
            <w:webHidden/>
          </w:rPr>
          <w:t>35</w:t>
        </w:r>
        <w:r w:rsidR="006F45CF" w:rsidRPr="00005AE0">
          <w:rPr>
            <w:webHidden/>
          </w:rPr>
          <w:fldChar w:fldCharType="end"/>
        </w:r>
      </w:hyperlink>
    </w:p>
    <w:p w14:paraId="0563D4CA" w14:textId="5CF016B7" w:rsidR="006F45CF" w:rsidRPr="00005AE0" w:rsidRDefault="004B5490" w:rsidP="00282731">
      <w:pPr>
        <w:pStyle w:val="TOC2"/>
        <w:spacing w:after="120"/>
        <w:rPr>
          <w:rFonts w:eastAsiaTheme="minorEastAsia"/>
          <w:lang w:eastAsia="zh-CN"/>
        </w:rPr>
      </w:pPr>
      <w:hyperlink w:anchor="_Toc82176418" w:history="1">
        <w:r w:rsidR="006F45CF" w:rsidRPr="00005AE0">
          <w:rPr>
            <w:rStyle w:val="Hyperlink"/>
            <w:rFonts w:asciiTheme="majorBidi" w:hAnsiTheme="majorBidi" w:cstheme="majorBidi"/>
            <w:sz w:val="22"/>
          </w:rPr>
          <w:t>3.7 Conclusion</w:t>
        </w:r>
        <w:r w:rsidR="006F45CF" w:rsidRPr="00005AE0">
          <w:rPr>
            <w:webHidden/>
          </w:rPr>
          <w:tab/>
        </w:r>
        <w:r w:rsidR="006F45CF" w:rsidRPr="00005AE0">
          <w:rPr>
            <w:webHidden/>
          </w:rPr>
          <w:fldChar w:fldCharType="begin"/>
        </w:r>
        <w:r w:rsidR="006F45CF" w:rsidRPr="00005AE0">
          <w:rPr>
            <w:webHidden/>
          </w:rPr>
          <w:instrText xml:space="preserve"> PAGEREF _Toc82176418 \h </w:instrText>
        </w:r>
        <w:r w:rsidR="006F45CF" w:rsidRPr="00005AE0">
          <w:rPr>
            <w:webHidden/>
          </w:rPr>
        </w:r>
        <w:r w:rsidR="006F45CF" w:rsidRPr="00005AE0">
          <w:rPr>
            <w:webHidden/>
          </w:rPr>
          <w:fldChar w:fldCharType="separate"/>
        </w:r>
        <w:r w:rsidR="00726278">
          <w:rPr>
            <w:webHidden/>
          </w:rPr>
          <w:t>36</w:t>
        </w:r>
        <w:r w:rsidR="006F45CF" w:rsidRPr="00005AE0">
          <w:rPr>
            <w:webHidden/>
          </w:rPr>
          <w:fldChar w:fldCharType="end"/>
        </w:r>
      </w:hyperlink>
    </w:p>
    <w:p w14:paraId="61E6F224" w14:textId="1A9BAC18" w:rsidR="006F45CF" w:rsidRPr="00005AE0" w:rsidRDefault="004B5490" w:rsidP="00282731">
      <w:pPr>
        <w:pStyle w:val="TOC1"/>
        <w:tabs>
          <w:tab w:val="clear" w:pos="8910"/>
          <w:tab w:val="left" w:pos="9000"/>
        </w:tabs>
        <w:spacing w:after="120"/>
        <w:rPr>
          <w:rFonts w:eastAsiaTheme="minorEastAsia"/>
          <w:noProof/>
          <w:lang w:eastAsia="zh-CN"/>
        </w:rPr>
      </w:pPr>
      <w:hyperlink w:anchor="_Toc82176419" w:history="1">
        <w:r w:rsidR="006F45CF" w:rsidRPr="00005AE0">
          <w:rPr>
            <w:rStyle w:val="Hyperlink"/>
            <w:rFonts w:asciiTheme="majorBidi" w:hAnsiTheme="majorBidi" w:cstheme="majorBidi"/>
            <w:noProof/>
            <w:sz w:val="22"/>
            <w:szCs w:val="22"/>
          </w:rPr>
          <w:t>4.</w:t>
        </w:r>
        <w:r w:rsidR="006F45CF" w:rsidRPr="00005AE0">
          <w:rPr>
            <w:rFonts w:eastAsiaTheme="minorEastAsia"/>
            <w:noProof/>
            <w:lang w:eastAsia="zh-CN"/>
          </w:rPr>
          <w:tab/>
        </w:r>
        <w:r w:rsidR="006F45CF" w:rsidRPr="00005AE0">
          <w:rPr>
            <w:rStyle w:val="Hyperlink"/>
            <w:rFonts w:asciiTheme="majorBidi" w:hAnsiTheme="majorBidi" w:cstheme="majorBidi"/>
            <w:noProof/>
            <w:sz w:val="22"/>
            <w:szCs w:val="22"/>
          </w:rPr>
          <w:t>Assessment of impacts</w:t>
        </w:r>
        <w:r w:rsidR="006F45CF" w:rsidRPr="00005AE0">
          <w:rPr>
            <w:noProof/>
            <w:webHidden/>
          </w:rPr>
          <w:tab/>
        </w:r>
        <w:r w:rsidR="006F45CF" w:rsidRPr="00005AE0">
          <w:rPr>
            <w:noProof/>
            <w:webHidden/>
          </w:rPr>
          <w:fldChar w:fldCharType="begin"/>
        </w:r>
        <w:r w:rsidR="006F45CF" w:rsidRPr="00005AE0">
          <w:rPr>
            <w:noProof/>
            <w:webHidden/>
          </w:rPr>
          <w:instrText xml:space="preserve"> PAGEREF _Toc82176419 \h </w:instrText>
        </w:r>
        <w:r w:rsidR="006F45CF" w:rsidRPr="00005AE0">
          <w:rPr>
            <w:noProof/>
            <w:webHidden/>
          </w:rPr>
        </w:r>
        <w:r w:rsidR="006F45CF" w:rsidRPr="00005AE0">
          <w:rPr>
            <w:noProof/>
            <w:webHidden/>
          </w:rPr>
          <w:fldChar w:fldCharType="separate"/>
        </w:r>
        <w:r w:rsidR="00726278">
          <w:rPr>
            <w:noProof/>
            <w:webHidden/>
          </w:rPr>
          <w:t>38</w:t>
        </w:r>
        <w:r w:rsidR="006F45CF" w:rsidRPr="00005AE0">
          <w:rPr>
            <w:noProof/>
            <w:webHidden/>
          </w:rPr>
          <w:fldChar w:fldCharType="end"/>
        </w:r>
      </w:hyperlink>
    </w:p>
    <w:p w14:paraId="73E44816" w14:textId="4C46F369" w:rsidR="006F45CF" w:rsidRPr="00005AE0" w:rsidRDefault="004B5490" w:rsidP="00282731">
      <w:pPr>
        <w:pStyle w:val="TOC2"/>
        <w:spacing w:after="120"/>
        <w:rPr>
          <w:rFonts w:eastAsiaTheme="minorEastAsia"/>
          <w:lang w:eastAsia="zh-CN"/>
        </w:rPr>
      </w:pPr>
      <w:hyperlink w:anchor="_Toc82176420" w:history="1">
        <w:r w:rsidR="006F45CF" w:rsidRPr="00005AE0">
          <w:rPr>
            <w:rStyle w:val="Hyperlink"/>
            <w:rFonts w:asciiTheme="majorBidi" w:eastAsiaTheme="majorEastAsia" w:hAnsiTheme="majorBidi" w:cstheme="majorBidi"/>
            <w:sz w:val="22"/>
          </w:rPr>
          <w:t>4.1 Introduction</w:t>
        </w:r>
        <w:r w:rsidR="006F45CF" w:rsidRPr="00005AE0">
          <w:rPr>
            <w:webHidden/>
          </w:rPr>
          <w:tab/>
        </w:r>
        <w:r w:rsidR="006F45CF" w:rsidRPr="00005AE0">
          <w:rPr>
            <w:webHidden/>
          </w:rPr>
          <w:fldChar w:fldCharType="begin"/>
        </w:r>
        <w:r w:rsidR="006F45CF" w:rsidRPr="00005AE0">
          <w:rPr>
            <w:webHidden/>
          </w:rPr>
          <w:instrText xml:space="preserve"> PAGEREF _Toc82176420 \h </w:instrText>
        </w:r>
        <w:r w:rsidR="006F45CF" w:rsidRPr="00005AE0">
          <w:rPr>
            <w:webHidden/>
          </w:rPr>
        </w:r>
        <w:r w:rsidR="006F45CF" w:rsidRPr="00005AE0">
          <w:rPr>
            <w:webHidden/>
          </w:rPr>
          <w:fldChar w:fldCharType="separate"/>
        </w:r>
        <w:r w:rsidR="00726278">
          <w:rPr>
            <w:webHidden/>
          </w:rPr>
          <w:t>38</w:t>
        </w:r>
        <w:r w:rsidR="006F45CF" w:rsidRPr="00005AE0">
          <w:rPr>
            <w:webHidden/>
          </w:rPr>
          <w:fldChar w:fldCharType="end"/>
        </w:r>
      </w:hyperlink>
    </w:p>
    <w:p w14:paraId="17AE5B3F" w14:textId="60EC344D" w:rsidR="006F45CF" w:rsidRPr="00005AE0" w:rsidRDefault="00726278" w:rsidP="00282731">
      <w:pPr>
        <w:pStyle w:val="TOC2"/>
        <w:spacing w:after="120"/>
        <w:rPr>
          <w:rFonts w:eastAsiaTheme="minorEastAsia"/>
          <w:lang w:eastAsia="zh-CN"/>
        </w:rPr>
      </w:pPr>
      <w:hyperlink w:anchor="_Toc82176421" w:history="1">
        <w:r w:rsidR="006F45CF" w:rsidRPr="00005AE0">
          <w:rPr>
            <w:rStyle w:val="Hyperlink"/>
            <w:rFonts w:asciiTheme="majorBidi" w:eastAsiaTheme="majorEastAsia" w:hAnsiTheme="majorBidi" w:cstheme="majorBidi"/>
            <w:sz w:val="22"/>
          </w:rPr>
          <w:t>4.2 Approach</w:t>
        </w:r>
        <w:r w:rsidR="006F45CF" w:rsidRPr="00005AE0">
          <w:rPr>
            <w:webHidden/>
          </w:rPr>
          <w:tab/>
        </w:r>
        <w:r w:rsidR="006F45CF" w:rsidRPr="00005AE0">
          <w:rPr>
            <w:webHidden/>
          </w:rPr>
          <w:fldChar w:fldCharType="begin"/>
        </w:r>
        <w:r w:rsidR="006F45CF" w:rsidRPr="00005AE0">
          <w:rPr>
            <w:webHidden/>
          </w:rPr>
          <w:instrText xml:space="preserve"> PAGEREF _Toc82176421 \h </w:instrText>
        </w:r>
        <w:r w:rsidR="006F45CF" w:rsidRPr="00005AE0">
          <w:rPr>
            <w:webHidden/>
          </w:rPr>
        </w:r>
        <w:r w:rsidR="006F45CF" w:rsidRPr="00005AE0">
          <w:rPr>
            <w:webHidden/>
          </w:rPr>
          <w:fldChar w:fldCharType="separate"/>
        </w:r>
        <w:r>
          <w:rPr>
            <w:webHidden/>
          </w:rPr>
          <w:t>39</w:t>
        </w:r>
        <w:r w:rsidR="006F45CF" w:rsidRPr="00005AE0">
          <w:rPr>
            <w:webHidden/>
          </w:rPr>
          <w:fldChar w:fldCharType="end"/>
        </w:r>
      </w:hyperlink>
    </w:p>
    <w:p w14:paraId="16EF3F0E" w14:textId="609F6076" w:rsidR="006F45CF" w:rsidRPr="00005AE0" w:rsidRDefault="00726278" w:rsidP="00282731">
      <w:pPr>
        <w:pStyle w:val="TOC2"/>
        <w:spacing w:after="120"/>
        <w:rPr>
          <w:rFonts w:eastAsiaTheme="minorEastAsia"/>
          <w:lang w:eastAsia="zh-CN"/>
        </w:rPr>
      </w:pPr>
      <w:hyperlink w:anchor="_Toc82176422" w:history="1">
        <w:r w:rsidR="006F45CF" w:rsidRPr="00005AE0">
          <w:rPr>
            <w:rStyle w:val="Hyperlink"/>
            <w:rFonts w:asciiTheme="majorBidi" w:eastAsiaTheme="majorEastAsia" w:hAnsiTheme="majorBidi" w:cstheme="majorBidi"/>
            <w:sz w:val="22"/>
          </w:rPr>
          <w:t>4.3 Insurance and Reinsurance</w:t>
        </w:r>
        <w:r w:rsidR="006F45CF" w:rsidRPr="00005AE0">
          <w:rPr>
            <w:webHidden/>
          </w:rPr>
          <w:tab/>
        </w:r>
        <w:r w:rsidR="006F45CF" w:rsidRPr="00005AE0">
          <w:rPr>
            <w:webHidden/>
          </w:rPr>
          <w:fldChar w:fldCharType="begin"/>
        </w:r>
        <w:r w:rsidR="006F45CF" w:rsidRPr="00005AE0">
          <w:rPr>
            <w:webHidden/>
          </w:rPr>
          <w:instrText xml:space="preserve"> PAGEREF _Toc82176422 \h </w:instrText>
        </w:r>
        <w:r w:rsidR="006F45CF" w:rsidRPr="00005AE0">
          <w:rPr>
            <w:webHidden/>
          </w:rPr>
        </w:r>
        <w:r w:rsidR="006F45CF" w:rsidRPr="00005AE0">
          <w:rPr>
            <w:webHidden/>
          </w:rPr>
          <w:fldChar w:fldCharType="separate"/>
        </w:r>
        <w:r>
          <w:rPr>
            <w:webHidden/>
          </w:rPr>
          <w:t>40</w:t>
        </w:r>
        <w:r w:rsidR="006F45CF" w:rsidRPr="00005AE0">
          <w:rPr>
            <w:webHidden/>
          </w:rPr>
          <w:fldChar w:fldCharType="end"/>
        </w:r>
      </w:hyperlink>
    </w:p>
    <w:p w14:paraId="7352B448" w14:textId="502849B4" w:rsidR="006F45CF" w:rsidRPr="00005AE0" w:rsidRDefault="004B5490" w:rsidP="00282731">
      <w:pPr>
        <w:pStyle w:val="TOC2"/>
        <w:spacing w:after="120"/>
        <w:rPr>
          <w:rFonts w:eastAsiaTheme="minorEastAsia"/>
          <w:lang w:eastAsia="zh-CN"/>
        </w:rPr>
      </w:pPr>
      <w:hyperlink w:anchor="_Toc82176423" w:history="1">
        <w:r w:rsidR="006F45CF" w:rsidRPr="00005AE0">
          <w:rPr>
            <w:rStyle w:val="Hyperlink"/>
            <w:rFonts w:asciiTheme="majorBidi" w:eastAsiaTheme="majorEastAsia" w:hAnsiTheme="majorBidi" w:cstheme="majorBidi"/>
            <w:sz w:val="22"/>
          </w:rPr>
          <w:t>4.4 Self-insurance</w:t>
        </w:r>
        <w:r w:rsidR="006F45CF" w:rsidRPr="00005AE0">
          <w:rPr>
            <w:webHidden/>
          </w:rPr>
          <w:tab/>
        </w:r>
        <w:r w:rsidR="006F45CF" w:rsidRPr="00005AE0">
          <w:rPr>
            <w:webHidden/>
          </w:rPr>
          <w:fldChar w:fldCharType="begin"/>
        </w:r>
        <w:r w:rsidR="006F45CF" w:rsidRPr="00005AE0">
          <w:rPr>
            <w:webHidden/>
          </w:rPr>
          <w:instrText xml:space="preserve"> PAGEREF _Toc82176423 \h </w:instrText>
        </w:r>
        <w:r w:rsidR="006F45CF" w:rsidRPr="00005AE0">
          <w:rPr>
            <w:webHidden/>
          </w:rPr>
        </w:r>
        <w:r w:rsidR="006F45CF" w:rsidRPr="00005AE0">
          <w:rPr>
            <w:webHidden/>
          </w:rPr>
          <w:fldChar w:fldCharType="separate"/>
        </w:r>
        <w:r w:rsidR="00726278">
          <w:rPr>
            <w:webHidden/>
          </w:rPr>
          <w:t>41</w:t>
        </w:r>
        <w:r w:rsidR="006F45CF" w:rsidRPr="00005AE0">
          <w:rPr>
            <w:webHidden/>
          </w:rPr>
          <w:fldChar w:fldCharType="end"/>
        </w:r>
      </w:hyperlink>
    </w:p>
    <w:p w14:paraId="46DB10D6" w14:textId="5D447DAF" w:rsidR="006F45CF" w:rsidRPr="00005AE0" w:rsidRDefault="00726278" w:rsidP="00282731">
      <w:pPr>
        <w:pStyle w:val="TOC2"/>
        <w:spacing w:after="120"/>
        <w:rPr>
          <w:rFonts w:eastAsiaTheme="minorEastAsia"/>
          <w:lang w:eastAsia="zh-CN"/>
        </w:rPr>
      </w:pPr>
      <w:hyperlink w:anchor="_Toc82176424" w:history="1">
        <w:r w:rsidR="006F45CF" w:rsidRPr="00005AE0">
          <w:rPr>
            <w:rStyle w:val="Hyperlink"/>
            <w:rFonts w:asciiTheme="majorBidi" w:eastAsiaTheme="majorEastAsia" w:hAnsiTheme="majorBidi" w:cstheme="majorBidi"/>
            <w:sz w:val="22"/>
          </w:rPr>
          <w:t>4.5 Risk-pooling</w:t>
        </w:r>
        <w:r w:rsidR="006F45CF" w:rsidRPr="00005AE0">
          <w:rPr>
            <w:webHidden/>
          </w:rPr>
          <w:tab/>
        </w:r>
        <w:r w:rsidR="006F45CF" w:rsidRPr="00005AE0">
          <w:rPr>
            <w:webHidden/>
          </w:rPr>
          <w:fldChar w:fldCharType="begin"/>
        </w:r>
        <w:r w:rsidR="006F45CF" w:rsidRPr="00005AE0">
          <w:rPr>
            <w:webHidden/>
          </w:rPr>
          <w:instrText xml:space="preserve"> PAGEREF _Toc82176424 \h </w:instrText>
        </w:r>
        <w:r w:rsidR="006F45CF" w:rsidRPr="00005AE0">
          <w:rPr>
            <w:webHidden/>
          </w:rPr>
        </w:r>
        <w:r w:rsidR="006F45CF" w:rsidRPr="00005AE0">
          <w:rPr>
            <w:webHidden/>
          </w:rPr>
          <w:fldChar w:fldCharType="separate"/>
        </w:r>
        <w:r>
          <w:rPr>
            <w:webHidden/>
          </w:rPr>
          <w:t>43</w:t>
        </w:r>
        <w:r w:rsidR="006F45CF" w:rsidRPr="00005AE0">
          <w:rPr>
            <w:webHidden/>
          </w:rPr>
          <w:fldChar w:fldCharType="end"/>
        </w:r>
      </w:hyperlink>
    </w:p>
    <w:p w14:paraId="5D21C41F" w14:textId="4D5B5481" w:rsidR="006F45CF" w:rsidRPr="00005AE0" w:rsidRDefault="004B5490" w:rsidP="00282731">
      <w:pPr>
        <w:pStyle w:val="TOC2"/>
        <w:spacing w:after="120"/>
        <w:rPr>
          <w:rFonts w:eastAsiaTheme="minorEastAsia"/>
          <w:lang w:eastAsia="zh-CN"/>
        </w:rPr>
      </w:pPr>
      <w:hyperlink w:anchor="_Toc82176425" w:history="1">
        <w:r w:rsidR="006F45CF" w:rsidRPr="00005AE0">
          <w:rPr>
            <w:rStyle w:val="Hyperlink"/>
            <w:rFonts w:asciiTheme="majorBidi" w:eastAsiaTheme="majorEastAsia" w:hAnsiTheme="majorBidi" w:cstheme="majorBidi"/>
            <w:sz w:val="22"/>
          </w:rPr>
          <w:t>4.6 Fund</w:t>
        </w:r>
        <w:r w:rsidR="006F45CF" w:rsidRPr="00005AE0">
          <w:rPr>
            <w:webHidden/>
          </w:rPr>
          <w:tab/>
        </w:r>
        <w:r w:rsidR="006F45CF" w:rsidRPr="00005AE0">
          <w:rPr>
            <w:webHidden/>
          </w:rPr>
          <w:fldChar w:fldCharType="begin"/>
        </w:r>
        <w:r w:rsidR="006F45CF" w:rsidRPr="00005AE0">
          <w:rPr>
            <w:webHidden/>
          </w:rPr>
          <w:instrText xml:space="preserve"> PAGEREF _Toc82176425 \h </w:instrText>
        </w:r>
        <w:r w:rsidR="006F45CF" w:rsidRPr="00005AE0">
          <w:rPr>
            <w:webHidden/>
          </w:rPr>
        </w:r>
        <w:r w:rsidR="006F45CF" w:rsidRPr="00005AE0">
          <w:rPr>
            <w:webHidden/>
          </w:rPr>
          <w:fldChar w:fldCharType="separate"/>
        </w:r>
        <w:r w:rsidR="00726278">
          <w:rPr>
            <w:webHidden/>
          </w:rPr>
          <w:t>44</w:t>
        </w:r>
        <w:r w:rsidR="006F45CF" w:rsidRPr="00005AE0">
          <w:rPr>
            <w:webHidden/>
          </w:rPr>
          <w:fldChar w:fldCharType="end"/>
        </w:r>
      </w:hyperlink>
    </w:p>
    <w:p w14:paraId="736DC60E" w14:textId="0213414C" w:rsidR="006F45CF" w:rsidRPr="00005AE0" w:rsidRDefault="004B5490" w:rsidP="00282731">
      <w:pPr>
        <w:pStyle w:val="TOC1"/>
        <w:tabs>
          <w:tab w:val="clear" w:pos="8910"/>
          <w:tab w:val="left" w:pos="9000"/>
        </w:tabs>
        <w:spacing w:after="120"/>
        <w:rPr>
          <w:rFonts w:eastAsiaTheme="minorEastAsia"/>
          <w:noProof/>
          <w:lang w:eastAsia="zh-CN"/>
        </w:rPr>
      </w:pPr>
      <w:hyperlink w:anchor="_Toc82176426" w:history="1">
        <w:r w:rsidR="006F45CF" w:rsidRPr="00005AE0">
          <w:rPr>
            <w:rStyle w:val="Hyperlink"/>
            <w:rFonts w:asciiTheme="majorBidi" w:eastAsiaTheme="majorEastAsia" w:hAnsiTheme="majorBidi" w:cstheme="majorBidi"/>
            <w:noProof/>
            <w:sz w:val="22"/>
            <w:szCs w:val="22"/>
          </w:rPr>
          <w:t>5.</w:t>
        </w:r>
        <w:r w:rsidR="006F45CF" w:rsidRPr="00005AE0">
          <w:rPr>
            <w:rFonts w:eastAsiaTheme="minorEastAsia"/>
            <w:noProof/>
            <w:lang w:eastAsia="zh-CN"/>
          </w:rPr>
          <w:tab/>
        </w:r>
        <w:r w:rsidR="006F45CF" w:rsidRPr="00005AE0">
          <w:rPr>
            <w:rStyle w:val="Hyperlink"/>
            <w:rFonts w:asciiTheme="majorBidi" w:eastAsiaTheme="majorEastAsia" w:hAnsiTheme="majorBidi" w:cstheme="majorBidi"/>
            <w:noProof/>
            <w:sz w:val="22"/>
            <w:szCs w:val="22"/>
          </w:rPr>
          <w:t>Conclusion</w:t>
        </w:r>
        <w:r w:rsidR="006F45CF" w:rsidRPr="00005AE0">
          <w:rPr>
            <w:noProof/>
            <w:webHidden/>
          </w:rPr>
          <w:tab/>
        </w:r>
        <w:r w:rsidR="006F45CF" w:rsidRPr="00005AE0">
          <w:rPr>
            <w:noProof/>
            <w:webHidden/>
          </w:rPr>
          <w:fldChar w:fldCharType="begin"/>
        </w:r>
        <w:r w:rsidR="006F45CF" w:rsidRPr="00005AE0">
          <w:rPr>
            <w:noProof/>
            <w:webHidden/>
          </w:rPr>
          <w:instrText xml:space="preserve"> PAGEREF _Toc82176426 \h </w:instrText>
        </w:r>
        <w:r w:rsidR="006F45CF" w:rsidRPr="00005AE0">
          <w:rPr>
            <w:noProof/>
            <w:webHidden/>
          </w:rPr>
        </w:r>
        <w:r w:rsidR="006F45CF" w:rsidRPr="00005AE0">
          <w:rPr>
            <w:noProof/>
            <w:webHidden/>
          </w:rPr>
          <w:fldChar w:fldCharType="separate"/>
        </w:r>
        <w:r w:rsidR="00726278">
          <w:rPr>
            <w:noProof/>
            <w:webHidden/>
          </w:rPr>
          <w:t>45</w:t>
        </w:r>
        <w:r w:rsidR="006F45CF" w:rsidRPr="00005AE0">
          <w:rPr>
            <w:noProof/>
            <w:webHidden/>
          </w:rPr>
          <w:fldChar w:fldCharType="end"/>
        </w:r>
      </w:hyperlink>
    </w:p>
    <w:p w14:paraId="5553FD66" w14:textId="1533577D" w:rsidR="006F45CF" w:rsidRPr="00005AE0" w:rsidRDefault="004B5490" w:rsidP="00282731">
      <w:pPr>
        <w:pStyle w:val="TOC1"/>
        <w:tabs>
          <w:tab w:val="clear" w:pos="8910"/>
          <w:tab w:val="left" w:pos="9000"/>
        </w:tabs>
        <w:spacing w:after="120"/>
        <w:rPr>
          <w:rFonts w:eastAsiaTheme="minorEastAsia"/>
          <w:noProof/>
          <w:lang w:eastAsia="zh-CN"/>
        </w:rPr>
      </w:pPr>
      <w:hyperlink w:anchor="_Toc82176427" w:history="1">
        <w:r w:rsidR="006F45CF" w:rsidRPr="00005AE0">
          <w:rPr>
            <w:rStyle w:val="Hyperlink"/>
            <w:rFonts w:asciiTheme="majorBidi" w:hAnsiTheme="majorBidi" w:cstheme="majorBidi"/>
            <w:noProof/>
            <w:sz w:val="22"/>
            <w:szCs w:val="22"/>
          </w:rPr>
          <w:t>List of References</w:t>
        </w:r>
        <w:r w:rsidR="00001663">
          <w:rPr>
            <w:rStyle w:val="Hyperlink"/>
            <w:rFonts w:asciiTheme="majorBidi" w:hAnsiTheme="majorBidi" w:cstheme="majorBidi"/>
            <w:noProof/>
            <w:sz w:val="22"/>
            <w:szCs w:val="22"/>
          </w:rPr>
          <w:tab/>
        </w:r>
        <w:r w:rsidR="006F45CF" w:rsidRPr="00005AE0">
          <w:rPr>
            <w:noProof/>
            <w:webHidden/>
          </w:rPr>
          <w:fldChar w:fldCharType="begin"/>
        </w:r>
        <w:r w:rsidR="006F45CF" w:rsidRPr="00005AE0">
          <w:rPr>
            <w:noProof/>
            <w:webHidden/>
          </w:rPr>
          <w:instrText xml:space="preserve"> PAGEREF _Toc82176427 \h </w:instrText>
        </w:r>
        <w:r w:rsidR="006F45CF" w:rsidRPr="00005AE0">
          <w:rPr>
            <w:noProof/>
            <w:webHidden/>
          </w:rPr>
        </w:r>
        <w:r w:rsidR="006F45CF" w:rsidRPr="00005AE0">
          <w:rPr>
            <w:noProof/>
            <w:webHidden/>
          </w:rPr>
          <w:fldChar w:fldCharType="separate"/>
        </w:r>
        <w:r w:rsidR="00726278">
          <w:rPr>
            <w:noProof/>
            <w:webHidden/>
          </w:rPr>
          <w:t>48</w:t>
        </w:r>
        <w:r w:rsidR="006F45CF" w:rsidRPr="00005AE0">
          <w:rPr>
            <w:noProof/>
            <w:webHidden/>
          </w:rPr>
          <w:fldChar w:fldCharType="end"/>
        </w:r>
      </w:hyperlink>
    </w:p>
    <w:p w14:paraId="122D04B4" w14:textId="627A6705" w:rsidR="006F45CF" w:rsidRPr="00005AE0" w:rsidRDefault="004B5490" w:rsidP="00282731">
      <w:pPr>
        <w:pStyle w:val="TOC1"/>
        <w:tabs>
          <w:tab w:val="clear" w:pos="8910"/>
          <w:tab w:val="left" w:pos="9000"/>
        </w:tabs>
        <w:spacing w:after="120"/>
        <w:rPr>
          <w:rFonts w:eastAsiaTheme="minorEastAsia"/>
          <w:noProof/>
          <w:lang w:eastAsia="zh-CN"/>
        </w:rPr>
      </w:pPr>
      <w:hyperlink w:anchor="_Toc82176428" w:history="1">
        <w:r w:rsidR="006F45CF" w:rsidRPr="00005AE0">
          <w:rPr>
            <w:rStyle w:val="Hyperlink"/>
            <w:rFonts w:asciiTheme="majorBidi" w:hAnsiTheme="majorBidi" w:cstheme="majorBidi"/>
            <w:noProof/>
            <w:sz w:val="22"/>
            <w:szCs w:val="22"/>
          </w:rPr>
          <w:t>A</w:t>
        </w:r>
        <w:r w:rsidR="008D588E">
          <w:rPr>
            <w:rStyle w:val="Hyperlink"/>
            <w:rFonts w:asciiTheme="majorBidi" w:hAnsiTheme="majorBidi" w:cstheme="majorBidi"/>
            <w:noProof/>
            <w:sz w:val="22"/>
            <w:szCs w:val="22"/>
          </w:rPr>
          <w:t>ppendix</w:t>
        </w:r>
        <w:r w:rsidR="006F45CF" w:rsidRPr="00005AE0">
          <w:rPr>
            <w:rStyle w:val="Hyperlink"/>
            <w:rFonts w:asciiTheme="majorBidi" w:hAnsiTheme="majorBidi" w:cstheme="majorBidi"/>
            <w:noProof/>
            <w:sz w:val="22"/>
            <w:szCs w:val="22"/>
          </w:rPr>
          <w:t xml:space="preserve"> 1: Text of the Nagoya-Kuala Lumpur Supplementary Protocol on Liability and Redress to the Cartagena Protocol on Biosafety</w:t>
        </w:r>
        <w:r w:rsidR="006F45CF" w:rsidRPr="00005AE0">
          <w:rPr>
            <w:noProof/>
            <w:webHidden/>
          </w:rPr>
          <w:tab/>
        </w:r>
        <w:r w:rsidR="006F45CF" w:rsidRPr="00005AE0">
          <w:rPr>
            <w:noProof/>
            <w:webHidden/>
          </w:rPr>
          <w:fldChar w:fldCharType="begin"/>
        </w:r>
        <w:r w:rsidR="006F45CF" w:rsidRPr="00005AE0">
          <w:rPr>
            <w:noProof/>
            <w:webHidden/>
          </w:rPr>
          <w:instrText xml:space="preserve"> PAGEREF _Toc82176428 \h </w:instrText>
        </w:r>
        <w:r w:rsidR="006F45CF" w:rsidRPr="00005AE0">
          <w:rPr>
            <w:noProof/>
            <w:webHidden/>
          </w:rPr>
        </w:r>
        <w:r w:rsidR="006F45CF" w:rsidRPr="00005AE0">
          <w:rPr>
            <w:noProof/>
            <w:webHidden/>
          </w:rPr>
          <w:fldChar w:fldCharType="separate"/>
        </w:r>
        <w:r w:rsidR="00726278">
          <w:rPr>
            <w:noProof/>
            <w:webHidden/>
          </w:rPr>
          <w:t>54</w:t>
        </w:r>
        <w:r w:rsidR="006F45CF" w:rsidRPr="00005AE0">
          <w:rPr>
            <w:noProof/>
            <w:webHidden/>
          </w:rPr>
          <w:fldChar w:fldCharType="end"/>
        </w:r>
      </w:hyperlink>
    </w:p>
    <w:p w14:paraId="641A2E47" w14:textId="5FB40F48" w:rsidR="006F45CF" w:rsidRPr="00005AE0" w:rsidRDefault="004B5490" w:rsidP="00282731">
      <w:pPr>
        <w:pStyle w:val="TOC1"/>
        <w:tabs>
          <w:tab w:val="clear" w:pos="8910"/>
          <w:tab w:val="left" w:pos="9000"/>
        </w:tabs>
        <w:spacing w:after="120"/>
        <w:rPr>
          <w:rFonts w:eastAsiaTheme="minorEastAsia"/>
          <w:noProof/>
          <w:lang w:eastAsia="zh-CN"/>
        </w:rPr>
      </w:pPr>
      <w:hyperlink w:anchor="_Toc82176429" w:history="1">
        <w:r w:rsidR="008D588E">
          <w:rPr>
            <w:rStyle w:val="Hyperlink"/>
            <w:rFonts w:asciiTheme="majorBidi" w:hAnsiTheme="majorBidi" w:cstheme="majorBidi"/>
            <w:noProof/>
            <w:sz w:val="22"/>
            <w:szCs w:val="22"/>
          </w:rPr>
          <w:t>appendix</w:t>
        </w:r>
        <w:r w:rsidR="006F45CF" w:rsidRPr="00005AE0">
          <w:rPr>
            <w:rStyle w:val="Hyperlink"/>
            <w:rFonts w:asciiTheme="majorBidi" w:hAnsiTheme="majorBidi" w:cstheme="majorBidi"/>
            <w:noProof/>
            <w:sz w:val="22"/>
            <w:szCs w:val="22"/>
          </w:rPr>
          <w:t xml:space="preserve"> 2: Examples of exclusions of LMO-related risks by various insurers</w:t>
        </w:r>
        <w:r w:rsidR="006F45CF" w:rsidRPr="00005AE0">
          <w:rPr>
            <w:noProof/>
            <w:webHidden/>
          </w:rPr>
          <w:tab/>
        </w:r>
        <w:r w:rsidR="006F45CF" w:rsidRPr="00005AE0">
          <w:rPr>
            <w:noProof/>
            <w:webHidden/>
          </w:rPr>
          <w:fldChar w:fldCharType="begin"/>
        </w:r>
        <w:r w:rsidR="006F45CF" w:rsidRPr="00005AE0">
          <w:rPr>
            <w:noProof/>
            <w:webHidden/>
          </w:rPr>
          <w:instrText xml:space="preserve"> PAGEREF _Toc82176429 \h </w:instrText>
        </w:r>
        <w:r w:rsidR="006F45CF" w:rsidRPr="00005AE0">
          <w:rPr>
            <w:noProof/>
            <w:webHidden/>
          </w:rPr>
        </w:r>
        <w:r w:rsidR="006F45CF" w:rsidRPr="00005AE0">
          <w:rPr>
            <w:noProof/>
            <w:webHidden/>
          </w:rPr>
          <w:fldChar w:fldCharType="separate"/>
        </w:r>
        <w:r w:rsidR="00726278">
          <w:rPr>
            <w:noProof/>
            <w:webHidden/>
          </w:rPr>
          <w:t>61</w:t>
        </w:r>
        <w:r w:rsidR="006F45CF" w:rsidRPr="00005AE0">
          <w:rPr>
            <w:noProof/>
            <w:webHidden/>
          </w:rPr>
          <w:fldChar w:fldCharType="end"/>
        </w:r>
      </w:hyperlink>
    </w:p>
    <w:p w14:paraId="5B6E3F2B" w14:textId="77777777" w:rsidR="006F45CF" w:rsidRPr="00005AE0" w:rsidRDefault="006F45CF" w:rsidP="00001663">
      <w:pPr>
        <w:pStyle w:val="TOC1"/>
        <w:rPr>
          <w:shd w:val="clear" w:color="auto" w:fill="E6E6E6"/>
        </w:rPr>
      </w:pPr>
      <w:r w:rsidRPr="00005AE0">
        <w:rPr>
          <w:shd w:val="clear" w:color="auto" w:fill="E6E6E6"/>
        </w:rPr>
        <w:fldChar w:fldCharType="end"/>
      </w:r>
    </w:p>
    <w:p w14:paraId="2F7A4B9C" w14:textId="77777777" w:rsidR="006F45CF" w:rsidRPr="00005AE0" w:rsidRDefault="006F45CF" w:rsidP="00001663">
      <w:pPr>
        <w:pStyle w:val="TOC1"/>
      </w:pPr>
      <w:r w:rsidRPr="00005AE0">
        <w:br w:type="page"/>
      </w:r>
    </w:p>
    <w:p w14:paraId="01B3643C" w14:textId="77777777" w:rsidR="006F45CF" w:rsidRPr="00541277" w:rsidRDefault="006F45CF" w:rsidP="006F45CF">
      <w:pPr>
        <w:pStyle w:val="Heading1"/>
        <w:rPr>
          <w:rFonts w:asciiTheme="majorBidi" w:hAnsiTheme="majorBidi" w:cstheme="majorBidi"/>
          <w:color w:val="548DD4" w:themeColor="text2" w:themeTint="99"/>
          <w:sz w:val="24"/>
        </w:rPr>
      </w:pPr>
      <w:bookmarkStart w:id="10" w:name="_Toc82176398"/>
      <w:r w:rsidRPr="00541277">
        <w:rPr>
          <w:rFonts w:asciiTheme="majorBidi" w:hAnsiTheme="majorBidi" w:cstheme="majorBidi"/>
          <w:color w:val="548DD4" w:themeColor="text2" w:themeTint="99"/>
          <w:sz w:val="24"/>
        </w:rPr>
        <w:lastRenderedPageBreak/>
        <w:t>List of Abbreviations</w:t>
      </w:r>
      <w:bookmarkEnd w:id="10"/>
    </w:p>
    <w:p w14:paraId="5A190CFD" w14:textId="77777777" w:rsidR="006F45CF" w:rsidRPr="00005AE0" w:rsidRDefault="006F45CF" w:rsidP="006F45CF">
      <w:pPr>
        <w:rPr>
          <w:rFonts w:asciiTheme="majorBidi" w:hAnsiTheme="majorBidi" w:cstheme="majorBidi"/>
          <w:szCs w:val="22"/>
        </w:rPr>
      </w:pPr>
    </w:p>
    <w:p w14:paraId="0E1432C9"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BP</w:t>
      </w:r>
      <w:r w:rsidRPr="00005AE0">
        <w:rPr>
          <w:rFonts w:asciiTheme="majorBidi" w:hAnsiTheme="majorBidi" w:cstheme="majorBidi"/>
          <w:szCs w:val="22"/>
        </w:rPr>
        <w:tab/>
        <w:t>British Petroleum</w:t>
      </w:r>
    </w:p>
    <w:p w14:paraId="37ED1094"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CBD</w:t>
      </w:r>
      <w:r w:rsidRPr="00005AE0">
        <w:rPr>
          <w:rFonts w:asciiTheme="majorBidi" w:hAnsiTheme="majorBidi" w:cstheme="majorBidi"/>
          <w:szCs w:val="22"/>
        </w:rPr>
        <w:tab/>
        <w:t xml:space="preserve">Convention on Biological Diversity </w:t>
      </w:r>
    </w:p>
    <w:p w14:paraId="1CA1C327"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CLC</w:t>
      </w:r>
      <w:r w:rsidRPr="00005AE0">
        <w:rPr>
          <w:rFonts w:asciiTheme="majorBidi" w:hAnsiTheme="majorBidi" w:cstheme="majorBidi"/>
          <w:szCs w:val="22"/>
        </w:rPr>
        <w:tab/>
        <w:t>Civil Liability Convention</w:t>
      </w:r>
    </w:p>
    <w:p w14:paraId="04C86A4A"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CPB</w:t>
      </w:r>
      <w:r w:rsidRPr="00005AE0">
        <w:rPr>
          <w:rFonts w:asciiTheme="majorBidi" w:hAnsiTheme="majorBidi" w:cstheme="majorBidi"/>
          <w:szCs w:val="22"/>
        </w:rPr>
        <w:tab/>
        <w:t>Cartagena Protocol on Biosafety</w:t>
      </w:r>
    </w:p>
    <w:p w14:paraId="17A2586D"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CSC</w:t>
      </w:r>
      <w:r w:rsidRPr="00005AE0">
        <w:rPr>
          <w:rFonts w:asciiTheme="majorBidi" w:hAnsiTheme="majorBidi" w:cstheme="majorBidi"/>
          <w:szCs w:val="22"/>
        </w:rPr>
        <w:tab/>
        <w:t>Convention on Supplementary Compensation</w:t>
      </w:r>
    </w:p>
    <w:p w14:paraId="4A270246"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CTP</w:t>
      </w:r>
      <w:r w:rsidRPr="00005AE0">
        <w:rPr>
          <w:rFonts w:asciiTheme="majorBidi" w:hAnsiTheme="majorBidi" w:cstheme="majorBidi"/>
          <w:szCs w:val="22"/>
        </w:rPr>
        <w:tab/>
        <w:t>Compulsory Third Party</w:t>
      </w:r>
    </w:p>
    <w:p w14:paraId="558F0581"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ELD</w:t>
      </w:r>
      <w:r w:rsidRPr="00005AE0">
        <w:rPr>
          <w:rFonts w:asciiTheme="majorBidi" w:hAnsiTheme="majorBidi" w:cstheme="majorBidi"/>
          <w:szCs w:val="22"/>
        </w:rPr>
        <w:tab/>
        <w:t>Environmental Liability Directive</w:t>
      </w:r>
    </w:p>
    <w:p w14:paraId="6AD30A0A"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EPA</w:t>
      </w:r>
      <w:r w:rsidRPr="00005AE0">
        <w:rPr>
          <w:rFonts w:asciiTheme="majorBidi" w:hAnsiTheme="majorBidi" w:cstheme="majorBidi"/>
          <w:szCs w:val="22"/>
        </w:rPr>
        <w:tab/>
        <w:t>Environmental Protection Agency (US)</w:t>
      </w:r>
    </w:p>
    <w:p w14:paraId="3D351C37"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GCCF</w:t>
      </w:r>
      <w:r w:rsidRPr="00005AE0">
        <w:rPr>
          <w:rFonts w:asciiTheme="majorBidi" w:hAnsiTheme="majorBidi" w:cstheme="majorBidi"/>
          <w:szCs w:val="22"/>
        </w:rPr>
        <w:tab/>
        <w:t>Gulf Coast Claim Facility</w:t>
      </w:r>
    </w:p>
    <w:p w14:paraId="39884A1D"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GATT</w:t>
      </w:r>
      <w:r w:rsidRPr="00005AE0">
        <w:rPr>
          <w:rFonts w:asciiTheme="majorBidi" w:hAnsiTheme="majorBidi" w:cstheme="majorBidi"/>
          <w:szCs w:val="22"/>
        </w:rPr>
        <w:tab/>
        <w:t>General Agreement on Tariffs and Trade</w:t>
      </w:r>
    </w:p>
    <w:p w14:paraId="3C901619"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GM</w:t>
      </w:r>
      <w:r w:rsidRPr="00005AE0">
        <w:rPr>
          <w:rFonts w:asciiTheme="majorBidi" w:hAnsiTheme="majorBidi" w:cstheme="majorBidi"/>
          <w:szCs w:val="22"/>
        </w:rPr>
        <w:tab/>
        <w:t>Genetically Modified</w:t>
      </w:r>
    </w:p>
    <w:p w14:paraId="7EAC9592"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GMOs</w:t>
      </w:r>
      <w:r w:rsidRPr="00005AE0">
        <w:rPr>
          <w:rFonts w:asciiTheme="majorBidi" w:hAnsiTheme="majorBidi" w:cstheme="majorBidi"/>
          <w:szCs w:val="22"/>
        </w:rPr>
        <w:tab/>
        <w:t>Genetically Modified Organisms</w:t>
      </w:r>
    </w:p>
    <w:p w14:paraId="3DF2EFBC"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GS</w:t>
      </w:r>
      <w:r w:rsidRPr="00005AE0">
        <w:rPr>
          <w:rFonts w:asciiTheme="majorBidi" w:hAnsiTheme="majorBidi" w:cstheme="majorBidi"/>
          <w:szCs w:val="22"/>
        </w:rPr>
        <w:tab/>
        <w:t>Geological Storage</w:t>
      </w:r>
    </w:p>
    <w:p w14:paraId="2BE3D624"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IAEA</w:t>
      </w:r>
      <w:r w:rsidRPr="00005AE0">
        <w:rPr>
          <w:rFonts w:asciiTheme="majorBidi" w:hAnsiTheme="majorBidi" w:cstheme="majorBidi"/>
          <w:szCs w:val="22"/>
        </w:rPr>
        <w:tab/>
        <w:t>International Atomic Energy Agency</w:t>
      </w:r>
    </w:p>
    <w:p w14:paraId="5E9AEA8F"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IOPC</w:t>
      </w:r>
      <w:r w:rsidRPr="00005AE0">
        <w:rPr>
          <w:rFonts w:asciiTheme="majorBidi" w:hAnsiTheme="majorBidi" w:cstheme="majorBidi"/>
          <w:szCs w:val="22"/>
        </w:rPr>
        <w:tab/>
        <w:t>International Oil Pollution Compensation</w:t>
      </w:r>
    </w:p>
    <w:p w14:paraId="782554BA"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INIP</w:t>
      </w:r>
      <w:r w:rsidRPr="00005AE0">
        <w:rPr>
          <w:rFonts w:asciiTheme="majorBidi" w:hAnsiTheme="majorBidi" w:cstheme="majorBidi"/>
          <w:szCs w:val="22"/>
        </w:rPr>
        <w:tab/>
        <w:t>India Nuclear Insurance Pool</w:t>
      </w:r>
    </w:p>
    <w:p w14:paraId="4B30492C"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LMO</w:t>
      </w:r>
      <w:r w:rsidRPr="00005AE0">
        <w:rPr>
          <w:rFonts w:asciiTheme="majorBidi" w:hAnsiTheme="majorBidi" w:cstheme="majorBidi"/>
          <w:szCs w:val="22"/>
        </w:rPr>
        <w:tab/>
        <w:t>Living Modified Organism</w:t>
      </w:r>
    </w:p>
    <w:p w14:paraId="16740284"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NKLSP</w:t>
      </w:r>
      <w:r w:rsidRPr="00005AE0">
        <w:rPr>
          <w:rFonts w:asciiTheme="majorBidi" w:hAnsiTheme="majorBidi" w:cstheme="majorBidi"/>
          <w:szCs w:val="22"/>
        </w:rPr>
        <w:tab/>
        <w:t>Nagoya-Kuala Lumpur Supplementary Protocol</w:t>
      </w:r>
    </w:p>
    <w:p w14:paraId="7B913A25"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OPOL</w:t>
      </w:r>
      <w:r w:rsidRPr="00005AE0">
        <w:rPr>
          <w:rFonts w:asciiTheme="majorBidi" w:hAnsiTheme="majorBidi" w:cstheme="majorBidi"/>
          <w:szCs w:val="22"/>
        </w:rPr>
        <w:tab/>
        <w:t>Offshore Pollution Liability Association</w:t>
      </w:r>
    </w:p>
    <w:p w14:paraId="0D70A67D"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P&amp;I Club</w:t>
      </w:r>
      <w:r w:rsidRPr="00005AE0">
        <w:rPr>
          <w:rFonts w:asciiTheme="majorBidi" w:hAnsiTheme="majorBidi" w:cstheme="majorBidi"/>
          <w:szCs w:val="22"/>
        </w:rPr>
        <w:tab/>
        <w:t>Protection and Indemnity Club</w:t>
      </w:r>
    </w:p>
    <w:p w14:paraId="35AFC56E"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SME</w:t>
      </w:r>
      <w:r w:rsidRPr="00005AE0">
        <w:rPr>
          <w:rFonts w:asciiTheme="majorBidi" w:hAnsiTheme="majorBidi" w:cstheme="majorBidi"/>
          <w:szCs w:val="22"/>
        </w:rPr>
        <w:tab/>
        <w:t>Small and Medium-Sized Enterprises</w:t>
      </w:r>
    </w:p>
    <w:p w14:paraId="3335D365"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SPM</w:t>
      </w:r>
      <w:r w:rsidRPr="00005AE0">
        <w:rPr>
          <w:rFonts w:asciiTheme="majorBidi" w:hAnsiTheme="majorBidi" w:cstheme="majorBidi"/>
          <w:szCs w:val="22"/>
        </w:rPr>
        <w:tab/>
        <w:t>Sanitary and Phytosanitary Measures</w:t>
      </w:r>
    </w:p>
    <w:p w14:paraId="32FB99A4" w14:textId="77777777" w:rsidR="006F45CF" w:rsidRPr="00005AE0" w:rsidRDefault="006F45CF" w:rsidP="00541277">
      <w:pPr>
        <w:tabs>
          <w:tab w:val="left" w:pos="2160"/>
        </w:tabs>
        <w:spacing w:after="120"/>
        <w:rPr>
          <w:rFonts w:asciiTheme="majorBidi" w:hAnsiTheme="majorBidi" w:cstheme="majorBidi"/>
          <w:szCs w:val="22"/>
        </w:rPr>
      </w:pPr>
      <w:r w:rsidRPr="00005AE0">
        <w:rPr>
          <w:rFonts w:asciiTheme="majorBidi" w:hAnsiTheme="majorBidi" w:cstheme="majorBidi"/>
          <w:szCs w:val="22"/>
        </w:rPr>
        <w:t>TBT</w:t>
      </w:r>
      <w:r w:rsidRPr="00005AE0">
        <w:rPr>
          <w:rFonts w:asciiTheme="majorBidi" w:hAnsiTheme="majorBidi" w:cstheme="majorBidi"/>
          <w:szCs w:val="22"/>
        </w:rPr>
        <w:tab/>
        <w:t>Technical Barriers to Trade</w:t>
      </w:r>
    </w:p>
    <w:p w14:paraId="7941FB25" w14:textId="77777777" w:rsidR="006F45CF" w:rsidRPr="00005AE0" w:rsidRDefault="006F45CF" w:rsidP="00541277">
      <w:pPr>
        <w:spacing w:after="120"/>
        <w:rPr>
          <w:rFonts w:asciiTheme="majorBidi" w:hAnsiTheme="majorBidi" w:cstheme="majorBidi"/>
          <w:szCs w:val="22"/>
        </w:rPr>
      </w:pPr>
      <w:r w:rsidRPr="00005AE0">
        <w:rPr>
          <w:rFonts w:asciiTheme="majorBidi" w:hAnsiTheme="majorBidi" w:cstheme="majorBidi"/>
          <w:szCs w:val="22"/>
        </w:rPr>
        <w:t>WTO</w:t>
      </w:r>
      <w:r w:rsidRPr="00005AE0">
        <w:rPr>
          <w:rFonts w:asciiTheme="majorBidi" w:hAnsiTheme="majorBidi" w:cstheme="majorBidi"/>
          <w:szCs w:val="22"/>
        </w:rPr>
        <w:tab/>
      </w:r>
      <w:r w:rsidRPr="00005AE0">
        <w:rPr>
          <w:rFonts w:asciiTheme="majorBidi" w:hAnsiTheme="majorBidi" w:cstheme="majorBidi"/>
          <w:szCs w:val="22"/>
        </w:rPr>
        <w:tab/>
      </w:r>
      <w:r w:rsidRPr="00005AE0">
        <w:rPr>
          <w:rFonts w:asciiTheme="majorBidi" w:hAnsiTheme="majorBidi" w:cstheme="majorBidi"/>
          <w:szCs w:val="22"/>
        </w:rPr>
        <w:tab/>
        <w:t>World Trade Organization</w:t>
      </w:r>
    </w:p>
    <w:p w14:paraId="734CC116" w14:textId="62FE36C1" w:rsidR="006F45CF" w:rsidRPr="00005AE0" w:rsidRDefault="006F45CF" w:rsidP="00541277">
      <w:pPr>
        <w:spacing w:after="120"/>
        <w:jc w:val="left"/>
        <w:rPr>
          <w:rFonts w:asciiTheme="majorBidi" w:eastAsiaTheme="majorEastAsia" w:hAnsiTheme="majorBidi" w:cstheme="majorBidi"/>
          <w:color w:val="365F91" w:themeColor="accent1" w:themeShade="BF"/>
          <w:szCs w:val="22"/>
        </w:rPr>
      </w:pPr>
      <w:r w:rsidRPr="00005AE0">
        <w:rPr>
          <w:rFonts w:asciiTheme="majorBidi" w:hAnsiTheme="majorBidi" w:cstheme="majorBidi"/>
          <w:szCs w:val="22"/>
        </w:rPr>
        <w:br w:type="page"/>
      </w:r>
    </w:p>
    <w:p w14:paraId="62985290" w14:textId="1FD95500" w:rsidR="006F45CF" w:rsidRPr="00541277" w:rsidRDefault="00C64B17" w:rsidP="006F45CF">
      <w:pPr>
        <w:pStyle w:val="Heading1"/>
        <w:rPr>
          <w:color w:val="548DD4" w:themeColor="text2" w:themeTint="99"/>
          <w:sz w:val="24"/>
          <w:szCs w:val="28"/>
        </w:rPr>
      </w:pPr>
      <w:bookmarkStart w:id="11" w:name="_Toc82176399"/>
      <w:bookmarkStart w:id="12" w:name="_Hlk84578495"/>
      <w:r w:rsidRPr="00541277">
        <w:rPr>
          <w:color w:val="548DD4" w:themeColor="text2" w:themeTint="99"/>
          <w:sz w:val="24"/>
          <w:szCs w:val="28"/>
        </w:rPr>
        <w:lastRenderedPageBreak/>
        <w:t xml:space="preserve">LIST </w:t>
      </w:r>
      <w:r w:rsidR="006F45CF" w:rsidRPr="00541277">
        <w:rPr>
          <w:color w:val="548DD4" w:themeColor="text2" w:themeTint="99"/>
          <w:sz w:val="24"/>
          <w:szCs w:val="28"/>
        </w:rPr>
        <w:t>of Boxes</w:t>
      </w:r>
      <w:bookmarkEnd w:id="11"/>
    </w:p>
    <w:bookmarkEnd w:id="12"/>
    <w:p w14:paraId="08A45BF9" w14:textId="77777777" w:rsidR="006F45CF" w:rsidRDefault="006F45CF" w:rsidP="006F45CF"/>
    <w:p w14:paraId="24690406" w14:textId="7C6E4774" w:rsidR="006F45CF" w:rsidRDefault="006F45CF" w:rsidP="00541277">
      <w:pPr>
        <w:tabs>
          <w:tab w:val="right" w:leader="dot" w:pos="12240"/>
        </w:tabs>
        <w:spacing w:after="120"/>
      </w:pPr>
      <w:bookmarkStart w:id="13" w:name="_Hlk84578416"/>
      <w:r>
        <w:t xml:space="preserve">Box 1: The Compact </w:t>
      </w:r>
      <w:bookmarkEnd w:id="13"/>
      <w:r>
        <w:tab/>
      </w:r>
      <w:r w:rsidR="008D588E">
        <w:t>2</w:t>
      </w:r>
      <w:r w:rsidR="00FF2B03">
        <w:t>1</w:t>
      </w:r>
    </w:p>
    <w:p w14:paraId="6BCC263B" w14:textId="1ADB206B" w:rsidR="006F45CF" w:rsidRDefault="006F45CF" w:rsidP="00541277">
      <w:pPr>
        <w:tabs>
          <w:tab w:val="right" w:leader="dot" w:pos="12240"/>
        </w:tabs>
        <w:spacing w:after="120"/>
      </w:pPr>
      <w:r>
        <w:t>Box 2: OPOL</w:t>
      </w:r>
      <w:r>
        <w:tab/>
        <w:t>2</w:t>
      </w:r>
      <w:r w:rsidR="00FA5354">
        <w:t>3</w:t>
      </w:r>
    </w:p>
    <w:p w14:paraId="11E38D4A" w14:textId="657806FA" w:rsidR="006F45CF" w:rsidRDefault="006F45CF" w:rsidP="00541277">
      <w:pPr>
        <w:tabs>
          <w:tab w:val="right" w:leader="dot" w:pos="12240"/>
        </w:tabs>
        <w:spacing w:after="120"/>
      </w:pPr>
      <w:r>
        <w:t xml:space="preserve">Box 3: </w:t>
      </w:r>
      <w:r w:rsidRPr="0022503C">
        <w:t>Risk sharing agreements versus pooling by insurers</w:t>
      </w:r>
      <w:r>
        <w:tab/>
        <w:t>2</w:t>
      </w:r>
      <w:r w:rsidR="00481260">
        <w:t>5</w:t>
      </w:r>
    </w:p>
    <w:p w14:paraId="61AFFA11" w14:textId="74F655D0" w:rsidR="006F45CF" w:rsidRDefault="006F45CF" w:rsidP="00541277">
      <w:pPr>
        <w:tabs>
          <w:tab w:val="right" w:leader="dot" w:pos="12240"/>
        </w:tabs>
        <w:spacing w:after="120"/>
      </w:pPr>
      <w:r>
        <w:t>Box 4: Domestic level</w:t>
      </w:r>
      <w:r>
        <w:tab/>
        <w:t>2</w:t>
      </w:r>
      <w:r w:rsidR="00FA5354">
        <w:t>7</w:t>
      </w:r>
    </w:p>
    <w:p w14:paraId="37194222" w14:textId="70DA9099" w:rsidR="006F45CF" w:rsidRDefault="006F45CF" w:rsidP="00541277">
      <w:pPr>
        <w:tabs>
          <w:tab w:val="right" w:leader="dot" w:pos="12240"/>
        </w:tabs>
        <w:spacing w:after="120"/>
      </w:pPr>
      <w:r w:rsidRPr="006720BE">
        <w:t>Box 5: Compensating nuclear damage in India</w:t>
      </w:r>
      <w:r w:rsidR="002C2A3D">
        <w:t xml:space="preserve"> ……………………………</w:t>
      </w:r>
      <w:r w:rsidRPr="006720BE">
        <w:t>…</w:t>
      </w:r>
      <w:r>
        <w:t>……………………………</w:t>
      </w:r>
      <w:r w:rsidR="00FA5354">
        <w:t>30</w:t>
      </w:r>
    </w:p>
    <w:p w14:paraId="5F0AD1AA" w14:textId="1AC25047" w:rsidR="006F45CF" w:rsidRDefault="006F45CF" w:rsidP="00541277">
      <w:pPr>
        <w:tabs>
          <w:tab w:val="right" w:leader="dot" w:pos="12240"/>
        </w:tabs>
        <w:spacing w:after="120"/>
      </w:pPr>
      <w:r>
        <w:t>Box 6</w:t>
      </w:r>
      <w:r w:rsidRPr="0022503C">
        <w:t xml:space="preserve">: Compensation fund or </w:t>
      </w:r>
      <w:r w:rsidRPr="0022503C">
        <w:rPr>
          <w:i/>
        </w:rPr>
        <w:t>ad hoc</w:t>
      </w:r>
      <w:r w:rsidRPr="0022503C">
        <w:t xml:space="preserve"> payments?</w:t>
      </w:r>
      <w:r>
        <w:tab/>
      </w:r>
      <w:r w:rsidR="00481260">
        <w:t>30</w:t>
      </w:r>
    </w:p>
    <w:p w14:paraId="3D1A5341" w14:textId="317F9A27" w:rsidR="006F45CF" w:rsidRDefault="006F45CF" w:rsidP="00541277">
      <w:pPr>
        <w:tabs>
          <w:tab w:val="right" w:leader="dot" w:pos="12240"/>
        </w:tabs>
        <w:spacing w:after="120"/>
      </w:pPr>
      <w:r>
        <w:t>Box 7:</w:t>
      </w:r>
      <w:r w:rsidRPr="005849C1">
        <w:t xml:space="preserve"> </w:t>
      </w:r>
      <w:r>
        <w:t xml:space="preserve">GCCF: </w:t>
      </w:r>
      <w:r w:rsidRPr="00A54184">
        <w:rPr>
          <w:i/>
        </w:rPr>
        <w:t>ad hoc</w:t>
      </w:r>
      <w:r>
        <w:t xml:space="preserve"> compensation via a private fund</w:t>
      </w:r>
      <w:r>
        <w:tab/>
        <w:t>3</w:t>
      </w:r>
      <w:r w:rsidR="00FA5354">
        <w:t>4</w:t>
      </w:r>
    </w:p>
    <w:p w14:paraId="35F8BF0D" w14:textId="2EDDD5A2" w:rsidR="006F45CF" w:rsidRDefault="006F45CF" w:rsidP="00541277">
      <w:pPr>
        <w:tabs>
          <w:tab w:val="right" w:leader="dot" w:pos="12240"/>
        </w:tabs>
        <w:spacing w:after="120"/>
      </w:pPr>
      <w:r>
        <w:t xml:space="preserve">Box 8: </w:t>
      </w:r>
      <w:r>
        <w:rPr>
          <w:i/>
        </w:rPr>
        <w:t>A</w:t>
      </w:r>
      <w:r w:rsidRPr="00A54184">
        <w:rPr>
          <w:i/>
        </w:rPr>
        <w:t>d hoc</w:t>
      </w:r>
      <w:r>
        <w:t xml:space="preserve"> contractual solutions</w:t>
      </w:r>
      <w:r>
        <w:tab/>
        <w:t>3</w:t>
      </w:r>
      <w:r w:rsidR="00FA5354">
        <w:t>6</w:t>
      </w:r>
    </w:p>
    <w:p w14:paraId="22C638C8" w14:textId="75F12A91" w:rsidR="006F45CF" w:rsidRDefault="006F45CF" w:rsidP="00541277">
      <w:pPr>
        <w:tabs>
          <w:tab w:val="right" w:leader="dot" w:pos="12240"/>
        </w:tabs>
        <w:spacing w:after="120"/>
      </w:pPr>
      <w:r>
        <w:t>Box 9: Compensating terrorism-related risks</w:t>
      </w:r>
      <w:r>
        <w:tab/>
        <w:t>3</w:t>
      </w:r>
      <w:r w:rsidR="00FA5354">
        <w:t>6</w:t>
      </w:r>
    </w:p>
    <w:p w14:paraId="297D0914" w14:textId="2684A1AE" w:rsidR="006F45CF" w:rsidRDefault="006F45CF" w:rsidP="00541277">
      <w:pPr>
        <w:tabs>
          <w:tab w:val="right" w:leader="dot" w:pos="12240"/>
        </w:tabs>
        <w:spacing w:after="120"/>
      </w:pPr>
      <w:r>
        <w:t>Box 10: Carbon capture and storage: An example of a flexible approach</w:t>
      </w:r>
      <w:r>
        <w:tab/>
        <w:t>3</w:t>
      </w:r>
      <w:r w:rsidR="00481260">
        <w:t>7</w:t>
      </w:r>
    </w:p>
    <w:p w14:paraId="3CD2157D" w14:textId="77777777" w:rsidR="006F45CF" w:rsidRDefault="006F45CF" w:rsidP="006F45CF">
      <w:pPr>
        <w:jc w:val="left"/>
      </w:pPr>
    </w:p>
    <w:p w14:paraId="628F325A" w14:textId="77777777" w:rsidR="006F45CF" w:rsidRDefault="006F45CF" w:rsidP="006F45CF">
      <w:pPr>
        <w:jc w:val="left"/>
      </w:pPr>
      <w:r>
        <w:br w:type="page"/>
      </w:r>
    </w:p>
    <w:p w14:paraId="2A8B8DA6" w14:textId="77777777" w:rsidR="006F45CF" w:rsidRPr="00541277" w:rsidRDefault="006F45CF" w:rsidP="006F45CF">
      <w:pPr>
        <w:pStyle w:val="Heading1"/>
        <w:rPr>
          <w:color w:val="548DD4" w:themeColor="text2" w:themeTint="99"/>
          <w:sz w:val="24"/>
          <w:szCs w:val="28"/>
        </w:rPr>
      </w:pPr>
      <w:bookmarkStart w:id="14" w:name="_Toc82176400"/>
      <w:r w:rsidRPr="00541277">
        <w:rPr>
          <w:color w:val="548DD4" w:themeColor="text2" w:themeTint="99"/>
          <w:sz w:val="24"/>
          <w:szCs w:val="28"/>
        </w:rPr>
        <w:lastRenderedPageBreak/>
        <w:t>Glossary</w:t>
      </w:r>
      <w:bookmarkEnd w:id="14"/>
    </w:p>
    <w:p w14:paraId="46C5E2CF" w14:textId="77777777" w:rsidR="006F45CF" w:rsidRDefault="006F45CF" w:rsidP="006F45CF"/>
    <w:p w14:paraId="309B004F" w14:textId="77777777" w:rsidR="006F45CF" w:rsidRDefault="006F45CF" w:rsidP="005209D6">
      <w:pPr>
        <w:spacing w:after="120"/>
      </w:pPr>
      <w:r>
        <w:rPr>
          <w:b/>
        </w:rPr>
        <w:t>Adverse selection:</w:t>
      </w:r>
      <w:r>
        <w:t xml:space="preserve"> is the result of the fact that insurance is always more attractive for those who are exposed to higher risks and who would therefore be more in need of insurance, as a result of which insurers remain stuck with high-risk individuals.</w:t>
      </w:r>
    </w:p>
    <w:p w14:paraId="456799C3" w14:textId="77777777" w:rsidR="006F45CF" w:rsidRPr="00101C0F" w:rsidRDefault="006F45CF" w:rsidP="005209D6">
      <w:pPr>
        <w:spacing w:after="120"/>
      </w:pPr>
      <w:proofErr w:type="gramStart"/>
      <w:r w:rsidRPr="2C80AB93">
        <w:rPr>
          <w:b/>
          <w:bCs/>
        </w:rPr>
        <w:t>Co-insurance</w:t>
      </w:r>
      <w:r>
        <w:t>:</w:t>
      </w:r>
      <w:proofErr w:type="gramEnd"/>
      <w:r>
        <w:t xml:space="preserve"> is a cooperation between insurers to cover one larger risk by each providing a part of the coverage for this one particular project (for example four insurers each covering 25%).</w:t>
      </w:r>
    </w:p>
    <w:p w14:paraId="3282971F" w14:textId="77777777" w:rsidR="006F45CF" w:rsidRPr="005A3AE5" w:rsidRDefault="006F45CF" w:rsidP="005209D6">
      <w:pPr>
        <w:spacing w:after="120"/>
        <w:rPr>
          <w:bCs/>
        </w:rPr>
      </w:pPr>
      <w:r w:rsidRPr="00DC3D18">
        <w:rPr>
          <w:b/>
          <w:bCs/>
          <w:i/>
        </w:rPr>
        <w:t>Ex ante</w:t>
      </w:r>
      <w:r>
        <w:rPr>
          <w:bCs/>
        </w:rPr>
        <w:t>: this term is used to indicate a moment in time before the damage occurs.</w:t>
      </w:r>
    </w:p>
    <w:p w14:paraId="56EC4C76" w14:textId="77777777" w:rsidR="006F45CF" w:rsidRPr="005A3AE5" w:rsidRDefault="006F45CF" w:rsidP="005209D6">
      <w:pPr>
        <w:spacing w:after="120"/>
        <w:rPr>
          <w:bCs/>
        </w:rPr>
      </w:pPr>
      <w:r w:rsidRPr="00DC3D18">
        <w:rPr>
          <w:b/>
          <w:bCs/>
          <w:i/>
        </w:rPr>
        <w:t>Ex post</w:t>
      </w:r>
      <w:r>
        <w:rPr>
          <w:bCs/>
        </w:rPr>
        <w:t>: this term is used to indicate a moment in time after the damage occurs.</w:t>
      </w:r>
    </w:p>
    <w:p w14:paraId="423E40A8" w14:textId="77777777" w:rsidR="006F45CF" w:rsidRDefault="006F45CF" w:rsidP="005209D6">
      <w:pPr>
        <w:spacing w:after="120"/>
        <w:rPr>
          <w:b/>
        </w:rPr>
      </w:pPr>
      <w:r w:rsidRPr="2A6518BB">
        <w:rPr>
          <w:b/>
          <w:bCs/>
        </w:rPr>
        <w:t>First party cover</w:t>
      </w:r>
      <w:r>
        <w:t>: is a financial security (scheme) providing cover to an individual (or firm) who is exposed to a particular risk (for example damage he/she suffers caused by LMOs), whereby the potential victim seeks him/herself financial security for that particular risk.</w:t>
      </w:r>
    </w:p>
    <w:p w14:paraId="6943352F" w14:textId="77777777" w:rsidR="006F45CF" w:rsidRDefault="006F45CF" w:rsidP="005209D6">
      <w:pPr>
        <w:spacing w:after="120"/>
      </w:pPr>
      <w:r w:rsidRPr="001F0D39">
        <w:rPr>
          <w:b/>
        </w:rPr>
        <w:t>Free-</w:t>
      </w:r>
      <w:proofErr w:type="gramStart"/>
      <w:r w:rsidRPr="001F0D39">
        <w:rPr>
          <w:b/>
        </w:rPr>
        <w:t>riding</w:t>
      </w:r>
      <w:r>
        <w:t>:</w:t>
      </w:r>
      <w:proofErr w:type="gramEnd"/>
      <w:r>
        <w:t xml:space="preserve"> refers to a range of situations in which users of a particular service do not have to pay for them. If others can </w:t>
      </w:r>
      <w:proofErr w:type="gramStart"/>
      <w:r>
        <w:t>free-ride</w:t>
      </w:r>
      <w:proofErr w:type="gramEnd"/>
      <w:r>
        <w:t xml:space="preserve"> on the efforts of an operator, that operator may no longer have incentives to invest in those particular services.</w:t>
      </w:r>
    </w:p>
    <w:p w14:paraId="525C4934" w14:textId="77777777" w:rsidR="006F45CF" w:rsidRDefault="006F45CF" w:rsidP="005209D6">
      <w:pPr>
        <w:spacing w:after="120"/>
      </w:pPr>
      <w:r w:rsidRPr="2A6518BB">
        <w:rPr>
          <w:b/>
          <w:bCs/>
        </w:rPr>
        <w:t>Insurer ambiguity</w:t>
      </w:r>
      <w:r>
        <w:t>: is the uncertainty of insurers concerning either the probability of the accident occurring and/or the magnitude of the potential damage.</w:t>
      </w:r>
    </w:p>
    <w:p w14:paraId="397136C5" w14:textId="77777777" w:rsidR="006F45CF" w:rsidRDefault="006F45CF" w:rsidP="005209D6">
      <w:pPr>
        <w:spacing w:after="120"/>
      </w:pPr>
      <w:r w:rsidRPr="2A6518BB">
        <w:rPr>
          <w:b/>
          <w:bCs/>
        </w:rPr>
        <w:t>Moral hazard</w:t>
      </w:r>
      <w:r>
        <w:t>: is the tendency of an insured, receiving full insurance coverage, to increase the risk as the individual itself is no longer exposed to the risk, since this has been shifted to the insurer.</w:t>
      </w:r>
    </w:p>
    <w:p w14:paraId="474EE61A" w14:textId="77777777" w:rsidR="006F45CF" w:rsidRDefault="006F45CF" w:rsidP="005209D6">
      <w:pPr>
        <w:spacing w:after="120"/>
      </w:pPr>
      <w:r w:rsidRPr="00101C0F">
        <w:rPr>
          <w:b/>
        </w:rPr>
        <w:t xml:space="preserve">Pooling by </w:t>
      </w:r>
      <w:proofErr w:type="gramStart"/>
      <w:r w:rsidRPr="00101C0F">
        <w:rPr>
          <w:b/>
        </w:rPr>
        <w:t>insurers</w:t>
      </w:r>
      <w:r>
        <w:t>:</w:t>
      </w:r>
      <w:proofErr w:type="gramEnd"/>
      <w:r>
        <w:t xml:space="preserve"> is a technique whereby insurers pool their resources together on a non-competitive basis in order to be able to provide higher capacity (higher amounts of coverage) for a particular risk category (for example environmental liability).</w:t>
      </w:r>
    </w:p>
    <w:p w14:paraId="38DE58AD" w14:textId="77777777" w:rsidR="006F45CF" w:rsidRDefault="006F45CF" w:rsidP="005209D6">
      <w:pPr>
        <w:spacing w:after="120"/>
      </w:pPr>
      <w:r w:rsidRPr="00101C0F">
        <w:rPr>
          <w:b/>
        </w:rPr>
        <w:t>Reinsurance</w:t>
      </w:r>
      <w:r>
        <w:t>: is insurance coverage provided by a reinsurer to an insurance company.</w:t>
      </w:r>
    </w:p>
    <w:p w14:paraId="44FCA789" w14:textId="77777777" w:rsidR="006F45CF" w:rsidRDefault="006F45CF" w:rsidP="005209D6">
      <w:pPr>
        <w:spacing w:after="120"/>
      </w:pPr>
      <w:r w:rsidRPr="2A6518BB">
        <w:rPr>
          <w:b/>
          <w:bCs/>
        </w:rPr>
        <w:t>Risk-</w:t>
      </w:r>
      <w:proofErr w:type="gramStart"/>
      <w:r w:rsidRPr="2A6518BB">
        <w:rPr>
          <w:b/>
          <w:bCs/>
        </w:rPr>
        <w:t>pooling</w:t>
      </w:r>
      <w:r>
        <w:t>:</w:t>
      </w:r>
      <w:proofErr w:type="gramEnd"/>
      <w:r>
        <w:t xml:space="preserve"> is a model whereby operators or, more generally, persons exposed to a particular risk mutually agree to cover each other’s losses arising from damage via a risk-sharing or a risk distribution agreement.</w:t>
      </w:r>
    </w:p>
    <w:p w14:paraId="2BB3FF93" w14:textId="77777777" w:rsidR="006F45CF" w:rsidRDefault="006F45CF" w:rsidP="005209D6">
      <w:pPr>
        <w:spacing w:after="120"/>
      </w:pPr>
      <w:r w:rsidRPr="00101C0F">
        <w:rPr>
          <w:b/>
        </w:rPr>
        <w:t>Third party cover</w:t>
      </w:r>
      <w:r>
        <w:t xml:space="preserve">: it is a financial security (scheme) providing financial security to cover the risk that an operator may have to compensate the damage suffered by a third party </w:t>
      </w:r>
      <w:proofErr w:type="gramStart"/>
      <w:r>
        <w:t>on the basis of</w:t>
      </w:r>
      <w:proofErr w:type="gramEnd"/>
      <w:r>
        <w:t xml:space="preserve"> her/her liability.</w:t>
      </w:r>
    </w:p>
    <w:p w14:paraId="336064D9" w14:textId="77777777" w:rsidR="006F45CF" w:rsidRDefault="006F45CF" w:rsidP="006F45CF"/>
    <w:p w14:paraId="1409A663" w14:textId="77777777" w:rsidR="006F45CF" w:rsidRDefault="006F45CF" w:rsidP="006F45CF">
      <w:r>
        <w:br w:type="page"/>
      </w:r>
    </w:p>
    <w:p w14:paraId="40F8C9CE" w14:textId="4E765FC8" w:rsidR="00961A1A" w:rsidRPr="00541277" w:rsidRDefault="006F45CF" w:rsidP="008D588E">
      <w:pPr>
        <w:pStyle w:val="Heading1"/>
        <w:keepLines/>
        <w:numPr>
          <w:ilvl w:val="0"/>
          <w:numId w:val="5"/>
        </w:numPr>
        <w:tabs>
          <w:tab w:val="clear" w:pos="720"/>
        </w:tabs>
        <w:spacing w:line="259" w:lineRule="auto"/>
        <w:jc w:val="both"/>
        <w:rPr>
          <w:color w:val="548DD4" w:themeColor="text2" w:themeTint="99"/>
          <w:sz w:val="24"/>
          <w:szCs w:val="28"/>
        </w:rPr>
      </w:pPr>
      <w:bookmarkStart w:id="15" w:name="_Toc82176401"/>
      <w:r w:rsidRPr="00541277">
        <w:rPr>
          <w:color w:val="548DD4" w:themeColor="text2" w:themeTint="99"/>
          <w:sz w:val="24"/>
          <w:szCs w:val="28"/>
        </w:rPr>
        <w:lastRenderedPageBreak/>
        <w:t>Introduction</w:t>
      </w:r>
      <w:bookmarkEnd w:id="15"/>
    </w:p>
    <w:p w14:paraId="3F92FBDA" w14:textId="38465445" w:rsidR="006F45CF" w:rsidRDefault="006F45CF" w:rsidP="00961A1A">
      <w:r>
        <w:t xml:space="preserve">In 2000, the Cartagena Protocol on Biosafety (CPB) was adopted. It was negotiated under the Convention on Biological Diversity (CBD) and provides an international legal framework for the safe transfer, handling and use of living modified organisms (LMOs) resulting from </w:t>
      </w:r>
      <w:r w:rsidRPr="00131AB1">
        <w:t>modern biotechnology</w:t>
      </w:r>
      <w:r>
        <w:t xml:space="preserve"> that may have adverse effects on the conservation and sustainable use of biological diversity, taking also into account risk to human health.</w:t>
      </w:r>
      <w:r w:rsidRPr="004A50CF">
        <w:rPr>
          <w:rStyle w:val="FootnoteReference"/>
        </w:rPr>
        <w:t xml:space="preserve"> </w:t>
      </w:r>
      <w:r w:rsidRPr="00AF784C">
        <w:rPr>
          <w:rStyle w:val="FootnoteReference"/>
        </w:rPr>
        <w:footnoteReference w:id="5"/>
      </w:r>
      <w:r>
        <w:t xml:space="preserve"> In accordance with Article 27 of the CPB, a process was adopted for the negotiation of international rules and procedures on liability and redress for damage arising from transboundary movements of LMOs. After six years of intense negotiations,</w:t>
      </w:r>
      <w:r>
        <w:rPr>
          <w:rStyle w:val="FootnoteReference"/>
        </w:rPr>
        <w:footnoteReference w:id="6"/>
      </w:r>
      <w:r>
        <w:t xml:space="preserve"> the Nagoya – Kuala Lumpur Supplementary Protocol on Liability and Redress to the Cartagena Protocol on biosafety (NKLSP) was adopted in 2010.</w:t>
      </w:r>
      <w:r>
        <w:rPr>
          <w:rStyle w:val="FootnoteReference"/>
        </w:rPr>
        <w:footnoteReference w:id="7"/>
      </w:r>
      <w:r>
        <w:t xml:space="preserve"> The NKLSP adopts an administrative approach to response measures in the event of damage or sufficient likelihood of damage to the conservation and sustainable use of biological diversity resulting from LMOs that find their origin in transboundary movements.</w:t>
      </w:r>
      <w:r>
        <w:rPr>
          <w:rStyle w:val="FootnoteReference"/>
        </w:rPr>
        <w:footnoteReference w:id="8"/>
      </w:r>
      <w:r>
        <w:t xml:space="preserve"> As far as financial security is concerned, Article 10, paragraph 1, NKLSP provides that “Parties retain the right to provide, in their domestic law, for financial security”. Further, Article 10, paragraph 3, NKLSP provides that the first meeting of the Conference of the Parties serving as the meeting of the Parties to the Cartagena Protocol (COP-MOP) after the entry into force of the NKLSP shall request the Secretariat to undertake a comprehensive study, which shall address, </w:t>
      </w:r>
      <w:r w:rsidRPr="15E0AA24">
        <w:rPr>
          <w:i/>
          <w:iCs/>
        </w:rPr>
        <w:t>inter alia</w:t>
      </w:r>
      <w:r>
        <w:t>:</w:t>
      </w:r>
    </w:p>
    <w:p w14:paraId="7D1BB401" w14:textId="77777777" w:rsidR="00961A1A" w:rsidRDefault="00961A1A" w:rsidP="00961A1A">
      <w:pPr>
        <w:ind w:firstLine="360"/>
      </w:pPr>
    </w:p>
    <w:p w14:paraId="04D4B7B6" w14:textId="77777777" w:rsidR="006F45CF" w:rsidRDefault="006F45CF" w:rsidP="005042C4">
      <w:pPr>
        <w:pStyle w:val="ListParagraph"/>
        <w:numPr>
          <w:ilvl w:val="0"/>
          <w:numId w:val="6"/>
        </w:numPr>
        <w:spacing w:after="160" w:line="259" w:lineRule="auto"/>
      </w:pPr>
      <w:r>
        <w:t>the modalities of financial security mechanisms;</w:t>
      </w:r>
    </w:p>
    <w:p w14:paraId="6F98689A" w14:textId="77777777" w:rsidR="006F45CF" w:rsidRDefault="006F45CF" w:rsidP="005042C4">
      <w:pPr>
        <w:pStyle w:val="ListParagraph"/>
        <w:numPr>
          <w:ilvl w:val="0"/>
          <w:numId w:val="6"/>
        </w:numPr>
        <w:spacing w:after="160" w:line="259" w:lineRule="auto"/>
      </w:pPr>
      <w:r>
        <w:t xml:space="preserve">an assessment of the environmental, economic and social impacts of such mechanisms, </w:t>
      </w:r>
      <w:proofErr w:type="gramStart"/>
      <w:r>
        <w:t>in particular on</w:t>
      </w:r>
      <w:proofErr w:type="gramEnd"/>
      <w:r>
        <w:t xml:space="preserve"> developing countries; and</w:t>
      </w:r>
    </w:p>
    <w:p w14:paraId="44F1D195" w14:textId="77777777" w:rsidR="006F45CF" w:rsidRDefault="006F45CF" w:rsidP="005042C4">
      <w:pPr>
        <w:pStyle w:val="ListParagraph"/>
        <w:numPr>
          <w:ilvl w:val="0"/>
          <w:numId w:val="6"/>
        </w:numPr>
        <w:spacing w:after="160" w:line="259" w:lineRule="auto"/>
      </w:pPr>
      <w:r>
        <w:t>an identification of the appropriate entities to provide financial security.</w:t>
      </w:r>
    </w:p>
    <w:p w14:paraId="0C0221DD" w14:textId="77777777" w:rsidR="006F45CF" w:rsidRDefault="006F45CF" w:rsidP="00961A1A">
      <w:r>
        <w:t xml:space="preserve">In its decision CP-9/15, the COP-MOP gave effect to this provision. </w:t>
      </w:r>
      <w:r w:rsidRPr="00B225BA">
        <w:t xml:space="preserve">The present study was developed in response to decision CP-9/15 and in accordance with </w:t>
      </w:r>
      <w:r>
        <w:t>A</w:t>
      </w:r>
      <w:r w:rsidRPr="00B225BA">
        <w:t xml:space="preserve">rticle 10, paragraph 3 of the </w:t>
      </w:r>
      <w:r>
        <w:t>NKL</w:t>
      </w:r>
      <w:r w:rsidRPr="00B225BA">
        <w:t>SP</w:t>
      </w:r>
      <w:r w:rsidRPr="00A8651E">
        <w:t xml:space="preserve">. </w:t>
      </w:r>
      <w:r>
        <w:t>In preparation for the present study, the following sources were consulted: reports and studies prepared for the negotiations of the NKLSP,</w:t>
      </w:r>
      <w:r>
        <w:rPr>
          <w:rStyle w:val="FootnoteReference"/>
        </w:rPr>
        <w:footnoteReference w:id="9"/>
      </w:r>
      <w:r>
        <w:t xml:space="preserve"> available economic literature dealing with the various types of financial security available and literature outlining existing financial security mechanisms established for environmental damage</w:t>
      </w:r>
      <w:r>
        <w:rPr>
          <w:rStyle w:val="FootnoteReference"/>
        </w:rPr>
        <w:footnoteReference w:id="10"/>
      </w:r>
      <w:r>
        <w:t xml:space="preserve"> (other than damage from LMOs</w:t>
      </w:r>
      <w:r w:rsidRPr="7C6520C3">
        <w:rPr>
          <w:rStyle w:val="FootnoteReference"/>
        </w:rPr>
        <w:footnoteReference w:id="11"/>
      </w:r>
      <w:r>
        <w:t>).</w:t>
      </w:r>
    </w:p>
    <w:p w14:paraId="7E1DA13A" w14:textId="77777777" w:rsidR="00A5720B" w:rsidRDefault="00A5720B" w:rsidP="00961A1A"/>
    <w:p w14:paraId="48D9E1DE" w14:textId="60BE4303" w:rsidR="006F45CF" w:rsidRDefault="006F45CF" w:rsidP="00961A1A">
      <w:r>
        <w:t>Most of the literature with respect to the NKLSP dates from the period just after its adoption.</w:t>
      </w:r>
      <w:r>
        <w:rPr>
          <w:rStyle w:val="FootnoteReference"/>
        </w:rPr>
        <w:footnoteReference w:id="12"/>
      </w:r>
      <w:r>
        <w:t xml:space="preserve"> All relevant literature that could be found has been included but since 2015, relatively little has been published on the </w:t>
      </w:r>
      <w:r>
        <w:lastRenderedPageBreak/>
        <w:t xml:space="preserve">NKLSP. Furthermore, many of the examples concerning financial security mechanisms established for environmental damage come from the European or the developed world context, as fewer examples from other regions were available. </w:t>
      </w:r>
    </w:p>
    <w:p w14:paraId="1F8636D7" w14:textId="77777777" w:rsidR="00961A1A" w:rsidRDefault="00961A1A" w:rsidP="006F45CF"/>
    <w:p w14:paraId="69BADF88" w14:textId="47BF1375" w:rsidR="006F45CF" w:rsidRDefault="006F45CF" w:rsidP="00961A1A">
      <w:r>
        <w:t>The primary goal of this study is to sketch the modalities, including the advantages and disadvantages of different financial security mechanisms. The structure of the study is, to an important extent, determined by the topics to be addressed as identified in Article 10(3) NKLSP: after this introduction, the study starts with a section addressing the risks to be covered in order to identify for which particular risks financial security is sought (section 2); section 3 provides an overview of the modalities of potential financial security mechanisms and of the potential entities that could provide financial security. Section 4 provides an assessment of the economic, social and environmental impacts of the various mechanisms, with a specific focus on developing countries. Section 5 provides conclusions.</w:t>
      </w:r>
    </w:p>
    <w:p w14:paraId="085A4D51" w14:textId="77777777" w:rsidR="00961A1A" w:rsidRDefault="00961A1A" w:rsidP="00961A1A"/>
    <w:p w14:paraId="411E5519" w14:textId="18921FFD" w:rsidR="006F45CF" w:rsidRDefault="006F45CF" w:rsidP="006F45CF">
      <w:r>
        <w:t>It is important to note that the type of damage on which the NKLSP focuses is primarily damage to biodiversity. Damage is defined in Article 2(2)(b) of the NKLSP as “an adverse effect on the conservation and sustainable use of biological diversity, taking also into account risks to human health, that: (</w:t>
      </w:r>
      <w:proofErr w:type="spellStart"/>
      <w:r>
        <w:t>i</w:t>
      </w:r>
      <w:proofErr w:type="spellEnd"/>
      <w:r>
        <w:t>) Is measurable (…) and (ii) Is significant (…)” (</w:t>
      </w:r>
      <w:r w:rsidRPr="008D588E">
        <w:t>see A</w:t>
      </w:r>
      <w:r w:rsidR="008D588E" w:rsidRPr="008D588E">
        <w:t>ppendix</w:t>
      </w:r>
      <w:r w:rsidRPr="008D588E">
        <w:t xml:space="preserve"> </w:t>
      </w:r>
      <w:r>
        <w:t>1 for the full text of the Article). This will be referred to as “damage to biodiversity” in this study. However, most of the literature dealing with financial security for LMOs primarily focuses on traditional damage that may result from, for example, comingling of LMOs with non-LMOs.</w:t>
      </w:r>
      <w:r w:rsidRPr="408A3C36">
        <w:rPr>
          <w:rStyle w:val="FootnoteReference"/>
        </w:rPr>
        <w:footnoteReference w:id="13"/>
      </w:r>
      <w:r>
        <w:t xml:space="preserve"> These examples will still be discussed because they help to illustrate the points being described and in light of the scarcity of literature addressing financial security for damage to biodiversity covered by the NKLSP, even though these examples may be less pertinent for the biodiversity damage covered by the NKLSP. Moreover, many of the examples covered in the literature deal with the use of LMOs in agriculture although the applications of LMOs are of course wider than their use as agricultural crops only. However, as most of the examples and discussions provided in the literature refer to agriculture, those are the examples that will most often be discussed. The reader should, however, be aware that the application of LMOs is broader than just in plants and agriculture and that the focus of the NKLSP is on damage to biodiversity.</w:t>
      </w:r>
    </w:p>
    <w:p w14:paraId="43B3811D" w14:textId="77777777" w:rsidR="006F45CF" w:rsidRDefault="006F45CF" w:rsidP="006F45CF"/>
    <w:p w14:paraId="586D17FD" w14:textId="77777777" w:rsidR="006F45CF" w:rsidRPr="00541277" w:rsidRDefault="006F45CF" w:rsidP="005042C4">
      <w:pPr>
        <w:pStyle w:val="Heading1"/>
        <w:keepLines/>
        <w:numPr>
          <w:ilvl w:val="0"/>
          <w:numId w:val="5"/>
        </w:numPr>
        <w:tabs>
          <w:tab w:val="clear" w:pos="720"/>
        </w:tabs>
        <w:spacing w:after="0" w:line="259" w:lineRule="auto"/>
        <w:jc w:val="both"/>
        <w:rPr>
          <w:color w:val="548DD4" w:themeColor="text2" w:themeTint="99"/>
          <w:sz w:val="24"/>
          <w:szCs w:val="28"/>
        </w:rPr>
      </w:pPr>
      <w:bookmarkStart w:id="16" w:name="_Toc82176402"/>
      <w:r w:rsidRPr="00541277">
        <w:rPr>
          <w:color w:val="548DD4" w:themeColor="text2" w:themeTint="99"/>
          <w:sz w:val="24"/>
          <w:szCs w:val="28"/>
        </w:rPr>
        <w:t>The risks to be covered</w:t>
      </w:r>
      <w:bookmarkEnd w:id="16"/>
    </w:p>
    <w:p w14:paraId="6C3E38AC" w14:textId="77777777" w:rsidR="006F45CF" w:rsidRPr="00C64B17" w:rsidRDefault="006F45CF" w:rsidP="00961A1A">
      <w:pPr>
        <w:pStyle w:val="Heading2"/>
        <w:jc w:val="left"/>
        <w:rPr>
          <w:sz w:val="24"/>
          <w:szCs w:val="28"/>
        </w:rPr>
      </w:pPr>
      <w:bookmarkStart w:id="17" w:name="_Toc82176403"/>
      <w:r w:rsidRPr="00C64B17">
        <w:rPr>
          <w:sz w:val="24"/>
          <w:szCs w:val="28"/>
        </w:rPr>
        <w:t>2.1 Goal</w:t>
      </w:r>
      <w:bookmarkEnd w:id="17"/>
    </w:p>
    <w:p w14:paraId="6BB98FCA" w14:textId="2AD57B82" w:rsidR="006F45CF" w:rsidRDefault="006F45CF" w:rsidP="00961A1A">
      <w:r>
        <w:t xml:space="preserve">This section aims at explaining in simple terms what financial security is and what purpose(s) it serves and introduces </w:t>
      </w:r>
      <w:proofErr w:type="gramStart"/>
      <w:r>
        <w:t>a number of</w:t>
      </w:r>
      <w:proofErr w:type="gramEnd"/>
      <w:r>
        <w:t xml:space="preserve"> related terms and concepts.</w:t>
      </w:r>
    </w:p>
    <w:p w14:paraId="48CE3B82" w14:textId="77777777" w:rsidR="006F45CF" w:rsidRPr="00C64B17" w:rsidRDefault="006F45CF" w:rsidP="00961A1A">
      <w:pPr>
        <w:pStyle w:val="Heading2"/>
        <w:jc w:val="left"/>
        <w:rPr>
          <w:sz w:val="24"/>
          <w:szCs w:val="28"/>
        </w:rPr>
      </w:pPr>
      <w:bookmarkStart w:id="18" w:name="_Toc82176404"/>
      <w:r w:rsidRPr="00C64B17">
        <w:rPr>
          <w:sz w:val="24"/>
          <w:szCs w:val="28"/>
        </w:rPr>
        <w:t>2.2 Reasons for financial security</w:t>
      </w:r>
      <w:r w:rsidRPr="00C64B17">
        <w:rPr>
          <w:rStyle w:val="FootnoteReference"/>
          <w:sz w:val="24"/>
          <w:szCs w:val="28"/>
        </w:rPr>
        <w:footnoteReference w:id="14"/>
      </w:r>
      <w:bookmarkEnd w:id="18"/>
    </w:p>
    <w:p w14:paraId="2ACDBF46" w14:textId="5AEFE87E" w:rsidR="006F45CF" w:rsidRDefault="006F45CF" w:rsidP="00961A1A">
      <w:r>
        <w:t xml:space="preserve">Financial security </w:t>
      </w:r>
      <w:proofErr w:type="gramStart"/>
      <w:r>
        <w:t>can be seen as</w:t>
      </w:r>
      <w:proofErr w:type="gramEnd"/>
      <w:r>
        <w:t xml:space="preserve"> a mechanism to protect against risk. Risk can be expressed as the probability (likelihood) that an event which causes a particular damage might occur.</w:t>
      </w:r>
      <w:r>
        <w:rPr>
          <w:rStyle w:val="FootnoteReference"/>
        </w:rPr>
        <w:footnoteReference w:id="15"/>
      </w:r>
      <w:r>
        <w:t xml:space="preserve"> There may be various reasons why there would be a demand for financial security to deal with risk. The first reason is risk aversion. Individuals often have an aversion against risks with a potential high magnitude of damage, especially when that damage could endanger their entire wealth. Given the limited assets of most individuals, a majority of the population is averse against risks and may seek financial security (for example </w:t>
      </w:r>
      <w:r>
        <w:lastRenderedPageBreak/>
        <w:t>insurance) to be protected from risk.</w:t>
      </w:r>
      <w:r>
        <w:rPr>
          <w:rStyle w:val="FootnoteReference"/>
        </w:rPr>
        <w:footnoteReference w:id="16"/>
      </w:r>
      <w:r>
        <w:t xml:space="preserve"> </w:t>
      </w:r>
      <w:r w:rsidRPr="003A5695">
        <w:t>The risk aversion is therefore strongly dependent upon the scale of the expected damage in relation to one’s own wealth.</w:t>
      </w:r>
    </w:p>
    <w:p w14:paraId="40B70171" w14:textId="77777777" w:rsidR="00961A1A" w:rsidRDefault="00961A1A" w:rsidP="006F45CF"/>
    <w:p w14:paraId="322F9A20" w14:textId="77777777" w:rsidR="006F45CF" w:rsidRDefault="006F45CF" w:rsidP="00961A1A">
      <w:r>
        <w:t>A second reason for financial security is that in case of insolvency, operators may not be able to cover their potential liability exposure as a so-called “judgment proof-problem”</w:t>
      </w:r>
      <w:r>
        <w:rPr>
          <w:rStyle w:val="FootnoteReference"/>
        </w:rPr>
        <w:footnoteReference w:id="17"/>
      </w:r>
      <w:r>
        <w:t xml:space="preserve"> would arise. The potential insolvency of an operator is problematic from two perspectives: first, it would imply that the remedies related to liability and redress cannot be executed (restoration cannot take place or victims will not be compensated); second, when an operator is insolvent, the preventive effect of liability rules will equally fail. More specifically, the duty imposed on the operator to compensate the damage caused can provide an incentive for prevention but when the operator is insolvent and would not be able to meet its financial obligations, the operator would lack the incentive to prevent the damage. For those reasons, the legislator can impose an obligation to seek financial security on the operator when there is a danger of insolvency.</w:t>
      </w:r>
      <w:r>
        <w:rPr>
          <w:rStyle w:val="FootnoteReference"/>
        </w:rPr>
        <w:footnoteReference w:id="18"/>
      </w:r>
      <w:r>
        <w:t xml:space="preserve"> Financial security is thus important 1) to guarantee victim compensation and 2) to provide incentives for prevention to the operator.</w:t>
      </w:r>
    </w:p>
    <w:p w14:paraId="67389238" w14:textId="77777777" w:rsidR="006F45CF" w:rsidRDefault="006F45CF" w:rsidP="006F45CF"/>
    <w:p w14:paraId="004E4AF6" w14:textId="77777777" w:rsidR="006F45CF" w:rsidRPr="00C64B17" w:rsidRDefault="006F45CF" w:rsidP="00961A1A">
      <w:pPr>
        <w:pStyle w:val="Heading2"/>
        <w:jc w:val="left"/>
        <w:rPr>
          <w:sz w:val="24"/>
          <w:szCs w:val="28"/>
        </w:rPr>
      </w:pPr>
      <w:bookmarkStart w:id="19" w:name="_Toc82176405"/>
      <w:r w:rsidRPr="00C64B17">
        <w:rPr>
          <w:sz w:val="24"/>
          <w:szCs w:val="28"/>
        </w:rPr>
        <w:t>2.3 Liability and redress</w:t>
      </w:r>
      <w:bookmarkEnd w:id="19"/>
    </w:p>
    <w:p w14:paraId="569E5FF6" w14:textId="0B54DFCA" w:rsidR="006F45CF" w:rsidRDefault="006F45CF" w:rsidP="006F45CF">
      <w:r>
        <w:t xml:space="preserve">The risk in the </w:t>
      </w:r>
      <w:proofErr w:type="gramStart"/>
      <w:r>
        <w:t>particular case</w:t>
      </w:r>
      <w:proofErr w:type="gramEnd"/>
      <w:r>
        <w:t xml:space="preserve"> of the duties under the NKLSP relates to the specific obligations of operators of the LMO. </w:t>
      </w:r>
      <w:r w:rsidRPr="39F01607">
        <w:rPr>
          <w:rFonts w:eastAsia="Segoe UI"/>
        </w:rPr>
        <w:t>The obligations of operators arise primarily under Article 5 of the NKLSP, related to response measures. They may also arise under Article 12, related to civil liability, depending on domestic legal frameworks, as set out below.</w:t>
      </w:r>
      <w:r w:rsidRPr="39F01607">
        <w:t xml:space="preserve"> </w:t>
      </w:r>
    </w:p>
    <w:p w14:paraId="521A072C" w14:textId="77777777" w:rsidR="00961A1A" w:rsidRDefault="00961A1A" w:rsidP="006F45CF"/>
    <w:p w14:paraId="3BD92E19" w14:textId="77777777" w:rsidR="00961A1A" w:rsidRDefault="006F45CF" w:rsidP="006F45CF">
      <w:proofErr w:type="gramStart"/>
      <w:r>
        <w:t>With regard to</w:t>
      </w:r>
      <w:proofErr w:type="gramEnd"/>
      <w:r>
        <w:t xml:space="preserve"> response measures, in general terms, t</w:t>
      </w:r>
      <w:r w:rsidRPr="39F01607">
        <w:t>he</w:t>
      </w:r>
      <w:r w:rsidRPr="005D447A">
        <w:t xml:space="preserve"> </w:t>
      </w:r>
      <w:r>
        <w:t>NKLSP obliges Parties to impose responsibilities on an operator to evaluate damage and take response measures. These response measures are defined in Article 2(2)(d)(ii) and can lead to costs for which the operator may seek financial security.</w:t>
      </w:r>
    </w:p>
    <w:p w14:paraId="14D43ABC" w14:textId="4B920511" w:rsidR="006F45CF" w:rsidRDefault="006F45CF" w:rsidP="006F45CF">
      <w:r>
        <w:t xml:space="preserve"> </w:t>
      </w:r>
    </w:p>
    <w:p w14:paraId="2CDE0268" w14:textId="77777777" w:rsidR="006F45CF" w:rsidRDefault="006F45CF" w:rsidP="006F45CF">
      <w:r>
        <w:t>In addition to the obligations arising under Article 5 of the NKLSP, obligations may arise from civil liability rules and procedures under domestic law in accordance with Article 12 of the NKLSP.</w:t>
      </w:r>
      <w:r>
        <w:rPr>
          <w:rStyle w:val="FootnoteReference"/>
        </w:rPr>
        <w:footnoteReference w:id="19"/>
      </w:r>
      <w:r>
        <w:t xml:space="preserve"> Article 12 establishes a right for Parties to address damage resulting from LMOs through civil liability rules and procedures. Civil liability for material or personal damage is only covered by the NKLSP to the extent that it is associated with biodiversity damage as defined in Article 2(2)(b).</w:t>
      </w:r>
      <w:r w:rsidRPr="408A3C36">
        <w:rPr>
          <w:rStyle w:val="FootnoteReference"/>
        </w:rPr>
        <w:footnoteReference w:id="20"/>
      </w:r>
      <w:r>
        <w:t xml:space="preserve"> The specific contents of the liability provision will depend upon the way in which domestic law has implemented the various aspects of Article 12.</w:t>
      </w:r>
      <w:r>
        <w:rPr>
          <w:rStyle w:val="FootnoteReference"/>
        </w:rPr>
        <w:footnoteReference w:id="21"/>
      </w:r>
      <w:r>
        <w:t xml:space="preserve"> A market demand for financial security can therefore also emerge to cover the risk of liability under domestic law in the implementation of Article 12.</w:t>
      </w:r>
    </w:p>
    <w:p w14:paraId="5C0F2DE4" w14:textId="77777777" w:rsidR="006F45CF" w:rsidRDefault="006F45CF" w:rsidP="006F45CF"/>
    <w:p w14:paraId="4D606310" w14:textId="77777777" w:rsidR="006F45CF" w:rsidRPr="00C64B17" w:rsidRDefault="006F45CF" w:rsidP="00961A1A">
      <w:pPr>
        <w:pStyle w:val="Heading2"/>
        <w:jc w:val="left"/>
        <w:rPr>
          <w:sz w:val="24"/>
          <w:szCs w:val="28"/>
        </w:rPr>
      </w:pPr>
      <w:bookmarkStart w:id="20" w:name="_Toc82176406"/>
      <w:r w:rsidRPr="00C64B17">
        <w:rPr>
          <w:sz w:val="24"/>
          <w:szCs w:val="28"/>
        </w:rPr>
        <w:t xml:space="preserve">2.4 Damage versus liability: </w:t>
      </w:r>
      <w:proofErr w:type="gramStart"/>
      <w:r w:rsidRPr="00C64B17">
        <w:rPr>
          <w:sz w:val="24"/>
          <w:szCs w:val="28"/>
        </w:rPr>
        <w:t>first and third party</w:t>
      </w:r>
      <w:proofErr w:type="gramEnd"/>
      <w:r w:rsidRPr="00C64B17">
        <w:rPr>
          <w:sz w:val="24"/>
          <w:szCs w:val="28"/>
        </w:rPr>
        <w:t xml:space="preserve"> cover</w:t>
      </w:r>
      <w:bookmarkEnd w:id="20"/>
    </w:p>
    <w:p w14:paraId="05C5317C" w14:textId="15CA5585" w:rsidR="006F45CF" w:rsidRDefault="006F45CF" w:rsidP="006F45CF">
      <w:r>
        <w:t xml:space="preserve">There are two fundamentally different ways of providing financial security: first party and third party (financial security). It is a distinction mostly made in the context of insurance, but applicable to other mechanisms as well. </w:t>
      </w:r>
    </w:p>
    <w:p w14:paraId="0E3F7A07" w14:textId="77777777" w:rsidR="00961A1A" w:rsidRDefault="00961A1A" w:rsidP="006F45CF"/>
    <w:p w14:paraId="79081F43" w14:textId="3439268D" w:rsidR="006F45CF" w:rsidRDefault="006F45CF" w:rsidP="006F45CF">
      <w:r>
        <w:lastRenderedPageBreak/>
        <w:t xml:space="preserve">First party financial security schemes provide cover to an individual (or firm) who is exposed to a particular risk whereby the potential victim seeks financial security for that particular risk. In this situation, the financial cover is directly provided to the person or entity exposed to the risk and </w:t>
      </w:r>
      <w:proofErr w:type="gramStart"/>
      <w:r>
        <w:t>as a consequence</w:t>
      </w:r>
      <w:proofErr w:type="gramEnd"/>
      <w:r>
        <w:t xml:space="preserve"> that entity will also pay (for example an insurance premium) for that financial security. </w:t>
      </w:r>
    </w:p>
    <w:p w14:paraId="0F88B80E" w14:textId="77777777" w:rsidR="00961A1A" w:rsidRDefault="00961A1A" w:rsidP="006F45CF"/>
    <w:p w14:paraId="47A4368A" w14:textId="0B09B9D8" w:rsidR="006F45CF" w:rsidRDefault="006F45CF" w:rsidP="006F45CF">
      <w:r>
        <w:t xml:space="preserve">Third party financial security schemes provide financial security to cover the risk that an operator may have to compensate the damage suffered by a third party </w:t>
      </w:r>
      <w:proofErr w:type="gramStart"/>
      <w:r>
        <w:t>on the basis of</w:t>
      </w:r>
      <w:proofErr w:type="gramEnd"/>
      <w:r>
        <w:t xml:space="preserve"> the liability of the operator. That is referred to as a third party cover as it is not the potential victim who directly seeks financial cover, but the financial cover is rather provided for the case that an operator will be liable to cover the damage suffered by a third party (the victim). A liability insurance is a typical example of </w:t>
      </w:r>
      <w:proofErr w:type="gramStart"/>
      <w:r>
        <w:t>third party</w:t>
      </w:r>
      <w:proofErr w:type="gramEnd"/>
      <w:r>
        <w:t xml:space="preserve"> cover. </w:t>
      </w:r>
    </w:p>
    <w:p w14:paraId="0F2B5542" w14:textId="77777777" w:rsidR="00961A1A" w:rsidRDefault="00961A1A" w:rsidP="006F45CF"/>
    <w:p w14:paraId="01CD26E0" w14:textId="0C728AE3" w:rsidR="006F45CF" w:rsidRDefault="006F45CF" w:rsidP="006F45CF">
      <w:r>
        <w:t>The difference between first party and third party cover is of importance as some claim that it is easier to provide first party cover than third party cover</w:t>
      </w:r>
      <w:r>
        <w:rPr>
          <w:rStyle w:val="FootnoteReference"/>
        </w:rPr>
        <w:footnoteReference w:id="22"/>
      </w:r>
      <w:r>
        <w:t xml:space="preserve"> and there are obvious distributional differences as well: in the case of first party cover it is the potential victim who pays for the financial security to cover the risk to which it is exposed; in the case of third party cover, it is the liable operator who pays for the financial security that will benefit the third party (victim). </w:t>
      </w:r>
    </w:p>
    <w:p w14:paraId="2146EC00" w14:textId="77777777" w:rsidR="00961A1A" w:rsidRDefault="00961A1A" w:rsidP="006F45CF"/>
    <w:p w14:paraId="36591194" w14:textId="38D8850E" w:rsidR="006F45CF" w:rsidRDefault="006F45CF" w:rsidP="006F45CF">
      <w:r>
        <w:t>In the context of LMOs, there could potentially be both first party as well as third party cover.</w:t>
      </w:r>
      <w:r>
        <w:rPr>
          <w:rStyle w:val="FootnoteReference"/>
        </w:rPr>
        <w:footnoteReference w:id="23"/>
      </w:r>
      <w:r>
        <w:t xml:space="preserve"> At the same time, however, as the NKLSP focuses primarily on damage to biodiversity, third party mechanisms may be more relevant for dealing with that type of damage. </w:t>
      </w:r>
    </w:p>
    <w:p w14:paraId="657547BF" w14:textId="77777777" w:rsidR="00961A1A" w:rsidRDefault="00961A1A" w:rsidP="006F45CF"/>
    <w:p w14:paraId="12042912" w14:textId="77777777" w:rsidR="006F45CF" w:rsidRDefault="006F45CF" w:rsidP="006F45CF">
      <w:r>
        <w:t>A challenge for this study arises in that most of the literature on financial security deals with comingling and the adventitious presence of LMOs in agriculture and associated property damage to farmers that may arise in these cases.</w:t>
      </w:r>
      <w:r>
        <w:rPr>
          <w:rStyle w:val="FootnoteReference"/>
        </w:rPr>
        <w:footnoteReference w:id="24"/>
      </w:r>
      <w:r>
        <w:t xml:space="preserve"> That explains why most of the literature dealing with financial security for LMOs discusses first party rather than third party mechanisms.</w:t>
      </w:r>
      <w:r>
        <w:rPr>
          <w:rStyle w:val="FootnoteReference"/>
        </w:rPr>
        <w:footnoteReference w:id="25"/>
      </w:r>
      <w:r>
        <w:t xml:space="preserve"> Again, as there is hardly any discussion of third party mechanisms for LMO-related damage, the literature discussing first party mechanisms will still be presented. However, the reader should be aware that for the damage to biodiversity (which is the focus of the NKLSP), third party mechanisms may be more important.</w:t>
      </w:r>
    </w:p>
    <w:p w14:paraId="44A85AE6" w14:textId="77777777" w:rsidR="006F45CF" w:rsidRDefault="006F45CF" w:rsidP="006F45CF"/>
    <w:p w14:paraId="09B40EB6" w14:textId="77777777" w:rsidR="006F45CF" w:rsidRPr="00C64B17" w:rsidRDefault="006F45CF" w:rsidP="00961A1A">
      <w:pPr>
        <w:pStyle w:val="Heading2"/>
        <w:jc w:val="left"/>
        <w:rPr>
          <w:sz w:val="24"/>
          <w:szCs w:val="28"/>
        </w:rPr>
      </w:pPr>
      <w:bookmarkStart w:id="21" w:name="_Toc82176407"/>
      <w:r w:rsidRPr="00C64B17">
        <w:rPr>
          <w:sz w:val="24"/>
          <w:szCs w:val="28"/>
        </w:rPr>
        <w:t>2.5 Potential damage and risk scenarios</w:t>
      </w:r>
      <w:bookmarkEnd w:id="21"/>
    </w:p>
    <w:p w14:paraId="5BA517D5" w14:textId="77777777" w:rsidR="006F45CF" w:rsidRDefault="006F45CF" w:rsidP="006F45CF">
      <w:r>
        <w:t xml:space="preserve">The NKLSP covers damage to biodiversity on the condition that it is measurable or observable </w:t>
      </w:r>
      <w:proofErr w:type="gramStart"/>
      <w:r>
        <w:t>taking into account</w:t>
      </w:r>
      <w:proofErr w:type="gramEnd"/>
      <w:r>
        <w:t xml:space="preserve"> available scientifically established baselines recognized by a competent authority.</w:t>
      </w:r>
      <w:r>
        <w:rPr>
          <w:rStyle w:val="FootnoteReference"/>
        </w:rPr>
        <w:footnoteReference w:id="26"/>
      </w:r>
      <w:r>
        <w:t xml:space="preserve"> The damage must, moreover, be significant. Article 2, paragraph 3, of the NKLSP provides criteria to determine whether a particular adverse effect is significant. The problem with seeking financial security for damage to biodiversity is that the damage could appear under a wide variety of different risk scenarios.</w:t>
      </w:r>
      <w:r>
        <w:rPr>
          <w:rStyle w:val="FootnoteReference"/>
        </w:rPr>
        <w:footnoteReference w:id="27"/>
      </w:r>
      <w:r>
        <w:t xml:space="preserve"> This can lead to two related issues with the provision of financial security: (1) because LMOs could cause damage under a wide variety of different risk scenarios, it is at present difficult to assess whether currently existing </w:t>
      </w:r>
      <w:r>
        <w:lastRenderedPageBreak/>
        <w:t>financial security mechanisms (for example, insurance) do provide cover for a specific type of damage to biodiversity caused by LMOs,</w:t>
      </w:r>
      <w:r>
        <w:rPr>
          <w:rStyle w:val="FootnoteReference"/>
        </w:rPr>
        <w:footnoteReference w:id="28"/>
      </w:r>
      <w:r>
        <w:t xml:space="preserve"> and; (2) the wide variety of possible risk scenarios may equally make it difficult to develop dedicated financial security in the future. </w:t>
      </w:r>
    </w:p>
    <w:p w14:paraId="67903DAA" w14:textId="77777777" w:rsidR="006F45CF" w:rsidRDefault="006F45CF" w:rsidP="006F45CF"/>
    <w:p w14:paraId="239A8331" w14:textId="77777777" w:rsidR="006F45CF" w:rsidRPr="00C64B17" w:rsidRDefault="006F45CF" w:rsidP="00961A1A">
      <w:pPr>
        <w:pStyle w:val="Heading2"/>
        <w:jc w:val="left"/>
        <w:rPr>
          <w:sz w:val="24"/>
          <w:szCs w:val="28"/>
        </w:rPr>
      </w:pPr>
      <w:bookmarkStart w:id="22" w:name="_Toc82176408"/>
      <w:r w:rsidRPr="00C64B17">
        <w:rPr>
          <w:sz w:val="24"/>
          <w:szCs w:val="28"/>
        </w:rPr>
        <w:t>2.6 Uncertainty</w:t>
      </w:r>
      <w:bookmarkEnd w:id="22"/>
    </w:p>
    <w:p w14:paraId="79A7BFDF" w14:textId="77777777" w:rsidR="006F45CF" w:rsidRDefault="006F45CF" w:rsidP="006F45CF">
      <w:r>
        <w:t>In the case of the potential damage related to LMOs, there may not only be a risk, but also uncertainty.</w:t>
      </w:r>
      <w:r>
        <w:rPr>
          <w:rStyle w:val="FootnoteReference"/>
        </w:rPr>
        <w:footnoteReference w:id="29"/>
      </w:r>
      <w:r>
        <w:t xml:space="preserve"> Risk indicates that there is a probability (for example 10, 30 or 50%) that an event leading to damage will occur.</w:t>
      </w:r>
      <w:r>
        <w:rPr>
          <w:rStyle w:val="FootnoteReference"/>
        </w:rPr>
        <w:footnoteReference w:id="30"/>
      </w:r>
      <w:r>
        <w:t xml:space="preserve"> There is a risk, but the probabilities are known. In case of uncertainty, the probabilities are simply unknown.</w:t>
      </w:r>
      <w:r>
        <w:rPr>
          <w:rStyle w:val="FootnoteReference"/>
        </w:rPr>
        <w:footnoteReference w:id="31"/>
      </w:r>
      <w:r>
        <w:t xml:space="preserve"> The uncertainty does not only relate to the probability that harm will occur, but also to the potential magnitude or scale of the damage. The uncertainty for financial security providers relates to two issues. There is in the </w:t>
      </w:r>
      <w:proofErr w:type="gramStart"/>
      <w:r>
        <w:t>first place</w:t>
      </w:r>
      <w:proofErr w:type="gramEnd"/>
      <w:r>
        <w:t xml:space="preserve"> uncertainty concerning the potential impacts of LMOs on the conservation of sustainable use of biodiversity. Second, there is uncertainty concerning civil liability regimes as they relate to LMOs as these regimes depend upon implementation in domestic law.</w:t>
      </w:r>
      <w:r>
        <w:rPr>
          <w:rStyle w:val="FootnoteReference"/>
        </w:rPr>
        <w:footnoteReference w:id="32"/>
      </w:r>
      <w:r>
        <w:t xml:space="preserve"> These issues make financial institutions reluctant to cover </w:t>
      </w:r>
      <w:r w:rsidRPr="006C6B6B">
        <w:t>LMO-related risks</w:t>
      </w:r>
      <w:r>
        <w:t>.</w:t>
      </w:r>
      <w:r>
        <w:rPr>
          <w:rStyle w:val="FootnoteReference"/>
        </w:rPr>
        <w:footnoteReference w:id="33"/>
      </w:r>
      <w:r>
        <w:t xml:space="preserve"> These uncertainties were equally largely recognized during the process leading to the NKLSP. A 2003 conference report on biotechnology by </w:t>
      </w:r>
      <w:r w:rsidRPr="008961B9">
        <w:t>Swiss Re mentions</w:t>
      </w:r>
      <w:r>
        <w:t xml:space="preserve"> that the risk posed by GM crops are estimated to be very low, but that there remains uncertainty with regard to the impact of such crops on wildlife, among other things.</w:t>
      </w:r>
      <w:r>
        <w:rPr>
          <w:rStyle w:val="FootnoteReference"/>
        </w:rPr>
        <w:footnoteReference w:id="34"/>
      </w:r>
      <w:r>
        <w:t xml:space="preserve"> Notwithstanding the estimated low probability, the insurers are still reluctant to cover </w:t>
      </w:r>
      <w:r w:rsidRPr="00331F8F">
        <w:t>LMO-related risks</w:t>
      </w:r>
      <w:r>
        <w:t>.</w:t>
      </w:r>
      <w:r w:rsidRPr="005E7EEA">
        <w:rPr>
          <w:rStyle w:val="FootnoteReference"/>
        </w:rPr>
        <w:footnoteReference w:id="35"/>
      </w:r>
      <w:r>
        <w:t xml:space="preserve"> A key reason is that even with a low probability there is uncertainty with respect to the magnitude of the potential damage, which </w:t>
      </w:r>
      <w:r w:rsidRPr="00F44896">
        <w:t xml:space="preserve">makes it challenging to </w:t>
      </w:r>
      <w:r>
        <w:t>do the calculations necessary for determining the premiums. Uncertainty and complexity may change in view of the rapid evolution of biotechnologies.</w:t>
      </w:r>
    </w:p>
    <w:p w14:paraId="3378BC62" w14:textId="77777777" w:rsidR="006F45CF" w:rsidRDefault="006F45CF" w:rsidP="006F45CF"/>
    <w:p w14:paraId="39DFC482" w14:textId="77777777" w:rsidR="006F45CF" w:rsidRPr="00C64B17" w:rsidRDefault="006F45CF" w:rsidP="00961A1A">
      <w:pPr>
        <w:pStyle w:val="Heading2"/>
        <w:jc w:val="left"/>
        <w:rPr>
          <w:sz w:val="24"/>
          <w:szCs w:val="28"/>
        </w:rPr>
      </w:pPr>
      <w:bookmarkStart w:id="23" w:name="_Toc82176409"/>
      <w:r w:rsidRPr="00C64B17">
        <w:rPr>
          <w:sz w:val="24"/>
          <w:szCs w:val="28"/>
        </w:rPr>
        <w:t>2.7 Transboundary scope</w:t>
      </w:r>
      <w:bookmarkEnd w:id="23"/>
    </w:p>
    <w:p w14:paraId="58827EF3" w14:textId="77777777" w:rsidR="006F45CF" w:rsidRPr="005D447A" w:rsidRDefault="006F45CF" w:rsidP="006F45CF">
      <w:r w:rsidRPr="39F01607">
        <w:t xml:space="preserve">The NKLSP applies to damage </w:t>
      </w:r>
      <w:r>
        <w:t xml:space="preserve">to </w:t>
      </w:r>
      <w:r w:rsidRPr="39F01607">
        <w:t>biological diversity resulting from LMOs that find their origin in</w:t>
      </w:r>
      <w:r w:rsidRPr="408A3C36">
        <w:t xml:space="preserve"> a</w:t>
      </w:r>
      <w:r w:rsidRPr="39F01607">
        <w:t xml:space="preserve"> transboundary movement.</w:t>
      </w:r>
      <w:r w:rsidRPr="39F01607">
        <w:rPr>
          <w:rStyle w:val="FootnoteReference"/>
        </w:rPr>
        <w:footnoteReference w:id="36"/>
      </w:r>
      <w:r w:rsidRPr="39F01607">
        <w:t xml:space="preserve"> </w:t>
      </w:r>
      <w:r w:rsidRPr="39F01607">
        <w:rPr>
          <w:rFonts w:eastAsia="Segoe UI"/>
        </w:rPr>
        <w:t>The financial security mechanisms presented in this study were selected based on their suitability in that context.</w:t>
      </w:r>
      <w:r w:rsidRPr="39F01607">
        <w:rPr>
          <w:rStyle w:val="FootnoteReference"/>
        </w:rPr>
        <w:footnoteReference w:id="37"/>
      </w:r>
    </w:p>
    <w:p w14:paraId="214D144F" w14:textId="77777777" w:rsidR="006F45CF" w:rsidRDefault="006F45CF" w:rsidP="006F45CF"/>
    <w:p w14:paraId="2510E0FC" w14:textId="77777777" w:rsidR="006F45CF" w:rsidRPr="00C64B17" w:rsidRDefault="006F45CF" w:rsidP="00961A1A">
      <w:pPr>
        <w:pStyle w:val="Heading2"/>
        <w:jc w:val="left"/>
        <w:rPr>
          <w:sz w:val="24"/>
          <w:szCs w:val="28"/>
        </w:rPr>
      </w:pPr>
      <w:bookmarkStart w:id="24" w:name="_Toc82176410"/>
      <w:r w:rsidRPr="00C64B17">
        <w:rPr>
          <w:sz w:val="24"/>
          <w:szCs w:val="28"/>
        </w:rPr>
        <w:t>2.8 Various stakeholders</w:t>
      </w:r>
      <w:bookmarkEnd w:id="24"/>
    </w:p>
    <w:p w14:paraId="1393E590" w14:textId="77777777" w:rsidR="006F45CF" w:rsidRDefault="006F45CF" w:rsidP="006F45CF">
      <w:r>
        <w:t xml:space="preserve">The potential risks to which </w:t>
      </w:r>
      <w:proofErr w:type="gramStart"/>
      <w:r>
        <w:t>particular actors</w:t>
      </w:r>
      <w:proofErr w:type="gramEnd"/>
      <w:r>
        <w:t xml:space="preserve"> are exposed may differ, depending to some extent on their specific position in the supply chain of LMOs. Consequently, the demand for or obligation to obtain financial security of these actors may differ. Developers of LMOs, producers, exporters, importers and distributors may face different exposure to liability and a different type of financial security mechanism </w:t>
      </w:r>
      <w:r>
        <w:lastRenderedPageBreak/>
        <w:t>may be suitable</w:t>
      </w:r>
      <w:r w:rsidRPr="00E139DF">
        <w:t xml:space="preserve"> </w:t>
      </w:r>
      <w:r>
        <w:t>for each operator.</w:t>
      </w:r>
      <w:r>
        <w:rPr>
          <w:rStyle w:val="FootnoteReference"/>
        </w:rPr>
        <w:footnoteReference w:id="38"/>
      </w:r>
      <w:r>
        <w:t xml:space="preserve"> Parties have discretion to decide who is the operator liable according to domestic law. As the determination of the “operator” is at the discretion of the competent authority, the operator could be anyone from a large commercial producer or distributor to a small farmer. In order to offer financial security that is suited to each of these actors, the financial security mechanisms should be sufficiently flexible and diverse.</w:t>
      </w:r>
      <w:r>
        <w:rPr>
          <w:rStyle w:val="FootnoteReference"/>
        </w:rPr>
        <w:footnoteReference w:id="39"/>
      </w:r>
      <w:r>
        <w:t xml:space="preserve"> For now, it suffices to state that the market demand for financial security may well depend upon the particular position of the actor within the LMO supply chain and the corresponding exposure to risk.</w:t>
      </w:r>
    </w:p>
    <w:p w14:paraId="2BDA79C4" w14:textId="77777777" w:rsidR="006F45CF" w:rsidRDefault="006F45CF" w:rsidP="006F45CF"/>
    <w:p w14:paraId="777E0D5F" w14:textId="77777777" w:rsidR="006F45CF" w:rsidRPr="00541277" w:rsidRDefault="006F45CF" w:rsidP="005042C4">
      <w:pPr>
        <w:pStyle w:val="Heading1"/>
        <w:keepLines/>
        <w:numPr>
          <w:ilvl w:val="0"/>
          <w:numId w:val="5"/>
        </w:numPr>
        <w:tabs>
          <w:tab w:val="clear" w:pos="720"/>
        </w:tabs>
        <w:spacing w:after="0" w:line="259" w:lineRule="auto"/>
        <w:jc w:val="both"/>
        <w:rPr>
          <w:color w:val="548DD4" w:themeColor="text2" w:themeTint="99"/>
          <w:sz w:val="24"/>
          <w:szCs w:val="28"/>
        </w:rPr>
      </w:pPr>
      <w:bookmarkStart w:id="25" w:name="_Toc82176411"/>
      <w:r w:rsidRPr="00541277">
        <w:rPr>
          <w:color w:val="548DD4" w:themeColor="text2" w:themeTint="99"/>
          <w:sz w:val="24"/>
          <w:szCs w:val="28"/>
        </w:rPr>
        <w:t>Financial security mechanisms</w:t>
      </w:r>
      <w:bookmarkEnd w:id="25"/>
    </w:p>
    <w:p w14:paraId="39D3E60E" w14:textId="77777777" w:rsidR="006F45CF" w:rsidRPr="00C64B17" w:rsidRDefault="006F45CF" w:rsidP="00961A1A">
      <w:pPr>
        <w:pStyle w:val="Heading2"/>
        <w:jc w:val="left"/>
        <w:rPr>
          <w:sz w:val="24"/>
          <w:szCs w:val="28"/>
        </w:rPr>
      </w:pPr>
      <w:bookmarkStart w:id="26" w:name="_Toc82176412"/>
      <w:r w:rsidRPr="00C64B17">
        <w:rPr>
          <w:sz w:val="24"/>
          <w:szCs w:val="28"/>
        </w:rPr>
        <w:t>3.1 Introduction</w:t>
      </w:r>
      <w:bookmarkEnd w:id="26"/>
    </w:p>
    <w:p w14:paraId="112D7A56" w14:textId="77777777" w:rsidR="006F45CF" w:rsidRDefault="006F45CF" w:rsidP="006F45CF">
      <w:r>
        <w:t>This section describes the modalities of several financial security mechanisms, providing for each: (</w:t>
      </w:r>
      <w:proofErr w:type="spellStart"/>
      <w:r>
        <w:t>i</w:t>
      </w:r>
      <w:proofErr w:type="spellEnd"/>
      <w:r>
        <w:t xml:space="preserve">) a description of the mechanism; (ii) the conditions that must be fulfilled for the mechanism to work; (iii) examples, where available, of the existence of the mechanism for damage from LMOs and environmental damage; (iv) an analysis of the suitability of the mechanism to provide adequate compensation and incentives for prevention and (v) the potential role of the government and other stakeholders in creating an enabling environment for the particular mechanism. Many financial security mechanisms exist or could theoretically be devised. This study focuses on a selection of more widely explored and practical financial security mechanisms, while also giving some consideration to alternative financial security mechanisms. </w:t>
      </w:r>
    </w:p>
    <w:p w14:paraId="18BAE127" w14:textId="5F4E462C" w:rsidR="006F45CF" w:rsidRDefault="006F45CF" w:rsidP="006F45CF">
      <w:r>
        <w:t>This study will focus on the following mechanisms that will be reviewed in more detail:</w:t>
      </w:r>
    </w:p>
    <w:p w14:paraId="58E6F361" w14:textId="77777777" w:rsidR="00961A1A" w:rsidRDefault="00961A1A" w:rsidP="006F45CF"/>
    <w:p w14:paraId="545C5994" w14:textId="77777777" w:rsidR="006F45CF" w:rsidRDefault="006F45CF" w:rsidP="005042C4">
      <w:pPr>
        <w:pStyle w:val="ListParagraph"/>
        <w:numPr>
          <w:ilvl w:val="0"/>
          <w:numId w:val="7"/>
        </w:numPr>
        <w:spacing w:after="160" w:line="259" w:lineRule="auto"/>
      </w:pPr>
      <w:r>
        <w:t>(re)insurance;</w:t>
      </w:r>
    </w:p>
    <w:p w14:paraId="75E55662" w14:textId="77777777" w:rsidR="006F45CF" w:rsidRDefault="006F45CF" w:rsidP="005042C4">
      <w:pPr>
        <w:pStyle w:val="ListParagraph"/>
        <w:numPr>
          <w:ilvl w:val="0"/>
          <w:numId w:val="7"/>
        </w:numPr>
        <w:spacing w:after="160" w:line="259" w:lineRule="auto"/>
      </w:pPr>
      <w:r>
        <w:t>self-insurance;</w:t>
      </w:r>
    </w:p>
    <w:p w14:paraId="7A2FE2B6" w14:textId="77777777" w:rsidR="006F45CF" w:rsidRDefault="006F45CF" w:rsidP="005042C4">
      <w:pPr>
        <w:pStyle w:val="ListParagraph"/>
        <w:numPr>
          <w:ilvl w:val="0"/>
          <w:numId w:val="7"/>
        </w:numPr>
        <w:spacing w:after="160" w:line="259" w:lineRule="auto"/>
      </w:pPr>
      <w:r>
        <w:t>risk-pooling;</w:t>
      </w:r>
    </w:p>
    <w:p w14:paraId="1A195CBA" w14:textId="77777777" w:rsidR="006F45CF" w:rsidRDefault="006F45CF" w:rsidP="005042C4">
      <w:pPr>
        <w:pStyle w:val="ListParagraph"/>
        <w:numPr>
          <w:ilvl w:val="0"/>
          <w:numId w:val="7"/>
        </w:numPr>
        <w:spacing w:after="160" w:line="259" w:lineRule="auto"/>
      </w:pPr>
      <w:r>
        <w:t>funds.</w:t>
      </w:r>
    </w:p>
    <w:p w14:paraId="5A0701BE" w14:textId="77777777" w:rsidR="006F45CF" w:rsidRDefault="006F45CF" w:rsidP="006F45CF">
      <w:r>
        <w:t>For each financial security mechanism, the appropriate entities that could provide the financial security will also be identified.</w:t>
      </w:r>
      <w:r>
        <w:rPr>
          <w:rStyle w:val="FootnoteReference"/>
        </w:rPr>
        <w:footnoteReference w:id="40"/>
      </w:r>
      <w:r>
        <w:t xml:space="preserve"> </w:t>
      </w:r>
      <w:r w:rsidRPr="00257329">
        <w:t>Section 3.6</w:t>
      </w:r>
      <w:r>
        <w:t xml:space="preserve"> will briefly discuss a few other financial security mechanisms that are considered less suitable for covering </w:t>
      </w:r>
      <w:r w:rsidRPr="00C13B74">
        <w:t>LMO-related damage</w:t>
      </w:r>
      <w:r>
        <w:t>.</w:t>
      </w:r>
    </w:p>
    <w:p w14:paraId="59DABC60" w14:textId="77777777" w:rsidR="006F45CF" w:rsidRDefault="006F45CF" w:rsidP="006F45CF"/>
    <w:p w14:paraId="37798D5C" w14:textId="77777777" w:rsidR="006F45CF" w:rsidRPr="00C64B17" w:rsidRDefault="006F45CF" w:rsidP="00961A1A">
      <w:pPr>
        <w:pStyle w:val="Heading2"/>
        <w:jc w:val="left"/>
        <w:rPr>
          <w:sz w:val="24"/>
          <w:szCs w:val="28"/>
        </w:rPr>
      </w:pPr>
      <w:bookmarkStart w:id="27" w:name="_Toc82176413"/>
      <w:r w:rsidRPr="00C64B17">
        <w:rPr>
          <w:sz w:val="24"/>
          <w:szCs w:val="28"/>
        </w:rPr>
        <w:t>3.2 Insurance and Reinsurance</w:t>
      </w:r>
      <w:bookmarkEnd w:id="27"/>
    </w:p>
    <w:p w14:paraId="21900602" w14:textId="2D4337A5" w:rsidR="00961A1A" w:rsidRPr="007130F6" w:rsidRDefault="006F45CF" w:rsidP="00C64B17">
      <w:pPr>
        <w:spacing w:before="120" w:after="120"/>
        <w:rPr>
          <w:b/>
        </w:rPr>
      </w:pPr>
      <w:r>
        <w:rPr>
          <w:b/>
        </w:rPr>
        <w:t>3.2.1 Description</w:t>
      </w:r>
    </w:p>
    <w:p w14:paraId="66C6A4C7" w14:textId="60F0A2D7" w:rsidR="006F45CF" w:rsidRDefault="006F45CF" w:rsidP="006F45CF">
      <w:r>
        <w:t xml:space="preserve">Insurance in its most simple form is a mechanism whereby a particular risk is shifted by the party exposed to that risk (the insured) to another entity (the insurance company). </w:t>
      </w:r>
      <w:r w:rsidRPr="00E765C4">
        <w:t xml:space="preserve">The reason an insurance company can take over the risk is the law of the large numbers: because </w:t>
      </w:r>
      <w:proofErr w:type="gramStart"/>
      <w:r w:rsidRPr="00E765C4">
        <w:t>a large number of</w:t>
      </w:r>
      <w:proofErr w:type="gramEnd"/>
      <w:r w:rsidRPr="00E765C4">
        <w:t xml:space="preserve"> individuals exposed to a similar risk can be pooled together in a risk pool, the insurer can spread the risk.</w:t>
      </w:r>
      <w:r w:rsidRPr="00E765C4">
        <w:rPr>
          <w:rStyle w:val="FootnoteReference"/>
        </w:rPr>
        <w:footnoteReference w:id="41"/>
      </w:r>
    </w:p>
    <w:p w14:paraId="0AA40247" w14:textId="77777777" w:rsidR="00961A1A" w:rsidRDefault="00961A1A" w:rsidP="006F45CF"/>
    <w:p w14:paraId="6DAC4BBE" w14:textId="08C567F9" w:rsidR="006F45CF" w:rsidRDefault="006F45CF" w:rsidP="006F45CF">
      <w:pPr>
        <w:pStyle w:val="ListParagraph"/>
        <w:ind w:left="0"/>
      </w:pPr>
      <w:r>
        <w:t xml:space="preserve">As explained in section 2.4 above, there is an important distinction between first party insurance (whereby the insured is covered for his own loss) and </w:t>
      </w:r>
      <w:proofErr w:type="gramStart"/>
      <w:r>
        <w:t>third party</w:t>
      </w:r>
      <w:proofErr w:type="gramEnd"/>
      <w:r>
        <w:t xml:space="preserve"> insurance (whereby damage inflicted by the insured on a third party is covered). First party insurances can therefore theoretically provide cover, for example, </w:t>
      </w:r>
      <w:r>
        <w:lastRenderedPageBreak/>
        <w:t>to farmers against consequences of risks such as natural disasters like hail or storms.</w:t>
      </w:r>
      <w:r>
        <w:rPr>
          <w:rStyle w:val="FootnoteReference"/>
        </w:rPr>
        <w:footnoteReference w:id="42"/>
      </w:r>
      <w:r>
        <w:t xml:space="preserve"> An example of a third party insurance would be a seed supplier (or developer) taking out insurance for potential liability towards third parties caused by LMOs.</w:t>
      </w:r>
      <w:r>
        <w:rPr>
          <w:rStyle w:val="FootnoteReference"/>
        </w:rPr>
        <w:footnoteReference w:id="43"/>
      </w:r>
    </w:p>
    <w:p w14:paraId="183268F1" w14:textId="77777777" w:rsidR="00961A1A" w:rsidRDefault="00961A1A" w:rsidP="006F45CF">
      <w:pPr>
        <w:pStyle w:val="ListParagraph"/>
        <w:ind w:left="0"/>
      </w:pPr>
    </w:p>
    <w:p w14:paraId="05E2B5FB" w14:textId="77777777" w:rsidR="006F45CF" w:rsidRPr="00A50D9D" w:rsidRDefault="006F45CF" w:rsidP="00961A1A">
      <w:pPr>
        <w:spacing w:after="120"/>
        <w:rPr>
          <w:b/>
        </w:rPr>
      </w:pPr>
      <w:r>
        <w:rPr>
          <w:b/>
        </w:rPr>
        <w:t xml:space="preserve">3.2.2 </w:t>
      </w:r>
      <w:r w:rsidRPr="00A50D9D">
        <w:rPr>
          <w:b/>
        </w:rPr>
        <w:t>Conditions</w:t>
      </w:r>
    </w:p>
    <w:p w14:paraId="656C1EB2" w14:textId="50F80E0C" w:rsidR="006F45CF" w:rsidRDefault="006F45CF" w:rsidP="006F45CF">
      <w:r>
        <w:t>Theoretically, many conditions need to be fulfilled for a particular risk to be insurable.</w:t>
      </w:r>
      <w:r>
        <w:rPr>
          <w:rStyle w:val="FootnoteReference"/>
        </w:rPr>
        <w:footnoteReference w:id="44"/>
      </w:r>
      <w:r>
        <w:t xml:space="preserve"> A crucial condition is that a sufficiently large amount of insured should be included in the pool. This is a consequence of the fact that insurance is based on the law of large numbers, as statistical predictability can only be created when a large enough insurance pool can be created in order to spread the risk. </w:t>
      </w:r>
      <w:proofErr w:type="gramStart"/>
      <w:r>
        <w:t>A large number of</w:t>
      </w:r>
      <w:proofErr w:type="gramEnd"/>
      <w:r>
        <w:t xml:space="preserve"> insured is, moreover, also necessary in order to collect the premium income needed to cover the damage. </w:t>
      </w:r>
    </w:p>
    <w:p w14:paraId="573FBB4C" w14:textId="77777777" w:rsidR="00961A1A" w:rsidRDefault="00961A1A" w:rsidP="006F45CF"/>
    <w:p w14:paraId="7FE27B8F" w14:textId="430143C0" w:rsidR="006F45CF" w:rsidRDefault="006F45CF" w:rsidP="006F45CF">
      <w:r>
        <w:t xml:space="preserve">Moreover, insurers need to have sufficient information to be able to calculate a premium. In most simple terms, the premium is the result of the multiplication of the probability and the potential compensation due. That constitutes what is called the actuarially fair premium. In order to determine the probability with known risks, the insurer relies on statistics. Statistics are usually derived from past damage and risk histories. When there is little or no information on the damage or the probability, insurers are unable to calculate an actuarially fair </w:t>
      </w:r>
      <w:proofErr w:type="gramStart"/>
      <w:r>
        <w:t>premium</w:t>
      </w:r>
      <w:proofErr w:type="gramEnd"/>
      <w:r>
        <w:t xml:space="preserve"> and this may lead to “</w:t>
      </w:r>
      <w:proofErr w:type="spellStart"/>
      <w:r>
        <w:t>uninsurability</w:t>
      </w:r>
      <w:proofErr w:type="spellEnd"/>
      <w:r>
        <w:t xml:space="preserve">”. In that case, to some extent modelling and risk assessment models could be used. However, insurers may have doubts when there is little information with respect to the probability </w:t>
      </w:r>
      <w:proofErr w:type="gramStart"/>
      <w:r>
        <w:t>and also</w:t>
      </w:r>
      <w:proofErr w:type="gramEnd"/>
      <w:r>
        <w:t xml:space="preserve"> uncertainty about the magnitude of the potential damage. It is a situation referred to as “insurer ambiguity”, which may lead an insurer to charge an additional risk premium.</w:t>
      </w:r>
      <w:r>
        <w:rPr>
          <w:rStyle w:val="FootnoteReference"/>
        </w:rPr>
        <w:footnoteReference w:id="45"/>
      </w:r>
      <w:r>
        <w:t xml:space="preserve"> In some cases, there may be a different perception of the risk between, for example, an operator seeking insurance coverage who considers the risk to be fairly low, versus the insurer who may have less information and as a result of insurer ambiguity, demands a relatively high premium. </w:t>
      </w:r>
    </w:p>
    <w:p w14:paraId="2291013B" w14:textId="77777777" w:rsidR="00961A1A" w:rsidRDefault="00961A1A" w:rsidP="006F45CF">
      <w:pPr>
        <w:rPr>
          <w:highlight w:val="yellow"/>
        </w:rPr>
      </w:pPr>
    </w:p>
    <w:p w14:paraId="2EAB288B" w14:textId="2FE8FE2A" w:rsidR="006F45CF" w:rsidRDefault="006F45CF" w:rsidP="006F45CF">
      <w:r>
        <w:t>Another prerequisite for insurability is that there should be a demand for insurance. As a result of a wide variety of problems such as, for example, lacking financial affordability (for example small farmers being unable to pay the premium for agricultural insurance), unawareness of the risk or psychological biases, such as an “it will not happen to me” attitude, such a demand may not emerge. For insurability it is thus essential that (</w:t>
      </w:r>
      <w:proofErr w:type="spellStart"/>
      <w:r>
        <w:t>i</w:t>
      </w:r>
      <w:proofErr w:type="spellEnd"/>
      <w:r>
        <w:t xml:space="preserve">) insurance premiums are affordable and (ii) insured persons are aware of the risk. When the demand for insurance for </w:t>
      </w:r>
      <w:r w:rsidRPr="00B17E62">
        <w:t>LMO-related risks</w:t>
      </w:r>
      <w:r>
        <w:t xml:space="preserve"> would be small, this could be a hurdle to insurability.</w:t>
      </w:r>
    </w:p>
    <w:p w14:paraId="186B60E9" w14:textId="77777777" w:rsidR="00961A1A" w:rsidRPr="005D447A" w:rsidRDefault="00961A1A" w:rsidP="006F45CF"/>
    <w:p w14:paraId="773F1F41" w14:textId="6A718157" w:rsidR="006F45CF" w:rsidRDefault="006F45CF" w:rsidP="006F45CF">
      <w:r>
        <w:t>Another condition of insurability is that the problems of adverse selection and moral hazard have to be addressed.</w:t>
      </w:r>
      <w:r>
        <w:rPr>
          <w:rStyle w:val="FootnoteReference"/>
        </w:rPr>
        <w:footnoteReference w:id="46"/>
      </w:r>
      <w:r>
        <w:t xml:space="preserve"> Adverse selection refers to the fact that insurance is always more </w:t>
      </w:r>
      <w:r w:rsidRPr="005D447A">
        <w:t xml:space="preserve">attractive for </w:t>
      </w:r>
      <w:r w:rsidRPr="00E765C4">
        <w:t xml:space="preserve">those who are exposed to </w:t>
      </w:r>
      <w:r w:rsidRPr="005D447A">
        <w:t>high</w:t>
      </w:r>
      <w:r w:rsidRPr="00E765C4">
        <w:t>er</w:t>
      </w:r>
      <w:r w:rsidRPr="005D447A">
        <w:t xml:space="preserve"> risks and who would therefore </w:t>
      </w:r>
      <w:r w:rsidRPr="00BC46A6">
        <w:t xml:space="preserve">be more in need of insurance. </w:t>
      </w:r>
      <w:r w:rsidRPr="005D447A">
        <w:t>If insurance would only attract those high ri</w:t>
      </w:r>
      <w:r w:rsidRPr="0020002E">
        <w:t>sks</w:t>
      </w:r>
      <w:r>
        <w:t>,</w:t>
      </w:r>
      <w:r w:rsidRPr="0020002E">
        <w:t xml:space="preserve"> </w:t>
      </w:r>
      <w:proofErr w:type="spellStart"/>
      <w:r w:rsidRPr="0020002E">
        <w:t>uninsurability</w:t>
      </w:r>
      <w:proofErr w:type="spellEnd"/>
      <w:r w:rsidRPr="0020002E">
        <w:t xml:space="preserve"> would arise.</w:t>
      </w:r>
      <w:r w:rsidRPr="005D447A">
        <w:rPr>
          <w:rStyle w:val="FootnoteReference"/>
        </w:rPr>
        <w:footnoteReference w:id="47"/>
      </w:r>
      <w:r w:rsidRPr="005D447A">
        <w:t xml:space="preserve"> Moral hazard refe</w:t>
      </w:r>
      <w:r>
        <w:t>rs to the tendency of fully insured individuals increasing the risks they take, as they are themselves no longer exposed to risk since this has been shifted to the insurer.</w:t>
      </w:r>
      <w:r>
        <w:rPr>
          <w:rStyle w:val="FootnoteReference"/>
        </w:rPr>
        <w:footnoteReference w:id="48"/>
      </w:r>
      <w:r>
        <w:t xml:space="preserve"> In order for a risk to be insurable, insurers need to ensure that their policies are sufficiently differentiated for risks. This practice would result in fully distinguishing between the various risk types so that lower risk is rewarded with a lower premium. This would allow insurers to remedy adverse selection. Insurers could also impose policy conditions, such as experience rating, to deal with </w:t>
      </w:r>
      <w:r>
        <w:lastRenderedPageBreak/>
        <w:t>moral hazard. Without the required differentiation and appropriate policy conditions, adverse selection and moral hazard could undermine the insurability.</w:t>
      </w:r>
      <w:r>
        <w:rPr>
          <w:rStyle w:val="FootnoteReference"/>
        </w:rPr>
        <w:footnoteReference w:id="49"/>
      </w:r>
      <w:r>
        <w:t xml:space="preserve"> Risk differentiation is easier with first party insurance policies than with third party insurance. The reason is that under first party, the insurer can exactly know the insured person and may thus have a better idea of the risk. This is in contrast to a </w:t>
      </w:r>
      <w:proofErr w:type="gramStart"/>
      <w:r>
        <w:t>third party</w:t>
      </w:r>
      <w:proofErr w:type="gramEnd"/>
      <w:r>
        <w:t xml:space="preserve"> situation, where a range of potential third parties could incur damage and there may thus be more </w:t>
      </w:r>
      <w:r w:rsidRPr="005D447A">
        <w:t>uncertainty.</w:t>
      </w:r>
      <w:r w:rsidRPr="005D447A">
        <w:rPr>
          <w:rStyle w:val="FootnoteReference"/>
        </w:rPr>
        <w:footnoteReference w:id="50"/>
      </w:r>
    </w:p>
    <w:p w14:paraId="1F7BD760" w14:textId="77777777" w:rsidR="00961A1A" w:rsidRDefault="00961A1A" w:rsidP="006F45CF"/>
    <w:p w14:paraId="4B9EFABF" w14:textId="6D023F82" w:rsidR="006F45CF" w:rsidRDefault="006F45CF" w:rsidP="006F45CF">
      <w:r>
        <w:t>For so-called catastrophic risks (low probability of very large damage), insurers would need to take special measures, such as pooling by insurers, co-insurance or re-insurance.</w:t>
      </w:r>
      <w:r>
        <w:rPr>
          <w:rStyle w:val="FootnoteReference"/>
        </w:rPr>
        <w:footnoteReference w:id="51"/>
      </w:r>
      <w:r>
        <w:t xml:space="preserve"> An important condition on the supply side is therefore that there is sufficient capacity to deal with the risk. Capacity refers to the need to have sufficient funds available to compensate the damage once an accident occurs. Especially for relatively new risks (like LMOs), there may be a relatively small number of insurers willing to offer sufficient cover at competitive prices.</w:t>
      </w:r>
      <w:r>
        <w:rPr>
          <w:rStyle w:val="FootnoteReference"/>
        </w:rPr>
        <w:footnoteReference w:id="52"/>
      </w:r>
      <w:r>
        <w:t xml:space="preserve"> Not only demand, but also sufficient supply is therefore a crucial condition of insurability.</w:t>
      </w:r>
    </w:p>
    <w:p w14:paraId="0A4B62EE" w14:textId="77777777" w:rsidR="00961A1A" w:rsidRDefault="00961A1A" w:rsidP="006F45CF"/>
    <w:p w14:paraId="2D064E39" w14:textId="77777777" w:rsidR="006F45CF" w:rsidRPr="009D647B" w:rsidRDefault="006F45CF" w:rsidP="00961A1A">
      <w:pPr>
        <w:spacing w:after="120"/>
      </w:pPr>
      <w:r w:rsidRPr="408A3C36">
        <w:rPr>
          <w:b/>
          <w:bCs/>
        </w:rPr>
        <w:t>3.2.3 Practice</w:t>
      </w:r>
    </w:p>
    <w:p w14:paraId="65F3BC91" w14:textId="41FB2E0D" w:rsidR="006F45CF" w:rsidRDefault="006F45CF" w:rsidP="006F45CF">
      <w:r>
        <w:t xml:space="preserve">There are diverging messages about the availability of insurance to cover </w:t>
      </w:r>
      <w:r w:rsidRPr="006A6EE6">
        <w:t>LMO-related damage</w:t>
      </w:r>
      <w:r>
        <w:t xml:space="preserve">. In a comparative overview, Koch held (in 2008) that neither first party nor third party cover for </w:t>
      </w:r>
      <w:r w:rsidRPr="005449C6">
        <w:t>LMO-related damage</w:t>
      </w:r>
      <w:r>
        <w:t xml:space="preserve"> would be available.</w:t>
      </w:r>
      <w:r>
        <w:rPr>
          <w:rStyle w:val="FootnoteReference"/>
        </w:rPr>
        <w:footnoteReference w:id="53"/>
      </w:r>
      <w:r>
        <w:t xml:space="preserve"> Other reports have also indicated that insurance companies in EU Member States would decline to insure against any damage caused by GMOs.</w:t>
      </w:r>
      <w:r>
        <w:rPr>
          <w:rStyle w:val="FootnoteReference"/>
        </w:rPr>
        <w:footnoteReference w:id="54"/>
      </w:r>
      <w:r>
        <w:t xml:space="preserve"> Examples of insurance policies excluding LMO-related damage are provided in </w:t>
      </w:r>
      <w:r w:rsidR="008D588E" w:rsidRPr="008D588E">
        <w:t>Appendix</w:t>
      </w:r>
      <w:r w:rsidRPr="008D588E">
        <w:t xml:space="preserve"> </w:t>
      </w:r>
      <w:r w:rsidR="008D588E">
        <w:t>2</w:t>
      </w:r>
      <w:r>
        <w:t xml:space="preserve">. </w:t>
      </w:r>
    </w:p>
    <w:p w14:paraId="45C46575" w14:textId="77777777" w:rsidR="00961A1A" w:rsidRDefault="00961A1A" w:rsidP="006F45CF"/>
    <w:p w14:paraId="5295FB0A" w14:textId="1A752268" w:rsidR="006F45CF" w:rsidRDefault="006F45CF" w:rsidP="006F45CF">
      <w:r>
        <w:t>Some more recent reports refer to particular insurances that would not explicitly exclude GMOs.</w:t>
      </w:r>
      <w:r>
        <w:rPr>
          <w:rStyle w:val="FootnoteReference"/>
        </w:rPr>
        <w:footnoteReference w:id="55"/>
      </w:r>
      <w:r>
        <w:t xml:space="preserve"> There are a few reports indicating that some insurers, jointly with operators and </w:t>
      </w:r>
      <w:proofErr w:type="gramStart"/>
      <w:r>
        <w:t>policy-makers</w:t>
      </w:r>
      <w:proofErr w:type="gramEnd"/>
      <w:r>
        <w:t xml:space="preserve">, try to develop insurance products that could, under particular conditions, cover </w:t>
      </w:r>
      <w:r w:rsidRPr="00A14015">
        <w:t>LMO-related damage</w:t>
      </w:r>
      <w:r>
        <w:t>. For example, in the US, an insurance for genetic damage to organic crops was proposed in a report of the department of agriculture’s advisory committee on biotechnology.</w:t>
      </w:r>
      <w:r>
        <w:rPr>
          <w:rStyle w:val="FootnoteReference"/>
        </w:rPr>
        <w:footnoteReference w:id="56"/>
      </w:r>
      <w:r>
        <w:t xml:space="preserve"> Another recent study conditionally proposes crop insurance policies that may respond to some potential </w:t>
      </w:r>
      <w:r w:rsidRPr="00C13B74">
        <w:t>LMO-related damage</w:t>
      </w:r>
      <w:r>
        <w:t>.</w:t>
      </w:r>
      <w:r>
        <w:rPr>
          <w:rStyle w:val="FootnoteReference"/>
        </w:rPr>
        <w:footnoteReference w:id="57"/>
      </w:r>
      <w:r>
        <w:t xml:space="preserve"> A farm insurance program in the US (2016) provides multiple coverage for a wide variety of property types, whereby the use of LMOs </w:t>
      </w:r>
      <w:r>
        <w:lastRenderedPageBreak/>
        <w:t>is not explicitly excluded.</w:t>
      </w:r>
      <w:r>
        <w:rPr>
          <w:rStyle w:val="FootnoteReference"/>
        </w:rPr>
        <w:footnoteReference w:id="58"/>
      </w:r>
      <w:r>
        <w:t xml:space="preserve"> A note of caution applies as these particular examples may be falling outside the type of damage as defined in the NKLSP. </w:t>
      </w:r>
    </w:p>
    <w:p w14:paraId="1AB5AEA6" w14:textId="77777777" w:rsidR="00961A1A" w:rsidRDefault="00961A1A" w:rsidP="006F45CF"/>
    <w:p w14:paraId="5ECC8BD8" w14:textId="46F9D8FE" w:rsidR="006F45CF" w:rsidRDefault="006F45CF" w:rsidP="006F45CF">
      <w:r>
        <w:t xml:space="preserve">Also a large reinsurer has developed the </w:t>
      </w:r>
      <w:r w:rsidRPr="408A3C36">
        <w:rPr>
          <w:i/>
          <w:iCs/>
        </w:rPr>
        <w:t>biodiversity and ecosystem services</w:t>
      </w:r>
      <w:r>
        <w:t xml:space="preserve"> (BES) index which could assist insurers in developing policies that cover damage to biodiversity.</w:t>
      </w:r>
      <w:r>
        <w:rPr>
          <w:rStyle w:val="FootnoteReference"/>
        </w:rPr>
        <w:footnoteReference w:id="59"/>
      </w:r>
      <w:r>
        <w:t xml:space="preserve"> The primary goal was to make sure there is a better understanding of biodiversity and ecosystem (service)-related risks worldwide, so that those risks can be calculated in business decisions and to make it possible for insurers to calculate premiums.</w:t>
      </w:r>
    </w:p>
    <w:p w14:paraId="7A065512" w14:textId="77777777" w:rsidR="00961A1A" w:rsidRDefault="00961A1A" w:rsidP="006F45CF"/>
    <w:p w14:paraId="681DB5CF" w14:textId="5FFA9AB5" w:rsidR="006F45CF" w:rsidRDefault="006F45CF" w:rsidP="006F45CF">
      <w:r>
        <w:t xml:space="preserve">Although more recent developments indicate at least an increased interest in developing insurance for some form of </w:t>
      </w:r>
      <w:r w:rsidRPr="00C13B74">
        <w:t>LMO-related damage</w:t>
      </w:r>
      <w:r>
        <w:t>, generally there are still important limitations.</w:t>
      </w:r>
      <w:r>
        <w:rPr>
          <w:rStyle w:val="FootnoteReference"/>
        </w:rPr>
        <w:footnoteReference w:id="60"/>
      </w:r>
      <w:r>
        <w:t xml:space="preserve"> Most of those are related to the specific features of LMOs, as a result of which many argue that the basic conditions of insurability, mentioned in the previous subsection, are not met or not entirely met.</w:t>
      </w:r>
      <w:r>
        <w:rPr>
          <w:rStyle w:val="FootnoteReference"/>
        </w:rPr>
        <w:footnoteReference w:id="61"/>
      </w:r>
      <w:r>
        <w:t xml:space="preserve"> Setting insurance premiums would be difficult as the quantum of likely claims would be hard to estimate in advance. The result of insurers considering </w:t>
      </w:r>
      <w:r w:rsidRPr="00C13B74">
        <w:t xml:space="preserve">LMO-related </w:t>
      </w:r>
      <w:r w:rsidRPr="00FE1FD6">
        <w:t>damage</w:t>
      </w:r>
      <w:r w:rsidRPr="00C13B74">
        <w:t xml:space="preserve"> not to meet the requirements of insurability is that many policies largely exclude LMO-related </w:t>
      </w:r>
      <w:r w:rsidRPr="00FE1FD6">
        <w:t>damage</w:t>
      </w:r>
      <w:r w:rsidRPr="00C13B74">
        <w:t>.</w:t>
      </w:r>
      <w:r w:rsidRPr="00C13B74">
        <w:rPr>
          <w:rStyle w:val="FootnoteReference"/>
        </w:rPr>
        <w:footnoteReference w:id="62"/>
      </w:r>
      <w:r>
        <w:t xml:space="preserve"> </w:t>
      </w:r>
    </w:p>
    <w:p w14:paraId="2C0E05AB" w14:textId="77777777" w:rsidR="00961A1A" w:rsidRDefault="00961A1A" w:rsidP="006F45CF"/>
    <w:p w14:paraId="56D4A5F5" w14:textId="30FC4AE3" w:rsidR="006F45CF" w:rsidRDefault="006F45CF" w:rsidP="006F45CF">
      <w:r>
        <w:t xml:space="preserve">One important reason often mentioned for the exclusion of liability for </w:t>
      </w:r>
      <w:r w:rsidRPr="00C13B74">
        <w:t>LMO-related damage</w:t>
      </w:r>
      <w:r>
        <w:t xml:space="preserve"> is that there would be too much uncertainty concerning the scope of liability for LMOs.</w:t>
      </w:r>
      <w:r w:rsidRPr="00E948DB">
        <w:rPr>
          <w:vertAlign w:val="superscript"/>
        </w:rPr>
        <w:footnoteReference w:id="63"/>
      </w:r>
      <w:r>
        <w:t xml:space="preserve"> An important condition for insurers to cover third party liability would therefore be that a causal relationship is still required between the damage suffered and the presence of LMOs.</w:t>
      </w:r>
      <w:r>
        <w:rPr>
          <w:rStyle w:val="FootnoteReference"/>
        </w:rPr>
        <w:footnoteReference w:id="64"/>
      </w:r>
    </w:p>
    <w:p w14:paraId="59D1B12B" w14:textId="77777777" w:rsidR="00961A1A" w:rsidRDefault="00961A1A" w:rsidP="006F45CF"/>
    <w:p w14:paraId="36EF8717" w14:textId="4388A2C3" w:rsidR="006F45CF" w:rsidRDefault="006F45CF" w:rsidP="006F45CF">
      <w:r>
        <w:t xml:space="preserve">It is also striking that insurance policies usually generally exclude all </w:t>
      </w:r>
      <w:r w:rsidRPr="00DF5AEB">
        <w:t xml:space="preserve">LMO-related </w:t>
      </w:r>
      <w:r w:rsidRPr="00FE1FD6">
        <w:t>damage</w:t>
      </w:r>
      <w:r>
        <w:t xml:space="preserve"> and not just risk or damage to biodiversity (see </w:t>
      </w:r>
      <w:r w:rsidR="008D588E">
        <w:t>Appendix</w:t>
      </w:r>
      <w:r w:rsidRPr="00C54BE8">
        <w:t xml:space="preserve"> 2</w:t>
      </w:r>
      <w:r>
        <w:t xml:space="preserve">). This is notable as the intrinsic difficulty of insuring LMO-related damage is probably different depending on the type of damage to be insured. For example, the information on damage resulting from co-mingling should be predictable (and therefore one can understand that some careful steps towards at least considering covering those risks are made) while damage to biodiversity might be much harder to cover. </w:t>
      </w:r>
    </w:p>
    <w:p w14:paraId="4CE923A9" w14:textId="77777777" w:rsidR="00961A1A" w:rsidRDefault="00961A1A" w:rsidP="006F45CF"/>
    <w:p w14:paraId="1E1E4417" w14:textId="77777777" w:rsidR="006F45CF" w:rsidRPr="00704745" w:rsidRDefault="006F45CF" w:rsidP="00961A1A">
      <w:pPr>
        <w:spacing w:after="120"/>
        <w:rPr>
          <w:b/>
        </w:rPr>
      </w:pPr>
      <w:r>
        <w:rPr>
          <w:b/>
        </w:rPr>
        <w:t xml:space="preserve">3.2.4 </w:t>
      </w:r>
      <w:r w:rsidRPr="00704745">
        <w:rPr>
          <w:b/>
        </w:rPr>
        <w:t>Analysis</w:t>
      </w:r>
    </w:p>
    <w:p w14:paraId="0A26EBD1" w14:textId="223F2AF1" w:rsidR="006F45CF" w:rsidRDefault="006F45CF" w:rsidP="006F45CF">
      <w:r>
        <w:lastRenderedPageBreak/>
        <w:t xml:space="preserve">If </w:t>
      </w:r>
      <w:proofErr w:type="gramStart"/>
      <w:r>
        <w:t>all of</w:t>
      </w:r>
      <w:proofErr w:type="gramEnd"/>
      <w:r>
        <w:t xml:space="preserve"> the previously mentioned conditions of insurability could be met, insurance can, theoretically, provide compensation both of (first party) damage to the insured and (third party) damage to victims. The entity providing insurance is the insurance company, complying with applicable regulatory requirements. Insurers are professionals in covering risks and handling claims.</w:t>
      </w:r>
      <w:r>
        <w:rPr>
          <w:rStyle w:val="FootnoteReference"/>
        </w:rPr>
        <w:footnoteReference w:id="65"/>
      </w:r>
      <w:r>
        <w:t xml:space="preserve"> Insurers themselves can rely on reinsurance by one or more of the many reinsurers in the world.</w:t>
      </w:r>
    </w:p>
    <w:p w14:paraId="6C5F23F5" w14:textId="77777777" w:rsidR="00961A1A" w:rsidRDefault="00961A1A" w:rsidP="006F45CF"/>
    <w:p w14:paraId="12317304" w14:textId="111B0E73" w:rsidR="006F45CF" w:rsidRDefault="006F45CF" w:rsidP="006F45CF">
      <w:r>
        <w:t>Insurance can in theory provide financial security for many risks. However, in the case of damage to biodiversity caused by LMOs, it may not be easy to satisfy the conditions of insurability. The various uncertainties, including about the scope and scale of damage and the applicability of and variation in national liability rules, would complicate the calculation of premiums. Moreover, the number of players on the market that demand insurance may be limited (for example a small number of developers requiring third party insurance), as a result of which the large numbers needed for insurability may be lacking as well. Insurance can theoretically have a negative effect on the incentives to invest in prevention as it inevitably creates a moral hazard risk. That risk could be remedied if insurers can apply appropriate instruments of risk differentiation. Risk differentiation is needed to remedy adverse selection and moral hazard. That, however, assumes that insurers have information on the various types of insured and the various activities (and associated risks of these activities) the insured are engaged in. To the extent that information would be lacking, moral hazard would not be adequately addressed; in that case insurance might negatively affect incentives for prevention. Finally, if insurers were already willing to provide cover (for example by including a risk premium to deal with insurer ambiguity), it is not certain that that will correspond with demand. Moreover, the</w:t>
      </w:r>
      <w:r w:rsidDel="00F702C1">
        <w:t xml:space="preserve"> </w:t>
      </w:r>
      <w:r>
        <w:t>insurance cover provided can be limited as a result of which there may be a need for additional instruments to cover the amount of the damage not covered by insurance.</w:t>
      </w:r>
    </w:p>
    <w:p w14:paraId="560605A0" w14:textId="4012BFA4" w:rsidR="00FA5354" w:rsidRDefault="00FA5354" w:rsidP="006F45CF"/>
    <w:p w14:paraId="2A4EBB5D" w14:textId="2976AEE3" w:rsidR="00FA5354" w:rsidRDefault="00FA5354" w:rsidP="006F45CF"/>
    <w:p w14:paraId="491FF49C" w14:textId="77777777" w:rsidR="00FA5354" w:rsidRDefault="00FA5354" w:rsidP="006F45CF"/>
    <w:p w14:paraId="5AD82905" w14:textId="77777777" w:rsidR="00961A1A" w:rsidRDefault="00961A1A" w:rsidP="006F45CF"/>
    <w:p w14:paraId="0E161BE0" w14:textId="77777777" w:rsidR="006F45CF" w:rsidRPr="00BD4AC5" w:rsidRDefault="006F45CF" w:rsidP="00961A1A">
      <w:pPr>
        <w:spacing w:after="120"/>
        <w:rPr>
          <w:b/>
        </w:rPr>
      </w:pPr>
      <w:r>
        <w:rPr>
          <w:b/>
        </w:rPr>
        <w:t xml:space="preserve">3.2.5 </w:t>
      </w:r>
      <w:r w:rsidRPr="00BD4AC5">
        <w:rPr>
          <w:b/>
        </w:rPr>
        <w:t>Role of government</w:t>
      </w:r>
    </w:p>
    <w:p w14:paraId="0138156E" w14:textId="31AA9E5A" w:rsidR="006F45CF" w:rsidRDefault="006F45CF" w:rsidP="006F45CF">
      <w:r w:rsidRPr="005A70C5">
        <w:t>The adequacy of compensation through insurance depends on the capacity that can be provided on the market by insurers and (re)insurers.</w:t>
      </w:r>
      <w:r>
        <w:t xml:space="preserve"> There are, however, various steps that the government could take in stimulating the insurability of </w:t>
      </w:r>
      <w:r w:rsidRPr="00FE6E78">
        <w:t>LMO-related risks</w:t>
      </w:r>
      <w:r>
        <w:t xml:space="preserve">. A first possibility is to have the government clarify the liability regime for </w:t>
      </w:r>
      <w:r w:rsidRPr="00FE6E78">
        <w:t>LMO-related risks</w:t>
      </w:r>
      <w:r>
        <w:t xml:space="preserve"> in order to provide more certainty concerning the scope of liability. The regulator could for example determine whether a strict or a fault-based liability applies and what type of response measures the operator should undertake. This could provide more insights into the potential extent of the damage. </w:t>
      </w:r>
      <w:r w:rsidRPr="00FF5671">
        <w:t>A second point is that</w:t>
      </w:r>
      <w:r>
        <w:t xml:space="preserve"> clear standards with respect to the liability regime can facilitate its insurability.</w:t>
      </w:r>
      <w:r w:rsidRPr="00FF5671">
        <w:t xml:space="preserve"> </w:t>
      </w:r>
      <w:r w:rsidRPr="00EE1E0F">
        <w:t>For example, the insurability of damage resulting from offshore oil and gas activities has considerably increased over the years as a result of private and public safety standards.</w:t>
      </w:r>
      <w:r w:rsidRPr="00EE1E0F">
        <w:rPr>
          <w:rStyle w:val="FootnoteReference"/>
        </w:rPr>
        <w:footnoteReference w:id="66"/>
      </w:r>
      <w:r w:rsidRPr="00EE1E0F">
        <w:t xml:space="preserve"> Clear standards concerning good professional practice for LMOs could facilitate insurability of LMO-related damage</w:t>
      </w:r>
      <w:r w:rsidRPr="00FF5671">
        <w:t>.</w:t>
      </w:r>
      <w:r>
        <w:rPr>
          <w:rStyle w:val="FootnoteReference"/>
        </w:rPr>
        <w:footnoteReference w:id="67"/>
      </w:r>
      <w:r>
        <w:t xml:space="preserve"> </w:t>
      </w:r>
      <w:r w:rsidRPr="00FF5671">
        <w:t>The Cartagena Protocol sets out a framework for assessing the risks of LMOs to biodiversity</w:t>
      </w:r>
      <w:r>
        <w:t>, including through its Annex III as well as a framework for risk management.</w:t>
      </w:r>
      <w:r w:rsidRPr="00FF5671">
        <w:t xml:space="preserve"> </w:t>
      </w:r>
      <w:r>
        <w:t>F</w:t>
      </w:r>
      <w:r w:rsidRPr="00FF5671">
        <w:t xml:space="preserve">urther guidance has also been </w:t>
      </w:r>
      <w:r>
        <w:t>developed</w:t>
      </w:r>
      <w:r w:rsidRPr="00FF5671">
        <w:t>.</w:t>
      </w:r>
      <w:r>
        <w:rPr>
          <w:rStyle w:val="FootnoteReference"/>
        </w:rPr>
        <w:footnoteReference w:id="68"/>
      </w:r>
      <w:r w:rsidRPr="006D78B8">
        <w:t xml:space="preserve"> This information could be used by the insurance industry to understand the practices in this area and to inform the development of insurance products.</w:t>
      </w:r>
    </w:p>
    <w:p w14:paraId="7989ADFF" w14:textId="77777777" w:rsidR="00961A1A" w:rsidRDefault="00961A1A" w:rsidP="006F45CF"/>
    <w:p w14:paraId="5F9AC126" w14:textId="31E4FE88" w:rsidR="006F45CF" w:rsidRDefault="006F45CF" w:rsidP="006F45CF">
      <w:r>
        <w:t xml:space="preserve">Third, the government could facilitate insurability by limiting the financial scope of liability, in other words by providing a financial cap on the liability. This is explicitly provided as an option in Article 8 of the </w:t>
      </w:r>
      <w:r>
        <w:lastRenderedPageBreak/>
        <w:t xml:space="preserve">NKLSP. A statutory financial cap could facilitate insurability as it can provide an indication to insurers concerning the maximum amount of their exposure. However, for insurability, a statutory limitation on the liability is not strictly needed. Insurers themselves could provide a limit on their financial exposure in the policy conditions. </w:t>
      </w:r>
    </w:p>
    <w:p w14:paraId="39057AA7" w14:textId="77777777" w:rsidR="00961A1A" w:rsidRDefault="00961A1A" w:rsidP="006F45CF"/>
    <w:p w14:paraId="4EF0C4BE" w14:textId="67D767FB" w:rsidR="006F45CF" w:rsidRDefault="006F45CF" w:rsidP="006F45CF">
      <w:r>
        <w:t>Often, a financial limit on the liability is introduced in connection to the introduction of mandatory liability insurance.</w:t>
      </w:r>
      <w:r>
        <w:rPr>
          <w:rStyle w:val="FootnoteReference"/>
        </w:rPr>
        <w:footnoteReference w:id="69"/>
      </w:r>
      <w:r>
        <w:t xml:space="preserve"> However, the legislator could impose a duty to seek financial security up to a particular amount but keep the liability itself unlimited.</w:t>
      </w:r>
      <w:r>
        <w:rPr>
          <w:rStyle w:val="FootnoteReference"/>
        </w:rPr>
        <w:footnoteReference w:id="70"/>
      </w:r>
      <w:r>
        <w:t xml:space="preserve"> A classic example constitutes the case of motor vehicle insurance: in many legal systems there is a duty to have third party liability insurance up to an amount determined by the legislator, but the liability of the driver has often remained unlimited. The major disadvantage of a financial cap on liability is that it can negatively affect the incentives for prevention if operators are not exposed to the full losses arising from the </w:t>
      </w:r>
      <w:r w:rsidRPr="00460512">
        <w:t>damage</w:t>
      </w:r>
      <w:r>
        <w:t xml:space="preserve"> they may cause.</w:t>
      </w:r>
      <w:r>
        <w:rPr>
          <w:rStyle w:val="FootnoteReference"/>
        </w:rPr>
        <w:footnoteReference w:id="71"/>
      </w:r>
    </w:p>
    <w:p w14:paraId="4DBD0217" w14:textId="77777777" w:rsidR="00961A1A" w:rsidRDefault="00961A1A" w:rsidP="006F45CF"/>
    <w:p w14:paraId="5D7F3421" w14:textId="67061A7F" w:rsidR="006F45CF" w:rsidRPr="00961A1A" w:rsidRDefault="006F45CF" w:rsidP="00961A1A">
      <w:r>
        <w:t>One final role for the government might be related to the potential catastrophic nature of the loss. Damage of a very high magnitude may not be insurable to the full extent, not even on the reinsurance market. One can increasingly notice that in those cases, the government sometimes intervenes as reinsurer of last resort, thus stimulating insurance cover.</w:t>
      </w:r>
      <w:r>
        <w:rPr>
          <w:rStyle w:val="FootnoteReference"/>
        </w:rPr>
        <w:footnoteReference w:id="72"/>
      </w:r>
      <w:r>
        <w:t xml:space="preserve"> This approach is now often employed with natural hazards as well as with insurance of terrorism (</w:t>
      </w:r>
      <w:r w:rsidRPr="00755D7B">
        <w:t>see box 9</w:t>
      </w:r>
      <w:r>
        <w:t xml:space="preserve"> below).</w:t>
      </w:r>
      <w:r>
        <w:rPr>
          <w:rStyle w:val="FootnoteReference"/>
        </w:rPr>
        <w:footnoteReference w:id="73"/>
      </w:r>
      <w:r>
        <w:t xml:space="preserve"> To the extent that </w:t>
      </w:r>
      <w:r w:rsidRPr="00460512">
        <w:t>LMO-related damage</w:t>
      </w:r>
      <w:r>
        <w:t xml:space="preserve"> might be catastrophic and insurance or reinsurance cover for catastrophic damage could not be acquired, the government may decide to take on the role of financial security provider. </w:t>
      </w:r>
    </w:p>
    <w:p w14:paraId="73FFCACC" w14:textId="77777777" w:rsidR="006F45CF" w:rsidRPr="00C64B17" w:rsidRDefault="006F45CF" w:rsidP="00961A1A">
      <w:pPr>
        <w:pStyle w:val="Heading2"/>
        <w:jc w:val="left"/>
        <w:rPr>
          <w:sz w:val="24"/>
          <w:szCs w:val="28"/>
        </w:rPr>
      </w:pPr>
      <w:bookmarkStart w:id="28" w:name="_Toc82176414"/>
      <w:r w:rsidRPr="00C64B17">
        <w:rPr>
          <w:sz w:val="24"/>
          <w:szCs w:val="28"/>
        </w:rPr>
        <w:t>3.3 Self-insurance</w:t>
      </w:r>
      <w:bookmarkEnd w:id="28"/>
    </w:p>
    <w:p w14:paraId="1E2BD692" w14:textId="12D3603B" w:rsidR="00C64B17" w:rsidRPr="001C330F" w:rsidRDefault="006F45CF" w:rsidP="00C64B17">
      <w:pPr>
        <w:spacing w:before="120" w:after="120"/>
        <w:rPr>
          <w:b/>
        </w:rPr>
      </w:pPr>
      <w:r>
        <w:rPr>
          <w:b/>
        </w:rPr>
        <w:t>3.3.1 Description</w:t>
      </w:r>
    </w:p>
    <w:p w14:paraId="1496071E" w14:textId="03A6A446" w:rsidR="006F45CF" w:rsidRDefault="006F45CF" w:rsidP="006F45CF">
      <w:r>
        <w:t>Self-insurance is a term often used to refer to corporations using their own assets (their internal reserves) to cover future damage. In a technical sense it is therefore not to be considered as “insurance” as there is no risk-spreading, no risk-distribution and hence no loss-spreading after an accident happens.</w:t>
      </w:r>
      <w:r>
        <w:rPr>
          <w:rStyle w:val="FootnoteReference"/>
        </w:rPr>
        <w:footnoteReference w:id="74"/>
      </w:r>
      <w:r>
        <w:t xml:space="preserve"> It is a mechanism whereby operators use their balance sheet to guarantee payment for large damage. Using reserves does allow a risk-spreading in time, but not between various parties exposed to risk. A related notion is the so-called “captive”, which is an instrument in the form of an insurance company that is created by an operator. It is effectively an insurance company owned by one </w:t>
      </w:r>
      <w:proofErr w:type="gramStart"/>
      <w:r>
        <w:t>particular operator</w:t>
      </w:r>
      <w:proofErr w:type="gramEnd"/>
      <w:r>
        <w:t xml:space="preserve">. Self-insurance can be used especially by large operators with substantial capital who would have no need to shift risks to a third party (like an insurance company) as that would also incur costs. </w:t>
      </w:r>
    </w:p>
    <w:p w14:paraId="2AF8CAAE" w14:textId="77777777" w:rsidR="00961A1A" w:rsidRDefault="00961A1A" w:rsidP="006F45CF"/>
    <w:p w14:paraId="5A9BD37A" w14:textId="77777777" w:rsidR="006F45CF" w:rsidRPr="00113CB5" w:rsidRDefault="006F45CF" w:rsidP="00C64B17">
      <w:pPr>
        <w:spacing w:after="120"/>
        <w:rPr>
          <w:b/>
        </w:rPr>
      </w:pPr>
      <w:r>
        <w:rPr>
          <w:b/>
        </w:rPr>
        <w:t xml:space="preserve">3.3.2 </w:t>
      </w:r>
      <w:r w:rsidRPr="00113CB5">
        <w:rPr>
          <w:b/>
        </w:rPr>
        <w:t>Conditions</w:t>
      </w:r>
    </w:p>
    <w:p w14:paraId="270CD766" w14:textId="53585DE3" w:rsidR="006F45CF" w:rsidRDefault="006F45CF" w:rsidP="006F45CF">
      <w:r>
        <w:t xml:space="preserve">The only essential condition for self-insurance to function is that the operator must have sufficient reserves available to cover future damage – either its own damage (first party) or the damages that would have to be paid to a </w:t>
      </w:r>
      <w:proofErr w:type="gramStart"/>
      <w:r>
        <w:t>third party</w:t>
      </w:r>
      <w:proofErr w:type="gramEnd"/>
      <w:r>
        <w:t xml:space="preserve"> victim. The ability of an operator to self-insure therefore depends on the size of the estimated risk </w:t>
      </w:r>
      <w:proofErr w:type="gramStart"/>
      <w:r>
        <w:t>and also</w:t>
      </w:r>
      <w:proofErr w:type="gramEnd"/>
      <w:r>
        <w:t xml:space="preserve"> on the amount of its available assets.</w:t>
      </w:r>
    </w:p>
    <w:p w14:paraId="0016BEE9" w14:textId="77777777" w:rsidR="00961A1A" w:rsidRDefault="00961A1A" w:rsidP="006F45CF"/>
    <w:p w14:paraId="32B022FF" w14:textId="77777777" w:rsidR="006F45CF" w:rsidRPr="00113CB5" w:rsidRDefault="006F45CF" w:rsidP="00C64B17">
      <w:pPr>
        <w:spacing w:after="120"/>
        <w:jc w:val="left"/>
        <w:rPr>
          <w:b/>
        </w:rPr>
      </w:pPr>
      <w:r>
        <w:rPr>
          <w:b/>
        </w:rPr>
        <w:t xml:space="preserve">3.3.3 </w:t>
      </w:r>
      <w:r w:rsidRPr="00113CB5">
        <w:rPr>
          <w:b/>
        </w:rPr>
        <w:t>Practice</w:t>
      </w:r>
    </w:p>
    <w:p w14:paraId="2A3B5A4B" w14:textId="431ED119" w:rsidR="006F45CF" w:rsidRDefault="006F45CF" w:rsidP="006F45CF">
      <w:r w:rsidRPr="00414594">
        <w:t>There is no specific information on the extent to which internal reserves are mentioned as an option to cover LMO-related damage.</w:t>
      </w:r>
      <w:r>
        <w:t xml:space="preserve"> However, the mere fact that alternatives, like (re)insurance which we discussed in </w:t>
      </w:r>
      <w:r>
        <w:lastRenderedPageBreak/>
        <w:t>the previous section, are almost unavailable for LMO-related damage, may imply that many actors along the supply chain will use their internal reserves for the simple reason that they may not have any other alternatives.</w:t>
      </w:r>
    </w:p>
    <w:p w14:paraId="10487703" w14:textId="77777777" w:rsidR="00AC35E8" w:rsidRDefault="00AC35E8" w:rsidP="006F45CF"/>
    <w:p w14:paraId="4203B7ED" w14:textId="77777777" w:rsidR="006F45CF" w:rsidRDefault="006F45CF" w:rsidP="006F45CF">
      <w:r>
        <w:t>In the context of the supply chain of LMOs, one can imagine that it could especially be the larger developers of LMOs with substantial assets that rely on self-insurance, but not smaller and medium-sized companies (for example importers of LMOs) or small holders like farmers or other end-users.</w:t>
      </w:r>
      <w:r>
        <w:rPr>
          <w:rStyle w:val="FootnoteReference"/>
        </w:rPr>
        <w:footnoteReference w:id="75"/>
      </w:r>
      <w:r>
        <w:t xml:space="preserve"> An interesting example addressing damage caused by LMOs to biodiversity is the Compact, which is to some extent akin to self-insurance, see box 1. </w:t>
      </w:r>
    </w:p>
    <w:p w14:paraId="23B3E048" w14:textId="77777777" w:rsidR="006F45CF" w:rsidRDefault="006F45CF" w:rsidP="006F45CF"/>
    <w:p w14:paraId="46AFF42F" w14:textId="3422A1EE" w:rsidR="006F45CF" w:rsidRPr="00BD4AC5" w:rsidRDefault="006F45CF" w:rsidP="009168FF">
      <w:pPr>
        <w:pBdr>
          <w:top w:val="single" w:sz="4" w:space="1" w:color="auto"/>
          <w:left w:val="single" w:sz="4" w:space="4" w:color="auto"/>
          <w:bottom w:val="single" w:sz="4" w:space="1" w:color="auto"/>
          <w:right w:val="single" w:sz="4" w:space="4" w:color="auto"/>
        </w:pBdr>
        <w:spacing w:after="120"/>
        <w:rPr>
          <w:b/>
          <w:bCs/>
        </w:rPr>
      </w:pPr>
      <w:r w:rsidRPr="05B33118">
        <w:rPr>
          <w:b/>
          <w:bCs/>
        </w:rPr>
        <w:t xml:space="preserve">Box </w:t>
      </w:r>
      <w:r>
        <w:rPr>
          <w:b/>
          <w:bCs/>
        </w:rPr>
        <w:t>1</w:t>
      </w:r>
      <w:r w:rsidRPr="05B33118">
        <w:rPr>
          <w:b/>
          <w:bCs/>
        </w:rPr>
        <w:t xml:space="preserve">: </w:t>
      </w:r>
      <w:r w:rsidR="00C64B17">
        <w:rPr>
          <w:b/>
          <w:bCs/>
        </w:rPr>
        <w:t>T</w:t>
      </w:r>
      <w:r w:rsidRPr="05B33118">
        <w:rPr>
          <w:b/>
          <w:bCs/>
        </w:rPr>
        <w:t>he Compact</w:t>
      </w:r>
    </w:p>
    <w:p w14:paraId="67379A98" w14:textId="77777777" w:rsidR="006F45CF" w:rsidRDefault="006F45CF" w:rsidP="006F45CF">
      <w:pPr>
        <w:pBdr>
          <w:top w:val="single" w:sz="4" w:space="1" w:color="auto"/>
          <w:left w:val="single" w:sz="4" w:space="4" w:color="auto"/>
          <w:bottom w:val="single" w:sz="4" w:space="1" w:color="auto"/>
          <w:right w:val="single" w:sz="4" w:space="4" w:color="auto"/>
        </w:pBdr>
      </w:pPr>
      <w:r>
        <w:t>The Compact is a contractual agreement among some of the largest agricultural LMO developers. Through the Compact, the developers (members) agree to binding arbitration for settling claims for damage to biological diversity caused by the release of an LMO by the respective company.</w:t>
      </w:r>
      <w:r>
        <w:rPr>
          <w:rStyle w:val="FootnoteReference"/>
        </w:rPr>
        <w:footnoteReference w:id="76"/>
      </w:r>
      <w:r>
        <w:t xml:space="preserve"> The Compact determines conditions under which payment will be provided and only allows a State to file a claim. States that opt for binding arbitration under the Compact are required to assure that the Compact Member is not subject to multiple recovery for the same incident of damage under both the Compact and a State’s civil liability system. The State must show that an LMO produced by a Compact member caused a measurable, significant and adverse change to a species or ecosystem in that country. States therefore become third party beneficiaries under the Compact.</w:t>
      </w:r>
      <w:r>
        <w:rPr>
          <w:rStyle w:val="FootnoteReference"/>
        </w:rPr>
        <w:footnoteReference w:id="77"/>
      </w:r>
      <w:r>
        <w:t xml:space="preserve"> </w:t>
      </w:r>
      <w:r w:rsidRPr="00FF5671">
        <w:t>Each Compact member</w:t>
      </w:r>
      <w:r>
        <w:t xml:space="preserve"> guarantees that it will individually cover damage caused by the LMO it produced up to specific financial limits. The Compact requires that upon determination of the Member's response cost, the Compact Member will demonstrate financial security through self-insurance, commercial insurance, banker's draft or other form of financial security. Mem</w:t>
      </w:r>
      <w:r w:rsidRPr="009168FF">
        <w:t>bers are also required to seek to encourage the development of commercial insurance for Response obligations.</w:t>
      </w:r>
      <w:r w:rsidRPr="009168FF">
        <w:rPr>
          <w:rFonts w:eastAsia="Calibri"/>
          <w:vertAlign w:val="superscript"/>
        </w:rPr>
        <w:footnoteReference w:id="78"/>
      </w:r>
      <w:r w:rsidRPr="6E65ECF9">
        <w:rPr>
          <w:rFonts w:ascii="Calibri" w:eastAsia="Calibri" w:hAnsi="Calibri" w:cs="Calibri"/>
        </w:rPr>
        <w:t xml:space="preserve"> </w:t>
      </w:r>
      <w:r>
        <w:t xml:space="preserve">The literature mentions that the reluctance of the insurance industry to provide cover for </w:t>
      </w:r>
      <w:r w:rsidRPr="00FE1FD6">
        <w:t>LMO-related damage</w:t>
      </w:r>
      <w:r>
        <w:t xml:space="preserve"> to biodiversity was one of the reasons for the biotechnology industry to </w:t>
      </w:r>
      <w:r w:rsidRPr="00ED45C0">
        <w:t>establish the Compact</w:t>
      </w:r>
      <w:r>
        <w:t>.</w:t>
      </w:r>
      <w:r>
        <w:rPr>
          <w:rStyle w:val="FootnoteReference"/>
        </w:rPr>
        <w:footnoteReference w:id="79"/>
      </w:r>
      <w:r>
        <w:t xml:space="preserve"> The Compact itself, however, does not resolve the lack of availability of insurance. The Compact explains that its terms “are also intended to encourage the development of commercial insurance for the cost of Response for Damage to Biological Diversity should it be required under the terms and conditions of the Compact. The availability of commercial insurance will enhance a Member’s ability to demonstrate the requisite financial capacity to Respond. Its availability should also create the opportunity and incentive for any entity who works with LMOs to join the Compact, thereby providing States assurance of access to Response. The availability of commercial insurance will facilitate broad and open membership, one of the core goals of the Compact”.</w:t>
      </w:r>
      <w:r w:rsidRPr="446BD281">
        <w:rPr>
          <w:rFonts w:ascii="Calibri" w:eastAsia="Calibri" w:hAnsi="Calibri" w:cs="Calibri"/>
          <w:vertAlign w:val="superscript"/>
        </w:rPr>
        <w:footnoteReference w:id="80"/>
      </w:r>
    </w:p>
    <w:p w14:paraId="5472AF38" w14:textId="77777777" w:rsidR="007E6EDD" w:rsidRDefault="007E6EDD" w:rsidP="006F45CF">
      <w:pPr>
        <w:pBdr>
          <w:top w:val="single" w:sz="4" w:space="1" w:color="auto"/>
          <w:left w:val="single" w:sz="4" w:space="4" w:color="auto"/>
          <w:bottom w:val="single" w:sz="4" w:space="1" w:color="auto"/>
          <w:right w:val="single" w:sz="4" w:space="4" w:color="auto"/>
        </w:pBdr>
      </w:pPr>
    </w:p>
    <w:p w14:paraId="5B32AC28" w14:textId="6448B5C8" w:rsidR="006F45CF" w:rsidRDefault="006F45CF" w:rsidP="006F45CF">
      <w:pPr>
        <w:pBdr>
          <w:top w:val="single" w:sz="4" w:space="1" w:color="auto"/>
          <w:left w:val="single" w:sz="4" w:space="4" w:color="auto"/>
          <w:bottom w:val="single" w:sz="4" w:space="1" w:color="auto"/>
          <w:right w:val="single" w:sz="4" w:space="4" w:color="auto"/>
        </w:pBdr>
      </w:pPr>
      <w:r>
        <w:lastRenderedPageBreak/>
        <w:t xml:space="preserve">According to the Compact, each member is individually liable for the damage caused by the LMO it developed, but members do share the operating costs of the Compact on a proportional basis. The Compact is thus a commitment of each member that it will respond to damages caused to biodiversity by the LMOs it developed. </w:t>
      </w:r>
    </w:p>
    <w:p w14:paraId="77FC9EED" w14:textId="77777777" w:rsidR="00AC35E8" w:rsidRDefault="00AC35E8" w:rsidP="006F45CF"/>
    <w:p w14:paraId="1871A807" w14:textId="5D487005" w:rsidR="006F45CF" w:rsidRDefault="006F45CF" w:rsidP="00481260">
      <w:r>
        <w:t>Internal reserves are also used in relation to other types of environmental damage, more particularly in the energy sector (see box 2).</w:t>
      </w:r>
      <w:r>
        <w:rPr>
          <w:rStyle w:val="FootnoteReference"/>
        </w:rPr>
        <w:footnoteReference w:id="81"/>
      </w:r>
      <w:r>
        <w:t xml:space="preserve"> For example, major oil companies use their own reserves as financial security to cover damage related to offshore drilling. As they consider all other alternatives (including insurance) relatively costly, they prefer self-insurance as it does not lead to additional costs unless the damage occurs.</w:t>
      </w:r>
      <w:r>
        <w:rPr>
          <w:rStyle w:val="FootnoteReference"/>
        </w:rPr>
        <w:footnoteReference w:id="82"/>
      </w:r>
      <w:r>
        <w:t xml:space="preserve"> Major oil and gas companies, for example, largely use self-insurance to hedge offshore-related risks.</w:t>
      </w:r>
      <w:r>
        <w:rPr>
          <w:rStyle w:val="FootnoteReference"/>
        </w:rPr>
        <w:footnoteReference w:id="83"/>
      </w:r>
      <w:r>
        <w:t xml:space="preserve"> Even smaller operators may use self-insurance as a so-called retention (or deductible) whereby coverage (for example from an insurer) would only be required for amounts beyond the carrying power of the particular operator.</w:t>
      </w:r>
      <w:r>
        <w:rPr>
          <w:rStyle w:val="FootnoteReference"/>
        </w:rPr>
        <w:footnoteReference w:id="84"/>
      </w:r>
      <w:r>
        <w:t xml:space="preserve"> Self-insurance can also be used for operators of a geological storage site for carbon dioxide according to Guidance Document 4 implementing EU Directive 2009/31/EC on the geological storage of carbon dioxide.</w:t>
      </w:r>
      <w:r>
        <w:rPr>
          <w:rStyle w:val="FootnoteReference"/>
        </w:rPr>
        <w:footnoteReference w:id="85"/>
      </w:r>
      <w:r>
        <w:t xml:space="preserve"> Self-insurance is equally mentioned in the US EPA Financial Responsibility Guidance Document with respect to geological sequestration of carbon dioxide.</w:t>
      </w:r>
      <w:r>
        <w:rPr>
          <w:rStyle w:val="FootnoteReference"/>
        </w:rPr>
        <w:footnoteReference w:id="86"/>
      </w:r>
    </w:p>
    <w:p w14:paraId="3EFE581E" w14:textId="23A2FBA4" w:rsidR="00481260" w:rsidRDefault="00481260" w:rsidP="00481260"/>
    <w:p w14:paraId="5B47C6D2" w14:textId="77777777" w:rsidR="006F45CF" w:rsidRPr="008961B9" w:rsidRDefault="006F45CF" w:rsidP="009168FF">
      <w:pPr>
        <w:pBdr>
          <w:top w:val="single" w:sz="4" w:space="1" w:color="auto"/>
          <w:left w:val="single" w:sz="4" w:space="4" w:color="auto"/>
          <w:bottom w:val="single" w:sz="4" w:space="1" w:color="auto"/>
          <w:right w:val="single" w:sz="4" w:space="4" w:color="auto"/>
        </w:pBdr>
        <w:spacing w:after="120"/>
        <w:rPr>
          <w:b/>
        </w:rPr>
      </w:pPr>
      <w:r w:rsidRPr="008961B9">
        <w:rPr>
          <w:b/>
        </w:rPr>
        <w:t xml:space="preserve">Box </w:t>
      </w:r>
      <w:r>
        <w:rPr>
          <w:b/>
        </w:rPr>
        <w:t>2</w:t>
      </w:r>
      <w:r w:rsidRPr="008961B9">
        <w:rPr>
          <w:b/>
        </w:rPr>
        <w:t>: OPOL</w:t>
      </w:r>
    </w:p>
    <w:p w14:paraId="6BA33B8E" w14:textId="77777777" w:rsidR="006F45CF" w:rsidRDefault="006F45CF" w:rsidP="006F45CF">
      <w:pPr>
        <w:pBdr>
          <w:top w:val="single" w:sz="4" w:space="1" w:color="auto"/>
          <w:left w:val="single" w:sz="4" w:space="4" w:color="auto"/>
          <w:bottom w:val="single" w:sz="4" w:space="1" w:color="auto"/>
          <w:right w:val="single" w:sz="4" w:space="4" w:color="auto"/>
        </w:pBdr>
      </w:pPr>
      <w:r>
        <w:t xml:space="preserve">The Offshore Pollution Liability Association (OPOL) is one example where self-insurance is used, among many alternative financial security options available. Membership in OPOL is mandatory for offshore operators in the United Kingdom who wish to obtain a license for oil drilling. Operators are liable for the damage caused as a result of oil drilling and need to provide financial security. Under OPOL, the operator of an offshore facility shall reimburse the costs of remedial measures and pay compensation for pollution damage up to an overall maximum of US$ 250 million. To cover these obligations, the operator </w:t>
      </w:r>
      <w:proofErr w:type="gramStart"/>
      <w:r>
        <w:t>has to</w:t>
      </w:r>
      <w:proofErr w:type="gramEnd"/>
      <w:r>
        <w:t xml:space="preserve"> comply with the rules for establishment of financial responsibility. One way of proving financial responsibility is by a qualification as self-insurer, by providing a financial statement meeting certain strict criteria. For example, an operator can qualify as a self-insurer under OPOL only if it has a high credit rating from certain credit rating agencies.</w:t>
      </w:r>
      <w:r w:rsidRPr="008862A6">
        <w:rPr>
          <w:vertAlign w:val="superscript"/>
        </w:rPr>
        <w:footnoteReference w:id="87"/>
      </w:r>
      <w:r>
        <w:t xml:space="preserve"> Each operator which is a party to OPOL must provide satisfactory evidence of its ability to meet any liability under OPOL, which is then verified by OPOL. The experience with OPOL shows that, on the condition that stringent rules apply to control whether a particular operator can qualify as self-insurer, self-insurance could also function in a model of mandatory financial security.</w:t>
      </w:r>
      <w:r>
        <w:rPr>
          <w:rStyle w:val="FootnoteReference"/>
        </w:rPr>
        <w:footnoteReference w:id="88"/>
      </w:r>
    </w:p>
    <w:p w14:paraId="7030AB8C" w14:textId="77777777" w:rsidR="006F45CF" w:rsidRPr="00FF5671" w:rsidRDefault="006F45CF" w:rsidP="006F45CF">
      <w:pPr>
        <w:rPr>
          <w:highlight w:val="yellow"/>
        </w:rPr>
      </w:pPr>
    </w:p>
    <w:p w14:paraId="16320888" w14:textId="77777777" w:rsidR="006F45CF" w:rsidRPr="00EB0AB9" w:rsidRDefault="006F45CF" w:rsidP="00AC35E8">
      <w:pPr>
        <w:spacing w:after="120"/>
        <w:rPr>
          <w:b/>
          <w:bCs/>
        </w:rPr>
      </w:pPr>
      <w:r w:rsidRPr="023B7C1C">
        <w:rPr>
          <w:b/>
          <w:bCs/>
        </w:rPr>
        <w:t>3.3.4 Analysis</w:t>
      </w:r>
    </w:p>
    <w:p w14:paraId="187E07D3" w14:textId="7D53E244" w:rsidR="006F45CF" w:rsidRDefault="006F45CF" w:rsidP="006F45CF">
      <w:r>
        <w:t xml:space="preserve">Self-insurance will usually be used by entities with sufficient assets which do not fear that the scope of </w:t>
      </w:r>
      <w:r w:rsidRPr="00A82E32">
        <w:t>damage</w:t>
      </w:r>
      <w:r>
        <w:t xml:space="preserve"> may lead them into insolvency. These entities are generally larger corporations that have no risk-aversion for cover against either their own risk or the fear of liability for damage suffered by third parties. </w:t>
      </w:r>
      <w:r>
        <w:lastRenderedPageBreak/>
        <w:t>Those are entities with balance sheets comparable to other security providers (for example insurance companies) and for whom shifting risks to a third party (like an insurer) would consequently only lead to additional costs and not to sufficient benefits.</w:t>
      </w:r>
    </w:p>
    <w:p w14:paraId="161C5373" w14:textId="77777777" w:rsidR="00AC35E8" w:rsidRDefault="00AC35E8" w:rsidP="006F45CF"/>
    <w:p w14:paraId="35FEE8E5" w14:textId="57BA2949" w:rsidR="006F45CF" w:rsidRDefault="006F45CF" w:rsidP="006F45CF">
      <w:r>
        <w:t>The advantage of self-insurance from the industry’s perspective is that it is a relatively low-cost solution; operators themselves can provide guarantees for future damage and do not have to transfer risks to an insurance company, which may create additional costs. Self-insurance usually does not create any costs for the operator as it allows the operator to use its balance sheet to show financial security. There is no need to immobilize capital by, for example, requiring money to be put on a separate balance sheet. The operator is held to transfer the reserves on the balance to cash only when the accident occurs.</w:t>
      </w:r>
      <w:r>
        <w:rPr>
          <w:rStyle w:val="FootnoteReference"/>
        </w:rPr>
        <w:footnoteReference w:id="89"/>
      </w:r>
      <w:r>
        <w:t xml:space="preserve"> Self-insurance does not involve a moral hazard</w:t>
      </w:r>
      <w:r>
        <w:rPr>
          <w:rStyle w:val="FootnoteReference"/>
        </w:rPr>
        <w:footnoteReference w:id="90"/>
      </w:r>
      <w:r>
        <w:t xml:space="preserve"> risk, as operators will still remain exposed to risk (and liability) (assuming the ability of the operator to compensate for the damage, in other words full solvency). </w:t>
      </w:r>
    </w:p>
    <w:p w14:paraId="1BCEAC70" w14:textId="77777777" w:rsidR="00AC35E8" w:rsidRDefault="00AC35E8" w:rsidP="006F45CF"/>
    <w:p w14:paraId="0F39585C" w14:textId="62BA1323" w:rsidR="006F45CF" w:rsidRDefault="006F45CF" w:rsidP="006F45CF">
      <w:r>
        <w:t>There are also disadvantages of self-insurance, the most important being that it is not necessarily a guarantee against insolvency. The reason is that 1) the reserves may no longer be available when the damage occurs and the money is needed and 2) there may be other creditors that have priority in case of bankruptcy (for example the tax authorities) as the result of which there might not be sufficient money left for the restoration of the environment.  Self-insurance can also lead to an externalization of risk (shifting costs to society) in case of insolvency.</w:t>
      </w:r>
      <w:r>
        <w:rPr>
          <w:rStyle w:val="FootnoteReference"/>
        </w:rPr>
        <w:footnoteReference w:id="91"/>
      </w:r>
      <w:r>
        <w:t xml:space="preserve"> If the operator is insolvent and there is no money available for environmental restoration, it would mean that either the state pays (and thus the tax payers) or that the damaged environment is not restored. In both cases the risk is not internalized by the </w:t>
      </w:r>
      <w:proofErr w:type="gramStart"/>
      <w:r>
        <w:t>operator, but</w:t>
      </w:r>
      <w:proofErr w:type="gramEnd"/>
      <w:r>
        <w:t xml:space="preserve"> externalized to society at large. Self-insurance can hence only be considered effective financial security if guarantees can be provided so that 1) sufficient reserves are set aside in the first place and 2) those reserves will actually be used for the potential damage for which they were earmarked.</w:t>
      </w:r>
      <w:r>
        <w:rPr>
          <w:rStyle w:val="FootnoteReference"/>
        </w:rPr>
        <w:footnoteReference w:id="92"/>
      </w:r>
      <w:r>
        <w:t xml:space="preserve">  If those conditions cannot be met, there is a danger that self-insurance may not be a mechanism that provides adequate financial security: in case of insolvency, the trustee in bankruptcy would collect the assets and the money would not be available to compensate for </w:t>
      </w:r>
      <w:r w:rsidRPr="00A82E32">
        <w:t>LMO-related damage</w:t>
      </w:r>
      <w:r>
        <w:t>.</w:t>
      </w:r>
      <w:r w:rsidRPr="53D91F36">
        <w:rPr>
          <w:rStyle w:val="FootnoteReference"/>
        </w:rPr>
        <w:footnoteReference w:id="93"/>
      </w:r>
    </w:p>
    <w:p w14:paraId="177D0660" w14:textId="77777777" w:rsidR="00AC35E8" w:rsidRDefault="00AC35E8" w:rsidP="006F45CF"/>
    <w:p w14:paraId="25FF799F" w14:textId="326A507E" w:rsidR="006F45CF" w:rsidRDefault="006F45CF" w:rsidP="006F45CF">
      <w:r>
        <w:t xml:space="preserve">As far as compensation is concerned, self-insurance may work as a first party cover (covering the potential damage an operator may suffer itself) but is more problematic for damage to a third party (in case of insolvency). Self-insurance may create positive incentives for prevention, as the operators’ own assets are at risk (and thus no moral hazard arises). But that relies on the heavy assumption that no insolvency risk would arise. </w:t>
      </w:r>
    </w:p>
    <w:p w14:paraId="339EAD6B" w14:textId="77777777" w:rsidR="00AC35E8" w:rsidRDefault="00AC35E8" w:rsidP="006F45CF"/>
    <w:p w14:paraId="54E98514" w14:textId="2E10457E" w:rsidR="006F45CF" w:rsidRDefault="006F45CF" w:rsidP="006F45CF">
      <w:r>
        <w:t>Normatively it should be repeated that self-insurance should only be used as financial security by well-capitalized larger stakeholders. In practice, however, one may observe that thinly capitalized smaller holders also self-insure, not because this would be desirable, but simply because they may not have access to other financial security mechanisms. Self-insurance by thinly capitalized smaller holders may not even constitute self-insurance as should damage arise, the risk of insolvency is high and so any reserves may well go to other creditors leaving no funds available for compensating or redressing the damage.</w:t>
      </w:r>
    </w:p>
    <w:p w14:paraId="4146C74B" w14:textId="77777777" w:rsidR="00961A1A" w:rsidRDefault="00961A1A" w:rsidP="006F45CF"/>
    <w:p w14:paraId="1DA33293" w14:textId="77777777" w:rsidR="006F45CF" w:rsidRPr="00ED45C0" w:rsidRDefault="006F45CF" w:rsidP="00AC35E8">
      <w:pPr>
        <w:spacing w:after="120"/>
        <w:rPr>
          <w:b/>
          <w:highlight w:val="yellow"/>
        </w:rPr>
      </w:pPr>
      <w:r w:rsidRPr="1FF5538A">
        <w:rPr>
          <w:b/>
        </w:rPr>
        <w:lastRenderedPageBreak/>
        <w:t>3.3.5 Role of government</w:t>
      </w:r>
    </w:p>
    <w:p w14:paraId="18D7F0DF" w14:textId="0DA34DEE" w:rsidR="006F45CF" w:rsidRDefault="006F45CF" w:rsidP="006F45CF">
      <w:r>
        <w:t>There is some debate over whether self-insurance can be accepted as an option in a situation where financial security is mandatory. If self-insurance were not accepted by the regulator, mandatory financial cover would force operators to purchase costly insurance even though the insurance may provide little additional security for large operators. Yet, accepting self-insurance runs the risk of not having compensation available once an accident happens. Self-insurance</w:t>
      </w:r>
      <w:r w:rsidRPr="009874BE">
        <w:t xml:space="preserve"> therefore</w:t>
      </w:r>
      <w:r>
        <w:t xml:space="preserve"> creates</w:t>
      </w:r>
      <w:r w:rsidRPr="009874BE">
        <w:t xml:space="preserve"> an important role of government in verifying that operators are adequately capitalized and have sufficient assets.</w:t>
      </w:r>
      <w:r>
        <w:t xml:space="preserve"> The use of self-insurance in the context of mandatory financial guarantees therefore requires smart regulation. If the regulator were to introduce a mandatory requirement for financial guarantees, the possibility to demonstrate financial security via self-insurance should be provided for. Thus, the danger can be avoided that major operators would be forced to shift the risk to an insurance company, even when for example the credit rating of the operator would be higher than that of the insurance company.</w:t>
      </w:r>
      <w:r>
        <w:rPr>
          <w:rStyle w:val="FootnoteReference"/>
        </w:rPr>
        <w:footnoteReference w:id="94"/>
      </w:r>
    </w:p>
    <w:p w14:paraId="4CF16639" w14:textId="77777777" w:rsidR="00AC35E8" w:rsidRDefault="00AC35E8" w:rsidP="006F45CF"/>
    <w:p w14:paraId="2F4048B8" w14:textId="77777777" w:rsidR="006F45CF" w:rsidRDefault="006F45CF" w:rsidP="006F45CF">
      <w:r>
        <w:t xml:space="preserve">But if in that particular case, self-insurance is used as one of the mechanisms to show proof of solvency, there should be a guarantee that the money set aside (via reserves) can only be used </w:t>
      </w:r>
      <w:r w:rsidRPr="00A82E32">
        <w:t>for LMO-related damage</w:t>
      </w:r>
      <w:r>
        <w:t xml:space="preserve"> and that the self-insurance offered by the operator is adequately controlled. The example of OPOL (see </w:t>
      </w:r>
      <w:r w:rsidRPr="008961B9">
        <w:rPr>
          <w:i/>
        </w:rPr>
        <w:t>supra</w:t>
      </w:r>
      <w:r>
        <w:t xml:space="preserve"> </w:t>
      </w:r>
      <w:r w:rsidRPr="008961B9">
        <w:t>box 2) is interesting</w:t>
      </w:r>
      <w:r>
        <w:t xml:space="preserve"> in that respect. Of course, as in the case of OPOL, showing self-insurance does not mean that the capital reserved should necessarily be immobilized </w:t>
      </w:r>
      <w:proofErr w:type="gramStart"/>
      <w:r>
        <w:t>as long as</w:t>
      </w:r>
      <w:proofErr w:type="gramEnd"/>
      <w:r>
        <w:t xml:space="preserve"> it can be made available to cover damage when it occurs. Self-insurance works in this </w:t>
      </w:r>
      <w:proofErr w:type="gramStart"/>
      <w:r>
        <w:t>particular case</w:t>
      </w:r>
      <w:proofErr w:type="gramEnd"/>
      <w:r>
        <w:t xml:space="preserve"> as there is </w:t>
      </w:r>
      <w:r w:rsidRPr="002973FE">
        <w:rPr>
          <w:i/>
        </w:rPr>
        <w:t>de facto</w:t>
      </w:r>
      <w:r>
        <w:t xml:space="preserve"> no risk of insolvency due to the substantial assets and high credit ratings of the operators. The operator can therefore still freely use the funds that are set aside to cover future damage. Another example would be the case of BP which, after the accident with the Deepwater Horizon in the Gulf of Mexico, was able to raise 20 billion USD solely based on self-insurance. </w:t>
      </w:r>
    </w:p>
    <w:p w14:paraId="50328D0A" w14:textId="77777777" w:rsidR="006F45CF" w:rsidRDefault="006F45CF" w:rsidP="006F45CF"/>
    <w:p w14:paraId="3E599C70" w14:textId="77777777" w:rsidR="006F45CF" w:rsidRPr="00C64B17" w:rsidRDefault="006F45CF" w:rsidP="00AC35E8">
      <w:pPr>
        <w:pStyle w:val="Heading2"/>
        <w:jc w:val="left"/>
        <w:rPr>
          <w:sz w:val="24"/>
          <w:szCs w:val="28"/>
        </w:rPr>
      </w:pPr>
      <w:bookmarkStart w:id="29" w:name="_Toc82176415"/>
      <w:r w:rsidRPr="00C64B17">
        <w:rPr>
          <w:sz w:val="24"/>
          <w:szCs w:val="28"/>
        </w:rPr>
        <w:t>3.4 Risk pooling</w:t>
      </w:r>
      <w:bookmarkEnd w:id="29"/>
    </w:p>
    <w:p w14:paraId="0ED34C6F" w14:textId="77777777" w:rsidR="006F45CF" w:rsidRPr="00131704" w:rsidRDefault="006F45CF" w:rsidP="00C64B17">
      <w:pPr>
        <w:spacing w:before="120" w:after="120"/>
        <w:rPr>
          <w:b/>
        </w:rPr>
      </w:pPr>
      <w:r>
        <w:rPr>
          <w:b/>
        </w:rPr>
        <w:t>3.4.1 Description</w:t>
      </w:r>
    </w:p>
    <w:p w14:paraId="5B27E656" w14:textId="0D3F022F" w:rsidR="006F45CF" w:rsidRDefault="006F45CF" w:rsidP="006F45CF">
      <w:r>
        <w:t xml:space="preserve">Risk pooling is a model whereby operators or, more generally, persons exposed to a particular risk mutually agree to cover each other’s losses via a risk sharing or a risk distribution agreement. Suppose that 100 operators would each face a 1% probability of being exposed to a risk (for example losing a crop as a result of a storm) which could create a loss of 100.000 during a period of, say, 1 year. Risk aversion might inhibit the operators from engaging in the activity altogether as the land may be the only </w:t>
      </w:r>
      <w:proofErr w:type="gramStart"/>
      <w:r>
        <w:t>asset</w:t>
      </w:r>
      <w:proofErr w:type="gramEnd"/>
      <w:r>
        <w:t xml:space="preserve"> they possess which would be exposed to the relatively high risk (1%) of a total loss. The operators in this example could mutually share each other’s </w:t>
      </w:r>
      <w:r w:rsidRPr="002F3692">
        <w:t xml:space="preserve">losses </w:t>
      </w:r>
      <w:r>
        <w:t xml:space="preserve">by agreeing </w:t>
      </w:r>
      <w:r w:rsidRPr="72D63BC7">
        <w:rPr>
          <w:i/>
          <w:iCs/>
        </w:rPr>
        <w:t>ex ante</w:t>
      </w:r>
      <w:r>
        <w:t xml:space="preserve"> that each pays 1.000.</w:t>
      </w:r>
      <w:r>
        <w:rPr>
          <w:rStyle w:val="FootnoteReference"/>
        </w:rPr>
        <w:footnoteReference w:id="95"/>
      </w:r>
      <w:r>
        <w:t xml:space="preserve"> By taking the certain loss of 1.000, operators have traded risk and removed risk aversion. Once the risk materializes, 100 x 1.000 = 100.000 is available to cover the loss.</w:t>
      </w:r>
      <w:r>
        <w:rPr>
          <w:rStyle w:val="FootnoteReference"/>
        </w:rPr>
        <w:footnoteReference w:id="96"/>
      </w:r>
      <w:r>
        <w:t xml:space="preserve"> </w:t>
      </w:r>
    </w:p>
    <w:p w14:paraId="45438510" w14:textId="77777777" w:rsidR="00AC35E8" w:rsidRDefault="00AC35E8" w:rsidP="006F45CF"/>
    <w:p w14:paraId="24BC4AEF" w14:textId="77777777" w:rsidR="006F45CF" w:rsidRDefault="006F45CF" w:rsidP="006F45CF">
      <w:pPr>
        <w:rPr>
          <w:rFonts w:eastAsiaTheme="minorEastAsia"/>
        </w:rPr>
      </w:pPr>
      <w:r>
        <w:t xml:space="preserve">The essence of such a risk sharing agreement is that there is no shifting of risk to a third party (like an insurance company), but that those exposed to the risk directly and mutually share each other’s </w:t>
      </w:r>
      <w:r w:rsidRPr="002F3692">
        <w:t>losses</w:t>
      </w:r>
      <w:r>
        <w:t xml:space="preserve">. As the likelihood that the pool </w:t>
      </w:r>
      <w:proofErr w:type="gramStart"/>
      <w:r>
        <w:t>has to</w:t>
      </w:r>
      <w:proofErr w:type="gramEnd"/>
      <w:r>
        <w:t xml:space="preserve"> pay out depends upon the safety efforts of all members, prevention becomes a collective responsibility. Differently from the example where the risk was exogenous and created by a natural hazard, risk pooling could also be used where operators have an influence on the risk that damage occurs (for example in case of tanker owners pooling the risk of liability for oil pollution damage). In that case, the likelihood that the pool </w:t>
      </w:r>
      <w:proofErr w:type="gramStart"/>
      <w:r>
        <w:t>has to</w:t>
      </w:r>
      <w:proofErr w:type="gramEnd"/>
      <w:r>
        <w:t xml:space="preserve"> pay depends to some extent on the safety measures employed by each member to reduce the risk. This gives the members of the pool strong incentives towards mutual </w:t>
      </w:r>
      <w:r>
        <w:lastRenderedPageBreak/>
        <w:t xml:space="preserve">monitoring of safety. In order to prevent members in the pool from free-riding, managers of the pool will strictly check that the pool members do not take unreasonable risks. If one pool member would create higher risks than others, its contribution to the pool would increase to account for this higher risk. That should give that </w:t>
      </w:r>
      <w:proofErr w:type="gramStart"/>
      <w:r>
        <w:t>particular member</w:t>
      </w:r>
      <w:proofErr w:type="gramEnd"/>
      <w:r>
        <w:t xml:space="preserve"> an incentive for prevention. If the risks created by one particular member would be very high (and there would thus be heterogeneity between the pool members), it is most likely that member would be excluded from the pool to exclude the risk of free-riding on the other pool members.</w:t>
      </w:r>
    </w:p>
    <w:p w14:paraId="6693768F" w14:textId="77777777" w:rsidR="006F45CF" w:rsidRDefault="006F45CF" w:rsidP="006F45CF"/>
    <w:p w14:paraId="42382D95" w14:textId="77777777" w:rsidR="006F45CF" w:rsidRDefault="006F45CF" w:rsidP="009168FF">
      <w:pPr>
        <w:pBdr>
          <w:top w:val="single" w:sz="4" w:space="1" w:color="auto"/>
          <w:left w:val="single" w:sz="4" w:space="4" w:color="auto"/>
          <w:bottom w:val="single" w:sz="4" w:space="1" w:color="auto"/>
          <w:right w:val="single" w:sz="4" w:space="4" w:color="auto"/>
        </w:pBdr>
        <w:spacing w:after="120"/>
      </w:pPr>
      <w:r w:rsidRPr="0077196B">
        <w:rPr>
          <w:b/>
        </w:rPr>
        <w:t xml:space="preserve">Box </w:t>
      </w:r>
      <w:r>
        <w:rPr>
          <w:b/>
        </w:rPr>
        <w:t>3</w:t>
      </w:r>
      <w:r w:rsidRPr="0077196B">
        <w:rPr>
          <w:b/>
        </w:rPr>
        <w:t>: Risk sharing agreements versus pooling by insurers</w:t>
      </w:r>
      <w:r>
        <w:t xml:space="preserve"> </w:t>
      </w:r>
    </w:p>
    <w:p w14:paraId="00397A9C" w14:textId="77777777" w:rsidR="006F45CF" w:rsidRDefault="006F45CF" w:rsidP="006F45CF">
      <w:pPr>
        <w:pBdr>
          <w:top w:val="single" w:sz="4" w:space="1" w:color="auto"/>
          <w:left w:val="single" w:sz="4" w:space="4" w:color="auto"/>
          <w:bottom w:val="single" w:sz="4" w:space="1" w:color="auto"/>
          <w:right w:val="single" w:sz="4" w:space="4" w:color="auto"/>
        </w:pBdr>
      </w:pPr>
      <w:r>
        <w:t xml:space="preserve">The concept of “pooling” is used for two mechanisms which should be carefully distinguished. There is on the one hand a pooling of risks by insurance companies. In that case, insurance companies exclude competition to deal with a particular risk and bring all capacity together in one pool. It implies that for a particular risk, usually within one country, insurance companies pool the capacity into, for example, an environmental pool. The effect is that through this pooling by insurers, a much larger capacity can be generated than when insurers would offer coverage separately. The individual insured can only insure the risk with the </w:t>
      </w:r>
      <w:proofErr w:type="gramStart"/>
      <w:r>
        <w:t>particular pool</w:t>
      </w:r>
      <w:proofErr w:type="gramEnd"/>
      <w:r>
        <w:t xml:space="preserve"> and no longer with the separate insurers. The pool therefore effectively functions as a monopoly (and is for that reason in many jurisdictions scrutinized by competition authorities). Pools are often created for catastrophic risks, such as the nuclear risk. Nuclear power plants can therefore only obtain insurance from the pools. In some countries, also some environmental risks are </w:t>
      </w:r>
      <w:proofErr w:type="gramStart"/>
      <w:r>
        <w:t>pooled</w:t>
      </w:r>
      <w:proofErr w:type="gramEnd"/>
      <w:r>
        <w:t xml:space="preserve"> and those risks are then covered by national insurance pools. This is for example the case with the environmental pool in the Netherlands and </w:t>
      </w:r>
      <w:proofErr w:type="spellStart"/>
      <w:r>
        <w:t>Assurpol</w:t>
      </w:r>
      <w:proofErr w:type="spellEnd"/>
      <w:r>
        <w:t xml:space="preserve"> in France.</w:t>
      </w:r>
    </w:p>
    <w:p w14:paraId="4CFBFA7E" w14:textId="77777777" w:rsidR="007256E5" w:rsidRDefault="007256E5" w:rsidP="006F45CF">
      <w:pPr>
        <w:pBdr>
          <w:top w:val="single" w:sz="4" w:space="1" w:color="auto"/>
          <w:left w:val="single" w:sz="4" w:space="4" w:color="auto"/>
          <w:bottom w:val="single" w:sz="4" w:space="1" w:color="auto"/>
          <w:right w:val="single" w:sz="4" w:space="4" w:color="auto"/>
        </w:pBdr>
      </w:pPr>
    </w:p>
    <w:p w14:paraId="38215F1B" w14:textId="695069E9" w:rsidR="006F45CF" w:rsidRDefault="006F45CF" w:rsidP="006F45CF">
      <w:pPr>
        <w:pBdr>
          <w:top w:val="single" w:sz="4" w:space="1" w:color="auto"/>
          <w:left w:val="single" w:sz="4" w:space="4" w:color="auto"/>
          <w:bottom w:val="single" w:sz="4" w:space="1" w:color="auto"/>
          <w:right w:val="single" w:sz="4" w:space="4" w:color="auto"/>
        </w:pBdr>
        <w:rPr>
          <w:rStyle w:val="FootnoteReference"/>
        </w:rPr>
      </w:pPr>
      <w:r>
        <w:t>This pooling of insurers should be carefully distinguished from the risk sharing agreements between operators where in principle no insurance company intervenes. As the same word “pooling” is used to cover both concepts, that may be confusing.</w:t>
      </w:r>
      <w:r>
        <w:rPr>
          <w:rStyle w:val="FootnoteReference"/>
        </w:rPr>
        <w:footnoteReference w:id="97"/>
      </w:r>
    </w:p>
    <w:p w14:paraId="734A5DA2" w14:textId="77777777" w:rsidR="006F45CF" w:rsidRDefault="006F45CF" w:rsidP="006F45CF"/>
    <w:p w14:paraId="06F6FB61" w14:textId="77777777" w:rsidR="006F45CF" w:rsidRPr="00F11942" w:rsidRDefault="006F45CF" w:rsidP="00AC35E8">
      <w:pPr>
        <w:spacing w:after="120"/>
        <w:rPr>
          <w:b/>
          <w:bCs/>
        </w:rPr>
      </w:pPr>
      <w:r w:rsidRPr="2C80AB93">
        <w:rPr>
          <w:b/>
          <w:bCs/>
        </w:rPr>
        <w:t>3.4.2 Conditions</w:t>
      </w:r>
    </w:p>
    <w:p w14:paraId="4C165E87" w14:textId="00E5C0EB" w:rsidR="006F45CF" w:rsidRDefault="006F45CF" w:rsidP="006F45CF">
      <w:r>
        <w:t xml:space="preserve">Risk pooling between operators generally requires that the administrative costs of creating and operating the pool are not too large. This implies that, for example, the number of participants should be relatively limited in order to keep mutual monitoring possible. For this reason, risk sharing agreements typically emerge between a relatively small number of participants. This </w:t>
      </w:r>
      <w:proofErr w:type="gramStart"/>
      <w:r>
        <w:t>is in contrast to</w:t>
      </w:r>
      <w:proofErr w:type="gramEnd"/>
      <w:r>
        <w:t xml:space="preserve"> insurance which, as explained above, </w:t>
      </w:r>
      <w:r w:rsidDel="00F11942">
        <w:t>needs a large number of</w:t>
      </w:r>
      <w:r>
        <w:t xml:space="preserve"> insured to be feasible.</w:t>
      </w:r>
      <w:r>
        <w:rPr>
          <w:rStyle w:val="FootnoteReference"/>
        </w:rPr>
        <w:footnoteReference w:id="98"/>
      </w:r>
      <w:r>
        <w:t xml:space="preserve">  Risk pooling generally requires an orchestrator taking the initiative to create the pool and some person or institution to manage the pool. The members or the institution should possess information enabling them to engage in mutual monitoring. Given the specific conditions needed for risk pooling arrangements, pools often emerge with rather homogeneous risks.</w:t>
      </w:r>
    </w:p>
    <w:p w14:paraId="0926B7D0" w14:textId="77777777" w:rsidR="00AC35E8" w:rsidRDefault="00AC35E8" w:rsidP="006F45CF"/>
    <w:p w14:paraId="113533EB" w14:textId="55225579" w:rsidR="006F45CF" w:rsidRDefault="006F45CF" w:rsidP="006F45CF">
      <w:r>
        <w:t xml:space="preserve">Note, however, that (different from insurance) statistical information on the probability that a particular risk would occur is not strictly necessary as an </w:t>
      </w:r>
      <w:r w:rsidRPr="72D63BC7">
        <w:rPr>
          <w:i/>
          <w:iCs/>
        </w:rPr>
        <w:t>ex ante</w:t>
      </w:r>
      <w:r>
        <w:t xml:space="preserve"> calculation and payment of a premium may not be required. An </w:t>
      </w:r>
      <w:r w:rsidRPr="72D63BC7">
        <w:rPr>
          <w:i/>
          <w:iCs/>
        </w:rPr>
        <w:t>ex ante</w:t>
      </w:r>
      <w:r>
        <w:t xml:space="preserve"> agreement on the </w:t>
      </w:r>
      <w:r w:rsidRPr="72D63BC7">
        <w:rPr>
          <w:i/>
          <w:iCs/>
        </w:rPr>
        <w:t>ex post</w:t>
      </w:r>
      <w:r>
        <w:t xml:space="preserve"> sharing of losses arising from damage is </w:t>
      </w:r>
      <w:proofErr w:type="gramStart"/>
      <w:r>
        <w:t>sufficient</w:t>
      </w:r>
      <w:proofErr w:type="gramEnd"/>
      <w:r>
        <w:t>. That explains why risk pooling may be relatively attractive for new risks where insurers may lack the statistical information needed to calculate premiums.</w:t>
      </w:r>
      <w:r>
        <w:rPr>
          <w:rStyle w:val="FootnoteReference"/>
        </w:rPr>
        <w:footnoteReference w:id="99"/>
      </w:r>
      <w:r>
        <w:t xml:space="preserve"> Even though in a risk-sharing agreement the </w:t>
      </w:r>
      <w:proofErr w:type="spellStart"/>
      <w:r w:rsidRPr="00DC3D18">
        <w:rPr>
          <w:i/>
        </w:rPr>
        <w:t>ex ante</w:t>
      </w:r>
      <w:proofErr w:type="spellEnd"/>
      <w:r>
        <w:t xml:space="preserve"> payment of a contribution is not strictly necessary, in practice there will often be a particular contribution that the members do pay to the pool. But the important point is the flexibility of the arrangement. That implies that if no damage would occur in one year, the subsequent year a lower contribution or even no contribution at all could be charged.</w:t>
      </w:r>
    </w:p>
    <w:p w14:paraId="2135F54D" w14:textId="77777777" w:rsidR="00961A1A" w:rsidRDefault="00961A1A" w:rsidP="006F45CF"/>
    <w:p w14:paraId="41156DCD" w14:textId="77777777" w:rsidR="006F45CF" w:rsidRPr="00BD4AC5" w:rsidRDefault="006F45CF" w:rsidP="00AC35E8">
      <w:pPr>
        <w:spacing w:after="120"/>
        <w:rPr>
          <w:b/>
          <w:bCs/>
        </w:rPr>
      </w:pPr>
      <w:r>
        <w:rPr>
          <w:b/>
          <w:bCs/>
        </w:rPr>
        <w:t xml:space="preserve">3.4.3 </w:t>
      </w:r>
      <w:r w:rsidRPr="00BD4AC5">
        <w:rPr>
          <w:b/>
          <w:bCs/>
        </w:rPr>
        <w:t>Practice</w:t>
      </w:r>
    </w:p>
    <w:p w14:paraId="6E222A7C" w14:textId="1B7C39ED" w:rsidR="006F45CF" w:rsidRDefault="006F45CF" w:rsidP="006F45CF">
      <w:r>
        <w:t xml:space="preserve">To the best of this author’s knowledge, no true risk-sharing arrangement as described in the previous sections exists for LMO-related damage, but </w:t>
      </w:r>
      <w:proofErr w:type="gramStart"/>
      <w:r>
        <w:t>a number of</w:t>
      </w:r>
      <w:proofErr w:type="gramEnd"/>
      <w:r>
        <w:t xml:space="preserve"> hybrid variants have been developed. The main characteristics of those arrangements that make them different from the typical risk-sharing arrangement will be described in section 3.7. In addition, in several other domains, risk-sharing agreements have emerged to cover environmental risks or attempts have been undertaken to develop them. </w:t>
      </w:r>
      <w:r w:rsidRPr="00AB3449">
        <w:t xml:space="preserve">Those may provide insights into the likely development of risk-sharing agreements for </w:t>
      </w:r>
      <w:r w:rsidRPr="00A2448F">
        <w:t>LMO-related risks</w:t>
      </w:r>
      <w:r>
        <w:t xml:space="preserve">. </w:t>
      </w:r>
    </w:p>
    <w:p w14:paraId="07C6F9FD" w14:textId="77777777" w:rsidR="00AC35E8" w:rsidRDefault="00AC35E8" w:rsidP="006F45CF"/>
    <w:p w14:paraId="2FC4CF29" w14:textId="1E6E76B5" w:rsidR="006F45CF" w:rsidRDefault="006F45CF" w:rsidP="006F45CF">
      <w:r>
        <w:t>Some agricultural insurances (i.e. first party cover providing farmers with financial protection against damage from natural events such as drought, hail, wind, etc.) are constructed as risk-pooling schemes.</w:t>
      </w:r>
      <w:r>
        <w:rPr>
          <w:rStyle w:val="FootnoteReference"/>
        </w:rPr>
        <w:footnoteReference w:id="100"/>
      </w:r>
      <w:r>
        <w:t xml:space="preserve"> To the extent that those schemes do not exclude damage related to LMOs, that could be considered as an (implicit) LMO risk pooling scheme.</w:t>
      </w:r>
      <w:r>
        <w:rPr>
          <w:rStyle w:val="FootnoteReference"/>
        </w:rPr>
        <w:footnoteReference w:id="101"/>
      </w:r>
      <w:r>
        <w:t xml:space="preserve"> It is, however, unlikely that those schemes would cover the type of damage envisaged by the NKLSP. The literature mentions </w:t>
      </w:r>
      <w:r w:rsidRPr="72D63BC7">
        <w:rPr>
          <w:i/>
          <w:iCs/>
        </w:rPr>
        <w:t>ex ante</w:t>
      </w:r>
      <w:r>
        <w:t xml:space="preserve"> contractual solutions between (GM and non-GM) farmers to deal with the admixture problems.</w:t>
      </w:r>
      <w:r>
        <w:rPr>
          <w:rStyle w:val="FootnoteReference"/>
        </w:rPr>
        <w:footnoteReference w:id="102"/>
      </w:r>
      <w:r>
        <w:t xml:space="preserve"> Although these contractual arrangements may provide for an </w:t>
      </w:r>
      <w:r w:rsidRPr="72D63BC7">
        <w:rPr>
          <w:i/>
          <w:iCs/>
        </w:rPr>
        <w:t>ex ante</w:t>
      </w:r>
      <w:r>
        <w:t xml:space="preserve"> arrangement of potential damage (and in that sense also for financial security), there is no risk-spreading and formally those contractual solutions can therefore not be qualified as a risk-pooling. </w:t>
      </w:r>
    </w:p>
    <w:p w14:paraId="2C4C11F7" w14:textId="77777777" w:rsidR="006F45CF" w:rsidRDefault="006F45CF" w:rsidP="006F45CF"/>
    <w:p w14:paraId="7D5A01CD" w14:textId="77777777" w:rsidR="006F45CF" w:rsidRPr="00EA7040" w:rsidRDefault="006F45CF" w:rsidP="009168FF">
      <w:pPr>
        <w:pBdr>
          <w:top w:val="single" w:sz="4" w:space="1" w:color="auto"/>
          <w:left w:val="single" w:sz="4" w:space="4" w:color="auto"/>
          <w:bottom w:val="single" w:sz="4" w:space="1" w:color="auto"/>
          <w:right w:val="single" w:sz="4" w:space="4" w:color="auto"/>
        </w:pBdr>
        <w:spacing w:after="120"/>
        <w:rPr>
          <w:b/>
        </w:rPr>
      </w:pPr>
      <w:r w:rsidRPr="00EA7040">
        <w:rPr>
          <w:b/>
        </w:rPr>
        <w:t xml:space="preserve">Box </w:t>
      </w:r>
      <w:r>
        <w:rPr>
          <w:b/>
        </w:rPr>
        <w:t>4</w:t>
      </w:r>
      <w:r w:rsidRPr="00EA7040">
        <w:rPr>
          <w:b/>
        </w:rPr>
        <w:t>: Domestic level</w:t>
      </w:r>
    </w:p>
    <w:p w14:paraId="010403D9" w14:textId="77777777" w:rsidR="006F45CF" w:rsidRDefault="006F45CF" w:rsidP="006F45CF">
      <w:pPr>
        <w:pBdr>
          <w:top w:val="single" w:sz="4" w:space="1" w:color="auto"/>
          <w:left w:val="single" w:sz="4" w:space="4" w:color="auto"/>
          <w:bottom w:val="single" w:sz="4" w:space="1" w:color="auto"/>
          <w:right w:val="single" w:sz="4" w:space="4" w:color="auto"/>
        </w:pBdr>
      </w:pPr>
      <w:r>
        <w:t xml:space="preserve">At the domestic level, there are several compensation funds or </w:t>
      </w:r>
      <w:r w:rsidRPr="72D63BC7">
        <w:rPr>
          <w:i/>
          <w:iCs/>
        </w:rPr>
        <w:t>ad hoc</w:t>
      </w:r>
      <w:r>
        <w:t xml:space="preserve"> solutions, most of which will be discussed in the next section related to funding.</w:t>
      </w:r>
      <w:r>
        <w:rPr>
          <w:rStyle w:val="FootnoteReference"/>
        </w:rPr>
        <w:footnoteReference w:id="103"/>
      </w:r>
      <w:r>
        <w:t xml:space="preserve"> Those models sometimes foresee a payment by operators meant to cover potential damage, but in those cases there is no voluntary risk-sharing, but simply a levy that has to be paid on a statutory basis.</w:t>
      </w:r>
      <w:r>
        <w:rPr>
          <w:rStyle w:val="FootnoteReference"/>
        </w:rPr>
        <w:footnoteReference w:id="104"/>
      </w:r>
    </w:p>
    <w:p w14:paraId="12143E61" w14:textId="77777777" w:rsidR="006F45CF" w:rsidRDefault="006F45CF" w:rsidP="006F45CF"/>
    <w:p w14:paraId="2DA9B89A" w14:textId="77711DEC" w:rsidR="006F45CF" w:rsidRDefault="006F45CF" w:rsidP="006F45CF">
      <w:r>
        <w:t>In several other domains, risk-sharing agreements have emerged to cover environmental risks. The most prominent example is probably the risk-sharing in the maritime sector provided by the so-called Protection and Indemnity Clubs (P&amp;I Clubs). Those are mutual insurance associations established by ship owners and charterers to cover third party liabilities related to the use and operation of ships. The several P&amp;I Clubs have joined their forces in an international group of P&amp;I Clubs. They play an important role, for example in covering liability for oil pollution damage created by tankers.</w:t>
      </w:r>
      <w:r>
        <w:rPr>
          <w:rStyle w:val="FootnoteReference"/>
        </w:rPr>
        <w:footnoteReference w:id="105"/>
      </w:r>
      <w:r>
        <w:t xml:space="preserve"> The P&amp;I Club monitors the preventive efforts of all individual members and will, for example, exclude the (more risky) so-called single-hull tankers. At the beginning of a year, a call is made requiring a contribution (comparable to a premium in the case of insurance) from the members. If in a particular year, no accident happens for which the P&amp;I Club needs to intervene, the contribution paid by the members can be reserved for the next year or, in the alternative, if more accidents happen than expected, an additional call could be made. The P&amp;I Club can thus adapt contributions in a flexible manner.</w:t>
      </w:r>
    </w:p>
    <w:p w14:paraId="4995DDB8" w14:textId="77777777" w:rsidR="00AC35E8" w:rsidRDefault="00AC35E8" w:rsidP="006F45CF"/>
    <w:p w14:paraId="631BB51C" w14:textId="1567C6C5" w:rsidR="006F45CF" w:rsidRDefault="006F45CF" w:rsidP="006F45CF">
      <w:r>
        <w:lastRenderedPageBreak/>
        <w:t>Pools have also been created to cover damage related to the nuclear risk</w:t>
      </w:r>
      <w:r>
        <w:rPr>
          <w:rStyle w:val="FootnoteReference"/>
        </w:rPr>
        <w:footnoteReference w:id="106"/>
      </w:r>
      <w:r>
        <w:t>, for damage resulting from offshore oil and gas drilling</w:t>
      </w:r>
      <w:r>
        <w:rPr>
          <w:rStyle w:val="FootnoteReference"/>
        </w:rPr>
        <w:footnoteReference w:id="107"/>
      </w:r>
      <w:r>
        <w:t xml:space="preserve"> and risk-sharing is equally applied on a large scale to cover damage related to fisheries in China. The damage relates </w:t>
      </w:r>
      <w:r w:rsidRPr="002973FE">
        <w:rPr>
          <w:i/>
        </w:rPr>
        <w:t>inter alia</w:t>
      </w:r>
      <w:r>
        <w:t xml:space="preserve"> to damage resulting from the destruction of ships (as a result of bad weather events) but also, for example, to natural disasters causing damage to aquaculture. The fishermen are members of the pool and can call on compensation if the specific conditions for which the pool was created were met. In</w:t>
      </w:r>
      <w:r w:rsidRPr="00325A8C">
        <w:t xml:space="preserve"> that case</w:t>
      </w:r>
      <w:r>
        <w:t>,</w:t>
      </w:r>
      <w:r w:rsidRPr="00325A8C">
        <w:t xml:space="preserve"> the Chinese government (both central and at </w:t>
      </w:r>
      <w:r>
        <w:t>the local level) plays a strong role in the establishment and working of the various risk-sharing agreements.</w:t>
      </w:r>
      <w:r>
        <w:rPr>
          <w:rStyle w:val="FootnoteReference"/>
        </w:rPr>
        <w:footnoteReference w:id="108"/>
      </w:r>
      <w:r>
        <w:t xml:space="preserve"> </w:t>
      </w:r>
    </w:p>
    <w:p w14:paraId="49412EC2" w14:textId="77777777" w:rsidR="00AC35E8" w:rsidRDefault="00AC35E8" w:rsidP="006F45CF"/>
    <w:p w14:paraId="38FFEE78" w14:textId="64ABB558" w:rsidR="006F45CF" w:rsidRDefault="006F45CF" w:rsidP="006F45CF">
      <w:r>
        <w:t xml:space="preserve">The cases where risk-sharing has failed or succeeded can provide information on the conditions for effective risk-sharing. There were risk-sharing pools for damage resulting from offshore drilling but they never were a major success for the simple reason that large oil companies did not want to pool risks with smaller operators, as it would make major operators </w:t>
      </w:r>
      <w:r w:rsidRPr="72D63BC7">
        <w:rPr>
          <w:i/>
          <w:iCs/>
        </w:rPr>
        <w:t>de facto</w:t>
      </w:r>
      <w:r>
        <w:t xml:space="preserve"> the guarantors of smaller players.</w:t>
      </w:r>
      <w:r>
        <w:rPr>
          <w:rStyle w:val="FootnoteReference"/>
        </w:rPr>
        <w:footnoteReference w:id="109"/>
      </w:r>
      <w:r>
        <w:t xml:space="preserve"> The problem with offshore drilling risk was related to the difference in size of the various operators. That implies that a hypothetical risk-sharing scheme between operators of similar size, for example between developers of LMOs, might work. To the contrary, a risk-sharing agreement between for example large developers and GM farmers might fail, because the operators are too diverse. </w:t>
      </w:r>
    </w:p>
    <w:p w14:paraId="2A58EE40" w14:textId="77777777" w:rsidR="00AC35E8" w:rsidRDefault="00AC35E8" w:rsidP="006F45CF"/>
    <w:p w14:paraId="4D6C33FB" w14:textId="30B8DBB4" w:rsidR="006F45CF" w:rsidRDefault="006F45CF" w:rsidP="006F45CF">
      <w:r>
        <w:t>Creating a risk-sharing scheme requires some entity to take the initiative and bring the parties together to create the risk pool. In some cases where risk-sharing between fishermen would be a viable option to deal with risk, the risk-sharing scheme did not emerge because an orchestrator to take the initiative was lacking.</w:t>
      </w:r>
      <w:r>
        <w:rPr>
          <w:rStyle w:val="FootnoteReference"/>
        </w:rPr>
        <w:footnoteReference w:id="110"/>
      </w:r>
    </w:p>
    <w:p w14:paraId="3ED142AF" w14:textId="77777777" w:rsidR="00AC35E8" w:rsidRDefault="00AC35E8" w:rsidP="006F45CF"/>
    <w:p w14:paraId="4B12FB7A" w14:textId="77777777" w:rsidR="006F45CF" w:rsidRDefault="006F45CF" w:rsidP="006F45CF">
      <w:r>
        <w:t xml:space="preserve">In some cases, an outside trigger was the necessary </w:t>
      </w:r>
      <w:proofErr w:type="spellStart"/>
      <w:r>
        <w:t>catalyzer</w:t>
      </w:r>
      <w:proofErr w:type="spellEnd"/>
      <w:r>
        <w:t xml:space="preserve"> for the establishment of a risk-sharing agreement, for example an accident that triggered others to establish a risk-sharing agreement aiming at the prevention and compensation of damage. In practice, it is often a regulatory duty (to seek financial security) which acts as the trigger to create a risk-sharing agreement.</w:t>
      </w:r>
      <w:r>
        <w:rPr>
          <w:rStyle w:val="FootnoteReference"/>
        </w:rPr>
        <w:footnoteReference w:id="111"/>
      </w:r>
      <w:r>
        <w:t xml:space="preserve"> The risk-sharing arrangement can then be used to meet the regulatory duty to seek financial security.</w:t>
      </w:r>
      <w:r>
        <w:rPr>
          <w:rStyle w:val="FootnoteReference"/>
        </w:rPr>
        <w:footnoteReference w:id="112"/>
      </w:r>
    </w:p>
    <w:p w14:paraId="32464240" w14:textId="77777777" w:rsidR="006F45CF" w:rsidRDefault="006F45CF" w:rsidP="006F45CF">
      <w:pPr>
        <w:rPr>
          <w:b/>
        </w:rPr>
      </w:pPr>
    </w:p>
    <w:p w14:paraId="4C685D4D" w14:textId="77777777" w:rsidR="006F45CF" w:rsidRPr="00BD4AC5" w:rsidRDefault="006F45CF" w:rsidP="00AC35E8">
      <w:pPr>
        <w:spacing w:after="120"/>
        <w:rPr>
          <w:b/>
        </w:rPr>
      </w:pPr>
      <w:r>
        <w:rPr>
          <w:b/>
        </w:rPr>
        <w:t xml:space="preserve">3.4.4 </w:t>
      </w:r>
      <w:r w:rsidRPr="00BD4AC5">
        <w:rPr>
          <w:b/>
        </w:rPr>
        <w:t>Analysis</w:t>
      </w:r>
    </w:p>
    <w:p w14:paraId="11A24EBA" w14:textId="00BE5CAC" w:rsidR="00AC35E8" w:rsidRPr="004B20D1" w:rsidRDefault="006F45CF" w:rsidP="00AC35E8">
      <w:pPr>
        <w:spacing w:after="120"/>
      </w:pPr>
      <w:r>
        <w:t xml:space="preserve">Risk-sharing between operators is a valuable financial security instrument as, on the one hand, it can provide incentives for prevention (through the mutual monitoring among the operators participating in the risk-sharing arrangement) and, on the other hand, it can provide compensation for </w:t>
      </w:r>
      <w:r w:rsidRPr="002F3692">
        <w:t>damage</w:t>
      </w:r>
      <w:r>
        <w:t xml:space="preserve">. </w:t>
      </w:r>
      <w:r w:rsidRPr="004B20D1">
        <w:t xml:space="preserve">Risk-sharing can, moreover, theoretically have several advantages compared to insurance: </w:t>
      </w:r>
    </w:p>
    <w:p w14:paraId="016D810E" w14:textId="77777777" w:rsidR="006F45CF" w:rsidRPr="004B20D1" w:rsidRDefault="006F45CF" w:rsidP="005042C4">
      <w:pPr>
        <w:pStyle w:val="ListParagraph"/>
        <w:numPr>
          <w:ilvl w:val="0"/>
          <w:numId w:val="9"/>
        </w:numPr>
        <w:spacing w:after="160" w:line="259" w:lineRule="auto"/>
      </w:pPr>
      <w:r w:rsidRPr="004B20D1">
        <w:t>Risk-sharing creates strong incentives for mutual monitoring as a bad risk member can increase the likelihood that the pool will have to compensate.</w:t>
      </w:r>
    </w:p>
    <w:p w14:paraId="60FCA5BD" w14:textId="77777777" w:rsidR="006F45CF" w:rsidRPr="004B20D1" w:rsidRDefault="006F45CF" w:rsidP="005042C4">
      <w:pPr>
        <w:pStyle w:val="ListParagraph"/>
        <w:numPr>
          <w:ilvl w:val="0"/>
          <w:numId w:val="9"/>
        </w:numPr>
        <w:spacing w:after="160" w:line="259" w:lineRule="auto"/>
      </w:pPr>
      <w:r w:rsidRPr="004B20D1">
        <w:t xml:space="preserve">For highly technical and complicated (often new) risks, operators themselves may have better information (compared to insurers) on optimal preventive technologies, which they can reflect in a differentiation of the contribution to the pool (or excluding membership for bad risks). </w:t>
      </w:r>
    </w:p>
    <w:p w14:paraId="576F3194" w14:textId="77777777" w:rsidR="006F45CF" w:rsidRPr="004B20D1" w:rsidRDefault="006F45CF" w:rsidP="005042C4">
      <w:pPr>
        <w:pStyle w:val="ListParagraph"/>
        <w:numPr>
          <w:ilvl w:val="0"/>
          <w:numId w:val="9"/>
        </w:numPr>
        <w:spacing w:after="160" w:line="259" w:lineRule="auto"/>
      </w:pPr>
      <w:r w:rsidRPr="004B20D1">
        <w:t xml:space="preserve">A risk-sharing agreement does not require actuarial information </w:t>
      </w:r>
      <w:r w:rsidRPr="004B20D1">
        <w:rPr>
          <w:i/>
          <w:iCs/>
        </w:rPr>
        <w:t>ex ante</w:t>
      </w:r>
      <w:r w:rsidRPr="004B20D1">
        <w:t xml:space="preserve"> on the probability of an accident and the scope of the damage as no </w:t>
      </w:r>
      <w:r w:rsidRPr="004B20D1">
        <w:rPr>
          <w:i/>
          <w:iCs/>
        </w:rPr>
        <w:t>ex ante</w:t>
      </w:r>
      <w:r w:rsidRPr="004B20D1">
        <w:t xml:space="preserve"> premium </w:t>
      </w:r>
      <w:proofErr w:type="gramStart"/>
      <w:r w:rsidRPr="004B20D1">
        <w:t>has to</w:t>
      </w:r>
      <w:proofErr w:type="gramEnd"/>
      <w:r w:rsidRPr="004B20D1">
        <w:t xml:space="preserve"> be fixed. </w:t>
      </w:r>
      <w:r w:rsidRPr="004B20D1">
        <w:rPr>
          <w:i/>
          <w:iCs/>
        </w:rPr>
        <w:t>Ex ante</w:t>
      </w:r>
      <w:r w:rsidRPr="004B20D1">
        <w:t xml:space="preserve"> information </w:t>
      </w:r>
      <w:r w:rsidRPr="004B20D1">
        <w:lastRenderedPageBreak/>
        <w:t>is</w:t>
      </w:r>
      <w:r>
        <w:t xml:space="preserve"> only</w:t>
      </w:r>
      <w:r w:rsidRPr="004B20D1">
        <w:t xml:space="preserve"> needed </w:t>
      </w:r>
      <w:r>
        <w:t>to establish</w:t>
      </w:r>
      <w:r w:rsidRPr="004B20D1">
        <w:t xml:space="preserve"> the relative contribution of each member to the risk, but this does not necessarily have to be translated into a premium.</w:t>
      </w:r>
    </w:p>
    <w:p w14:paraId="5FCDF1FA" w14:textId="77777777" w:rsidR="006F45CF" w:rsidRPr="004B20D1" w:rsidRDefault="006F45CF" w:rsidP="005042C4">
      <w:pPr>
        <w:pStyle w:val="ListParagraph"/>
        <w:numPr>
          <w:ilvl w:val="0"/>
          <w:numId w:val="9"/>
        </w:numPr>
        <w:spacing w:after="160" w:line="259" w:lineRule="auto"/>
      </w:pPr>
      <w:r w:rsidRPr="004B20D1">
        <w:t>Unlike insurance, when the risk would not emerge, no premiums are paid to an insurance company that are (at least in the view of the operator) “lost”. If the risk for which the risk-sharing agreement is concluded does not emerge, the members of the risk-pooling scheme do not have to contribute.</w:t>
      </w:r>
      <w:r w:rsidRPr="004B20D1">
        <w:rPr>
          <w:rStyle w:val="FootnoteReference"/>
        </w:rPr>
        <w:footnoteReference w:id="113"/>
      </w:r>
    </w:p>
    <w:p w14:paraId="5BF6CACA" w14:textId="25CE91DC" w:rsidR="00AC35E8" w:rsidRDefault="006F45CF" w:rsidP="00AC35E8">
      <w:pPr>
        <w:spacing w:after="120"/>
      </w:pPr>
      <w:r>
        <w:t xml:space="preserve">There are also particular limits of risk-sharing: </w:t>
      </w:r>
    </w:p>
    <w:p w14:paraId="06DE0EB8" w14:textId="77777777" w:rsidR="006F45CF" w:rsidRDefault="006F45CF" w:rsidP="005042C4">
      <w:pPr>
        <w:pStyle w:val="ListParagraph"/>
        <w:numPr>
          <w:ilvl w:val="0"/>
          <w:numId w:val="10"/>
        </w:numPr>
        <w:spacing w:after="160" w:line="259" w:lineRule="auto"/>
      </w:pPr>
      <w:r>
        <w:t xml:space="preserve">Risk-sharing can only emerge when there is relatively small number of members in the pool. </w:t>
      </w:r>
    </w:p>
    <w:p w14:paraId="0FE74A31" w14:textId="77777777" w:rsidR="006F45CF" w:rsidRDefault="006F45CF" w:rsidP="005042C4">
      <w:pPr>
        <w:pStyle w:val="ListParagraph"/>
        <w:numPr>
          <w:ilvl w:val="0"/>
          <w:numId w:val="10"/>
        </w:numPr>
        <w:spacing w:after="160" w:line="259" w:lineRule="auto"/>
      </w:pPr>
      <w:r>
        <w:t xml:space="preserve">Risks also </w:t>
      </w:r>
      <w:proofErr w:type="gramStart"/>
      <w:r>
        <w:t>have to</w:t>
      </w:r>
      <w:proofErr w:type="gramEnd"/>
      <w:r>
        <w:t xml:space="preserve"> be relatively homogeneous; there is otherwise a possibility for riskier operators to be excluded from the risk-pooling arrangement.</w:t>
      </w:r>
    </w:p>
    <w:p w14:paraId="3715E6C2" w14:textId="1AAB34EF" w:rsidR="006F45CF" w:rsidRDefault="006F45CF" w:rsidP="006F45CF">
      <w:r>
        <w:t>Risk-sharing agreements can potentially provide first party compensation (for the damage to which operators may be exposed) and for third party liability (as in the case of the P&amp;I Clubs for oil pollution). As risk-sharing agreements are based on a collective risk-sharing, there is a strong incentive towards mutual monitoring, thus potentially excluding or at least seriously reducing the moral hazard risk. As participants in a risk pool are assumed to have good information on the types of risks the pool covers, the respective contributions to the pool can be aligned to the individual risk, thus much better reducing moral hazard than under insurance. Incentives for prevention could thus be optimal in a risk-sharing agreement. However, for risk-sharing arrangements to emerge and function, some very specific conditions, previously mentioned, need to be met.</w:t>
      </w:r>
    </w:p>
    <w:p w14:paraId="351A830D" w14:textId="77777777" w:rsidR="00961A1A" w:rsidRDefault="00961A1A" w:rsidP="006F45CF"/>
    <w:p w14:paraId="5E4279B7" w14:textId="77777777" w:rsidR="006F45CF" w:rsidRPr="00BD4AC5" w:rsidRDefault="006F45CF" w:rsidP="00AC35E8">
      <w:pPr>
        <w:spacing w:after="120"/>
        <w:rPr>
          <w:b/>
        </w:rPr>
      </w:pPr>
      <w:r>
        <w:rPr>
          <w:b/>
        </w:rPr>
        <w:t xml:space="preserve">3.4.5 </w:t>
      </w:r>
      <w:r w:rsidRPr="00BD4AC5">
        <w:rPr>
          <w:b/>
        </w:rPr>
        <w:t>Role of government</w:t>
      </w:r>
    </w:p>
    <w:p w14:paraId="37444822" w14:textId="77777777" w:rsidR="006F45CF" w:rsidRDefault="006F45CF" w:rsidP="006F45CF">
      <w:r>
        <w:t>While risk-sharing agreements are usually the result of private initiative, governments can still play a role in facilitating the establishment of such agreements. Governments can require certain operators to provide financial security</w:t>
      </w:r>
      <w:r>
        <w:rPr>
          <w:rStyle w:val="FootnoteReference"/>
        </w:rPr>
        <w:footnoteReference w:id="114"/>
      </w:r>
      <w:r>
        <w:t xml:space="preserve"> which may trigger the creation of a risk-sharing agreement among these operators. An important condition for risk-sharing is that members </w:t>
      </w:r>
      <w:proofErr w:type="gramStart"/>
      <w:r>
        <w:t>are able to</w:t>
      </w:r>
      <w:proofErr w:type="gramEnd"/>
      <w:r>
        <w:t xml:space="preserve"> monitor other members</w:t>
      </w:r>
      <w:r>
        <w:rPr>
          <w:rStyle w:val="FootnoteReference"/>
        </w:rPr>
        <w:footnoteReference w:id="115"/>
      </w:r>
      <w:r>
        <w:t xml:space="preserve"> - this can be facilitated through the creation of safety standards. Accordingly, governments can also facilitate risk-sharing arrangements by setting such safety standards,</w:t>
      </w:r>
      <w:r w:rsidRPr="004C2135">
        <w:rPr>
          <w:vertAlign w:val="superscript"/>
        </w:rPr>
        <w:footnoteReference w:id="116"/>
      </w:r>
      <w:r>
        <w:t xml:space="preserve"> although safety standards could also be created by private standard setting organizations. Finally, the government can also play an important role in stimulating the creation of a risk-sharing agreement by providing a subsidy on the contributions to be paid by the members in the pool. For example, in the Chinese fishing industry, risk-sharing agreements have emerged at a large scale, but this is to an important extent due to the fact that (central and local) governments have initiated the creation of risk pools and have in some cases also subsidized them.</w:t>
      </w:r>
      <w:r>
        <w:rPr>
          <w:rStyle w:val="FootnoteReference"/>
        </w:rPr>
        <w:footnoteReference w:id="117"/>
      </w:r>
    </w:p>
    <w:p w14:paraId="51901458" w14:textId="77777777" w:rsidR="006F45CF" w:rsidRDefault="006F45CF" w:rsidP="006F45CF"/>
    <w:p w14:paraId="1F696590" w14:textId="77777777" w:rsidR="006F45CF" w:rsidRPr="00C64B17" w:rsidRDefault="006F45CF" w:rsidP="00AC35E8">
      <w:pPr>
        <w:pStyle w:val="Heading2"/>
        <w:jc w:val="left"/>
        <w:rPr>
          <w:sz w:val="24"/>
          <w:szCs w:val="28"/>
        </w:rPr>
      </w:pPr>
      <w:bookmarkStart w:id="30" w:name="_Toc82176416"/>
      <w:r w:rsidRPr="00C64B17">
        <w:rPr>
          <w:sz w:val="24"/>
          <w:szCs w:val="28"/>
        </w:rPr>
        <w:t>3.5 Fund</w:t>
      </w:r>
      <w:bookmarkEnd w:id="30"/>
    </w:p>
    <w:p w14:paraId="296A06E0" w14:textId="77777777" w:rsidR="006F45CF" w:rsidRPr="00BD4AC5" w:rsidRDefault="006F45CF" w:rsidP="00C64B17">
      <w:pPr>
        <w:spacing w:before="120" w:after="120"/>
        <w:rPr>
          <w:b/>
        </w:rPr>
      </w:pPr>
      <w:r>
        <w:rPr>
          <w:b/>
        </w:rPr>
        <w:t xml:space="preserve">3.5.1 </w:t>
      </w:r>
      <w:r w:rsidRPr="00BD4AC5">
        <w:rPr>
          <w:b/>
        </w:rPr>
        <w:t>Description</w:t>
      </w:r>
    </w:p>
    <w:p w14:paraId="639696BD" w14:textId="6FEEED67" w:rsidR="006F45CF" w:rsidRDefault="006F45CF" w:rsidP="006F45CF">
      <w:r>
        <w:t xml:space="preserve">A compensation fund is a mechanism that directly compensates the damage suffered by a particular victim. In a fund construction, the victim no longer addresses the liable injurer but seeks compensation from the fund. The fund could be financed by the general </w:t>
      </w:r>
      <w:proofErr w:type="gramStart"/>
      <w:r>
        <w:t>tax payer</w:t>
      </w:r>
      <w:proofErr w:type="gramEnd"/>
      <w:r>
        <w:t xml:space="preserve"> or through contributions from activities that potentially create the damage for which the fund was created. Some funds provide for the possibility to take recourse against the liable injurer after first having compensated the victim.</w:t>
      </w:r>
      <w:r w:rsidR="00AC35E8">
        <w:t xml:space="preserve"> </w:t>
      </w:r>
    </w:p>
    <w:p w14:paraId="3C166B06" w14:textId="77777777" w:rsidR="00AC35E8" w:rsidRDefault="00AC35E8" w:rsidP="006F45CF"/>
    <w:p w14:paraId="2321C8EC" w14:textId="15A75E9E" w:rsidR="006F45CF" w:rsidRDefault="006F45CF" w:rsidP="006F45CF">
      <w:r>
        <w:lastRenderedPageBreak/>
        <w:t xml:space="preserve">A compensation fund can take many different forms. The essence is that it is usually run by the government as an alternative to market-based solutions (such as insurance) or as an additional layer for compensation (in addition to liability and liability insurance). A compensation fund does not usually provide full compensation (as under an insurance scheme), but rather fixed, standardized amounts which may be lower than the damage suffered by the victim. There may be different rationales for creating a compensation fund. In some cases, funds are established to compensate when no liable injurer can be identified (for example in the case of a natural disaster); in other cases, a fund may be created to provide speedy compensation to the victim (thus avoiding lengthy procedures before a court). Funds are also established to create an additional layer to the compensation provided through other mechanisms, such as liability insurance. An example of such a </w:t>
      </w:r>
      <w:r w:rsidR="00AC35E8">
        <w:t>multi-layered</w:t>
      </w:r>
      <w:r>
        <w:t xml:space="preserve"> structure of compensation, combining insurance and government intervention can be found in the nuclear liability legislation in India (see box 5).</w:t>
      </w:r>
    </w:p>
    <w:p w14:paraId="6225CDAA" w14:textId="77777777" w:rsidR="006F45CF" w:rsidRDefault="006F45CF" w:rsidP="006F45CF"/>
    <w:p w14:paraId="5F4FDAFB" w14:textId="77777777" w:rsidR="006F45CF" w:rsidRPr="006B3C15" w:rsidRDefault="006F45CF" w:rsidP="009168FF">
      <w:pPr>
        <w:pBdr>
          <w:top w:val="single" w:sz="4" w:space="1" w:color="auto"/>
          <w:left w:val="single" w:sz="4" w:space="4" w:color="auto"/>
          <w:bottom w:val="single" w:sz="4" w:space="1" w:color="auto"/>
          <w:right w:val="single" w:sz="4" w:space="4" w:color="auto"/>
        </w:pBdr>
        <w:spacing w:after="120"/>
        <w:rPr>
          <w:b/>
        </w:rPr>
      </w:pPr>
      <w:r w:rsidRPr="006B3C15">
        <w:rPr>
          <w:b/>
        </w:rPr>
        <w:t>Box 5: Compensating nuclear damage in India</w:t>
      </w:r>
    </w:p>
    <w:p w14:paraId="1590C26D" w14:textId="77777777" w:rsidR="006F45CF" w:rsidRDefault="006F45CF" w:rsidP="006F45CF">
      <w:pPr>
        <w:pBdr>
          <w:top w:val="single" w:sz="4" w:space="1" w:color="auto"/>
          <w:left w:val="single" w:sz="4" w:space="4" w:color="auto"/>
          <w:bottom w:val="single" w:sz="4" w:space="1" w:color="auto"/>
          <w:right w:val="single" w:sz="4" w:space="4" w:color="auto"/>
        </w:pBdr>
      </w:pPr>
      <w:r>
        <w:t xml:space="preserve">In 2010, India enacted the Civil Liability for Nuclear Damage Act. According to this Act, a first layer of compensation </w:t>
      </w:r>
      <w:proofErr w:type="gramStart"/>
      <w:r>
        <w:t>has to</w:t>
      </w:r>
      <w:proofErr w:type="gramEnd"/>
      <w:r>
        <w:t xml:space="preserve"> be provided by the liable operator up to an amount of approximately USD 250 million and the nuclear operator is required to maintain insurance or financial securities to cover its liability. Originally, the sole commercial operator in India managed the liability via self-insurance and a bank guarantee. However, the government, insurers and reinsurers in India joined forces to create the India Nuclear Insurance Pool (INIP) which has a large amount of capacity providers to cover the nuclear operators’ liability. </w:t>
      </w:r>
    </w:p>
    <w:p w14:paraId="02651580" w14:textId="77777777" w:rsidR="007256E5" w:rsidRDefault="007256E5" w:rsidP="006F45CF">
      <w:pPr>
        <w:pBdr>
          <w:top w:val="single" w:sz="4" w:space="1" w:color="auto"/>
          <w:left w:val="single" w:sz="4" w:space="4" w:color="auto"/>
          <w:bottom w:val="single" w:sz="4" w:space="1" w:color="auto"/>
          <w:right w:val="single" w:sz="4" w:space="4" w:color="auto"/>
        </w:pBdr>
      </w:pPr>
    </w:p>
    <w:p w14:paraId="6D7F9102" w14:textId="20D40F8B" w:rsidR="006F45CF" w:rsidRDefault="006F45CF" w:rsidP="006F45CF">
      <w:pPr>
        <w:pBdr>
          <w:top w:val="single" w:sz="4" w:space="1" w:color="auto"/>
          <w:left w:val="single" w:sz="4" w:space="4" w:color="auto"/>
          <w:bottom w:val="single" w:sz="4" w:space="1" w:color="auto"/>
          <w:right w:val="single" w:sz="4" w:space="4" w:color="auto"/>
        </w:pBdr>
      </w:pPr>
      <w:r>
        <w:t>In addition to the operators’ liability (covered by the insurance pool), the government of India is bound to compensate a second layer of compensation up to approximately USD 420 million. Finally, there is a third layer as India also joined in 2016 the Convention on Supplementary Compensation for Nuclear Damage, which provides an additional two tiers of compensation.</w:t>
      </w:r>
      <w:r>
        <w:rPr>
          <w:rStyle w:val="FootnoteReference"/>
        </w:rPr>
        <w:footnoteReference w:id="118"/>
      </w:r>
    </w:p>
    <w:p w14:paraId="0FD5F82A" w14:textId="77777777" w:rsidR="00AC35E8" w:rsidRDefault="00AC35E8" w:rsidP="006F45CF"/>
    <w:p w14:paraId="51EAE985" w14:textId="50E582C1" w:rsidR="006F45CF" w:rsidRDefault="006F45CF" w:rsidP="006F45CF">
      <w:r>
        <w:t>A compensation fund is often a government-run mechanism, established through legislation whereby the statute determines the financing and the conditions under which the fund will pay compensation. It is usually a permanent or ongoing arrangement that provides a right to compensation when the statutory conditions are met.</w:t>
      </w:r>
    </w:p>
    <w:p w14:paraId="3C0D6D75" w14:textId="77777777" w:rsidR="006F45CF" w:rsidRDefault="006F45CF" w:rsidP="006F45CF"/>
    <w:p w14:paraId="6A2CE8AF" w14:textId="77777777" w:rsidR="006F45CF" w:rsidRPr="0077196B" w:rsidRDefault="006F45CF" w:rsidP="009168FF">
      <w:pPr>
        <w:pBdr>
          <w:top w:val="single" w:sz="4" w:space="1" w:color="auto"/>
          <w:left w:val="single" w:sz="4" w:space="4" w:color="auto"/>
          <w:bottom w:val="single" w:sz="4" w:space="1" w:color="auto"/>
          <w:right w:val="single" w:sz="4" w:space="4" w:color="auto"/>
        </w:pBdr>
        <w:spacing w:after="120"/>
        <w:rPr>
          <w:b/>
        </w:rPr>
      </w:pPr>
      <w:r w:rsidRPr="11DFF8FE">
        <w:rPr>
          <w:b/>
        </w:rPr>
        <w:t xml:space="preserve">Box </w:t>
      </w:r>
      <w:r>
        <w:rPr>
          <w:b/>
        </w:rPr>
        <w:t>6</w:t>
      </w:r>
      <w:r w:rsidRPr="11DFF8FE">
        <w:rPr>
          <w:b/>
        </w:rPr>
        <w:t xml:space="preserve">: Compensation fund or </w:t>
      </w:r>
      <w:r w:rsidRPr="11DFF8FE">
        <w:rPr>
          <w:b/>
          <w:i/>
        </w:rPr>
        <w:t>ad hoc</w:t>
      </w:r>
      <w:r w:rsidRPr="11DFF8FE">
        <w:rPr>
          <w:b/>
        </w:rPr>
        <w:t xml:space="preserve"> payments?</w:t>
      </w:r>
    </w:p>
    <w:p w14:paraId="57E770D7" w14:textId="77777777" w:rsidR="006F45CF" w:rsidRDefault="006F45CF" w:rsidP="006F45CF">
      <w:pPr>
        <w:pBdr>
          <w:top w:val="single" w:sz="4" w:space="1" w:color="auto"/>
          <w:left w:val="single" w:sz="4" w:space="4" w:color="auto"/>
          <w:bottom w:val="single" w:sz="4" w:space="1" w:color="auto"/>
          <w:right w:val="single" w:sz="4" w:space="4" w:color="auto"/>
        </w:pBdr>
      </w:pPr>
      <w:r>
        <w:t xml:space="preserve">Different from a permanent fund (whereby the conditions for victim compensation are determined </w:t>
      </w:r>
      <w:r w:rsidRPr="108F798C">
        <w:rPr>
          <w:i/>
          <w:iCs/>
        </w:rPr>
        <w:t>ex ante</w:t>
      </w:r>
      <w:r>
        <w:t xml:space="preserve"> and in a structural way by regulation), occasionally governments provide for compensation payment on an </w:t>
      </w:r>
      <w:r w:rsidRPr="108F798C">
        <w:rPr>
          <w:i/>
          <w:iCs/>
        </w:rPr>
        <w:t>ad hoc</w:t>
      </w:r>
      <w:r>
        <w:t xml:space="preserve"> basis, for example to compensate victims of a natural disaster.</w:t>
      </w:r>
    </w:p>
    <w:p w14:paraId="6A2CBF7D" w14:textId="77777777" w:rsidR="007256E5" w:rsidRDefault="007256E5" w:rsidP="006F45CF">
      <w:pPr>
        <w:pBdr>
          <w:top w:val="single" w:sz="4" w:space="1" w:color="auto"/>
          <w:left w:val="single" w:sz="4" w:space="4" w:color="auto"/>
          <w:bottom w:val="single" w:sz="4" w:space="1" w:color="auto"/>
          <w:right w:val="single" w:sz="4" w:space="4" w:color="auto"/>
        </w:pBdr>
      </w:pPr>
    </w:p>
    <w:p w14:paraId="64E0DE31" w14:textId="673EAAD6" w:rsidR="006F45CF" w:rsidRDefault="006F45CF" w:rsidP="006F45CF">
      <w:pPr>
        <w:pBdr>
          <w:top w:val="single" w:sz="4" w:space="1" w:color="auto"/>
          <w:left w:val="single" w:sz="4" w:space="4" w:color="auto"/>
          <w:bottom w:val="single" w:sz="4" w:space="1" w:color="auto"/>
          <w:right w:val="single" w:sz="4" w:space="4" w:color="auto"/>
        </w:pBdr>
      </w:pPr>
      <w:r>
        <w:t xml:space="preserve">In both mechanisms the payment takes place through the government, yet there are important differences. A structural fund is a compensation mechanism which has a basis in regulation and signals </w:t>
      </w:r>
      <w:r w:rsidRPr="05B33118">
        <w:rPr>
          <w:i/>
          <w:iCs/>
        </w:rPr>
        <w:t>ex ante</w:t>
      </w:r>
      <w:r>
        <w:t xml:space="preserve"> to the market under which conditions compensation will be provided. </w:t>
      </w:r>
      <w:r w:rsidRPr="05B33118">
        <w:rPr>
          <w:i/>
          <w:iCs/>
        </w:rPr>
        <w:t>Ad hoc</w:t>
      </w:r>
      <w:r>
        <w:t xml:space="preserve"> compensation is, to the contrary, not arranged in a structural manner. Only after a particular disaster will the government determine whether compensation will be provided without any obligation to do so. The amounts of compensation provided </w:t>
      </w:r>
      <w:r w:rsidRPr="05B33118">
        <w:rPr>
          <w:i/>
          <w:iCs/>
        </w:rPr>
        <w:t>ad hoc</w:t>
      </w:r>
      <w:r>
        <w:t xml:space="preserve"> can also differ. </w:t>
      </w:r>
      <w:r w:rsidRPr="05B33118">
        <w:rPr>
          <w:i/>
          <w:iCs/>
        </w:rPr>
        <w:t>Ad hoc</w:t>
      </w:r>
      <w:r>
        <w:t xml:space="preserve"> compensation is usually financed from the public purse (in other words through the general </w:t>
      </w:r>
      <w:proofErr w:type="gramStart"/>
      <w:r>
        <w:t>tax payers</w:t>
      </w:r>
      <w:proofErr w:type="gramEnd"/>
      <w:r>
        <w:t xml:space="preserve">), whereas compensation funds can be financed by the operators who created the risk (for example through a levy on a risk-creating activity). </w:t>
      </w:r>
      <w:r w:rsidRPr="00BD4AC5">
        <w:t xml:space="preserve">Compensation funds are often used for damage arising from technological hazards (like marine oil pollution where operators can contribute to finance </w:t>
      </w:r>
      <w:r>
        <w:t>the</w:t>
      </w:r>
      <w:r w:rsidRPr="00BD4AC5">
        <w:t xml:space="preserve"> </w:t>
      </w:r>
      <w:r w:rsidRPr="00BD4AC5">
        <w:lastRenderedPageBreak/>
        <w:t xml:space="preserve">fund), while </w:t>
      </w:r>
      <w:r w:rsidRPr="05B33118">
        <w:rPr>
          <w:i/>
          <w:iCs/>
        </w:rPr>
        <w:t>ad hoc</w:t>
      </w:r>
      <w:r w:rsidRPr="00BD4AC5">
        <w:t xml:space="preserve"> compensation is </w:t>
      </w:r>
      <w:r>
        <w:t xml:space="preserve">often </w:t>
      </w:r>
      <w:r w:rsidRPr="00BD4AC5">
        <w:t>used in case of natural hazards</w:t>
      </w:r>
      <w:r>
        <w:t>, where no liable party can be identified</w:t>
      </w:r>
      <w:r w:rsidRPr="00BD4AC5">
        <w:t>.</w:t>
      </w:r>
      <w:r w:rsidRPr="00BD4AC5">
        <w:rPr>
          <w:rStyle w:val="FootnoteReference"/>
        </w:rPr>
        <w:footnoteReference w:id="119"/>
      </w:r>
    </w:p>
    <w:p w14:paraId="21B8E1D5" w14:textId="77777777" w:rsidR="006F45CF" w:rsidRDefault="006F45CF" w:rsidP="006F45CF"/>
    <w:p w14:paraId="4CBC6EA9" w14:textId="77777777" w:rsidR="006F45CF" w:rsidRPr="00FF2BBD" w:rsidRDefault="006F45CF" w:rsidP="00AC35E8">
      <w:pPr>
        <w:spacing w:after="120"/>
        <w:rPr>
          <w:b/>
        </w:rPr>
      </w:pPr>
      <w:r>
        <w:rPr>
          <w:b/>
        </w:rPr>
        <w:t xml:space="preserve">3.5.2 </w:t>
      </w:r>
      <w:r w:rsidRPr="00FF2BBD">
        <w:rPr>
          <w:b/>
        </w:rPr>
        <w:t>Conditions</w:t>
      </w:r>
    </w:p>
    <w:p w14:paraId="73EE31C4" w14:textId="30BDEBA0" w:rsidR="006F45CF" w:rsidRDefault="006F45CF" w:rsidP="006F45CF">
      <w:r>
        <w:t xml:space="preserve">An essential element of any financial security is that the financing of the mechanism should provide efficient incentives to invest in preventive efforts. If the fund would be financed through general taxes, there would be no incentive to prevent risky </w:t>
      </w:r>
      <w:proofErr w:type="spellStart"/>
      <w:r>
        <w:t>behavior</w:t>
      </w:r>
      <w:proofErr w:type="spellEnd"/>
      <w:r>
        <w:t xml:space="preserve"> as there would be no connection between contributions into the fund and the activities that are creating the risk. One way to mitigate this is to give the fund a subsidiary character, meaning that other solutions (liability or insurance) should be used first, to the extent possible (i.e. that a liable injurer can be identified). In addition, ideally, the financing of the fund should be organized in such a way that those who contributed to the risk also finance the compensation fund. If a tax would be used to finance the fund, it should (to the extent possible) be a tax levy on activities related to the risk.</w:t>
      </w:r>
      <w:r>
        <w:rPr>
          <w:rStyle w:val="FootnoteReference"/>
        </w:rPr>
        <w:footnoteReference w:id="120"/>
      </w:r>
      <w:r>
        <w:t xml:space="preserve"> Finally, it would be important that the administrators of the fund are able to determine which victims satisfy the conditions for compensation according to the statutory conditions. Further, administering the fund should take place at low administrative costs. Precisely in order to lower these administrative costs, the compensation fund will often pay standardized lump sum amounts, thus avoiding a detailed analysis of the individual damage of the victim but providing amounts that may inevitably not fully correspond with the victim’s damage.</w:t>
      </w:r>
    </w:p>
    <w:p w14:paraId="01053704" w14:textId="77777777" w:rsidR="00AC35E8" w:rsidRDefault="00AC35E8" w:rsidP="006F45CF"/>
    <w:p w14:paraId="13F82D62" w14:textId="401C386B" w:rsidR="006F45CF" w:rsidRDefault="006F45CF" w:rsidP="006F45CF">
      <w:r>
        <w:t>Several important features emerge from the literature that has suggested a compensation fund for LMO-related damage</w:t>
      </w:r>
      <w:r w:rsidDel="0052487F">
        <w:t>.</w:t>
      </w:r>
      <w:r>
        <w:t xml:space="preserve"> The first relates to the financing of the fund and requires that operators would contribute to the fund. As far as </w:t>
      </w:r>
      <w:r w:rsidRPr="00135824">
        <w:t>LMO-related risks</w:t>
      </w:r>
      <w:r>
        <w:t xml:space="preserve"> are concerned, it is usually suggested that LMO operators would provide financial contributions.</w:t>
      </w:r>
      <w:r>
        <w:rPr>
          <w:rStyle w:val="FootnoteReference"/>
        </w:rPr>
        <w:footnoteReference w:id="121"/>
      </w:r>
      <w:r>
        <w:t xml:space="preserve"> A second feature concerns the relationship between the compensation fund and other financial security mechanisms like insurance. A compensation fund usually has a subsidiary character, providing an additional layer on top of the primary compensation provided by the liable operators (and his insurer) to the extent that insurance cover would be available. The other possibility is that the </w:t>
      </w:r>
      <w:r w:rsidRPr="03748DC3">
        <w:t>c</w:t>
      </w:r>
      <w:r w:rsidRPr="00557DA6">
        <w:t>ompensation fund serve</w:t>
      </w:r>
      <w:r w:rsidRPr="03748DC3">
        <w:t>s rather</w:t>
      </w:r>
      <w:r w:rsidRPr="00557DA6">
        <w:t xml:space="preserve"> as </w:t>
      </w:r>
      <w:r w:rsidRPr="00ED45C0">
        <w:t>an alternative to insurance solutions, where insurance has not yet emerged for example</w:t>
      </w:r>
      <w:r w:rsidRPr="00557DA6">
        <w:t>.</w:t>
      </w:r>
      <w:r w:rsidRPr="00557DA6">
        <w:rPr>
          <w:rStyle w:val="FootnoteReference"/>
        </w:rPr>
        <w:footnoteReference w:id="122"/>
      </w:r>
    </w:p>
    <w:p w14:paraId="15AD41E8" w14:textId="77777777" w:rsidR="00AC35E8" w:rsidRDefault="00AC35E8" w:rsidP="006F45CF"/>
    <w:p w14:paraId="32F1C1C6" w14:textId="77777777" w:rsidR="006F45CF" w:rsidRPr="00A35F1F" w:rsidRDefault="006F45CF" w:rsidP="00AC35E8">
      <w:pPr>
        <w:spacing w:after="120"/>
        <w:rPr>
          <w:b/>
        </w:rPr>
      </w:pPr>
      <w:r>
        <w:rPr>
          <w:b/>
        </w:rPr>
        <w:t xml:space="preserve">3.5.3 </w:t>
      </w:r>
      <w:r w:rsidRPr="00A35F1F">
        <w:rPr>
          <w:b/>
        </w:rPr>
        <w:t>Practice</w:t>
      </w:r>
    </w:p>
    <w:p w14:paraId="7FA3931B" w14:textId="6009A5D7" w:rsidR="006F45CF" w:rsidRDefault="006F45CF" w:rsidP="006F45CF">
      <w:r>
        <w:t>According to insurers (in Europe), there is no evidence of the existence of an all-compassing comprehensive fund for LMO-related damage having been established anywhere in Europe.</w:t>
      </w:r>
      <w:r>
        <w:rPr>
          <w:rStyle w:val="FootnoteReference"/>
        </w:rPr>
        <w:footnoteReference w:id="123"/>
      </w:r>
      <w:r>
        <w:t xml:space="preserve"> That refers to a fund that would broadly cover all possible types of LMO-related damage (both first party and third party, damage to biodiversity as well as traditional damage). There have been, however, GMO-funds that supplement the traditional liability system and usually indemnify only traditional farmers.</w:t>
      </w:r>
      <w:r>
        <w:rPr>
          <w:rStyle w:val="FootnoteReference"/>
        </w:rPr>
        <w:footnoteReference w:id="124"/>
      </w:r>
      <w:r>
        <w:t xml:space="preserve"> A special fund solution was developed in the Netherlands where all stakeholders agreed through a covenant to provide compensation to all who suffer damage resulting from adventitious presence of GMOs in non-GM crops. All stakeholders and, initially the State, have contributed to this fund.</w:t>
      </w:r>
      <w:r>
        <w:rPr>
          <w:rStyle w:val="FootnoteReference"/>
        </w:rPr>
        <w:footnoteReference w:id="125"/>
      </w:r>
      <w:r>
        <w:t xml:space="preserve"> An interesting aspect of this fund is that it was introduced as part of a set of measures to prevent admixture and gene flow by introducing, </w:t>
      </w:r>
      <w:r w:rsidRPr="002973FE">
        <w:rPr>
          <w:i/>
        </w:rPr>
        <w:t>inter alia</w:t>
      </w:r>
      <w:r>
        <w:rPr>
          <w:iCs/>
        </w:rPr>
        <w:t>,</w:t>
      </w:r>
      <w:r>
        <w:t xml:space="preserve"> mandatory distances between GM and non-GM crops. Farmers following these strict distancing rules would </w:t>
      </w:r>
      <w:r>
        <w:lastRenderedPageBreak/>
        <w:t>no longer be liable for damage resulting from admixture. Since the GM farmers who followed the best practice were exempted from liability, a fund was established to guarantee compensation to non-GM farmers whose crops were damaged through gene flow. However, the model was still to be developed further and also included State intervention.</w:t>
      </w:r>
      <w:r>
        <w:rPr>
          <w:rStyle w:val="FootnoteReference"/>
        </w:rPr>
        <w:footnoteReference w:id="126"/>
      </w:r>
      <w:r>
        <w:t xml:space="preserve"> While this example may not address damage as defined in the NKLSP, it nonetheless shows that financial security can, under particular conditions, support GM production and work as a confidence builder through the guaranteed compensation to non-GM farmers.</w:t>
      </w:r>
      <w:r>
        <w:rPr>
          <w:rStyle w:val="FootnoteReference"/>
        </w:rPr>
        <w:footnoteReference w:id="127"/>
      </w:r>
      <w:r>
        <w:t xml:space="preserve"> </w:t>
      </w:r>
    </w:p>
    <w:p w14:paraId="6D2C196C" w14:textId="77777777" w:rsidR="00AC35E8" w:rsidRDefault="00AC35E8" w:rsidP="006F45CF"/>
    <w:p w14:paraId="414F6C45" w14:textId="4FD828CA" w:rsidR="006F45CF" w:rsidRDefault="006F45CF" w:rsidP="006F45CF">
      <w:r>
        <w:t xml:space="preserve">The Walloon Region in Belgium had extended the scope of an already existing fund </w:t>
      </w:r>
      <w:r w:rsidRPr="00ED0046">
        <w:t>to cover also damage</w:t>
      </w:r>
      <w:r>
        <w:t xml:space="preserve"> from the adventitious presence of GM-plants in conventional or organic crops.</w:t>
      </w:r>
      <w:r>
        <w:rPr>
          <w:rStyle w:val="FootnoteReference"/>
        </w:rPr>
        <w:footnoteReference w:id="128"/>
      </w:r>
      <w:r>
        <w:t xml:space="preserve"> Denmark also introduced legislation on a compensation fund for damage arising from GMO admixture. It was financed by GM-crop growers who paid a particular amount per hectare of GM cultivation into a fund administered by the Danish Plant Directorate (a division of the Ministry of Agriculture).</w:t>
      </w:r>
      <w:r>
        <w:rPr>
          <w:rStyle w:val="FootnoteReference"/>
        </w:rPr>
        <w:footnoteReference w:id="129"/>
      </w:r>
      <w:r>
        <w:t xml:space="preserve"> A compensation fund was equally created in Portugal, financed through a green tax on seeds.</w:t>
      </w:r>
      <w:r>
        <w:rPr>
          <w:rStyle w:val="FootnoteReference"/>
        </w:rPr>
        <w:footnoteReference w:id="130"/>
      </w:r>
    </w:p>
    <w:p w14:paraId="32A19E3B" w14:textId="77777777" w:rsidR="00AC35E8" w:rsidRDefault="00AC35E8" w:rsidP="006F45CF"/>
    <w:p w14:paraId="1EF9577A" w14:textId="7D4016E5" w:rsidR="006F45CF" w:rsidRDefault="006F45CF" w:rsidP="006F45CF">
      <w:r>
        <w:t>Compensation funds also exist for environmental damage. For the compensation of nuclear damage, two separate international compensation regimes were established in the 1960s, and both were substantially revised after the Chernobyl accident of 1986. The funds have been established under the nuclear conventions</w:t>
      </w:r>
      <w:r>
        <w:rPr>
          <w:rStyle w:val="FootnoteReference"/>
        </w:rPr>
        <w:footnoteReference w:id="131"/>
      </w:r>
      <w:r>
        <w:t xml:space="preserve"> and are built on a multi-layered compensation scheme whereby liability is </w:t>
      </w:r>
      <w:proofErr w:type="spellStart"/>
      <w:r>
        <w:t>channeled</w:t>
      </w:r>
      <w:proofErr w:type="spellEnd"/>
      <w:r>
        <w:t xml:space="preserve"> to the operator of the nuclear power plant and the operator is liable up to the amount of the financial cap (57 million euro). Up to that amount, the operator needs to show financial security. In addition, two further layers of compensation are added via public funds. A second tier of compensation is paid out of public funds to be made available by the contracting party in whose territory the nuclear installation of the liable operator is situated (193,7 million euro); a third tier of compensation is paid out of public funds to be made available by the contracting parties according to a formula for contributions which is based on the Good Manufacturing Practices and the thermal capacity of the reactors on their territory (142,4 million euro). This third tier applies to damage that goes beyond the amount provided in the second tier.</w:t>
      </w:r>
      <w:r w:rsidRPr="00940CD6">
        <w:rPr>
          <w:rStyle w:val="FootnoteReference"/>
        </w:rPr>
        <w:footnoteReference w:id="132"/>
      </w:r>
      <w:r>
        <w:t xml:space="preserve"> Finally, on September 12, 1997, the Convention on Supplementary Compensation for Nuclear Damage (CSC) was adopted, a new and independent legal instrument providing additional compensation.</w:t>
      </w:r>
      <w:r w:rsidRPr="00940CD6">
        <w:rPr>
          <w:rStyle w:val="FootnoteReference"/>
        </w:rPr>
        <w:footnoteReference w:id="133"/>
      </w:r>
      <w:r w:rsidRPr="00940CD6">
        <w:t xml:space="preserve"> </w:t>
      </w:r>
    </w:p>
    <w:p w14:paraId="1EBB4AC0" w14:textId="77777777" w:rsidR="00AC35E8" w:rsidRDefault="00AC35E8" w:rsidP="006F45CF"/>
    <w:p w14:paraId="5E9DB6F0" w14:textId="122F6F76" w:rsidR="006F45CF" w:rsidRDefault="006F45CF" w:rsidP="006F45CF">
      <w:r>
        <w:t>A compensation fund has also been created to deal with marine oil pollution. Marine oil pollution is compensated primarily by the tanker owner (who is also subject to mandatory financial guarantees).</w:t>
      </w:r>
      <w:r>
        <w:rPr>
          <w:rStyle w:val="FootnoteReference"/>
        </w:rPr>
        <w:footnoteReference w:id="134"/>
      </w:r>
      <w:r>
        <w:t xml:space="preserve"> The basis for that liability is to be found in the International Convention on Civil Liability for Oil Pollution Damage (CLC). Under that Convention, there is a limited liability of the tanker owner. Precisely because it was expected that the damage could be higher than the financial cap, a second convention (the 1971 Fund Convention) created the International Oil Pollution Compensation Fund. That Fund is financed by levies </w:t>
      </w:r>
      <w:r>
        <w:lastRenderedPageBreak/>
        <w:t>on the oil transported, which is paid by the oil receivers.</w:t>
      </w:r>
      <w:r>
        <w:rPr>
          <w:rStyle w:val="FootnoteReference"/>
        </w:rPr>
        <w:footnoteReference w:id="135"/>
      </w:r>
      <w:r>
        <w:t xml:space="preserve"> The regime was meant to create a balance by having the maritime industry (tanker owners) pay under the CLC and the oil industry under the Fund Convention.</w:t>
      </w:r>
      <w:r>
        <w:rPr>
          <w:rStyle w:val="FootnoteReference"/>
        </w:rPr>
        <w:footnoteReference w:id="136"/>
      </w:r>
      <w:r>
        <w:t xml:space="preserve"> Those Conventions have been adapted many times, but the basic principles remain the same.</w:t>
      </w:r>
      <w:r>
        <w:rPr>
          <w:rStyle w:val="FootnoteReference"/>
        </w:rPr>
        <w:footnoteReference w:id="137"/>
      </w:r>
      <w:r>
        <w:t xml:space="preserve"> Finally, in 2003, a supplementary fund was created to provide a layer of compensation in addition to the capped liability of the tanker owner and the compensation provided through the 1971 Fund Convention. This supplementary fund is equally financed via levies paid by the oil receivers. The international regime for maritime oil pollution therefore consists, on the one hand, of tanker owners’ limited liability and, on the other hand, of compensation provided through a fund financed by oil receivers. This structure differs importantly from the nuclear liability regime since it is not the state that finances the second layer but rather oil receivers ensuring a financial contribution from a wider range of operators.</w:t>
      </w:r>
      <w:r>
        <w:rPr>
          <w:rStyle w:val="FootnoteReference"/>
        </w:rPr>
        <w:footnoteReference w:id="138"/>
      </w:r>
    </w:p>
    <w:p w14:paraId="40D3AED3" w14:textId="77777777" w:rsidR="00AC35E8" w:rsidRDefault="00AC35E8" w:rsidP="006F45CF"/>
    <w:p w14:paraId="63800A4C" w14:textId="77777777" w:rsidR="006F45CF" w:rsidRPr="00CB4BBB" w:rsidRDefault="006F45CF" w:rsidP="00AC35E8">
      <w:pPr>
        <w:spacing w:after="120"/>
        <w:rPr>
          <w:b/>
        </w:rPr>
      </w:pPr>
      <w:r>
        <w:rPr>
          <w:b/>
        </w:rPr>
        <w:t xml:space="preserve">3.5.4 </w:t>
      </w:r>
      <w:r w:rsidRPr="00CB4BBB">
        <w:rPr>
          <w:b/>
        </w:rPr>
        <w:t>Analysis</w:t>
      </w:r>
    </w:p>
    <w:p w14:paraId="42180224" w14:textId="5996BA9D" w:rsidR="006F45CF" w:rsidRDefault="006F45CF" w:rsidP="006F45CF">
      <w:r w:rsidRPr="008D77F1">
        <w:t xml:space="preserve">Compensation funds are usually created by governments. Depending upon the nature of the risk it could be national governments; for some risks (mostly of a transboundary nature) an intergovernmental entity can be created. Theoretically compensation funds can also be arranged via non-governmental (private) entities. That is, however, more exceptional as the compensation fund usually requires state intervention to regulate the financing (either via contributions by risk-creators or via general </w:t>
      </w:r>
      <w:r w:rsidRPr="00336B4B">
        <w:t>taxation). Theoretically private parties could agree on creating a fund among themselves privately, but then it would rather take the form of either a risk pooling scheme or some type of hybrid arrangement.</w:t>
      </w:r>
    </w:p>
    <w:p w14:paraId="0681F068" w14:textId="77777777" w:rsidR="00AC35E8" w:rsidRPr="007C75E7" w:rsidRDefault="00AC35E8" w:rsidP="006F45CF"/>
    <w:p w14:paraId="2E16F493" w14:textId="77777777" w:rsidR="006F45CF" w:rsidRPr="00ED45C0" w:rsidRDefault="006F45CF" w:rsidP="006F45CF">
      <w:pPr>
        <w:rPr>
          <w:rFonts w:eastAsiaTheme="minorEastAsia"/>
        </w:rPr>
      </w:pPr>
      <w:r w:rsidRPr="00ED45C0">
        <w:t>Compensation funds have as a main disadvantage that the financing is usually not risk-related, thus providing insufficient incentives for prevention.</w:t>
      </w:r>
      <w:r w:rsidRPr="00ED45C0">
        <w:rPr>
          <w:rStyle w:val="FootnoteReference"/>
        </w:rPr>
        <w:footnoteReference w:id="139"/>
      </w:r>
      <w:r w:rsidRPr="00ED45C0">
        <w:rPr>
          <w:rStyle w:val="FootnoteReference"/>
        </w:rPr>
        <w:t xml:space="preserve"> </w:t>
      </w:r>
      <w:r w:rsidRPr="00ED45C0">
        <w:t>The difficulty is that it is often impossible (or very costly) to determine each stakeholder’s contribution to the risk and to establish the respective contribution they are required to pay.</w:t>
      </w:r>
      <w:r w:rsidRPr="00ED45C0">
        <w:rPr>
          <w:rStyle w:val="FootnoteReference"/>
        </w:rPr>
        <w:footnoteReference w:id="140"/>
      </w:r>
      <w:r w:rsidRPr="00ED45C0">
        <w:t xml:space="preserve"> The case of compensation for the nuclear risk has been subject to criticism for this reason: liable operators are only exposed to relatively low amounts of liability, shifting the largest part of the compensation to states’ budgets, thus allowing insufficient preventive effects.</w:t>
      </w:r>
      <w:r w:rsidRPr="00ED45C0">
        <w:rPr>
          <w:rStyle w:val="FootnoteReference"/>
        </w:rPr>
        <w:footnoteReference w:id="141"/>
      </w:r>
      <w:r w:rsidRPr="00ED45C0">
        <w:t xml:space="preserve"> The international regime to compensate marine oil pollution is different in the sense that the layers of compensation are funded by the operators in the oil industry and transport (i.e. tanker owners, their P&amp;I Club and oil receivers).</w:t>
      </w:r>
      <w:r w:rsidRPr="00ED45C0">
        <w:rPr>
          <w:rStyle w:val="FootnoteReference"/>
        </w:rPr>
        <w:footnoteReference w:id="142"/>
      </w:r>
      <w:r w:rsidRPr="00ED45C0">
        <w:t xml:space="preserve"> Still, even with the IOPC Fund, contributions are not related to risk, but only to the amount of oil received, making risk differentiation imperfect.</w:t>
      </w:r>
      <w:r w:rsidRPr="00ED45C0">
        <w:rPr>
          <w:rStyle w:val="FootnoteReference"/>
        </w:rPr>
        <w:footnoteReference w:id="143"/>
      </w:r>
      <w:r w:rsidRPr="00ED45C0">
        <w:t xml:space="preserve"> This underscores the difficulty in creating a regime of risk differentiation (providing incentives of prevention) with a compensation fund.</w:t>
      </w:r>
    </w:p>
    <w:p w14:paraId="41B1688B" w14:textId="77777777" w:rsidR="006F45CF" w:rsidRDefault="006F45CF" w:rsidP="006F45CF"/>
    <w:p w14:paraId="4E047EBA" w14:textId="77777777" w:rsidR="006F45CF" w:rsidRPr="00D65165" w:rsidRDefault="006F45CF" w:rsidP="009168FF">
      <w:pPr>
        <w:pBdr>
          <w:top w:val="single" w:sz="4" w:space="1" w:color="auto"/>
          <w:left w:val="single" w:sz="4" w:space="4" w:color="auto"/>
          <w:bottom w:val="single" w:sz="4" w:space="1" w:color="auto"/>
          <w:right w:val="single" w:sz="4" w:space="4" w:color="auto"/>
        </w:pBdr>
        <w:spacing w:after="120"/>
        <w:rPr>
          <w:b/>
        </w:rPr>
      </w:pPr>
      <w:r w:rsidRPr="00D65165">
        <w:rPr>
          <w:b/>
        </w:rPr>
        <w:t xml:space="preserve">Box </w:t>
      </w:r>
      <w:r>
        <w:rPr>
          <w:b/>
          <w:bCs/>
        </w:rPr>
        <w:t>7</w:t>
      </w:r>
      <w:r w:rsidRPr="00D65165">
        <w:rPr>
          <w:b/>
        </w:rPr>
        <w:t xml:space="preserve">: GCCF: </w:t>
      </w:r>
      <w:r w:rsidRPr="00D65165">
        <w:rPr>
          <w:b/>
          <w:i/>
        </w:rPr>
        <w:t>ad hoc</w:t>
      </w:r>
      <w:r w:rsidRPr="00D65165">
        <w:rPr>
          <w:b/>
        </w:rPr>
        <w:t xml:space="preserve"> compensation via a private fund</w:t>
      </w:r>
    </w:p>
    <w:p w14:paraId="1D7E846F" w14:textId="41F07151" w:rsidR="006F45CF" w:rsidRDefault="006F45CF" w:rsidP="006F45CF">
      <w:pPr>
        <w:pBdr>
          <w:top w:val="single" w:sz="4" w:space="1" w:color="auto"/>
          <w:left w:val="single" w:sz="4" w:space="4" w:color="auto"/>
          <w:bottom w:val="single" w:sz="4" w:space="1" w:color="auto"/>
          <w:right w:val="single" w:sz="4" w:space="4" w:color="auto"/>
        </w:pBdr>
      </w:pPr>
      <w:r>
        <w:t xml:space="preserve">While compensation funds are usually created by governments, there can also be instances where a fund is created by a private entity. This may occur when an operator is liable for catastrophic damage. In that case, a fund can be created to settle the massive claims of the victims. The fund is in that case not created in a </w:t>
      </w:r>
      <w:r>
        <w:lastRenderedPageBreak/>
        <w:t xml:space="preserve">structural manner, but rather </w:t>
      </w:r>
      <w:r w:rsidRPr="408A3C36">
        <w:rPr>
          <w:i/>
          <w:iCs/>
        </w:rPr>
        <w:t>ad hoc</w:t>
      </w:r>
      <w:r>
        <w:t xml:space="preserve"> following a disaster and therefore related to one specific event (and usually of a limited duration).</w:t>
      </w:r>
    </w:p>
    <w:p w14:paraId="4037F85B" w14:textId="77777777" w:rsidR="00AC35E8" w:rsidRDefault="00AC35E8" w:rsidP="006F45CF">
      <w:pPr>
        <w:pBdr>
          <w:top w:val="single" w:sz="4" w:space="1" w:color="auto"/>
          <w:left w:val="single" w:sz="4" w:space="4" w:color="auto"/>
          <w:bottom w:val="single" w:sz="4" w:space="1" w:color="auto"/>
          <w:right w:val="single" w:sz="4" w:space="4" w:color="auto"/>
        </w:pBdr>
      </w:pPr>
    </w:p>
    <w:p w14:paraId="19AB4827" w14:textId="77777777" w:rsidR="006F45CF" w:rsidRPr="00D65165" w:rsidRDefault="006F45CF" w:rsidP="006F45CF">
      <w:pPr>
        <w:pBdr>
          <w:top w:val="single" w:sz="4" w:space="1" w:color="auto"/>
          <w:left w:val="single" w:sz="4" w:space="4" w:color="auto"/>
          <w:bottom w:val="single" w:sz="4" w:space="1" w:color="auto"/>
          <w:right w:val="single" w:sz="4" w:space="4" w:color="auto"/>
        </w:pBdr>
      </w:pPr>
      <w:r>
        <w:t xml:space="preserve">An example of such a privately financed </w:t>
      </w:r>
      <w:r w:rsidRPr="05B33118">
        <w:rPr>
          <w:i/>
          <w:iCs/>
        </w:rPr>
        <w:t>ad hoc</w:t>
      </w:r>
      <w:r>
        <w:t xml:space="preserve"> compensation fund is the Gulf Coast Claim Facility (GCCF) initiated by BP in June 2010 after the Deepwater Horizon incident. The GCCF worked according to an alternative dispute resolution model offering a low threshold compensation to victims. In a period of one and a half years, the GCCF was able to process over 1 million claims, paying more than $ 6,2 billion to victims. Compared to the court system, such an alternative model can provide rapid compensation according to a simplified procedure to large numbers of victims.</w:t>
      </w:r>
      <w:r>
        <w:rPr>
          <w:rStyle w:val="FootnoteReference"/>
        </w:rPr>
        <w:footnoteReference w:id="144"/>
      </w:r>
    </w:p>
    <w:p w14:paraId="5AFBD1FD" w14:textId="77777777" w:rsidR="006F45CF" w:rsidRDefault="006F45CF" w:rsidP="006F45CF"/>
    <w:p w14:paraId="09B3BE3D" w14:textId="77777777" w:rsidR="006F45CF" w:rsidRDefault="006F45CF" w:rsidP="00AC35E8">
      <w:pPr>
        <w:spacing w:after="120"/>
      </w:pPr>
      <w:r>
        <w:t>Summary of key points:</w:t>
      </w:r>
    </w:p>
    <w:p w14:paraId="4F95F024" w14:textId="77777777" w:rsidR="006F45CF" w:rsidRDefault="006F45CF" w:rsidP="005042C4">
      <w:pPr>
        <w:pStyle w:val="ListParagraph"/>
        <w:numPr>
          <w:ilvl w:val="0"/>
          <w:numId w:val="11"/>
        </w:numPr>
        <w:spacing w:after="160" w:line="259" w:lineRule="auto"/>
      </w:pPr>
      <w:r w:rsidRPr="00ED45C0">
        <w:t>A compensation fund can ensure payment in cases where liability and insurance can for a variety of reasons not be applied. It could be the case that there is no liable party (such as with natural disasters);</w:t>
      </w:r>
      <w:r w:rsidRPr="00AE1906">
        <w:rPr>
          <w:rStyle w:val="FootnoteReference"/>
        </w:rPr>
        <w:footnoteReference w:id="145"/>
      </w:r>
      <w:r w:rsidRPr="00ED45C0">
        <w:t xml:space="preserve"> it is possible that the individual polluter cannot be identified or that he is insolvent. </w:t>
      </w:r>
    </w:p>
    <w:p w14:paraId="462A87F1" w14:textId="77777777" w:rsidR="006F45CF" w:rsidRDefault="006F45CF" w:rsidP="005042C4">
      <w:pPr>
        <w:pStyle w:val="ListParagraph"/>
        <w:numPr>
          <w:ilvl w:val="0"/>
          <w:numId w:val="11"/>
        </w:numPr>
        <w:spacing w:after="160" w:line="259" w:lineRule="auto"/>
      </w:pPr>
      <w:r>
        <w:t xml:space="preserve">The fund could also </w:t>
      </w:r>
      <w:r w:rsidRPr="00AE1906">
        <w:t>intervene</w:t>
      </w:r>
      <w:r>
        <w:t xml:space="preserve"> in cases</w:t>
      </w:r>
      <w:r w:rsidRPr="00AE1906">
        <w:t xml:space="preserve"> </w:t>
      </w:r>
      <w:r w:rsidRPr="00ED45C0">
        <w:t>where the damage exceeds the financial cap of the liable operator or the amounts covered by insurance.</w:t>
      </w:r>
      <w:r w:rsidRPr="00AE1906">
        <w:rPr>
          <w:rStyle w:val="FootnoteReference"/>
        </w:rPr>
        <w:footnoteReference w:id="146"/>
      </w:r>
      <w:r w:rsidRPr="00ED45C0">
        <w:t xml:space="preserve"> </w:t>
      </w:r>
    </w:p>
    <w:p w14:paraId="68AE13D9" w14:textId="77777777" w:rsidR="006F45CF" w:rsidRDefault="006F45CF" w:rsidP="005042C4">
      <w:pPr>
        <w:pStyle w:val="ListParagraph"/>
        <w:numPr>
          <w:ilvl w:val="0"/>
          <w:numId w:val="11"/>
        </w:numPr>
        <w:spacing w:after="160" w:line="259" w:lineRule="auto"/>
      </w:pPr>
      <w:r w:rsidRPr="00ED45C0">
        <w:t>A compensation fund may also have procedural advantages by adjusting the administration of the fund to specific needs, thus reducing the barriers for claimants.</w:t>
      </w:r>
      <w:r w:rsidRPr="00AE1906">
        <w:rPr>
          <w:rStyle w:val="FootnoteReference"/>
        </w:rPr>
        <w:footnoteReference w:id="147"/>
      </w:r>
      <w:r w:rsidRPr="00ED45C0">
        <w:t xml:space="preserve"> </w:t>
      </w:r>
    </w:p>
    <w:p w14:paraId="793C49DD" w14:textId="77777777" w:rsidR="006F45CF" w:rsidRDefault="006F45CF" w:rsidP="005042C4">
      <w:pPr>
        <w:pStyle w:val="ListParagraph"/>
        <w:numPr>
          <w:ilvl w:val="0"/>
          <w:numId w:val="11"/>
        </w:numPr>
        <w:spacing w:after="160" w:line="259" w:lineRule="auto"/>
      </w:pPr>
      <w:r>
        <w:t>A fund can be structured to</w:t>
      </w:r>
      <w:r w:rsidRPr="00ED45C0">
        <w:t xml:space="preserve"> potentially provide additional compensation. The way in which a fund is structured is usually that it has a subsidiary character, i.e. providing compensation on top of other layers constituting of payments made by a liable operator and the financial security provider. </w:t>
      </w:r>
    </w:p>
    <w:p w14:paraId="18EAA1EB" w14:textId="77777777" w:rsidR="006F45CF" w:rsidRDefault="006F45CF" w:rsidP="005042C4">
      <w:pPr>
        <w:pStyle w:val="ListParagraph"/>
        <w:numPr>
          <w:ilvl w:val="0"/>
          <w:numId w:val="12"/>
        </w:numPr>
        <w:spacing w:after="160" w:line="259" w:lineRule="auto"/>
      </w:pPr>
      <w:r w:rsidRPr="00EA7040">
        <w:t xml:space="preserve">Provided that the fund </w:t>
      </w:r>
      <w:proofErr w:type="gramStart"/>
      <w:r w:rsidRPr="00EA7040">
        <w:t>is able to</w:t>
      </w:r>
      <w:proofErr w:type="gramEnd"/>
      <w:r w:rsidRPr="00EA7040">
        <w:t xml:space="preserve"> collect sufficient </w:t>
      </w:r>
      <w:r>
        <w:t>contributions</w:t>
      </w:r>
      <w:r w:rsidRPr="00EA7040">
        <w:t xml:space="preserve">, it can have the capacity to compensate the </w:t>
      </w:r>
      <w:r>
        <w:t>damage</w:t>
      </w:r>
      <w:r w:rsidRPr="00EA7040">
        <w:t>. If there are unknown or hard to predict risks, actual claims on the fund may exceed expectations.</w:t>
      </w:r>
      <w:r w:rsidRPr="00EA7040">
        <w:rPr>
          <w:rStyle w:val="FootnoteReference"/>
        </w:rPr>
        <w:footnoteReference w:id="148"/>
      </w:r>
      <w:r w:rsidRPr="00EA7040">
        <w:t xml:space="preserve"> </w:t>
      </w:r>
    </w:p>
    <w:p w14:paraId="7C5266F2" w14:textId="77777777" w:rsidR="006F45CF" w:rsidRPr="00EA7040" w:rsidRDefault="006F45CF" w:rsidP="005042C4">
      <w:pPr>
        <w:pStyle w:val="ListParagraph"/>
        <w:numPr>
          <w:ilvl w:val="0"/>
          <w:numId w:val="12"/>
        </w:numPr>
        <w:spacing w:after="160" w:line="259" w:lineRule="auto"/>
      </w:pPr>
      <w:r>
        <w:t>Compensation funds have as a main disadvantage that the financing is usually not risk-related, thus providing insufficient incentives for prevention.</w:t>
      </w:r>
      <w:r w:rsidRPr="31905D17">
        <w:rPr>
          <w:rStyle w:val="FootnoteReference"/>
        </w:rPr>
        <w:footnoteReference w:id="149"/>
      </w:r>
      <w:r>
        <w:t xml:space="preserve"> </w:t>
      </w:r>
    </w:p>
    <w:p w14:paraId="0044430F" w14:textId="77777777" w:rsidR="006F45CF" w:rsidRPr="00BD4AC5" w:rsidRDefault="006F45CF" w:rsidP="00AC35E8">
      <w:pPr>
        <w:spacing w:after="120"/>
        <w:rPr>
          <w:b/>
        </w:rPr>
      </w:pPr>
      <w:r>
        <w:rPr>
          <w:b/>
        </w:rPr>
        <w:t xml:space="preserve">3.5.5 </w:t>
      </w:r>
      <w:r w:rsidRPr="00BD4AC5">
        <w:rPr>
          <w:b/>
        </w:rPr>
        <w:t>Role for government</w:t>
      </w:r>
    </w:p>
    <w:p w14:paraId="55CD54B7" w14:textId="77777777" w:rsidR="006F45CF" w:rsidRDefault="006F45CF" w:rsidP="006F45CF">
      <w:r>
        <w:t xml:space="preserve">The compensation fund is usually created and administered by the government. This can either be at the domestic level (a national government) or at the intergovernmental level (with a legal basis in a treaty). The government intervention is important to create the legal structure for the compensation fund and to determine the financial contribution to the fund by operators. Governments usually collect the contributions, but it is not necessarily the government which finances the compensation fund (at least not entirely) with </w:t>
      </w:r>
      <w:proofErr w:type="gramStart"/>
      <w:r>
        <w:t>tax payers’</w:t>
      </w:r>
      <w:proofErr w:type="gramEnd"/>
      <w:r>
        <w:t xml:space="preserve"> money.</w:t>
      </w:r>
    </w:p>
    <w:p w14:paraId="4137C826" w14:textId="77777777" w:rsidR="006F45CF" w:rsidRDefault="006F45CF" w:rsidP="006F45CF"/>
    <w:p w14:paraId="14062F9A" w14:textId="77777777" w:rsidR="006F45CF" w:rsidRPr="00C64B17" w:rsidRDefault="006F45CF" w:rsidP="00AC35E8">
      <w:pPr>
        <w:pStyle w:val="Heading2"/>
        <w:jc w:val="left"/>
        <w:rPr>
          <w:sz w:val="24"/>
          <w:szCs w:val="28"/>
        </w:rPr>
      </w:pPr>
      <w:bookmarkStart w:id="31" w:name="_Toc82176417"/>
      <w:r w:rsidRPr="00C64B17">
        <w:rPr>
          <w:sz w:val="24"/>
          <w:szCs w:val="28"/>
        </w:rPr>
        <w:t>3.6 Other financial security mechanisms</w:t>
      </w:r>
      <w:bookmarkEnd w:id="31"/>
    </w:p>
    <w:p w14:paraId="4C5CD999" w14:textId="1D4BD242" w:rsidR="006F45CF" w:rsidRDefault="006F45CF" w:rsidP="006F45CF">
      <w:r>
        <w:t xml:space="preserve">As was indicated in section 3.1 above, this study focuses on four financial security mechanisms considered most relevant in the context of Article 10 of the NKLSP. As also set out in that section, </w:t>
      </w:r>
      <w:proofErr w:type="gramStart"/>
      <w:r>
        <w:t>a number of</w:t>
      </w:r>
      <w:proofErr w:type="gramEnd"/>
      <w:r>
        <w:t xml:space="preserve"> other financial security mechanisms exist that are for one reason or another considered less relevant in the context </w:t>
      </w:r>
      <w:r>
        <w:lastRenderedPageBreak/>
        <w:t>of the NKLSP. This section will briefly review these other financial security mechanisms and describe the reasons for which they are considered less relevant and therefore not further considered in this study.</w:t>
      </w:r>
    </w:p>
    <w:p w14:paraId="00CDF443" w14:textId="77777777" w:rsidR="00AC35E8" w:rsidRDefault="00AC35E8" w:rsidP="006F45CF"/>
    <w:p w14:paraId="21149455" w14:textId="77777777" w:rsidR="006F45CF" w:rsidRPr="00BD4AC5" w:rsidRDefault="006F45CF" w:rsidP="00AC35E8">
      <w:pPr>
        <w:spacing w:after="120"/>
        <w:rPr>
          <w:b/>
        </w:rPr>
      </w:pPr>
      <w:r w:rsidRPr="00BD4AC5">
        <w:rPr>
          <w:b/>
        </w:rPr>
        <w:t>Bonds</w:t>
      </w:r>
    </w:p>
    <w:p w14:paraId="2D8B3AE0" w14:textId="50FE2A13" w:rsidR="006F45CF" w:rsidRDefault="006F45CF" w:rsidP="006F45CF">
      <w:r>
        <w:t>Bonding is an instrument allowing financial risks to be covered on the capital market. The principle is that bonds are issued whereby the interest rate on the bond reflects the potential accident rate. Investors can buy a bond in favour of the operator of their choice. If no accident happens during the period of the bond (say one year), the amount of the guarantee provided by the bond would be paid with interest. If the risk materializes, the bond posted would be used to cover the damage.</w:t>
      </w:r>
      <w:r>
        <w:rPr>
          <w:rStyle w:val="FootnoteReference"/>
        </w:rPr>
        <w:footnoteReference w:id="150"/>
      </w:r>
      <w:r>
        <w:t xml:space="preserve"> Bonding has been discussed in connection to carbon capture and storage, among other areas.</w:t>
      </w:r>
      <w:r>
        <w:rPr>
          <w:rStyle w:val="FootnoteReference"/>
        </w:rPr>
        <w:footnoteReference w:id="151"/>
      </w:r>
      <w:r>
        <w:t xml:space="preserve"> Bonds usually work for sudden events like catastrophes but are considered less useful to cover long-term liabilities. In practice bonds are therefore hardly ever used to cover environmental liability. Considering the need to deal with potential long-term damage, bonds would not be a suitable instrument to cover the type of biodiversity damage envisaged by the NKLSP.</w:t>
      </w:r>
    </w:p>
    <w:p w14:paraId="41A0F292" w14:textId="77777777" w:rsidR="00AC35E8" w:rsidRDefault="00AC35E8" w:rsidP="006F45CF"/>
    <w:p w14:paraId="515E6D7A" w14:textId="77777777" w:rsidR="006F45CF" w:rsidRPr="00BD4AC5" w:rsidRDefault="006F45CF" w:rsidP="009168FF">
      <w:pPr>
        <w:keepNext/>
        <w:spacing w:after="120"/>
        <w:rPr>
          <w:b/>
        </w:rPr>
      </w:pPr>
      <w:r w:rsidRPr="00BD4AC5">
        <w:rPr>
          <w:b/>
        </w:rPr>
        <w:t>Bank guarantees and deposits</w:t>
      </w:r>
    </w:p>
    <w:p w14:paraId="2E9AD3D0" w14:textId="56869272" w:rsidR="006F45CF" w:rsidRDefault="006F45CF" w:rsidP="009168FF">
      <w:pPr>
        <w:keepNext/>
      </w:pPr>
      <w:r>
        <w:t>A guarantee comes down to a private party (for example a bank) providing a financial guarantee that it will meet the obligations of an operator. The idea thereby is that the financial institution (bank) guarantees that it will cover the liabilities of the operator in case a particular risk materializes. On paper, this seems attractive especially when the operator would have little assets and could receive a guarantee from a solvent financial institution. However, the reason bank guarantees are rarely found in practice for environmental liabilities is that the cost of those guarantees can be prohibitively high.</w:t>
      </w:r>
      <w:r>
        <w:rPr>
          <w:rStyle w:val="FootnoteReference"/>
        </w:rPr>
        <w:footnoteReference w:id="152"/>
      </w:r>
      <w:r>
        <w:t xml:space="preserve"> As bank guarantees are considered relatively expensive (especially when compared to insurance) they do not seem to be an attractive financial security instrument either.</w:t>
      </w:r>
    </w:p>
    <w:p w14:paraId="03ACFD3A" w14:textId="77777777" w:rsidR="00AC35E8" w:rsidRDefault="00AC35E8" w:rsidP="006F45CF"/>
    <w:p w14:paraId="04BC9B06" w14:textId="77777777" w:rsidR="006F45CF" w:rsidRPr="00BD4AC5" w:rsidRDefault="006F45CF" w:rsidP="00AC35E8">
      <w:pPr>
        <w:spacing w:after="120"/>
        <w:rPr>
          <w:b/>
          <w:bCs/>
        </w:rPr>
      </w:pPr>
      <w:r w:rsidRPr="1ECECADB">
        <w:rPr>
          <w:b/>
          <w:bCs/>
        </w:rPr>
        <w:t>Government compensation</w:t>
      </w:r>
    </w:p>
    <w:p w14:paraId="5293DB18" w14:textId="77777777" w:rsidR="006F45CF" w:rsidRDefault="006F45CF" w:rsidP="006F45CF">
      <w:r>
        <w:t xml:space="preserve">An alternative also mentioned in the literature with respect to </w:t>
      </w:r>
      <w:r w:rsidRPr="00710908">
        <w:t>LMO-related damage</w:t>
      </w:r>
      <w:r>
        <w:t xml:space="preserve"> is that the government would simply pay the compensation if the risk materializes.</w:t>
      </w:r>
      <w:r>
        <w:rPr>
          <w:rStyle w:val="FootnoteReference"/>
        </w:rPr>
        <w:footnoteReference w:id="153"/>
      </w:r>
      <w:r>
        <w:t xml:space="preserve"> In theory, the government could in a specific case always decide to provide </w:t>
      </w:r>
      <w:r w:rsidRPr="05B33118">
        <w:rPr>
          <w:i/>
          <w:iCs/>
        </w:rPr>
        <w:t>ad hoc</w:t>
      </w:r>
      <w:r>
        <w:t xml:space="preserve"> compensation (</w:t>
      </w:r>
      <w:r w:rsidRPr="00E44008">
        <w:t>see box 6</w:t>
      </w:r>
      <w:r>
        <w:t xml:space="preserve">). There is not necessarily a requirement for a specific regulatory framework to be in place for the government to decide </w:t>
      </w:r>
      <w:r w:rsidRPr="05B33118">
        <w:rPr>
          <w:i/>
          <w:iCs/>
        </w:rPr>
        <w:t>ad hoc</w:t>
      </w:r>
      <w:r>
        <w:t xml:space="preserve"> to compensate. The major disadvantage is that when the government pays, no adequate incentives for prevention of risks are provided to operators.</w:t>
      </w:r>
      <w:r>
        <w:rPr>
          <w:rStyle w:val="FootnoteReference"/>
        </w:rPr>
        <w:footnoteReference w:id="154"/>
      </w:r>
      <w:r>
        <w:t xml:space="preserve"> One scholar therefore considered </w:t>
      </w:r>
      <w:r w:rsidRPr="05B33118">
        <w:rPr>
          <w:i/>
          <w:iCs/>
        </w:rPr>
        <w:t>ad hoc</w:t>
      </w:r>
      <w:r>
        <w:t xml:space="preserve"> compensation (for natural disasters generally) a “catastrophic response to catastrophic risk”.</w:t>
      </w:r>
      <w:r>
        <w:rPr>
          <w:rStyle w:val="FootnoteReference"/>
        </w:rPr>
        <w:footnoteReference w:id="155"/>
      </w:r>
      <w:r>
        <w:t xml:space="preserve"> </w:t>
      </w:r>
    </w:p>
    <w:p w14:paraId="0D48FE1D" w14:textId="77777777" w:rsidR="006F45CF" w:rsidRDefault="006F45CF" w:rsidP="006F45CF"/>
    <w:p w14:paraId="44496292" w14:textId="77777777" w:rsidR="006F45CF" w:rsidRPr="00A01807" w:rsidRDefault="006F45CF" w:rsidP="009168FF">
      <w:pPr>
        <w:pBdr>
          <w:top w:val="single" w:sz="4" w:space="1" w:color="auto"/>
          <w:left w:val="single" w:sz="4" w:space="4" w:color="auto"/>
          <w:bottom w:val="single" w:sz="4" w:space="1" w:color="auto"/>
          <w:right w:val="single" w:sz="4" w:space="4" w:color="auto"/>
        </w:pBdr>
        <w:spacing w:after="120"/>
        <w:rPr>
          <w:b/>
          <w:bCs/>
        </w:rPr>
      </w:pPr>
      <w:r w:rsidRPr="108F798C">
        <w:rPr>
          <w:b/>
          <w:bCs/>
        </w:rPr>
        <w:t xml:space="preserve">Box </w:t>
      </w:r>
      <w:r>
        <w:rPr>
          <w:b/>
          <w:bCs/>
        </w:rPr>
        <w:t>8</w:t>
      </w:r>
      <w:r w:rsidRPr="108F798C">
        <w:rPr>
          <w:b/>
          <w:bCs/>
        </w:rPr>
        <w:t xml:space="preserve">: </w:t>
      </w:r>
      <w:r w:rsidRPr="108F798C">
        <w:rPr>
          <w:b/>
          <w:bCs/>
          <w:i/>
          <w:iCs/>
        </w:rPr>
        <w:t>Ad hoc</w:t>
      </w:r>
      <w:r w:rsidRPr="108F798C">
        <w:rPr>
          <w:b/>
          <w:bCs/>
        </w:rPr>
        <w:t xml:space="preserve"> contractual solutions</w:t>
      </w:r>
    </w:p>
    <w:p w14:paraId="4E57522E" w14:textId="77777777" w:rsidR="006F45CF" w:rsidRDefault="006F45CF" w:rsidP="006F45CF">
      <w:pPr>
        <w:pBdr>
          <w:top w:val="single" w:sz="4" w:space="1" w:color="auto"/>
          <w:left w:val="single" w:sz="4" w:space="4" w:color="auto"/>
          <w:bottom w:val="single" w:sz="4" w:space="1" w:color="auto"/>
          <w:right w:val="single" w:sz="4" w:space="4" w:color="auto"/>
        </w:pBdr>
      </w:pPr>
      <w:r>
        <w:t>A feed producer in Germany (</w:t>
      </w:r>
      <w:proofErr w:type="spellStart"/>
      <w:r>
        <w:t>Märka</w:t>
      </w:r>
      <w:proofErr w:type="spellEnd"/>
      <w:r>
        <w:t xml:space="preserve">) guaranteed, with the support of seed producers, to buy the entire maize production of farmers who were growing maize conventionally within </w:t>
      </w:r>
      <w:proofErr w:type="gramStart"/>
      <w:r>
        <w:t>a distance of 100</w:t>
      </w:r>
      <w:proofErr w:type="gramEnd"/>
      <w:r>
        <w:t xml:space="preserve"> meters of GM maize fields, irrespective of potential admixture. The GM farmers participating in the project had to contractually commit themselves to adhere to the farming standards established by seed producers. The </w:t>
      </w:r>
      <w:r>
        <w:lastRenderedPageBreak/>
        <w:t xml:space="preserve">project was launched in </w:t>
      </w:r>
      <w:proofErr w:type="gramStart"/>
      <w:r>
        <w:t>2005, but</w:t>
      </w:r>
      <w:proofErr w:type="gramEnd"/>
      <w:r>
        <w:t xml:space="preserve"> discontinued in 2007.</w:t>
      </w:r>
      <w:r>
        <w:rPr>
          <w:rStyle w:val="FootnoteReference"/>
        </w:rPr>
        <w:footnoteReference w:id="156"/>
      </w:r>
      <w:r>
        <w:t xml:space="preserve"> In this contractual example, the producer took over the risk from GM farmers, but it is not a risk-sharing agreement. While this example may not address damage as defined in the NKLSP, it nevertheless shows how compensation for damage may be provided. </w:t>
      </w:r>
    </w:p>
    <w:p w14:paraId="06F89212" w14:textId="77777777" w:rsidR="006F45CF" w:rsidRDefault="006F45CF" w:rsidP="006F45CF"/>
    <w:p w14:paraId="09086A79" w14:textId="77777777" w:rsidR="006F45CF" w:rsidRPr="00C64B17" w:rsidRDefault="006F45CF" w:rsidP="00AC35E8">
      <w:pPr>
        <w:pStyle w:val="Heading2"/>
        <w:jc w:val="left"/>
        <w:rPr>
          <w:rFonts w:asciiTheme="majorBidi" w:hAnsiTheme="majorBidi" w:cstheme="majorBidi"/>
          <w:sz w:val="24"/>
          <w:szCs w:val="28"/>
        </w:rPr>
      </w:pPr>
      <w:bookmarkStart w:id="32" w:name="_Toc82176418"/>
      <w:r w:rsidRPr="00C64B17">
        <w:rPr>
          <w:rFonts w:asciiTheme="majorBidi" w:hAnsiTheme="majorBidi" w:cstheme="majorBidi"/>
          <w:sz w:val="24"/>
          <w:szCs w:val="28"/>
        </w:rPr>
        <w:t>3.7 Conclusion</w:t>
      </w:r>
      <w:bookmarkEnd w:id="32"/>
    </w:p>
    <w:p w14:paraId="22E964B2" w14:textId="77777777" w:rsidR="006F45CF" w:rsidRPr="00AC35E8" w:rsidRDefault="006F45CF" w:rsidP="006F45CF">
      <w:pPr>
        <w:rPr>
          <w:rFonts w:asciiTheme="majorBidi" w:hAnsiTheme="majorBidi" w:cstheme="majorBidi"/>
        </w:rPr>
      </w:pPr>
      <w:r w:rsidRPr="00AC35E8">
        <w:rPr>
          <w:rStyle w:val="normaltextrun"/>
          <w:rFonts w:asciiTheme="majorBidi" w:hAnsiTheme="majorBidi" w:cstheme="majorBidi"/>
          <w:color w:val="000000"/>
          <w:shd w:val="clear" w:color="auto" w:fill="FFFFFF"/>
        </w:rPr>
        <w:t xml:space="preserve">This section has examined four main financial security mechanisms </w:t>
      </w:r>
      <w:r w:rsidRPr="00AC35E8">
        <w:rPr>
          <w:rStyle w:val="normaltextrun"/>
          <w:rFonts w:asciiTheme="majorBidi" w:hAnsiTheme="majorBidi" w:cstheme="majorBidi"/>
        </w:rPr>
        <w:t>–</w:t>
      </w:r>
      <w:r w:rsidRPr="00AC35E8">
        <w:rPr>
          <w:rStyle w:val="normaltextrun"/>
          <w:rFonts w:asciiTheme="majorBidi" w:hAnsiTheme="majorBidi" w:cstheme="majorBidi"/>
          <w:color w:val="000000"/>
          <w:shd w:val="clear" w:color="auto" w:fill="FFFFFF"/>
        </w:rPr>
        <w:t xml:space="preserve"> </w:t>
      </w:r>
      <w:r w:rsidRPr="00AC35E8">
        <w:rPr>
          <w:rStyle w:val="normaltextrun"/>
          <w:rFonts w:asciiTheme="majorBidi" w:hAnsiTheme="majorBidi" w:cstheme="majorBidi"/>
        </w:rPr>
        <w:t>(re)insurance, self-insurance, risk pooling and funds</w:t>
      </w:r>
      <w:r w:rsidRPr="00AC35E8">
        <w:rPr>
          <w:rStyle w:val="normaltextrun"/>
          <w:rFonts w:asciiTheme="majorBidi" w:hAnsiTheme="majorBidi" w:cstheme="majorBidi"/>
          <w:color w:val="000000"/>
          <w:shd w:val="clear" w:color="auto" w:fill="FFFFFF"/>
        </w:rPr>
        <w:t>.</w:t>
      </w:r>
    </w:p>
    <w:p w14:paraId="6367688B" w14:textId="77777777" w:rsidR="007256E5" w:rsidRDefault="007256E5" w:rsidP="006F45CF">
      <w:pPr>
        <w:rPr>
          <w:rFonts w:asciiTheme="majorBidi" w:hAnsiTheme="majorBidi" w:cstheme="majorBidi"/>
        </w:rPr>
      </w:pPr>
    </w:p>
    <w:p w14:paraId="6EC8D81A" w14:textId="06AE2FAB" w:rsidR="006F45CF" w:rsidRDefault="006F45CF" w:rsidP="006F45CF">
      <w:pPr>
        <w:rPr>
          <w:rStyle w:val="normaltextrun"/>
          <w:rFonts w:asciiTheme="majorBidi" w:hAnsiTheme="majorBidi" w:cstheme="majorBidi"/>
        </w:rPr>
      </w:pPr>
      <w:r w:rsidRPr="00AC35E8">
        <w:rPr>
          <w:rFonts w:asciiTheme="majorBidi" w:hAnsiTheme="majorBidi" w:cstheme="majorBidi"/>
        </w:rPr>
        <w:t xml:space="preserve">As can be seen from the information on practical experience with these mechanisms, there are often no walls between the various mechanisms. In practice, a variety of instruments may emerge, whereby it is not always possible to qualify any one specific instrument as, for example, risk-pooling or a fund. There are, in other words, grey zones between different mechanisms as a result of which they could rather be qualified as hybrids. </w:t>
      </w:r>
      <w:r w:rsidRPr="00AC35E8">
        <w:rPr>
          <w:rStyle w:val="normaltextrun"/>
          <w:rFonts w:asciiTheme="majorBidi" w:hAnsiTheme="majorBidi" w:cstheme="majorBidi"/>
        </w:rPr>
        <w:t>Indeed, many of the examples described above combine features of different financial security mechanisms, including the fund created in the Netherlands to cover damage from adventitious presence of LMOs and the arrangements established under the nuclear conventions, both described in section 3.5.3.</w:t>
      </w:r>
    </w:p>
    <w:p w14:paraId="6B48425B" w14:textId="77777777" w:rsidR="00AC35E8" w:rsidRPr="00AC35E8" w:rsidRDefault="00AC35E8" w:rsidP="006F45CF">
      <w:pPr>
        <w:rPr>
          <w:rFonts w:asciiTheme="majorBidi" w:hAnsiTheme="majorBidi" w:cstheme="majorBidi"/>
        </w:rPr>
      </w:pPr>
    </w:p>
    <w:p w14:paraId="2A175CAD" w14:textId="4E26922C" w:rsidR="006F45CF" w:rsidRDefault="006F45CF" w:rsidP="006F45CF">
      <w:pPr>
        <w:rPr>
          <w:rStyle w:val="normaltextrun"/>
          <w:rFonts w:asciiTheme="majorBidi" w:hAnsiTheme="majorBidi" w:cstheme="majorBidi"/>
        </w:rPr>
      </w:pPr>
      <w:r w:rsidRPr="00AC35E8">
        <w:rPr>
          <w:rFonts w:asciiTheme="majorBidi" w:hAnsiTheme="majorBidi" w:cstheme="majorBidi"/>
        </w:rPr>
        <w:t xml:space="preserve">The analysis showed that each of the mechanisms discussed has </w:t>
      </w:r>
      <w:proofErr w:type="gramStart"/>
      <w:r w:rsidRPr="00AC35E8">
        <w:rPr>
          <w:rFonts w:asciiTheme="majorBidi" w:hAnsiTheme="majorBidi" w:cstheme="majorBidi"/>
        </w:rPr>
        <w:t>particular advantages</w:t>
      </w:r>
      <w:proofErr w:type="gramEnd"/>
      <w:r w:rsidRPr="00AC35E8">
        <w:rPr>
          <w:rFonts w:asciiTheme="majorBidi" w:hAnsiTheme="majorBidi" w:cstheme="majorBidi"/>
        </w:rPr>
        <w:t>, but also specific limits and disadvantages. It is precisely for that reason that a combination of different mechanisms can often be observed in practice, especially when compensating catastrophic environmental damage. These so-called smart mixes of mechanisms</w:t>
      </w:r>
      <w:r w:rsidRPr="00AC35E8">
        <w:rPr>
          <w:rStyle w:val="FootnoteReference"/>
          <w:rFonts w:asciiTheme="majorBidi" w:hAnsiTheme="majorBidi" w:cstheme="majorBidi"/>
        </w:rPr>
        <w:footnoteReference w:id="157"/>
      </w:r>
      <w:r w:rsidRPr="00AC35E8">
        <w:rPr>
          <w:rFonts w:asciiTheme="majorBidi" w:hAnsiTheme="majorBidi" w:cstheme="majorBidi"/>
        </w:rPr>
        <w:t xml:space="preserve"> could consist of mechanisms created at different levels of governance (national or international initiatives) involving both public and private initiatives. </w:t>
      </w:r>
      <w:r w:rsidRPr="00AC35E8">
        <w:rPr>
          <w:rStyle w:val="normaltextrun"/>
          <w:rFonts w:asciiTheme="majorBidi" w:hAnsiTheme="majorBidi" w:cstheme="majorBidi"/>
        </w:rPr>
        <w:t>An example would be private governance via risk-pooling or self-insurance, domestic legislation mandating the purchase of liability insurance and an intergovernmental instrument creating a compensation fund.</w:t>
      </w:r>
    </w:p>
    <w:p w14:paraId="38C2783A" w14:textId="77777777" w:rsidR="00AC35E8" w:rsidRPr="00AC35E8" w:rsidRDefault="00AC35E8" w:rsidP="006F45CF">
      <w:pPr>
        <w:rPr>
          <w:rFonts w:asciiTheme="majorBidi" w:hAnsiTheme="majorBidi" w:cstheme="majorBidi"/>
        </w:rPr>
      </w:pPr>
    </w:p>
    <w:p w14:paraId="5D4B1CCE" w14:textId="375074FD" w:rsidR="006F45CF" w:rsidRPr="00AC35E8" w:rsidRDefault="006F45CF" w:rsidP="006F45CF">
      <w:pPr>
        <w:rPr>
          <w:rFonts w:asciiTheme="majorBidi" w:hAnsiTheme="majorBidi" w:cstheme="majorBidi"/>
        </w:rPr>
      </w:pPr>
      <w:r w:rsidRPr="00AC35E8">
        <w:rPr>
          <w:rFonts w:asciiTheme="majorBidi" w:hAnsiTheme="majorBidi" w:cstheme="majorBidi"/>
        </w:rPr>
        <w:t xml:space="preserve">An example of a </w:t>
      </w:r>
      <w:r w:rsidR="00AC35E8" w:rsidRPr="00AC35E8">
        <w:rPr>
          <w:rFonts w:asciiTheme="majorBidi" w:hAnsiTheme="majorBidi" w:cstheme="majorBidi"/>
        </w:rPr>
        <w:t>multi-layered</w:t>
      </w:r>
      <w:r w:rsidRPr="00AC35E8">
        <w:rPr>
          <w:rFonts w:asciiTheme="majorBidi" w:hAnsiTheme="majorBidi" w:cstheme="majorBidi"/>
        </w:rPr>
        <w:t xml:space="preserve"> compensation scheme is a system developed in the Netherlands for terrorism-related risks, an area with high uncertainty (as set out in box 9).</w:t>
      </w:r>
    </w:p>
    <w:p w14:paraId="259D0160" w14:textId="77777777" w:rsidR="006F45CF" w:rsidRDefault="006F45CF" w:rsidP="006F45CF"/>
    <w:p w14:paraId="134A80FE" w14:textId="77777777" w:rsidR="006F45CF" w:rsidRPr="00A307BE" w:rsidRDefault="006F45CF" w:rsidP="009168FF">
      <w:pPr>
        <w:pBdr>
          <w:top w:val="single" w:sz="4" w:space="1" w:color="auto"/>
          <w:left w:val="single" w:sz="4" w:space="4" w:color="auto"/>
          <w:bottom w:val="single" w:sz="4" w:space="1" w:color="auto"/>
          <w:right w:val="single" w:sz="4" w:space="4" w:color="auto"/>
        </w:pBdr>
        <w:spacing w:after="120"/>
        <w:rPr>
          <w:b/>
        </w:rPr>
      </w:pPr>
      <w:r w:rsidRPr="00A307BE">
        <w:rPr>
          <w:b/>
        </w:rPr>
        <w:t xml:space="preserve">Box </w:t>
      </w:r>
      <w:r>
        <w:rPr>
          <w:b/>
        </w:rPr>
        <w:t>9</w:t>
      </w:r>
      <w:r w:rsidRPr="00A307BE">
        <w:rPr>
          <w:b/>
        </w:rPr>
        <w:t>: Compensating terrorism-related risks</w:t>
      </w:r>
    </w:p>
    <w:p w14:paraId="2C433DD5" w14:textId="77777777" w:rsidR="006F45CF" w:rsidRDefault="006F45CF" w:rsidP="00AC35E8">
      <w:pPr>
        <w:pBdr>
          <w:top w:val="single" w:sz="4" w:space="1" w:color="auto"/>
          <w:left w:val="single" w:sz="4" w:space="4" w:color="auto"/>
          <w:bottom w:val="single" w:sz="4" w:space="1" w:color="auto"/>
          <w:right w:val="single" w:sz="4" w:space="4" w:color="auto"/>
        </w:pBdr>
        <w:spacing w:after="120"/>
      </w:pPr>
      <w:r>
        <w:t xml:space="preserve">After the “9/11 attacks”, insurance companies sought to exempt damage related to terrorism from their coverage. Following that initial reaction, negotiations took place between insurers, reinsurers and governments as a result of which, in many jurisdictions, pool constructions emerged, usually consisting of a multi-layered approach, whereby a first layer is provided by insurers, a second by the reinsurance market and a third by the government. The Dutch terrorism reinsurance pool provides an interesting example. It was originally constituted as follows: </w:t>
      </w:r>
    </w:p>
    <w:p w14:paraId="2AA7D8A4" w14:textId="77777777" w:rsidR="006F45CF" w:rsidRDefault="006F45CF" w:rsidP="006F45CF">
      <w:pPr>
        <w:pBdr>
          <w:top w:val="single" w:sz="4" w:space="1" w:color="auto"/>
          <w:left w:val="single" w:sz="4" w:space="4" w:color="auto"/>
          <w:bottom w:val="single" w:sz="4" w:space="1" w:color="auto"/>
          <w:right w:val="single" w:sz="4" w:space="4" w:color="auto"/>
        </w:pBdr>
      </w:pPr>
      <w:r>
        <w:t>Insurers: € 400 million</w:t>
      </w:r>
    </w:p>
    <w:p w14:paraId="042ED144" w14:textId="77777777" w:rsidR="006F45CF" w:rsidRDefault="006F45CF" w:rsidP="006F45CF">
      <w:pPr>
        <w:pBdr>
          <w:top w:val="single" w:sz="4" w:space="1" w:color="auto"/>
          <w:left w:val="single" w:sz="4" w:space="4" w:color="auto"/>
          <w:bottom w:val="single" w:sz="4" w:space="1" w:color="auto"/>
          <w:right w:val="single" w:sz="4" w:space="4" w:color="auto"/>
        </w:pBdr>
      </w:pPr>
      <w:r>
        <w:t>Reinsurers: € 300 million</w:t>
      </w:r>
    </w:p>
    <w:p w14:paraId="131ECE56" w14:textId="77777777" w:rsidR="006F45CF" w:rsidRDefault="006F45CF" w:rsidP="006F45CF">
      <w:pPr>
        <w:pBdr>
          <w:top w:val="single" w:sz="4" w:space="1" w:color="auto"/>
          <w:left w:val="single" w:sz="4" w:space="4" w:color="auto"/>
          <w:bottom w:val="single" w:sz="4" w:space="1" w:color="auto"/>
          <w:right w:val="single" w:sz="4" w:space="4" w:color="auto"/>
        </w:pBdr>
      </w:pPr>
      <w:r>
        <w:t>Dutch government: € 300 million</w:t>
      </w:r>
    </w:p>
    <w:p w14:paraId="1FDE684D" w14:textId="77777777" w:rsidR="006F45CF" w:rsidRDefault="006F45CF" w:rsidP="00AC35E8">
      <w:pPr>
        <w:pBdr>
          <w:top w:val="single" w:sz="4" w:space="1" w:color="auto"/>
          <w:left w:val="single" w:sz="4" w:space="4" w:color="auto"/>
          <w:bottom w:val="single" w:sz="4" w:space="1" w:color="auto"/>
          <w:right w:val="single" w:sz="4" w:space="4" w:color="auto"/>
        </w:pBdr>
        <w:spacing w:after="120"/>
      </w:pPr>
      <w:r>
        <w:t>Total: € 1 billion</w:t>
      </w:r>
    </w:p>
    <w:p w14:paraId="32540826" w14:textId="77777777" w:rsidR="006F45CF" w:rsidRDefault="006F45CF" w:rsidP="006F45CF">
      <w:pPr>
        <w:pBdr>
          <w:top w:val="single" w:sz="4" w:space="1" w:color="auto"/>
          <w:left w:val="single" w:sz="4" w:space="4" w:color="auto"/>
          <w:bottom w:val="single" w:sz="4" w:space="1" w:color="auto"/>
          <w:right w:val="single" w:sz="4" w:space="4" w:color="auto"/>
        </w:pBdr>
      </w:pPr>
      <w:r>
        <w:t xml:space="preserve">The Dutch government intervenes in this market by facilitating the provision of insurance but demands a premium for its reinsurance capacity. The fact that the government demands a premium for the third layer of reinsurance it provides indicates that the State intervention is not a subsidy or State aid. The premium charged by the government was, moreover, so high that it provided an incentive to the market players (insurers and reinsurers) to develop their own additional capacity. As a result, in a second stage the </w:t>
      </w:r>
      <w:r>
        <w:lastRenderedPageBreak/>
        <w:t>governmental coverage could be reduced to € 50 million since insurers and reinsurers increased their contribution.</w:t>
      </w:r>
      <w:r>
        <w:rPr>
          <w:rStyle w:val="FootnoteReference"/>
        </w:rPr>
        <w:footnoteReference w:id="158"/>
      </w:r>
    </w:p>
    <w:p w14:paraId="4EA976EF" w14:textId="77777777" w:rsidR="00AC35E8" w:rsidRDefault="00AC35E8" w:rsidP="006F45CF"/>
    <w:p w14:paraId="5CC959CB" w14:textId="56448CB5" w:rsidR="006F45CF" w:rsidRDefault="006F45CF" w:rsidP="006F45CF">
      <w:r>
        <w:t>A mix of different mechanisms could also be employe</w:t>
      </w:r>
      <w:r w:rsidRPr="00DE7F4A">
        <w:t>d to cover damage to biodiversity caused by LMOs. Some authors have</w:t>
      </w:r>
      <w:r>
        <w:t xml:space="preserve"> proposed a model of a </w:t>
      </w:r>
      <w:proofErr w:type="spellStart"/>
      <w:r>
        <w:t>multilayered</w:t>
      </w:r>
      <w:proofErr w:type="spellEnd"/>
      <w:r>
        <w:t xml:space="preserve"> system whereby operators would intervene first (via internal reserves or liability insurance) and a compensation fund (financed by all operators jointly) would provide a second layer of compensation.</w:t>
      </w:r>
      <w:r>
        <w:rPr>
          <w:rStyle w:val="FootnoteReference"/>
        </w:rPr>
        <w:footnoteReference w:id="159"/>
      </w:r>
      <w:r>
        <w:t xml:space="preserve"> In this proposal, the compensation scheme would be a supplementary scheme (on top of the capped operators’ liability covered by financial security) and could consist either of an intergovernmental scheme or risk-pooling by industry.</w:t>
      </w:r>
    </w:p>
    <w:p w14:paraId="1ED6EC73" w14:textId="77777777" w:rsidR="00AC35E8" w:rsidRDefault="00AC35E8" w:rsidP="006F45CF"/>
    <w:p w14:paraId="33869F3B" w14:textId="77777777" w:rsidR="006F45CF" w:rsidRDefault="006F45CF" w:rsidP="006F45CF">
      <w:r w:rsidRPr="00AC35E8">
        <w:rPr>
          <w:rStyle w:val="normaltextrun"/>
          <w:rFonts w:asciiTheme="majorBidi" w:hAnsiTheme="majorBidi" w:cstheme="majorBidi"/>
        </w:rPr>
        <w:t>Hybrid approaches to financial security can help in situations where obtaining financial security is mandatory.</w:t>
      </w:r>
      <w:r w:rsidRPr="00AC35E8">
        <w:rPr>
          <w:rFonts w:asciiTheme="majorBidi" w:hAnsiTheme="majorBidi" w:cstheme="majorBidi"/>
        </w:rPr>
        <w:t xml:space="preserve"> When mandatory financial security is required, it is often considered important to formulate the obligation to obtain financial security in a broad manner in order to provide incentives to the market to develop a</w:t>
      </w:r>
      <w:r>
        <w:t xml:space="preserve"> wide array of different financial security mechanisms. If </w:t>
      </w:r>
      <w:proofErr w:type="gramStart"/>
      <w:r>
        <w:t>policy-makers</w:t>
      </w:r>
      <w:proofErr w:type="gramEnd"/>
      <w:r>
        <w:t xml:space="preserve"> were to limit financial security to mandatory insurance, for example, it would become totally dependent on insurance to </w:t>
      </w:r>
      <w:proofErr w:type="spellStart"/>
      <w:r>
        <w:t>fulfill</w:t>
      </w:r>
      <w:proofErr w:type="spellEnd"/>
      <w:r>
        <w:t xml:space="preserve"> that duty. It would make insurers the </w:t>
      </w:r>
      <w:r w:rsidRPr="1ECECADB">
        <w:rPr>
          <w:i/>
          <w:iCs/>
        </w:rPr>
        <w:t>de facto</w:t>
      </w:r>
      <w:r>
        <w:t xml:space="preserve"> licensors of the activity. A flexible approach would instead allow the market to develop a wide variety of financial security mechanisms </w:t>
      </w:r>
      <w:proofErr w:type="gramStart"/>
      <w:r>
        <w:t>as long as</w:t>
      </w:r>
      <w:proofErr w:type="gramEnd"/>
      <w:r>
        <w:t xml:space="preserve"> they can guarantee compensation when damage occurs (see box 10).</w:t>
      </w:r>
    </w:p>
    <w:p w14:paraId="4E977625" w14:textId="77777777" w:rsidR="006F45CF" w:rsidRPr="00BD4AC5" w:rsidRDefault="006F45CF" w:rsidP="006F45CF"/>
    <w:p w14:paraId="239C4FDF" w14:textId="77777777" w:rsidR="006F45CF" w:rsidRPr="00A423C4" w:rsidRDefault="006F45CF" w:rsidP="009168FF">
      <w:pPr>
        <w:pBdr>
          <w:top w:val="single" w:sz="4" w:space="1" w:color="auto"/>
          <w:left w:val="single" w:sz="4" w:space="4" w:color="auto"/>
          <w:bottom w:val="single" w:sz="4" w:space="1" w:color="auto"/>
          <w:right w:val="single" w:sz="4" w:space="4" w:color="auto"/>
        </w:pBdr>
        <w:spacing w:after="120"/>
        <w:rPr>
          <w:b/>
        </w:rPr>
      </w:pPr>
      <w:r w:rsidRPr="00A423C4">
        <w:rPr>
          <w:b/>
        </w:rPr>
        <w:t xml:space="preserve">Box </w:t>
      </w:r>
      <w:r>
        <w:rPr>
          <w:b/>
        </w:rPr>
        <w:t>10</w:t>
      </w:r>
      <w:r w:rsidRPr="00A423C4">
        <w:rPr>
          <w:b/>
        </w:rPr>
        <w:t xml:space="preserve">: </w:t>
      </w:r>
      <w:r>
        <w:rPr>
          <w:b/>
        </w:rPr>
        <w:t xml:space="preserve">Carbon capture and storage: </w:t>
      </w:r>
      <w:r w:rsidRPr="00A423C4">
        <w:rPr>
          <w:b/>
        </w:rPr>
        <w:t>A</w:t>
      </w:r>
      <w:r>
        <w:rPr>
          <w:b/>
        </w:rPr>
        <w:t>n example of a</w:t>
      </w:r>
      <w:r w:rsidRPr="00A423C4">
        <w:rPr>
          <w:b/>
        </w:rPr>
        <w:t xml:space="preserve"> flexible approach</w:t>
      </w:r>
    </w:p>
    <w:p w14:paraId="3EB0DD1A" w14:textId="77777777" w:rsidR="006F45CF" w:rsidRDefault="006F45CF" w:rsidP="006F45CF">
      <w:pPr>
        <w:pBdr>
          <w:top w:val="single" w:sz="4" w:space="1" w:color="auto"/>
          <w:left w:val="single" w:sz="4" w:space="4" w:color="auto"/>
          <w:bottom w:val="single" w:sz="4" w:space="1" w:color="auto"/>
          <w:right w:val="single" w:sz="4" w:space="4" w:color="auto"/>
        </w:pBdr>
      </w:pPr>
      <w:r>
        <w:t xml:space="preserve">The European Union has developed a Guidance Document describing the possible financial security mechanisms that could be used to cover risks related to carbon capture and storage. This provides information to the licensing authorities on the type of financial security that can be accepted when offered by operators. The approach has the advantage of allowing sufficient flexibility and avoiding unnecessary costs (for example forcing major operators to transfer risks to an insurance company). The model requires financial security but leaves flexibility to local regulators to determine the amount and form of financial security, </w:t>
      </w:r>
      <w:proofErr w:type="gramStart"/>
      <w:r>
        <w:t>taking into account</w:t>
      </w:r>
      <w:proofErr w:type="gramEnd"/>
      <w:r>
        <w:t xml:space="preserve"> the specific risks posed by the site and the specific features of the operator. The model also sets standards concerning the type of financial security that would be acceptable. A similar model for carbon capture and storage is followed in the US EPA Guidance Document on underground injection control financial responsibility guidance: the document lists qualifying instruments, but the list is neither exhaustive nor absolute, so operators can also propose other financial security mechanisms to be approved by the authority.</w:t>
      </w:r>
      <w:r>
        <w:rPr>
          <w:rStyle w:val="FootnoteReference"/>
        </w:rPr>
        <w:footnoteReference w:id="160"/>
      </w:r>
    </w:p>
    <w:p w14:paraId="221F060A" w14:textId="77777777" w:rsidR="006F45CF" w:rsidRDefault="006F45CF" w:rsidP="006F45CF"/>
    <w:p w14:paraId="1B376E13" w14:textId="77777777" w:rsidR="006F45CF" w:rsidRDefault="006F45CF" w:rsidP="006F45CF">
      <w:r>
        <w:t xml:space="preserve">Several jurisdictions have models of mandatory financial security, including for environmental risks, </w:t>
      </w:r>
      <w:proofErr w:type="gramStart"/>
      <w:r>
        <w:t>in particular for</w:t>
      </w:r>
      <w:proofErr w:type="gramEnd"/>
      <w:r>
        <w:t xml:space="preserve"> oil pollution and nuclear risks. Those domestic regulations are mostly based on international conventions.</w:t>
      </w:r>
      <w:r>
        <w:rPr>
          <w:rStyle w:val="FootnoteReference"/>
        </w:rPr>
        <w:footnoteReference w:id="161"/>
      </w:r>
      <w:r>
        <w:t xml:space="preserve"> Mandatory financial security also exists for many other environmental risks and more particularly also for the oil pollution and nuclear risks as set out </w:t>
      </w:r>
      <w:r w:rsidRPr="008563A4">
        <w:rPr>
          <w:rStyle w:val="normaltextrun"/>
          <w:rFonts w:ascii="Calibri" w:hAnsi="Calibri" w:cs="Calibri"/>
        </w:rPr>
        <w:t>in section</w:t>
      </w:r>
      <w:r>
        <w:rPr>
          <w:rStyle w:val="normaltextrun"/>
          <w:rFonts w:ascii="Calibri" w:hAnsi="Calibri" w:cs="Calibri"/>
        </w:rPr>
        <w:t>s</w:t>
      </w:r>
      <w:r w:rsidRPr="008563A4">
        <w:rPr>
          <w:rStyle w:val="normaltextrun"/>
          <w:rFonts w:ascii="Calibri" w:hAnsi="Calibri" w:cs="Calibri"/>
        </w:rPr>
        <w:t xml:space="preserve"> </w:t>
      </w:r>
      <w:r w:rsidRPr="00FA3E22">
        <w:rPr>
          <w:rStyle w:val="normaltextrun"/>
          <w:rFonts w:ascii="Calibri" w:hAnsi="Calibri" w:cs="Calibri"/>
        </w:rPr>
        <w:t>3.</w:t>
      </w:r>
      <w:r>
        <w:rPr>
          <w:rStyle w:val="normaltextrun"/>
          <w:rFonts w:ascii="Calibri" w:hAnsi="Calibri" w:cs="Calibri"/>
        </w:rPr>
        <w:t>3</w:t>
      </w:r>
      <w:r w:rsidRPr="00FA3E22">
        <w:rPr>
          <w:rStyle w:val="normaltextrun"/>
          <w:rFonts w:ascii="Calibri" w:hAnsi="Calibri" w:cs="Calibri"/>
        </w:rPr>
        <w:t>.</w:t>
      </w:r>
      <w:r>
        <w:rPr>
          <w:rStyle w:val="normaltextrun"/>
          <w:rFonts w:ascii="Calibri" w:hAnsi="Calibri" w:cs="Calibri"/>
        </w:rPr>
        <w:t>3</w:t>
      </w:r>
      <w:r w:rsidRPr="00FA3E22">
        <w:rPr>
          <w:rStyle w:val="normaltextrun"/>
          <w:rFonts w:ascii="Calibri" w:hAnsi="Calibri" w:cs="Calibri"/>
        </w:rPr>
        <w:t xml:space="preserve"> (box </w:t>
      </w:r>
      <w:r>
        <w:rPr>
          <w:rStyle w:val="normaltextrun"/>
          <w:rFonts w:ascii="Calibri" w:hAnsi="Calibri" w:cs="Calibri"/>
        </w:rPr>
        <w:t>2</w:t>
      </w:r>
      <w:r w:rsidRPr="00FA3E22">
        <w:rPr>
          <w:rStyle w:val="normaltextrun"/>
          <w:rFonts w:ascii="Calibri" w:hAnsi="Calibri" w:cs="Calibri"/>
        </w:rPr>
        <w:t xml:space="preserve">) </w:t>
      </w:r>
      <w:r w:rsidRPr="006B5FEF">
        <w:rPr>
          <w:rStyle w:val="normaltextrun"/>
          <w:rFonts w:ascii="Calibri" w:hAnsi="Calibri" w:cs="Calibri"/>
        </w:rPr>
        <w:t>and 3.5.1 (box 5)</w:t>
      </w:r>
      <w:r w:rsidRPr="008563A4">
        <w:rPr>
          <w:rStyle w:val="normaltextrun"/>
          <w:rFonts w:ascii="Calibri" w:hAnsi="Calibri" w:cs="Calibri"/>
        </w:rPr>
        <w:t xml:space="preserve"> </w:t>
      </w:r>
      <w:r w:rsidRPr="008563A4">
        <w:t>above and is prescribed in a number of other international</w:t>
      </w:r>
      <w:r>
        <w:t xml:space="preserve"> treaties including the 1952 Rome Convention on Damage Caused by Foreign Aircraft to Third Parties on the Surface; the Montreal Convention for the Unification of Certain Rules for International Carriage by Air; the Convention on Liability and Compensation for Damage in Connection with the Carriage of Hazardous and Noxious Substances by Sea; and the 2003 Protocol on Civil Liability and Compensation for Damage Caused by the Transboundary </w:t>
      </w:r>
      <w:r>
        <w:lastRenderedPageBreak/>
        <w:t>Effects of Industrial Accidents on Transboundary Waters.</w:t>
      </w:r>
      <w:r>
        <w:rPr>
          <w:rStyle w:val="FootnoteReference"/>
        </w:rPr>
        <w:footnoteReference w:id="162"/>
      </w:r>
      <w:r>
        <w:t xml:space="preserve"> Obtaining financial security has been made mandatory in all of the mentioned international conventions.</w:t>
      </w:r>
    </w:p>
    <w:p w14:paraId="38868A79" w14:textId="77777777" w:rsidR="006F45CF" w:rsidRDefault="006F45CF" w:rsidP="006F45CF"/>
    <w:p w14:paraId="1C7B06F2" w14:textId="77777777" w:rsidR="006F45CF" w:rsidRPr="00541277" w:rsidRDefault="006F45CF" w:rsidP="005042C4">
      <w:pPr>
        <w:pStyle w:val="Heading1"/>
        <w:keepLines/>
        <w:numPr>
          <w:ilvl w:val="0"/>
          <w:numId w:val="5"/>
        </w:numPr>
        <w:tabs>
          <w:tab w:val="clear" w:pos="720"/>
        </w:tabs>
        <w:spacing w:after="0" w:line="259" w:lineRule="auto"/>
        <w:ind w:left="284" w:hanging="284"/>
        <w:jc w:val="both"/>
        <w:rPr>
          <w:color w:val="548DD4" w:themeColor="text2" w:themeTint="99"/>
          <w:sz w:val="24"/>
          <w:szCs w:val="28"/>
        </w:rPr>
      </w:pPr>
      <w:bookmarkStart w:id="33" w:name="_Toc82176419"/>
      <w:r w:rsidRPr="00541277">
        <w:rPr>
          <w:color w:val="548DD4" w:themeColor="text2" w:themeTint="99"/>
          <w:sz w:val="24"/>
          <w:szCs w:val="28"/>
        </w:rPr>
        <w:t>Assessment of impacts</w:t>
      </w:r>
      <w:bookmarkEnd w:id="33"/>
    </w:p>
    <w:p w14:paraId="36C6343A" w14:textId="77777777" w:rsidR="006F45CF" w:rsidRPr="00C64B17" w:rsidRDefault="006F45CF" w:rsidP="00C64B17">
      <w:pPr>
        <w:keepNext/>
        <w:keepLines/>
        <w:spacing w:before="120" w:after="120"/>
        <w:outlineLvl w:val="1"/>
        <w:rPr>
          <w:rFonts w:asciiTheme="majorBidi" w:eastAsiaTheme="majorEastAsia" w:hAnsiTheme="majorBidi" w:cstheme="majorBidi"/>
          <w:b/>
          <w:bCs/>
          <w:sz w:val="24"/>
        </w:rPr>
      </w:pPr>
      <w:bookmarkStart w:id="34" w:name="_Toc82176420"/>
      <w:r w:rsidRPr="00C64B17">
        <w:rPr>
          <w:rFonts w:asciiTheme="majorBidi" w:eastAsiaTheme="majorEastAsia" w:hAnsiTheme="majorBidi" w:cstheme="majorBidi"/>
          <w:b/>
          <w:bCs/>
          <w:sz w:val="24"/>
        </w:rPr>
        <w:t>4.1 Introduction</w:t>
      </w:r>
      <w:bookmarkEnd w:id="34"/>
    </w:p>
    <w:p w14:paraId="6CCE6564" w14:textId="77777777" w:rsidR="006F45CF" w:rsidRPr="00BB6D34" w:rsidRDefault="006F45CF" w:rsidP="006F45CF">
      <w:r w:rsidRPr="00BB6D34">
        <w:t xml:space="preserve">This section will, as prescribed by Article 10(3) NKLSP, provide a description of the economic, social and environmental impacts of the various financial security mechanisms that have been discussed in the previous sections. Attention will particularly be paid to the impacts of the different mechanisms on the stakeholders </w:t>
      </w:r>
      <w:r>
        <w:t>throughout</w:t>
      </w:r>
      <w:r w:rsidRPr="00BB6D34">
        <w:t xml:space="preserve"> the LMO supply chain (developers, traders, and users), but also on society at large. When looking at the economic impacts of financial security mechanisms, this section will focus on the economic and financial impacts on stakeholders in the supply chain of the mechanism itself. Beyond the economic considerations of the different types of financial security mechanisms, it might also be mentioned that international trade law may be relevant in this regard. How particular financial security measures would be considered under international trade law would depend on the specific measures taken by a country.</w:t>
      </w:r>
    </w:p>
    <w:p w14:paraId="4514A2BE" w14:textId="77777777" w:rsidR="006F45CF" w:rsidRPr="00BB6D34" w:rsidRDefault="006F45CF" w:rsidP="006F45CF"/>
    <w:p w14:paraId="43B41EC7" w14:textId="77777777" w:rsidR="006F45CF" w:rsidRPr="00C64B17" w:rsidRDefault="006F45CF" w:rsidP="00AC35E8">
      <w:pPr>
        <w:keepNext/>
        <w:keepLines/>
        <w:spacing w:before="40" w:after="120"/>
        <w:outlineLvl w:val="1"/>
        <w:rPr>
          <w:rFonts w:asciiTheme="majorBidi" w:eastAsiaTheme="majorEastAsia" w:hAnsiTheme="majorBidi" w:cstheme="majorBidi"/>
          <w:b/>
          <w:bCs/>
          <w:sz w:val="24"/>
        </w:rPr>
      </w:pPr>
      <w:bookmarkStart w:id="35" w:name="_Toc82176421"/>
      <w:r w:rsidRPr="00C64B17">
        <w:rPr>
          <w:rFonts w:asciiTheme="majorBidi" w:eastAsiaTheme="majorEastAsia" w:hAnsiTheme="majorBidi" w:cstheme="majorBidi"/>
          <w:b/>
          <w:bCs/>
          <w:sz w:val="24"/>
        </w:rPr>
        <w:t>4.2 Approach</w:t>
      </w:r>
      <w:bookmarkEnd w:id="35"/>
    </w:p>
    <w:p w14:paraId="700D8445" w14:textId="53930CB6" w:rsidR="006F45CF" w:rsidRDefault="006F45CF" w:rsidP="006F45CF">
      <w:r w:rsidRPr="00BB6D34">
        <w:t>Given the limited availability</w:t>
      </w:r>
      <w:r>
        <w:t xml:space="preserve"> at present</w:t>
      </w:r>
      <w:r w:rsidRPr="00BB6D34">
        <w:t xml:space="preserve"> of financial security mechanisms for damage related to LMOs, this study will assess the impacts of the four main financial security mechanisms described in section 3 above, trying to draw parallels to financial security in the context of the Supplementary Protocol.</w:t>
      </w:r>
    </w:p>
    <w:p w14:paraId="4B5B9522" w14:textId="77777777" w:rsidR="00AC35E8" w:rsidRPr="00BB6D34" w:rsidRDefault="00AC35E8" w:rsidP="006F45CF"/>
    <w:p w14:paraId="51982BF3" w14:textId="77777777" w:rsidR="006F45CF" w:rsidRPr="00BB6D34" w:rsidRDefault="006F45CF" w:rsidP="00AC35E8">
      <w:pPr>
        <w:spacing w:after="120"/>
      </w:pPr>
      <w:r w:rsidRPr="00BB6D34">
        <w:t xml:space="preserve">A useful theoretical basis for </w:t>
      </w:r>
      <w:proofErr w:type="spellStart"/>
      <w:r w:rsidRPr="00BB6D34">
        <w:t>analyzing</w:t>
      </w:r>
      <w:proofErr w:type="spellEnd"/>
      <w:r w:rsidRPr="00BB6D34">
        <w:t xml:space="preserve"> those impacts can be found in the work of </w:t>
      </w:r>
      <w:proofErr w:type="spellStart"/>
      <w:r w:rsidRPr="00BB6D34">
        <w:t>Calabresi</w:t>
      </w:r>
      <w:proofErr w:type="spellEnd"/>
      <w:r w:rsidRPr="00BB6D34">
        <w:t xml:space="preserve"> on the costs of accidents.</w:t>
      </w:r>
      <w:r w:rsidRPr="00BB6D34">
        <w:rPr>
          <w:vertAlign w:val="superscript"/>
        </w:rPr>
        <w:footnoteReference w:id="163"/>
      </w:r>
      <w:r w:rsidRPr="00BB6D34">
        <w:t xml:space="preserve"> </w:t>
      </w:r>
      <w:proofErr w:type="spellStart"/>
      <w:r w:rsidRPr="00BB6D34">
        <w:t>Calabresi</w:t>
      </w:r>
      <w:proofErr w:type="spellEnd"/>
      <w:r w:rsidRPr="00BB6D34">
        <w:t xml:space="preserve"> argues that the goal of liability law should be to minimize the total costs of accidents. </w:t>
      </w:r>
      <w:proofErr w:type="spellStart"/>
      <w:r w:rsidRPr="00BB6D34">
        <w:t>Calabresi</w:t>
      </w:r>
      <w:proofErr w:type="spellEnd"/>
      <w:r w:rsidRPr="00BB6D34">
        <w:t xml:space="preserve"> thereby distinguishes the costs of prevention (investment by an operator to prevent the risk from occurring), the damage costs (the </w:t>
      </w:r>
      <w:r w:rsidRPr="00CC55D6">
        <w:t xml:space="preserve">losses </w:t>
      </w:r>
      <w:r w:rsidRPr="00BB6D34">
        <w:t xml:space="preserve">that would occur in case of an accident) and the costs of loss-spreading (referring to the need that those with the best capacity to carry the loss, for example because they are insured, should cover the loss). Finally, </w:t>
      </w:r>
      <w:proofErr w:type="spellStart"/>
      <w:r w:rsidRPr="00BB6D34">
        <w:t>Calabresi</w:t>
      </w:r>
      <w:proofErr w:type="spellEnd"/>
      <w:r w:rsidRPr="00BB6D34">
        <w:t xml:space="preserve"> also identifies the administrative or transaction costs of administering the liability regime (for example, costs of lawyers, court fees etc.). </w:t>
      </w:r>
      <w:proofErr w:type="spellStart"/>
      <w:r w:rsidRPr="00BB6D34">
        <w:t>Calabresi</w:t>
      </w:r>
      <w:proofErr w:type="spellEnd"/>
      <w:r w:rsidRPr="00BB6D34">
        <w:t xml:space="preserve"> distinguishes between these costs as follows: </w:t>
      </w:r>
    </w:p>
    <w:p w14:paraId="55DADDDF" w14:textId="77777777" w:rsidR="006F45CF" w:rsidRPr="00BB6D34" w:rsidRDefault="006F45CF" w:rsidP="005042C4">
      <w:pPr>
        <w:numPr>
          <w:ilvl w:val="0"/>
          <w:numId w:val="8"/>
        </w:numPr>
        <w:spacing w:after="160" w:line="259" w:lineRule="auto"/>
        <w:contextualSpacing/>
      </w:pPr>
      <w:r w:rsidRPr="00BB6D34">
        <w:rPr>
          <w:i/>
          <w:iCs/>
        </w:rPr>
        <w:t>Primary</w:t>
      </w:r>
      <w:r w:rsidRPr="00BB6D34">
        <w:t xml:space="preserve"> accident costs: the costs of prevention and the expected </w:t>
      </w:r>
      <w:r w:rsidRPr="00CC55D6">
        <w:t>losses</w:t>
      </w:r>
      <w:r w:rsidRPr="00BB6D34">
        <w:t>;</w:t>
      </w:r>
    </w:p>
    <w:p w14:paraId="487E909F" w14:textId="77777777" w:rsidR="006F45CF" w:rsidRPr="00BB6D34" w:rsidRDefault="006F45CF" w:rsidP="005042C4">
      <w:pPr>
        <w:numPr>
          <w:ilvl w:val="0"/>
          <w:numId w:val="8"/>
        </w:numPr>
        <w:spacing w:after="160" w:line="259" w:lineRule="auto"/>
        <w:contextualSpacing/>
      </w:pPr>
      <w:r w:rsidRPr="00BB6D34">
        <w:rPr>
          <w:i/>
          <w:iCs/>
        </w:rPr>
        <w:t>Secondary</w:t>
      </w:r>
      <w:r w:rsidRPr="00BB6D34">
        <w:t xml:space="preserve"> accident costs: the costs of loss-spreading</w:t>
      </w:r>
      <w:r>
        <w:t>;</w:t>
      </w:r>
      <w:r w:rsidRPr="00BB6D34">
        <w:t xml:space="preserve"> and</w:t>
      </w:r>
    </w:p>
    <w:p w14:paraId="3A7F1115" w14:textId="77777777" w:rsidR="006F45CF" w:rsidRPr="00BB6D34" w:rsidRDefault="006F45CF" w:rsidP="005042C4">
      <w:pPr>
        <w:numPr>
          <w:ilvl w:val="0"/>
          <w:numId w:val="8"/>
        </w:numPr>
        <w:spacing w:after="160" w:line="259" w:lineRule="auto"/>
        <w:contextualSpacing/>
      </w:pPr>
      <w:r w:rsidRPr="00BB6D34">
        <w:rPr>
          <w:i/>
          <w:iCs/>
        </w:rPr>
        <w:t>Tertiary</w:t>
      </w:r>
      <w:r w:rsidRPr="00BB6D34">
        <w:t xml:space="preserve"> accident costs: the costs of administrating the accident compensation system, in other words, administrative or transaction costs.</w:t>
      </w:r>
    </w:p>
    <w:p w14:paraId="4881ADE6" w14:textId="77777777" w:rsidR="00AC35E8" w:rsidRDefault="00AC35E8" w:rsidP="006F45CF"/>
    <w:p w14:paraId="37BF2CFE" w14:textId="31F93A34" w:rsidR="006F45CF" w:rsidRDefault="006F45CF" w:rsidP="006F45CF">
      <w:r w:rsidRPr="00BB6D34">
        <w:t xml:space="preserve">That distinction is helpful in providing an approach to </w:t>
      </w:r>
      <w:proofErr w:type="spellStart"/>
      <w:r w:rsidRPr="00BB6D34">
        <w:t>analyze</w:t>
      </w:r>
      <w:proofErr w:type="spellEnd"/>
      <w:r w:rsidRPr="00BB6D34">
        <w:t xml:space="preserve"> the different types of impacts of financial security mechanisms for </w:t>
      </w:r>
      <w:r w:rsidRPr="00CC55D6">
        <w:t>LMO-related damage</w:t>
      </w:r>
      <w:r w:rsidRPr="00BB6D34">
        <w:t xml:space="preserve">. </w:t>
      </w:r>
    </w:p>
    <w:p w14:paraId="413ABB13" w14:textId="77777777" w:rsidR="00AC35E8" w:rsidRPr="00BB6D34" w:rsidRDefault="00AC35E8" w:rsidP="006F45CF"/>
    <w:p w14:paraId="3C2DE85C" w14:textId="0527AE1C" w:rsidR="006F45CF" w:rsidRDefault="006F45CF" w:rsidP="006F45CF">
      <w:r w:rsidRPr="00BB6D34">
        <w:t>When looking at the economic impacts, the financial security mechanism can create particular (tertiary) costs related to their application such as the administrative costs of running the financial security mechanism.</w:t>
      </w:r>
    </w:p>
    <w:p w14:paraId="5E4F125B" w14:textId="77777777" w:rsidR="00AC35E8" w:rsidRPr="00BB6D34" w:rsidRDefault="00AC35E8" w:rsidP="006F45CF"/>
    <w:p w14:paraId="4837F454" w14:textId="1A801104" w:rsidR="006F45CF" w:rsidRDefault="006F45CF" w:rsidP="006F45CF">
      <w:r w:rsidRPr="00BB6D34">
        <w:t xml:space="preserve">The social impacts relate more to </w:t>
      </w:r>
      <w:proofErr w:type="spellStart"/>
      <w:r w:rsidRPr="00BB6D34">
        <w:t>Calabresi’s</w:t>
      </w:r>
      <w:proofErr w:type="spellEnd"/>
      <w:r w:rsidRPr="00BB6D34">
        <w:t xml:space="preserve"> secondary costs, the effective loss-spreading. The secondary costs relate to the risk attitudes of the different stakeholders. Based on the risk attitude, the question can be asked which party would (for example given the available financial assets) be better able to carry the risk and to spread the loss. This is related to the fact that if damage falls on the shoulders of a group of individuals </w:t>
      </w:r>
      <w:r w:rsidRPr="00BB6D34">
        <w:lastRenderedPageBreak/>
        <w:t xml:space="preserve">who socially would be less able to sustain these costs, financial security mechanisms could help allocate these costs where they can be born most effectively. </w:t>
      </w:r>
    </w:p>
    <w:p w14:paraId="3E1985C5" w14:textId="77777777" w:rsidR="00AC35E8" w:rsidRPr="00BB6D34" w:rsidRDefault="00AC35E8" w:rsidP="006F45CF"/>
    <w:p w14:paraId="25A50B5D" w14:textId="742D9CB2" w:rsidR="006F45CF" w:rsidRDefault="006F45CF" w:rsidP="006F45CF">
      <w:r w:rsidRPr="00BB6D34">
        <w:t xml:space="preserve">The environmental impact is related to the reduction of primary accident costs. In that respect, the question can be asked to what extent the specific financial security mechanism provides adequate incentives for optimal prevention of </w:t>
      </w:r>
      <w:r w:rsidRPr="00CC55D6">
        <w:t>LMO-related damage</w:t>
      </w:r>
      <w:r w:rsidRPr="00BB6D34">
        <w:t xml:space="preserve">. The environmental impact can also be considered from the perspective of whether the </w:t>
      </w:r>
      <w:proofErr w:type="gramStart"/>
      <w:r w:rsidRPr="00BB6D34">
        <w:t>particular financial</w:t>
      </w:r>
      <w:proofErr w:type="gramEnd"/>
      <w:r w:rsidRPr="00BB6D34">
        <w:t xml:space="preserve"> security mechanism enables an operator to </w:t>
      </w:r>
      <w:proofErr w:type="spellStart"/>
      <w:r w:rsidRPr="00BB6D34">
        <w:t>fulfill</w:t>
      </w:r>
      <w:proofErr w:type="spellEnd"/>
      <w:r w:rsidRPr="00BB6D34">
        <w:t xml:space="preserve"> its duties concerning liability and redress under the NKLSP.</w:t>
      </w:r>
      <w:r>
        <w:t xml:space="preserve"> </w:t>
      </w:r>
    </w:p>
    <w:p w14:paraId="14E15978" w14:textId="77777777" w:rsidR="00AC35E8" w:rsidRPr="00BB6D34" w:rsidRDefault="00AC35E8" w:rsidP="006F45CF"/>
    <w:p w14:paraId="47B1C840" w14:textId="77777777" w:rsidR="006F45CF" w:rsidRPr="00BB6D34" w:rsidRDefault="006F45CF" w:rsidP="006F45CF">
      <w:r w:rsidRPr="00BB6D34">
        <w:t>In addition, specific attention will be paid to the impacts of the various mechanisms on developing countries, as required by Article 10(3)(b) NKLSP.</w:t>
      </w:r>
    </w:p>
    <w:p w14:paraId="4DF77260" w14:textId="77777777" w:rsidR="00AC35E8" w:rsidRPr="00BB6D34" w:rsidRDefault="00AC35E8" w:rsidP="006F45CF"/>
    <w:p w14:paraId="0989210D" w14:textId="77777777" w:rsidR="006F45CF" w:rsidRPr="00C64B17" w:rsidRDefault="006F45CF" w:rsidP="007256E5">
      <w:pPr>
        <w:keepNext/>
        <w:keepLines/>
        <w:spacing w:before="40"/>
        <w:outlineLvl w:val="1"/>
        <w:rPr>
          <w:rFonts w:asciiTheme="majorBidi" w:eastAsiaTheme="majorEastAsia" w:hAnsiTheme="majorBidi" w:cstheme="majorBidi"/>
          <w:b/>
          <w:bCs/>
          <w:sz w:val="24"/>
        </w:rPr>
      </w:pPr>
      <w:bookmarkStart w:id="36" w:name="_Toc82176422"/>
      <w:r w:rsidRPr="00C64B17">
        <w:rPr>
          <w:rFonts w:asciiTheme="majorBidi" w:eastAsiaTheme="majorEastAsia" w:hAnsiTheme="majorBidi" w:cstheme="majorBidi"/>
          <w:b/>
          <w:bCs/>
          <w:sz w:val="24"/>
        </w:rPr>
        <w:t>4.3 Insurance and Reinsurance</w:t>
      </w:r>
      <w:bookmarkEnd w:id="36"/>
    </w:p>
    <w:p w14:paraId="6CC595B5" w14:textId="77777777" w:rsidR="006F45CF" w:rsidRPr="00BB6D34" w:rsidRDefault="006F45CF" w:rsidP="009168FF">
      <w:pPr>
        <w:keepNext/>
        <w:keepLines/>
        <w:spacing w:before="120" w:after="120"/>
        <w:rPr>
          <w:b/>
        </w:rPr>
      </w:pPr>
      <w:r w:rsidRPr="00BB6D34">
        <w:rPr>
          <w:b/>
        </w:rPr>
        <w:t>4.3.1 Economic</w:t>
      </w:r>
    </w:p>
    <w:p w14:paraId="730D447A" w14:textId="052EE686" w:rsidR="006F45CF" w:rsidRDefault="006F45CF" w:rsidP="006F45CF">
      <w:pPr>
        <w:rPr>
          <w:lang w:eastAsia="en-CA"/>
        </w:rPr>
      </w:pPr>
      <w:r w:rsidRPr="00BB6D34">
        <w:t>The most obvious economic cost of insurance is the cost of the premium to be paid by the insured. Indeed, according to the Coase theorem,</w:t>
      </w:r>
      <w:r w:rsidRPr="00BB6D34">
        <w:rPr>
          <w:vertAlign w:val="superscript"/>
        </w:rPr>
        <w:footnoteReference w:id="164"/>
      </w:r>
      <w:r w:rsidRPr="00BB6D34">
        <w:t xml:space="preserve"> when parties are bound via the price mechanism, an increase of costs (such as an insurance premium) will (to the extent that the market allows this) be passed on by the operator in the final price.</w:t>
      </w:r>
      <w:r w:rsidRPr="00BB6D34">
        <w:rPr>
          <w:vertAlign w:val="superscript"/>
        </w:rPr>
        <w:footnoteReference w:id="165"/>
      </w:r>
      <w:r w:rsidRPr="00BB6D34">
        <w:t xml:space="preserve"> </w:t>
      </w:r>
      <w:r w:rsidRPr="00BB6D34">
        <w:rPr>
          <w:lang w:eastAsia="en-CA"/>
        </w:rPr>
        <w:t>Generally speaking, insurance is considered an expensive financial security mechanism,</w:t>
      </w:r>
      <w:r>
        <w:rPr>
          <w:lang w:eastAsia="en-CA"/>
        </w:rPr>
        <w:t xml:space="preserve"> </w:t>
      </w:r>
      <w:r w:rsidRPr="00BB6D34">
        <w:rPr>
          <w:lang w:eastAsia="en-CA"/>
        </w:rPr>
        <w:t xml:space="preserve">primarily because it requires payment of a premium </w:t>
      </w:r>
      <w:r w:rsidRPr="00ED45C0">
        <w:rPr>
          <w:i/>
          <w:lang w:eastAsia="en-CA"/>
        </w:rPr>
        <w:t>ex ante</w:t>
      </w:r>
      <w:r w:rsidRPr="00BB6D34">
        <w:rPr>
          <w:lang w:eastAsia="en-CA"/>
        </w:rPr>
        <w:t xml:space="preserve"> and involves administrati</w:t>
      </w:r>
      <w:r w:rsidRPr="03748DC3">
        <w:rPr>
          <w:lang w:eastAsia="en-CA"/>
        </w:rPr>
        <w:t>ve</w:t>
      </w:r>
      <w:r w:rsidRPr="00BB6D34">
        <w:rPr>
          <w:lang w:eastAsia="en-CA"/>
        </w:rPr>
        <w:t xml:space="preserve"> costs. For this reason, as explained above, large operators often prefer the option to use other less costly alternatives to seek financial security (such as self-insurance or risk-sharing.) The costliness of insurance can also present challenges for small- and medium-sized operators who may not be able to afford the expense.</w:t>
      </w:r>
    </w:p>
    <w:p w14:paraId="734E6776" w14:textId="77777777" w:rsidR="00AC35E8" w:rsidRPr="00BB6D34" w:rsidRDefault="00AC35E8" w:rsidP="006F45CF"/>
    <w:p w14:paraId="5F08E2BF" w14:textId="21E41055" w:rsidR="006F45CF" w:rsidRDefault="006F45CF" w:rsidP="006F45CF">
      <w:pPr>
        <w:rPr>
          <w:rFonts w:ascii="Calibri" w:hAnsi="Calibri" w:cs="Calibri"/>
          <w:lang w:eastAsia="en-CA"/>
        </w:rPr>
      </w:pPr>
      <w:r w:rsidRPr="00BB6D34">
        <w:t xml:space="preserve">The payment of an insurance premium could in principle lead to an increase in the prices of products </w:t>
      </w:r>
      <w:r>
        <w:t>deriving from</w:t>
      </w:r>
      <w:r w:rsidRPr="00BB6D34">
        <w:t xml:space="preserve"> LMOs</w:t>
      </w:r>
      <w:r w:rsidRPr="00BB6D34">
        <w:rPr>
          <w:vertAlign w:val="superscript"/>
        </w:rPr>
        <w:footnoteReference w:id="166"/>
      </w:r>
      <w:r w:rsidRPr="00BB6D34">
        <w:t xml:space="preserve"> but whether this passing on of the cost through the price mechanism is of substantial importance (especially compared to products</w:t>
      </w:r>
      <w:r>
        <w:t xml:space="preserve"> that are not derived from LMOs</w:t>
      </w:r>
      <w:r w:rsidRPr="00BB6D34">
        <w:t xml:space="preserve">) is at this moment hard to judge. As explained above, LMOs are still largely excluded from insurance policies and there is even less experience with insurances covering LMO-related damage to biodiversity, </w:t>
      </w:r>
      <w:r w:rsidRPr="00BB6D34">
        <w:rPr>
          <w:rFonts w:ascii="Calibri" w:hAnsi="Calibri" w:cs="Calibri"/>
          <w:lang w:eastAsia="en-CA"/>
        </w:rPr>
        <w:t xml:space="preserve">meaning it is difficult to know how heavy a burden the insurance premium would be. </w:t>
      </w:r>
    </w:p>
    <w:p w14:paraId="45534719" w14:textId="77777777" w:rsidR="00AC35E8" w:rsidRPr="00BB6D34" w:rsidRDefault="00AC35E8" w:rsidP="006F45CF"/>
    <w:p w14:paraId="72EF9EE9" w14:textId="26DB6918" w:rsidR="006F45CF" w:rsidRDefault="006F45CF" w:rsidP="006F45CF">
      <w:r w:rsidRPr="00BB6D34">
        <w:t>Theoretically, all kinds of scenarios are possible. If insurance costs were substantial, non-GM products might become economically more attractive by comparison. In addition, substantial insurance costs could drive operators to countries where financial security requirements are less stringent. At the extreme, very high insurance premiums could drive operators out of the market. Some of these economic effects would have obvious social repercussions as well</w:t>
      </w:r>
      <w:r>
        <w:t xml:space="preserve"> (social impacts are discussed in the following subsection)</w:t>
      </w:r>
      <w:r w:rsidRPr="00BB6D34">
        <w:t>. According to the literature, concerns regarding the higher prices that could result from insurance premiums to be paid was an important reason not to impose mandatory financial security under the NKLSP.</w:t>
      </w:r>
      <w:r w:rsidRPr="00BB6D34">
        <w:rPr>
          <w:vertAlign w:val="superscript"/>
        </w:rPr>
        <w:footnoteReference w:id="167"/>
      </w:r>
      <w:r w:rsidRPr="00BB6D34">
        <w:t xml:space="preserve"> </w:t>
      </w:r>
    </w:p>
    <w:p w14:paraId="4A5B7D7C" w14:textId="77777777" w:rsidR="00AC35E8" w:rsidRPr="00BB6D34" w:rsidRDefault="00AC35E8" w:rsidP="006F45CF"/>
    <w:p w14:paraId="6DB05591" w14:textId="32E9C7A1" w:rsidR="006F45CF" w:rsidRDefault="006F45CF" w:rsidP="006F45CF">
      <w:r w:rsidRPr="00BB6D34">
        <w:t xml:space="preserve">Another aspect of the economic costs relates to the costs of the functioning of insurance. Indeed, insurance premiums are always higher than the objective value of the risk. </w:t>
      </w:r>
      <w:r>
        <w:t>They</w:t>
      </w:r>
      <w:r w:rsidRPr="00BB6D34">
        <w:t xml:space="preserve"> at least include the administrative </w:t>
      </w:r>
      <w:r w:rsidRPr="00BB6D34">
        <w:lastRenderedPageBreak/>
        <w:t xml:space="preserve">costs for the functioning of insurance. These administrative costs will be higher for insurance than when internal reserves are used in case of </w:t>
      </w:r>
      <w:proofErr w:type="gramStart"/>
      <w:r w:rsidRPr="00BB6D34">
        <w:t>self-insurance, but</w:t>
      </w:r>
      <w:proofErr w:type="gramEnd"/>
      <w:r w:rsidRPr="00BB6D34">
        <w:t xml:space="preserve"> could be lower than with a compensation fund.</w:t>
      </w:r>
      <w:r w:rsidRPr="00BB6D34">
        <w:rPr>
          <w:vertAlign w:val="superscript"/>
        </w:rPr>
        <w:footnoteReference w:id="168"/>
      </w:r>
    </w:p>
    <w:p w14:paraId="4D9C2D33" w14:textId="77777777" w:rsidR="00AC35E8" w:rsidRPr="00BB6D34" w:rsidRDefault="00AC35E8" w:rsidP="006F45CF"/>
    <w:p w14:paraId="20CF7E82" w14:textId="5EA35506" w:rsidR="006F45CF" w:rsidRDefault="006F45CF" w:rsidP="006F45CF">
      <w:r w:rsidRPr="00BB6D34">
        <w:t>Insurance may also have some economic benefits. Access to insurance would give operators the possibility to spread the costs of the risk of damage over a large group of insured through the insurer. Furthermore, insurance premiums are usually a stable and thus predictable operating cost that may be integrated into long-term production costs.</w:t>
      </w:r>
    </w:p>
    <w:p w14:paraId="3B01AF55" w14:textId="77777777" w:rsidR="00AC35E8" w:rsidRPr="00BB6D34" w:rsidRDefault="00AC35E8" w:rsidP="006F45CF"/>
    <w:p w14:paraId="4DD0CF08" w14:textId="4AB015C9" w:rsidR="00AC35E8" w:rsidRPr="00BB6D34" w:rsidRDefault="006F45CF" w:rsidP="00AC35E8">
      <w:pPr>
        <w:spacing w:after="120"/>
        <w:rPr>
          <w:b/>
          <w:bCs/>
        </w:rPr>
      </w:pPr>
      <w:r w:rsidRPr="00BB6D34">
        <w:rPr>
          <w:b/>
          <w:bCs/>
        </w:rPr>
        <w:t>4.3.2 Social</w:t>
      </w:r>
    </w:p>
    <w:p w14:paraId="34FAC844" w14:textId="39E42F3D" w:rsidR="006F45CF" w:rsidRDefault="006F45CF" w:rsidP="006F45CF">
      <w:r w:rsidRPr="00BB6D34">
        <w:t xml:space="preserve">The advantage of insurance, especially first party insurance, is that it can provide cover exactly corresponding to the risk attitude (and therefore demand of financial security) of the insured. From a social perspective, however, a disadvantage of a first party system is that it implies that a potential victim pays the premium for its own potential </w:t>
      </w:r>
      <w:r>
        <w:t>damage</w:t>
      </w:r>
      <w:r w:rsidRPr="00BB6D34">
        <w:t xml:space="preserve">. In a context where a third party is liable, it might be problematic to require a victim to pay for the damages through a first-party insurance premium. Some have therefore argued that it is inherently unfair for non-GM farmers to bear the costs of premiums when they are not causing the potential </w:t>
      </w:r>
      <w:r>
        <w:t>damage</w:t>
      </w:r>
      <w:r w:rsidRPr="00BB6D34">
        <w:t>.</w:t>
      </w:r>
      <w:r w:rsidRPr="00BB6D34">
        <w:rPr>
          <w:vertAlign w:val="superscript"/>
        </w:rPr>
        <w:footnoteReference w:id="169"/>
      </w:r>
      <w:r w:rsidRPr="00BB6D34">
        <w:t xml:space="preserve"> </w:t>
      </w:r>
      <w:r>
        <w:t>O</w:t>
      </w:r>
      <w:r w:rsidRPr="00BB6D34">
        <w:t>thers have expressed opposition to an insurance compensation mechanism that would impose a financial burden of paying the premium on organic and non-GM farmers rather than on producers of LMO</w:t>
      </w:r>
      <w:r>
        <w:t>s</w:t>
      </w:r>
      <w:r w:rsidRPr="00BB6D34">
        <w:t>.</w:t>
      </w:r>
      <w:r w:rsidRPr="00BB6D34">
        <w:rPr>
          <w:vertAlign w:val="superscript"/>
        </w:rPr>
        <w:footnoteReference w:id="170"/>
      </w:r>
      <w:r w:rsidRPr="00BB6D34">
        <w:t xml:space="preserve"> In this view, the social effects of insurance would be fairer if those creating the risks were the ones required to take insurance. This could be achieved through third-party insurance whereby, for example, certain operators in th</w:t>
      </w:r>
      <w:r>
        <w:t>e</w:t>
      </w:r>
      <w:r w:rsidRPr="00BB6D34">
        <w:t xml:space="preserve"> supply chain would take out insurance for damage to biodiversity caused by LMOs. The insurance costs would be passed on to the users of the LMOs, and not cause negative social effects on users outside the LMO-supply chain. </w:t>
      </w:r>
    </w:p>
    <w:p w14:paraId="01F4FDAC" w14:textId="77777777" w:rsidR="00AC35E8" w:rsidRPr="00BB6D34" w:rsidRDefault="00AC35E8" w:rsidP="006F45CF"/>
    <w:p w14:paraId="13E1A967" w14:textId="2EB4600A" w:rsidR="006F45CF" w:rsidRDefault="006F45CF" w:rsidP="006F45CF">
      <w:r w:rsidRPr="00BB6D34">
        <w:t xml:space="preserve">The payment of an insurance premium may be difficult for small and medium-size operators. It is for that reason that if mandatory financial security were to </w:t>
      </w:r>
      <w:proofErr w:type="gramStart"/>
      <w:r w:rsidRPr="00BB6D34">
        <w:t>introduced</w:t>
      </w:r>
      <w:proofErr w:type="gramEnd"/>
      <w:r w:rsidRPr="00BB6D34">
        <w:t>, a flexible approach should be followed, not limiting financial security to insurance. Especially when the insurance market is not yet well developed and sufficient competition is lacking, there is a danger that insurance premiums might be relatively high as insurers are likely to add a risk premium to deal with insurer ambiguity. This would especially be problematic for small- and medium-size operators and could put them at a disadvantage to larger operators, especially if insurance were to be mandatory.</w:t>
      </w:r>
      <w:r w:rsidRPr="00BB6D34">
        <w:rPr>
          <w:vertAlign w:val="superscript"/>
        </w:rPr>
        <w:footnoteReference w:id="171"/>
      </w:r>
      <w:r w:rsidRPr="00BB6D34">
        <w:t xml:space="preserve"> </w:t>
      </w:r>
    </w:p>
    <w:p w14:paraId="58D52E15" w14:textId="77777777" w:rsidR="00AC35E8" w:rsidRPr="00BB6D34" w:rsidRDefault="00AC35E8" w:rsidP="006F45CF"/>
    <w:p w14:paraId="532C9FF2" w14:textId="77777777" w:rsidR="006F45CF" w:rsidRPr="00BB6D34" w:rsidRDefault="006F45CF" w:rsidP="006F45CF">
      <w:r w:rsidRPr="00BB6D34">
        <w:t xml:space="preserve">Third party insurance could play a role for certain operators in developing countries (such as importers or GM farmers). The very limited availability or even lack of insurance products for </w:t>
      </w:r>
      <w:r w:rsidRPr="00CC55D6">
        <w:t>LMO-related damage</w:t>
      </w:r>
      <w:r w:rsidRPr="00BB6D34">
        <w:t xml:space="preserve"> also applies to the developing country context. In addition, issues related to monitoring, governance and enforcement of insurance mechanisms may be particularly challenging. </w:t>
      </w:r>
    </w:p>
    <w:p w14:paraId="7200E459" w14:textId="77777777" w:rsidR="006F45CF" w:rsidRPr="00BB6D34" w:rsidRDefault="006F45CF" w:rsidP="006F45CF"/>
    <w:p w14:paraId="27451794" w14:textId="77777777" w:rsidR="006F45CF" w:rsidRPr="00BB6D34" w:rsidRDefault="006F45CF" w:rsidP="00AC35E8">
      <w:pPr>
        <w:spacing w:after="120"/>
        <w:rPr>
          <w:b/>
        </w:rPr>
      </w:pPr>
      <w:r w:rsidRPr="00BB6D34">
        <w:rPr>
          <w:b/>
        </w:rPr>
        <w:t>4.3.3 Environment</w:t>
      </w:r>
    </w:p>
    <w:p w14:paraId="20A65C50" w14:textId="77777777" w:rsidR="006F45CF" w:rsidRPr="00BB6D34" w:rsidRDefault="006F45CF" w:rsidP="006F45CF">
      <w:r w:rsidRPr="00BB6D34">
        <w:t xml:space="preserve">The incentives for prevention (thus reducing </w:t>
      </w:r>
      <w:proofErr w:type="spellStart"/>
      <w:r w:rsidRPr="00BB6D34">
        <w:t>Calabresi’s</w:t>
      </w:r>
      <w:proofErr w:type="spellEnd"/>
      <w:r w:rsidRPr="00BB6D34">
        <w:t xml:space="preserve"> primary costs) under insurance are strong as a result of the control of moral hazard by the insurance company. The insurer will, through risk differentiation, adapt policy and premium conditions in order to give incentives for prevention. </w:t>
      </w:r>
    </w:p>
    <w:p w14:paraId="293030D8" w14:textId="77777777" w:rsidR="006F45CF" w:rsidRPr="00BB6D34" w:rsidRDefault="006F45CF" w:rsidP="006F45CF">
      <w:r w:rsidRPr="00BB6D34">
        <w:t xml:space="preserve">Insurance guarantees that the proceeds of insurance can be used towards the cost of response measures if damage were to occur. For the environmental benefits to be optimal, coverage must be sufficient to pay for the costs of restoration. </w:t>
      </w:r>
    </w:p>
    <w:p w14:paraId="38CEA8C2" w14:textId="77777777" w:rsidR="006F45CF" w:rsidRPr="00BB6D34" w:rsidRDefault="006F45CF" w:rsidP="006F45CF">
      <w:r w:rsidRPr="00BB6D34">
        <w:lastRenderedPageBreak/>
        <w:t xml:space="preserve">Restoration would also be facilitated if those who incur costs for taking response measures have a direct action on the insurer to claim the insurance proceeds, rather than an action against the liable operator (assuming it is not the operator taking the response measures). A direct action on the insurer allows the claimant to directly receive payment, even if the insured operator did not comply with </w:t>
      </w:r>
      <w:proofErr w:type="gramStart"/>
      <w:r w:rsidRPr="00BB6D34">
        <w:t>particular</w:t>
      </w:r>
      <w:r>
        <w:t xml:space="preserve"> </w:t>
      </w:r>
      <w:r w:rsidRPr="00BB6D34">
        <w:t>conditions</w:t>
      </w:r>
      <w:proofErr w:type="gramEnd"/>
      <w:r w:rsidRPr="00BB6D34">
        <w:t xml:space="preserve"> in the insurance policy (the so-called small print). In such a case, the insurer, after having paid the compensation to the claimant, can seek recourse from the insured, if coverage conditions appear not to have been met. </w:t>
      </w:r>
    </w:p>
    <w:p w14:paraId="19874B53" w14:textId="77777777" w:rsidR="00AC35E8" w:rsidRPr="00BB6D34" w:rsidRDefault="00AC35E8" w:rsidP="006F45CF"/>
    <w:p w14:paraId="35F0813F" w14:textId="77777777" w:rsidR="006F45CF" w:rsidRPr="00C64B17" w:rsidRDefault="006F45CF" w:rsidP="006F45CF">
      <w:pPr>
        <w:keepNext/>
        <w:keepLines/>
        <w:spacing w:before="40"/>
        <w:outlineLvl w:val="1"/>
        <w:rPr>
          <w:rFonts w:asciiTheme="majorBidi" w:eastAsiaTheme="majorEastAsia" w:hAnsiTheme="majorBidi" w:cstheme="majorBidi"/>
          <w:b/>
          <w:bCs/>
          <w:sz w:val="24"/>
        </w:rPr>
      </w:pPr>
      <w:bookmarkStart w:id="37" w:name="_Toc82176423"/>
      <w:r w:rsidRPr="00C64B17">
        <w:rPr>
          <w:rFonts w:asciiTheme="majorBidi" w:eastAsiaTheme="majorEastAsia" w:hAnsiTheme="majorBidi" w:cstheme="majorBidi"/>
          <w:b/>
          <w:bCs/>
          <w:sz w:val="24"/>
        </w:rPr>
        <w:t>4.4 Self-insurance</w:t>
      </w:r>
      <w:bookmarkEnd w:id="37"/>
    </w:p>
    <w:p w14:paraId="669B1E6F" w14:textId="77777777" w:rsidR="006F45CF" w:rsidRPr="00BB6D34" w:rsidRDefault="006F45CF" w:rsidP="00C64B17">
      <w:pPr>
        <w:spacing w:before="120" w:after="120"/>
        <w:rPr>
          <w:b/>
        </w:rPr>
      </w:pPr>
      <w:r w:rsidRPr="00BB6D34">
        <w:rPr>
          <w:b/>
        </w:rPr>
        <w:t>4.4.1 Economic</w:t>
      </w:r>
    </w:p>
    <w:p w14:paraId="67EB6C47" w14:textId="4FA779C8" w:rsidR="006F45CF" w:rsidRDefault="006F45CF" w:rsidP="006F45CF">
      <w:r w:rsidRPr="00BB6D34">
        <w:t xml:space="preserve">As detailed above, self-insurance consists of (usually larger) operators making their internal reserves available as financial security. Administrative costs for self-insurance are low and arise primarily </w:t>
      </w:r>
      <w:proofErr w:type="gramStart"/>
      <w:r w:rsidRPr="00BB6D34">
        <w:t>at the moment</w:t>
      </w:r>
      <w:proofErr w:type="gramEnd"/>
      <w:r w:rsidRPr="00BB6D34">
        <w:t xml:space="preserve"> when damage occurs and compensation needs to be paid and</w:t>
      </w:r>
      <w:r>
        <w:t xml:space="preserve"> also,</w:t>
      </w:r>
      <w:r w:rsidRPr="00BB6D34">
        <w:t xml:space="preserve"> to some extent</w:t>
      </w:r>
      <w:r>
        <w:t>,</w:t>
      </w:r>
      <w:r w:rsidRPr="00BB6D34">
        <w:t xml:space="preserve"> when setting up the arrangements for the self-insurance. In addition, self-insurance, as opposed to regular insurance, generally does not require the involvement of an external entity, thus contributing to cost-savings.  However, the system is effective only if sufficient financial reserves are available and used for compensation, when needed.</w:t>
      </w:r>
      <w:r w:rsidRPr="00BB6D34">
        <w:rPr>
          <w:vertAlign w:val="superscript"/>
        </w:rPr>
        <w:footnoteReference w:id="172"/>
      </w:r>
      <w:r w:rsidRPr="00BB6D34">
        <w:t xml:space="preserve"> This requires some level of external control and monitoring, leading to some expenses. </w:t>
      </w:r>
    </w:p>
    <w:p w14:paraId="66F7BDFA" w14:textId="77777777" w:rsidR="00AC35E8" w:rsidRPr="00BB6D34" w:rsidRDefault="00AC35E8" w:rsidP="006F45CF"/>
    <w:p w14:paraId="4DA5C578" w14:textId="2BB08F55" w:rsidR="006F45CF" w:rsidRDefault="006F45CF" w:rsidP="006F45CF">
      <w:r w:rsidRPr="00BB6D34">
        <w:t xml:space="preserve">In order to make self-insurance work, operators would </w:t>
      </w:r>
      <w:r>
        <w:t xml:space="preserve">need to </w:t>
      </w:r>
      <w:r w:rsidRPr="00BB6D34">
        <w:t xml:space="preserve">have reserves or assets that </w:t>
      </w:r>
      <w:r>
        <w:t>can</w:t>
      </w:r>
      <w:r w:rsidRPr="00BB6D34">
        <w:t xml:space="preserve"> be used in case of liability for damage to biodiversity. To avoid disinvestments, self-insurance </w:t>
      </w:r>
      <w:r>
        <w:t xml:space="preserve">would </w:t>
      </w:r>
      <w:r w:rsidRPr="00BB6D34">
        <w:t xml:space="preserve">usually only require operators to show that they have sufficient assets on their balance sheets that can be liquidated in case of liability for damage to biodiversity. This means that assets are not necessarily immobilized </w:t>
      </w:r>
      <w:proofErr w:type="gramStart"/>
      <w:r w:rsidRPr="00BB6D34">
        <w:t>as long as</w:t>
      </w:r>
      <w:proofErr w:type="gramEnd"/>
      <w:r w:rsidRPr="00BB6D34">
        <w:t xml:space="preserve"> no damage occurs. Since self-insurance requires large assets, it is an instrument mostly to be used for larger players in the supply chain. The economic impact would generally only be felt i</w:t>
      </w:r>
      <w:r>
        <w:t>f</w:t>
      </w:r>
      <w:r w:rsidRPr="00BB6D34">
        <w:t xml:space="preserve"> damage</w:t>
      </w:r>
      <w:r>
        <w:t xml:space="preserve"> were to arise</w:t>
      </w:r>
      <w:r w:rsidRPr="00BB6D34">
        <w:t xml:space="preserve">, and costs would be passed on in the value chain only when damage occurs. </w:t>
      </w:r>
    </w:p>
    <w:p w14:paraId="2F776E85" w14:textId="77777777" w:rsidR="00AC35E8" w:rsidRPr="00BB6D34" w:rsidRDefault="00AC35E8" w:rsidP="006F45CF"/>
    <w:p w14:paraId="6B957916" w14:textId="13D7B877" w:rsidR="006F45CF" w:rsidRDefault="006F45CF" w:rsidP="006F45CF">
      <w:r w:rsidRPr="00BB6D34">
        <w:t xml:space="preserve">The inherent risk of self-insurance is that a company providing self-insurance is not able to meet the claims, for example when the company is insolvent (either as a result of the claims for damages, or for other reasons). In such a situation, the economic impact of self-insurance is that others will need to bear the costs of the response measures or the ongoing economic costs of the damage if no other entity assumes the responsibility of taking the response measures. </w:t>
      </w:r>
    </w:p>
    <w:p w14:paraId="55CC6008" w14:textId="6FEFE382" w:rsidR="00AC35E8" w:rsidRDefault="00AC35E8" w:rsidP="006F45CF"/>
    <w:p w14:paraId="60F7DE59" w14:textId="77777777" w:rsidR="00FA5354" w:rsidRPr="00BB6D34" w:rsidRDefault="00FA5354" w:rsidP="006F45CF"/>
    <w:p w14:paraId="605341CB" w14:textId="77777777" w:rsidR="006F45CF" w:rsidRPr="00BB6D34" w:rsidRDefault="006F45CF" w:rsidP="00AC35E8">
      <w:pPr>
        <w:spacing w:after="120"/>
        <w:rPr>
          <w:b/>
        </w:rPr>
      </w:pPr>
      <w:r w:rsidRPr="00BB6D34">
        <w:rPr>
          <w:b/>
        </w:rPr>
        <w:t>4.4.2 Social</w:t>
      </w:r>
    </w:p>
    <w:p w14:paraId="750FEBE0" w14:textId="6336D0A7" w:rsidR="006F45CF" w:rsidRDefault="006F45CF" w:rsidP="006F45CF">
      <w:pPr>
        <w:rPr>
          <w:rFonts w:asciiTheme="majorBidi" w:hAnsiTheme="majorBidi" w:cstheme="majorBidi"/>
          <w:lang w:eastAsia="en-CA"/>
        </w:rPr>
      </w:pPr>
      <w:r w:rsidRPr="00BB6D34">
        <w:t xml:space="preserve">In principle, under self-insurance, an operator can choose the appropriate level of reserves, </w:t>
      </w:r>
      <w:proofErr w:type="gramStart"/>
      <w:r w:rsidRPr="00BB6D34">
        <w:t>taking into account</w:t>
      </w:r>
      <w:proofErr w:type="gramEnd"/>
      <w:r w:rsidRPr="00BB6D34">
        <w:t xml:space="preserve"> its own risk exposure and risk attitude. It is therefore a system that can align the demand for security to the risk attitude. From a distributional perspective, however, self-insurance can be problematic as generally only those operators with large assets can afford </w:t>
      </w:r>
      <w:r w:rsidRPr="00AC35E8">
        <w:rPr>
          <w:rFonts w:asciiTheme="majorBidi" w:hAnsiTheme="majorBidi" w:cstheme="majorBidi"/>
        </w:rPr>
        <w:t xml:space="preserve">this type of security. It will not be available for small and medium-size enterprises and most likely not for (small) farmers either. They will therefore have to call on other types of financial security (if they are available at all) for which they may have to pay. That could potentially create inequality between actors of different sizes. It may also have differing </w:t>
      </w:r>
      <w:r w:rsidRPr="00AC35E8">
        <w:rPr>
          <w:rFonts w:asciiTheme="majorBidi" w:hAnsiTheme="majorBidi" w:cstheme="majorBidi"/>
          <w:lang w:eastAsia="en-CA"/>
        </w:rPr>
        <w:t>impacts in developed versus developing countries. Even for larger entities in developing countries, self-insurance may not be available if systems for assessing or reviewing the solvency of operators and monitoring self-insurance guarantees are not available.</w:t>
      </w:r>
    </w:p>
    <w:p w14:paraId="48EF8EC7" w14:textId="77777777" w:rsidR="00AC35E8" w:rsidRPr="00AC35E8" w:rsidRDefault="00AC35E8" w:rsidP="006F45CF">
      <w:pPr>
        <w:rPr>
          <w:rFonts w:asciiTheme="majorBidi" w:hAnsiTheme="majorBidi" w:cstheme="majorBidi"/>
        </w:rPr>
      </w:pPr>
    </w:p>
    <w:p w14:paraId="7ED8D620" w14:textId="77777777" w:rsidR="006F45CF" w:rsidRPr="00AC35E8" w:rsidRDefault="006F45CF" w:rsidP="006F45CF">
      <w:pPr>
        <w:rPr>
          <w:rFonts w:asciiTheme="majorBidi" w:hAnsiTheme="majorBidi" w:cstheme="majorBidi"/>
        </w:rPr>
      </w:pPr>
      <w:r w:rsidRPr="00AC35E8">
        <w:rPr>
          <w:rFonts w:asciiTheme="majorBidi" w:hAnsiTheme="majorBidi" w:cstheme="majorBidi"/>
        </w:rPr>
        <w:lastRenderedPageBreak/>
        <w:t xml:space="preserve">Furthermore, the risk of insolvency in case of large claims may lead to situations in which insufficient funds are available to cover the costs of the damage, especially if the reserves for financial security have not been protected from the claims of other creditors. As a result, society at large or other actors may end up bearing the costs of the damage, which also is a negative social impact. </w:t>
      </w:r>
    </w:p>
    <w:p w14:paraId="5F9B7D3D" w14:textId="77777777" w:rsidR="006F45CF" w:rsidRPr="00AC35E8" w:rsidRDefault="006F45CF" w:rsidP="006F45CF">
      <w:pPr>
        <w:jc w:val="left"/>
        <w:rPr>
          <w:rFonts w:asciiTheme="majorBidi" w:hAnsiTheme="majorBidi" w:cstheme="majorBidi"/>
          <w:b/>
          <w:bCs/>
        </w:rPr>
      </w:pPr>
    </w:p>
    <w:p w14:paraId="6B20717D" w14:textId="77777777" w:rsidR="006F45CF" w:rsidRPr="00AC35E8" w:rsidRDefault="006F45CF" w:rsidP="00AC35E8">
      <w:pPr>
        <w:spacing w:after="120"/>
        <w:rPr>
          <w:rFonts w:asciiTheme="majorBidi" w:hAnsiTheme="majorBidi" w:cstheme="majorBidi"/>
          <w:b/>
          <w:bCs/>
        </w:rPr>
      </w:pPr>
      <w:r w:rsidRPr="00AC35E8">
        <w:rPr>
          <w:rFonts w:asciiTheme="majorBidi" w:hAnsiTheme="majorBidi" w:cstheme="majorBidi"/>
          <w:b/>
          <w:bCs/>
        </w:rPr>
        <w:t>4.4.3 Environment</w:t>
      </w:r>
    </w:p>
    <w:p w14:paraId="56AEAA91" w14:textId="77777777" w:rsidR="006F45CF" w:rsidRPr="00AC35E8" w:rsidRDefault="006F45CF" w:rsidP="006F45CF">
      <w:pPr>
        <w:rPr>
          <w:rFonts w:asciiTheme="majorBidi" w:hAnsiTheme="majorBidi" w:cstheme="majorBidi"/>
        </w:rPr>
      </w:pPr>
      <w:r w:rsidRPr="00AC35E8">
        <w:rPr>
          <w:rFonts w:asciiTheme="majorBidi" w:hAnsiTheme="majorBidi" w:cstheme="majorBidi"/>
        </w:rPr>
        <w:t xml:space="preserve">In principle, self-insurance creates excellent incentives for prevention, as the operator is not able to shift the risk to a third party and therefore no moral hazard risk emerges. </w:t>
      </w:r>
      <w:r w:rsidRPr="00AC35E8">
        <w:rPr>
          <w:rFonts w:asciiTheme="majorBidi" w:hAnsiTheme="majorBidi" w:cstheme="majorBidi"/>
          <w:lang w:eastAsia="en-CA"/>
        </w:rPr>
        <w:t>That, however, supposes that the reserves are sufficient to cover the potential loss and that no insolvency problem arises.</w:t>
      </w:r>
    </w:p>
    <w:p w14:paraId="05D254B8" w14:textId="77777777" w:rsidR="006F45CF" w:rsidRPr="00BB6D34" w:rsidRDefault="006F45CF" w:rsidP="006F45CF">
      <w:r w:rsidRPr="00BB6D34">
        <w:t>If the internal reserves are effectively used to restore biodiversity, the negative ecological effects of damage to biodiversity will be mitigated. However, self-insurance only provides a guarantee that the reserves can be used to compensate for damages if the funds are still available when they are needed. In case of insolvency, claims for damage to biodiversity will most likely have to compete with claims of other creditors, who may have priority in bankruptcy proceedings. For this reason, some consider self-insurance the riskiest of all financial securities option</w:t>
      </w:r>
      <w:r>
        <w:t>s</w:t>
      </w:r>
      <w:r w:rsidRPr="00BB6D34">
        <w:t xml:space="preserve"> as no protection is provided from claims of creditors.</w:t>
      </w:r>
      <w:r w:rsidRPr="00BB6D34">
        <w:rPr>
          <w:vertAlign w:val="superscript"/>
        </w:rPr>
        <w:footnoteReference w:id="173"/>
      </w:r>
      <w:r w:rsidRPr="00BB6D34">
        <w:t xml:space="preserve"> In addition to being a social and economic issue (the costs in the end being paid by society), it is equally an environmental problem if insufficient compensation is available for damage to biodiversity. </w:t>
      </w:r>
    </w:p>
    <w:p w14:paraId="7108DABA" w14:textId="77777777" w:rsidR="006F45CF" w:rsidRPr="00AC35E8" w:rsidRDefault="006F45CF" w:rsidP="00AC35E8">
      <w:pPr>
        <w:spacing w:beforeLines="40" w:before="96"/>
        <w:rPr>
          <w:rFonts w:asciiTheme="majorBidi" w:hAnsiTheme="majorBidi" w:cstheme="majorBidi"/>
          <w:b/>
          <w:bCs/>
          <w:szCs w:val="22"/>
        </w:rPr>
      </w:pPr>
    </w:p>
    <w:p w14:paraId="7BBC0123" w14:textId="77777777" w:rsidR="006F45CF" w:rsidRPr="00C64B17" w:rsidRDefault="006F45CF" w:rsidP="00AC35E8">
      <w:pPr>
        <w:keepNext/>
        <w:keepLines/>
        <w:spacing w:beforeLines="40" w:before="96"/>
        <w:outlineLvl w:val="1"/>
        <w:rPr>
          <w:rFonts w:asciiTheme="majorBidi" w:eastAsiaTheme="majorEastAsia" w:hAnsiTheme="majorBidi" w:cstheme="majorBidi"/>
          <w:b/>
          <w:bCs/>
          <w:sz w:val="24"/>
        </w:rPr>
      </w:pPr>
      <w:bookmarkStart w:id="38" w:name="_Toc82176424"/>
      <w:r w:rsidRPr="00C64B17">
        <w:rPr>
          <w:rFonts w:asciiTheme="majorBidi" w:eastAsiaTheme="majorEastAsia" w:hAnsiTheme="majorBidi" w:cstheme="majorBidi"/>
          <w:b/>
          <w:bCs/>
          <w:sz w:val="24"/>
        </w:rPr>
        <w:t>4.5 Risk-pooling</w:t>
      </w:r>
      <w:bookmarkEnd w:id="38"/>
    </w:p>
    <w:p w14:paraId="76848762" w14:textId="77777777" w:rsidR="006F45CF" w:rsidRPr="000D79DD" w:rsidRDefault="006F45CF" w:rsidP="00C64B17">
      <w:pPr>
        <w:spacing w:before="120" w:after="120"/>
        <w:rPr>
          <w:rFonts w:asciiTheme="majorBidi" w:hAnsiTheme="majorBidi" w:cstheme="majorBidi"/>
          <w:b/>
        </w:rPr>
      </w:pPr>
      <w:r w:rsidRPr="000D79DD">
        <w:rPr>
          <w:rFonts w:asciiTheme="majorBidi" w:hAnsiTheme="majorBidi" w:cstheme="majorBidi"/>
          <w:b/>
        </w:rPr>
        <w:t>4.5.1 Economic</w:t>
      </w:r>
    </w:p>
    <w:p w14:paraId="554ABB8D" w14:textId="7933AC43" w:rsidR="006F45CF" w:rsidRDefault="006F45CF" w:rsidP="006F45CF">
      <w:r w:rsidRPr="000D79DD">
        <w:rPr>
          <w:rFonts w:asciiTheme="majorBidi" w:hAnsiTheme="majorBidi" w:cstheme="majorBidi"/>
        </w:rPr>
        <w:t xml:space="preserve">From an economic perspective, risk-pooling requires members to pay a contribution (comparable to a premium) but the contribution does not necessarily need to be paid </w:t>
      </w:r>
      <w:r w:rsidRPr="000D79DD">
        <w:rPr>
          <w:rFonts w:asciiTheme="majorBidi" w:hAnsiTheme="majorBidi" w:cstheme="majorBidi"/>
          <w:i/>
          <w:iCs/>
        </w:rPr>
        <w:t>ex ante</w:t>
      </w:r>
      <w:r w:rsidRPr="000D79DD">
        <w:rPr>
          <w:rFonts w:asciiTheme="majorBidi" w:hAnsiTheme="majorBidi" w:cstheme="majorBidi"/>
        </w:rPr>
        <w:t>. That means that if the risk does not materialize, the premium is not “lost”. This is different from insurance premiums, which are paid to an insurer, irrespective of the occurrence of the damage.</w:t>
      </w:r>
      <w:r w:rsidRPr="000D79DD">
        <w:rPr>
          <w:rFonts w:asciiTheme="majorBidi" w:hAnsiTheme="majorBidi" w:cstheme="majorBidi"/>
          <w:vertAlign w:val="superscript"/>
        </w:rPr>
        <w:footnoteReference w:id="174"/>
      </w:r>
      <w:r w:rsidRPr="000D79DD">
        <w:rPr>
          <w:rFonts w:asciiTheme="majorBidi" w:hAnsiTheme="majorBidi" w:cstheme="majorBidi"/>
        </w:rPr>
        <w:t xml:space="preserve"> </w:t>
      </w:r>
      <w:r w:rsidRPr="000D79DD">
        <w:rPr>
          <w:rFonts w:asciiTheme="majorBidi" w:hAnsiTheme="majorBidi" w:cstheme="majorBidi"/>
          <w:lang w:eastAsia="en-CA"/>
        </w:rPr>
        <w:t>Risk-pooling will mostly be available for relatively small homogenous groups. This helps to keep the a</w:t>
      </w:r>
      <w:r w:rsidRPr="000D79DD">
        <w:rPr>
          <w:rFonts w:asciiTheme="majorBidi" w:hAnsiTheme="majorBidi" w:cstheme="majorBidi"/>
        </w:rPr>
        <w:t>dministrative costs of a risk-pooling scheme relatively low. Moreover, the contribution to a risk-pooling scheme will often be lower than the premium paid to an insurer because operators mutually pooling their own risk generally have better information</w:t>
      </w:r>
      <w:r w:rsidRPr="00BB6D34">
        <w:t xml:space="preserve"> on the risk exposure than insurers. As a result, they do not need to charge an additional risk premium.</w:t>
      </w:r>
    </w:p>
    <w:p w14:paraId="4E648066" w14:textId="77777777" w:rsidR="000D79DD" w:rsidRPr="00BB6D34" w:rsidRDefault="000D79DD" w:rsidP="006F45CF"/>
    <w:p w14:paraId="2F0A014A" w14:textId="009E9EDA" w:rsidR="006F45CF" w:rsidRDefault="006F45CF" w:rsidP="006F45CF">
      <w:r w:rsidRPr="00BB6D34">
        <w:t xml:space="preserve">The economic effect of a risk-sharing scheme on users is that the costs will only be passed on once the damage materializes. Without damage, there would be hardly any costs, which constitutes a major advantage of risk-sharing, in comparison with insurance and compensation funds, both of which require an </w:t>
      </w:r>
      <w:r w:rsidRPr="00DC3D18">
        <w:rPr>
          <w:i/>
        </w:rPr>
        <w:t>ex ante</w:t>
      </w:r>
      <w:r w:rsidRPr="00BB6D34">
        <w:t xml:space="preserve"> contribution.</w:t>
      </w:r>
    </w:p>
    <w:p w14:paraId="6040C3D8" w14:textId="77777777" w:rsidR="000D79DD" w:rsidRPr="00BB6D34" w:rsidRDefault="000D79DD" w:rsidP="006F45CF"/>
    <w:p w14:paraId="2DE05165" w14:textId="2962F20C" w:rsidR="006F45CF" w:rsidRDefault="006F45CF" w:rsidP="006F45CF">
      <w:bookmarkStart w:id="39" w:name="_Hlk69999039"/>
      <w:r w:rsidRPr="00BB6D34">
        <w:t xml:space="preserve">The need for homogeneity within the risk-pooling group would mean that a risk-pool of, for example, farmers or LMO producers could work, but not a mix of both. Within a group of specific operators, sub-groups may need to be created to maintain the necessary level of homogeneity. </w:t>
      </w:r>
    </w:p>
    <w:p w14:paraId="53EC8C73" w14:textId="77777777" w:rsidR="000D79DD" w:rsidRPr="00BB6D34" w:rsidRDefault="000D79DD" w:rsidP="006F45CF"/>
    <w:bookmarkEnd w:id="39"/>
    <w:p w14:paraId="119F5D8C" w14:textId="77777777" w:rsidR="006F45CF" w:rsidRPr="00BB6D34" w:rsidRDefault="006F45CF" w:rsidP="000D79DD">
      <w:pPr>
        <w:spacing w:after="120"/>
        <w:rPr>
          <w:b/>
        </w:rPr>
      </w:pPr>
      <w:r w:rsidRPr="00BB6D34">
        <w:rPr>
          <w:b/>
        </w:rPr>
        <w:t>4.5.2 Social</w:t>
      </w:r>
    </w:p>
    <w:p w14:paraId="29D46CC6" w14:textId="45E11D47" w:rsidR="006F45CF" w:rsidRDefault="006F45CF" w:rsidP="006F45CF">
      <w:bookmarkStart w:id="40" w:name="_Hlk69999244"/>
      <w:r w:rsidRPr="00BB6D34">
        <w:t xml:space="preserve">The homogeneity of the pool and the sharing of risks creates solidarity among the pool members. Pools also need to be built in a way to facilitate monitoring among the members. One consequence is that risk-pooling schemes may be possible at the international level if the number of participants is small, for example </w:t>
      </w:r>
      <w:r w:rsidRPr="00BB6D34">
        <w:lastRenderedPageBreak/>
        <w:t>if a few developers of LMOs were to create a risk-sharing pool. Where the number of potential participants is large, for example end-users such as farmers, a risk-pool would presumably only work at a national or even sub-national level. Risk pools of farmers, for example, could potentially be split into different pools for, respectively, small- and medium-size farmers. The pools could subsequently differentiate by the type of LMOs used by the farmers</w:t>
      </w:r>
      <w:r>
        <w:t xml:space="preserve">, </w:t>
      </w:r>
      <w:r w:rsidRPr="00BB6D34">
        <w:t>for example.</w:t>
      </w:r>
    </w:p>
    <w:p w14:paraId="682CFBC4" w14:textId="77777777" w:rsidR="000D79DD" w:rsidRPr="00BB6D34" w:rsidRDefault="000D79DD" w:rsidP="006F45CF"/>
    <w:bookmarkEnd w:id="40"/>
    <w:p w14:paraId="555DA226" w14:textId="5EE7EA73" w:rsidR="006F45CF" w:rsidRDefault="006F45CF" w:rsidP="006F45CF">
      <w:r w:rsidRPr="00BB6D34">
        <w:t xml:space="preserve">If mutual monitoring functions well, a risk-pooling scheme leads to a fair distribution of costs. Members that constitute a higher risk would either </w:t>
      </w:r>
      <w:proofErr w:type="gramStart"/>
      <w:r w:rsidRPr="00BB6D34">
        <w:t>have to</w:t>
      </w:r>
      <w:proofErr w:type="gramEnd"/>
      <w:r w:rsidRPr="00BB6D34">
        <w:t xml:space="preserve"> pay a higher contribution or would be excluded from the group. Cross-subsidization or free-riding can therefore be excluded in the risk-pool via mutual monitoring. The exclusion of members engaged in particularly risky activities could potentially be problematic, if no other financial security mechanism is available. </w:t>
      </w:r>
    </w:p>
    <w:p w14:paraId="021A2B8D" w14:textId="77777777" w:rsidR="000D79DD" w:rsidRPr="00BB6D34" w:rsidRDefault="000D79DD" w:rsidP="006F45CF"/>
    <w:p w14:paraId="04226AD1" w14:textId="0FA88EA1" w:rsidR="006F45CF" w:rsidRPr="000D79DD" w:rsidRDefault="006F45CF" w:rsidP="006F45CF">
      <w:pPr>
        <w:rPr>
          <w:szCs w:val="22"/>
        </w:rPr>
      </w:pPr>
      <w:r w:rsidRPr="00BB6D34">
        <w:t xml:space="preserve">In many traditional communities in developing countries (where insurances are largely unattainable), implicit risk-pooling schemes do in fact exist and cover relatively small </w:t>
      </w:r>
      <w:r>
        <w:t>damage</w:t>
      </w:r>
      <w:r w:rsidRPr="00BB6D34">
        <w:t xml:space="preserve"> that occur</w:t>
      </w:r>
      <w:r>
        <w:t>s</w:t>
      </w:r>
      <w:r w:rsidRPr="00BB6D34">
        <w:t xml:space="preserve"> to the community.</w:t>
      </w:r>
      <w:r w:rsidRPr="00BB6D34">
        <w:rPr>
          <w:vertAlign w:val="superscript"/>
        </w:rPr>
        <w:footnoteReference w:id="175"/>
      </w:r>
      <w:r w:rsidRPr="00BB6D34">
        <w:t xml:space="preserve"> The conditions for an effective risk-pool in those small communities are obviously met as these groups are relatively small, homogeneous and have good tools for mutual monitoring, thus enabling them to control moral hazard and free-riding. However, whereas those risk-pools might have emerged in developing countries, for example to cover agricultural </w:t>
      </w:r>
      <w:r>
        <w:t>damage</w:t>
      </w:r>
      <w:r w:rsidRPr="00BB6D34">
        <w:t xml:space="preserve">, it is highly unlikely that the same would cover </w:t>
      </w:r>
      <w:r w:rsidRPr="0022485D">
        <w:t xml:space="preserve">LMO-related </w:t>
      </w:r>
      <w:r w:rsidRPr="000D79DD">
        <w:rPr>
          <w:szCs w:val="22"/>
        </w:rPr>
        <w:t xml:space="preserve">damage to biodiversity given the unpredictability of the scale of the damage. </w:t>
      </w:r>
    </w:p>
    <w:p w14:paraId="50746924" w14:textId="77777777" w:rsidR="000D79DD" w:rsidRPr="000D79DD" w:rsidRDefault="000D79DD" w:rsidP="006F45CF">
      <w:pPr>
        <w:rPr>
          <w:szCs w:val="22"/>
        </w:rPr>
      </w:pPr>
    </w:p>
    <w:p w14:paraId="376893B1" w14:textId="77777777" w:rsidR="006F45CF" w:rsidRPr="000D79DD" w:rsidRDefault="006F45CF" w:rsidP="006F45CF">
      <w:pPr>
        <w:rPr>
          <w:szCs w:val="22"/>
        </w:rPr>
      </w:pPr>
      <w:r w:rsidRPr="000D79DD">
        <w:rPr>
          <w:szCs w:val="22"/>
        </w:rPr>
        <w:t>Given the need for a sufficient number of members of the risk pooling scheme and the need for homogeneity within the group, the development of risk-pooling schemes that would cover third party damage in developing countries would, for example, be possible for small groups of large farmers.</w:t>
      </w:r>
      <w:r w:rsidRPr="000D79DD" w:rsidDel="00BB6D34">
        <w:rPr>
          <w:szCs w:val="22"/>
        </w:rPr>
        <w:t xml:space="preserve"> </w:t>
      </w:r>
      <w:r w:rsidRPr="000D79DD">
        <w:rPr>
          <w:szCs w:val="22"/>
        </w:rPr>
        <w:t>In addition, global producers could be able to create a risk-sharing agreement that could equally cover third party damage in developing countries.</w:t>
      </w:r>
    </w:p>
    <w:p w14:paraId="41F6B6E1" w14:textId="77777777" w:rsidR="006F45CF" w:rsidRPr="000D79DD" w:rsidRDefault="006F45CF" w:rsidP="006F45CF">
      <w:pPr>
        <w:rPr>
          <w:szCs w:val="22"/>
        </w:rPr>
      </w:pPr>
    </w:p>
    <w:p w14:paraId="30D2BDD1" w14:textId="77777777" w:rsidR="006F45CF" w:rsidRPr="000D79DD" w:rsidRDefault="006F45CF" w:rsidP="000D79DD">
      <w:pPr>
        <w:spacing w:after="120"/>
        <w:rPr>
          <w:b/>
          <w:szCs w:val="22"/>
        </w:rPr>
      </w:pPr>
      <w:r w:rsidRPr="000D79DD">
        <w:rPr>
          <w:b/>
          <w:szCs w:val="22"/>
        </w:rPr>
        <w:t>4.5.3 Environment</w:t>
      </w:r>
    </w:p>
    <w:p w14:paraId="1FC8B9DE" w14:textId="77777777" w:rsidR="006F45CF" w:rsidRPr="000D79DD" w:rsidRDefault="006F45CF" w:rsidP="006F45CF">
      <w:pPr>
        <w:rPr>
          <w:szCs w:val="22"/>
        </w:rPr>
      </w:pPr>
      <w:r w:rsidRPr="000D79DD">
        <w:rPr>
          <w:szCs w:val="22"/>
        </w:rPr>
        <w:t>Risk-pooling has a major advantage when it comes to prevention: as all members in the pool become collectively liable to contribute when the risk materializes, they have excellent incentives for mutual monitoring.</w:t>
      </w:r>
    </w:p>
    <w:p w14:paraId="728F434D" w14:textId="77777777" w:rsidR="006F45CF" w:rsidRPr="00BB6D34" w:rsidRDefault="006F45CF" w:rsidP="006F45CF">
      <w:r w:rsidRPr="000D79DD">
        <w:rPr>
          <w:szCs w:val="22"/>
        </w:rPr>
        <w:t>In principle the funds available via a risk-pooling scheme can be used for restoring biological diversity. Of importance is more particularly whether</w:t>
      </w:r>
      <w:r w:rsidRPr="00BB6D34">
        <w:t xml:space="preserve"> there is sufficient cover, whether it is possible to call directly on the funds available via the risk-pooling scheme and if the cover provided is formulated in such a way as to cover restoration of biodiversity. The example of the P&amp;I Clubs that have wide experience in covering for oil pollution damage shows that it is possible to use a risk-pooling scheme to restore some types of damages to the environment</w:t>
      </w:r>
      <w:r>
        <w:t xml:space="preserve"> </w:t>
      </w:r>
      <w:r w:rsidRPr="0055556D">
        <w:t xml:space="preserve">(see section </w:t>
      </w:r>
      <w:r>
        <w:t>3.4.3</w:t>
      </w:r>
      <w:r w:rsidRPr="0055556D">
        <w:t>)</w:t>
      </w:r>
      <w:r w:rsidRPr="00BB6D34">
        <w:t xml:space="preserve">. </w:t>
      </w:r>
    </w:p>
    <w:p w14:paraId="7D15D003" w14:textId="77777777" w:rsidR="006F45CF" w:rsidRPr="00BB6D34" w:rsidRDefault="006F45CF" w:rsidP="006F45CF"/>
    <w:p w14:paraId="48DA0AC9" w14:textId="77777777" w:rsidR="006F45CF" w:rsidRPr="00C64B17" w:rsidRDefault="006F45CF" w:rsidP="000D79DD">
      <w:pPr>
        <w:keepNext/>
        <w:keepLines/>
        <w:spacing w:before="40"/>
        <w:outlineLvl w:val="1"/>
        <w:rPr>
          <w:rFonts w:asciiTheme="majorBidi" w:eastAsiaTheme="majorEastAsia" w:hAnsiTheme="majorBidi" w:cstheme="majorBidi"/>
          <w:b/>
          <w:bCs/>
          <w:sz w:val="24"/>
        </w:rPr>
      </w:pPr>
      <w:bookmarkStart w:id="41" w:name="_Toc82176425"/>
      <w:r w:rsidRPr="00C64B17">
        <w:rPr>
          <w:rFonts w:asciiTheme="majorBidi" w:eastAsiaTheme="majorEastAsia" w:hAnsiTheme="majorBidi" w:cstheme="majorBidi"/>
          <w:b/>
          <w:bCs/>
          <w:sz w:val="24"/>
        </w:rPr>
        <w:t>4.6 Fund</w:t>
      </w:r>
      <w:bookmarkEnd w:id="41"/>
    </w:p>
    <w:p w14:paraId="6FDC990F" w14:textId="77777777" w:rsidR="006F45CF" w:rsidRPr="00BB6D34" w:rsidRDefault="006F45CF" w:rsidP="00C64B17">
      <w:pPr>
        <w:spacing w:before="120" w:after="120"/>
        <w:rPr>
          <w:b/>
        </w:rPr>
      </w:pPr>
      <w:r w:rsidRPr="00BB6D34">
        <w:rPr>
          <w:b/>
        </w:rPr>
        <w:t>4.6.1 Economic</w:t>
      </w:r>
    </w:p>
    <w:p w14:paraId="7CE8BEB2" w14:textId="46250BEB" w:rsidR="006F45CF" w:rsidRDefault="006F45CF" w:rsidP="006F45CF">
      <w:r w:rsidRPr="3820B383">
        <w:t>A fund can be financed in various ways.</w:t>
      </w:r>
      <w:r>
        <w:rPr>
          <w:iCs/>
        </w:rPr>
        <w:t xml:space="preserve"> If the fund would be paid via the general taxes, the fund would not generate any preventive effect. If the fund would be financed through contributions paid by operators, there may be some possibility to relate the contribution to risk. In that case, contributions to a fund can be comparable to insurance premiums as operators would </w:t>
      </w:r>
      <w:r w:rsidRPr="00DC3D18">
        <w:rPr>
          <w:i/>
          <w:iCs/>
        </w:rPr>
        <w:t>ex ante</w:t>
      </w:r>
      <w:r>
        <w:rPr>
          <w:iCs/>
        </w:rPr>
        <w:t xml:space="preserve"> pay the contribution to finance the fund</w:t>
      </w:r>
      <w:r w:rsidRPr="00BB6D34">
        <w:t xml:space="preserve">. Administrative costs of a fund can in some cases be larger than with insurance. Insurers may have more </w:t>
      </w:r>
      <w:r w:rsidRPr="00BB6D34">
        <w:lastRenderedPageBreak/>
        <w:t>experience in differentiating risk and handling claims. Profit maximization may also drive insurers more to cost reduction than compensation funds administered publicly.</w:t>
      </w:r>
      <w:r w:rsidRPr="00BB6D34">
        <w:rPr>
          <w:vertAlign w:val="superscript"/>
        </w:rPr>
        <w:footnoteReference w:id="176"/>
      </w:r>
    </w:p>
    <w:p w14:paraId="16471A8E" w14:textId="77777777" w:rsidR="000D79DD" w:rsidRPr="00BB6D34" w:rsidRDefault="000D79DD" w:rsidP="006F45CF"/>
    <w:p w14:paraId="07E8A263" w14:textId="77777777" w:rsidR="006F45CF" w:rsidRPr="00BB6D34" w:rsidRDefault="006F45CF" w:rsidP="000D79DD">
      <w:pPr>
        <w:spacing w:after="120"/>
        <w:rPr>
          <w:b/>
        </w:rPr>
      </w:pPr>
      <w:r w:rsidRPr="00BB6D34">
        <w:rPr>
          <w:b/>
        </w:rPr>
        <w:t>4.6.2 Social</w:t>
      </w:r>
    </w:p>
    <w:p w14:paraId="02AA5CDA" w14:textId="417ECD1D" w:rsidR="006F45CF" w:rsidRDefault="006F45CF" w:rsidP="006F45CF">
      <w:r>
        <w:t xml:space="preserve">A fund is usually financed by operators creating the particular risk. To the extent that the contributions reflect risk, the financing of the fund could be considered fair from a distributional point of view. </w:t>
      </w:r>
      <w:proofErr w:type="gramStart"/>
      <w:r>
        <w:t>Free-riding</w:t>
      </w:r>
      <w:proofErr w:type="gramEnd"/>
      <w:r>
        <w:t xml:space="preserve"> by high risks could in that case be avoided. However, the fund manager may not always carefully distinguish high-risk versus low-risk operators in which case high-risk operators are </w:t>
      </w:r>
      <w:r w:rsidRPr="3820B383">
        <w:rPr>
          <w:i/>
          <w:iCs/>
        </w:rPr>
        <w:t>de facto</w:t>
      </w:r>
      <w:r>
        <w:t xml:space="preserve"> cross-subsidized by low risks. Compensation via a fund is often based on a lump sum and does not always provide compensation for the full extent of the liability. Victims may thus receive less than full compensation if payment takes place via a fund. However, funds often have standardized and simplified procedures that facilitate the submission and consideration of claims. This can be an advantage for claimants that lack resources and can also expedite access to redress.</w:t>
      </w:r>
      <w:r w:rsidR="000D79DD">
        <w:t xml:space="preserve">  </w:t>
      </w:r>
    </w:p>
    <w:p w14:paraId="388FB6B0" w14:textId="77777777" w:rsidR="000D79DD" w:rsidRPr="00BB6D34" w:rsidRDefault="000D79DD" w:rsidP="006F45CF"/>
    <w:p w14:paraId="5CB8C31A" w14:textId="7C606004" w:rsidR="006F45CF" w:rsidRDefault="006F45CF" w:rsidP="006F45CF">
      <w:r>
        <w:t xml:space="preserve">Theoretically one could imagine the creation of a fund in a developing country whereby for example importers of LMOs or the end users of the LMOs would pay contributions to cover for future damage. In this respect, insufficient human resources, the costs of the operation of the fund, the number of paying operators and the amount of payments required might add to the complexities of establishing an effective compensation fund. Another model is the creation of a global fund through an intergovernmental instrument as has been done for oil pollution and nuclear damage </w:t>
      </w:r>
      <w:r w:rsidRPr="00A31A78">
        <w:t xml:space="preserve">(see section </w:t>
      </w:r>
      <w:r>
        <w:t>3.5.3</w:t>
      </w:r>
      <w:r w:rsidRPr="00A31A78">
        <w:t>)</w:t>
      </w:r>
      <w:r>
        <w:t xml:space="preserve">. Depending on who would pay the contributions to the fund and who could potentially benefit this could </w:t>
      </w:r>
      <w:proofErr w:type="gramStart"/>
      <w:r>
        <w:t>be more or less</w:t>
      </w:r>
      <w:proofErr w:type="gramEnd"/>
      <w:r>
        <w:t xml:space="preserve"> socially equitable. </w:t>
      </w:r>
    </w:p>
    <w:p w14:paraId="185070BE" w14:textId="77777777" w:rsidR="000D79DD" w:rsidRPr="00BB6D34" w:rsidRDefault="000D79DD" w:rsidP="006F45CF"/>
    <w:p w14:paraId="3721A739" w14:textId="77777777" w:rsidR="006F45CF" w:rsidRPr="00BB6D34" w:rsidRDefault="006F45CF" w:rsidP="000D79DD">
      <w:pPr>
        <w:spacing w:after="120"/>
        <w:rPr>
          <w:b/>
        </w:rPr>
      </w:pPr>
      <w:r w:rsidRPr="00BB6D34">
        <w:rPr>
          <w:b/>
        </w:rPr>
        <w:t>4.6.3 Environment</w:t>
      </w:r>
    </w:p>
    <w:p w14:paraId="2118F9F8" w14:textId="29DADBAC" w:rsidR="006F45CF" w:rsidRPr="000D79DD" w:rsidRDefault="006F45CF" w:rsidP="000D79DD">
      <w:pPr>
        <w:rPr>
          <w:rFonts w:asciiTheme="majorBidi" w:hAnsiTheme="majorBidi" w:cstheme="majorBidi"/>
          <w:szCs w:val="22"/>
        </w:rPr>
      </w:pPr>
      <w:r>
        <w:t>The e</w:t>
      </w:r>
      <w:r w:rsidRPr="000D79DD">
        <w:rPr>
          <w:rFonts w:asciiTheme="majorBidi" w:hAnsiTheme="majorBidi" w:cstheme="majorBidi"/>
          <w:szCs w:val="22"/>
        </w:rPr>
        <w:t xml:space="preserve">nvironmental effects of a fund very much depend on whether the fund applies an effective mechanism of risk differentiation which is needed to create incentives for prevention. If the fund were to be financed via the general taxes, there would be no preventive effect. If it were to be financed by operators (for example with a levy on the quantity of LMOs produced), there may be some effect, although usually the fund (different from insurance) does not relate the contribution to the individual risk of an operator. </w:t>
      </w:r>
    </w:p>
    <w:p w14:paraId="4C2A1745" w14:textId="77777777" w:rsidR="000D79DD" w:rsidRPr="000D79DD" w:rsidRDefault="000D79DD" w:rsidP="000D79DD">
      <w:pPr>
        <w:rPr>
          <w:rFonts w:asciiTheme="majorBidi" w:hAnsiTheme="majorBidi" w:cstheme="majorBidi"/>
          <w:szCs w:val="22"/>
        </w:rPr>
      </w:pPr>
    </w:p>
    <w:p w14:paraId="563A64C7" w14:textId="77777777" w:rsidR="006F45CF" w:rsidRPr="000D79DD" w:rsidRDefault="006F45CF" w:rsidP="000D79DD">
      <w:pPr>
        <w:rPr>
          <w:rFonts w:asciiTheme="majorBidi" w:hAnsiTheme="majorBidi" w:cstheme="majorBidi"/>
          <w:szCs w:val="22"/>
        </w:rPr>
      </w:pPr>
      <w:r w:rsidRPr="000D79DD">
        <w:rPr>
          <w:rFonts w:asciiTheme="majorBidi" w:hAnsiTheme="majorBidi" w:cstheme="majorBidi"/>
          <w:szCs w:val="22"/>
        </w:rPr>
        <w:t xml:space="preserve">If the fund </w:t>
      </w:r>
      <w:proofErr w:type="gramStart"/>
      <w:r w:rsidRPr="000D79DD">
        <w:rPr>
          <w:rFonts w:asciiTheme="majorBidi" w:hAnsiTheme="majorBidi" w:cstheme="majorBidi"/>
          <w:szCs w:val="22"/>
        </w:rPr>
        <w:t>is able to</w:t>
      </w:r>
      <w:proofErr w:type="gramEnd"/>
      <w:r w:rsidRPr="000D79DD">
        <w:rPr>
          <w:rFonts w:asciiTheme="majorBidi" w:hAnsiTheme="majorBidi" w:cstheme="majorBidi"/>
          <w:szCs w:val="22"/>
        </w:rPr>
        <w:t xml:space="preserve"> generate sufficient contributions, it could in principle be used to restore environmental damage. There are many examples of environmental funds at both the domestic level</w:t>
      </w:r>
      <w:r w:rsidRPr="000D79DD">
        <w:rPr>
          <w:rFonts w:asciiTheme="majorBidi" w:hAnsiTheme="majorBidi" w:cstheme="majorBidi"/>
          <w:szCs w:val="22"/>
          <w:vertAlign w:val="superscript"/>
        </w:rPr>
        <w:footnoteReference w:id="177"/>
      </w:r>
      <w:r w:rsidRPr="000D79DD">
        <w:rPr>
          <w:rFonts w:asciiTheme="majorBidi" w:hAnsiTheme="majorBidi" w:cstheme="majorBidi"/>
          <w:szCs w:val="22"/>
        </w:rPr>
        <w:t xml:space="preserve"> and the international level</w:t>
      </w:r>
      <w:r w:rsidRPr="000D79DD">
        <w:rPr>
          <w:rFonts w:asciiTheme="majorBidi" w:hAnsiTheme="majorBidi" w:cstheme="majorBidi"/>
          <w:szCs w:val="22"/>
          <w:vertAlign w:val="superscript"/>
        </w:rPr>
        <w:footnoteReference w:id="178"/>
      </w:r>
      <w:r w:rsidRPr="000D79DD">
        <w:rPr>
          <w:rFonts w:asciiTheme="majorBidi" w:hAnsiTheme="majorBidi" w:cstheme="majorBidi"/>
          <w:szCs w:val="22"/>
        </w:rPr>
        <w:t xml:space="preserve"> which both provide compensation for the costs of restoring environmental damage. Whether the fund would be able to finance catastrophic risks depends on the way it is structured and on the amount that it can generate. </w:t>
      </w:r>
    </w:p>
    <w:p w14:paraId="1938FD4A" w14:textId="682C8940" w:rsidR="006F45CF" w:rsidRPr="00541277" w:rsidRDefault="006F45CF" w:rsidP="005042C4">
      <w:pPr>
        <w:keepNext/>
        <w:keepLines/>
        <w:numPr>
          <w:ilvl w:val="0"/>
          <w:numId w:val="5"/>
        </w:numPr>
        <w:spacing w:before="240" w:after="120" w:line="259" w:lineRule="auto"/>
        <w:outlineLvl w:val="0"/>
        <w:rPr>
          <w:rFonts w:asciiTheme="majorBidi" w:eastAsiaTheme="majorEastAsia" w:hAnsiTheme="majorBidi" w:cstheme="majorBidi"/>
          <w:b/>
          <w:bCs/>
          <w:color w:val="548DD4" w:themeColor="text2" w:themeTint="99"/>
          <w:sz w:val="24"/>
        </w:rPr>
      </w:pPr>
      <w:bookmarkStart w:id="42" w:name="_Toc82176426"/>
      <w:r w:rsidRPr="00541277">
        <w:rPr>
          <w:rFonts w:asciiTheme="majorBidi" w:eastAsiaTheme="majorEastAsia" w:hAnsiTheme="majorBidi" w:cstheme="majorBidi"/>
          <w:b/>
          <w:bCs/>
          <w:color w:val="548DD4" w:themeColor="text2" w:themeTint="99"/>
          <w:sz w:val="24"/>
        </w:rPr>
        <w:t>C</w:t>
      </w:r>
      <w:bookmarkEnd w:id="42"/>
      <w:r w:rsidR="005209D6" w:rsidRPr="00541277">
        <w:rPr>
          <w:rFonts w:asciiTheme="majorBidi" w:eastAsiaTheme="majorEastAsia" w:hAnsiTheme="majorBidi" w:cstheme="majorBidi"/>
          <w:b/>
          <w:bCs/>
          <w:color w:val="548DD4" w:themeColor="text2" w:themeTint="99"/>
          <w:sz w:val="24"/>
        </w:rPr>
        <w:t>ONCLUSION</w:t>
      </w:r>
    </w:p>
    <w:p w14:paraId="3A59AEF0" w14:textId="488C818B" w:rsidR="006F45CF" w:rsidRDefault="006F45CF" w:rsidP="006F45CF">
      <w:pPr>
        <w:spacing w:line="257" w:lineRule="auto"/>
        <w:rPr>
          <w:rFonts w:asciiTheme="majorBidi" w:eastAsia="Calibri" w:hAnsiTheme="majorBidi" w:cstheme="majorBidi"/>
        </w:rPr>
      </w:pPr>
      <w:r w:rsidRPr="000D79DD">
        <w:rPr>
          <w:rFonts w:asciiTheme="majorBidi" w:hAnsiTheme="majorBidi" w:cstheme="majorBidi"/>
        </w:rPr>
        <w:t xml:space="preserve">This study described a selection of financial security mechanisms, their modalities of operation, the entities that can provide financial security. </w:t>
      </w:r>
      <w:r w:rsidRPr="000D79DD">
        <w:rPr>
          <w:rFonts w:asciiTheme="majorBidi" w:eastAsia="Calibri" w:hAnsiTheme="majorBidi" w:cstheme="majorBidi"/>
        </w:rPr>
        <w:t>The study also considers the suitability of financial security mechanisms to cover the type of damage addressed by the NKLSP. The study showed that in practice many hybrid mechanisms have been developed, combining elements of more than one financial security mechanism. It also provided examples of multi-layered financial security mechanisms that provide compensation by combining multiple financial security mechanisms, each supplementing the other.</w:t>
      </w:r>
      <w:r w:rsidR="000D79DD">
        <w:rPr>
          <w:rFonts w:asciiTheme="majorBidi" w:eastAsia="Calibri" w:hAnsiTheme="majorBidi" w:cstheme="majorBidi"/>
        </w:rPr>
        <w:t xml:space="preserve"> </w:t>
      </w:r>
    </w:p>
    <w:p w14:paraId="51528830" w14:textId="77777777" w:rsidR="000D79DD" w:rsidRPr="000D79DD" w:rsidRDefault="000D79DD" w:rsidP="006F45CF">
      <w:pPr>
        <w:spacing w:line="257" w:lineRule="auto"/>
        <w:rPr>
          <w:rFonts w:asciiTheme="majorBidi" w:eastAsia="Calibri" w:hAnsiTheme="majorBidi" w:cstheme="majorBidi"/>
        </w:rPr>
      </w:pPr>
    </w:p>
    <w:p w14:paraId="1D9909BA" w14:textId="663F7958" w:rsidR="006F45CF" w:rsidRDefault="006F45CF" w:rsidP="006F45CF">
      <w:r w:rsidRPr="000D79DD">
        <w:rPr>
          <w:rFonts w:asciiTheme="majorBidi" w:hAnsiTheme="majorBidi" w:cstheme="majorBidi"/>
        </w:rPr>
        <w:lastRenderedPageBreak/>
        <w:t xml:space="preserve">The focus of the NKLSP on damage to biodiversity poses </w:t>
      </w:r>
      <w:proofErr w:type="gramStart"/>
      <w:r w:rsidRPr="000D79DD">
        <w:rPr>
          <w:rFonts w:asciiTheme="majorBidi" w:hAnsiTheme="majorBidi" w:cstheme="majorBidi"/>
        </w:rPr>
        <w:t>a number of</w:t>
      </w:r>
      <w:proofErr w:type="gramEnd"/>
      <w:r w:rsidRPr="000D79DD">
        <w:rPr>
          <w:rFonts w:asciiTheme="majorBidi" w:hAnsiTheme="majorBidi" w:cstheme="majorBidi"/>
        </w:rPr>
        <w:t xml:space="preserve"> challenges for financial security mechanisms.  One problem is that there may be high uncertainty, not only with respect to the probability of an incident, but also with respect to the potential scope of the damage. That explains</w:t>
      </w:r>
      <w:r>
        <w:t xml:space="preserve"> why currently self-insurance appears to be the only financial security mechanism available to cover the biodiversity damage addressed by the NKLSP. </w:t>
      </w:r>
    </w:p>
    <w:p w14:paraId="2C1F11FE" w14:textId="77777777" w:rsidR="000D79DD" w:rsidRDefault="000D79DD" w:rsidP="006F45CF"/>
    <w:p w14:paraId="1316E490" w14:textId="5A31E225" w:rsidR="006F45CF" w:rsidRPr="000D79DD" w:rsidRDefault="006F45CF" w:rsidP="006F45CF">
      <w:pPr>
        <w:spacing w:line="257" w:lineRule="auto"/>
        <w:rPr>
          <w:rFonts w:asciiTheme="majorBidi" w:hAnsiTheme="majorBidi" w:cstheme="majorBidi"/>
          <w:szCs w:val="22"/>
        </w:rPr>
      </w:pPr>
      <w:r>
        <w:t>A second consequence is that whereas first party financial security mechanisms might be suitable for traditional damage caused by LMOs (e.g. damage to property), third party financial security mechanisms may be required for damage to biodiversity. T</w:t>
      </w:r>
      <w:r w:rsidRPr="00EC5FF5">
        <w:t>he idea of first party financial security mechanisms does not fit very well for damage to biodiversity</w:t>
      </w:r>
      <w:r>
        <w:t xml:space="preserve"> a</w:t>
      </w:r>
      <w:r w:rsidRPr="00EC5FF5">
        <w:t>s biodiversity is not generally attributed to an individual. As a result, third party mechanisms could be more suitable.</w:t>
      </w:r>
      <w:r>
        <w:t xml:space="preserve"> Third party financial security has the advantage that the liable operator will pay for the financial </w:t>
      </w:r>
      <w:r w:rsidRPr="000D79DD">
        <w:rPr>
          <w:rFonts w:asciiTheme="majorBidi" w:hAnsiTheme="majorBidi" w:cstheme="majorBidi"/>
          <w:szCs w:val="22"/>
        </w:rPr>
        <w:t xml:space="preserve">security to cover damage. On the other hand, risk differentiation is more difficult for third party cover than for first party financial security. </w:t>
      </w:r>
    </w:p>
    <w:p w14:paraId="46BD9CCD" w14:textId="77777777" w:rsidR="000D79DD" w:rsidRPr="000D79DD" w:rsidRDefault="000D79DD" w:rsidP="006F45CF">
      <w:pPr>
        <w:spacing w:line="257" w:lineRule="auto"/>
        <w:rPr>
          <w:rFonts w:asciiTheme="majorBidi" w:hAnsiTheme="majorBidi" w:cstheme="majorBidi"/>
          <w:szCs w:val="22"/>
        </w:rPr>
      </w:pPr>
    </w:p>
    <w:p w14:paraId="704B206E" w14:textId="2F207EB5" w:rsidR="006F45CF" w:rsidRDefault="006F45CF" w:rsidP="006F45CF">
      <w:pPr>
        <w:spacing w:line="257" w:lineRule="auto"/>
        <w:rPr>
          <w:rFonts w:asciiTheme="majorBidi" w:eastAsia="Calibri" w:hAnsiTheme="majorBidi" w:cstheme="majorBidi"/>
          <w:szCs w:val="22"/>
        </w:rPr>
      </w:pPr>
      <w:r w:rsidRPr="000D79DD">
        <w:rPr>
          <w:rFonts w:asciiTheme="majorBidi" w:hAnsiTheme="majorBidi" w:cstheme="majorBidi"/>
          <w:szCs w:val="22"/>
        </w:rPr>
        <w:t xml:space="preserve">Some financial security mechanisms require </w:t>
      </w:r>
      <w:r w:rsidRPr="000D79DD">
        <w:rPr>
          <w:rFonts w:asciiTheme="majorBidi" w:hAnsiTheme="majorBidi" w:cstheme="majorBidi"/>
          <w:i/>
          <w:szCs w:val="22"/>
        </w:rPr>
        <w:t>ex ante</w:t>
      </w:r>
      <w:r w:rsidRPr="000D79DD">
        <w:rPr>
          <w:rFonts w:asciiTheme="majorBidi" w:hAnsiTheme="majorBidi" w:cstheme="majorBidi"/>
          <w:szCs w:val="22"/>
        </w:rPr>
        <w:t xml:space="preserve"> payment (like insurance premiums or contributions to a fund). Others may only require payment </w:t>
      </w:r>
      <w:r w:rsidRPr="000D79DD">
        <w:rPr>
          <w:rFonts w:asciiTheme="majorBidi" w:hAnsiTheme="majorBidi" w:cstheme="majorBidi"/>
          <w:i/>
          <w:szCs w:val="22"/>
        </w:rPr>
        <w:t>ex post</w:t>
      </w:r>
      <w:r w:rsidRPr="000D79DD">
        <w:rPr>
          <w:rFonts w:asciiTheme="majorBidi" w:hAnsiTheme="majorBidi" w:cstheme="majorBidi"/>
          <w:szCs w:val="22"/>
        </w:rPr>
        <w:t xml:space="preserve">, for example contributions to a risk-sharing agreement or payment out of internal reserves (self-insurance). This distinction is relevant given the uncertainty concerning both the probability and the scope of biodiversity damage. Given those uncertainties, </w:t>
      </w:r>
      <w:r w:rsidRPr="000D79DD">
        <w:rPr>
          <w:rFonts w:asciiTheme="majorBidi" w:hAnsiTheme="majorBidi" w:cstheme="majorBidi"/>
          <w:i/>
          <w:szCs w:val="22"/>
        </w:rPr>
        <w:t>ex ante</w:t>
      </w:r>
      <w:r w:rsidRPr="000D79DD">
        <w:rPr>
          <w:rFonts w:asciiTheme="majorBidi" w:hAnsiTheme="majorBidi" w:cstheme="majorBidi"/>
          <w:szCs w:val="22"/>
        </w:rPr>
        <w:t xml:space="preserve"> financial security mechanisms may be more problematic than </w:t>
      </w:r>
      <w:r w:rsidRPr="000D79DD">
        <w:rPr>
          <w:rFonts w:asciiTheme="majorBidi" w:hAnsiTheme="majorBidi" w:cstheme="majorBidi"/>
          <w:i/>
          <w:szCs w:val="22"/>
        </w:rPr>
        <w:t>ex post</w:t>
      </w:r>
      <w:r w:rsidRPr="000D79DD">
        <w:rPr>
          <w:rFonts w:asciiTheme="majorBidi" w:hAnsiTheme="majorBidi" w:cstheme="majorBidi"/>
          <w:szCs w:val="22"/>
        </w:rPr>
        <w:t xml:space="preserve"> mechanisms as </w:t>
      </w:r>
      <w:r w:rsidRPr="000D79DD">
        <w:rPr>
          <w:rFonts w:asciiTheme="majorBidi" w:hAnsiTheme="majorBidi" w:cstheme="majorBidi"/>
          <w:i/>
          <w:szCs w:val="22"/>
        </w:rPr>
        <w:t>ex ante</w:t>
      </w:r>
      <w:r w:rsidRPr="000D79DD">
        <w:rPr>
          <w:rFonts w:asciiTheme="majorBidi" w:hAnsiTheme="majorBidi" w:cstheme="majorBidi"/>
          <w:szCs w:val="22"/>
        </w:rPr>
        <w:t xml:space="preserve"> mechanisms require information in order to calculate a premium or contribution. In a situation of high uncertainty (where an </w:t>
      </w:r>
      <w:r w:rsidRPr="000D79DD">
        <w:rPr>
          <w:rFonts w:asciiTheme="majorBidi" w:hAnsiTheme="majorBidi" w:cstheme="majorBidi"/>
          <w:i/>
          <w:szCs w:val="22"/>
        </w:rPr>
        <w:t>ex ante</w:t>
      </w:r>
      <w:r w:rsidRPr="000D79DD">
        <w:rPr>
          <w:rFonts w:asciiTheme="majorBidi" w:hAnsiTheme="majorBidi" w:cstheme="majorBidi"/>
          <w:szCs w:val="22"/>
        </w:rPr>
        <w:t xml:space="preserve"> determination of premiums/contributions might be difficult), </w:t>
      </w:r>
      <w:r w:rsidRPr="000D79DD">
        <w:rPr>
          <w:rFonts w:asciiTheme="majorBidi" w:hAnsiTheme="majorBidi" w:cstheme="majorBidi"/>
          <w:i/>
          <w:szCs w:val="22"/>
        </w:rPr>
        <w:t>ex post</w:t>
      </w:r>
      <w:r w:rsidRPr="000D79DD">
        <w:rPr>
          <w:rFonts w:asciiTheme="majorBidi" w:hAnsiTheme="majorBidi" w:cstheme="majorBidi"/>
          <w:szCs w:val="22"/>
        </w:rPr>
        <w:t xml:space="preserve"> mechanisms might generally be more suitable.</w:t>
      </w:r>
      <w:r w:rsidRPr="000D79DD">
        <w:rPr>
          <w:rFonts w:asciiTheme="majorBidi" w:eastAsia="Calibri" w:hAnsiTheme="majorBidi" w:cstheme="majorBidi"/>
          <w:szCs w:val="22"/>
        </w:rPr>
        <w:t xml:space="preserve"> Some ex-post </w:t>
      </w:r>
      <w:proofErr w:type="gramStart"/>
      <w:r w:rsidRPr="000D79DD">
        <w:rPr>
          <w:rFonts w:asciiTheme="majorBidi" w:eastAsia="Calibri" w:hAnsiTheme="majorBidi" w:cstheme="majorBidi"/>
          <w:szCs w:val="22"/>
        </w:rPr>
        <w:t>mechanisms</w:t>
      </w:r>
      <w:proofErr w:type="gramEnd"/>
      <w:r w:rsidRPr="000D79DD">
        <w:rPr>
          <w:rFonts w:asciiTheme="majorBidi" w:eastAsia="Calibri" w:hAnsiTheme="majorBidi" w:cstheme="majorBidi"/>
          <w:szCs w:val="22"/>
        </w:rPr>
        <w:t xml:space="preserve"> however, bear the risk that the operator is insolvent at the time the damage occurs and that therefore no financial security is provided. To mitigate this risk, guarantees are required that ensure that, in the case of damage, compensation is available even in case of insolvency of the operator.</w:t>
      </w:r>
    </w:p>
    <w:p w14:paraId="0CA9A2F9" w14:textId="77777777" w:rsidR="000D79DD" w:rsidRPr="000D79DD" w:rsidRDefault="000D79DD" w:rsidP="006F45CF">
      <w:pPr>
        <w:spacing w:line="257" w:lineRule="auto"/>
        <w:rPr>
          <w:rFonts w:asciiTheme="majorBidi" w:eastAsia="Calibri" w:hAnsiTheme="majorBidi" w:cstheme="majorBidi"/>
          <w:szCs w:val="22"/>
        </w:rPr>
      </w:pPr>
    </w:p>
    <w:p w14:paraId="0D281E0A" w14:textId="62DDED4B" w:rsidR="006F45CF" w:rsidRDefault="006F45CF" w:rsidP="006F45CF">
      <w:r w:rsidRPr="000D79DD">
        <w:rPr>
          <w:rFonts w:asciiTheme="majorBidi" w:hAnsiTheme="majorBidi" w:cstheme="majorBidi"/>
          <w:szCs w:val="22"/>
        </w:rPr>
        <w:t xml:space="preserve">From an environmental point of view, financial security mechanisms need to ensure that </w:t>
      </w:r>
      <w:proofErr w:type="gramStart"/>
      <w:r w:rsidRPr="000D79DD">
        <w:rPr>
          <w:rFonts w:asciiTheme="majorBidi" w:hAnsiTheme="majorBidi" w:cstheme="majorBidi"/>
          <w:szCs w:val="22"/>
        </w:rPr>
        <w:t>sufficient</w:t>
      </w:r>
      <w:proofErr w:type="gramEnd"/>
      <w:r w:rsidRPr="000D79DD">
        <w:rPr>
          <w:rFonts w:asciiTheme="majorBidi" w:hAnsiTheme="majorBidi" w:cstheme="majorBidi"/>
          <w:szCs w:val="22"/>
        </w:rPr>
        <w:t xml:space="preserve"> funds are available to cover the costs of repair (e.g. restoration). In addition, financial security mechanisms can provide incentives for prevention. These incentives are generally</w:t>
      </w:r>
      <w:r w:rsidRPr="00ED45C0">
        <w:t xml:space="preserve"> stronger in mechanisms that require </w:t>
      </w:r>
      <w:r w:rsidRPr="007F0E09">
        <w:rPr>
          <w:i/>
        </w:rPr>
        <w:t>ex post</w:t>
      </w:r>
      <w:r w:rsidRPr="00ED45C0">
        <w:t xml:space="preserve"> contributions given that participants are </w:t>
      </w:r>
      <w:r>
        <w:t xml:space="preserve">only </w:t>
      </w:r>
      <w:r w:rsidRPr="00ED45C0">
        <w:t>required to fund the mechanism in case damage</w:t>
      </w:r>
      <w:r>
        <w:t xml:space="preserve"> occurs</w:t>
      </w:r>
      <w:r w:rsidRPr="00ED45C0">
        <w:t>. Self-insurance a</w:t>
      </w:r>
      <w:r>
        <w:t>nd</w:t>
      </w:r>
      <w:r w:rsidRPr="00ED45C0">
        <w:t xml:space="preserve"> risk-pooling</w:t>
      </w:r>
      <w:r>
        <w:t>,</w:t>
      </w:r>
      <w:r w:rsidRPr="00ED45C0">
        <w:t xml:space="preserve"> for example</w:t>
      </w:r>
      <w:r>
        <w:t>,</w:t>
      </w:r>
      <w:r w:rsidRPr="00ED45C0">
        <w:t xml:space="preserve"> would provide strong incentives for prevention. Prevention incentives can also be built into </w:t>
      </w:r>
      <w:r w:rsidRPr="007F0E09">
        <w:rPr>
          <w:i/>
        </w:rPr>
        <w:t>ex ante</w:t>
      </w:r>
      <w:r w:rsidRPr="00ED45C0">
        <w:t xml:space="preserve"> mechanisms, for example when insurance premiums differentiate according to risk profiles and premiums are lower for those insured with a lower risk profile but are generally weaker than for </w:t>
      </w:r>
      <w:r w:rsidRPr="007F0E09">
        <w:rPr>
          <w:i/>
        </w:rPr>
        <w:t>ex post</w:t>
      </w:r>
      <w:r w:rsidRPr="00ED45C0">
        <w:t xml:space="preserve"> mechanisms. Financial security mechanisms that provide partial compensation could also provide an incentive for prevention, although from an environmental point of view, this would not be optimal as the compensation may be insufficient. While the preventive effect can be an advantage of especially </w:t>
      </w:r>
      <w:r w:rsidRPr="007F0E09">
        <w:rPr>
          <w:i/>
        </w:rPr>
        <w:t>ex post</w:t>
      </w:r>
      <w:r w:rsidRPr="00ED45C0">
        <w:t xml:space="preserve"> mechanisms, the incentive for prevention will be very much reduced if the liable operator would become insolvent as a result of the damage. This is regarded a risk of especially self-insurance, where each operator insures its own risk. </w:t>
      </w:r>
    </w:p>
    <w:p w14:paraId="76E530FB" w14:textId="77777777" w:rsidR="000D79DD" w:rsidRPr="00ED45C0" w:rsidRDefault="000D79DD" w:rsidP="006F45CF"/>
    <w:p w14:paraId="571525B2" w14:textId="51950C1D" w:rsidR="006F45CF" w:rsidRDefault="006F45CF" w:rsidP="006F45CF">
      <w:r w:rsidRPr="00ED45C0">
        <w:t xml:space="preserve">In order to keep the risk of damage low, most financial security mechanisms incorporate some form of monitoring of activities. Monitoring can provide another environmental benefit of financial security </w:t>
      </w:r>
      <w:proofErr w:type="gramStart"/>
      <w:r w:rsidRPr="00ED45C0">
        <w:t>mechanisms</w:t>
      </w:r>
      <w:proofErr w:type="gramEnd"/>
      <w:r w:rsidRPr="00ED45C0">
        <w:t xml:space="preserve">. Where some mechanisms rely on external monitoring (for example in the case of insurance, where an insurer monitors the activities of the insured), other mechanisms rely on mutual monitoring of the participants in the financial security mechanism. This is the case in risk-pooling, where mutual monitoring is very strong, especially where small groups of homogenous operators have the expertise needed to assess the practices of other pool members. </w:t>
      </w:r>
    </w:p>
    <w:p w14:paraId="5DFE82FC" w14:textId="77777777" w:rsidR="000D79DD" w:rsidRPr="00ED45C0" w:rsidRDefault="000D79DD" w:rsidP="006F45CF"/>
    <w:p w14:paraId="6154031E" w14:textId="07F3DE35" w:rsidR="006F45CF" w:rsidRDefault="006F45CF" w:rsidP="006F45CF">
      <w:r w:rsidRPr="00ED45C0">
        <w:lastRenderedPageBreak/>
        <w:t xml:space="preserve">In terms of social impacts of financial security mechanisms, the study pointed to the distributional effect of the various mechanisms. In case of self-insurance, large operators would bear the cost of damage as self-insurance would be an option only for those operators with sufficient resources to sustain the cost of damage. Risk pools distribute the cost of damage among relatively small numbers of homogenous operators. Risk pools can be established for various groups of operators in the supply chain, </w:t>
      </w:r>
      <w:proofErr w:type="gramStart"/>
      <w:r w:rsidRPr="00ED45C0">
        <w:t>as long as</w:t>
      </w:r>
      <w:proofErr w:type="gramEnd"/>
      <w:r w:rsidRPr="00ED45C0">
        <w:t xml:space="preserve"> there is sufficient level of homogeneity among the members of each risk-pool. As a </w:t>
      </w:r>
      <w:proofErr w:type="gramStart"/>
      <w:r w:rsidRPr="00ED45C0">
        <w:t>result</w:t>
      </w:r>
      <w:proofErr w:type="gramEnd"/>
      <w:r w:rsidRPr="00ED45C0">
        <w:t xml:space="preserve"> risk pools allow the distribution of the cost of damage among different types of operators. For third-party insurance, the distributional effect would depend on the type of insured to which the insurance is provided. As insurance generally requires large numbers of insured, the distributional effect may be substantial. For funds, the distributional effects depend entirely on the arrangements made, which will determine which entities are to contribute to the fund. As operators are expected to pass on the cost of financial security in their products, the effect of the financial security mechanisms will be spread throughout the supply chain. This could have financial and economic effects, including for the end consumer, and may, depending on regulation, affect investment decisions. </w:t>
      </w:r>
      <w:r w:rsidRPr="007F0E09">
        <w:rPr>
          <w:i/>
        </w:rPr>
        <w:t>Ex post</w:t>
      </w:r>
      <w:r w:rsidRPr="00ED45C0">
        <w:t xml:space="preserve"> mechanisms in a scenario without the occurrence of (substantial) damage would reduce this effect.</w:t>
      </w:r>
    </w:p>
    <w:p w14:paraId="31A056DF" w14:textId="77777777" w:rsidR="000D79DD" w:rsidRDefault="000D79DD" w:rsidP="006F45CF"/>
    <w:p w14:paraId="6F086D7D" w14:textId="6F3164A7" w:rsidR="006F45CF" w:rsidRDefault="006F45CF" w:rsidP="006F45CF">
      <w:r w:rsidRPr="3FC0E8A1">
        <w:t>Furthermore, access to redress differs for each mechanism. Funds generally have streamlined procedures for handling claims which may ease access</w:t>
      </w:r>
      <w:r>
        <w:t xml:space="preserve"> to compensation</w:t>
      </w:r>
      <w:r w:rsidRPr="3FC0E8A1">
        <w:t xml:space="preserve">, although the payments made may be limited. Access to payments under some </w:t>
      </w:r>
      <w:proofErr w:type="gramStart"/>
      <w:r w:rsidRPr="3FC0E8A1">
        <w:t>third party</w:t>
      </w:r>
      <w:proofErr w:type="gramEnd"/>
      <w:r w:rsidRPr="3FC0E8A1">
        <w:t xml:space="preserve"> insurance policies requires an operator to be held liable, which may require complex, lengthy and costly process. Direct access for claimants to insurers could mitigate this issue.</w:t>
      </w:r>
    </w:p>
    <w:p w14:paraId="54EF4AFC" w14:textId="77777777" w:rsidR="000D79DD" w:rsidRDefault="000D79DD" w:rsidP="006F45CF"/>
    <w:p w14:paraId="315D3B37" w14:textId="7B1C8A2C" w:rsidR="006F45CF" w:rsidRDefault="006F45CF" w:rsidP="006F45CF">
      <w:pPr>
        <w:rPr>
          <w:rFonts w:asciiTheme="majorBidi" w:hAnsiTheme="majorBidi" w:cstheme="majorBidi"/>
        </w:rPr>
      </w:pPr>
      <w:r>
        <w:t xml:space="preserve">Finally, this study identified possible providers of financial security for LMO-related damage to biodiversity </w:t>
      </w:r>
      <w:proofErr w:type="gramStart"/>
      <w:r>
        <w:t>in light of</w:t>
      </w:r>
      <w:proofErr w:type="gramEnd"/>
      <w:r>
        <w:t xml:space="preserve"> the </w:t>
      </w:r>
      <w:r w:rsidRPr="00005AE0">
        <w:rPr>
          <w:rFonts w:asciiTheme="majorBidi" w:hAnsiTheme="majorBidi" w:cstheme="majorBidi"/>
        </w:rPr>
        <w:t>suitability of the financial security mechanism. Given the uncertainties surrounding the type of risk (biodiversity damage) there is a high reluctance among insurers to provide cover, which makes it unlikely that insurers would be able to provide third party liability cover for LMO-related damage to biodiversity. There may, however, be other providers of financial security (for example larger operators in the supply chain) who might be willing to provide financial security either via self-insurance or via a risk-sharing agreement.</w:t>
      </w:r>
    </w:p>
    <w:p w14:paraId="10EDB804" w14:textId="77777777" w:rsidR="000D79DD" w:rsidRPr="00005AE0" w:rsidRDefault="000D79DD" w:rsidP="006F45CF">
      <w:pPr>
        <w:rPr>
          <w:rFonts w:asciiTheme="majorBidi" w:hAnsiTheme="majorBidi" w:cstheme="majorBidi"/>
        </w:rPr>
      </w:pPr>
    </w:p>
    <w:p w14:paraId="60B5688C" w14:textId="0AB93903" w:rsidR="006F45CF" w:rsidRDefault="006F45CF" w:rsidP="006F45CF">
      <w:pPr>
        <w:rPr>
          <w:rFonts w:asciiTheme="majorBidi" w:hAnsiTheme="majorBidi" w:cstheme="majorBidi"/>
        </w:rPr>
      </w:pPr>
      <w:r w:rsidRPr="00005AE0">
        <w:rPr>
          <w:rFonts w:asciiTheme="majorBidi" w:hAnsiTheme="majorBidi" w:cstheme="majorBidi"/>
        </w:rPr>
        <w:t>In that respect governments could play a facilitative role to promote financial security, including by creating the enabling conditions for the development of a variety of financial security mechanisms. Moreover, it would be beneficial that information is shared on existing financial security mechanisms for damage to biodiversity.</w:t>
      </w:r>
    </w:p>
    <w:p w14:paraId="7ECCED78" w14:textId="77777777" w:rsidR="000D79DD" w:rsidRPr="00005AE0" w:rsidRDefault="000D79DD" w:rsidP="006F45CF">
      <w:pPr>
        <w:rPr>
          <w:rFonts w:asciiTheme="majorBidi" w:hAnsiTheme="majorBidi" w:cstheme="majorBidi"/>
        </w:rPr>
      </w:pPr>
    </w:p>
    <w:p w14:paraId="2A78AC36" w14:textId="77777777" w:rsidR="006F45CF" w:rsidRPr="00005AE0" w:rsidRDefault="006F45CF" w:rsidP="006F45CF">
      <w:pPr>
        <w:spacing w:line="257" w:lineRule="auto"/>
        <w:rPr>
          <w:rFonts w:asciiTheme="majorBidi" w:eastAsia="Calibri" w:hAnsiTheme="majorBidi" w:cstheme="majorBidi"/>
        </w:rPr>
      </w:pPr>
      <w:r w:rsidRPr="00005AE0">
        <w:rPr>
          <w:rFonts w:asciiTheme="majorBidi" w:eastAsia="Calibri" w:hAnsiTheme="majorBidi" w:cstheme="majorBidi"/>
        </w:rPr>
        <w:t xml:space="preserve">The study showed that in </w:t>
      </w:r>
      <w:proofErr w:type="gramStart"/>
      <w:r w:rsidRPr="00005AE0">
        <w:rPr>
          <w:rFonts w:asciiTheme="majorBidi" w:eastAsia="Calibri" w:hAnsiTheme="majorBidi" w:cstheme="majorBidi"/>
        </w:rPr>
        <w:t>a number of</w:t>
      </w:r>
      <w:proofErr w:type="gramEnd"/>
      <w:r w:rsidRPr="00005AE0">
        <w:rPr>
          <w:rFonts w:asciiTheme="majorBidi" w:eastAsia="Calibri" w:hAnsiTheme="majorBidi" w:cstheme="majorBidi"/>
        </w:rPr>
        <w:t xml:space="preserve"> developing countries, experience with financial security mechanisms exists, including informal mechanisms such as </w:t>
      </w:r>
      <w:r w:rsidRPr="00005AE0">
        <w:rPr>
          <w:rFonts w:asciiTheme="majorBidi" w:eastAsia="Calibri" w:hAnsiTheme="majorBidi" w:cstheme="majorBidi"/>
          <w:i/>
        </w:rPr>
        <w:t xml:space="preserve">de facto </w:t>
      </w:r>
      <w:r w:rsidRPr="00005AE0">
        <w:rPr>
          <w:rFonts w:asciiTheme="majorBidi" w:eastAsia="Calibri" w:hAnsiTheme="majorBidi" w:cstheme="majorBidi"/>
        </w:rPr>
        <w:t>self-insurance as well as risk-pooling among farmers. The administrative, regulatory and institutional challenges many developing countries face would likely exacerbate the general difficulty to develop financial security mechanisms to cover damage to biodiversity caused by LMOs. International practice shows however that with adequate regulatory support, transboundary financial security mechanisms can be developed in which operators in developing countries could also participate.</w:t>
      </w:r>
    </w:p>
    <w:p w14:paraId="727355ED" w14:textId="77777777" w:rsidR="006F45CF" w:rsidRPr="00005AE0" w:rsidRDefault="006F45CF" w:rsidP="006F45CF">
      <w:pPr>
        <w:rPr>
          <w:rFonts w:asciiTheme="majorBidi" w:hAnsiTheme="majorBidi" w:cstheme="majorBidi"/>
        </w:rPr>
      </w:pPr>
    </w:p>
    <w:p w14:paraId="4DB45BC9" w14:textId="77777777" w:rsidR="006F45CF" w:rsidRPr="00005AE0" w:rsidRDefault="006F45CF" w:rsidP="006F45CF">
      <w:pPr>
        <w:rPr>
          <w:rFonts w:asciiTheme="majorBidi" w:hAnsiTheme="majorBidi" w:cstheme="majorBidi"/>
        </w:rPr>
      </w:pPr>
    </w:p>
    <w:p w14:paraId="1B31FD12" w14:textId="77777777" w:rsidR="006F45CF" w:rsidRPr="00005AE0" w:rsidRDefault="006F45CF" w:rsidP="006F45CF">
      <w:pPr>
        <w:rPr>
          <w:rFonts w:asciiTheme="majorBidi" w:hAnsiTheme="majorBidi" w:cstheme="majorBidi"/>
        </w:rPr>
      </w:pPr>
    </w:p>
    <w:p w14:paraId="67C66737" w14:textId="77777777" w:rsidR="006F45CF" w:rsidRPr="00005AE0" w:rsidRDefault="006F45CF" w:rsidP="006F45CF">
      <w:pPr>
        <w:rPr>
          <w:rFonts w:asciiTheme="majorBidi" w:hAnsiTheme="majorBidi" w:cstheme="majorBidi"/>
        </w:rPr>
      </w:pPr>
    </w:p>
    <w:p w14:paraId="4172945A" w14:textId="77777777" w:rsidR="006F45CF" w:rsidRDefault="006F45CF" w:rsidP="006F45CF"/>
    <w:p w14:paraId="63B225B2" w14:textId="77777777" w:rsidR="006F45CF" w:rsidRDefault="006F45CF" w:rsidP="006F45CF"/>
    <w:p w14:paraId="445D182C" w14:textId="77777777" w:rsidR="006F45CF" w:rsidRDefault="006F45CF" w:rsidP="006F45CF"/>
    <w:p w14:paraId="42752926" w14:textId="77777777" w:rsidR="006F45CF" w:rsidRDefault="006F45CF" w:rsidP="006F45CF">
      <w:pPr>
        <w:jc w:val="left"/>
      </w:pPr>
      <w:r>
        <w:br w:type="page"/>
      </w:r>
    </w:p>
    <w:p w14:paraId="23B8767D" w14:textId="77777777" w:rsidR="006F45CF" w:rsidRPr="00541277" w:rsidRDefault="006F45CF" w:rsidP="006F45CF">
      <w:pPr>
        <w:pStyle w:val="Heading1"/>
        <w:rPr>
          <w:color w:val="548DD4" w:themeColor="text2" w:themeTint="99"/>
          <w:sz w:val="24"/>
          <w:szCs w:val="28"/>
        </w:rPr>
      </w:pPr>
      <w:bookmarkStart w:id="43" w:name="_Toc82176427"/>
      <w:r w:rsidRPr="00541277">
        <w:rPr>
          <w:color w:val="548DD4" w:themeColor="text2" w:themeTint="99"/>
          <w:sz w:val="24"/>
          <w:szCs w:val="28"/>
        </w:rPr>
        <w:lastRenderedPageBreak/>
        <w:t>List of References</w:t>
      </w:r>
      <w:bookmarkEnd w:id="43"/>
    </w:p>
    <w:p w14:paraId="76A67186" w14:textId="77777777" w:rsidR="006F45CF" w:rsidRDefault="006F45CF" w:rsidP="006F45CF"/>
    <w:p w14:paraId="6A5E12E5"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Akerlof</w:t>
      </w:r>
      <w:proofErr w:type="spellEnd"/>
      <w:r w:rsidRPr="005209D6">
        <w:rPr>
          <w:rFonts w:asciiTheme="majorBidi" w:hAnsiTheme="majorBidi" w:cstheme="majorBidi"/>
          <w:szCs w:val="22"/>
        </w:rPr>
        <w:t>, G., “The Market for ‘</w:t>
      </w:r>
      <w:proofErr w:type="spellStart"/>
      <w:r w:rsidRPr="005209D6">
        <w:rPr>
          <w:rFonts w:asciiTheme="majorBidi" w:hAnsiTheme="majorBidi" w:cstheme="majorBidi"/>
          <w:szCs w:val="22"/>
        </w:rPr>
        <w:t>Lemmons</w:t>
      </w:r>
      <w:proofErr w:type="spellEnd"/>
      <w:r w:rsidRPr="005209D6">
        <w:rPr>
          <w:rFonts w:asciiTheme="majorBidi" w:hAnsiTheme="majorBidi" w:cstheme="majorBidi"/>
          <w:szCs w:val="22"/>
        </w:rPr>
        <w:t xml:space="preserve">’: Quality, Uncertainty and the Market Mechanism”, </w:t>
      </w:r>
      <w:r w:rsidRPr="005209D6">
        <w:rPr>
          <w:rFonts w:asciiTheme="majorBidi" w:hAnsiTheme="majorBidi" w:cstheme="majorBidi"/>
          <w:i/>
          <w:szCs w:val="22"/>
        </w:rPr>
        <w:t>Quarterly Journal of Economics</w:t>
      </w:r>
      <w:r w:rsidRPr="005209D6">
        <w:rPr>
          <w:rFonts w:asciiTheme="majorBidi" w:hAnsiTheme="majorBidi" w:cstheme="majorBidi"/>
          <w:szCs w:val="22"/>
        </w:rPr>
        <w:t xml:space="preserve">, 1970, 488-500. </w:t>
      </w:r>
    </w:p>
    <w:p w14:paraId="3607C6B7"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Arrow, K., “Uncertainty and the Welfare Economics of Medical Care”, American Economic Review, 1963, 941-973.</w:t>
      </w:r>
    </w:p>
    <w:p w14:paraId="635F270E"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Arrow, K., </w:t>
      </w:r>
      <w:r w:rsidRPr="005209D6">
        <w:rPr>
          <w:rFonts w:asciiTheme="majorBidi" w:hAnsiTheme="majorBidi" w:cstheme="majorBidi"/>
          <w:i/>
          <w:szCs w:val="22"/>
        </w:rPr>
        <w:t>Aspects of the Theory of Risk-Bearing</w:t>
      </w:r>
      <w:r w:rsidRPr="005209D6">
        <w:rPr>
          <w:rFonts w:asciiTheme="majorBidi" w:hAnsiTheme="majorBidi" w:cstheme="majorBidi"/>
          <w:szCs w:val="22"/>
        </w:rPr>
        <w:t xml:space="preserve">, Helsinki, </w:t>
      </w:r>
      <w:proofErr w:type="spellStart"/>
      <w:r w:rsidRPr="005209D6">
        <w:rPr>
          <w:rFonts w:asciiTheme="majorBidi" w:hAnsiTheme="majorBidi" w:cstheme="majorBidi"/>
          <w:szCs w:val="22"/>
        </w:rPr>
        <w:t>Yrjo</w:t>
      </w:r>
      <w:proofErr w:type="spellEnd"/>
      <w:r w:rsidRPr="005209D6">
        <w:rPr>
          <w:rFonts w:asciiTheme="majorBidi" w:hAnsiTheme="majorBidi" w:cstheme="majorBidi"/>
          <w:szCs w:val="22"/>
        </w:rPr>
        <w:t xml:space="preserve"> </w:t>
      </w:r>
      <w:proofErr w:type="spellStart"/>
      <w:r w:rsidRPr="005209D6">
        <w:rPr>
          <w:rFonts w:asciiTheme="majorBidi" w:hAnsiTheme="majorBidi" w:cstheme="majorBidi"/>
          <w:szCs w:val="22"/>
        </w:rPr>
        <w:t>Jahnsson</w:t>
      </w:r>
      <w:proofErr w:type="spellEnd"/>
      <w:r w:rsidRPr="005209D6">
        <w:rPr>
          <w:rFonts w:asciiTheme="majorBidi" w:hAnsiTheme="majorBidi" w:cstheme="majorBidi"/>
          <w:szCs w:val="22"/>
        </w:rPr>
        <w:t xml:space="preserve"> </w:t>
      </w:r>
      <w:proofErr w:type="spellStart"/>
      <w:r w:rsidRPr="005209D6">
        <w:rPr>
          <w:rFonts w:asciiTheme="majorBidi" w:hAnsiTheme="majorBidi" w:cstheme="majorBidi"/>
          <w:szCs w:val="22"/>
        </w:rPr>
        <w:t>Saatio</w:t>
      </w:r>
      <w:proofErr w:type="spellEnd"/>
      <w:r w:rsidRPr="005209D6">
        <w:rPr>
          <w:rFonts w:asciiTheme="majorBidi" w:hAnsiTheme="majorBidi" w:cstheme="majorBidi"/>
          <w:szCs w:val="22"/>
        </w:rPr>
        <w:t>, 1965.</w:t>
      </w:r>
    </w:p>
    <w:p w14:paraId="546A365A"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Berg, E., Blake, M. &amp; </w:t>
      </w:r>
      <w:proofErr w:type="spellStart"/>
      <w:r w:rsidRPr="005209D6">
        <w:rPr>
          <w:rFonts w:asciiTheme="majorBidi" w:hAnsiTheme="majorBidi" w:cstheme="majorBidi"/>
          <w:szCs w:val="22"/>
        </w:rPr>
        <w:t>Morsink</w:t>
      </w:r>
      <w:proofErr w:type="spellEnd"/>
      <w:r w:rsidRPr="005209D6">
        <w:rPr>
          <w:rFonts w:asciiTheme="majorBidi" w:hAnsiTheme="majorBidi" w:cstheme="majorBidi"/>
          <w:szCs w:val="22"/>
        </w:rPr>
        <w:t>, K., “Risk-sharing and the Demand for Insurance: Theory and Experimental Evidence from Ethiopia”, Centre for the Study of African Economics, University of Oxford, 2017.</w:t>
      </w:r>
    </w:p>
    <w:p w14:paraId="09B3F49D"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Beyerlin</w:t>
      </w:r>
      <w:proofErr w:type="spellEnd"/>
      <w:r w:rsidRPr="005209D6">
        <w:rPr>
          <w:rFonts w:asciiTheme="majorBidi" w:hAnsiTheme="majorBidi" w:cstheme="majorBidi"/>
          <w:szCs w:val="22"/>
        </w:rPr>
        <w:t xml:space="preserve">, U. &amp; </w:t>
      </w:r>
      <w:proofErr w:type="spellStart"/>
      <w:r w:rsidRPr="005209D6">
        <w:rPr>
          <w:rFonts w:asciiTheme="majorBidi" w:hAnsiTheme="majorBidi" w:cstheme="majorBidi"/>
          <w:szCs w:val="22"/>
        </w:rPr>
        <w:t>Marauhn</w:t>
      </w:r>
      <w:proofErr w:type="spellEnd"/>
      <w:r w:rsidRPr="005209D6">
        <w:rPr>
          <w:rFonts w:asciiTheme="majorBidi" w:hAnsiTheme="majorBidi" w:cstheme="majorBidi"/>
          <w:szCs w:val="22"/>
        </w:rPr>
        <w:t xml:space="preserve">, T., </w:t>
      </w:r>
      <w:r w:rsidRPr="005209D6">
        <w:rPr>
          <w:rFonts w:asciiTheme="majorBidi" w:hAnsiTheme="majorBidi" w:cstheme="majorBidi"/>
          <w:i/>
          <w:szCs w:val="22"/>
        </w:rPr>
        <w:t xml:space="preserve">International Environmental Law, </w:t>
      </w:r>
      <w:r w:rsidRPr="005209D6">
        <w:rPr>
          <w:rFonts w:asciiTheme="majorBidi" w:hAnsiTheme="majorBidi" w:cstheme="majorBidi"/>
          <w:szCs w:val="22"/>
        </w:rPr>
        <w:t>Oxford</w:t>
      </w:r>
      <w:r w:rsidRPr="005209D6">
        <w:rPr>
          <w:rFonts w:asciiTheme="majorBidi" w:hAnsiTheme="majorBidi" w:cstheme="majorBidi"/>
          <w:i/>
          <w:szCs w:val="22"/>
        </w:rPr>
        <w:t>,</w:t>
      </w:r>
      <w:r w:rsidRPr="005209D6">
        <w:rPr>
          <w:rFonts w:asciiTheme="majorBidi" w:hAnsiTheme="majorBidi" w:cstheme="majorBidi"/>
          <w:szCs w:val="22"/>
        </w:rPr>
        <w:t xml:space="preserve"> Bloomsbury Publishing, 2011.</w:t>
      </w:r>
    </w:p>
    <w:p w14:paraId="57BBDD50"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Biener</w:t>
      </w:r>
      <w:proofErr w:type="spellEnd"/>
      <w:r w:rsidRPr="005209D6">
        <w:rPr>
          <w:rFonts w:asciiTheme="majorBidi" w:hAnsiTheme="majorBidi" w:cstheme="majorBidi"/>
          <w:szCs w:val="22"/>
        </w:rPr>
        <w:t xml:space="preserve">, C., “Pricing in Microinsurance Markets”, </w:t>
      </w:r>
      <w:r w:rsidRPr="005209D6">
        <w:rPr>
          <w:rFonts w:asciiTheme="majorBidi" w:hAnsiTheme="majorBidi" w:cstheme="majorBidi"/>
          <w:i/>
          <w:iCs/>
          <w:szCs w:val="22"/>
        </w:rPr>
        <w:t xml:space="preserve">World Development, </w:t>
      </w:r>
      <w:r w:rsidRPr="005209D6">
        <w:rPr>
          <w:rFonts w:asciiTheme="majorBidi" w:hAnsiTheme="majorBidi" w:cstheme="majorBidi"/>
          <w:iCs/>
          <w:szCs w:val="22"/>
        </w:rPr>
        <w:t>2013, Vol.</w:t>
      </w:r>
      <w:r w:rsidRPr="005209D6">
        <w:rPr>
          <w:rFonts w:asciiTheme="majorBidi" w:hAnsiTheme="majorBidi" w:cstheme="majorBidi"/>
          <w:i/>
          <w:iCs/>
          <w:szCs w:val="22"/>
        </w:rPr>
        <w:t xml:space="preserve"> </w:t>
      </w:r>
      <w:r w:rsidRPr="005209D6">
        <w:rPr>
          <w:rFonts w:asciiTheme="majorBidi" w:hAnsiTheme="majorBidi" w:cstheme="majorBidi"/>
          <w:szCs w:val="22"/>
        </w:rPr>
        <w:t>41, 132-144.</w:t>
      </w:r>
    </w:p>
    <w:p w14:paraId="5D261B54"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Biener</w:t>
      </w:r>
      <w:proofErr w:type="spellEnd"/>
      <w:r w:rsidRPr="005209D6">
        <w:rPr>
          <w:rFonts w:asciiTheme="majorBidi" w:hAnsiTheme="majorBidi" w:cstheme="majorBidi"/>
          <w:szCs w:val="22"/>
        </w:rPr>
        <w:t xml:space="preserve">, C. &amp; </w:t>
      </w:r>
      <w:proofErr w:type="spellStart"/>
      <w:r w:rsidRPr="005209D6">
        <w:rPr>
          <w:rFonts w:asciiTheme="majorBidi" w:hAnsiTheme="majorBidi" w:cstheme="majorBidi"/>
          <w:szCs w:val="22"/>
        </w:rPr>
        <w:t>Eling</w:t>
      </w:r>
      <w:proofErr w:type="spellEnd"/>
      <w:r w:rsidRPr="005209D6">
        <w:rPr>
          <w:rFonts w:asciiTheme="majorBidi" w:hAnsiTheme="majorBidi" w:cstheme="majorBidi"/>
          <w:szCs w:val="22"/>
        </w:rPr>
        <w:t>, M., “The Performance of Microinsurance Programs: A Data Envelopment Analysis”,</w:t>
      </w:r>
      <w:r w:rsidRPr="005209D6">
        <w:rPr>
          <w:rFonts w:asciiTheme="majorBidi" w:hAnsiTheme="majorBidi" w:cstheme="majorBidi"/>
          <w:i/>
          <w:iCs/>
          <w:szCs w:val="22"/>
        </w:rPr>
        <w:t xml:space="preserve"> Journal of Risk and Insurance, </w:t>
      </w:r>
      <w:r w:rsidRPr="005209D6">
        <w:rPr>
          <w:rFonts w:asciiTheme="majorBidi" w:hAnsiTheme="majorBidi" w:cstheme="majorBidi"/>
          <w:iCs/>
          <w:szCs w:val="22"/>
        </w:rPr>
        <w:t xml:space="preserve">2011, Vol. </w:t>
      </w:r>
      <w:r w:rsidRPr="005209D6">
        <w:rPr>
          <w:rFonts w:asciiTheme="majorBidi" w:hAnsiTheme="majorBidi" w:cstheme="majorBidi"/>
          <w:szCs w:val="22"/>
        </w:rPr>
        <w:t>78(1), 83-115.</w:t>
      </w:r>
    </w:p>
    <w:p w14:paraId="19F35A7B"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Biener</w:t>
      </w:r>
      <w:proofErr w:type="spellEnd"/>
      <w:r w:rsidRPr="005209D6">
        <w:rPr>
          <w:rFonts w:asciiTheme="majorBidi" w:hAnsiTheme="majorBidi" w:cstheme="majorBidi"/>
          <w:szCs w:val="22"/>
        </w:rPr>
        <w:t xml:space="preserve">, C., </w:t>
      </w:r>
      <w:proofErr w:type="spellStart"/>
      <w:r w:rsidRPr="005209D6">
        <w:rPr>
          <w:rFonts w:asciiTheme="majorBidi" w:hAnsiTheme="majorBidi" w:cstheme="majorBidi"/>
          <w:szCs w:val="22"/>
        </w:rPr>
        <w:t>Eling</w:t>
      </w:r>
      <w:proofErr w:type="spellEnd"/>
      <w:r w:rsidRPr="005209D6">
        <w:rPr>
          <w:rFonts w:asciiTheme="majorBidi" w:hAnsiTheme="majorBidi" w:cstheme="majorBidi"/>
          <w:szCs w:val="22"/>
        </w:rPr>
        <w:t xml:space="preserve">, M. &amp; </w:t>
      </w:r>
      <w:proofErr w:type="spellStart"/>
      <w:r w:rsidRPr="005209D6">
        <w:rPr>
          <w:rFonts w:asciiTheme="majorBidi" w:hAnsiTheme="majorBidi" w:cstheme="majorBidi"/>
          <w:szCs w:val="22"/>
        </w:rPr>
        <w:t>Schmit</w:t>
      </w:r>
      <w:proofErr w:type="spellEnd"/>
      <w:r w:rsidRPr="005209D6">
        <w:rPr>
          <w:rFonts w:asciiTheme="majorBidi" w:hAnsiTheme="majorBidi" w:cstheme="majorBidi"/>
          <w:szCs w:val="22"/>
        </w:rPr>
        <w:t xml:space="preserve">, J.T., “Regulation in Microinsurance Markets: Principles, Practice, and Directions for Future Development”, </w:t>
      </w:r>
      <w:r w:rsidRPr="005209D6">
        <w:rPr>
          <w:rFonts w:asciiTheme="majorBidi" w:hAnsiTheme="majorBidi" w:cstheme="majorBidi"/>
          <w:i/>
          <w:iCs/>
          <w:szCs w:val="22"/>
        </w:rPr>
        <w:t xml:space="preserve">World Development, </w:t>
      </w:r>
      <w:r w:rsidRPr="005209D6">
        <w:rPr>
          <w:rFonts w:asciiTheme="majorBidi" w:hAnsiTheme="majorBidi" w:cstheme="majorBidi"/>
          <w:iCs/>
          <w:szCs w:val="22"/>
        </w:rPr>
        <w:t xml:space="preserve">2014, Vol. </w:t>
      </w:r>
      <w:r w:rsidRPr="005209D6">
        <w:rPr>
          <w:rFonts w:asciiTheme="majorBidi" w:hAnsiTheme="majorBidi" w:cstheme="majorBidi"/>
          <w:szCs w:val="22"/>
        </w:rPr>
        <w:t>58, 21-40.</w:t>
      </w:r>
    </w:p>
    <w:p w14:paraId="27E2E8EB"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Bled, A., “Privatizing Anticipatory Governance? The Biotechnology Industry Global Compact Initiative for Liability and Redress under the Cartagena Protocol”, paper presented at International Studies Association, New York, 2009.</w:t>
      </w:r>
    </w:p>
    <w:p w14:paraId="470E36BE"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Bock, A.K., </w:t>
      </w:r>
      <w:proofErr w:type="spellStart"/>
      <w:r w:rsidRPr="005209D6">
        <w:rPr>
          <w:rFonts w:asciiTheme="majorBidi" w:hAnsiTheme="majorBidi" w:cstheme="majorBidi"/>
          <w:szCs w:val="22"/>
        </w:rPr>
        <w:t>Lheureux</w:t>
      </w:r>
      <w:proofErr w:type="spellEnd"/>
      <w:r w:rsidRPr="005209D6">
        <w:rPr>
          <w:rFonts w:asciiTheme="majorBidi" w:hAnsiTheme="majorBidi" w:cstheme="majorBidi"/>
          <w:szCs w:val="22"/>
        </w:rPr>
        <w:t xml:space="preserve">, K., </w:t>
      </w:r>
      <w:proofErr w:type="spellStart"/>
      <w:r w:rsidRPr="005209D6">
        <w:rPr>
          <w:rFonts w:asciiTheme="majorBidi" w:hAnsiTheme="majorBidi" w:cstheme="majorBidi"/>
          <w:szCs w:val="22"/>
        </w:rPr>
        <w:t>Libeau-Dulos</w:t>
      </w:r>
      <w:proofErr w:type="spellEnd"/>
      <w:r w:rsidRPr="005209D6">
        <w:rPr>
          <w:rFonts w:asciiTheme="majorBidi" w:hAnsiTheme="majorBidi" w:cstheme="majorBidi"/>
          <w:szCs w:val="22"/>
        </w:rPr>
        <w:t xml:space="preserve">, M., </w:t>
      </w:r>
      <w:proofErr w:type="spellStart"/>
      <w:r w:rsidRPr="005209D6">
        <w:rPr>
          <w:rFonts w:asciiTheme="majorBidi" w:hAnsiTheme="majorBidi" w:cstheme="majorBidi"/>
          <w:szCs w:val="22"/>
        </w:rPr>
        <w:t>Nilsagård</w:t>
      </w:r>
      <w:proofErr w:type="spellEnd"/>
      <w:r w:rsidRPr="005209D6">
        <w:rPr>
          <w:rFonts w:asciiTheme="majorBidi" w:hAnsiTheme="majorBidi" w:cstheme="majorBidi"/>
          <w:szCs w:val="22"/>
        </w:rPr>
        <w:t>, H. &amp; Rodriguez-</w:t>
      </w:r>
      <w:proofErr w:type="spellStart"/>
      <w:r w:rsidRPr="005209D6">
        <w:rPr>
          <w:rFonts w:asciiTheme="majorBidi" w:hAnsiTheme="majorBidi" w:cstheme="majorBidi"/>
          <w:szCs w:val="22"/>
        </w:rPr>
        <w:t>Cerezo</w:t>
      </w:r>
      <w:proofErr w:type="spellEnd"/>
      <w:r w:rsidRPr="005209D6">
        <w:rPr>
          <w:rFonts w:asciiTheme="majorBidi" w:hAnsiTheme="majorBidi" w:cstheme="majorBidi"/>
          <w:szCs w:val="22"/>
        </w:rPr>
        <w:t>, E</w:t>
      </w:r>
      <w:r w:rsidRPr="005209D6">
        <w:rPr>
          <w:rFonts w:asciiTheme="majorBidi" w:hAnsiTheme="majorBidi" w:cstheme="majorBidi"/>
          <w:i/>
          <w:szCs w:val="22"/>
        </w:rPr>
        <w:t>., Scenarios for co-existence of genetically modified, conventional and organic crops in European agriculture</w:t>
      </w:r>
      <w:r w:rsidRPr="005209D6">
        <w:rPr>
          <w:rFonts w:asciiTheme="majorBidi" w:hAnsiTheme="majorBidi" w:cstheme="majorBidi"/>
          <w:szCs w:val="22"/>
        </w:rPr>
        <w:t>, DG-JRCIPTS-ESTO Technical Report EUR 20394 EN, 2002.</w:t>
      </w:r>
    </w:p>
    <w:p w14:paraId="0756F9C8"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Bruggeman, V., </w:t>
      </w:r>
      <w:r w:rsidRPr="005209D6">
        <w:rPr>
          <w:rFonts w:asciiTheme="majorBidi" w:hAnsiTheme="majorBidi" w:cstheme="majorBidi"/>
          <w:i/>
          <w:szCs w:val="22"/>
        </w:rPr>
        <w:t>Compensating Catastrophe Victims. A Comparative Law and Economics Approach,</w:t>
      </w:r>
      <w:r w:rsidRPr="005209D6">
        <w:rPr>
          <w:rFonts w:asciiTheme="majorBidi" w:hAnsiTheme="majorBidi" w:cstheme="majorBidi"/>
          <w:szCs w:val="22"/>
        </w:rPr>
        <w:t xml:space="preserve"> Alphen </w:t>
      </w:r>
      <w:proofErr w:type="spellStart"/>
      <w:r w:rsidRPr="005209D6">
        <w:rPr>
          <w:rFonts w:asciiTheme="majorBidi" w:hAnsiTheme="majorBidi" w:cstheme="majorBidi"/>
          <w:szCs w:val="22"/>
        </w:rPr>
        <w:t>aan</w:t>
      </w:r>
      <w:proofErr w:type="spellEnd"/>
      <w:r w:rsidRPr="005209D6">
        <w:rPr>
          <w:rFonts w:asciiTheme="majorBidi" w:hAnsiTheme="majorBidi" w:cstheme="majorBidi"/>
          <w:szCs w:val="22"/>
        </w:rPr>
        <w:t xml:space="preserve"> den Rijn, Wolters Kluwer, 2010.</w:t>
      </w:r>
    </w:p>
    <w:p w14:paraId="2EB93092"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Bruggeman, V., Faure, M.G. &amp; Fiore, K., “The Government as Reinsurer of Catastrophic Risks?”, </w:t>
      </w:r>
      <w:r w:rsidRPr="005209D6">
        <w:rPr>
          <w:rFonts w:asciiTheme="majorBidi" w:hAnsiTheme="majorBidi" w:cstheme="majorBidi"/>
          <w:i/>
          <w:szCs w:val="22"/>
        </w:rPr>
        <w:t xml:space="preserve">Geneva Papers on Risk and Insurance, </w:t>
      </w:r>
      <w:r w:rsidRPr="005209D6">
        <w:rPr>
          <w:rFonts w:asciiTheme="majorBidi" w:hAnsiTheme="majorBidi" w:cstheme="majorBidi"/>
          <w:szCs w:val="22"/>
        </w:rPr>
        <w:t>2010, Vol. 35, 369-390.</w:t>
      </w:r>
    </w:p>
    <w:p w14:paraId="11890C63"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Bruggeman, V., Faure, M.G. &amp; </w:t>
      </w:r>
      <w:proofErr w:type="spellStart"/>
      <w:r w:rsidRPr="005209D6">
        <w:rPr>
          <w:rFonts w:asciiTheme="majorBidi" w:hAnsiTheme="majorBidi" w:cstheme="majorBidi"/>
          <w:szCs w:val="22"/>
        </w:rPr>
        <w:t>Heldt</w:t>
      </w:r>
      <w:proofErr w:type="spellEnd"/>
      <w:r w:rsidRPr="005209D6">
        <w:rPr>
          <w:rFonts w:asciiTheme="majorBidi" w:hAnsiTheme="majorBidi" w:cstheme="majorBidi"/>
          <w:szCs w:val="22"/>
        </w:rPr>
        <w:t xml:space="preserve">, T., “Insurance Against Catastrophe: Government Stimulation of Insurance Markets for Catastrophic Events”, </w:t>
      </w:r>
      <w:r w:rsidRPr="005209D6">
        <w:rPr>
          <w:rFonts w:asciiTheme="majorBidi" w:hAnsiTheme="majorBidi" w:cstheme="majorBidi"/>
          <w:i/>
          <w:szCs w:val="22"/>
        </w:rPr>
        <w:t>Duke Environmental Law &amp; Policy Forum</w:t>
      </w:r>
      <w:r w:rsidRPr="005209D6">
        <w:rPr>
          <w:rFonts w:asciiTheme="majorBidi" w:hAnsiTheme="majorBidi" w:cstheme="majorBidi"/>
          <w:szCs w:val="22"/>
        </w:rPr>
        <w:t xml:space="preserve">, 2012, Vol. </w:t>
      </w:r>
      <w:proofErr w:type="gramStart"/>
      <w:r w:rsidRPr="005209D6">
        <w:rPr>
          <w:rFonts w:asciiTheme="majorBidi" w:hAnsiTheme="majorBidi" w:cstheme="majorBidi"/>
          <w:szCs w:val="22"/>
        </w:rPr>
        <w:t>XXIII(</w:t>
      </w:r>
      <w:proofErr w:type="gramEnd"/>
      <w:r w:rsidRPr="005209D6">
        <w:rPr>
          <w:rFonts w:asciiTheme="majorBidi" w:hAnsiTheme="majorBidi" w:cstheme="majorBidi"/>
          <w:szCs w:val="22"/>
        </w:rPr>
        <w:t xml:space="preserve">1), 185-241. </w:t>
      </w:r>
    </w:p>
    <w:p w14:paraId="51ACE00C"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Calabresi</w:t>
      </w:r>
      <w:proofErr w:type="spellEnd"/>
      <w:r w:rsidRPr="005209D6">
        <w:rPr>
          <w:rFonts w:asciiTheme="majorBidi" w:hAnsiTheme="majorBidi" w:cstheme="majorBidi"/>
          <w:szCs w:val="22"/>
        </w:rPr>
        <w:t xml:space="preserve">, G., </w:t>
      </w:r>
      <w:r w:rsidRPr="005209D6">
        <w:rPr>
          <w:rFonts w:asciiTheme="majorBidi" w:hAnsiTheme="majorBidi" w:cstheme="majorBidi"/>
          <w:i/>
          <w:szCs w:val="22"/>
        </w:rPr>
        <w:t>The Costs of Accidents. A Legal and Economic Analysis</w:t>
      </w:r>
      <w:r w:rsidRPr="005209D6">
        <w:rPr>
          <w:rFonts w:asciiTheme="majorBidi" w:hAnsiTheme="majorBidi" w:cstheme="majorBidi"/>
          <w:szCs w:val="22"/>
        </w:rPr>
        <w:t>, New Haven, Yale University Press, 1970.</w:t>
      </w:r>
    </w:p>
    <w:p w14:paraId="701BFB08"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Carrato</w:t>
      </w:r>
      <w:proofErr w:type="spellEnd"/>
      <w:r w:rsidRPr="005209D6">
        <w:rPr>
          <w:rFonts w:asciiTheme="majorBidi" w:hAnsiTheme="majorBidi" w:cstheme="majorBidi"/>
          <w:szCs w:val="22"/>
        </w:rPr>
        <w:t xml:space="preserve">, J.T., </w:t>
      </w:r>
      <w:proofErr w:type="spellStart"/>
      <w:r w:rsidRPr="005209D6">
        <w:rPr>
          <w:rFonts w:asciiTheme="majorBidi" w:hAnsiTheme="majorBidi" w:cstheme="majorBidi"/>
          <w:szCs w:val="22"/>
        </w:rPr>
        <w:t>Barkett</w:t>
      </w:r>
      <w:proofErr w:type="spellEnd"/>
      <w:r w:rsidRPr="005209D6">
        <w:rPr>
          <w:rFonts w:asciiTheme="majorBidi" w:hAnsiTheme="majorBidi" w:cstheme="majorBidi"/>
          <w:szCs w:val="22"/>
        </w:rPr>
        <w:t xml:space="preserve">, J. &amp; Goldberg, P., “The Industry’s Compact and its Implications for the Supplementary Protocol”, in Shibata, A. (ed.), </w:t>
      </w:r>
      <w:r w:rsidRPr="005209D6">
        <w:rPr>
          <w:rFonts w:asciiTheme="majorBidi" w:hAnsiTheme="majorBidi" w:cstheme="majorBidi"/>
          <w:i/>
          <w:szCs w:val="22"/>
        </w:rPr>
        <w:t>International Liability Regime for Biodiversity Damage. The Nagoya-Kuala Lumpur Supplementary Protocol</w:t>
      </w:r>
      <w:r w:rsidRPr="005209D6">
        <w:rPr>
          <w:rFonts w:asciiTheme="majorBidi" w:hAnsiTheme="majorBidi" w:cstheme="majorBidi"/>
          <w:szCs w:val="22"/>
        </w:rPr>
        <w:t>, London, Routledge, 2014, 218-239.</w:t>
      </w:r>
    </w:p>
    <w:p w14:paraId="7C7A5777"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Carter, M., De </w:t>
      </w:r>
      <w:proofErr w:type="spellStart"/>
      <w:r w:rsidRPr="005209D6">
        <w:rPr>
          <w:rFonts w:asciiTheme="majorBidi" w:hAnsiTheme="majorBidi" w:cstheme="majorBidi"/>
          <w:szCs w:val="22"/>
        </w:rPr>
        <w:t>Janvry</w:t>
      </w:r>
      <w:proofErr w:type="spellEnd"/>
      <w:r w:rsidRPr="005209D6">
        <w:rPr>
          <w:rFonts w:asciiTheme="majorBidi" w:hAnsiTheme="majorBidi" w:cstheme="majorBidi"/>
          <w:szCs w:val="22"/>
        </w:rPr>
        <w:t xml:space="preserve">, A., </w:t>
      </w:r>
      <w:proofErr w:type="spellStart"/>
      <w:r w:rsidRPr="005209D6">
        <w:rPr>
          <w:rFonts w:asciiTheme="majorBidi" w:hAnsiTheme="majorBidi" w:cstheme="majorBidi"/>
          <w:szCs w:val="22"/>
        </w:rPr>
        <w:t>Sadoulet</w:t>
      </w:r>
      <w:proofErr w:type="spellEnd"/>
      <w:r w:rsidRPr="005209D6">
        <w:rPr>
          <w:rFonts w:asciiTheme="majorBidi" w:hAnsiTheme="majorBidi" w:cstheme="majorBidi"/>
          <w:szCs w:val="22"/>
        </w:rPr>
        <w:t xml:space="preserve">, E. &amp; Sarris, A., “Index-based Weather Insurance for Developing Countries: A Review of Evidence and a Set of Propositions for Upscaling”, Development Policies Working Paper, 2014. </w:t>
      </w:r>
    </w:p>
    <w:p w14:paraId="7C7A7048"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CBD 2001, Note by the Executive Secretary, Liability and Redress for Damage Resulting from the Transboundary Movements of Living Modified Organisms. Review of existing relevant instruments and identification of elements, Intergovernmental Committee for the Cartagena Protocol on Biosafety, Nairobi, 1-5 October 2001, available at: </w:t>
      </w:r>
      <w:hyperlink r:id="rId21" w:history="1">
        <w:r w:rsidRPr="005209D6">
          <w:rPr>
            <w:rStyle w:val="Hyperlink"/>
            <w:rFonts w:asciiTheme="majorBidi" w:hAnsiTheme="majorBidi" w:cstheme="majorBidi"/>
            <w:sz w:val="22"/>
            <w:szCs w:val="22"/>
          </w:rPr>
          <w:t>https://www.cbd.int/doc/meetings/bs/iccp-02/official/iccp-02-03-en.pdf</w:t>
        </w:r>
      </w:hyperlink>
      <w:r w:rsidRPr="005209D6">
        <w:rPr>
          <w:rFonts w:asciiTheme="majorBidi" w:hAnsiTheme="majorBidi" w:cstheme="majorBidi"/>
          <w:szCs w:val="22"/>
        </w:rPr>
        <w:t xml:space="preserve"> </w:t>
      </w:r>
    </w:p>
    <w:p w14:paraId="00326455" w14:textId="77777777" w:rsidR="006F45CF" w:rsidRPr="005209D6" w:rsidRDefault="006F45CF" w:rsidP="005209D6">
      <w:pPr>
        <w:spacing w:after="120"/>
        <w:rPr>
          <w:rStyle w:val="Hyperlink"/>
          <w:rFonts w:asciiTheme="majorBidi" w:hAnsiTheme="majorBidi" w:cstheme="majorBidi"/>
          <w:sz w:val="22"/>
          <w:szCs w:val="22"/>
        </w:rPr>
      </w:pPr>
      <w:r w:rsidRPr="005209D6">
        <w:rPr>
          <w:rFonts w:asciiTheme="majorBidi" w:hAnsiTheme="majorBidi" w:cstheme="majorBidi"/>
          <w:szCs w:val="22"/>
        </w:rPr>
        <w:t xml:space="preserve">CBD 2006, Note by the Executive Secretary, Financial Security to Cover Liability Resulting from Transboundary Movements of Living Modified Organisms, </w:t>
      </w:r>
      <w:r w:rsidRPr="005209D6">
        <w:rPr>
          <w:rFonts w:asciiTheme="majorBidi" w:hAnsiTheme="majorBidi" w:cstheme="majorBidi"/>
          <w:color w:val="212121"/>
          <w:szCs w:val="22"/>
        </w:rPr>
        <w:t xml:space="preserve">Open-ended ad hoc Working Group of Legal </w:t>
      </w:r>
      <w:r w:rsidRPr="005209D6">
        <w:rPr>
          <w:rFonts w:asciiTheme="majorBidi" w:hAnsiTheme="majorBidi" w:cstheme="majorBidi"/>
          <w:color w:val="212121"/>
          <w:szCs w:val="22"/>
        </w:rPr>
        <w:lastRenderedPageBreak/>
        <w:t>and Technical Experts on Liability and Redress in the Context of the Cartagena Protocol on Biosafety,</w:t>
      </w:r>
      <w:r w:rsidRPr="005209D6">
        <w:rPr>
          <w:rFonts w:asciiTheme="majorBidi" w:hAnsiTheme="majorBidi" w:cstheme="majorBidi"/>
          <w:szCs w:val="22"/>
        </w:rPr>
        <w:t xml:space="preserve"> Montreal, 20-24 February 2006, available at: </w:t>
      </w:r>
      <w:hyperlink r:id="rId22" w:tgtFrame="_blank" w:history="1">
        <w:r w:rsidRPr="005209D6">
          <w:rPr>
            <w:rStyle w:val="Hyperlink"/>
            <w:rFonts w:asciiTheme="majorBidi" w:hAnsiTheme="majorBidi" w:cstheme="majorBidi"/>
            <w:sz w:val="22"/>
            <w:szCs w:val="22"/>
          </w:rPr>
          <w:t>https://www.cbd.int/doc/meetings/bs/bswglr-02/information/bswglr-02-inf-07-en.pdf</w:t>
        </w:r>
      </w:hyperlink>
    </w:p>
    <w:p w14:paraId="283FD331" w14:textId="77777777" w:rsidR="006F45CF" w:rsidRPr="005209D6" w:rsidRDefault="006F45CF" w:rsidP="005209D6">
      <w:pPr>
        <w:spacing w:after="120"/>
        <w:rPr>
          <w:rFonts w:asciiTheme="majorBidi" w:hAnsiTheme="majorBidi" w:cstheme="majorBidi"/>
          <w:color w:val="212121"/>
          <w:szCs w:val="22"/>
        </w:rPr>
      </w:pPr>
      <w:r w:rsidRPr="005209D6">
        <w:rPr>
          <w:rFonts w:asciiTheme="majorBidi" w:hAnsiTheme="majorBidi" w:cstheme="majorBidi"/>
          <w:color w:val="212121"/>
          <w:szCs w:val="22"/>
        </w:rPr>
        <w:t>CBD 2007, Note by the Executive Secretary, Financial Security to Cover Liability Resulting from Transboundary Movements of Living Modified Organisms, Open-ended ad hoc Working Group of Legal and Technical Experts on Liability and Redress in the Context of the Cartagena Protocol on Biosafety,</w:t>
      </w:r>
      <w:r w:rsidRPr="005209D6">
        <w:rPr>
          <w:rFonts w:asciiTheme="majorBidi" w:hAnsiTheme="majorBidi" w:cstheme="majorBidi"/>
          <w:szCs w:val="22"/>
        </w:rPr>
        <w:t xml:space="preserve"> Montreal, 19-23 February 2007, available at: </w:t>
      </w:r>
      <w:hyperlink r:id="rId23" w:tgtFrame="_blank" w:history="1">
        <w:r w:rsidRPr="005209D6">
          <w:rPr>
            <w:rStyle w:val="Hyperlink"/>
            <w:rFonts w:asciiTheme="majorBidi" w:hAnsiTheme="majorBidi" w:cstheme="majorBidi"/>
            <w:sz w:val="22"/>
            <w:szCs w:val="22"/>
          </w:rPr>
          <w:t>https://www.cbd.int/doc/meetings/bs/bswglr-03/information/bswglr-03-inf-05-en.pdf</w:t>
        </w:r>
      </w:hyperlink>
      <w:r w:rsidRPr="005209D6">
        <w:rPr>
          <w:rFonts w:asciiTheme="majorBidi" w:hAnsiTheme="majorBidi" w:cstheme="majorBidi"/>
          <w:color w:val="212121"/>
          <w:szCs w:val="22"/>
        </w:rPr>
        <w:t> </w:t>
      </w:r>
    </w:p>
    <w:p w14:paraId="3395CF20" w14:textId="77777777" w:rsidR="006F45CF" w:rsidRPr="005209D6" w:rsidRDefault="006F45CF" w:rsidP="005209D6">
      <w:pPr>
        <w:spacing w:after="120"/>
        <w:rPr>
          <w:rStyle w:val="Hyperlink"/>
          <w:rFonts w:asciiTheme="majorBidi" w:hAnsiTheme="majorBidi" w:cstheme="majorBidi"/>
          <w:sz w:val="22"/>
          <w:szCs w:val="22"/>
        </w:rPr>
      </w:pPr>
      <w:r w:rsidRPr="005209D6">
        <w:rPr>
          <w:rFonts w:asciiTheme="majorBidi" w:hAnsiTheme="majorBidi" w:cstheme="majorBidi"/>
          <w:color w:val="212121"/>
          <w:szCs w:val="22"/>
        </w:rPr>
        <w:t xml:space="preserve">CBD 2009, Note by the Executive Secretary, </w:t>
      </w:r>
      <w:r w:rsidRPr="005209D6">
        <w:rPr>
          <w:rFonts w:asciiTheme="majorBidi" w:hAnsiTheme="majorBidi" w:cstheme="majorBidi"/>
          <w:szCs w:val="22"/>
        </w:rPr>
        <w:t xml:space="preserve">Recent Developments in International Law Relating to Liability and Redress, Including the Status of International Environment-Related Third Party Liability Instruments, Group of the Friend of the Co-Chairs on Liability and Redress in the Context of the Cartagena Protocol on Biosafety, Mexico City, 23-27 February 2009, available at: </w:t>
      </w:r>
      <w:hyperlink r:id="rId24" w:tgtFrame="_blank" w:history="1">
        <w:r w:rsidRPr="005209D6">
          <w:rPr>
            <w:rStyle w:val="Hyperlink"/>
            <w:rFonts w:asciiTheme="majorBidi" w:hAnsiTheme="majorBidi" w:cstheme="majorBidi"/>
            <w:sz w:val="22"/>
            <w:szCs w:val="22"/>
          </w:rPr>
          <w:t>https://www.cbd.int/doc/meetings/bs/bsgflr-01/information/bsgflr-01-inf-01-en.pdf</w:t>
        </w:r>
      </w:hyperlink>
    </w:p>
    <w:p w14:paraId="1537DC10" w14:textId="77777777" w:rsidR="006F45CF" w:rsidRPr="005209D6" w:rsidRDefault="006F45CF" w:rsidP="005209D6">
      <w:pPr>
        <w:spacing w:after="120"/>
        <w:rPr>
          <w:rFonts w:asciiTheme="majorBidi" w:hAnsiTheme="majorBidi" w:cstheme="majorBidi"/>
          <w:szCs w:val="22"/>
        </w:rPr>
      </w:pPr>
      <w:r w:rsidRPr="005209D6">
        <w:rPr>
          <w:rStyle w:val="Hyperlink"/>
          <w:rFonts w:asciiTheme="majorBidi" w:hAnsiTheme="majorBidi" w:cstheme="majorBidi"/>
          <w:sz w:val="22"/>
          <w:szCs w:val="22"/>
        </w:rPr>
        <w:t xml:space="preserve">Chatterjee, A. &amp; </w:t>
      </w:r>
      <w:proofErr w:type="spellStart"/>
      <w:r w:rsidRPr="005209D6">
        <w:rPr>
          <w:rStyle w:val="Hyperlink"/>
          <w:rFonts w:asciiTheme="majorBidi" w:hAnsiTheme="majorBidi" w:cstheme="majorBidi"/>
          <w:sz w:val="22"/>
          <w:szCs w:val="22"/>
        </w:rPr>
        <w:t>Oza</w:t>
      </w:r>
      <w:proofErr w:type="spellEnd"/>
      <w:r w:rsidRPr="005209D6">
        <w:rPr>
          <w:rStyle w:val="Hyperlink"/>
          <w:rFonts w:asciiTheme="majorBidi" w:hAnsiTheme="majorBidi" w:cstheme="majorBidi"/>
          <w:sz w:val="22"/>
          <w:szCs w:val="22"/>
        </w:rPr>
        <w:t xml:space="preserve">, A., “Agriculture Insurance”, </w:t>
      </w:r>
      <w:r w:rsidRPr="005209D6">
        <w:rPr>
          <w:rStyle w:val="Hyperlink"/>
          <w:rFonts w:asciiTheme="majorBidi" w:hAnsiTheme="majorBidi" w:cstheme="majorBidi"/>
          <w:i/>
          <w:sz w:val="22"/>
          <w:szCs w:val="22"/>
        </w:rPr>
        <w:t>Asian Development Bank (ADB) Briefs</w:t>
      </w:r>
      <w:r w:rsidRPr="005209D6">
        <w:rPr>
          <w:rStyle w:val="Hyperlink"/>
          <w:rFonts w:asciiTheme="majorBidi" w:hAnsiTheme="majorBidi" w:cstheme="majorBidi"/>
          <w:sz w:val="22"/>
          <w:szCs w:val="22"/>
        </w:rPr>
        <w:t>, 2017, No. 77.</w:t>
      </w:r>
    </w:p>
    <w:p w14:paraId="1B0218B2"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Coase, R.H., “The Problem of Social Cost”, </w:t>
      </w:r>
      <w:r w:rsidRPr="005209D6">
        <w:rPr>
          <w:rFonts w:asciiTheme="majorBidi" w:hAnsiTheme="majorBidi" w:cstheme="majorBidi"/>
          <w:i/>
          <w:szCs w:val="22"/>
        </w:rPr>
        <w:t>Journal of Law and Economics</w:t>
      </w:r>
      <w:r w:rsidRPr="005209D6">
        <w:rPr>
          <w:rFonts w:asciiTheme="majorBidi" w:hAnsiTheme="majorBidi" w:cstheme="majorBidi"/>
          <w:szCs w:val="22"/>
        </w:rPr>
        <w:t>, 1960, 1-44.</w:t>
      </w:r>
    </w:p>
    <w:p w14:paraId="3A7A380F"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Comoroski</w:t>
      </w:r>
      <w:proofErr w:type="spellEnd"/>
      <w:r w:rsidRPr="005209D6">
        <w:rPr>
          <w:rFonts w:asciiTheme="majorBidi" w:hAnsiTheme="majorBidi" w:cstheme="majorBidi"/>
          <w:szCs w:val="22"/>
        </w:rPr>
        <w:t xml:space="preserve">, K.S., “The Failure of Governments to Regulate Industry: A Subsidy under the GATT?”, </w:t>
      </w:r>
      <w:r w:rsidRPr="005209D6">
        <w:rPr>
          <w:rFonts w:asciiTheme="majorBidi" w:hAnsiTheme="majorBidi" w:cstheme="majorBidi"/>
          <w:i/>
          <w:szCs w:val="22"/>
        </w:rPr>
        <w:t>Houston Journal of International Law</w:t>
      </w:r>
      <w:r w:rsidRPr="005209D6">
        <w:rPr>
          <w:rFonts w:asciiTheme="majorBidi" w:hAnsiTheme="majorBidi" w:cstheme="majorBidi"/>
          <w:szCs w:val="22"/>
        </w:rPr>
        <w:t>, 1988, Vol. 10, 189-209.</w:t>
      </w:r>
    </w:p>
    <w:p w14:paraId="7DC577A7"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Cordonier-Segger</w:t>
      </w:r>
      <w:proofErr w:type="spellEnd"/>
      <w:r w:rsidRPr="005209D6">
        <w:rPr>
          <w:rFonts w:asciiTheme="majorBidi" w:hAnsiTheme="majorBidi" w:cstheme="majorBidi"/>
          <w:szCs w:val="22"/>
        </w:rPr>
        <w:t xml:space="preserve">, M.C., </w:t>
      </w:r>
      <w:proofErr w:type="spellStart"/>
      <w:r w:rsidRPr="005209D6">
        <w:rPr>
          <w:rFonts w:asciiTheme="majorBidi" w:hAnsiTheme="majorBidi" w:cstheme="majorBidi"/>
          <w:szCs w:val="22"/>
        </w:rPr>
        <w:t>Perron</w:t>
      </w:r>
      <w:proofErr w:type="spellEnd"/>
      <w:r w:rsidRPr="005209D6">
        <w:rPr>
          <w:rFonts w:asciiTheme="majorBidi" w:hAnsiTheme="majorBidi" w:cstheme="majorBidi"/>
          <w:szCs w:val="22"/>
        </w:rPr>
        <w:t xml:space="preserve">-Welch, F. &amp; </w:t>
      </w:r>
      <w:proofErr w:type="spellStart"/>
      <w:r w:rsidRPr="005209D6">
        <w:rPr>
          <w:rFonts w:asciiTheme="majorBidi" w:hAnsiTheme="majorBidi" w:cstheme="majorBidi"/>
          <w:szCs w:val="22"/>
        </w:rPr>
        <w:t>Frison</w:t>
      </w:r>
      <w:proofErr w:type="spellEnd"/>
      <w:r w:rsidRPr="005209D6">
        <w:rPr>
          <w:rFonts w:asciiTheme="majorBidi" w:hAnsiTheme="majorBidi" w:cstheme="majorBidi"/>
          <w:szCs w:val="22"/>
        </w:rPr>
        <w:t xml:space="preserve">, Chr., </w:t>
      </w:r>
      <w:r w:rsidRPr="005209D6">
        <w:rPr>
          <w:rFonts w:asciiTheme="majorBidi" w:hAnsiTheme="majorBidi" w:cstheme="majorBidi"/>
          <w:i/>
          <w:szCs w:val="22"/>
        </w:rPr>
        <w:t>Legal Aspects of Implementing the Cartagena Protocol on Biosafety</w:t>
      </w:r>
      <w:r w:rsidRPr="005209D6">
        <w:rPr>
          <w:rFonts w:asciiTheme="majorBidi" w:hAnsiTheme="majorBidi" w:cstheme="majorBidi"/>
          <w:szCs w:val="22"/>
        </w:rPr>
        <w:t>, Cambridge, Cambridge University Press, 2013.</w:t>
      </w:r>
    </w:p>
    <w:p w14:paraId="1B8C4A91" w14:textId="77777777" w:rsidR="006F45CF" w:rsidRPr="005209D6" w:rsidRDefault="006F45CF" w:rsidP="005209D6">
      <w:pPr>
        <w:spacing w:after="120"/>
        <w:rPr>
          <w:rFonts w:asciiTheme="majorBidi" w:eastAsia="Arial Unicode MS" w:hAnsiTheme="majorBidi" w:cstheme="majorBidi"/>
          <w:szCs w:val="22"/>
        </w:rPr>
      </w:pPr>
      <w:r w:rsidRPr="005209D6">
        <w:rPr>
          <w:rFonts w:asciiTheme="majorBidi" w:eastAsia="Arial Unicode MS" w:hAnsiTheme="majorBidi" w:cstheme="majorBidi"/>
          <w:szCs w:val="22"/>
        </w:rPr>
        <w:t>Dari-</w:t>
      </w:r>
      <w:proofErr w:type="spellStart"/>
      <w:r w:rsidRPr="005209D6">
        <w:rPr>
          <w:rFonts w:asciiTheme="majorBidi" w:eastAsia="Arial Unicode MS" w:hAnsiTheme="majorBidi" w:cstheme="majorBidi"/>
          <w:szCs w:val="22"/>
        </w:rPr>
        <w:t>Mattiacci</w:t>
      </w:r>
      <w:proofErr w:type="spellEnd"/>
      <w:r w:rsidRPr="005209D6">
        <w:rPr>
          <w:rFonts w:asciiTheme="majorBidi" w:eastAsia="Arial Unicode MS" w:hAnsiTheme="majorBidi" w:cstheme="majorBidi"/>
          <w:szCs w:val="22"/>
        </w:rPr>
        <w:t xml:space="preserve">, G. &amp; M.G. Faure, “The Economics of Disaster Relief”, </w:t>
      </w:r>
      <w:r w:rsidRPr="005209D6">
        <w:rPr>
          <w:rFonts w:asciiTheme="majorBidi" w:eastAsia="Arial Unicode MS" w:hAnsiTheme="majorBidi" w:cstheme="majorBidi"/>
          <w:i/>
          <w:szCs w:val="22"/>
        </w:rPr>
        <w:t>Law &amp; Policy</w:t>
      </w:r>
      <w:r w:rsidRPr="005209D6">
        <w:rPr>
          <w:rFonts w:asciiTheme="majorBidi" w:eastAsia="Arial Unicode MS" w:hAnsiTheme="majorBidi" w:cstheme="majorBidi"/>
          <w:szCs w:val="22"/>
        </w:rPr>
        <w:t>, 2015, Vol. 37(3), 180-208.</w:t>
      </w:r>
    </w:p>
    <w:p w14:paraId="70154AC1" w14:textId="77777777" w:rsidR="006F45CF" w:rsidRPr="005209D6" w:rsidRDefault="006F45CF" w:rsidP="005209D6">
      <w:pPr>
        <w:spacing w:after="120"/>
        <w:rPr>
          <w:rFonts w:asciiTheme="majorBidi" w:eastAsia="Arial Unicode MS" w:hAnsiTheme="majorBidi" w:cstheme="majorBidi"/>
          <w:szCs w:val="22"/>
        </w:rPr>
      </w:pPr>
      <w:r w:rsidRPr="005209D6">
        <w:rPr>
          <w:rFonts w:asciiTheme="majorBidi" w:eastAsia="Arial Unicode MS" w:hAnsiTheme="majorBidi" w:cstheme="majorBidi"/>
          <w:szCs w:val="22"/>
        </w:rPr>
        <w:t xml:space="preserve">Davenport, M., “Genetically Modified Plants and Foods – Brave New World or Brave New Headache for Insurers?”, </w:t>
      </w:r>
      <w:r w:rsidRPr="005209D6">
        <w:rPr>
          <w:rFonts w:asciiTheme="majorBidi" w:eastAsia="Arial Unicode MS" w:hAnsiTheme="majorBidi" w:cstheme="majorBidi"/>
          <w:i/>
          <w:szCs w:val="22"/>
        </w:rPr>
        <w:t>De Brief</w:t>
      </w:r>
      <w:r w:rsidRPr="005209D6">
        <w:rPr>
          <w:rFonts w:asciiTheme="majorBidi" w:eastAsia="Arial Unicode MS" w:hAnsiTheme="majorBidi" w:cstheme="majorBidi"/>
          <w:szCs w:val="22"/>
        </w:rPr>
        <w:t>, 2006, Vol. 35, 56-61.</w:t>
      </w:r>
    </w:p>
    <w:p w14:paraId="7BE1C326" w14:textId="77777777" w:rsidR="006F45CF" w:rsidRPr="005209D6" w:rsidRDefault="006F45CF" w:rsidP="005209D6">
      <w:pPr>
        <w:spacing w:after="120"/>
        <w:rPr>
          <w:rFonts w:asciiTheme="majorBidi" w:eastAsia="Arial Unicode MS" w:hAnsiTheme="majorBidi" w:cstheme="majorBidi"/>
          <w:szCs w:val="22"/>
        </w:rPr>
      </w:pPr>
      <w:proofErr w:type="spellStart"/>
      <w:r w:rsidRPr="005209D6">
        <w:rPr>
          <w:rFonts w:asciiTheme="majorBidi" w:eastAsia="Arial Unicode MS" w:hAnsiTheme="majorBidi" w:cstheme="majorBidi"/>
          <w:szCs w:val="22"/>
        </w:rPr>
        <w:t>Dercon</w:t>
      </w:r>
      <w:proofErr w:type="spellEnd"/>
      <w:r w:rsidRPr="005209D6">
        <w:rPr>
          <w:rFonts w:asciiTheme="majorBidi" w:eastAsia="Arial Unicode MS" w:hAnsiTheme="majorBidi" w:cstheme="majorBidi"/>
          <w:szCs w:val="22"/>
        </w:rPr>
        <w:t xml:space="preserve">, S., Hill, R.V., Clarke, D.J., </w:t>
      </w:r>
      <w:proofErr w:type="spellStart"/>
      <w:r w:rsidRPr="005209D6">
        <w:rPr>
          <w:rFonts w:asciiTheme="majorBidi" w:eastAsia="Arial Unicode MS" w:hAnsiTheme="majorBidi" w:cstheme="majorBidi"/>
          <w:szCs w:val="22"/>
        </w:rPr>
        <w:t>Outes</w:t>
      </w:r>
      <w:proofErr w:type="spellEnd"/>
      <w:r w:rsidRPr="005209D6">
        <w:rPr>
          <w:rFonts w:asciiTheme="majorBidi" w:eastAsia="Arial Unicode MS" w:hAnsiTheme="majorBidi" w:cstheme="majorBidi"/>
          <w:szCs w:val="22"/>
        </w:rPr>
        <w:t xml:space="preserve">-Leon, I. &amp; </w:t>
      </w:r>
      <w:proofErr w:type="spellStart"/>
      <w:r w:rsidRPr="005209D6">
        <w:rPr>
          <w:rFonts w:asciiTheme="majorBidi" w:eastAsia="Arial Unicode MS" w:hAnsiTheme="majorBidi" w:cstheme="majorBidi"/>
          <w:szCs w:val="22"/>
        </w:rPr>
        <w:t>Taffesse</w:t>
      </w:r>
      <w:proofErr w:type="spellEnd"/>
      <w:r w:rsidRPr="005209D6">
        <w:rPr>
          <w:rFonts w:asciiTheme="majorBidi" w:eastAsia="Arial Unicode MS" w:hAnsiTheme="majorBidi" w:cstheme="majorBidi"/>
          <w:szCs w:val="22"/>
        </w:rPr>
        <w:t xml:space="preserve">, A.S., “Offering Rainfall Insurance to Informal Insurance Groups: Evidence from a Field Experiment in Ethiopia”, </w:t>
      </w:r>
      <w:r w:rsidRPr="005209D6">
        <w:rPr>
          <w:rFonts w:asciiTheme="majorBidi" w:eastAsia="Arial Unicode MS" w:hAnsiTheme="majorBidi" w:cstheme="majorBidi"/>
          <w:i/>
          <w:szCs w:val="22"/>
        </w:rPr>
        <w:t>Journal of Development Economics</w:t>
      </w:r>
      <w:r w:rsidRPr="005209D6">
        <w:rPr>
          <w:rFonts w:asciiTheme="majorBidi" w:eastAsia="Arial Unicode MS" w:hAnsiTheme="majorBidi" w:cstheme="majorBidi"/>
          <w:szCs w:val="22"/>
        </w:rPr>
        <w:t>, 2014, Vol. 106, 132-143.</w:t>
      </w:r>
    </w:p>
    <w:p w14:paraId="1F087E85" w14:textId="77777777" w:rsidR="006F45CF" w:rsidRPr="005209D6" w:rsidRDefault="006F45CF" w:rsidP="005209D6">
      <w:pPr>
        <w:spacing w:after="120"/>
        <w:rPr>
          <w:rFonts w:asciiTheme="majorBidi" w:hAnsiTheme="majorBidi" w:cstheme="majorBidi"/>
          <w:szCs w:val="22"/>
        </w:rPr>
      </w:pPr>
      <w:r w:rsidRPr="005209D6">
        <w:rPr>
          <w:rFonts w:asciiTheme="majorBidi" w:eastAsia="Arial Unicode MS" w:hAnsiTheme="majorBidi" w:cstheme="majorBidi"/>
          <w:szCs w:val="22"/>
        </w:rPr>
        <w:t xml:space="preserve">Ebert, I. &amp; </w:t>
      </w:r>
      <w:proofErr w:type="spellStart"/>
      <w:r w:rsidRPr="005209D6">
        <w:rPr>
          <w:rFonts w:asciiTheme="majorBidi" w:eastAsia="Arial Unicode MS" w:hAnsiTheme="majorBidi" w:cstheme="majorBidi"/>
          <w:szCs w:val="22"/>
        </w:rPr>
        <w:t>Lahnstein</w:t>
      </w:r>
      <w:proofErr w:type="spellEnd"/>
      <w:r w:rsidRPr="005209D6">
        <w:rPr>
          <w:rFonts w:asciiTheme="majorBidi" w:eastAsia="Arial Unicode MS" w:hAnsiTheme="majorBidi" w:cstheme="majorBidi"/>
          <w:szCs w:val="22"/>
        </w:rPr>
        <w:t xml:space="preserve">, Chr., “GMO Liability: Options for Insurers”, in Koch, B.A. (ed.), </w:t>
      </w:r>
      <w:r w:rsidRPr="005209D6">
        <w:rPr>
          <w:rFonts w:asciiTheme="majorBidi" w:hAnsiTheme="majorBidi" w:cstheme="majorBidi"/>
          <w:i/>
          <w:szCs w:val="22"/>
        </w:rPr>
        <w:t>Economic Loss Caused by Genetically Modified Organisms. Liability and Redress for the Adventitious Presence of GMOs in Non-GM Crops</w:t>
      </w:r>
      <w:r w:rsidRPr="005209D6">
        <w:rPr>
          <w:rFonts w:asciiTheme="majorBidi" w:hAnsiTheme="majorBidi" w:cstheme="majorBidi"/>
          <w:szCs w:val="22"/>
        </w:rPr>
        <w:t>, Vienna, Springer, 2008, 577-581.</w:t>
      </w:r>
    </w:p>
    <w:p w14:paraId="23EA7595"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Epstein, R., “Catastrophic Responses to Catastrophic Risks”, </w:t>
      </w:r>
      <w:r w:rsidRPr="005209D6">
        <w:rPr>
          <w:rFonts w:asciiTheme="majorBidi" w:hAnsiTheme="majorBidi" w:cstheme="majorBidi"/>
          <w:i/>
          <w:szCs w:val="22"/>
        </w:rPr>
        <w:t>Journal of Risk and Uncertainty</w:t>
      </w:r>
      <w:r w:rsidRPr="005209D6">
        <w:rPr>
          <w:rFonts w:asciiTheme="majorBidi" w:hAnsiTheme="majorBidi" w:cstheme="majorBidi"/>
          <w:szCs w:val="22"/>
        </w:rPr>
        <w:t>, 1996, Vol. 12, 287-308.</w:t>
      </w:r>
    </w:p>
    <w:p w14:paraId="74AD909E"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Faure, M.G., “Economic Criteria for Compulsory Insurance”, </w:t>
      </w:r>
      <w:r w:rsidRPr="005209D6">
        <w:rPr>
          <w:rFonts w:asciiTheme="majorBidi" w:hAnsiTheme="majorBidi" w:cstheme="majorBidi"/>
          <w:i/>
          <w:szCs w:val="22"/>
        </w:rPr>
        <w:t>The Geneva Papers on Risk and Insurance</w:t>
      </w:r>
      <w:r w:rsidRPr="005209D6">
        <w:rPr>
          <w:rFonts w:asciiTheme="majorBidi" w:hAnsiTheme="majorBidi" w:cstheme="majorBidi"/>
          <w:szCs w:val="22"/>
        </w:rPr>
        <w:t>, 2006, Vol. 31, 149-168.</w:t>
      </w:r>
    </w:p>
    <w:p w14:paraId="41920625"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Faure, M.G., “Financial Compensation for Victims of Catastrophes: A Law and Economics Perspective”, </w:t>
      </w:r>
      <w:r w:rsidRPr="005209D6">
        <w:rPr>
          <w:rFonts w:asciiTheme="majorBidi" w:hAnsiTheme="majorBidi" w:cstheme="majorBidi"/>
          <w:i/>
          <w:szCs w:val="22"/>
        </w:rPr>
        <w:t>Law &amp; Policy</w:t>
      </w:r>
      <w:r w:rsidRPr="005209D6">
        <w:rPr>
          <w:rFonts w:asciiTheme="majorBidi" w:hAnsiTheme="majorBidi" w:cstheme="majorBidi"/>
          <w:szCs w:val="22"/>
        </w:rPr>
        <w:t>, 2007, Vol. 29(3), 339-367.</w:t>
      </w:r>
    </w:p>
    <w:p w14:paraId="1A027FF4" w14:textId="77777777" w:rsidR="006F45CF" w:rsidRPr="005209D6" w:rsidRDefault="006F45CF" w:rsidP="005209D6">
      <w:pPr>
        <w:spacing w:after="120"/>
        <w:rPr>
          <w:rFonts w:asciiTheme="majorBidi" w:hAnsiTheme="majorBidi" w:cstheme="majorBidi"/>
          <w:szCs w:val="22"/>
        </w:rPr>
      </w:pPr>
      <w:r w:rsidRPr="005209D6">
        <w:rPr>
          <w:rFonts w:asciiTheme="majorBidi" w:eastAsia="Arial Unicode MS" w:hAnsiTheme="majorBidi" w:cstheme="majorBidi"/>
          <w:szCs w:val="22"/>
        </w:rPr>
        <w:t xml:space="preserve">Faure, M.G., “In the Aftermath of the Disaster: Liability and Compensation Mechanisms as Tools to Reduce Disaster Risks”, </w:t>
      </w:r>
      <w:r w:rsidRPr="005209D6">
        <w:rPr>
          <w:rFonts w:asciiTheme="majorBidi" w:eastAsia="Arial Unicode MS" w:hAnsiTheme="majorBidi" w:cstheme="majorBidi"/>
          <w:i/>
          <w:szCs w:val="22"/>
        </w:rPr>
        <w:t>Stanford Journal of International Law</w:t>
      </w:r>
      <w:r w:rsidRPr="005209D6">
        <w:rPr>
          <w:rFonts w:asciiTheme="majorBidi" w:eastAsia="Arial Unicode MS" w:hAnsiTheme="majorBidi" w:cstheme="majorBidi"/>
          <w:szCs w:val="22"/>
        </w:rPr>
        <w:t>, 2016, Vol. 52(1), 95-178.</w:t>
      </w:r>
    </w:p>
    <w:p w14:paraId="6CF36431"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Faure, M. (ed.), </w:t>
      </w:r>
      <w:r w:rsidRPr="005209D6">
        <w:rPr>
          <w:rFonts w:asciiTheme="majorBidi" w:hAnsiTheme="majorBidi" w:cstheme="majorBidi"/>
          <w:i/>
          <w:szCs w:val="22"/>
        </w:rPr>
        <w:t>Civil Liability and Financial Security for Offshore Oil and Gas Activities</w:t>
      </w:r>
      <w:r w:rsidRPr="005209D6">
        <w:rPr>
          <w:rFonts w:asciiTheme="majorBidi" w:hAnsiTheme="majorBidi" w:cstheme="majorBidi"/>
          <w:szCs w:val="22"/>
        </w:rPr>
        <w:t>, Cambridge, Cambridge University Press, 2017.</w:t>
      </w:r>
    </w:p>
    <w:p w14:paraId="5057A09D"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Faure, M.G. &amp; </w:t>
      </w:r>
      <w:proofErr w:type="spellStart"/>
      <w:r w:rsidRPr="005209D6">
        <w:rPr>
          <w:rFonts w:asciiTheme="majorBidi" w:hAnsiTheme="majorBidi" w:cstheme="majorBidi"/>
          <w:szCs w:val="22"/>
        </w:rPr>
        <w:t>Hartlief</w:t>
      </w:r>
      <w:proofErr w:type="spellEnd"/>
      <w:r w:rsidRPr="005209D6">
        <w:rPr>
          <w:rFonts w:asciiTheme="majorBidi" w:hAnsiTheme="majorBidi" w:cstheme="majorBidi"/>
          <w:szCs w:val="22"/>
        </w:rPr>
        <w:t xml:space="preserve">, T., “Compensation Funds versus Liability and Insurance for Remedying Environmental Damage”, </w:t>
      </w:r>
      <w:r w:rsidRPr="005209D6">
        <w:rPr>
          <w:rFonts w:asciiTheme="majorBidi" w:hAnsiTheme="majorBidi" w:cstheme="majorBidi"/>
          <w:i/>
          <w:szCs w:val="22"/>
        </w:rPr>
        <w:t>Review of European Community and International Environmental Law</w:t>
      </w:r>
      <w:r w:rsidRPr="005209D6">
        <w:rPr>
          <w:rFonts w:asciiTheme="majorBidi" w:hAnsiTheme="majorBidi" w:cstheme="majorBidi"/>
          <w:szCs w:val="22"/>
        </w:rPr>
        <w:t>, 1996, 321-326.</w:t>
      </w:r>
    </w:p>
    <w:p w14:paraId="4CB987C4"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Faure, M.G. &amp; </w:t>
      </w:r>
      <w:proofErr w:type="spellStart"/>
      <w:r w:rsidRPr="005209D6">
        <w:rPr>
          <w:rFonts w:asciiTheme="majorBidi" w:hAnsiTheme="majorBidi" w:cstheme="majorBidi"/>
          <w:szCs w:val="22"/>
        </w:rPr>
        <w:t>Hartlief</w:t>
      </w:r>
      <w:proofErr w:type="spellEnd"/>
      <w:r w:rsidRPr="005209D6">
        <w:rPr>
          <w:rFonts w:asciiTheme="majorBidi" w:hAnsiTheme="majorBidi" w:cstheme="majorBidi"/>
          <w:szCs w:val="22"/>
        </w:rPr>
        <w:t xml:space="preserve">, T., </w:t>
      </w:r>
      <w:r w:rsidRPr="005209D6">
        <w:rPr>
          <w:rFonts w:asciiTheme="majorBidi" w:hAnsiTheme="majorBidi" w:cstheme="majorBidi"/>
          <w:i/>
          <w:szCs w:val="22"/>
        </w:rPr>
        <w:t>Insurance and Expanding Systemic Risks</w:t>
      </w:r>
      <w:r w:rsidRPr="005209D6">
        <w:rPr>
          <w:rFonts w:asciiTheme="majorBidi" w:hAnsiTheme="majorBidi" w:cstheme="majorBidi"/>
          <w:szCs w:val="22"/>
        </w:rPr>
        <w:t>, Paris, OECD, 2003.</w:t>
      </w:r>
    </w:p>
    <w:p w14:paraId="049A5727"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lastRenderedPageBreak/>
        <w:t xml:space="preserve">Faure, M. &amp; Partain, R., </w:t>
      </w:r>
      <w:r w:rsidRPr="005209D6">
        <w:rPr>
          <w:rFonts w:asciiTheme="majorBidi" w:hAnsiTheme="majorBidi" w:cstheme="majorBidi"/>
          <w:i/>
          <w:szCs w:val="22"/>
        </w:rPr>
        <w:t>Carbon Capture and Storage. Efficient Legal Policies for Risk Governance and Compensation</w:t>
      </w:r>
      <w:r w:rsidRPr="005209D6">
        <w:rPr>
          <w:rFonts w:asciiTheme="majorBidi" w:hAnsiTheme="majorBidi" w:cstheme="majorBidi"/>
          <w:szCs w:val="22"/>
        </w:rPr>
        <w:t>, Cambridge, MIT Press, 2017.</w:t>
      </w:r>
    </w:p>
    <w:p w14:paraId="300E2AB1"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Faure, M.G. &amp; Vanden </w:t>
      </w:r>
      <w:proofErr w:type="spellStart"/>
      <w:r w:rsidRPr="005209D6">
        <w:rPr>
          <w:rFonts w:asciiTheme="majorBidi" w:hAnsiTheme="majorBidi" w:cstheme="majorBidi"/>
          <w:szCs w:val="22"/>
        </w:rPr>
        <w:t>Borre</w:t>
      </w:r>
      <w:proofErr w:type="spellEnd"/>
      <w:r w:rsidRPr="005209D6">
        <w:rPr>
          <w:rFonts w:asciiTheme="majorBidi" w:hAnsiTheme="majorBidi" w:cstheme="majorBidi"/>
          <w:szCs w:val="22"/>
        </w:rPr>
        <w:t xml:space="preserve">, T., “Compensating Nuclear Damage: A Comparative Economic Analysis of the U.S. and International Liability Schemes”, </w:t>
      </w:r>
      <w:r w:rsidRPr="005209D6">
        <w:rPr>
          <w:rFonts w:asciiTheme="majorBidi" w:hAnsiTheme="majorBidi" w:cstheme="majorBidi"/>
          <w:i/>
          <w:szCs w:val="22"/>
        </w:rPr>
        <w:t>William &amp; Mary Environmental Law and Policy Review</w:t>
      </w:r>
      <w:r w:rsidRPr="005209D6">
        <w:rPr>
          <w:rFonts w:asciiTheme="majorBidi" w:hAnsiTheme="majorBidi" w:cstheme="majorBidi"/>
          <w:szCs w:val="22"/>
        </w:rPr>
        <w:t>, 2008, Vol. 33, 219-287.</w:t>
      </w:r>
    </w:p>
    <w:p w14:paraId="2A8892A2"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Faure, M.G. &amp; Wang, H., “Economic Analysis of Compensation for Oil Pollution Damage”, </w:t>
      </w:r>
      <w:r w:rsidRPr="005209D6">
        <w:rPr>
          <w:rFonts w:asciiTheme="majorBidi" w:hAnsiTheme="majorBidi" w:cstheme="majorBidi"/>
          <w:i/>
          <w:szCs w:val="22"/>
        </w:rPr>
        <w:t>Journal of Maritime Law and Commerce</w:t>
      </w:r>
      <w:r w:rsidRPr="005209D6">
        <w:rPr>
          <w:rFonts w:asciiTheme="majorBidi" w:hAnsiTheme="majorBidi" w:cstheme="majorBidi"/>
          <w:szCs w:val="22"/>
        </w:rPr>
        <w:t>, 2006, Vol. 37, 179-217.</w:t>
      </w:r>
    </w:p>
    <w:p w14:paraId="546E0B85"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Faure, M.G. &amp; Wang, H., “Compensating Victims of a European Deepwater Horizon Accident: OPOL Revisited”, </w:t>
      </w:r>
      <w:r w:rsidRPr="005209D6">
        <w:rPr>
          <w:rFonts w:asciiTheme="majorBidi" w:hAnsiTheme="majorBidi" w:cstheme="majorBidi"/>
          <w:i/>
          <w:szCs w:val="22"/>
        </w:rPr>
        <w:t>Marine Policy</w:t>
      </w:r>
      <w:r w:rsidRPr="005209D6">
        <w:rPr>
          <w:rFonts w:asciiTheme="majorBidi" w:hAnsiTheme="majorBidi" w:cstheme="majorBidi"/>
          <w:szCs w:val="22"/>
        </w:rPr>
        <w:t>, 2015, Vol. 62, 25-36.</w:t>
      </w:r>
    </w:p>
    <w:p w14:paraId="1CBCCFC6" w14:textId="77777777" w:rsidR="006F45CF" w:rsidRPr="005209D6" w:rsidRDefault="006F45CF" w:rsidP="005209D6">
      <w:pPr>
        <w:spacing w:after="120"/>
        <w:rPr>
          <w:rFonts w:asciiTheme="majorBidi" w:eastAsia="Arial Unicode MS" w:hAnsiTheme="majorBidi" w:cstheme="majorBidi"/>
          <w:szCs w:val="22"/>
        </w:rPr>
      </w:pPr>
      <w:r w:rsidRPr="005209D6">
        <w:rPr>
          <w:rFonts w:asciiTheme="majorBidi" w:eastAsia="Arial Unicode MS" w:hAnsiTheme="majorBidi" w:cstheme="majorBidi"/>
          <w:szCs w:val="22"/>
        </w:rPr>
        <w:t xml:space="preserve">Faure, M.G. &amp; Wang, H., “The Use of Financial Market Instruments to Cover Liability Following a Major Offshore Accident”, in Faure, M.G. (ed.), </w:t>
      </w:r>
      <w:r w:rsidRPr="005209D6">
        <w:rPr>
          <w:rFonts w:asciiTheme="majorBidi" w:eastAsia="Arial Unicode MS" w:hAnsiTheme="majorBidi" w:cstheme="majorBidi"/>
          <w:i/>
          <w:szCs w:val="22"/>
        </w:rPr>
        <w:t>Civil Liability and Financial Security for Offshore Oil and Gas Activities</w:t>
      </w:r>
      <w:r w:rsidRPr="005209D6">
        <w:rPr>
          <w:rFonts w:asciiTheme="majorBidi" w:eastAsia="Arial Unicode MS" w:hAnsiTheme="majorBidi" w:cstheme="majorBidi"/>
          <w:szCs w:val="22"/>
        </w:rPr>
        <w:t>, Cambridge, Cambridge University Press, 2017a, 236-265.</w:t>
      </w:r>
    </w:p>
    <w:p w14:paraId="127BAC55" w14:textId="77777777" w:rsidR="006F45CF" w:rsidRPr="005209D6" w:rsidRDefault="006F45CF" w:rsidP="005209D6">
      <w:pPr>
        <w:spacing w:after="120"/>
        <w:rPr>
          <w:rFonts w:asciiTheme="majorBidi" w:eastAsia="Arial Unicode MS" w:hAnsiTheme="majorBidi" w:cstheme="majorBidi"/>
          <w:szCs w:val="22"/>
        </w:rPr>
      </w:pPr>
      <w:r w:rsidRPr="005209D6">
        <w:rPr>
          <w:rFonts w:asciiTheme="majorBidi" w:eastAsia="Arial Unicode MS" w:hAnsiTheme="majorBidi" w:cstheme="majorBidi"/>
          <w:szCs w:val="22"/>
        </w:rPr>
        <w:t xml:space="preserve">Faure, M.G. &amp; Wang, H., “Potential of Financial and Insurance Instruments to Cover Liability Following a Major Offshore Accident”, in Faure, M. (ed.), </w:t>
      </w:r>
      <w:r w:rsidRPr="005209D6">
        <w:rPr>
          <w:rFonts w:asciiTheme="majorBidi" w:eastAsia="Arial Unicode MS" w:hAnsiTheme="majorBidi" w:cstheme="majorBidi"/>
          <w:i/>
          <w:szCs w:val="22"/>
        </w:rPr>
        <w:t>Civil Liability and Financial Security for Offshore Oil and Gas Activities</w:t>
      </w:r>
      <w:r w:rsidRPr="005209D6">
        <w:rPr>
          <w:rFonts w:asciiTheme="majorBidi" w:eastAsia="Arial Unicode MS" w:hAnsiTheme="majorBidi" w:cstheme="majorBidi"/>
          <w:szCs w:val="22"/>
        </w:rPr>
        <w:t>, Cambridge, Cambridge University Press, 2017b,266-302.</w:t>
      </w:r>
    </w:p>
    <w:p w14:paraId="2D8F04B5"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Faure, M. &amp; Weber, F., “Potential and Limits of Out-of-Court Rapid Claims Settlement – A Law and Economics Analysis”, </w:t>
      </w:r>
      <w:r w:rsidRPr="005209D6">
        <w:rPr>
          <w:rFonts w:asciiTheme="majorBidi" w:hAnsiTheme="majorBidi" w:cstheme="majorBidi"/>
          <w:i/>
          <w:szCs w:val="22"/>
        </w:rPr>
        <w:t>Journal of Environmental Law</w:t>
      </w:r>
      <w:r w:rsidRPr="005209D6">
        <w:rPr>
          <w:rFonts w:asciiTheme="majorBidi" w:hAnsiTheme="majorBidi" w:cstheme="majorBidi"/>
          <w:szCs w:val="22"/>
        </w:rPr>
        <w:t>, 2015, 1-26.</w:t>
      </w:r>
    </w:p>
    <w:p w14:paraId="62B466B3"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Faure, M.G. &amp; </w:t>
      </w:r>
      <w:proofErr w:type="spellStart"/>
      <w:r w:rsidRPr="005209D6">
        <w:rPr>
          <w:rFonts w:asciiTheme="majorBidi" w:hAnsiTheme="majorBidi" w:cstheme="majorBidi"/>
          <w:szCs w:val="22"/>
        </w:rPr>
        <w:t>Wibisana</w:t>
      </w:r>
      <w:proofErr w:type="spellEnd"/>
      <w:r w:rsidRPr="005209D6">
        <w:rPr>
          <w:rFonts w:asciiTheme="majorBidi" w:hAnsiTheme="majorBidi" w:cstheme="majorBidi"/>
          <w:szCs w:val="22"/>
        </w:rPr>
        <w:t xml:space="preserve">, A., “Liability for Damage Caused by GMOs: An Economic Perspective”, </w:t>
      </w:r>
      <w:r w:rsidRPr="005209D6">
        <w:rPr>
          <w:rFonts w:asciiTheme="majorBidi" w:hAnsiTheme="majorBidi" w:cstheme="majorBidi"/>
          <w:i/>
          <w:iCs/>
          <w:szCs w:val="22"/>
        </w:rPr>
        <w:t>The Georgetown International Environmental Law Review</w:t>
      </w:r>
      <w:r w:rsidRPr="005209D6">
        <w:rPr>
          <w:rFonts w:asciiTheme="majorBidi" w:hAnsiTheme="majorBidi" w:cstheme="majorBidi"/>
          <w:szCs w:val="22"/>
        </w:rPr>
        <w:t xml:space="preserve">, 2010, Vol. </w:t>
      </w:r>
      <w:proofErr w:type="gramStart"/>
      <w:r w:rsidRPr="005209D6">
        <w:rPr>
          <w:rFonts w:asciiTheme="majorBidi" w:hAnsiTheme="majorBidi" w:cstheme="majorBidi"/>
          <w:szCs w:val="22"/>
        </w:rPr>
        <w:t>XXIII(</w:t>
      </w:r>
      <w:proofErr w:type="gramEnd"/>
      <w:r w:rsidRPr="005209D6">
        <w:rPr>
          <w:rFonts w:asciiTheme="majorBidi" w:hAnsiTheme="majorBidi" w:cstheme="majorBidi"/>
          <w:szCs w:val="22"/>
        </w:rPr>
        <w:t>1), 1-69.</w:t>
      </w:r>
    </w:p>
    <w:p w14:paraId="3DD4BDCA" w14:textId="77777777" w:rsidR="006F45CF" w:rsidRPr="005209D6" w:rsidRDefault="006F45CF" w:rsidP="005209D6">
      <w:pPr>
        <w:spacing w:after="120"/>
        <w:rPr>
          <w:rFonts w:asciiTheme="majorBidi" w:eastAsia="Arial Unicode MS" w:hAnsiTheme="majorBidi" w:cstheme="majorBidi"/>
          <w:szCs w:val="22"/>
        </w:rPr>
      </w:pPr>
      <w:r w:rsidRPr="005209D6">
        <w:rPr>
          <w:rFonts w:asciiTheme="majorBidi" w:eastAsia="Arial Unicode MS" w:hAnsiTheme="majorBidi" w:cstheme="majorBidi"/>
          <w:szCs w:val="22"/>
        </w:rPr>
        <w:t xml:space="preserve">Faure, M.G., Liu, J. &amp; </w:t>
      </w:r>
      <w:proofErr w:type="spellStart"/>
      <w:r w:rsidRPr="005209D6">
        <w:rPr>
          <w:rFonts w:asciiTheme="majorBidi" w:eastAsia="Arial Unicode MS" w:hAnsiTheme="majorBidi" w:cstheme="majorBidi"/>
          <w:szCs w:val="22"/>
        </w:rPr>
        <w:t>Philipsen</w:t>
      </w:r>
      <w:proofErr w:type="spellEnd"/>
      <w:r w:rsidRPr="005209D6">
        <w:rPr>
          <w:rFonts w:asciiTheme="majorBidi" w:eastAsia="Arial Unicode MS" w:hAnsiTheme="majorBidi" w:cstheme="majorBidi"/>
          <w:szCs w:val="22"/>
        </w:rPr>
        <w:t xml:space="preserve">, N., “Liability for Terrorism-Related Risks under International Law”, in </w:t>
      </w:r>
      <w:proofErr w:type="spellStart"/>
      <w:r w:rsidRPr="005209D6">
        <w:rPr>
          <w:rFonts w:asciiTheme="majorBidi" w:eastAsia="Arial Unicode MS" w:hAnsiTheme="majorBidi" w:cstheme="majorBidi"/>
          <w:szCs w:val="22"/>
        </w:rPr>
        <w:t>Bergkamp</w:t>
      </w:r>
      <w:proofErr w:type="spellEnd"/>
      <w:r w:rsidRPr="005209D6">
        <w:rPr>
          <w:rFonts w:asciiTheme="majorBidi" w:eastAsia="Arial Unicode MS" w:hAnsiTheme="majorBidi" w:cstheme="majorBidi"/>
          <w:szCs w:val="22"/>
        </w:rPr>
        <w:t xml:space="preserve">, L., Faure, M.G., </w:t>
      </w:r>
      <w:proofErr w:type="spellStart"/>
      <w:r w:rsidRPr="005209D6">
        <w:rPr>
          <w:rFonts w:asciiTheme="majorBidi" w:eastAsia="Arial Unicode MS" w:hAnsiTheme="majorBidi" w:cstheme="majorBidi"/>
          <w:szCs w:val="22"/>
        </w:rPr>
        <w:t>Hinteregger</w:t>
      </w:r>
      <w:proofErr w:type="spellEnd"/>
      <w:r w:rsidRPr="005209D6">
        <w:rPr>
          <w:rFonts w:asciiTheme="majorBidi" w:eastAsia="Arial Unicode MS" w:hAnsiTheme="majorBidi" w:cstheme="majorBidi"/>
          <w:szCs w:val="22"/>
        </w:rPr>
        <w:t xml:space="preserve">, M. &amp; </w:t>
      </w:r>
      <w:proofErr w:type="spellStart"/>
      <w:r w:rsidRPr="005209D6">
        <w:rPr>
          <w:rFonts w:asciiTheme="majorBidi" w:eastAsia="Arial Unicode MS" w:hAnsiTheme="majorBidi" w:cstheme="majorBidi"/>
          <w:szCs w:val="22"/>
        </w:rPr>
        <w:t>Philipsen</w:t>
      </w:r>
      <w:proofErr w:type="spellEnd"/>
      <w:r w:rsidRPr="005209D6">
        <w:rPr>
          <w:rFonts w:asciiTheme="majorBidi" w:eastAsia="Arial Unicode MS" w:hAnsiTheme="majorBidi" w:cstheme="majorBidi"/>
          <w:szCs w:val="22"/>
        </w:rPr>
        <w:t xml:space="preserve">, N. (eds.), </w:t>
      </w:r>
      <w:r w:rsidRPr="005209D6">
        <w:rPr>
          <w:rFonts w:asciiTheme="majorBidi" w:eastAsia="Arial Unicode MS" w:hAnsiTheme="majorBidi" w:cstheme="majorBidi"/>
          <w:i/>
          <w:szCs w:val="22"/>
        </w:rPr>
        <w:t>Civil Liability in Europe for Terrorism-Related Risk</w:t>
      </w:r>
      <w:r w:rsidRPr="005209D6">
        <w:rPr>
          <w:rFonts w:asciiTheme="majorBidi" w:eastAsia="Arial Unicode MS" w:hAnsiTheme="majorBidi" w:cstheme="majorBidi"/>
          <w:szCs w:val="22"/>
        </w:rPr>
        <w:t>, Cambridge, Cambridge University Press, 2015, 11-55.</w:t>
      </w:r>
    </w:p>
    <w:p w14:paraId="2581C347"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Feinberg, K.R., </w:t>
      </w:r>
      <w:r w:rsidRPr="005209D6">
        <w:rPr>
          <w:rFonts w:asciiTheme="majorBidi" w:hAnsiTheme="majorBidi" w:cstheme="majorBidi"/>
          <w:i/>
          <w:szCs w:val="22"/>
        </w:rPr>
        <w:t xml:space="preserve">Who </w:t>
      </w:r>
      <w:proofErr w:type="spellStart"/>
      <w:r w:rsidRPr="005209D6">
        <w:rPr>
          <w:rFonts w:asciiTheme="majorBidi" w:hAnsiTheme="majorBidi" w:cstheme="majorBidi"/>
          <w:i/>
          <w:szCs w:val="22"/>
        </w:rPr>
        <w:t>Get’s</w:t>
      </w:r>
      <w:proofErr w:type="spellEnd"/>
      <w:r w:rsidRPr="005209D6">
        <w:rPr>
          <w:rFonts w:asciiTheme="majorBidi" w:hAnsiTheme="majorBidi" w:cstheme="majorBidi"/>
          <w:i/>
          <w:szCs w:val="22"/>
        </w:rPr>
        <w:t xml:space="preserve"> What? Fair Compensation after Tragedy and Financial Upheaval</w:t>
      </w:r>
      <w:r w:rsidRPr="005209D6">
        <w:rPr>
          <w:rFonts w:asciiTheme="majorBidi" w:hAnsiTheme="majorBidi" w:cstheme="majorBidi"/>
          <w:szCs w:val="22"/>
        </w:rPr>
        <w:t>, New York, Public Affairs, 2012.</w:t>
      </w:r>
    </w:p>
    <w:p w14:paraId="7E2D4CE9" w14:textId="77777777" w:rsidR="006F45CF" w:rsidRPr="005209D6" w:rsidRDefault="006F45CF" w:rsidP="005209D6">
      <w:pPr>
        <w:spacing w:after="120"/>
        <w:rPr>
          <w:rFonts w:asciiTheme="majorBidi" w:eastAsia="Arial Unicode MS" w:hAnsiTheme="majorBidi" w:cstheme="majorBidi"/>
          <w:szCs w:val="22"/>
        </w:rPr>
      </w:pPr>
      <w:r w:rsidRPr="005209D6">
        <w:rPr>
          <w:rFonts w:asciiTheme="majorBidi" w:eastAsia="Arial Unicode MS" w:hAnsiTheme="majorBidi" w:cstheme="majorBidi"/>
          <w:szCs w:val="22"/>
        </w:rPr>
        <w:t xml:space="preserve">Grossmann, S. &amp; Faure, M.G., “Conditions for Effective Risk Sharing against Marine Pollution: The Case of the Ria de Vigo”, </w:t>
      </w:r>
      <w:r w:rsidRPr="005209D6">
        <w:rPr>
          <w:rFonts w:asciiTheme="majorBidi" w:eastAsia="Arial Unicode MS" w:hAnsiTheme="majorBidi" w:cstheme="majorBidi"/>
          <w:i/>
          <w:szCs w:val="22"/>
        </w:rPr>
        <w:t>Environmental Liability</w:t>
      </w:r>
      <w:r w:rsidRPr="005209D6">
        <w:rPr>
          <w:rFonts w:asciiTheme="majorBidi" w:eastAsia="Arial Unicode MS" w:hAnsiTheme="majorBidi" w:cstheme="majorBidi"/>
          <w:szCs w:val="22"/>
        </w:rPr>
        <w:t>, 2016, Vol. 24(2), 59-69.</w:t>
      </w:r>
    </w:p>
    <w:p w14:paraId="2AEC89D8" w14:textId="77777777" w:rsidR="006F45CF" w:rsidRPr="005209D6" w:rsidRDefault="006F45CF" w:rsidP="005209D6">
      <w:pPr>
        <w:spacing w:after="120"/>
        <w:rPr>
          <w:rFonts w:asciiTheme="majorBidi" w:eastAsia="Arial Unicode MS" w:hAnsiTheme="majorBidi" w:cstheme="majorBidi"/>
          <w:szCs w:val="22"/>
        </w:rPr>
      </w:pPr>
      <w:proofErr w:type="spellStart"/>
      <w:r w:rsidRPr="005209D6">
        <w:rPr>
          <w:rFonts w:asciiTheme="majorBidi" w:eastAsia="Arial Unicode MS" w:hAnsiTheme="majorBidi" w:cstheme="majorBidi"/>
          <w:szCs w:val="22"/>
        </w:rPr>
        <w:t>Heldt</w:t>
      </w:r>
      <w:proofErr w:type="spellEnd"/>
      <w:r w:rsidRPr="005209D6">
        <w:rPr>
          <w:rFonts w:asciiTheme="majorBidi" w:eastAsia="Arial Unicode MS" w:hAnsiTheme="majorBidi" w:cstheme="majorBidi"/>
          <w:szCs w:val="22"/>
        </w:rPr>
        <w:t xml:space="preserve">, T., </w:t>
      </w:r>
      <w:r w:rsidRPr="005209D6">
        <w:rPr>
          <w:rFonts w:asciiTheme="majorBidi" w:eastAsia="Arial Unicode MS" w:hAnsiTheme="majorBidi" w:cstheme="majorBidi"/>
          <w:i/>
          <w:szCs w:val="22"/>
        </w:rPr>
        <w:t>A European Legal Framework for Nuclear Liability. Rethinking Current Approaches,</w:t>
      </w:r>
      <w:r w:rsidRPr="005209D6">
        <w:rPr>
          <w:rFonts w:asciiTheme="majorBidi" w:eastAsia="Arial Unicode MS" w:hAnsiTheme="majorBidi" w:cstheme="majorBidi"/>
          <w:szCs w:val="22"/>
        </w:rPr>
        <w:t xml:space="preserve"> Antwerp, </w:t>
      </w:r>
      <w:proofErr w:type="spellStart"/>
      <w:r w:rsidRPr="005209D6">
        <w:rPr>
          <w:rFonts w:asciiTheme="majorBidi" w:eastAsia="Arial Unicode MS" w:hAnsiTheme="majorBidi" w:cstheme="majorBidi"/>
          <w:szCs w:val="22"/>
        </w:rPr>
        <w:t>Intersentia</w:t>
      </w:r>
      <w:proofErr w:type="spellEnd"/>
      <w:r w:rsidRPr="005209D6">
        <w:rPr>
          <w:rFonts w:asciiTheme="majorBidi" w:eastAsia="Arial Unicode MS" w:hAnsiTheme="majorBidi" w:cstheme="majorBidi"/>
          <w:szCs w:val="22"/>
        </w:rPr>
        <w:t>, 2015.</w:t>
      </w:r>
    </w:p>
    <w:p w14:paraId="4F70FF68" w14:textId="77777777" w:rsidR="006F45CF" w:rsidRPr="005209D6" w:rsidRDefault="006F45CF" w:rsidP="005209D6">
      <w:pPr>
        <w:spacing w:after="120"/>
        <w:rPr>
          <w:rFonts w:asciiTheme="majorBidi" w:hAnsiTheme="majorBidi" w:cstheme="majorBidi"/>
          <w:szCs w:val="22"/>
          <w:lang w:val="de-DE"/>
        </w:rPr>
      </w:pPr>
      <w:r w:rsidRPr="005209D6">
        <w:rPr>
          <w:rFonts w:asciiTheme="majorBidi" w:eastAsia="Arial Unicode MS" w:hAnsiTheme="majorBidi" w:cstheme="majorBidi"/>
          <w:szCs w:val="22"/>
          <w:lang w:val="de-DE"/>
        </w:rPr>
        <w:t>Hess, U. &amp; Hazell, P., “Innovations and Emerging Trends in Agricultural Insurance”, Deutsche Gesellschaft für Internationale Zusammenarbeit (GIZ) GmbH, 2016.</w:t>
      </w:r>
    </w:p>
    <w:p w14:paraId="3D030DC0"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Hudz</w:t>
      </w:r>
      <w:proofErr w:type="spellEnd"/>
      <w:r w:rsidRPr="005209D6">
        <w:rPr>
          <w:rFonts w:asciiTheme="majorBidi" w:hAnsiTheme="majorBidi" w:cstheme="majorBidi"/>
          <w:szCs w:val="22"/>
        </w:rPr>
        <w:t xml:space="preserve">, H., “The Risk of Transfer of Genes in the Insurance Protection of Agricultural Producers”, </w:t>
      </w:r>
      <w:r w:rsidRPr="005209D6">
        <w:rPr>
          <w:rFonts w:asciiTheme="majorBidi" w:hAnsiTheme="majorBidi" w:cstheme="majorBidi"/>
          <w:i/>
          <w:szCs w:val="22"/>
        </w:rPr>
        <w:t>Baltic Journal of Economic Studies</w:t>
      </w:r>
      <w:r w:rsidRPr="005209D6">
        <w:rPr>
          <w:rFonts w:asciiTheme="majorBidi" w:hAnsiTheme="majorBidi" w:cstheme="majorBidi"/>
          <w:szCs w:val="22"/>
        </w:rPr>
        <w:t>, 2017, Vol. 3(4), 45-52.</w:t>
      </w:r>
    </w:p>
    <w:p w14:paraId="393357D7"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International Biotechnology Forum, Conference Report. Swiss Re Centre for Global Dialogue, 2003, available at: </w:t>
      </w:r>
      <w:hyperlink r:id="rId25" w:tgtFrame="_blank" w:history="1">
        <w:r w:rsidRPr="005209D6">
          <w:rPr>
            <w:rStyle w:val="Hyperlink"/>
            <w:rFonts w:asciiTheme="majorBidi" w:hAnsiTheme="majorBidi" w:cstheme="majorBidi"/>
            <w:sz w:val="22"/>
            <w:szCs w:val="22"/>
          </w:rPr>
          <w:t>https://www.cbd.int/doc/meetings/bs/bswglr-02/information/bswglr-02-inf-07-en.pdf</w:t>
        </w:r>
      </w:hyperlink>
      <w:r w:rsidRPr="005209D6">
        <w:rPr>
          <w:rStyle w:val="Hyperlink"/>
          <w:rFonts w:asciiTheme="majorBidi" w:hAnsiTheme="majorBidi" w:cstheme="majorBidi"/>
          <w:sz w:val="22"/>
          <w:szCs w:val="22"/>
        </w:rPr>
        <w:t>.</w:t>
      </w:r>
    </w:p>
    <w:p w14:paraId="01BDABD3"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James, M., “Genetic </w:t>
      </w:r>
      <w:proofErr w:type="spellStart"/>
      <w:r w:rsidRPr="005209D6">
        <w:rPr>
          <w:rFonts w:asciiTheme="majorBidi" w:hAnsiTheme="majorBidi" w:cstheme="majorBidi"/>
          <w:szCs w:val="22"/>
        </w:rPr>
        <w:t>Engeneering</w:t>
      </w:r>
      <w:proofErr w:type="spellEnd"/>
      <w:r w:rsidRPr="005209D6">
        <w:rPr>
          <w:rFonts w:asciiTheme="majorBidi" w:hAnsiTheme="majorBidi" w:cstheme="majorBidi"/>
          <w:szCs w:val="22"/>
        </w:rPr>
        <w:t xml:space="preserve">: A ‘Potential’ Emerging Coverage Issue?”, </w:t>
      </w:r>
      <w:proofErr w:type="spellStart"/>
      <w:r w:rsidRPr="005209D6">
        <w:rPr>
          <w:rFonts w:asciiTheme="majorBidi" w:hAnsiTheme="majorBidi" w:cstheme="majorBidi"/>
          <w:szCs w:val="22"/>
        </w:rPr>
        <w:t>Feind</w:t>
      </w:r>
      <w:proofErr w:type="spellEnd"/>
      <w:r w:rsidRPr="005209D6">
        <w:rPr>
          <w:rFonts w:asciiTheme="majorBidi" w:hAnsiTheme="majorBidi" w:cstheme="majorBidi"/>
          <w:szCs w:val="22"/>
        </w:rPr>
        <w:t xml:space="preserve"> Law Attorney Writers, </w:t>
      </w:r>
      <w:hyperlink r:id="rId26" w:history="1">
        <w:r w:rsidRPr="005209D6">
          <w:rPr>
            <w:rStyle w:val="Hyperlink"/>
            <w:rFonts w:asciiTheme="majorBidi" w:hAnsiTheme="majorBidi" w:cstheme="majorBidi"/>
            <w:sz w:val="22"/>
            <w:szCs w:val="22"/>
          </w:rPr>
          <w:t>https://lp.feindlaw.com</w:t>
        </w:r>
      </w:hyperlink>
      <w:r w:rsidRPr="005209D6">
        <w:rPr>
          <w:rFonts w:asciiTheme="majorBidi" w:hAnsiTheme="majorBidi" w:cstheme="majorBidi"/>
          <w:szCs w:val="22"/>
        </w:rPr>
        <w:t xml:space="preserve"> (last accessed 18 November 2020).</w:t>
      </w:r>
    </w:p>
    <w:p w14:paraId="64757386"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Jiang, M. &amp; Faure, M.G., “Risk-Sharing in the Context of Fishery Mutual Insurance: Learning from China”, </w:t>
      </w:r>
      <w:r w:rsidRPr="005209D6">
        <w:rPr>
          <w:rFonts w:asciiTheme="majorBidi" w:hAnsiTheme="majorBidi" w:cstheme="majorBidi"/>
          <w:i/>
          <w:szCs w:val="22"/>
        </w:rPr>
        <w:t>Marine Policy</w:t>
      </w:r>
      <w:r w:rsidRPr="005209D6">
        <w:rPr>
          <w:rFonts w:asciiTheme="majorBidi" w:hAnsiTheme="majorBidi" w:cstheme="majorBidi"/>
          <w:szCs w:val="22"/>
        </w:rPr>
        <w:t>, 2020.</w:t>
      </w:r>
    </w:p>
    <w:p w14:paraId="08DDCC87"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Joshi, A. &amp; Chatterjee, P., “Wading through the Pool: Will the India Nuclear Insurance Pool be an Effective Risk Transfer and Management Mechanism?”, in Rajesh Babu, R., Ram Mohan, M.P. &amp; </w:t>
      </w:r>
      <w:proofErr w:type="spellStart"/>
      <w:r w:rsidRPr="005209D6">
        <w:rPr>
          <w:rFonts w:asciiTheme="majorBidi" w:hAnsiTheme="majorBidi" w:cstheme="majorBidi"/>
          <w:szCs w:val="22"/>
        </w:rPr>
        <w:t>Reynaers</w:t>
      </w:r>
      <w:proofErr w:type="spellEnd"/>
      <w:r w:rsidRPr="005209D6">
        <w:rPr>
          <w:rFonts w:asciiTheme="majorBidi" w:hAnsiTheme="majorBidi" w:cstheme="majorBidi"/>
          <w:szCs w:val="22"/>
        </w:rPr>
        <w:t xml:space="preserve"> </w:t>
      </w:r>
      <w:proofErr w:type="spellStart"/>
      <w:r w:rsidRPr="005209D6">
        <w:rPr>
          <w:rFonts w:asciiTheme="majorBidi" w:hAnsiTheme="majorBidi" w:cstheme="majorBidi"/>
          <w:szCs w:val="22"/>
        </w:rPr>
        <w:t>Kini</w:t>
      </w:r>
      <w:proofErr w:type="spellEnd"/>
      <w:r w:rsidRPr="005209D6">
        <w:rPr>
          <w:rFonts w:asciiTheme="majorBidi" w:hAnsiTheme="majorBidi" w:cstheme="majorBidi"/>
          <w:szCs w:val="22"/>
        </w:rPr>
        <w:t xml:space="preserve">, E. (eds.), </w:t>
      </w:r>
      <w:r w:rsidRPr="005209D6">
        <w:rPr>
          <w:rFonts w:asciiTheme="majorBidi" w:hAnsiTheme="majorBidi" w:cstheme="majorBidi"/>
          <w:i/>
          <w:szCs w:val="22"/>
        </w:rPr>
        <w:t>XXII Nuclear Inter Jura Congress. The Future of Nuclear Law: Addressing Societal Environmental and Business Expectations</w:t>
      </w:r>
      <w:r w:rsidRPr="005209D6">
        <w:rPr>
          <w:rFonts w:asciiTheme="majorBidi" w:hAnsiTheme="majorBidi" w:cstheme="majorBidi"/>
          <w:szCs w:val="22"/>
        </w:rPr>
        <w:t>, New Delhi, India Nuclear Law Association (INLA), 2016, 33-47.</w:t>
      </w:r>
    </w:p>
    <w:p w14:paraId="3FFC104A"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lastRenderedPageBreak/>
        <w:t>Jost</w:t>
      </w:r>
      <w:proofErr w:type="spellEnd"/>
      <w:r w:rsidRPr="005209D6">
        <w:rPr>
          <w:rFonts w:asciiTheme="majorBidi" w:hAnsiTheme="majorBidi" w:cstheme="majorBidi"/>
          <w:szCs w:val="22"/>
        </w:rPr>
        <w:t xml:space="preserve">, P.J., “Limited Liability and the Requirement to Purchase Insurance”, </w:t>
      </w:r>
      <w:r w:rsidRPr="005209D6">
        <w:rPr>
          <w:rFonts w:asciiTheme="majorBidi" w:hAnsiTheme="majorBidi" w:cstheme="majorBidi"/>
          <w:i/>
          <w:szCs w:val="22"/>
        </w:rPr>
        <w:t>International Review of Law and Economics</w:t>
      </w:r>
      <w:r w:rsidRPr="005209D6">
        <w:rPr>
          <w:rFonts w:asciiTheme="majorBidi" w:hAnsiTheme="majorBidi" w:cstheme="majorBidi"/>
          <w:szCs w:val="22"/>
        </w:rPr>
        <w:t>, 1996, Vol. 16(2), 259-276.</w:t>
      </w:r>
    </w:p>
    <w:p w14:paraId="4409B808"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Jungcurt</w:t>
      </w:r>
      <w:proofErr w:type="spellEnd"/>
      <w:r w:rsidRPr="005209D6">
        <w:rPr>
          <w:rFonts w:asciiTheme="majorBidi" w:hAnsiTheme="majorBidi" w:cstheme="majorBidi"/>
          <w:szCs w:val="22"/>
        </w:rPr>
        <w:t xml:space="preserve">, S. &amp; </w:t>
      </w:r>
      <w:proofErr w:type="spellStart"/>
      <w:r w:rsidRPr="005209D6">
        <w:rPr>
          <w:rFonts w:asciiTheme="majorBidi" w:hAnsiTheme="majorBidi" w:cstheme="majorBidi"/>
          <w:szCs w:val="22"/>
        </w:rPr>
        <w:t>Schabus</w:t>
      </w:r>
      <w:proofErr w:type="spellEnd"/>
      <w:r w:rsidRPr="005209D6">
        <w:rPr>
          <w:rFonts w:asciiTheme="majorBidi" w:hAnsiTheme="majorBidi" w:cstheme="majorBidi"/>
          <w:szCs w:val="22"/>
        </w:rPr>
        <w:t xml:space="preserve">, N., “Liability and Redress in the Context of the Cartagena Protocol on Biosafety”, </w:t>
      </w:r>
      <w:r w:rsidRPr="005209D6">
        <w:rPr>
          <w:rFonts w:asciiTheme="majorBidi" w:hAnsiTheme="majorBidi" w:cstheme="majorBidi"/>
          <w:i/>
          <w:szCs w:val="22"/>
        </w:rPr>
        <w:t>RECIEL</w:t>
      </w:r>
      <w:r w:rsidRPr="005209D6">
        <w:rPr>
          <w:rFonts w:asciiTheme="majorBidi" w:hAnsiTheme="majorBidi" w:cstheme="majorBidi"/>
          <w:szCs w:val="22"/>
        </w:rPr>
        <w:t>, 2010, Vol. 19(2), 197-206.</w:t>
      </w:r>
    </w:p>
    <w:p w14:paraId="43E5D9E1"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color w:val="212121"/>
          <w:szCs w:val="22"/>
          <w:shd w:val="clear" w:color="auto" w:fill="FFFFFF"/>
        </w:rPr>
        <w:t>Karky</w:t>
      </w:r>
      <w:proofErr w:type="spellEnd"/>
      <w:r w:rsidRPr="005209D6">
        <w:rPr>
          <w:rFonts w:asciiTheme="majorBidi" w:hAnsiTheme="majorBidi" w:cstheme="majorBidi"/>
          <w:color w:val="212121"/>
          <w:szCs w:val="22"/>
          <w:shd w:val="clear" w:color="auto" w:fill="FFFFFF"/>
        </w:rPr>
        <w:t>, R.B., &amp; Perry, M., “</w:t>
      </w:r>
      <w:proofErr w:type="spellStart"/>
      <w:r w:rsidRPr="005209D6">
        <w:rPr>
          <w:rFonts w:asciiTheme="majorBidi" w:hAnsiTheme="majorBidi" w:cstheme="majorBidi"/>
          <w:color w:val="212121"/>
          <w:szCs w:val="22"/>
          <w:shd w:val="clear" w:color="auto" w:fill="FFFFFF"/>
        </w:rPr>
        <w:t>Disharmonization</w:t>
      </w:r>
      <w:proofErr w:type="spellEnd"/>
      <w:r w:rsidRPr="005209D6">
        <w:rPr>
          <w:rFonts w:asciiTheme="majorBidi" w:hAnsiTheme="majorBidi" w:cstheme="majorBidi"/>
          <w:color w:val="212121"/>
          <w:szCs w:val="22"/>
          <w:shd w:val="clear" w:color="auto" w:fill="FFFFFF"/>
        </w:rPr>
        <w:t xml:space="preserve"> in the Regulation of Transgenic Plants in Europe”, </w:t>
      </w:r>
      <w:r w:rsidRPr="005209D6">
        <w:rPr>
          <w:rFonts w:asciiTheme="majorBidi" w:hAnsiTheme="majorBidi" w:cstheme="majorBidi"/>
          <w:i/>
          <w:color w:val="212121"/>
          <w:szCs w:val="22"/>
          <w:shd w:val="clear" w:color="auto" w:fill="FFFFFF"/>
        </w:rPr>
        <w:t>Biotechnology Law Report</w:t>
      </w:r>
      <w:r w:rsidRPr="005209D6">
        <w:rPr>
          <w:rFonts w:asciiTheme="majorBidi" w:hAnsiTheme="majorBidi" w:cstheme="majorBidi"/>
          <w:color w:val="212121"/>
          <w:szCs w:val="22"/>
          <w:shd w:val="clear" w:color="auto" w:fill="FFFFFF"/>
        </w:rPr>
        <w:t>, 2019, Vol. 38(6), 350-375.</w:t>
      </w:r>
    </w:p>
    <w:p w14:paraId="63E477CF"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Katzman, M., “Pollution Liability Insurance and Catastrophic Environmental Risk”, </w:t>
      </w:r>
      <w:r w:rsidRPr="005209D6">
        <w:rPr>
          <w:rFonts w:asciiTheme="majorBidi" w:hAnsiTheme="majorBidi" w:cstheme="majorBidi"/>
          <w:i/>
          <w:szCs w:val="22"/>
        </w:rPr>
        <w:t>Journal of Risk and Insurance</w:t>
      </w:r>
      <w:r w:rsidRPr="005209D6">
        <w:rPr>
          <w:rFonts w:asciiTheme="majorBidi" w:hAnsiTheme="majorBidi" w:cstheme="majorBidi"/>
          <w:szCs w:val="22"/>
        </w:rPr>
        <w:t>, 1988, 75-100.</w:t>
      </w:r>
    </w:p>
    <w:p w14:paraId="4ED52FB1"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Kingma</w:t>
      </w:r>
      <w:proofErr w:type="spellEnd"/>
      <w:r w:rsidRPr="005209D6">
        <w:rPr>
          <w:rFonts w:asciiTheme="majorBidi" w:hAnsiTheme="majorBidi" w:cstheme="majorBidi"/>
          <w:szCs w:val="22"/>
        </w:rPr>
        <w:t>, J., “Agricultural Insurance in Developing Countries: An Introduction and a Case Study in Tamil Nadu, India”, 2007.</w:t>
      </w:r>
    </w:p>
    <w:p w14:paraId="63937DED"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Knight, F.H., </w:t>
      </w:r>
      <w:r w:rsidRPr="005209D6">
        <w:rPr>
          <w:rFonts w:asciiTheme="majorBidi" w:hAnsiTheme="majorBidi" w:cstheme="majorBidi"/>
          <w:i/>
          <w:szCs w:val="22"/>
        </w:rPr>
        <w:t>Risk, Uncertainty and Profit</w:t>
      </w:r>
      <w:r w:rsidRPr="005209D6">
        <w:rPr>
          <w:rFonts w:asciiTheme="majorBidi" w:hAnsiTheme="majorBidi" w:cstheme="majorBidi"/>
          <w:szCs w:val="22"/>
        </w:rPr>
        <w:t>, Boston, Hart, Schaffner and Marx, 1921.</w:t>
      </w:r>
    </w:p>
    <w:p w14:paraId="2C52EB21"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Koch, B.A., “Comparative Report”, in Koch, B.A. (ed.), </w:t>
      </w:r>
      <w:r w:rsidRPr="005209D6">
        <w:rPr>
          <w:rFonts w:asciiTheme="majorBidi" w:hAnsiTheme="majorBidi" w:cstheme="majorBidi"/>
          <w:i/>
          <w:szCs w:val="22"/>
        </w:rPr>
        <w:t>Economic Loss Caused by Genetically Modified Organisms. Liability and Redress for the Adventitious Presence of GMOs in Non-GM Crops</w:t>
      </w:r>
      <w:r w:rsidRPr="005209D6">
        <w:rPr>
          <w:rFonts w:asciiTheme="majorBidi" w:hAnsiTheme="majorBidi" w:cstheme="majorBidi"/>
          <w:szCs w:val="22"/>
        </w:rPr>
        <w:t>, Vienna, Springer, 2008, 585-651.</w:t>
      </w:r>
    </w:p>
    <w:p w14:paraId="04131866"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Kunreuther</w:t>
      </w:r>
      <w:proofErr w:type="spellEnd"/>
      <w:r w:rsidRPr="005209D6">
        <w:rPr>
          <w:rFonts w:asciiTheme="majorBidi" w:hAnsiTheme="majorBidi" w:cstheme="majorBidi"/>
          <w:szCs w:val="22"/>
        </w:rPr>
        <w:t xml:space="preserve">, H., Hogarth, R. &amp; </w:t>
      </w:r>
      <w:proofErr w:type="spellStart"/>
      <w:r w:rsidRPr="005209D6">
        <w:rPr>
          <w:rFonts w:asciiTheme="majorBidi" w:hAnsiTheme="majorBidi" w:cstheme="majorBidi"/>
          <w:szCs w:val="22"/>
        </w:rPr>
        <w:t>Meszaros</w:t>
      </w:r>
      <w:proofErr w:type="spellEnd"/>
      <w:r w:rsidRPr="005209D6">
        <w:rPr>
          <w:rFonts w:asciiTheme="majorBidi" w:hAnsiTheme="majorBidi" w:cstheme="majorBidi"/>
          <w:szCs w:val="22"/>
        </w:rPr>
        <w:t xml:space="preserve">, J., “Insurer Ambiguity and Market Failure”, </w:t>
      </w:r>
      <w:r w:rsidRPr="005209D6">
        <w:rPr>
          <w:rFonts w:asciiTheme="majorBidi" w:hAnsiTheme="majorBidi" w:cstheme="majorBidi"/>
          <w:i/>
          <w:szCs w:val="22"/>
        </w:rPr>
        <w:t>Journal of Risk and Uncertainty</w:t>
      </w:r>
      <w:r w:rsidRPr="005209D6">
        <w:rPr>
          <w:rFonts w:asciiTheme="majorBidi" w:hAnsiTheme="majorBidi" w:cstheme="majorBidi"/>
          <w:szCs w:val="22"/>
        </w:rPr>
        <w:t>, 1993, 71-87.</w:t>
      </w:r>
    </w:p>
    <w:p w14:paraId="6B9BB880"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Lago </w:t>
      </w:r>
      <w:proofErr w:type="spellStart"/>
      <w:r w:rsidRPr="005209D6">
        <w:rPr>
          <w:rFonts w:asciiTheme="majorBidi" w:hAnsiTheme="majorBidi" w:cstheme="majorBidi"/>
          <w:szCs w:val="22"/>
        </w:rPr>
        <w:t>Candeira</w:t>
      </w:r>
      <w:proofErr w:type="spellEnd"/>
      <w:r w:rsidRPr="005209D6">
        <w:rPr>
          <w:rFonts w:asciiTheme="majorBidi" w:hAnsiTheme="majorBidi" w:cstheme="majorBidi"/>
          <w:szCs w:val="22"/>
        </w:rPr>
        <w:t xml:space="preserve">, A., “Administrative Approach to Liability. It’s Origin, Negotiation and Outcome”, in Shibata, A. (ed.), </w:t>
      </w:r>
      <w:r w:rsidRPr="005209D6">
        <w:rPr>
          <w:rFonts w:asciiTheme="majorBidi" w:hAnsiTheme="majorBidi" w:cstheme="majorBidi"/>
          <w:i/>
          <w:szCs w:val="22"/>
        </w:rPr>
        <w:t>International Liability Regime for Biodiversity Damage. The Nagoya-Kuala Lumpur Supplementary Protocol</w:t>
      </w:r>
      <w:r w:rsidRPr="005209D6">
        <w:rPr>
          <w:rFonts w:asciiTheme="majorBidi" w:hAnsiTheme="majorBidi" w:cstheme="majorBidi"/>
          <w:szCs w:val="22"/>
        </w:rPr>
        <w:t>, London, Routledge, 2016, 92-104.</w:t>
      </w:r>
    </w:p>
    <w:p w14:paraId="5001F039"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Lefeber</w:t>
      </w:r>
      <w:proofErr w:type="spellEnd"/>
      <w:r w:rsidRPr="005209D6">
        <w:rPr>
          <w:rFonts w:asciiTheme="majorBidi" w:hAnsiTheme="majorBidi" w:cstheme="majorBidi"/>
          <w:szCs w:val="22"/>
        </w:rPr>
        <w:t xml:space="preserve">, R., “The Legal Significance of the Supplementary Protocol. The Result of a Paradigm Evolution”, in Shibata, A. (ed.), </w:t>
      </w:r>
      <w:r w:rsidRPr="005209D6">
        <w:rPr>
          <w:rFonts w:asciiTheme="majorBidi" w:hAnsiTheme="majorBidi" w:cstheme="majorBidi"/>
          <w:i/>
          <w:szCs w:val="22"/>
        </w:rPr>
        <w:t>International Liability Regime for Biodiversity Damage. The Nagoya-Kuala Lumpur Supplementary Protocol</w:t>
      </w:r>
      <w:r w:rsidRPr="005209D6">
        <w:rPr>
          <w:rFonts w:asciiTheme="majorBidi" w:hAnsiTheme="majorBidi" w:cstheme="majorBidi"/>
          <w:szCs w:val="22"/>
        </w:rPr>
        <w:t>, London, Routledge, 2014, 73-91.</w:t>
      </w:r>
    </w:p>
    <w:p w14:paraId="75699FEF"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Lefeber</w:t>
      </w:r>
      <w:proofErr w:type="spellEnd"/>
      <w:r w:rsidRPr="005209D6">
        <w:rPr>
          <w:rFonts w:asciiTheme="majorBidi" w:hAnsiTheme="majorBidi" w:cstheme="majorBidi"/>
          <w:szCs w:val="22"/>
        </w:rPr>
        <w:t xml:space="preserve">, R. &amp; Nieto Carrasco, J., “Negotiating the Supplementary Protocol: The Co-Chairs’ Perspective”, in Shibata, A. (ed.), </w:t>
      </w:r>
      <w:r w:rsidRPr="005209D6">
        <w:rPr>
          <w:rFonts w:asciiTheme="majorBidi" w:hAnsiTheme="majorBidi" w:cstheme="majorBidi"/>
          <w:i/>
          <w:szCs w:val="22"/>
        </w:rPr>
        <w:t>International Liability Regime for Biodiversity Damage. The Nagoya-Kuala Lumpur Supplementary Protocol</w:t>
      </w:r>
      <w:r w:rsidRPr="005209D6">
        <w:rPr>
          <w:rFonts w:asciiTheme="majorBidi" w:hAnsiTheme="majorBidi" w:cstheme="majorBidi"/>
          <w:szCs w:val="22"/>
        </w:rPr>
        <w:t>, London, Routledge, 2014, 52-70.</w:t>
      </w:r>
    </w:p>
    <w:p w14:paraId="70297CDF"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Leroy, S. &amp; </w:t>
      </w:r>
      <w:proofErr w:type="spellStart"/>
      <w:r w:rsidRPr="005209D6">
        <w:rPr>
          <w:rFonts w:asciiTheme="majorBidi" w:hAnsiTheme="majorBidi" w:cstheme="majorBidi"/>
          <w:szCs w:val="22"/>
        </w:rPr>
        <w:t>Singell</w:t>
      </w:r>
      <w:proofErr w:type="spellEnd"/>
      <w:r w:rsidRPr="005209D6">
        <w:rPr>
          <w:rFonts w:asciiTheme="majorBidi" w:hAnsiTheme="majorBidi" w:cstheme="majorBidi"/>
          <w:szCs w:val="22"/>
        </w:rPr>
        <w:t xml:space="preserve">, L., “Knight on Risk and Uncertainty”, </w:t>
      </w:r>
      <w:r w:rsidRPr="005209D6">
        <w:rPr>
          <w:rFonts w:asciiTheme="majorBidi" w:hAnsiTheme="majorBidi" w:cstheme="majorBidi"/>
          <w:i/>
          <w:szCs w:val="22"/>
        </w:rPr>
        <w:t>Journal of Political Economy</w:t>
      </w:r>
      <w:r w:rsidRPr="005209D6">
        <w:rPr>
          <w:rFonts w:asciiTheme="majorBidi" w:hAnsiTheme="majorBidi" w:cstheme="majorBidi"/>
          <w:szCs w:val="22"/>
        </w:rPr>
        <w:t>, 1987, Vol. 95(2), 394-406.</w:t>
      </w:r>
    </w:p>
    <w:p w14:paraId="02A86A55"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Lima, R.C.A., “Trade and the Supplementary Protocol. How to Achieve Mutual Supportiveness”, in Shibata, A. (ed.), </w:t>
      </w:r>
      <w:r w:rsidRPr="005209D6">
        <w:rPr>
          <w:rFonts w:asciiTheme="majorBidi" w:hAnsiTheme="majorBidi" w:cstheme="majorBidi"/>
          <w:i/>
          <w:szCs w:val="22"/>
        </w:rPr>
        <w:t>International Liability Regime for Biodiversity Damage. The Nagoya-Kuala Lumpur Supplementary Protocol</w:t>
      </w:r>
      <w:r w:rsidRPr="005209D6">
        <w:rPr>
          <w:rFonts w:asciiTheme="majorBidi" w:hAnsiTheme="majorBidi" w:cstheme="majorBidi"/>
          <w:szCs w:val="22"/>
        </w:rPr>
        <w:t>, London, Routledge, 2014, 131-149.</w:t>
      </w:r>
    </w:p>
    <w:p w14:paraId="1203E0F9"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Liu, J., </w:t>
      </w:r>
      <w:r w:rsidRPr="005209D6">
        <w:rPr>
          <w:rFonts w:asciiTheme="majorBidi" w:hAnsiTheme="majorBidi" w:cstheme="majorBidi"/>
          <w:i/>
          <w:szCs w:val="22"/>
        </w:rPr>
        <w:t>Compensating Ecological Damage. Comparative and Economic Observations</w:t>
      </w:r>
      <w:r w:rsidRPr="005209D6">
        <w:rPr>
          <w:rFonts w:asciiTheme="majorBidi" w:hAnsiTheme="majorBidi" w:cstheme="majorBidi"/>
          <w:szCs w:val="22"/>
        </w:rPr>
        <w:t xml:space="preserve">, Antwerp, </w:t>
      </w:r>
      <w:proofErr w:type="spellStart"/>
      <w:r w:rsidRPr="005209D6">
        <w:rPr>
          <w:rFonts w:asciiTheme="majorBidi" w:hAnsiTheme="majorBidi" w:cstheme="majorBidi"/>
          <w:szCs w:val="22"/>
        </w:rPr>
        <w:t>Intersentia</w:t>
      </w:r>
      <w:proofErr w:type="spellEnd"/>
      <w:r w:rsidRPr="005209D6">
        <w:rPr>
          <w:rFonts w:asciiTheme="majorBidi" w:hAnsiTheme="majorBidi" w:cstheme="majorBidi"/>
          <w:szCs w:val="22"/>
        </w:rPr>
        <w:t>, 2013.</w:t>
      </w:r>
    </w:p>
    <w:p w14:paraId="39DA7CBD"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Liu, A., </w:t>
      </w:r>
      <w:r w:rsidRPr="005209D6">
        <w:rPr>
          <w:rFonts w:asciiTheme="majorBidi" w:hAnsiTheme="majorBidi" w:cstheme="majorBidi"/>
          <w:i/>
          <w:szCs w:val="22"/>
        </w:rPr>
        <w:t>Regulating Genetically Modified Crops in View of Environmental Risks: China’s Implementation of International Obligations</w:t>
      </w:r>
      <w:r w:rsidRPr="005209D6">
        <w:rPr>
          <w:rFonts w:asciiTheme="majorBidi" w:hAnsiTheme="majorBidi" w:cstheme="majorBidi"/>
          <w:szCs w:val="22"/>
        </w:rPr>
        <w:t>, diss. Maastricht University, 2019.</w:t>
      </w:r>
    </w:p>
    <w:p w14:paraId="0DF025B2"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Liu, J. &amp; Faure, M.G., “Risk-Sharing Agreements to Cover Environmental Damage: Theory and Practice”, </w:t>
      </w:r>
      <w:r w:rsidRPr="005209D6">
        <w:rPr>
          <w:rFonts w:asciiTheme="majorBidi" w:hAnsiTheme="majorBidi" w:cstheme="majorBidi"/>
          <w:i/>
          <w:szCs w:val="22"/>
        </w:rPr>
        <w:t>International Environmental Agreements</w:t>
      </w:r>
      <w:r w:rsidRPr="005209D6">
        <w:rPr>
          <w:rFonts w:asciiTheme="majorBidi" w:hAnsiTheme="majorBidi" w:cstheme="majorBidi"/>
          <w:szCs w:val="22"/>
        </w:rPr>
        <w:t>, 2018, Vol. 18, 255-273.</w:t>
      </w:r>
    </w:p>
    <w:p w14:paraId="50E2D8A2"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Liu, J., Faure, M. &amp; Wang, H., “Compensating for Natural Resource Damage Caused by Vessel-Induced Marine Oil Pollution: Comparing the International, U.S. and Chinese Regimes”, </w:t>
      </w:r>
      <w:r w:rsidRPr="005209D6">
        <w:rPr>
          <w:rFonts w:asciiTheme="majorBidi" w:hAnsiTheme="majorBidi" w:cstheme="majorBidi"/>
          <w:i/>
          <w:szCs w:val="22"/>
        </w:rPr>
        <w:t>Journal of Environmental Law and Litigation,</w:t>
      </w:r>
      <w:r w:rsidRPr="005209D6">
        <w:rPr>
          <w:rFonts w:asciiTheme="majorBidi" w:hAnsiTheme="majorBidi" w:cstheme="majorBidi"/>
          <w:szCs w:val="22"/>
        </w:rPr>
        <w:t xml:space="preserve"> 2014, Vol. 29, 101-168.</w:t>
      </w:r>
    </w:p>
    <w:p w14:paraId="299D96D2"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Mackie, C. &amp; </w:t>
      </w:r>
      <w:proofErr w:type="spellStart"/>
      <w:r w:rsidRPr="005209D6">
        <w:rPr>
          <w:rFonts w:asciiTheme="majorBidi" w:hAnsiTheme="majorBidi" w:cstheme="majorBidi"/>
          <w:szCs w:val="22"/>
        </w:rPr>
        <w:t>Besco</w:t>
      </w:r>
      <w:proofErr w:type="spellEnd"/>
      <w:r w:rsidRPr="005209D6">
        <w:rPr>
          <w:rFonts w:asciiTheme="majorBidi" w:hAnsiTheme="majorBidi" w:cstheme="majorBidi"/>
          <w:szCs w:val="22"/>
        </w:rPr>
        <w:t xml:space="preserve">, L., “Rethinking the Function of Financial Assurance for End-of-Life Obligations”, </w:t>
      </w:r>
      <w:r w:rsidRPr="005209D6">
        <w:rPr>
          <w:rFonts w:asciiTheme="majorBidi" w:hAnsiTheme="majorBidi" w:cstheme="majorBidi"/>
          <w:i/>
          <w:szCs w:val="22"/>
        </w:rPr>
        <w:t>Environmental Law Reporter</w:t>
      </w:r>
      <w:r w:rsidRPr="005209D6">
        <w:rPr>
          <w:rFonts w:asciiTheme="majorBidi" w:hAnsiTheme="majorBidi" w:cstheme="majorBidi"/>
          <w:szCs w:val="22"/>
        </w:rPr>
        <w:t>, 2020, Vol. 50(7), 10573-10603.</w:t>
      </w:r>
    </w:p>
    <w:p w14:paraId="1DAFB335"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lastRenderedPageBreak/>
        <w:t xml:space="preserve">Mackie, C. &amp; </w:t>
      </w:r>
      <w:proofErr w:type="spellStart"/>
      <w:r w:rsidRPr="005209D6">
        <w:rPr>
          <w:rFonts w:asciiTheme="majorBidi" w:hAnsiTheme="majorBidi" w:cstheme="majorBidi"/>
          <w:szCs w:val="22"/>
        </w:rPr>
        <w:t>Fogleman</w:t>
      </w:r>
      <w:proofErr w:type="spellEnd"/>
      <w:r w:rsidRPr="005209D6">
        <w:rPr>
          <w:rFonts w:asciiTheme="majorBidi" w:hAnsiTheme="majorBidi" w:cstheme="majorBidi"/>
          <w:szCs w:val="22"/>
        </w:rPr>
        <w:t xml:space="preserve">, V., “Self-Insuring Environmental Liabilities: A Residual Risk-Bearer’s Perspective”, </w:t>
      </w:r>
      <w:r w:rsidRPr="005209D6">
        <w:rPr>
          <w:rFonts w:asciiTheme="majorBidi" w:hAnsiTheme="majorBidi" w:cstheme="majorBidi"/>
          <w:i/>
          <w:szCs w:val="22"/>
        </w:rPr>
        <w:t>Journal of Corporate Law Studies</w:t>
      </w:r>
      <w:r w:rsidRPr="005209D6">
        <w:rPr>
          <w:rFonts w:asciiTheme="majorBidi" w:hAnsiTheme="majorBidi" w:cstheme="majorBidi"/>
          <w:szCs w:val="22"/>
        </w:rPr>
        <w:t>, 2016, Vol. 16, 293-332.</w:t>
      </w:r>
    </w:p>
    <w:p w14:paraId="787AC594"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Malone, J. &amp; Winslow, T., “Financial Assurance: Environmental Protection as a Cost of Doing Business”, </w:t>
      </w:r>
      <w:r w:rsidRPr="005209D6">
        <w:rPr>
          <w:rFonts w:asciiTheme="majorBidi" w:hAnsiTheme="majorBidi" w:cstheme="majorBidi"/>
          <w:i/>
          <w:szCs w:val="22"/>
        </w:rPr>
        <w:t>Notre Dame Law Review</w:t>
      </w:r>
      <w:r w:rsidRPr="005209D6">
        <w:rPr>
          <w:rFonts w:asciiTheme="majorBidi" w:hAnsiTheme="majorBidi" w:cstheme="majorBidi"/>
          <w:szCs w:val="22"/>
        </w:rPr>
        <w:t>, 2018, Vol. 93, 1-56.</w:t>
      </w:r>
    </w:p>
    <w:p w14:paraId="18FAA9FE"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Nijar</w:t>
      </w:r>
      <w:proofErr w:type="spellEnd"/>
      <w:r w:rsidRPr="005209D6">
        <w:rPr>
          <w:rFonts w:asciiTheme="majorBidi" w:hAnsiTheme="majorBidi" w:cstheme="majorBidi"/>
          <w:szCs w:val="22"/>
        </w:rPr>
        <w:t xml:space="preserve">, G.S., </w:t>
      </w:r>
      <w:r w:rsidRPr="005209D6">
        <w:rPr>
          <w:rFonts w:asciiTheme="majorBidi" w:hAnsiTheme="majorBidi" w:cstheme="majorBidi"/>
          <w:i/>
          <w:szCs w:val="22"/>
        </w:rPr>
        <w:t>Liability and Redress under the Cartagena Protocol on Biosafety: A Record of the Negotiations for Developing International Rules</w:t>
      </w:r>
      <w:r w:rsidRPr="005209D6">
        <w:rPr>
          <w:rFonts w:asciiTheme="majorBidi" w:hAnsiTheme="majorBidi" w:cstheme="majorBidi"/>
          <w:szCs w:val="22"/>
        </w:rPr>
        <w:t xml:space="preserve">, Kuala Lumpur, </w:t>
      </w:r>
      <w:proofErr w:type="spellStart"/>
      <w:r w:rsidRPr="005209D6">
        <w:rPr>
          <w:rFonts w:asciiTheme="majorBidi" w:hAnsiTheme="majorBidi" w:cstheme="majorBidi"/>
          <w:szCs w:val="22"/>
        </w:rPr>
        <w:t>Seblaw</w:t>
      </w:r>
      <w:proofErr w:type="spellEnd"/>
      <w:r w:rsidRPr="005209D6">
        <w:rPr>
          <w:rFonts w:asciiTheme="majorBidi" w:hAnsiTheme="majorBidi" w:cstheme="majorBidi"/>
          <w:szCs w:val="22"/>
        </w:rPr>
        <w:t>, 2008.</w:t>
      </w:r>
    </w:p>
    <w:p w14:paraId="6358260D"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Nijar</w:t>
      </w:r>
      <w:proofErr w:type="spellEnd"/>
      <w:r w:rsidRPr="005209D6">
        <w:rPr>
          <w:rFonts w:asciiTheme="majorBidi" w:hAnsiTheme="majorBidi" w:cstheme="majorBidi"/>
          <w:szCs w:val="22"/>
        </w:rPr>
        <w:t xml:space="preserve">, G.S., “The Nagoya-Kuala Lumpur Supplementary Protocol on Liability and Redress to the Cartagena Protocol on Biosafety: An Analysis and Implementation Challenges”, </w:t>
      </w:r>
      <w:r w:rsidRPr="005209D6">
        <w:rPr>
          <w:rFonts w:asciiTheme="majorBidi" w:hAnsiTheme="majorBidi" w:cstheme="majorBidi"/>
          <w:i/>
          <w:szCs w:val="22"/>
        </w:rPr>
        <w:t>International Environmental Agreements</w:t>
      </w:r>
      <w:r w:rsidRPr="005209D6">
        <w:rPr>
          <w:rFonts w:asciiTheme="majorBidi" w:hAnsiTheme="majorBidi" w:cstheme="majorBidi"/>
          <w:szCs w:val="22"/>
        </w:rPr>
        <w:t>, 2013, Vol. 13, 271-290.</w:t>
      </w:r>
    </w:p>
    <w:p w14:paraId="47B8A414"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Paull, J</w:t>
      </w:r>
      <w:r w:rsidRPr="005209D6">
        <w:rPr>
          <w:rFonts w:asciiTheme="majorBidi" w:hAnsiTheme="majorBidi" w:cstheme="majorBidi"/>
          <w:i/>
          <w:szCs w:val="22"/>
        </w:rPr>
        <w:t>., Submission to: Inquiry into mechanisms for compensation for economic loss to farmers in Western Australia caused by contamination by genetically modified material,</w:t>
      </w:r>
      <w:r w:rsidRPr="005209D6">
        <w:rPr>
          <w:rFonts w:asciiTheme="majorBidi" w:hAnsiTheme="majorBidi" w:cstheme="majorBidi"/>
          <w:szCs w:val="22"/>
        </w:rPr>
        <w:t xml:space="preserve"> Perth, Environment and Public Affairs Committee, Parliament of Western Australia, 2018.</w:t>
      </w:r>
    </w:p>
    <w:p w14:paraId="117B6790"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Paull, J., “Contamination of Farms by Genetically Modified Organisms (GMOs): Options for Compensation”, </w:t>
      </w:r>
      <w:r w:rsidRPr="005209D6">
        <w:rPr>
          <w:rFonts w:asciiTheme="majorBidi" w:hAnsiTheme="majorBidi" w:cstheme="majorBidi"/>
          <w:i/>
          <w:szCs w:val="22"/>
        </w:rPr>
        <w:t>Journal of Organics</w:t>
      </w:r>
      <w:r w:rsidRPr="005209D6">
        <w:rPr>
          <w:rFonts w:asciiTheme="majorBidi" w:hAnsiTheme="majorBidi" w:cstheme="majorBidi"/>
          <w:szCs w:val="22"/>
        </w:rPr>
        <w:t>, 2019, Vol. 6(1), 31-46.</w:t>
      </w:r>
    </w:p>
    <w:p w14:paraId="4640C00D"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Polborn</w:t>
      </w:r>
      <w:proofErr w:type="spellEnd"/>
      <w:r w:rsidRPr="005209D6">
        <w:rPr>
          <w:rFonts w:asciiTheme="majorBidi" w:hAnsiTheme="majorBidi" w:cstheme="majorBidi"/>
          <w:szCs w:val="22"/>
        </w:rPr>
        <w:t xml:space="preserve">, M.K., “Mandatory Insurance and the Judgment Proof Problem”, </w:t>
      </w:r>
      <w:r w:rsidRPr="005209D6">
        <w:rPr>
          <w:rFonts w:asciiTheme="majorBidi" w:hAnsiTheme="majorBidi" w:cstheme="majorBidi"/>
          <w:i/>
          <w:szCs w:val="22"/>
        </w:rPr>
        <w:t>International Review of Law and Economics,</w:t>
      </w:r>
      <w:r w:rsidRPr="005209D6">
        <w:rPr>
          <w:rFonts w:asciiTheme="majorBidi" w:hAnsiTheme="majorBidi" w:cstheme="majorBidi"/>
          <w:szCs w:val="22"/>
        </w:rPr>
        <w:t xml:space="preserve"> 1998, Vol. 18(2), 141-146.</w:t>
      </w:r>
    </w:p>
    <w:p w14:paraId="3D148A2A"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Priest, G., “The Current Insurance Crisis and Modern Tort Law”, </w:t>
      </w:r>
      <w:r w:rsidRPr="005209D6">
        <w:rPr>
          <w:rFonts w:asciiTheme="majorBidi" w:hAnsiTheme="majorBidi" w:cstheme="majorBidi"/>
          <w:i/>
          <w:szCs w:val="22"/>
        </w:rPr>
        <w:t>Yale Law Journal</w:t>
      </w:r>
      <w:r w:rsidRPr="005209D6">
        <w:rPr>
          <w:rFonts w:asciiTheme="majorBidi" w:hAnsiTheme="majorBidi" w:cstheme="majorBidi"/>
          <w:szCs w:val="22"/>
        </w:rPr>
        <w:t>, 1987, 1521-1590.</w:t>
      </w:r>
    </w:p>
    <w:p w14:paraId="5805461F"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Roberts, C., GMO: a primer of sorts, IRMI, May 2020, available at </w:t>
      </w:r>
      <w:hyperlink r:id="rId27" w:history="1">
        <w:r w:rsidRPr="005209D6">
          <w:rPr>
            <w:rStyle w:val="Hyperlink"/>
            <w:rFonts w:asciiTheme="majorBidi" w:hAnsiTheme="majorBidi" w:cstheme="majorBidi"/>
            <w:sz w:val="22"/>
            <w:szCs w:val="22"/>
          </w:rPr>
          <w:t>https://www.irmi.com/articles/expert-commentary/gmo-primer</w:t>
        </w:r>
      </w:hyperlink>
      <w:r w:rsidRPr="005209D6">
        <w:rPr>
          <w:rFonts w:asciiTheme="majorBidi" w:hAnsiTheme="majorBidi" w:cstheme="majorBidi"/>
          <w:szCs w:val="22"/>
        </w:rPr>
        <w:t xml:space="preserve"> (last accessed on 5 October 2020).</w:t>
      </w:r>
    </w:p>
    <w:p w14:paraId="5D5FFD6F"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Sands, Ph. &amp; Peel, J., </w:t>
      </w:r>
      <w:r w:rsidRPr="005209D6">
        <w:rPr>
          <w:rFonts w:asciiTheme="majorBidi" w:hAnsiTheme="majorBidi" w:cstheme="majorBidi"/>
          <w:i/>
          <w:szCs w:val="22"/>
        </w:rPr>
        <w:t>Principles of International Environmental Law</w:t>
      </w:r>
      <w:r w:rsidRPr="005209D6">
        <w:rPr>
          <w:rFonts w:asciiTheme="majorBidi" w:hAnsiTheme="majorBidi" w:cstheme="majorBidi"/>
          <w:szCs w:val="22"/>
        </w:rPr>
        <w:t>, 3</w:t>
      </w:r>
      <w:r w:rsidRPr="005209D6">
        <w:rPr>
          <w:rFonts w:asciiTheme="majorBidi" w:hAnsiTheme="majorBidi" w:cstheme="majorBidi"/>
          <w:szCs w:val="22"/>
          <w:vertAlign w:val="superscript"/>
        </w:rPr>
        <w:t>rd</w:t>
      </w:r>
      <w:r w:rsidRPr="005209D6">
        <w:rPr>
          <w:rFonts w:asciiTheme="majorBidi" w:hAnsiTheme="majorBidi" w:cstheme="majorBidi"/>
          <w:szCs w:val="22"/>
        </w:rPr>
        <w:t xml:space="preserve"> </w:t>
      </w:r>
      <w:proofErr w:type="spellStart"/>
      <w:r w:rsidRPr="005209D6">
        <w:rPr>
          <w:rFonts w:asciiTheme="majorBidi" w:hAnsiTheme="majorBidi" w:cstheme="majorBidi"/>
          <w:szCs w:val="22"/>
        </w:rPr>
        <w:t>edn</w:t>
      </w:r>
      <w:proofErr w:type="spellEnd"/>
      <w:r w:rsidRPr="005209D6">
        <w:rPr>
          <w:rFonts w:asciiTheme="majorBidi" w:hAnsiTheme="majorBidi" w:cstheme="majorBidi"/>
          <w:szCs w:val="22"/>
        </w:rPr>
        <w:t>., Cambridge, Cambridge University Press, 2012.</w:t>
      </w:r>
    </w:p>
    <w:p w14:paraId="468A73ED"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Shavell</w:t>
      </w:r>
      <w:proofErr w:type="spellEnd"/>
      <w:r w:rsidRPr="005209D6">
        <w:rPr>
          <w:rFonts w:asciiTheme="majorBidi" w:hAnsiTheme="majorBidi" w:cstheme="majorBidi"/>
          <w:szCs w:val="22"/>
        </w:rPr>
        <w:t xml:space="preserve">, S., “On Moral Hazard and Insurance”, </w:t>
      </w:r>
      <w:r w:rsidRPr="005209D6">
        <w:rPr>
          <w:rFonts w:asciiTheme="majorBidi" w:hAnsiTheme="majorBidi" w:cstheme="majorBidi"/>
          <w:i/>
          <w:szCs w:val="22"/>
        </w:rPr>
        <w:t>Quarterly Journal of Economics</w:t>
      </w:r>
      <w:r w:rsidRPr="005209D6">
        <w:rPr>
          <w:rFonts w:asciiTheme="majorBidi" w:hAnsiTheme="majorBidi" w:cstheme="majorBidi"/>
          <w:szCs w:val="22"/>
        </w:rPr>
        <w:t>, 1979, 541-562.</w:t>
      </w:r>
    </w:p>
    <w:p w14:paraId="488E1474"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Shavell</w:t>
      </w:r>
      <w:proofErr w:type="spellEnd"/>
      <w:r w:rsidRPr="005209D6">
        <w:rPr>
          <w:rFonts w:asciiTheme="majorBidi" w:hAnsiTheme="majorBidi" w:cstheme="majorBidi"/>
          <w:szCs w:val="22"/>
        </w:rPr>
        <w:t xml:space="preserve">, S., “The Judgment Proof Problem”, </w:t>
      </w:r>
      <w:r w:rsidRPr="005209D6">
        <w:rPr>
          <w:rFonts w:asciiTheme="majorBidi" w:hAnsiTheme="majorBidi" w:cstheme="majorBidi"/>
          <w:i/>
          <w:szCs w:val="22"/>
        </w:rPr>
        <w:t>International Review of Law and Economics</w:t>
      </w:r>
      <w:r w:rsidRPr="005209D6">
        <w:rPr>
          <w:rFonts w:asciiTheme="majorBidi" w:hAnsiTheme="majorBidi" w:cstheme="majorBidi"/>
          <w:szCs w:val="22"/>
        </w:rPr>
        <w:t>, 1986, 43-58.</w:t>
      </w:r>
    </w:p>
    <w:p w14:paraId="0DB37950"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Shibata, A., “A New Dimension in International Environmental Liability Regimes. A Prelude to the Supplementary Protocol”, in Shibata, A. (ed.), </w:t>
      </w:r>
      <w:r w:rsidRPr="005209D6">
        <w:rPr>
          <w:rFonts w:asciiTheme="majorBidi" w:hAnsiTheme="majorBidi" w:cstheme="majorBidi"/>
          <w:i/>
          <w:szCs w:val="22"/>
        </w:rPr>
        <w:t>International Liability Regime for Biodiversity Damage. The Nagoya-Kuala Lumpur Supplementary Protocol</w:t>
      </w:r>
      <w:r w:rsidRPr="005209D6">
        <w:rPr>
          <w:rFonts w:asciiTheme="majorBidi" w:hAnsiTheme="majorBidi" w:cstheme="majorBidi"/>
          <w:szCs w:val="22"/>
        </w:rPr>
        <w:t>, London, Routledge, 2014, 17-51.</w:t>
      </w:r>
    </w:p>
    <w:p w14:paraId="3941BD5E"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Shibata, A. (ed.), </w:t>
      </w:r>
      <w:r w:rsidRPr="005209D6">
        <w:rPr>
          <w:rFonts w:asciiTheme="majorBidi" w:hAnsiTheme="majorBidi" w:cstheme="majorBidi"/>
          <w:i/>
          <w:szCs w:val="22"/>
        </w:rPr>
        <w:t>International Liability Regime for Biodiversity Damage. The Nagoya-Kuala Lumpur Supplementary Protocol</w:t>
      </w:r>
      <w:r w:rsidRPr="005209D6">
        <w:rPr>
          <w:rFonts w:asciiTheme="majorBidi" w:hAnsiTheme="majorBidi" w:cstheme="majorBidi"/>
          <w:szCs w:val="22"/>
        </w:rPr>
        <w:t>, London, Routledge, 2014.</w:t>
      </w:r>
    </w:p>
    <w:p w14:paraId="2A0A87AE"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Singh Sidhu, R., “India’s Civil Nuclear Liability Regime with Special Reference to Convention on Supplementary Compensation for Nuclear Damage”, in Rajesh Babu, R., Ram Mohan, M.P. &amp; </w:t>
      </w:r>
      <w:proofErr w:type="spellStart"/>
      <w:r w:rsidRPr="005209D6">
        <w:rPr>
          <w:rFonts w:asciiTheme="majorBidi" w:hAnsiTheme="majorBidi" w:cstheme="majorBidi"/>
          <w:szCs w:val="22"/>
        </w:rPr>
        <w:t>Reynaers</w:t>
      </w:r>
      <w:proofErr w:type="spellEnd"/>
      <w:r w:rsidRPr="005209D6">
        <w:rPr>
          <w:rFonts w:asciiTheme="majorBidi" w:hAnsiTheme="majorBidi" w:cstheme="majorBidi"/>
          <w:szCs w:val="22"/>
        </w:rPr>
        <w:t xml:space="preserve"> </w:t>
      </w:r>
      <w:proofErr w:type="spellStart"/>
      <w:r w:rsidRPr="005209D6">
        <w:rPr>
          <w:rFonts w:asciiTheme="majorBidi" w:hAnsiTheme="majorBidi" w:cstheme="majorBidi"/>
          <w:szCs w:val="22"/>
        </w:rPr>
        <w:t>Kini</w:t>
      </w:r>
      <w:proofErr w:type="spellEnd"/>
      <w:r w:rsidRPr="005209D6">
        <w:rPr>
          <w:rFonts w:asciiTheme="majorBidi" w:hAnsiTheme="majorBidi" w:cstheme="majorBidi"/>
          <w:szCs w:val="22"/>
        </w:rPr>
        <w:t xml:space="preserve">, E. (eds.), </w:t>
      </w:r>
      <w:r w:rsidRPr="005209D6">
        <w:rPr>
          <w:rFonts w:asciiTheme="majorBidi" w:hAnsiTheme="majorBidi" w:cstheme="majorBidi"/>
          <w:i/>
          <w:szCs w:val="22"/>
        </w:rPr>
        <w:t>XXII Nuclear Inter Jura Congress. The Future of Nuclear Law: Addressing Societal Environmental and Business Expectations</w:t>
      </w:r>
      <w:r w:rsidRPr="005209D6">
        <w:rPr>
          <w:rFonts w:asciiTheme="majorBidi" w:hAnsiTheme="majorBidi" w:cstheme="majorBidi"/>
          <w:szCs w:val="22"/>
        </w:rPr>
        <w:t>, New Delhi, India Nuclear Law Association (INLA), 2016, 100-115.</w:t>
      </w:r>
    </w:p>
    <w:p w14:paraId="7103F174"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Skogh</w:t>
      </w:r>
      <w:proofErr w:type="spellEnd"/>
      <w:r w:rsidRPr="005209D6">
        <w:rPr>
          <w:rFonts w:asciiTheme="majorBidi" w:hAnsiTheme="majorBidi" w:cstheme="majorBidi"/>
          <w:szCs w:val="22"/>
        </w:rPr>
        <w:t xml:space="preserve">, G., “Risk-sharing Institutions for Unpredictable Losses”, </w:t>
      </w:r>
      <w:r w:rsidRPr="005209D6">
        <w:rPr>
          <w:rFonts w:asciiTheme="majorBidi" w:hAnsiTheme="majorBidi" w:cstheme="majorBidi"/>
          <w:i/>
          <w:szCs w:val="22"/>
        </w:rPr>
        <w:t>Journal of Institutional and Theoretical Economics</w:t>
      </w:r>
      <w:r w:rsidRPr="005209D6">
        <w:rPr>
          <w:rFonts w:asciiTheme="majorBidi" w:hAnsiTheme="majorBidi" w:cstheme="majorBidi"/>
          <w:szCs w:val="22"/>
        </w:rPr>
        <w:t>, 1999, Vol. 155(3), 505-515.</w:t>
      </w:r>
    </w:p>
    <w:p w14:paraId="3F52E7C7"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Sommerfeld, J., </w:t>
      </w:r>
      <w:proofErr w:type="spellStart"/>
      <w:r w:rsidRPr="005209D6">
        <w:rPr>
          <w:rFonts w:asciiTheme="majorBidi" w:hAnsiTheme="majorBidi" w:cstheme="majorBidi"/>
          <w:szCs w:val="22"/>
        </w:rPr>
        <w:t>Sanon</w:t>
      </w:r>
      <w:proofErr w:type="spellEnd"/>
      <w:r w:rsidRPr="005209D6">
        <w:rPr>
          <w:rFonts w:asciiTheme="majorBidi" w:hAnsiTheme="majorBidi" w:cstheme="majorBidi"/>
          <w:szCs w:val="22"/>
        </w:rPr>
        <w:t xml:space="preserve">, M., Kouyate, B.A. &amp; </w:t>
      </w:r>
      <w:proofErr w:type="spellStart"/>
      <w:r w:rsidRPr="005209D6">
        <w:rPr>
          <w:rFonts w:asciiTheme="majorBidi" w:hAnsiTheme="majorBidi" w:cstheme="majorBidi"/>
          <w:szCs w:val="22"/>
        </w:rPr>
        <w:t>Sauerborn</w:t>
      </w:r>
      <w:proofErr w:type="spellEnd"/>
      <w:r w:rsidRPr="005209D6">
        <w:rPr>
          <w:rFonts w:asciiTheme="majorBidi" w:hAnsiTheme="majorBidi" w:cstheme="majorBidi"/>
          <w:szCs w:val="22"/>
        </w:rPr>
        <w:t xml:space="preserve">, R., „Informal Risk-sharing Arrangements (IRSAs) in Rural Burkina Faso: Lessons for the Development of Community-based Insurance (CBI)”, </w:t>
      </w:r>
      <w:r w:rsidRPr="005209D6">
        <w:rPr>
          <w:rFonts w:asciiTheme="majorBidi" w:hAnsiTheme="majorBidi" w:cstheme="majorBidi"/>
          <w:i/>
          <w:szCs w:val="22"/>
        </w:rPr>
        <w:t>The International Journal of Health Planning and Management</w:t>
      </w:r>
      <w:r w:rsidRPr="005209D6">
        <w:rPr>
          <w:rFonts w:asciiTheme="majorBidi" w:hAnsiTheme="majorBidi" w:cstheme="majorBidi"/>
          <w:szCs w:val="22"/>
        </w:rPr>
        <w:t>, 2002, Vol. 17(2), 147-163.</w:t>
      </w:r>
    </w:p>
    <w:p w14:paraId="6A9281DA"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Stewart, R.B., “Environmental Regulation and International Competitiveness”, </w:t>
      </w:r>
      <w:r w:rsidRPr="005209D6">
        <w:rPr>
          <w:rFonts w:asciiTheme="majorBidi" w:hAnsiTheme="majorBidi" w:cstheme="majorBidi"/>
          <w:i/>
          <w:szCs w:val="22"/>
        </w:rPr>
        <w:t>Yale Law Journal</w:t>
      </w:r>
      <w:r w:rsidRPr="005209D6">
        <w:rPr>
          <w:rFonts w:asciiTheme="majorBidi" w:hAnsiTheme="majorBidi" w:cstheme="majorBidi"/>
          <w:szCs w:val="22"/>
        </w:rPr>
        <w:t>, 1993, Vol. 102, 2039-2106.</w:t>
      </w:r>
    </w:p>
    <w:p w14:paraId="118C69C1"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lastRenderedPageBreak/>
        <w:t>Swinbourn</w:t>
      </w:r>
      <w:proofErr w:type="spellEnd"/>
      <w:r w:rsidRPr="005209D6">
        <w:rPr>
          <w:rFonts w:asciiTheme="majorBidi" w:hAnsiTheme="majorBidi" w:cstheme="majorBidi"/>
          <w:szCs w:val="22"/>
        </w:rPr>
        <w:t>, M</w:t>
      </w:r>
      <w:r w:rsidRPr="005209D6">
        <w:rPr>
          <w:rFonts w:asciiTheme="majorBidi" w:hAnsiTheme="majorBidi" w:cstheme="majorBidi"/>
          <w:i/>
          <w:szCs w:val="22"/>
        </w:rPr>
        <w:t>., Mechanisms for compensation for economic loss to farmers in Western Australia caused by contamination by genetically modified material; Report 49</w:t>
      </w:r>
      <w:r w:rsidRPr="005209D6">
        <w:rPr>
          <w:rFonts w:asciiTheme="majorBidi" w:hAnsiTheme="majorBidi" w:cstheme="majorBidi"/>
          <w:szCs w:val="22"/>
        </w:rPr>
        <w:t>, Perth, Standing Committee on Environment and Public Affairs, Parliament of Western Australia; February 14, 2019.</w:t>
      </w:r>
    </w:p>
    <w:p w14:paraId="52C1D79F"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Telesetsky</w:t>
      </w:r>
      <w:proofErr w:type="spellEnd"/>
      <w:r w:rsidRPr="005209D6">
        <w:rPr>
          <w:rFonts w:asciiTheme="majorBidi" w:hAnsiTheme="majorBidi" w:cstheme="majorBidi"/>
          <w:szCs w:val="22"/>
        </w:rPr>
        <w:t xml:space="preserve">, A., The 2010 </w:t>
      </w:r>
      <w:r w:rsidRPr="005209D6">
        <w:rPr>
          <w:rFonts w:asciiTheme="majorBidi" w:hAnsiTheme="majorBidi" w:cstheme="majorBidi"/>
          <w:i/>
          <w:iCs/>
          <w:szCs w:val="22"/>
        </w:rPr>
        <w:t>Nagoya-Kuala Lumpur Supplementary Protocol</w:t>
      </w:r>
      <w:r w:rsidRPr="005209D6">
        <w:rPr>
          <w:rFonts w:asciiTheme="majorBidi" w:hAnsiTheme="majorBidi" w:cstheme="majorBidi"/>
          <w:szCs w:val="22"/>
        </w:rPr>
        <w:t xml:space="preserve">: A new treaty assigning transboundary liability and redress for biodiversity damage caused by genetically modified organisms, ASIL Insight, 2011, vol. 14, issue 41, available at </w:t>
      </w:r>
      <w:hyperlink r:id="rId28" w:history="1">
        <w:r w:rsidRPr="005209D6">
          <w:rPr>
            <w:rStyle w:val="Hyperlink"/>
            <w:rFonts w:asciiTheme="majorBidi" w:hAnsiTheme="majorBidi" w:cstheme="majorBidi"/>
            <w:sz w:val="22"/>
            <w:szCs w:val="22"/>
          </w:rPr>
          <w:t>https://www.asil.org/insights/volume/15/issue/1/2010-nagoya-kuala-lumpur-supplementary-protocol-new-treaty-assigning</w:t>
        </w:r>
      </w:hyperlink>
      <w:r w:rsidRPr="005209D6">
        <w:rPr>
          <w:rFonts w:asciiTheme="majorBidi" w:hAnsiTheme="majorBidi" w:cstheme="majorBidi"/>
          <w:szCs w:val="22"/>
        </w:rPr>
        <w:t xml:space="preserve"> (last accessed on September 20, 2020).</w:t>
      </w:r>
    </w:p>
    <w:p w14:paraId="7179C5AD"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Tung, O.J.L., “Transboundary Movements of Genetically Modified Organisms and the </w:t>
      </w:r>
      <w:r w:rsidRPr="005209D6">
        <w:rPr>
          <w:rFonts w:asciiTheme="majorBidi" w:hAnsiTheme="majorBidi" w:cstheme="majorBidi"/>
          <w:i/>
          <w:szCs w:val="22"/>
        </w:rPr>
        <w:t>Cartagena Protocol</w:t>
      </w:r>
      <w:r w:rsidRPr="005209D6">
        <w:rPr>
          <w:rFonts w:asciiTheme="majorBidi" w:hAnsiTheme="majorBidi" w:cstheme="majorBidi"/>
          <w:szCs w:val="22"/>
        </w:rPr>
        <w:t xml:space="preserve">: Key Issues and Concerns”, </w:t>
      </w:r>
      <w:r w:rsidRPr="005209D6">
        <w:rPr>
          <w:rFonts w:asciiTheme="majorBidi" w:hAnsiTheme="majorBidi" w:cstheme="majorBidi"/>
          <w:i/>
          <w:szCs w:val="22"/>
        </w:rPr>
        <w:t>Potchefstroom Electronic Law Journal</w:t>
      </w:r>
      <w:r w:rsidRPr="005209D6">
        <w:rPr>
          <w:rFonts w:asciiTheme="majorBidi" w:hAnsiTheme="majorBidi" w:cstheme="majorBidi"/>
          <w:szCs w:val="22"/>
        </w:rPr>
        <w:t>, 2014, Vol. 17(5), 1739-1787.</w:t>
      </w:r>
    </w:p>
    <w:p w14:paraId="67A172A9" w14:textId="77777777" w:rsidR="006F45CF" w:rsidRPr="005209D6" w:rsidRDefault="006F45CF" w:rsidP="005209D6">
      <w:pPr>
        <w:spacing w:after="120"/>
        <w:rPr>
          <w:rFonts w:asciiTheme="majorBidi" w:hAnsiTheme="majorBidi" w:cstheme="majorBidi"/>
          <w:szCs w:val="22"/>
        </w:rPr>
      </w:pPr>
      <w:proofErr w:type="spellStart"/>
      <w:r w:rsidRPr="005209D6">
        <w:rPr>
          <w:rFonts w:asciiTheme="majorBidi" w:hAnsiTheme="majorBidi" w:cstheme="majorBidi"/>
          <w:szCs w:val="22"/>
        </w:rPr>
        <w:t>Tyran</w:t>
      </w:r>
      <w:proofErr w:type="spellEnd"/>
      <w:r w:rsidRPr="005209D6">
        <w:rPr>
          <w:rFonts w:asciiTheme="majorBidi" w:hAnsiTheme="majorBidi" w:cstheme="majorBidi"/>
          <w:szCs w:val="22"/>
        </w:rPr>
        <w:t xml:space="preserve">, J.-R. &amp; </w:t>
      </w:r>
      <w:proofErr w:type="spellStart"/>
      <w:r w:rsidRPr="005209D6">
        <w:rPr>
          <w:rFonts w:asciiTheme="majorBidi" w:hAnsiTheme="majorBidi" w:cstheme="majorBidi"/>
          <w:szCs w:val="22"/>
        </w:rPr>
        <w:t>Zweifel</w:t>
      </w:r>
      <w:proofErr w:type="spellEnd"/>
      <w:r w:rsidRPr="005209D6">
        <w:rPr>
          <w:rFonts w:asciiTheme="majorBidi" w:hAnsiTheme="majorBidi" w:cstheme="majorBidi"/>
          <w:szCs w:val="22"/>
        </w:rPr>
        <w:t xml:space="preserve">, P., “Environmental Risk Internalisation through Capital Markets (ERICAM): The Case of Nuclear Power”, </w:t>
      </w:r>
      <w:r w:rsidRPr="005209D6">
        <w:rPr>
          <w:rFonts w:asciiTheme="majorBidi" w:hAnsiTheme="majorBidi" w:cstheme="majorBidi"/>
          <w:i/>
          <w:szCs w:val="22"/>
        </w:rPr>
        <w:t>International Review of Law and Economics</w:t>
      </w:r>
      <w:r w:rsidRPr="005209D6">
        <w:rPr>
          <w:rFonts w:asciiTheme="majorBidi" w:hAnsiTheme="majorBidi" w:cstheme="majorBidi"/>
          <w:szCs w:val="22"/>
        </w:rPr>
        <w:t>, 1993, Vol. 13(4), 431-444.</w:t>
      </w:r>
    </w:p>
    <w:p w14:paraId="37B89E21"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Vanden </w:t>
      </w:r>
      <w:proofErr w:type="spellStart"/>
      <w:r w:rsidRPr="005209D6">
        <w:rPr>
          <w:rFonts w:asciiTheme="majorBidi" w:hAnsiTheme="majorBidi" w:cstheme="majorBidi"/>
          <w:szCs w:val="22"/>
        </w:rPr>
        <w:t>Borre</w:t>
      </w:r>
      <w:proofErr w:type="spellEnd"/>
      <w:r w:rsidRPr="005209D6">
        <w:rPr>
          <w:rFonts w:asciiTheme="majorBidi" w:hAnsiTheme="majorBidi" w:cstheme="majorBidi"/>
          <w:szCs w:val="22"/>
        </w:rPr>
        <w:t xml:space="preserve">, T., “Shifts in Governance in Compensation for Nuclear Damage. 20 Years after Chernobyl”, in Faure, M. &amp; </w:t>
      </w:r>
      <w:proofErr w:type="spellStart"/>
      <w:r w:rsidRPr="005209D6">
        <w:rPr>
          <w:rFonts w:asciiTheme="majorBidi" w:hAnsiTheme="majorBidi" w:cstheme="majorBidi"/>
          <w:szCs w:val="22"/>
        </w:rPr>
        <w:t>Verheij</w:t>
      </w:r>
      <w:proofErr w:type="spellEnd"/>
      <w:r w:rsidRPr="005209D6">
        <w:rPr>
          <w:rFonts w:asciiTheme="majorBidi" w:hAnsiTheme="majorBidi" w:cstheme="majorBidi"/>
          <w:szCs w:val="22"/>
        </w:rPr>
        <w:t xml:space="preserve">, A. (eds.), </w:t>
      </w:r>
      <w:r w:rsidRPr="005209D6">
        <w:rPr>
          <w:rFonts w:asciiTheme="majorBidi" w:hAnsiTheme="majorBidi" w:cstheme="majorBidi"/>
          <w:i/>
          <w:szCs w:val="22"/>
        </w:rPr>
        <w:t>Shifts in Compensation for Environmental Damage,</w:t>
      </w:r>
      <w:r w:rsidRPr="005209D6">
        <w:rPr>
          <w:rFonts w:asciiTheme="majorBidi" w:hAnsiTheme="majorBidi" w:cstheme="majorBidi"/>
          <w:szCs w:val="22"/>
        </w:rPr>
        <w:t xml:space="preserve"> Vienna, Springer, 2007, 261-311.</w:t>
      </w:r>
    </w:p>
    <w:p w14:paraId="40971E92"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Van </w:t>
      </w:r>
      <w:proofErr w:type="spellStart"/>
      <w:r w:rsidRPr="005209D6">
        <w:rPr>
          <w:rFonts w:asciiTheme="majorBidi" w:hAnsiTheme="majorBidi" w:cstheme="majorBidi"/>
          <w:szCs w:val="22"/>
        </w:rPr>
        <w:t>Erp</w:t>
      </w:r>
      <w:proofErr w:type="spellEnd"/>
      <w:r w:rsidRPr="005209D6">
        <w:rPr>
          <w:rFonts w:asciiTheme="majorBidi" w:hAnsiTheme="majorBidi" w:cstheme="majorBidi"/>
          <w:szCs w:val="22"/>
        </w:rPr>
        <w:t xml:space="preserve">, J., Faure, M., </w:t>
      </w:r>
      <w:proofErr w:type="spellStart"/>
      <w:r w:rsidRPr="005209D6">
        <w:rPr>
          <w:rFonts w:asciiTheme="majorBidi" w:hAnsiTheme="majorBidi" w:cstheme="majorBidi"/>
          <w:szCs w:val="22"/>
        </w:rPr>
        <w:t>Nollkaemper</w:t>
      </w:r>
      <w:proofErr w:type="spellEnd"/>
      <w:r w:rsidRPr="005209D6">
        <w:rPr>
          <w:rFonts w:asciiTheme="majorBidi" w:hAnsiTheme="majorBidi" w:cstheme="majorBidi"/>
          <w:szCs w:val="22"/>
        </w:rPr>
        <w:t xml:space="preserve">, A. &amp; </w:t>
      </w:r>
      <w:proofErr w:type="spellStart"/>
      <w:r w:rsidRPr="005209D6">
        <w:rPr>
          <w:rFonts w:asciiTheme="majorBidi" w:hAnsiTheme="majorBidi" w:cstheme="majorBidi"/>
          <w:szCs w:val="22"/>
        </w:rPr>
        <w:t>Philipsen</w:t>
      </w:r>
      <w:proofErr w:type="spellEnd"/>
      <w:r w:rsidRPr="005209D6">
        <w:rPr>
          <w:rFonts w:asciiTheme="majorBidi" w:hAnsiTheme="majorBidi" w:cstheme="majorBidi"/>
          <w:szCs w:val="22"/>
        </w:rPr>
        <w:t xml:space="preserve">, N. (eds.), </w:t>
      </w:r>
      <w:r w:rsidRPr="005209D6">
        <w:rPr>
          <w:rFonts w:asciiTheme="majorBidi" w:hAnsiTheme="majorBidi" w:cstheme="majorBidi"/>
          <w:i/>
          <w:szCs w:val="22"/>
        </w:rPr>
        <w:t>Smart Mixes for Transboundary Environmental Harm,</w:t>
      </w:r>
      <w:r w:rsidRPr="005209D6">
        <w:rPr>
          <w:rFonts w:asciiTheme="majorBidi" w:hAnsiTheme="majorBidi" w:cstheme="majorBidi"/>
          <w:szCs w:val="22"/>
        </w:rPr>
        <w:t xml:space="preserve"> Cambridge, Cambridge University Press, 2019.</w:t>
      </w:r>
    </w:p>
    <w:p w14:paraId="007CA4EE"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szCs w:val="22"/>
        </w:rPr>
        <w:t xml:space="preserve">Wang, H., </w:t>
      </w:r>
      <w:r w:rsidRPr="005209D6">
        <w:rPr>
          <w:rFonts w:asciiTheme="majorBidi" w:hAnsiTheme="majorBidi" w:cstheme="majorBidi"/>
          <w:i/>
          <w:szCs w:val="22"/>
        </w:rPr>
        <w:t>Civil Liability for Marine Oil Pollution Damage. A Comparative and Economic Study of the International, US and Chinese Compensation Regimes</w:t>
      </w:r>
      <w:r w:rsidRPr="005209D6">
        <w:rPr>
          <w:rFonts w:asciiTheme="majorBidi" w:hAnsiTheme="majorBidi" w:cstheme="majorBidi"/>
          <w:szCs w:val="22"/>
        </w:rPr>
        <w:t xml:space="preserve">, Alphen </w:t>
      </w:r>
      <w:proofErr w:type="spellStart"/>
      <w:r w:rsidRPr="005209D6">
        <w:rPr>
          <w:rFonts w:asciiTheme="majorBidi" w:hAnsiTheme="majorBidi" w:cstheme="majorBidi"/>
          <w:szCs w:val="22"/>
        </w:rPr>
        <w:t>aan</w:t>
      </w:r>
      <w:proofErr w:type="spellEnd"/>
      <w:r w:rsidRPr="005209D6">
        <w:rPr>
          <w:rFonts w:asciiTheme="majorBidi" w:hAnsiTheme="majorBidi" w:cstheme="majorBidi"/>
          <w:szCs w:val="22"/>
        </w:rPr>
        <w:t xml:space="preserve"> den Rijn, Kluwer Law International, 2011.</w:t>
      </w:r>
    </w:p>
    <w:p w14:paraId="48CFE26D" w14:textId="77777777" w:rsidR="006F45CF" w:rsidRPr="005209D6" w:rsidRDefault="006F45CF" w:rsidP="005209D6">
      <w:pPr>
        <w:spacing w:after="120"/>
        <w:rPr>
          <w:rFonts w:asciiTheme="majorBidi" w:hAnsiTheme="majorBidi" w:cstheme="majorBidi"/>
          <w:szCs w:val="22"/>
        </w:rPr>
      </w:pPr>
      <w:r w:rsidRPr="005209D6">
        <w:rPr>
          <w:rFonts w:asciiTheme="majorBidi" w:hAnsiTheme="majorBidi" w:cstheme="majorBidi"/>
          <w:color w:val="252525"/>
          <w:spacing w:val="5"/>
          <w:szCs w:val="22"/>
          <w:shd w:val="clear" w:color="auto" w:fill="FFFFFF"/>
        </w:rPr>
        <w:t>Xiang, W., “</w:t>
      </w:r>
      <w:r w:rsidRPr="005209D6">
        <w:rPr>
          <w:rStyle w:val="harvardtitle"/>
          <w:rFonts w:asciiTheme="majorBidi" w:hAnsiTheme="majorBidi" w:cstheme="majorBidi"/>
          <w:color w:val="252525"/>
          <w:spacing w:val="5"/>
          <w:szCs w:val="22"/>
          <w:shd w:val="clear" w:color="auto" w:fill="FFFFFF"/>
        </w:rPr>
        <w:t>International Liability and Redress for Genetically Modified Organisms and Challenges for China's Biosafety Regulation</w:t>
      </w:r>
      <w:r w:rsidRPr="005209D6">
        <w:rPr>
          <w:rFonts w:asciiTheme="majorBidi" w:hAnsiTheme="majorBidi" w:cstheme="majorBidi"/>
          <w:color w:val="252525"/>
          <w:spacing w:val="5"/>
          <w:szCs w:val="22"/>
          <w:shd w:val="clear" w:color="auto" w:fill="FFFFFF"/>
        </w:rPr>
        <w:t xml:space="preserve">”, in </w:t>
      </w:r>
      <w:r w:rsidRPr="005209D6">
        <w:rPr>
          <w:rStyle w:val="Emphasis"/>
          <w:rFonts w:asciiTheme="majorBidi" w:hAnsiTheme="majorBidi" w:cstheme="majorBidi"/>
          <w:color w:val="252525"/>
          <w:spacing w:val="5"/>
          <w:szCs w:val="22"/>
          <w:shd w:val="clear" w:color="auto" w:fill="FFFFFF"/>
        </w:rPr>
        <w:t xml:space="preserve">International Environmental Law: Contemporary Concerns and Challenges, </w:t>
      </w:r>
      <w:r w:rsidRPr="005209D6">
        <w:rPr>
          <w:rFonts w:asciiTheme="majorBidi" w:hAnsiTheme="majorBidi" w:cstheme="majorBidi"/>
          <w:color w:val="252525"/>
          <w:spacing w:val="5"/>
          <w:szCs w:val="22"/>
          <w:shd w:val="clear" w:color="auto" w:fill="FFFFFF"/>
        </w:rPr>
        <w:t>GV Publishing, 2012, 581-600.</w:t>
      </w:r>
    </w:p>
    <w:p w14:paraId="6A2E50A1" w14:textId="77777777" w:rsidR="006F45CF" w:rsidRPr="005209D6" w:rsidRDefault="006F45CF" w:rsidP="005209D6">
      <w:pPr>
        <w:spacing w:after="120"/>
        <w:rPr>
          <w:rFonts w:asciiTheme="majorBidi" w:hAnsiTheme="majorBidi" w:cstheme="majorBidi"/>
          <w:szCs w:val="22"/>
        </w:rPr>
      </w:pPr>
    </w:p>
    <w:p w14:paraId="0DD81E69" w14:textId="77777777" w:rsidR="006F45CF" w:rsidRPr="005209D6" w:rsidRDefault="006F45CF" w:rsidP="005209D6">
      <w:pPr>
        <w:spacing w:after="120"/>
        <w:jc w:val="left"/>
        <w:rPr>
          <w:rFonts w:asciiTheme="majorBidi" w:hAnsiTheme="majorBidi" w:cstheme="majorBidi"/>
          <w:szCs w:val="22"/>
        </w:rPr>
      </w:pPr>
      <w:r w:rsidRPr="005209D6">
        <w:rPr>
          <w:rFonts w:asciiTheme="majorBidi" w:hAnsiTheme="majorBidi" w:cstheme="majorBidi"/>
          <w:szCs w:val="22"/>
        </w:rPr>
        <w:br w:type="page"/>
      </w:r>
    </w:p>
    <w:p w14:paraId="37136787" w14:textId="77777777" w:rsidR="006F45CF" w:rsidRDefault="006F45CF" w:rsidP="006F45CF">
      <w:pPr>
        <w:pStyle w:val="Heading1"/>
        <w:sectPr w:rsidR="006F45CF">
          <w:footerReference w:type="default" r:id="rId29"/>
          <w:pgSz w:w="12240" w:h="15840"/>
          <w:pgMar w:top="1440" w:right="1440" w:bottom="1440" w:left="1440" w:header="720" w:footer="720" w:gutter="0"/>
          <w:cols w:space="720"/>
          <w:docGrid w:linePitch="360"/>
        </w:sectPr>
      </w:pPr>
    </w:p>
    <w:p w14:paraId="7E778785" w14:textId="40B1A1BA" w:rsidR="006F45CF" w:rsidRPr="000D79DD" w:rsidRDefault="006F45CF" w:rsidP="006F45CF">
      <w:pPr>
        <w:pStyle w:val="Heading1"/>
        <w:rPr>
          <w:rFonts w:asciiTheme="majorBidi" w:hAnsiTheme="majorBidi" w:cstheme="majorBidi"/>
          <w:szCs w:val="22"/>
        </w:rPr>
      </w:pPr>
      <w:bookmarkStart w:id="44" w:name="_Toc82176428"/>
      <w:r w:rsidRPr="008D588E">
        <w:rPr>
          <w:rFonts w:asciiTheme="majorBidi" w:hAnsiTheme="majorBidi" w:cstheme="majorBidi"/>
          <w:szCs w:val="22"/>
        </w:rPr>
        <w:lastRenderedPageBreak/>
        <w:t>A</w:t>
      </w:r>
      <w:r w:rsidR="008D588E" w:rsidRPr="008D588E">
        <w:rPr>
          <w:rFonts w:asciiTheme="majorBidi" w:hAnsiTheme="majorBidi" w:cstheme="majorBidi"/>
          <w:szCs w:val="22"/>
        </w:rPr>
        <w:t>ppendix</w:t>
      </w:r>
      <w:r w:rsidRPr="008D588E">
        <w:rPr>
          <w:rFonts w:asciiTheme="majorBidi" w:hAnsiTheme="majorBidi" w:cstheme="majorBidi"/>
          <w:szCs w:val="22"/>
        </w:rPr>
        <w:t xml:space="preserve"> 1: Text</w:t>
      </w:r>
      <w:r w:rsidRPr="000D79DD">
        <w:rPr>
          <w:rFonts w:asciiTheme="majorBidi" w:hAnsiTheme="majorBidi" w:cstheme="majorBidi"/>
          <w:szCs w:val="22"/>
        </w:rPr>
        <w:t xml:space="preserve"> of the Nagoya-Kuala Lumpur Supplementary Protocol on Liability and Redress to the Cartagena Protocol on Biosafety</w:t>
      </w:r>
      <w:bookmarkEnd w:id="44"/>
    </w:p>
    <w:p w14:paraId="4A970595" w14:textId="77777777" w:rsidR="006F45CF" w:rsidRPr="000D79DD" w:rsidRDefault="006F45CF" w:rsidP="006F45CF">
      <w:pPr>
        <w:rPr>
          <w:rFonts w:asciiTheme="majorBidi" w:hAnsiTheme="majorBidi" w:cstheme="majorBidi"/>
          <w:szCs w:val="22"/>
        </w:rPr>
      </w:pPr>
    </w:p>
    <w:p w14:paraId="1EBE002B"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i/>
          <w:iCs/>
          <w:szCs w:val="22"/>
          <w:lang w:eastAsia="zh-CN"/>
        </w:rPr>
        <w:t>The Parties to this Supplementary Protocol,</w:t>
      </w:r>
    </w:p>
    <w:p w14:paraId="7A193FB1"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i/>
          <w:iCs/>
          <w:szCs w:val="22"/>
          <w:lang w:eastAsia="zh-CN"/>
        </w:rPr>
        <w:t>Being</w:t>
      </w:r>
      <w:r w:rsidRPr="000D79DD">
        <w:rPr>
          <w:rFonts w:asciiTheme="majorBidi" w:hAnsiTheme="majorBidi" w:cstheme="majorBidi"/>
          <w:szCs w:val="22"/>
          <w:lang w:eastAsia="zh-CN"/>
        </w:rPr>
        <w:t> Parties to the Cartagena Protocol on Biosafety to the Convention on Biological Diversity, hereinafter referred to as "the Protocol",</w:t>
      </w:r>
    </w:p>
    <w:p w14:paraId="35AD73D8"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proofErr w:type="gramStart"/>
      <w:r w:rsidRPr="000D79DD">
        <w:rPr>
          <w:rFonts w:asciiTheme="majorBidi" w:hAnsiTheme="majorBidi" w:cstheme="majorBidi"/>
          <w:szCs w:val="22"/>
          <w:lang w:eastAsia="zh-CN"/>
        </w:rPr>
        <w:t>Taking into account</w:t>
      </w:r>
      <w:proofErr w:type="gramEnd"/>
      <w:r w:rsidRPr="000D79DD">
        <w:rPr>
          <w:rFonts w:asciiTheme="majorBidi" w:hAnsiTheme="majorBidi" w:cstheme="majorBidi"/>
          <w:szCs w:val="22"/>
          <w:lang w:eastAsia="zh-CN"/>
        </w:rPr>
        <w:t xml:space="preserve"> Principle 13 of the Rio Declaration on Environment and Development,</w:t>
      </w:r>
    </w:p>
    <w:p w14:paraId="5A41F9C3"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i/>
          <w:iCs/>
          <w:szCs w:val="22"/>
          <w:lang w:eastAsia="zh-CN"/>
        </w:rPr>
        <w:t>Reaffirming</w:t>
      </w:r>
      <w:r w:rsidRPr="000D79DD">
        <w:rPr>
          <w:rFonts w:asciiTheme="majorBidi" w:hAnsiTheme="majorBidi" w:cstheme="majorBidi"/>
          <w:szCs w:val="22"/>
          <w:lang w:eastAsia="zh-CN"/>
        </w:rPr>
        <w:t> the precautionary approach contained in Principle 15 of the Rio Declaration on Environment and Development,</w:t>
      </w:r>
    </w:p>
    <w:p w14:paraId="301794F1"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i/>
          <w:iCs/>
          <w:szCs w:val="22"/>
          <w:lang w:eastAsia="zh-CN"/>
        </w:rPr>
        <w:t>Recognizing</w:t>
      </w:r>
      <w:r w:rsidRPr="000D79DD">
        <w:rPr>
          <w:rFonts w:asciiTheme="majorBidi" w:hAnsiTheme="majorBidi" w:cstheme="majorBidi"/>
          <w:szCs w:val="22"/>
          <w:lang w:eastAsia="zh-CN"/>
        </w:rPr>
        <w:t> the need to provide for appropriate response measures where there is damage or sufficient likelihood of damage, consistent with the Protocol,</w:t>
      </w:r>
    </w:p>
    <w:p w14:paraId="13B9B8FF"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i/>
          <w:iCs/>
          <w:szCs w:val="22"/>
          <w:lang w:eastAsia="zh-CN"/>
        </w:rPr>
        <w:t>Recalling</w:t>
      </w:r>
      <w:r w:rsidRPr="000D79DD">
        <w:rPr>
          <w:rFonts w:asciiTheme="majorBidi" w:hAnsiTheme="majorBidi" w:cstheme="majorBidi"/>
          <w:szCs w:val="22"/>
          <w:lang w:eastAsia="zh-CN"/>
        </w:rPr>
        <w:t> Article 27 of the Protocol,</w:t>
      </w:r>
    </w:p>
    <w:p w14:paraId="56FAC123"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szCs w:val="22"/>
          <w:lang w:eastAsia="zh-CN"/>
        </w:rPr>
        <w:t>Have agreed as follows:</w:t>
      </w:r>
    </w:p>
    <w:p w14:paraId="6CD045E3"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1</w:t>
      </w:r>
    </w:p>
    <w:p w14:paraId="0D15FE11" w14:textId="77777777" w:rsidR="006F45CF" w:rsidRPr="000D79DD" w:rsidRDefault="006F45CF" w:rsidP="009168FF">
      <w:pPr>
        <w:pStyle w:val="FootnoteT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Objective</w:t>
      </w:r>
    </w:p>
    <w:p w14:paraId="1FC09B88"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szCs w:val="22"/>
          <w:lang w:eastAsia="zh-CN"/>
        </w:rPr>
        <w:t>The objective of this Supplementary Protocol is to contribute to the conservation and sustainable use of biological diversity, taking also into account risks to human health, by providing international rules and procedures in the field of liability and redress relating to living modified organisms.</w:t>
      </w:r>
    </w:p>
    <w:p w14:paraId="3B1B8394"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29939012"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2</w:t>
      </w:r>
    </w:p>
    <w:p w14:paraId="1D0ACB12" w14:textId="77777777" w:rsidR="006F45CF" w:rsidRPr="000D79DD" w:rsidRDefault="006F45CF" w:rsidP="009168FF">
      <w:pPr>
        <w:pStyle w:val="FootnoteText"/>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Use of terms</w:t>
      </w:r>
    </w:p>
    <w:p w14:paraId="421D44C9" w14:textId="77777777" w:rsidR="006F45CF" w:rsidRPr="000D79DD" w:rsidRDefault="006F45CF" w:rsidP="006F45CF">
      <w:pPr>
        <w:pStyle w:val="FootnoteText"/>
        <w:jc w:val="center"/>
        <w:rPr>
          <w:rFonts w:asciiTheme="majorBidi" w:hAnsiTheme="majorBidi" w:cstheme="majorBidi"/>
          <w:b/>
          <w:bCs/>
          <w:sz w:val="22"/>
          <w:szCs w:val="22"/>
          <w:lang w:eastAsia="zh-CN"/>
        </w:rPr>
      </w:pPr>
    </w:p>
    <w:p w14:paraId="77E4A54A"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1. The terms used in Article 2 of the Convention on Biological Diversity, hereinafter referred to as "the Convention", and Article 3 of the Protocol shall apply to this Supplementary Protocol.</w:t>
      </w:r>
    </w:p>
    <w:p w14:paraId="19A5F2A9" w14:textId="77777777" w:rsidR="006F45CF" w:rsidRPr="000D79DD" w:rsidRDefault="006F45CF" w:rsidP="006F45CF">
      <w:pPr>
        <w:shd w:val="clear" w:color="auto" w:fill="FFFFFF"/>
        <w:rPr>
          <w:rFonts w:asciiTheme="majorBidi" w:hAnsiTheme="majorBidi" w:cstheme="majorBidi"/>
          <w:szCs w:val="22"/>
          <w:lang w:eastAsia="zh-CN"/>
        </w:rPr>
      </w:pPr>
      <w:r w:rsidRPr="000D79DD">
        <w:rPr>
          <w:rFonts w:asciiTheme="majorBidi" w:hAnsiTheme="majorBidi" w:cstheme="majorBidi"/>
          <w:szCs w:val="22"/>
          <w:lang w:eastAsia="zh-CN"/>
        </w:rPr>
        <w:t>2. In addition, for the purposes of this Supplementary Protocol:</w:t>
      </w:r>
    </w:p>
    <w:p w14:paraId="0E5AEABB" w14:textId="09CF7890" w:rsidR="006F45CF" w:rsidRPr="000D79DD" w:rsidRDefault="006F45CF" w:rsidP="006F45CF">
      <w:pPr>
        <w:shd w:val="clear" w:color="auto" w:fill="FFFFFF"/>
        <w:spacing w:after="105"/>
        <w:ind w:left="720"/>
        <w:rPr>
          <w:rFonts w:asciiTheme="majorBidi" w:hAnsiTheme="majorBidi" w:cstheme="majorBidi"/>
          <w:szCs w:val="22"/>
          <w:lang w:eastAsia="zh-CN"/>
        </w:rPr>
      </w:pPr>
      <w:r w:rsidRPr="000D79DD">
        <w:rPr>
          <w:rFonts w:asciiTheme="majorBidi" w:hAnsiTheme="majorBidi" w:cstheme="majorBidi"/>
          <w:szCs w:val="22"/>
          <w:lang w:eastAsia="zh-CN"/>
        </w:rPr>
        <w:t>(a)</w:t>
      </w:r>
      <w:r w:rsidR="00231703">
        <w:rPr>
          <w:rFonts w:asciiTheme="majorBidi" w:hAnsiTheme="majorBidi" w:cstheme="majorBidi"/>
          <w:szCs w:val="22"/>
          <w:lang w:eastAsia="zh-CN"/>
        </w:rPr>
        <w:t xml:space="preserve"> </w:t>
      </w:r>
      <w:r w:rsidRPr="000D79DD">
        <w:rPr>
          <w:rFonts w:asciiTheme="majorBidi" w:hAnsiTheme="majorBidi" w:cstheme="majorBidi"/>
          <w:szCs w:val="22"/>
          <w:lang w:eastAsia="zh-CN"/>
        </w:rPr>
        <w:t>"Conference of the Parties serving as the meeting of the Parties to the Protocol" means the Conference of the Parties to the Convention serving as the meeting of the Parties to the Protocol;</w:t>
      </w:r>
    </w:p>
    <w:p w14:paraId="50EBB74A" w14:textId="7750ED1F" w:rsidR="006F45CF" w:rsidRPr="000D79DD" w:rsidRDefault="006F45CF" w:rsidP="006F45CF">
      <w:pPr>
        <w:shd w:val="clear" w:color="auto" w:fill="FFFFFF"/>
        <w:ind w:left="720"/>
        <w:rPr>
          <w:rFonts w:asciiTheme="majorBidi" w:hAnsiTheme="majorBidi" w:cstheme="majorBidi"/>
          <w:szCs w:val="22"/>
          <w:lang w:eastAsia="zh-CN"/>
        </w:rPr>
      </w:pPr>
      <w:r w:rsidRPr="000D79DD">
        <w:rPr>
          <w:rFonts w:asciiTheme="majorBidi" w:hAnsiTheme="majorBidi" w:cstheme="majorBidi"/>
          <w:szCs w:val="22"/>
          <w:lang w:eastAsia="zh-CN"/>
        </w:rPr>
        <w:t>(b)</w:t>
      </w:r>
      <w:r w:rsidR="00231703">
        <w:rPr>
          <w:rFonts w:asciiTheme="majorBidi" w:hAnsiTheme="majorBidi" w:cstheme="majorBidi"/>
          <w:szCs w:val="22"/>
          <w:lang w:eastAsia="zh-CN"/>
        </w:rPr>
        <w:t xml:space="preserve"> </w:t>
      </w:r>
      <w:r w:rsidRPr="000D79DD">
        <w:rPr>
          <w:rFonts w:asciiTheme="majorBidi" w:hAnsiTheme="majorBidi" w:cstheme="majorBidi"/>
          <w:szCs w:val="22"/>
          <w:lang w:eastAsia="zh-CN"/>
        </w:rPr>
        <w:t>"Damage" means an adverse effect on the conservation and sustainable use of biological diversity, taking also into account risks to human health, that:</w:t>
      </w:r>
    </w:p>
    <w:p w14:paraId="7DE363ED" w14:textId="77777777" w:rsidR="006F45CF" w:rsidRPr="000D79DD" w:rsidRDefault="006F45CF" w:rsidP="006F45CF">
      <w:pPr>
        <w:shd w:val="clear" w:color="auto" w:fill="FFFFFF"/>
        <w:spacing w:after="105"/>
        <w:ind w:left="1440"/>
        <w:rPr>
          <w:rFonts w:asciiTheme="majorBidi" w:hAnsiTheme="majorBidi" w:cstheme="majorBidi"/>
          <w:szCs w:val="22"/>
          <w:lang w:eastAsia="zh-CN"/>
        </w:rPr>
      </w:pPr>
      <w:r w:rsidRPr="000D79DD">
        <w:rPr>
          <w:rFonts w:asciiTheme="majorBidi" w:hAnsiTheme="majorBidi" w:cstheme="majorBidi"/>
          <w:szCs w:val="22"/>
          <w:lang w:eastAsia="zh-CN"/>
        </w:rPr>
        <w:t>(</w:t>
      </w:r>
      <w:proofErr w:type="spellStart"/>
      <w:r w:rsidRPr="000D79DD">
        <w:rPr>
          <w:rFonts w:asciiTheme="majorBidi" w:hAnsiTheme="majorBidi" w:cstheme="majorBidi"/>
          <w:szCs w:val="22"/>
          <w:lang w:eastAsia="zh-CN"/>
        </w:rPr>
        <w:t>i</w:t>
      </w:r>
      <w:proofErr w:type="spellEnd"/>
      <w:r w:rsidRPr="000D79DD">
        <w:rPr>
          <w:rFonts w:asciiTheme="majorBidi" w:hAnsiTheme="majorBidi" w:cstheme="majorBidi"/>
          <w:szCs w:val="22"/>
          <w:lang w:eastAsia="zh-CN"/>
        </w:rPr>
        <w:t xml:space="preserve">) Is measurable or otherwise observable taking into account, wherever available, </w:t>
      </w:r>
      <w:proofErr w:type="gramStart"/>
      <w:r w:rsidRPr="000D79DD">
        <w:rPr>
          <w:rFonts w:asciiTheme="majorBidi" w:hAnsiTheme="majorBidi" w:cstheme="majorBidi"/>
          <w:szCs w:val="22"/>
          <w:lang w:eastAsia="zh-CN"/>
        </w:rPr>
        <w:t>scientifically-established</w:t>
      </w:r>
      <w:proofErr w:type="gramEnd"/>
      <w:r w:rsidRPr="000D79DD">
        <w:rPr>
          <w:rFonts w:asciiTheme="majorBidi" w:hAnsiTheme="majorBidi" w:cstheme="majorBidi"/>
          <w:szCs w:val="22"/>
          <w:lang w:eastAsia="zh-CN"/>
        </w:rPr>
        <w:t xml:space="preserve"> baselines recognized by a competent authority that takes into account any other human induced variation and natural variation; and</w:t>
      </w:r>
    </w:p>
    <w:p w14:paraId="177D7755" w14:textId="77777777" w:rsidR="006F45CF" w:rsidRPr="000D79DD" w:rsidRDefault="006F45CF" w:rsidP="006F45CF">
      <w:pPr>
        <w:shd w:val="clear" w:color="auto" w:fill="FFFFFF"/>
        <w:spacing w:after="105"/>
        <w:ind w:left="720" w:firstLine="720"/>
        <w:rPr>
          <w:rFonts w:asciiTheme="majorBidi" w:hAnsiTheme="majorBidi" w:cstheme="majorBidi"/>
          <w:szCs w:val="22"/>
          <w:lang w:eastAsia="zh-CN"/>
        </w:rPr>
      </w:pPr>
      <w:r w:rsidRPr="000D79DD">
        <w:rPr>
          <w:rFonts w:asciiTheme="majorBidi" w:hAnsiTheme="majorBidi" w:cstheme="majorBidi"/>
          <w:szCs w:val="22"/>
          <w:lang w:eastAsia="zh-CN"/>
        </w:rPr>
        <w:t>(ii) Is significant as set out in paragraph 3 below;</w:t>
      </w:r>
    </w:p>
    <w:p w14:paraId="4357B1A6" w14:textId="77777777" w:rsidR="006F45CF" w:rsidRPr="000D79DD" w:rsidRDefault="006F45CF" w:rsidP="006F45CF">
      <w:pPr>
        <w:shd w:val="clear" w:color="auto" w:fill="FFFFFF"/>
        <w:spacing w:after="105"/>
        <w:ind w:left="720"/>
        <w:rPr>
          <w:rFonts w:asciiTheme="majorBidi" w:hAnsiTheme="majorBidi" w:cstheme="majorBidi"/>
          <w:szCs w:val="22"/>
          <w:lang w:eastAsia="zh-CN"/>
        </w:rPr>
      </w:pPr>
      <w:r w:rsidRPr="000D79DD">
        <w:rPr>
          <w:rFonts w:asciiTheme="majorBidi" w:hAnsiTheme="majorBidi" w:cstheme="majorBidi"/>
          <w:szCs w:val="22"/>
          <w:lang w:eastAsia="zh-CN"/>
        </w:rPr>
        <w:t>(c) "Operator" means any person in direct or indirect control of the living modified organism which could, as appropriate and as determined by domestic law, include, inter alia, the permit holder, person who placed the living modified organism on the market, developer, producer, notifier, exporter, importer, carrier or supplier;</w:t>
      </w:r>
    </w:p>
    <w:p w14:paraId="164708DF" w14:textId="77777777" w:rsidR="006F45CF" w:rsidRPr="000D79DD" w:rsidRDefault="006F45CF" w:rsidP="006F45CF">
      <w:pPr>
        <w:shd w:val="clear" w:color="auto" w:fill="FFFFFF"/>
        <w:ind w:firstLine="720"/>
        <w:rPr>
          <w:rFonts w:asciiTheme="majorBidi" w:hAnsiTheme="majorBidi" w:cstheme="majorBidi"/>
          <w:szCs w:val="22"/>
          <w:lang w:eastAsia="zh-CN"/>
        </w:rPr>
      </w:pPr>
      <w:r w:rsidRPr="000D79DD">
        <w:rPr>
          <w:rFonts w:asciiTheme="majorBidi" w:hAnsiTheme="majorBidi" w:cstheme="majorBidi"/>
          <w:szCs w:val="22"/>
          <w:lang w:eastAsia="zh-CN"/>
        </w:rPr>
        <w:t>(d) "Response measures" means reasonable actions to:</w:t>
      </w:r>
    </w:p>
    <w:p w14:paraId="3E2C0524" w14:textId="77777777" w:rsidR="006F45CF" w:rsidRPr="000D79DD" w:rsidRDefault="006F45CF" w:rsidP="006F45CF">
      <w:pPr>
        <w:shd w:val="clear" w:color="auto" w:fill="FFFFFF"/>
        <w:spacing w:after="105"/>
        <w:ind w:left="720" w:firstLine="720"/>
        <w:rPr>
          <w:rFonts w:asciiTheme="majorBidi" w:hAnsiTheme="majorBidi" w:cstheme="majorBidi"/>
          <w:szCs w:val="22"/>
          <w:lang w:eastAsia="zh-CN"/>
        </w:rPr>
      </w:pPr>
      <w:r w:rsidRPr="000D79DD">
        <w:rPr>
          <w:rFonts w:asciiTheme="majorBidi" w:hAnsiTheme="majorBidi" w:cstheme="majorBidi"/>
          <w:szCs w:val="22"/>
          <w:lang w:eastAsia="zh-CN"/>
        </w:rPr>
        <w:t>(</w:t>
      </w:r>
      <w:proofErr w:type="spellStart"/>
      <w:r w:rsidRPr="000D79DD">
        <w:rPr>
          <w:rFonts w:asciiTheme="majorBidi" w:hAnsiTheme="majorBidi" w:cstheme="majorBidi"/>
          <w:szCs w:val="22"/>
          <w:lang w:eastAsia="zh-CN"/>
        </w:rPr>
        <w:t>i</w:t>
      </w:r>
      <w:proofErr w:type="spellEnd"/>
      <w:r w:rsidRPr="000D79DD">
        <w:rPr>
          <w:rFonts w:asciiTheme="majorBidi" w:hAnsiTheme="majorBidi" w:cstheme="majorBidi"/>
          <w:szCs w:val="22"/>
          <w:lang w:eastAsia="zh-CN"/>
        </w:rPr>
        <w:t>)Prevent, minimize, contain, mitigate, or otherwise avoid damage, as appropriate;</w:t>
      </w:r>
    </w:p>
    <w:p w14:paraId="39CDFD69" w14:textId="77777777" w:rsidR="006F45CF" w:rsidRPr="000D79DD" w:rsidRDefault="006F45CF" w:rsidP="006F45CF">
      <w:pPr>
        <w:shd w:val="clear" w:color="auto" w:fill="FFFFFF"/>
        <w:ind w:left="1440"/>
        <w:rPr>
          <w:rFonts w:asciiTheme="majorBidi" w:hAnsiTheme="majorBidi" w:cstheme="majorBidi"/>
          <w:szCs w:val="22"/>
          <w:lang w:eastAsia="zh-CN"/>
        </w:rPr>
      </w:pPr>
      <w:r w:rsidRPr="000D79DD">
        <w:rPr>
          <w:rFonts w:asciiTheme="majorBidi" w:hAnsiTheme="majorBidi" w:cstheme="majorBidi"/>
          <w:szCs w:val="22"/>
          <w:lang w:eastAsia="zh-CN"/>
        </w:rPr>
        <w:t>(ii)Restore biological diversity through actions to be undertaken in the following order of preference:</w:t>
      </w:r>
    </w:p>
    <w:p w14:paraId="2E7F7BFD" w14:textId="77777777" w:rsidR="006F45CF" w:rsidRPr="000D79DD" w:rsidRDefault="006F45CF" w:rsidP="006F45CF">
      <w:pPr>
        <w:shd w:val="clear" w:color="auto" w:fill="FFFFFF"/>
        <w:spacing w:after="105"/>
        <w:ind w:left="2160"/>
        <w:rPr>
          <w:rFonts w:asciiTheme="majorBidi" w:hAnsiTheme="majorBidi" w:cstheme="majorBidi"/>
          <w:szCs w:val="22"/>
          <w:lang w:eastAsia="zh-CN"/>
        </w:rPr>
      </w:pPr>
      <w:r w:rsidRPr="000D79DD">
        <w:rPr>
          <w:rFonts w:asciiTheme="majorBidi" w:hAnsiTheme="majorBidi" w:cstheme="majorBidi"/>
          <w:szCs w:val="22"/>
          <w:lang w:eastAsia="zh-CN"/>
        </w:rPr>
        <w:lastRenderedPageBreak/>
        <w:t>a. Restoration of biological diversity to the condition that existed before the damage occurred, or its nearest equivalent; and where the competent authority determines this is not possible;</w:t>
      </w:r>
    </w:p>
    <w:p w14:paraId="6BC46064" w14:textId="77777777" w:rsidR="006F45CF" w:rsidRPr="000D79DD" w:rsidRDefault="006F45CF" w:rsidP="006F45CF">
      <w:pPr>
        <w:shd w:val="clear" w:color="auto" w:fill="FFFFFF"/>
        <w:spacing w:after="105"/>
        <w:ind w:left="2160"/>
        <w:rPr>
          <w:rFonts w:asciiTheme="majorBidi" w:hAnsiTheme="majorBidi" w:cstheme="majorBidi"/>
          <w:szCs w:val="22"/>
          <w:lang w:eastAsia="zh-CN"/>
        </w:rPr>
      </w:pPr>
      <w:r w:rsidRPr="000D79DD">
        <w:rPr>
          <w:rFonts w:asciiTheme="majorBidi" w:hAnsiTheme="majorBidi" w:cstheme="majorBidi"/>
          <w:szCs w:val="22"/>
          <w:lang w:eastAsia="zh-CN"/>
        </w:rPr>
        <w:t>b. Restoration by, inter alia, replacing the loss of biological diversity with other components of biological diversity for the same, or for another type of use either at the same or, as appropriate, at an alternative location.</w:t>
      </w:r>
    </w:p>
    <w:p w14:paraId="67B2C11B" w14:textId="77777777" w:rsidR="006F45CF" w:rsidRPr="000D79DD" w:rsidRDefault="006F45CF" w:rsidP="006F45CF">
      <w:pPr>
        <w:shd w:val="clear" w:color="auto" w:fill="FFFFFF"/>
        <w:rPr>
          <w:rFonts w:asciiTheme="majorBidi" w:hAnsiTheme="majorBidi" w:cstheme="majorBidi"/>
          <w:szCs w:val="22"/>
          <w:lang w:eastAsia="zh-CN"/>
        </w:rPr>
      </w:pPr>
      <w:r w:rsidRPr="000D79DD">
        <w:rPr>
          <w:rFonts w:asciiTheme="majorBidi" w:hAnsiTheme="majorBidi" w:cstheme="majorBidi"/>
          <w:szCs w:val="22"/>
          <w:lang w:eastAsia="zh-CN"/>
        </w:rPr>
        <w:t xml:space="preserve">3. A "significant" adverse effect is to be determined </w:t>
      </w:r>
      <w:proofErr w:type="gramStart"/>
      <w:r w:rsidRPr="000D79DD">
        <w:rPr>
          <w:rFonts w:asciiTheme="majorBidi" w:hAnsiTheme="majorBidi" w:cstheme="majorBidi"/>
          <w:szCs w:val="22"/>
          <w:lang w:eastAsia="zh-CN"/>
        </w:rPr>
        <w:t>on the basis of</w:t>
      </w:r>
      <w:proofErr w:type="gramEnd"/>
      <w:r w:rsidRPr="000D79DD">
        <w:rPr>
          <w:rFonts w:asciiTheme="majorBidi" w:hAnsiTheme="majorBidi" w:cstheme="majorBidi"/>
          <w:szCs w:val="22"/>
          <w:lang w:eastAsia="zh-CN"/>
        </w:rPr>
        <w:t xml:space="preserve"> factors, such as:</w:t>
      </w:r>
    </w:p>
    <w:p w14:paraId="4FA70E7C" w14:textId="77777777" w:rsidR="006F45CF" w:rsidRPr="000D79DD" w:rsidRDefault="006F45CF" w:rsidP="006F45CF">
      <w:pPr>
        <w:shd w:val="clear" w:color="auto" w:fill="FFFFFF"/>
        <w:spacing w:after="105"/>
        <w:ind w:left="720"/>
        <w:rPr>
          <w:rFonts w:asciiTheme="majorBidi" w:hAnsiTheme="majorBidi" w:cstheme="majorBidi"/>
          <w:szCs w:val="22"/>
          <w:lang w:eastAsia="zh-CN"/>
        </w:rPr>
      </w:pPr>
      <w:r w:rsidRPr="000D79DD">
        <w:rPr>
          <w:rFonts w:asciiTheme="majorBidi" w:hAnsiTheme="majorBidi" w:cstheme="majorBidi"/>
          <w:szCs w:val="22"/>
          <w:lang w:eastAsia="zh-CN"/>
        </w:rPr>
        <w:t xml:space="preserve">(a) The long-term or permanent change, to be understood as change that will not be redressed through natural recovery within a reasonable </w:t>
      </w:r>
      <w:proofErr w:type="gramStart"/>
      <w:r w:rsidRPr="000D79DD">
        <w:rPr>
          <w:rFonts w:asciiTheme="majorBidi" w:hAnsiTheme="majorBidi" w:cstheme="majorBidi"/>
          <w:szCs w:val="22"/>
          <w:lang w:eastAsia="zh-CN"/>
        </w:rPr>
        <w:t>period of time</w:t>
      </w:r>
      <w:proofErr w:type="gramEnd"/>
      <w:r w:rsidRPr="000D79DD">
        <w:rPr>
          <w:rFonts w:asciiTheme="majorBidi" w:hAnsiTheme="majorBidi" w:cstheme="majorBidi"/>
          <w:szCs w:val="22"/>
          <w:lang w:eastAsia="zh-CN"/>
        </w:rPr>
        <w:t>;</w:t>
      </w:r>
    </w:p>
    <w:p w14:paraId="56E3978B" w14:textId="77777777" w:rsidR="006F45CF" w:rsidRPr="000D79DD" w:rsidRDefault="006F45CF" w:rsidP="006F45CF">
      <w:pPr>
        <w:shd w:val="clear" w:color="auto" w:fill="FFFFFF"/>
        <w:spacing w:after="105"/>
        <w:ind w:left="720"/>
        <w:rPr>
          <w:rFonts w:asciiTheme="majorBidi" w:hAnsiTheme="majorBidi" w:cstheme="majorBidi"/>
          <w:szCs w:val="22"/>
          <w:lang w:eastAsia="zh-CN"/>
        </w:rPr>
      </w:pPr>
      <w:r w:rsidRPr="000D79DD">
        <w:rPr>
          <w:rFonts w:asciiTheme="majorBidi" w:hAnsiTheme="majorBidi" w:cstheme="majorBidi"/>
          <w:szCs w:val="22"/>
          <w:lang w:eastAsia="zh-CN"/>
        </w:rPr>
        <w:t>(b) The extent of the qualitative or quantitative changes that adversely affect the components of biological diversity;</w:t>
      </w:r>
    </w:p>
    <w:p w14:paraId="743989EF"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(c) The reduction of the ability of components of biological diversity to provide goods and services;</w:t>
      </w:r>
    </w:p>
    <w:p w14:paraId="5E6D78E1"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(d) The extent of any adverse effects on human health in the context of the Protocol.</w:t>
      </w:r>
    </w:p>
    <w:p w14:paraId="28C32EAD"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62E25BA4"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3</w:t>
      </w:r>
    </w:p>
    <w:p w14:paraId="20E296A5" w14:textId="77777777" w:rsidR="006F45CF" w:rsidRPr="000D79DD" w:rsidRDefault="006F45CF" w:rsidP="009168FF">
      <w:pPr>
        <w:pStyle w:val="FootnoteT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Scope</w:t>
      </w:r>
    </w:p>
    <w:p w14:paraId="2FB9F948" w14:textId="77777777" w:rsidR="006F45CF" w:rsidRPr="000D79DD" w:rsidRDefault="006F45CF" w:rsidP="006F45CF">
      <w:pPr>
        <w:shd w:val="clear" w:color="auto" w:fill="FFFFFF"/>
        <w:rPr>
          <w:rFonts w:asciiTheme="majorBidi" w:hAnsiTheme="majorBidi" w:cstheme="majorBidi"/>
          <w:szCs w:val="22"/>
          <w:lang w:eastAsia="zh-CN"/>
        </w:rPr>
      </w:pPr>
      <w:r w:rsidRPr="000D79DD">
        <w:rPr>
          <w:rFonts w:asciiTheme="majorBidi" w:hAnsiTheme="majorBidi" w:cstheme="majorBidi"/>
          <w:szCs w:val="22"/>
          <w:lang w:eastAsia="zh-CN"/>
        </w:rPr>
        <w:t>1. This Supplementary Protocol applies to damage resulting from living modified organisms which find their origin in a transboundary movement. The living modified organisms referred to are those:</w:t>
      </w:r>
    </w:p>
    <w:p w14:paraId="0C9D019F"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(a) Intended for direct use as food or feed, or for processing;</w:t>
      </w:r>
    </w:p>
    <w:p w14:paraId="7E53E8A8"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(b) Destined for contained use;</w:t>
      </w:r>
    </w:p>
    <w:p w14:paraId="74116233"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(c) Intended for intentional introduction into the environment.</w:t>
      </w:r>
    </w:p>
    <w:p w14:paraId="59F13164"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2. With respect to intentional transboundary movements, this Supplementary Protocol applies to damage resulting from any authorized use of the living modified organisms referred to in paragraph 1 above.</w:t>
      </w:r>
    </w:p>
    <w:p w14:paraId="1500B4B4"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3. This Supplementary Protocol also applies to damage resulting from unintentional transboundary movements as referred to in Article 17 of the Protocol as well as damage resulting from illegal transboundary movements as referred to in Article 25 of the Protocol.</w:t>
      </w:r>
    </w:p>
    <w:p w14:paraId="57211C08"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4. This Supplementary Protocol applies to damage resulting from a transboundary movement of living modified organisms that started after the entry into force of this Supplementary Protocol for the Party into whose jurisdiction the transboundary movement was made.</w:t>
      </w:r>
    </w:p>
    <w:p w14:paraId="2C3D330D"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5. This Supplementary Protocol applies to damage that occurred in areas within the limits of the national jurisdiction of Parties.</w:t>
      </w:r>
    </w:p>
    <w:p w14:paraId="42DC52E3"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6. Parties may use criteria set out in their domestic law to address damage that occurs within the limits of their national jurisdiction.</w:t>
      </w:r>
    </w:p>
    <w:p w14:paraId="1964AE27"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7. Domestic law implementing this Supplementary Protocol shall also apply to damage resulting from transboundary movements of living modified organisms from non-Parties.</w:t>
      </w:r>
    </w:p>
    <w:p w14:paraId="4679BFEC"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47C48B96"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4</w:t>
      </w:r>
    </w:p>
    <w:p w14:paraId="5A2BE4F0" w14:textId="77777777" w:rsidR="006F45CF" w:rsidRPr="000D79DD" w:rsidRDefault="006F45CF" w:rsidP="009168FF">
      <w:pPr>
        <w:pStyle w:val="FootnoteText"/>
        <w:keepN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Causation</w:t>
      </w:r>
    </w:p>
    <w:p w14:paraId="60FAB728"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szCs w:val="22"/>
          <w:lang w:eastAsia="zh-CN"/>
        </w:rPr>
        <w:t>A causal link shall be established between the damage and the living modified organism in question in accordance with domestic law.</w:t>
      </w:r>
    </w:p>
    <w:p w14:paraId="0D516FEC"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083F63EA" w14:textId="77777777" w:rsidR="006F45CF" w:rsidRPr="000D79DD" w:rsidRDefault="006F45CF" w:rsidP="009168FF">
      <w:pPr>
        <w:pStyle w:val="FootnoteText"/>
        <w:keepN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lastRenderedPageBreak/>
        <w:t>ARTICLE 5</w:t>
      </w:r>
    </w:p>
    <w:p w14:paraId="02E8BDCF" w14:textId="77777777" w:rsidR="006F45CF" w:rsidRPr="000D79DD" w:rsidRDefault="006F45CF" w:rsidP="009168FF">
      <w:pPr>
        <w:pStyle w:val="FootnoteText"/>
        <w:keepN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Response measures</w:t>
      </w:r>
    </w:p>
    <w:p w14:paraId="35C671B6" w14:textId="77777777" w:rsidR="006F45CF" w:rsidRPr="000D79DD" w:rsidRDefault="006F45CF" w:rsidP="006F45CF">
      <w:pPr>
        <w:shd w:val="clear" w:color="auto" w:fill="FFFFFF"/>
        <w:rPr>
          <w:rFonts w:asciiTheme="majorBidi" w:hAnsiTheme="majorBidi" w:cstheme="majorBidi"/>
          <w:szCs w:val="22"/>
          <w:lang w:eastAsia="zh-CN"/>
        </w:rPr>
      </w:pPr>
      <w:r w:rsidRPr="000D79DD">
        <w:rPr>
          <w:rFonts w:asciiTheme="majorBidi" w:hAnsiTheme="majorBidi" w:cstheme="majorBidi"/>
          <w:szCs w:val="22"/>
          <w:lang w:eastAsia="zh-CN"/>
        </w:rPr>
        <w:t>1. Parties shall require the appropriate operator or operators, in the event of damage, subject to any requirements of the competent authority, to:</w:t>
      </w:r>
    </w:p>
    <w:p w14:paraId="19051FD9"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(a)Immediately inform the competent authority;</w:t>
      </w:r>
    </w:p>
    <w:p w14:paraId="74A3924F"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(b)Evaluate the damage; and</w:t>
      </w:r>
    </w:p>
    <w:p w14:paraId="4230CFAB"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(c)Take appropriate response measures.</w:t>
      </w:r>
    </w:p>
    <w:p w14:paraId="659BAD68" w14:textId="77777777" w:rsidR="006F45CF" w:rsidRPr="000D79DD" w:rsidRDefault="006F45CF" w:rsidP="006F45CF">
      <w:pPr>
        <w:shd w:val="clear" w:color="auto" w:fill="FFFFFF"/>
        <w:rPr>
          <w:rFonts w:asciiTheme="majorBidi" w:hAnsiTheme="majorBidi" w:cstheme="majorBidi"/>
          <w:szCs w:val="22"/>
          <w:lang w:eastAsia="zh-CN"/>
        </w:rPr>
      </w:pPr>
      <w:r w:rsidRPr="000D79DD">
        <w:rPr>
          <w:rFonts w:asciiTheme="majorBidi" w:hAnsiTheme="majorBidi" w:cstheme="majorBidi"/>
          <w:szCs w:val="22"/>
          <w:lang w:eastAsia="zh-CN"/>
        </w:rPr>
        <w:t>2. The competent authority shall:</w:t>
      </w:r>
    </w:p>
    <w:p w14:paraId="20586A44"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(a) Identify the operator which has caused the damage;</w:t>
      </w:r>
    </w:p>
    <w:p w14:paraId="7AF1735D"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(b) Evaluate the damage; and</w:t>
      </w:r>
    </w:p>
    <w:p w14:paraId="1BE3ADA0"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(c) Determine which response measures should be taken by the operator.</w:t>
      </w:r>
    </w:p>
    <w:p w14:paraId="088889E7"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3. Where relevant information, including available scientific information or information available in the Biosafety Clearing-House, indicates that there is a sufficient likelihood that damage will result if timely response measures are not taken, the operator shall be required to take appropriate response measures so as to avoid such damage.</w:t>
      </w:r>
    </w:p>
    <w:p w14:paraId="791F0DEC"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4. The competent authority may implement appropriate response measures, including</w:t>
      </w:r>
      <w:proofErr w:type="gramStart"/>
      <w:r w:rsidRPr="000D79DD">
        <w:rPr>
          <w:rFonts w:asciiTheme="majorBidi" w:hAnsiTheme="majorBidi" w:cstheme="majorBidi"/>
          <w:szCs w:val="22"/>
          <w:lang w:eastAsia="zh-CN"/>
        </w:rPr>
        <w:t>, in particular, when</w:t>
      </w:r>
      <w:proofErr w:type="gramEnd"/>
      <w:r w:rsidRPr="000D79DD">
        <w:rPr>
          <w:rFonts w:asciiTheme="majorBidi" w:hAnsiTheme="majorBidi" w:cstheme="majorBidi"/>
          <w:szCs w:val="22"/>
          <w:lang w:eastAsia="zh-CN"/>
        </w:rPr>
        <w:t xml:space="preserve"> the operator has failed to do so.</w:t>
      </w:r>
    </w:p>
    <w:p w14:paraId="376620FA"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5. The competent authority has the right to recover from the operator the costs and expenses of, and incidental to, the evaluation of the damage and the implementation of any such appropriate response measures. Parties may provide, in their domestic law, for other situations in which the operator may not be required to bear the costs and expenses.</w:t>
      </w:r>
    </w:p>
    <w:p w14:paraId="640BF59A"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6. Decisions of the competent authority requiring the operator to take response measures should be reasoned. Such decisions should be notified to the operator. Domestic law shall provide for remedies, including the opportunity for administrative or judicial review of such decisions. The competent authority shall, in accordance with domestic law, also inform the operator of the available remedies. Recourse to such remedies shall not impede the competent authority from taking response measures in appropriate circumstances, unless otherwise provided by domestic law.</w:t>
      </w:r>
    </w:p>
    <w:p w14:paraId="39DA0C88"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7. In implementing this Article and with a view to defining the specific response measures to be required or taken by the competent authority, Parties may, as appropriate, assess whether response measures are already addressed by their domestic law on civil liability.</w:t>
      </w:r>
    </w:p>
    <w:p w14:paraId="7D1F9358"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8. Response measures shall be implemented in accordance with domestic law.</w:t>
      </w:r>
    </w:p>
    <w:p w14:paraId="3F64A449"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12FF4E2D"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6</w:t>
      </w:r>
    </w:p>
    <w:p w14:paraId="6766DD07" w14:textId="77777777" w:rsidR="006F45CF" w:rsidRPr="000D79DD" w:rsidRDefault="006F45CF" w:rsidP="009168FF">
      <w:pPr>
        <w:pStyle w:val="FootnoteText"/>
        <w:keepN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Exemptions</w:t>
      </w:r>
    </w:p>
    <w:p w14:paraId="703A36B9" w14:textId="77777777" w:rsidR="006F45CF" w:rsidRPr="000D79DD" w:rsidRDefault="006F45CF" w:rsidP="006F45CF">
      <w:pPr>
        <w:shd w:val="clear" w:color="auto" w:fill="FFFFFF"/>
        <w:rPr>
          <w:rFonts w:asciiTheme="majorBidi" w:hAnsiTheme="majorBidi" w:cstheme="majorBidi"/>
          <w:szCs w:val="22"/>
          <w:lang w:eastAsia="zh-CN"/>
        </w:rPr>
      </w:pPr>
      <w:r w:rsidRPr="000D79DD">
        <w:rPr>
          <w:rFonts w:asciiTheme="majorBidi" w:hAnsiTheme="majorBidi" w:cstheme="majorBidi"/>
          <w:szCs w:val="22"/>
          <w:lang w:eastAsia="zh-CN"/>
        </w:rPr>
        <w:t>1. Parties may provide, in their domestic law, for the following exemptions:</w:t>
      </w:r>
    </w:p>
    <w:p w14:paraId="0452479A"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(a) Act of God or </w:t>
      </w:r>
      <w:r w:rsidRPr="000D79DD">
        <w:rPr>
          <w:rFonts w:asciiTheme="majorBidi" w:hAnsiTheme="majorBidi" w:cstheme="majorBidi"/>
          <w:i/>
          <w:iCs/>
          <w:szCs w:val="22"/>
          <w:lang w:eastAsia="zh-CN"/>
        </w:rPr>
        <w:t>force majeure</w:t>
      </w:r>
      <w:r w:rsidRPr="000D79DD">
        <w:rPr>
          <w:rFonts w:asciiTheme="majorBidi" w:hAnsiTheme="majorBidi" w:cstheme="majorBidi"/>
          <w:szCs w:val="22"/>
          <w:lang w:eastAsia="zh-CN"/>
        </w:rPr>
        <w:t>; and</w:t>
      </w:r>
    </w:p>
    <w:p w14:paraId="6391A41A"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(b) Act of war or civil unrest.</w:t>
      </w:r>
    </w:p>
    <w:p w14:paraId="65516C62"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2. Parties may provide, in their domestic law, for any other exemptions or mitigations as they may deem fit.</w:t>
      </w:r>
    </w:p>
    <w:p w14:paraId="7FB7DDDD"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4BC76790" w14:textId="77777777" w:rsidR="006F45CF" w:rsidRPr="000D79DD" w:rsidRDefault="006F45CF" w:rsidP="009168FF">
      <w:pPr>
        <w:pStyle w:val="FootnoteText"/>
        <w:keepN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lastRenderedPageBreak/>
        <w:t>ARTICLE 7</w:t>
      </w:r>
    </w:p>
    <w:p w14:paraId="3BDCD7F4" w14:textId="77777777" w:rsidR="006F45CF" w:rsidRPr="000D79DD" w:rsidRDefault="006F45CF" w:rsidP="009168FF">
      <w:pPr>
        <w:pStyle w:val="FootnoteText"/>
        <w:keepN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Time limits</w:t>
      </w:r>
    </w:p>
    <w:p w14:paraId="225580E9" w14:textId="77777777" w:rsidR="006F45CF" w:rsidRPr="000D79DD" w:rsidRDefault="006F45CF" w:rsidP="009168FF">
      <w:pPr>
        <w:keepNext/>
        <w:shd w:val="clear" w:color="auto" w:fill="FFFFFF"/>
        <w:ind w:firstLine="450"/>
        <w:rPr>
          <w:rFonts w:asciiTheme="majorBidi" w:hAnsiTheme="majorBidi" w:cstheme="majorBidi"/>
          <w:szCs w:val="22"/>
          <w:lang w:eastAsia="zh-CN"/>
        </w:rPr>
      </w:pPr>
      <w:r w:rsidRPr="000D79DD">
        <w:rPr>
          <w:rFonts w:asciiTheme="majorBidi" w:hAnsiTheme="majorBidi" w:cstheme="majorBidi"/>
          <w:szCs w:val="22"/>
          <w:lang w:eastAsia="zh-CN"/>
        </w:rPr>
        <w:t>Parties may provide, in their domestic law, for:</w:t>
      </w:r>
    </w:p>
    <w:p w14:paraId="453F393F"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szCs w:val="22"/>
          <w:lang w:eastAsia="zh-CN"/>
        </w:rPr>
        <w:t>(a) Relative and/or absolute time limits including for actions related to response measures; and</w:t>
      </w:r>
    </w:p>
    <w:p w14:paraId="2583EE1F"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szCs w:val="22"/>
          <w:lang w:eastAsia="zh-CN"/>
        </w:rPr>
        <w:t>(b) The commencement of the period to which a time limit applies.</w:t>
      </w:r>
    </w:p>
    <w:p w14:paraId="5152D2A2"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7167739B"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8</w:t>
      </w:r>
    </w:p>
    <w:p w14:paraId="28CAEA96" w14:textId="77777777" w:rsidR="006F45CF" w:rsidRPr="000D79DD" w:rsidRDefault="006F45CF" w:rsidP="009168FF">
      <w:pPr>
        <w:pStyle w:val="FootnoteT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Financial limits</w:t>
      </w:r>
    </w:p>
    <w:p w14:paraId="0B9637EA"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szCs w:val="22"/>
          <w:lang w:eastAsia="zh-CN"/>
        </w:rPr>
        <w:t>Parties may provide, in their domestic law, for financial limits for the recovery of costs and expenses related to response measures.</w:t>
      </w:r>
    </w:p>
    <w:p w14:paraId="1CEBC10F"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1B5A2701"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9</w:t>
      </w:r>
    </w:p>
    <w:p w14:paraId="6C9720EF" w14:textId="77777777" w:rsidR="006F45CF" w:rsidRPr="000D79DD" w:rsidRDefault="006F45CF" w:rsidP="009168FF">
      <w:pPr>
        <w:pStyle w:val="FootnoteT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Right of recourse</w:t>
      </w:r>
    </w:p>
    <w:p w14:paraId="7CD76D47"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szCs w:val="22"/>
          <w:lang w:eastAsia="zh-CN"/>
        </w:rPr>
        <w:t>This Supplementary Protocol shall not limit or restrict any right of recourse or indemnity that an operator may have against any other person.</w:t>
      </w:r>
    </w:p>
    <w:p w14:paraId="6F8831C1"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56E9A7C8"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10</w:t>
      </w:r>
    </w:p>
    <w:p w14:paraId="5CD6886F" w14:textId="77777777" w:rsidR="006F45CF" w:rsidRPr="000D79DD" w:rsidRDefault="006F45CF" w:rsidP="009168FF">
      <w:pPr>
        <w:pStyle w:val="FootnoteT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Financial security</w:t>
      </w:r>
    </w:p>
    <w:p w14:paraId="2D3CEFEE"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1. Parties retain the right to provide, in their domestic law, for financial security.</w:t>
      </w:r>
    </w:p>
    <w:p w14:paraId="15CD3CA1"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 xml:space="preserve">2. Parties shall exercise the right referred to in paragraph 1 above in a manner consistent with their rights and obligations under international law, </w:t>
      </w:r>
      <w:proofErr w:type="gramStart"/>
      <w:r w:rsidRPr="000D79DD">
        <w:rPr>
          <w:rFonts w:asciiTheme="majorBidi" w:hAnsiTheme="majorBidi" w:cstheme="majorBidi"/>
          <w:szCs w:val="22"/>
          <w:lang w:eastAsia="zh-CN"/>
        </w:rPr>
        <w:t>taking into account</w:t>
      </w:r>
      <w:proofErr w:type="gramEnd"/>
      <w:r w:rsidRPr="000D79DD">
        <w:rPr>
          <w:rFonts w:asciiTheme="majorBidi" w:hAnsiTheme="majorBidi" w:cstheme="majorBidi"/>
          <w:szCs w:val="22"/>
          <w:lang w:eastAsia="zh-CN"/>
        </w:rPr>
        <w:t xml:space="preserve"> the final three preambular paragraphs of the Protocol.</w:t>
      </w:r>
    </w:p>
    <w:p w14:paraId="7D9BA4AE" w14:textId="77777777" w:rsidR="006F45CF" w:rsidRPr="000D79DD" w:rsidRDefault="006F45CF" w:rsidP="006F45CF">
      <w:pPr>
        <w:shd w:val="clear" w:color="auto" w:fill="FFFFFF"/>
        <w:rPr>
          <w:rFonts w:asciiTheme="majorBidi" w:hAnsiTheme="majorBidi" w:cstheme="majorBidi"/>
          <w:szCs w:val="22"/>
          <w:lang w:eastAsia="zh-CN"/>
        </w:rPr>
      </w:pPr>
      <w:r w:rsidRPr="000D79DD">
        <w:rPr>
          <w:rFonts w:asciiTheme="majorBidi" w:hAnsiTheme="majorBidi" w:cstheme="majorBidi"/>
          <w:szCs w:val="22"/>
          <w:lang w:eastAsia="zh-CN"/>
        </w:rPr>
        <w:t>3. The first meeting of the Conference of the Parties serving as the meeting of the Parties to the Protocol after the entry into force of the Supplementary Protocol shall request the Secretariat to undertake a comprehensive study which shall address, </w:t>
      </w:r>
      <w:r w:rsidRPr="000D79DD">
        <w:rPr>
          <w:rFonts w:asciiTheme="majorBidi" w:hAnsiTheme="majorBidi" w:cstheme="majorBidi"/>
          <w:i/>
          <w:iCs/>
          <w:szCs w:val="22"/>
          <w:lang w:eastAsia="zh-CN"/>
        </w:rPr>
        <w:t>inter alia</w:t>
      </w:r>
      <w:r w:rsidRPr="000D79DD">
        <w:rPr>
          <w:rFonts w:asciiTheme="majorBidi" w:hAnsiTheme="majorBidi" w:cstheme="majorBidi"/>
          <w:szCs w:val="22"/>
          <w:lang w:eastAsia="zh-CN"/>
        </w:rPr>
        <w:t>:</w:t>
      </w:r>
    </w:p>
    <w:p w14:paraId="5709B041"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(a) The modalities of financial security mechanisms;</w:t>
      </w:r>
    </w:p>
    <w:p w14:paraId="29BB8FFF" w14:textId="77777777" w:rsidR="006F45CF" w:rsidRPr="000D79DD" w:rsidRDefault="006F45CF" w:rsidP="006F45CF">
      <w:pPr>
        <w:shd w:val="clear" w:color="auto" w:fill="FFFFFF"/>
        <w:spacing w:after="105"/>
        <w:ind w:left="720"/>
        <w:rPr>
          <w:rFonts w:asciiTheme="majorBidi" w:hAnsiTheme="majorBidi" w:cstheme="majorBidi"/>
          <w:szCs w:val="22"/>
          <w:lang w:eastAsia="zh-CN"/>
        </w:rPr>
      </w:pPr>
      <w:r w:rsidRPr="000D79DD">
        <w:rPr>
          <w:rFonts w:asciiTheme="majorBidi" w:hAnsiTheme="majorBidi" w:cstheme="majorBidi"/>
          <w:szCs w:val="22"/>
          <w:lang w:eastAsia="zh-CN"/>
        </w:rPr>
        <w:t xml:space="preserve">(b) An assessment of the environmental, economic and social impacts of such mechanisms, </w:t>
      </w:r>
      <w:proofErr w:type="gramStart"/>
      <w:r w:rsidRPr="000D79DD">
        <w:rPr>
          <w:rFonts w:asciiTheme="majorBidi" w:hAnsiTheme="majorBidi" w:cstheme="majorBidi"/>
          <w:szCs w:val="22"/>
          <w:lang w:eastAsia="zh-CN"/>
        </w:rPr>
        <w:t>in particular on</w:t>
      </w:r>
      <w:proofErr w:type="gramEnd"/>
      <w:r w:rsidRPr="000D79DD">
        <w:rPr>
          <w:rFonts w:asciiTheme="majorBidi" w:hAnsiTheme="majorBidi" w:cstheme="majorBidi"/>
          <w:szCs w:val="22"/>
          <w:lang w:eastAsia="zh-CN"/>
        </w:rPr>
        <w:t xml:space="preserve"> developing countries; and</w:t>
      </w:r>
    </w:p>
    <w:p w14:paraId="1B8FF012"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(c) An identification of the appropriate entities to provide financial security.</w:t>
      </w:r>
    </w:p>
    <w:p w14:paraId="7BF9B27C"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354137FB"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11</w:t>
      </w:r>
    </w:p>
    <w:p w14:paraId="220D789E" w14:textId="77777777" w:rsidR="006F45CF" w:rsidRPr="000D79DD" w:rsidRDefault="006F45CF" w:rsidP="009168FF">
      <w:pPr>
        <w:pStyle w:val="FootnoteT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Responsibility of States for internationally wrongful acts</w:t>
      </w:r>
    </w:p>
    <w:p w14:paraId="79D91678"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szCs w:val="22"/>
          <w:lang w:eastAsia="zh-CN"/>
        </w:rPr>
        <w:t>This Supplementary Protocol shall not affect the rights and obligations of States under the rules of general international law with respect to the responsibility of States for internationally wrongful acts.</w:t>
      </w:r>
    </w:p>
    <w:p w14:paraId="183FE7F7"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66B2B7A2"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12</w:t>
      </w:r>
    </w:p>
    <w:p w14:paraId="713BB7F0" w14:textId="77777777" w:rsidR="006F45CF" w:rsidRPr="000D79DD" w:rsidRDefault="006F45CF" w:rsidP="009168FF">
      <w:pPr>
        <w:pStyle w:val="FootnoteT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Implementation and relation to civil liability</w:t>
      </w:r>
    </w:p>
    <w:p w14:paraId="1B0C5638" w14:textId="77777777" w:rsidR="006F45CF" w:rsidRPr="000D79DD" w:rsidRDefault="006F45CF" w:rsidP="006F45CF">
      <w:pPr>
        <w:shd w:val="clear" w:color="auto" w:fill="FFFFFF"/>
        <w:rPr>
          <w:rFonts w:asciiTheme="majorBidi" w:hAnsiTheme="majorBidi" w:cstheme="majorBidi"/>
          <w:szCs w:val="22"/>
          <w:lang w:eastAsia="zh-CN"/>
        </w:rPr>
      </w:pPr>
      <w:r w:rsidRPr="000D79DD">
        <w:rPr>
          <w:rFonts w:asciiTheme="majorBidi" w:hAnsiTheme="majorBidi" w:cstheme="majorBidi"/>
          <w:szCs w:val="22"/>
          <w:lang w:eastAsia="zh-CN"/>
        </w:rPr>
        <w:t>1. Parties shall provide, in their domestic law, for rules and procedures that address damage. To implement this obligation, Parties shall provide for response measures in accordance with this Supplementary Protocol and may, as appropriate:</w:t>
      </w:r>
    </w:p>
    <w:p w14:paraId="435468B4" w14:textId="77777777" w:rsidR="006F45CF" w:rsidRPr="000D79DD" w:rsidRDefault="006F45CF" w:rsidP="006F45CF">
      <w:pPr>
        <w:shd w:val="clear" w:color="auto" w:fill="FFFFFF"/>
        <w:spacing w:after="105"/>
        <w:ind w:left="720"/>
        <w:rPr>
          <w:rFonts w:asciiTheme="majorBidi" w:hAnsiTheme="majorBidi" w:cstheme="majorBidi"/>
          <w:szCs w:val="22"/>
          <w:lang w:eastAsia="zh-CN"/>
        </w:rPr>
      </w:pPr>
      <w:r w:rsidRPr="000D79DD">
        <w:rPr>
          <w:rFonts w:asciiTheme="majorBidi" w:hAnsiTheme="majorBidi" w:cstheme="majorBidi"/>
          <w:szCs w:val="22"/>
          <w:lang w:eastAsia="zh-CN"/>
        </w:rPr>
        <w:lastRenderedPageBreak/>
        <w:t>(a) Apply their existing domestic law, including, where applicable, general rules and procedures on civil liability;</w:t>
      </w:r>
    </w:p>
    <w:p w14:paraId="18418A60"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(b) Apply or develop civil liability rules and procedures specifically for this purpose; or</w:t>
      </w:r>
    </w:p>
    <w:p w14:paraId="25663535"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(c) Apply or develop a combination of both.</w:t>
      </w:r>
    </w:p>
    <w:p w14:paraId="5D13EBCC" w14:textId="77777777" w:rsidR="006F45CF" w:rsidRPr="000D79DD" w:rsidRDefault="006F45CF" w:rsidP="006F45CF">
      <w:pPr>
        <w:shd w:val="clear" w:color="auto" w:fill="FFFFFF"/>
        <w:rPr>
          <w:rFonts w:asciiTheme="majorBidi" w:hAnsiTheme="majorBidi" w:cstheme="majorBidi"/>
          <w:szCs w:val="22"/>
          <w:lang w:eastAsia="zh-CN"/>
        </w:rPr>
      </w:pPr>
      <w:r w:rsidRPr="000D79DD">
        <w:rPr>
          <w:rFonts w:asciiTheme="majorBidi" w:hAnsiTheme="majorBidi" w:cstheme="majorBidi"/>
          <w:szCs w:val="22"/>
          <w:lang w:eastAsia="zh-CN"/>
        </w:rPr>
        <w:t>2. Parties shall, with the aim of providing adequate rules and procedures in their domestic law on civil liability for material or personal damage associated with the damage as defined in Article 2, paragraph 2 (b):</w:t>
      </w:r>
    </w:p>
    <w:p w14:paraId="6049DE21"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(a) Continue to apply their existing general law on civil liability;</w:t>
      </w:r>
    </w:p>
    <w:p w14:paraId="0CDB7CD8"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(b) Develop and apply or continue to apply civil liability law specifically for that purpose; or</w:t>
      </w:r>
    </w:p>
    <w:p w14:paraId="5B5130AD"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(c) Develop and apply or continue to apply a combination of both.</w:t>
      </w:r>
    </w:p>
    <w:p w14:paraId="54C53E41" w14:textId="77777777" w:rsidR="006F45CF" w:rsidRPr="000D79DD" w:rsidRDefault="006F45CF" w:rsidP="006F45CF">
      <w:pPr>
        <w:shd w:val="clear" w:color="auto" w:fill="FFFFFF"/>
        <w:rPr>
          <w:rFonts w:asciiTheme="majorBidi" w:hAnsiTheme="majorBidi" w:cstheme="majorBidi"/>
          <w:szCs w:val="22"/>
          <w:lang w:eastAsia="zh-CN"/>
        </w:rPr>
      </w:pPr>
      <w:r w:rsidRPr="000D79DD">
        <w:rPr>
          <w:rFonts w:asciiTheme="majorBidi" w:hAnsiTheme="majorBidi" w:cstheme="majorBidi"/>
          <w:szCs w:val="22"/>
          <w:lang w:eastAsia="zh-CN"/>
        </w:rPr>
        <w:t>3. When developing civil liability law as referred to in subparagraphs (b) or (c) of paragraphs 1 or 2 above, Parties shall, as appropriate, address, </w:t>
      </w:r>
      <w:r w:rsidRPr="000D79DD">
        <w:rPr>
          <w:rFonts w:asciiTheme="majorBidi" w:hAnsiTheme="majorBidi" w:cstheme="majorBidi"/>
          <w:i/>
          <w:iCs/>
          <w:szCs w:val="22"/>
          <w:lang w:eastAsia="zh-CN"/>
        </w:rPr>
        <w:t>inter alia</w:t>
      </w:r>
      <w:r w:rsidRPr="000D79DD">
        <w:rPr>
          <w:rFonts w:asciiTheme="majorBidi" w:hAnsiTheme="majorBidi" w:cstheme="majorBidi"/>
          <w:szCs w:val="22"/>
          <w:lang w:eastAsia="zh-CN"/>
        </w:rPr>
        <w:t>, the following elements:</w:t>
      </w:r>
    </w:p>
    <w:p w14:paraId="2DF2228D"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(a) Damage;</w:t>
      </w:r>
    </w:p>
    <w:p w14:paraId="3D243405"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(b) Standard of liability including strict or fault-based liability;</w:t>
      </w:r>
    </w:p>
    <w:p w14:paraId="30EC7185"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(c) Channelling of liability, where appropriate;</w:t>
      </w:r>
    </w:p>
    <w:p w14:paraId="79CBBCA7" w14:textId="77777777" w:rsidR="006F45CF" w:rsidRPr="000D79DD" w:rsidRDefault="006F45CF" w:rsidP="006F45CF">
      <w:pPr>
        <w:shd w:val="clear" w:color="auto" w:fill="FFFFFF"/>
        <w:spacing w:after="105"/>
        <w:ind w:firstLine="720"/>
        <w:rPr>
          <w:rFonts w:asciiTheme="majorBidi" w:hAnsiTheme="majorBidi" w:cstheme="majorBidi"/>
          <w:szCs w:val="22"/>
          <w:lang w:eastAsia="zh-CN"/>
        </w:rPr>
      </w:pPr>
      <w:r w:rsidRPr="000D79DD">
        <w:rPr>
          <w:rFonts w:asciiTheme="majorBidi" w:hAnsiTheme="majorBidi" w:cstheme="majorBidi"/>
          <w:szCs w:val="22"/>
          <w:lang w:eastAsia="zh-CN"/>
        </w:rPr>
        <w:t>(d) Right to bring claims.</w:t>
      </w:r>
    </w:p>
    <w:p w14:paraId="18113B7F"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68242F1B"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13</w:t>
      </w:r>
    </w:p>
    <w:p w14:paraId="4F3012F2" w14:textId="77777777" w:rsidR="006F45CF" w:rsidRPr="000D79DD" w:rsidRDefault="006F45CF" w:rsidP="009168FF">
      <w:pPr>
        <w:pStyle w:val="FootnoteT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Assessment and review</w:t>
      </w:r>
    </w:p>
    <w:p w14:paraId="0253BC96"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szCs w:val="22"/>
          <w:lang w:eastAsia="zh-CN"/>
        </w:rPr>
        <w:t>The Conference of the Parties serving as the meeting of the Parties to the Protocol shall undertake a review of the effectiveness of this Supplementary Protocol five years after its entry into force and every five years thereafter, provided information requiring such a review has been made available by Parties. The review shall be undertaken in the context of the assessment and review of the Protocol as specified in Article 35 of the Protocol, unless otherwise decided by the Parties to this Supplementary Protocol. The first review shall include a review of the effectiveness of Articles 10 and 12.</w:t>
      </w:r>
    </w:p>
    <w:p w14:paraId="617684D5"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1AD2BE05"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14</w:t>
      </w:r>
    </w:p>
    <w:p w14:paraId="21D079BE" w14:textId="77777777" w:rsidR="006F45CF" w:rsidRPr="000D79DD" w:rsidRDefault="006F45CF" w:rsidP="009168FF">
      <w:pPr>
        <w:pStyle w:val="FootnoteT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Conference of the Parties serving as the meeting of the Parties to the Protocol</w:t>
      </w:r>
    </w:p>
    <w:p w14:paraId="55DB4324"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1. Subject to paragraph 2 of Article 32 of the Convention, the Conference of the Parties serving as the meeting of the Parties to the Protocol shall serve as the meeting of the Parties to this Supplementary Protocol.</w:t>
      </w:r>
    </w:p>
    <w:p w14:paraId="57ABA31A"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2. The Conference of the Parties serving as the meeting of the Parties to the Protocol shall keep under regular review the implementation of this Supplementary Protocol and shall make, within its mandate, the decisions necessary to promote its effective implementation. It shall perform the functions assigned to it by this Supplementary Protocol and, </w:t>
      </w:r>
      <w:r w:rsidRPr="000D79DD">
        <w:rPr>
          <w:rFonts w:asciiTheme="majorBidi" w:hAnsiTheme="majorBidi" w:cstheme="majorBidi"/>
          <w:i/>
          <w:iCs/>
          <w:szCs w:val="22"/>
          <w:lang w:eastAsia="zh-CN"/>
        </w:rPr>
        <w:t>mutatis mutandis</w:t>
      </w:r>
      <w:r w:rsidRPr="000D79DD">
        <w:rPr>
          <w:rFonts w:asciiTheme="majorBidi" w:hAnsiTheme="majorBidi" w:cstheme="majorBidi"/>
          <w:szCs w:val="22"/>
          <w:lang w:eastAsia="zh-CN"/>
        </w:rPr>
        <w:t>, the functions assigned to it by paragraphs 4 (a) and (f) of Article 29 of the Protocol.</w:t>
      </w:r>
    </w:p>
    <w:p w14:paraId="6E9D1347"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1AF98E25"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15</w:t>
      </w:r>
    </w:p>
    <w:p w14:paraId="72CEE4F3" w14:textId="77777777" w:rsidR="006F45CF" w:rsidRPr="000D79DD" w:rsidRDefault="006F45CF" w:rsidP="009168FF">
      <w:pPr>
        <w:pStyle w:val="FootnoteT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Secretariat</w:t>
      </w:r>
    </w:p>
    <w:p w14:paraId="0632315F"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szCs w:val="22"/>
          <w:lang w:eastAsia="zh-CN"/>
        </w:rPr>
        <w:t>The Secretariat established by Article 24 of the Convention shall serve as the secretariat to this Supplementary Protocol.</w:t>
      </w:r>
    </w:p>
    <w:p w14:paraId="4E9CBCFD"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6E0B0794" w14:textId="77777777" w:rsidR="006F45CF" w:rsidRPr="000D79DD" w:rsidRDefault="006F45CF" w:rsidP="009168FF">
      <w:pPr>
        <w:pStyle w:val="FootnoteText"/>
        <w:keepN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lastRenderedPageBreak/>
        <w:t>ARTICLE 16</w:t>
      </w:r>
    </w:p>
    <w:p w14:paraId="382EB885" w14:textId="77777777" w:rsidR="006F45CF" w:rsidRPr="000D79DD" w:rsidRDefault="006F45CF" w:rsidP="009168FF">
      <w:pPr>
        <w:pStyle w:val="FootnoteText"/>
        <w:keepN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Relationship with the Convention and the Protocol</w:t>
      </w:r>
    </w:p>
    <w:p w14:paraId="7369949D"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1. This Supplementary Protocol shall supplement the Protocol and shall neither modify nor amend the Protocol.</w:t>
      </w:r>
    </w:p>
    <w:p w14:paraId="3477441F"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2. This Supplementary Protocol shall not affect the rights and obligations of the Parties to this Supplementary Protocol under the Convention and the Protocol.</w:t>
      </w:r>
    </w:p>
    <w:p w14:paraId="5E7D211E"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3. Except as otherwise provided in this Supplementary Protocol, the provisions of the Convention and the Protocol shall apply, </w:t>
      </w:r>
      <w:r w:rsidRPr="000D79DD">
        <w:rPr>
          <w:rFonts w:asciiTheme="majorBidi" w:hAnsiTheme="majorBidi" w:cstheme="majorBidi"/>
          <w:i/>
          <w:iCs/>
          <w:szCs w:val="22"/>
          <w:lang w:eastAsia="zh-CN"/>
        </w:rPr>
        <w:t>mutatis mutandis</w:t>
      </w:r>
      <w:r w:rsidRPr="000D79DD">
        <w:rPr>
          <w:rFonts w:asciiTheme="majorBidi" w:hAnsiTheme="majorBidi" w:cstheme="majorBidi"/>
          <w:szCs w:val="22"/>
          <w:lang w:eastAsia="zh-CN"/>
        </w:rPr>
        <w:t>, to this Supplementary Protocol.</w:t>
      </w:r>
    </w:p>
    <w:p w14:paraId="016C5D29"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4. Without prejudice to paragraph 3 above, this Supplementary Protocol shall not affect the rights and obligations of a Party under international law.</w:t>
      </w:r>
    </w:p>
    <w:p w14:paraId="353E9888"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3D6E5A72"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17</w:t>
      </w:r>
    </w:p>
    <w:p w14:paraId="4D909FDE" w14:textId="77777777" w:rsidR="006F45CF" w:rsidRPr="000D79DD" w:rsidRDefault="006F45CF" w:rsidP="009168FF">
      <w:pPr>
        <w:pStyle w:val="FootnoteT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Signature</w:t>
      </w:r>
    </w:p>
    <w:p w14:paraId="4051DEB7"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szCs w:val="22"/>
          <w:lang w:eastAsia="zh-CN"/>
        </w:rPr>
        <w:t>This Supplementary Protocol shall be open for signature by Parties to the Protocol at the United Nations Headquarters in New York from 7 March 2011 to 6 March 2012.</w:t>
      </w:r>
    </w:p>
    <w:p w14:paraId="1FD9EEDF"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06AD9311"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18</w:t>
      </w:r>
    </w:p>
    <w:p w14:paraId="4BEFB38A" w14:textId="77777777" w:rsidR="006F45CF" w:rsidRPr="000D79DD" w:rsidRDefault="006F45CF" w:rsidP="009168FF">
      <w:pPr>
        <w:pStyle w:val="FootnoteText"/>
        <w:keepN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Entry into force</w:t>
      </w:r>
    </w:p>
    <w:p w14:paraId="45C79019"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1. This Supplementary Protocol shall enter into force on the ninetieth day after the date of deposit of the fortieth instrument of ratification, acceptance, approval or accession by States or regional economic integration organizations that are Parties to the Protocol.</w:t>
      </w:r>
    </w:p>
    <w:p w14:paraId="13EFD631"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2. This Supplementary Protocol shall enter into force for a State or regional economic integration organization that ratifies, accepts or approves it or accedes thereto after the deposit of the fortieth instrument as referred to in paragraph 1 above, on the ninetieth day after the date on which that State or regional economic integration organization deposits its instrument of ratification, acceptance, approval, or accession, or on the date on which the Protocol enters into force for that State or regional economic integration organization, whichever shall be the later.</w:t>
      </w:r>
    </w:p>
    <w:p w14:paraId="72F8D7BC"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3. For the purposes of paragraphs 1 and 2 above, any instrument deposited by a regional economic integration organization shall not be counted as additional to those deposited by member States of such organization.</w:t>
      </w:r>
    </w:p>
    <w:p w14:paraId="4F794181"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79D2D597"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19</w:t>
      </w:r>
    </w:p>
    <w:p w14:paraId="2858F8FE" w14:textId="77777777" w:rsidR="006F45CF" w:rsidRPr="000D79DD" w:rsidRDefault="006F45CF" w:rsidP="009168FF">
      <w:pPr>
        <w:pStyle w:val="FootnoteT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Reservations</w:t>
      </w:r>
    </w:p>
    <w:p w14:paraId="7854FAEB"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szCs w:val="22"/>
          <w:lang w:eastAsia="zh-CN"/>
        </w:rPr>
        <w:t>No reservations may be made to this Supplementary Protocol.</w:t>
      </w:r>
    </w:p>
    <w:p w14:paraId="6F2AF09F"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5D5DE94A"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20</w:t>
      </w:r>
    </w:p>
    <w:p w14:paraId="76CB9A84" w14:textId="77777777" w:rsidR="006F45CF" w:rsidRPr="000D79DD" w:rsidRDefault="006F45CF" w:rsidP="009168FF">
      <w:pPr>
        <w:pStyle w:val="FootnoteT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Withdrawal</w:t>
      </w:r>
    </w:p>
    <w:p w14:paraId="7BF3A399"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1. At any time after two years from the date on which this Supplementary Protocol has entered into force for a Party, that Party may withdraw from this Supplementary Protocol by giving written notification to the Depositary.</w:t>
      </w:r>
    </w:p>
    <w:p w14:paraId="4CD82948"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2. Any such withdrawal shall take place upon expiry of one year after the date of its receipt by the Depositary, or on such later date as may be specified in the notification of the withdrawal.</w:t>
      </w:r>
    </w:p>
    <w:p w14:paraId="1BB47D02"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lastRenderedPageBreak/>
        <w:t>3. Any Party which withdraws from the Protocol in accordance with Article 39 of the Protocol shall be considered as also having withdrawn from this Supplementary Protocol.</w:t>
      </w:r>
    </w:p>
    <w:p w14:paraId="762C84FF"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p>
    <w:p w14:paraId="24F73196" w14:textId="77777777" w:rsidR="006F45CF" w:rsidRPr="000D79DD" w:rsidRDefault="006F45CF" w:rsidP="009168FF">
      <w:pPr>
        <w:pStyle w:val="FootnoteText"/>
        <w:spacing w:after="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ARTICLE 21</w:t>
      </w:r>
    </w:p>
    <w:p w14:paraId="3A360037" w14:textId="77777777" w:rsidR="006F45CF" w:rsidRPr="000D79DD" w:rsidRDefault="006F45CF" w:rsidP="009168FF">
      <w:pPr>
        <w:pStyle w:val="FootnoteText"/>
        <w:spacing w:after="240"/>
        <w:ind w:firstLine="0"/>
        <w:jc w:val="center"/>
        <w:rPr>
          <w:rFonts w:asciiTheme="majorBidi" w:hAnsiTheme="majorBidi" w:cstheme="majorBidi"/>
          <w:b/>
          <w:bCs/>
          <w:sz w:val="22"/>
          <w:szCs w:val="22"/>
          <w:lang w:eastAsia="zh-CN"/>
        </w:rPr>
      </w:pPr>
      <w:r w:rsidRPr="000D79DD">
        <w:rPr>
          <w:rFonts w:asciiTheme="majorBidi" w:hAnsiTheme="majorBidi" w:cstheme="majorBidi"/>
          <w:b/>
          <w:bCs/>
          <w:sz w:val="22"/>
          <w:szCs w:val="22"/>
          <w:lang w:eastAsia="zh-CN"/>
        </w:rPr>
        <w:t>Authentic texts</w:t>
      </w:r>
    </w:p>
    <w:p w14:paraId="44B304B6" w14:textId="77777777" w:rsidR="006F45CF" w:rsidRPr="000D79DD" w:rsidRDefault="006F45CF" w:rsidP="006F45CF">
      <w:pPr>
        <w:shd w:val="clear" w:color="auto" w:fill="FFFFFF"/>
        <w:spacing w:after="105"/>
        <w:ind w:firstLine="450"/>
        <w:rPr>
          <w:rFonts w:asciiTheme="majorBidi" w:hAnsiTheme="majorBidi" w:cstheme="majorBidi"/>
          <w:szCs w:val="22"/>
          <w:lang w:eastAsia="zh-CN"/>
        </w:rPr>
      </w:pPr>
      <w:r w:rsidRPr="000D79DD">
        <w:rPr>
          <w:rFonts w:asciiTheme="majorBidi" w:hAnsiTheme="majorBidi" w:cstheme="majorBidi"/>
          <w:szCs w:val="22"/>
          <w:lang w:eastAsia="zh-CN"/>
        </w:rPr>
        <w:t>The original of this Supplementary Protocol, of which the Arabic, Chinese, English, French, Russian and Spanish texts are equally authentic, shall be deposited with the Secretary-General of the United Nations.</w:t>
      </w:r>
    </w:p>
    <w:p w14:paraId="22C8A5F1"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IN WITNESS WHEREOF the undersigned, being duly authorized to that effect, have signed this Supplementary Protocol.</w:t>
      </w:r>
    </w:p>
    <w:p w14:paraId="0692D0A4" w14:textId="77777777" w:rsidR="006F45CF" w:rsidRPr="000D79DD" w:rsidRDefault="006F45CF" w:rsidP="006F45CF">
      <w:pPr>
        <w:shd w:val="clear" w:color="auto" w:fill="FFFFFF"/>
        <w:spacing w:after="105"/>
        <w:rPr>
          <w:rFonts w:asciiTheme="majorBidi" w:hAnsiTheme="majorBidi" w:cstheme="majorBidi"/>
          <w:szCs w:val="22"/>
          <w:lang w:eastAsia="zh-CN"/>
        </w:rPr>
      </w:pPr>
      <w:r w:rsidRPr="000D79DD">
        <w:rPr>
          <w:rFonts w:asciiTheme="majorBidi" w:hAnsiTheme="majorBidi" w:cstheme="majorBidi"/>
          <w:szCs w:val="22"/>
          <w:lang w:eastAsia="zh-CN"/>
        </w:rPr>
        <w:t>DONE at Nagoya on this fifteenth day of October two thousand and ten.</w:t>
      </w:r>
    </w:p>
    <w:p w14:paraId="495ADEFF" w14:textId="77777777" w:rsidR="006F45CF" w:rsidRPr="000D79DD" w:rsidRDefault="006F45CF" w:rsidP="006F45CF">
      <w:pPr>
        <w:rPr>
          <w:rFonts w:asciiTheme="majorBidi" w:hAnsiTheme="majorBidi" w:cstheme="majorBidi"/>
          <w:szCs w:val="22"/>
        </w:rPr>
        <w:sectPr w:rsidR="006F45CF" w:rsidRPr="000D79DD">
          <w:pgSz w:w="12240" w:h="15840"/>
          <w:pgMar w:top="1440" w:right="1440" w:bottom="1440" w:left="1440" w:header="720" w:footer="720" w:gutter="0"/>
          <w:cols w:space="720"/>
          <w:docGrid w:linePitch="360"/>
        </w:sectPr>
      </w:pPr>
    </w:p>
    <w:p w14:paraId="3E29B80D" w14:textId="66185B5E" w:rsidR="006F45CF" w:rsidRPr="000D79DD" w:rsidRDefault="008D588E" w:rsidP="006F45CF">
      <w:pPr>
        <w:pStyle w:val="Heading1"/>
        <w:rPr>
          <w:rFonts w:asciiTheme="majorBidi" w:hAnsiTheme="majorBidi" w:cstheme="majorBidi"/>
          <w:szCs w:val="22"/>
        </w:rPr>
      </w:pPr>
      <w:bookmarkStart w:id="45" w:name="_Toc82176429"/>
      <w:r>
        <w:rPr>
          <w:rFonts w:asciiTheme="majorBidi" w:hAnsiTheme="majorBidi" w:cstheme="majorBidi"/>
          <w:szCs w:val="22"/>
        </w:rPr>
        <w:lastRenderedPageBreak/>
        <w:t>appendix 2</w:t>
      </w:r>
      <w:r w:rsidR="006F45CF" w:rsidRPr="000D79DD">
        <w:rPr>
          <w:rFonts w:asciiTheme="majorBidi" w:hAnsiTheme="majorBidi" w:cstheme="majorBidi"/>
          <w:szCs w:val="22"/>
        </w:rPr>
        <w:t>: Examples of exclusions of LMO-related risks by various insurers</w:t>
      </w:r>
      <w:bookmarkEnd w:id="45"/>
    </w:p>
    <w:tbl>
      <w:tblPr>
        <w:tblStyle w:val="TableGrid"/>
        <w:tblW w:w="9445" w:type="dxa"/>
        <w:tblLook w:val="04A0" w:firstRow="1" w:lastRow="0" w:firstColumn="1" w:lastColumn="0" w:noHBand="0" w:noVBand="1"/>
      </w:tblPr>
      <w:tblGrid>
        <w:gridCol w:w="1942"/>
        <w:gridCol w:w="7503"/>
      </w:tblGrid>
      <w:tr w:rsidR="006F45CF" w:rsidRPr="000D79DD" w14:paraId="075DB03F" w14:textId="77777777" w:rsidTr="009168FF">
        <w:tc>
          <w:tcPr>
            <w:tcW w:w="1942" w:type="dxa"/>
            <w:vAlign w:val="center"/>
          </w:tcPr>
          <w:p w14:paraId="61869546" w14:textId="77777777" w:rsidR="006F45CF" w:rsidRPr="000D79DD" w:rsidRDefault="006F45CF" w:rsidP="006F45CF">
            <w:pPr>
              <w:adjustRightInd w:val="0"/>
              <w:snapToGrid w:val="0"/>
              <w:jc w:val="center"/>
              <w:rPr>
                <w:rFonts w:asciiTheme="majorBidi" w:hAnsiTheme="majorBidi" w:cstheme="majorBidi"/>
                <w:szCs w:val="22"/>
                <w:lang w:eastAsia="zh-Hans"/>
              </w:rPr>
            </w:pPr>
            <w:r w:rsidRPr="000D79DD">
              <w:rPr>
                <w:rFonts w:asciiTheme="majorBidi" w:hAnsiTheme="majorBidi" w:cstheme="majorBidi"/>
                <w:szCs w:val="22"/>
                <w:lang w:eastAsia="zh-Hans"/>
              </w:rPr>
              <w:t>Insurer &amp; insurance type</w:t>
            </w:r>
          </w:p>
        </w:tc>
        <w:tc>
          <w:tcPr>
            <w:tcW w:w="7503" w:type="dxa"/>
          </w:tcPr>
          <w:p w14:paraId="0319945F" w14:textId="77777777" w:rsidR="006F45CF" w:rsidRPr="000D79DD" w:rsidRDefault="006F45CF" w:rsidP="006F45CF">
            <w:pPr>
              <w:adjustRightInd w:val="0"/>
              <w:snapToGrid w:val="0"/>
              <w:rPr>
                <w:rFonts w:asciiTheme="majorBidi" w:hAnsiTheme="majorBidi" w:cstheme="majorBidi"/>
                <w:szCs w:val="22"/>
                <w:lang w:eastAsia="zh-Hans"/>
              </w:rPr>
            </w:pPr>
            <w:r w:rsidRPr="000D79DD">
              <w:rPr>
                <w:rFonts w:asciiTheme="majorBidi" w:hAnsiTheme="majorBidi" w:cstheme="majorBidi"/>
                <w:szCs w:val="22"/>
                <w:lang w:eastAsia="zh-Hans"/>
              </w:rPr>
              <w:t>Clauses excluding GMO damage in the insurance policies</w:t>
            </w:r>
          </w:p>
        </w:tc>
      </w:tr>
      <w:tr w:rsidR="006F45CF" w:rsidRPr="000D79DD" w14:paraId="05B0B4B0" w14:textId="77777777" w:rsidTr="009168FF">
        <w:tc>
          <w:tcPr>
            <w:tcW w:w="1942" w:type="dxa"/>
            <w:vAlign w:val="center"/>
          </w:tcPr>
          <w:p w14:paraId="303F090D" w14:textId="77777777" w:rsidR="006F45CF" w:rsidRPr="000D79DD" w:rsidRDefault="006F45CF" w:rsidP="006F45CF">
            <w:pPr>
              <w:pStyle w:val="NormalWeb"/>
              <w:widowControl/>
              <w:adjustRightInd w:val="0"/>
              <w:snapToGrid w:val="0"/>
              <w:spacing w:beforeAutospacing="0" w:afterAutospacing="0"/>
              <w:jc w:val="center"/>
              <w:rPr>
                <w:rFonts w:asciiTheme="majorBidi" w:hAnsiTheme="majorBidi" w:cstheme="majorBidi"/>
                <w:sz w:val="22"/>
                <w:szCs w:val="22"/>
              </w:rPr>
            </w:pPr>
            <w:r w:rsidRPr="000D79DD">
              <w:rPr>
                <w:rFonts w:asciiTheme="majorBidi" w:eastAsia="Helvetica" w:hAnsiTheme="majorBidi" w:cstheme="majorBidi"/>
                <w:sz w:val="22"/>
                <w:szCs w:val="22"/>
              </w:rPr>
              <w:t xml:space="preserve">DUAL Australia Public Liability Wording (11/13), DUAL Australia </w:t>
            </w:r>
            <w:proofErr w:type="spellStart"/>
            <w:r w:rsidRPr="000D79DD">
              <w:rPr>
                <w:rFonts w:asciiTheme="majorBidi" w:eastAsia="Helvetica" w:hAnsiTheme="majorBidi" w:cstheme="majorBidi"/>
                <w:sz w:val="22"/>
                <w:szCs w:val="22"/>
              </w:rPr>
              <w:t>iTech</w:t>
            </w:r>
            <w:proofErr w:type="spellEnd"/>
            <w:r w:rsidRPr="000D79DD">
              <w:rPr>
                <w:rFonts w:asciiTheme="majorBidi" w:eastAsia="Helvetica" w:hAnsiTheme="majorBidi" w:cstheme="majorBidi"/>
                <w:sz w:val="22"/>
                <w:szCs w:val="22"/>
              </w:rPr>
              <w:t xml:space="preserve"> Information Technology Wording </w:t>
            </w:r>
            <w:r w:rsidRPr="000D79DD">
              <w:rPr>
                <w:rFonts w:asciiTheme="majorBidi" w:hAnsiTheme="majorBidi" w:cstheme="majorBidi"/>
                <w:sz w:val="22"/>
                <w:szCs w:val="22"/>
              </w:rPr>
              <w:t>(12/09), 2016</w:t>
            </w:r>
          </w:p>
          <w:p w14:paraId="7D4B0FFA" w14:textId="77777777" w:rsidR="006F45CF" w:rsidRPr="000D79DD" w:rsidRDefault="006F45CF" w:rsidP="006F45CF">
            <w:pPr>
              <w:adjustRightInd w:val="0"/>
              <w:snapToGrid w:val="0"/>
              <w:jc w:val="center"/>
              <w:rPr>
                <w:rFonts w:asciiTheme="majorBidi" w:hAnsiTheme="majorBidi" w:cstheme="majorBidi"/>
                <w:szCs w:val="22"/>
                <w:lang w:eastAsia="zh-Hans"/>
              </w:rPr>
            </w:pPr>
          </w:p>
        </w:tc>
        <w:tc>
          <w:tcPr>
            <w:tcW w:w="7503" w:type="dxa"/>
          </w:tcPr>
          <w:p w14:paraId="43B0D9BA" w14:textId="77777777" w:rsidR="006F45CF" w:rsidRPr="000D79DD" w:rsidRDefault="006F45CF" w:rsidP="006F45CF">
            <w:pPr>
              <w:pStyle w:val="NormalWeb"/>
              <w:widowControl/>
              <w:adjustRightInd w:val="0"/>
              <w:snapToGrid w:val="0"/>
              <w:spacing w:beforeAutospacing="0" w:afterAutospacing="0"/>
              <w:rPr>
                <w:rFonts w:asciiTheme="majorBidi" w:eastAsia="Helvetica" w:hAnsiTheme="majorBidi" w:cstheme="majorBidi"/>
                <w:sz w:val="22"/>
                <w:szCs w:val="22"/>
              </w:rPr>
            </w:pPr>
            <w:r w:rsidRPr="000D79DD">
              <w:rPr>
                <w:rFonts w:asciiTheme="majorBidi" w:eastAsia="Helvetica" w:hAnsiTheme="majorBidi" w:cstheme="majorBidi"/>
                <w:sz w:val="22"/>
                <w:szCs w:val="22"/>
              </w:rPr>
              <w:t>Section 5: Exclusions</w:t>
            </w:r>
          </w:p>
          <w:p w14:paraId="729D8604" w14:textId="77777777" w:rsidR="006F45CF" w:rsidRPr="000D79DD" w:rsidRDefault="006F45CF" w:rsidP="006F45CF">
            <w:pPr>
              <w:pStyle w:val="NormalWeb"/>
              <w:widowControl/>
              <w:adjustRightInd w:val="0"/>
              <w:snapToGrid w:val="0"/>
              <w:spacing w:beforeAutospacing="0" w:afterAutospacing="0"/>
              <w:rPr>
                <w:rFonts w:asciiTheme="majorBidi" w:eastAsia="Helvetica" w:hAnsiTheme="majorBidi" w:cstheme="majorBidi"/>
                <w:sz w:val="22"/>
                <w:szCs w:val="22"/>
              </w:rPr>
            </w:pPr>
            <w:r w:rsidRPr="000D79DD">
              <w:rPr>
                <w:rFonts w:asciiTheme="majorBidi" w:eastAsia="Helvetica" w:hAnsiTheme="majorBidi" w:cstheme="majorBidi"/>
                <w:sz w:val="22"/>
                <w:szCs w:val="22"/>
              </w:rPr>
              <w:t xml:space="preserve">WE will not cover the INSURED, including for compensation, </w:t>
            </w:r>
            <w:proofErr w:type="spellStart"/>
            <w:r w:rsidRPr="000D79DD">
              <w:rPr>
                <w:rFonts w:asciiTheme="majorBidi" w:eastAsia="Helvetica" w:hAnsiTheme="majorBidi" w:cstheme="majorBidi"/>
                <w:sz w:val="22"/>
                <w:szCs w:val="22"/>
              </w:rPr>
              <w:t>Defence</w:t>
            </w:r>
            <w:proofErr w:type="spellEnd"/>
            <w:r w:rsidRPr="000D79DD">
              <w:rPr>
                <w:rFonts w:asciiTheme="majorBidi" w:eastAsia="Helvetica" w:hAnsiTheme="majorBidi" w:cstheme="majorBidi"/>
                <w:sz w:val="22"/>
                <w:szCs w:val="22"/>
              </w:rPr>
              <w:t xml:space="preserve"> costs or other costs, expenses or loss, in respect of:</w:t>
            </w:r>
          </w:p>
          <w:p w14:paraId="202B324E" w14:textId="77777777" w:rsidR="006F45CF" w:rsidRPr="000D79DD" w:rsidRDefault="006F45CF" w:rsidP="006F45CF">
            <w:pPr>
              <w:pStyle w:val="NormalWeb"/>
              <w:widowControl/>
              <w:adjustRightInd w:val="0"/>
              <w:snapToGrid w:val="0"/>
              <w:spacing w:beforeAutospacing="0" w:afterAutospacing="0"/>
              <w:rPr>
                <w:rFonts w:asciiTheme="majorBidi" w:hAnsiTheme="majorBidi" w:cstheme="majorBidi"/>
                <w:sz w:val="22"/>
                <w:szCs w:val="22"/>
              </w:rPr>
            </w:pPr>
            <w:r w:rsidRPr="000D79DD">
              <w:rPr>
                <w:rFonts w:asciiTheme="majorBidi" w:eastAsia="Helvetica" w:hAnsiTheme="majorBidi" w:cstheme="majorBidi"/>
                <w:sz w:val="22"/>
                <w:szCs w:val="22"/>
              </w:rPr>
              <w:t>5.14 Genetically Modified or Engineered Organisms (GMO)</w:t>
            </w:r>
          </w:p>
          <w:p w14:paraId="34358EB6" w14:textId="77777777" w:rsidR="006F45CF" w:rsidRPr="000D79DD" w:rsidRDefault="006F45CF" w:rsidP="006F45CF">
            <w:pPr>
              <w:pStyle w:val="NormalWeb"/>
              <w:widowControl/>
              <w:adjustRightInd w:val="0"/>
              <w:snapToGrid w:val="0"/>
              <w:spacing w:beforeAutospacing="0" w:afterAutospacing="0"/>
              <w:rPr>
                <w:rFonts w:asciiTheme="majorBidi" w:hAnsiTheme="majorBidi" w:cstheme="majorBidi"/>
                <w:sz w:val="22"/>
                <w:szCs w:val="22"/>
                <w:lang w:eastAsia="zh-Hans"/>
              </w:rPr>
            </w:pPr>
            <w:r w:rsidRPr="000D79DD">
              <w:rPr>
                <w:rFonts w:asciiTheme="majorBidi" w:eastAsia="Helvetica" w:hAnsiTheme="majorBidi" w:cstheme="majorBidi"/>
                <w:sz w:val="22"/>
                <w:szCs w:val="22"/>
              </w:rPr>
              <w:t>Any CLAIM or liability arising from or directly or indirectly attributable to or in consequence of the manufacture, importing, growing, blending, mixing or distributing of Genetically Modified or Engineered Organisms (GMO). For the purpose of this Exclusion, a Genetically Modified or Engineered Organism is defined to be a living plant, animal or microbe that has been altered by the addition or modification of a gene through the process of genetic engineering and contains genes or portions of genes from unrelated organisms.</w:t>
            </w:r>
            <w:r w:rsidRPr="000D79DD">
              <w:rPr>
                <w:rStyle w:val="FootnoteReference"/>
                <w:rFonts w:asciiTheme="majorBidi" w:eastAsia="Helvetica" w:hAnsiTheme="majorBidi" w:cstheme="majorBidi"/>
                <w:szCs w:val="22"/>
              </w:rPr>
              <w:footnoteReference w:id="179"/>
            </w:r>
          </w:p>
        </w:tc>
      </w:tr>
      <w:tr w:rsidR="006F45CF" w:rsidRPr="000D79DD" w14:paraId="1F402186" w14:textId="77777777" w:rsidTr="009168FF">
        <w:tc>
          <w:tcPr>
            <w:tcW w:w="1942" w:type="dxa"/>
            <w:vAlign w:val="center"/>
          </w:tcPr>
          <w:p w14:paraId="67106BDF" w14:textId="77777777" w:rsidR="006F45CF" w:rsidRPr="000D79DD" w:rsidRDefault="006F45CF" w:rsidP="006F45CF">
            <w:pPr>
              <w:pStyle w:val="NormalWeb"/>
              <w:widowControl/>
              <w:adjustRightInd w:val="0"/>
              <w:snapToGrid w:val="0"/>
              <w:spacing w:beforeAutospacing="0" w:afterAutospacing="0"/>
              <w:jc w:val="center"/>
              <w:rPr>
                <w:rFonts w:asciiTheme="majorBidi" w:hAnsiTheme="majorBidi" w:cstheme="majorBidi"/>
                <w:sz w:val="22"/>
                <w:szCs w:val="22"/>
                <w:lang w:eastAsia="zh-Hans"/>
              </w:rPr>
            </w:pPr>
            <w:r w:rsidRPr="000D79DD">
              <w:rPr>
                <w:rFonts w:asciiTheme="majorBidi" w:eastAsia="Helvetica" w:hAnsiTheme="majorBidi" w:cstheme="majorBidi"/>
                <w:sz w:val="22"/>
                <w:szCs w:val="22"/>
              </w:rPr>
              <w:t xml:space="preserve">Winter Crop Insurance Product Disclosure Statement, </w:t>
            </w:r>
            <w:proofErr w:type="spellStart"/>
            <w:r w:rsidRPr="000D79DD">
              <w:rPr>
                <w:rFonts w:asciiTheme="majorBidi" w:eastAsia="Helvetica" w:hAnsiTheme="majorBidi" w:cstheme="majorBidi"/>
                <w:sz w:val="22"/>
                <w:szCs w:val="22"/>
              </w:rPr>
              <w:t>Achmea</w:t>
            </w:r>
            <w:proofErr w:type="spellEnd"/>
            <w:r w:rsidRPr="000D79DD">
              <w:rPr>
                <w:rFonts w:asciiTheme="majorBidi" w:eastAsia="Helvetica" w:hAnsiTheme="majorBidi" w:cstheme="majorBidi"/>
                <w:sz w:val="22"/>
                <w:szCs w:val="22"/>
              </w:rPr>
              <w:t xml:space="preserve"> Australia, 2017</w:t>
            </w:r>
          </w:p>
        </w:tc>
        <w:tc>
          <w:tcPr>
            <w:tcW w:w="7503" w:type="dxa"/>
          </w:tcPr>
          <w:p w14:paraId="7C074318" w14:textId="77777777" w:rsidR="006F45CF" w:rsidRPr="000D79DD" w:rsidRDefault="006F45CF" w:rsidP="006F45CF">
            <w:pPr>
              <w:pStyle w:val="NormalWeb"/>
              <w:widowControl/>
              <w:adjustRightInd w:val="0"/>
              <w:snapToGrid w:val="0"/>
              <w:spacing w:beforeAutospacing="0" w:afterAutospacing="0"/>
              <w:rPr>
                <w:rFonts w:asciiTheme="majorBidi" w:hAnsiTheme="majorBidi" w:cstheme="majorBidi"/>
                <w:sz w:val="22"/>
                <w:szCs w:val="22"/>
              </w:rPr>
            </w:pPr>
            <w:r w:rsidRPr="000D79DD">
              <w:rPr>
                <w:rFonts w:asciiTheme="majorBidi" w:eastAsia="Helvetica" w:hAnsiTheme="majorBidi" w:cstheme="majorBidi"/>
                <w:sz w:val="22"/>
                <w:szCs w:val="22"/>
              </w:rPr>
              <w:t>General Exclusions - What you are not insured for: You are not insured for any loss or damage, actual or alleged legal liability caused by, arising from, or in connection with any of the following:</w:t>
            </w:r>
          </w:p>
          <w:p w14:paraId="3DA5DDF0" w14:textId="77777777" w:rsidR="006F45CF" w:rsidRPr="000D79DD" w:rsidRDefault="006F45CF" w:rsidP="006F45CF">
            <w:pPr>
              <w:pStyle w:val="NormalWeb"/>
              <w:widowControl/>
              <w:adjustRightInd w:val="0"/>
              <w:snapToGrid w:val="0"/>
              <w:spacing w:beforeAutospacing="0" w:afterAutospacing="0"/>
              <w:rPr>
                <w:rFonts w:asciiTheme="majorBidi" w:hAnsiTheme="majorBidi" w:cstheme="majorBidi"/>
                <w:sz w:val="22"/>
                <w:szCs w:val="22"/>
                <w:lang w:eastAsia="zh-Hans"/>
              </w:rPr>
            </w:pPr>
            <w:r w:rsidRPr="000D79DD">
              <w:rPr>
                <w:rFonts w:asciiTheme="majorBidi" w:eastAsia="Helvetica" w:hAnsiTheme="majorBidi" w:cstheme="majorBidi"/>
                <w:sz w:val="22"/>
                <w:szCs w:val="22"/>
              </w:rPr>
              <w:t>16. any liability caused by Genetically Modified Organism (GMO), such as, but not limited to: a) claims attributable to the genetic instability, inadequate characterization or performance of GMOs, blending or contamination claims; or b) loss or damage resulting from the unintentional, non-agreed or improper blending or mixing of GMOs with other organisms or products, or their pollination by GMOs, pure financial and/or economic claims, environmental impairment, ecological damage, or damage to biodiversity.</w:t>
            </w:r>
            <w:r w:rsidRPr="000D79DD">
              <w:rPr>
                <w:rStyle w:val="FootnoteReference"/>
                <w:rFonts w:asciiTheme="majorBidi" w:eastAsia="Helvetica" w:hAnsiTheme="majorBidi" w:cstheme="majorBidi"/>
                <w:szCs w:val="22"/>
              </w:rPr>
              <w:footnoteReference w:id="180"/>
            </w:r>
          </w:p>
        </w:tc>
      </w:tr>
      <w:tr w:rsidR="006F45CF" w:rsidRPr="000D79DD" w14:paraId="4BB67B8E" w14:textId="77777777" w:rsidTr="009168FF">
        <w:tc>
          <w:tcPr>
            <w:tcW w:w="1942" w:type="dxa"/>
            <w:vAlign w:val="center"/>
          </w:tcPr>
          <w:p w14:paraId="7A52C347" w14:textId="77777777" w:rsidR="006F45CF" w:rsidRPr="000D79DD" w:rsidRDefault="006F45CF" w:rsidP="006F45CF">
            <w:pPr>
              <w:pStyle w:val="NormalWeb"/>
              <w:widowControl/>
              <w:adjustRightInd w:val="0"/>
              <w:snapToGrid w:val="0"/>
              <w:spacing w:beforeAutospacing="0" w:afterAutospacing="0"/>
              <w:jc w:val="center"/>
              <w:rPr>
                <w:rFonts w:asciiTheme="majorBidi" w:hAnsiTheme="majorBidi" w:cstheme="majorBidi"/>
                <w:sz w:val="22"/>
                <w:szCs w:val="22"/>
                <w:lang w:eastAsia="zh-Hans"/>
              </w:rPr>
            </w:pPr>
            <w:r w:rsidRPr="000D79DD">
              <w:rPr>
                <w:rFonts w:asciiTheme="majorBidi" w:eastAsia="Helvetica" w:hAnsiTheme="majorBidi" w:cstheme="majorBidi"/>
                <w:sz w:val="22"/>
                <w:szCs w:val="22"/>
              </w:rPr>
              <w:t>ICICI Lombard General Insurance Company limited</w:t>
            </w:r>
            <w:r w:rsidRPr="000D79DD">
              <w:rPr>
                <w:rFonts w:asciiTheme="majorBidi" w:hAnsiTheme="majorBidi" w:cstheme="majorBidi"/>
                <w:sz w:val="22"/>
                <w:szCs w:val="22"/>
              </w:rPr>
              <w:t>, product liability insurance</w:t>
            </w:r>
          </w:p>
        </w:tc>
        <w:tc>
          <w:tcPr>
            <w:tcW w:w="7503" w:type="dxa"/>
          </w:tcPr>
          <w:p w14:paraId="541A846F" w14:textId="77777777" w:rsidR="006F45CF" w:rsidRPr="000D79DD" w:rsidRDefault="006F45CF" w:rsidP="006F45CF">
            <w:pPr>
              <w:pStyle w:val="NormalWeb"/>
              <w:widowControl/>
              <w:adjustRightInd w:val="0"/>
              <w:snapToGrid w:val="0"/>
              <w:spacing w:beforeAutospacing="0" w:afterAutospacing="0"/>
              <w:rPr>
                <w:rFonts w:asciiTheme="majorBidi" w:hAnsiTheme="majorBidi" w:cstheme="majorBidi"/>
                <w:sz w:val="22"/>
                <w:szCs w:val="22"/>
                <w:lang w:eastAsia="zh-Hans"/>
              </w:rPr>
            </w:pPr>
            <w:r w:rsidRPr="000D79DD">
              <w:rPr>
                <w:rFonts w:asciiTheme="majorBidi" w:eastAsia="Helvetica" w:hAnsiTheme="majorBidi" w:cstheme="majorBidi"/>
                <w:sz w:val="22"/>
                <w:szCs w:val="22"/>
              </w:rPr>
              <w:t xml:space="preserve">3. Exclusions: </w:t>
            </w:r>
            <w:r w:rsidRPr="000D79DD">
              <w:rPr>
                <w:rFonts w:asciiTheme="majorBidi" w:hAnsiTheme="majorBidi" w:cstheme="majorBidi"/>
                <w:sz w:val="22"/>
                <w:szCs w:val="22"/>
                <w:lang w:eastAsia="zh-Hans"/>
              </w:rPr>
              <w:t>...</w:t>
            </w:r>
          </w:p>
          <w:p w14:paraId="18578A17" w14:textId="77777777" w:rsidR="006F45CF" w:rsidRPr="000D79DD" w:rsidRDefault="006F45CF" w:rsidP="006F45CF">
            <w:pPr>
              <w:adjustRightInd w:val="0"/>
              <w:snapToGrid w:val="0"/>
              <w:rPr>
                <w:rFonts w:asciiTheme="majorBidi" w:hAnsiTheme="majorBidi" w:cstheme="majorBidi"/>
                <w:szCs w:val="22"/>
                <w:lang w:eastAsia="zh-Hans"/>
              </w:rPr>
            </w:pPr>
            <w:r w:rsidRPr="000D79DD">
              <w:rPr>
                <w:rFonts w:asciiTheme="majorBidi" w:hAnsiTheme="majorBidi" w:cstheme="majorBidi"/>
                <w:szCs w:val="22"/>
                <w:lang w:eastAsia="zh-Hans"/>
              </w:rPr>
              <w:t xml:space="preserve">(xxv) </w:t>
            </w:r>
            <w:r w:rsidRPr="000D79DD">
              <w:rPr>
                <w:rFonts w:asciiTheme="majorBidi" w:hAnsiTheme="majorBidi" w:cstheme="majorBidi"/>
                <w:b/>
                <w:bCs/>
                <w:szCs w:val="22"/>
                <w:lang w:eastAsia="zh-Hans"/>
              </w:rPr>
              <w:t>Genetically Modified Organisms Exclusion</w:t>
            </w:r>
            <w:r w:rsidRPr="000D79DD">
              <w:rPr>
                <w:rFonts w:asciiTheme="majorBidi" w:hAnsiTheme="majorBidi" w:cstheme="majorBidi"/>
                <w:szCs w:val="22"/>
                <w:lang w:eastAsia="zh-Hans"/>
              </w:rPr>
              <w:t xml:space="preserve"> - any actual or alleged loss of or damage to property or liability whatsoever, directly or indirectly caused by or resulting from or in consequence of or contributed to </w:t>
            </w:r>
            <w:proofErr w:type="spellStart"/>
            <w:r w:rsidRPr="000D79DD">
              <w:rPr>
                <w:rFonts w:asciiTheme="majorBidi" w:hAnsiTheme="majorBidi" w:cstheme="majorBidi"/>
                <w:szCs w:val="22"/>
                <w:lang w:eastAsia="zh-Hans"/>
              </w:rPr>
              <w:t>by</w:t>
            </w:r>
            <w:proofErr w:type="spellEnd"/>
            <w:r w:rsidRPr="000D79DD">
              <w:rPr>
                <w:rFonts w:asciiTheme="majorBidi" w:hAnsiTheme="majorBidi" w:cstheme="majorBidi"/>
                <w:szCs w:val="22"/>
                <w:lang w:eastAsia="zh-Hans"/>
              </w:rPr>
              <w:t xml:space="preserve"> or arising out of existence, production, processing, manufacture, sale, distribution, storage, deposit, consumption or use of Genetically Modified Organisms (“GMOs”).</w:t>
            </w:r>
          </w:p>
          <w:p w14:paraId="7159602E" w14:textId="77777777" w:rsidR="006F45CF" w:rsidRPr="000D79DD" w:rsidRDefault="006F45CF" w:rsidP="006F45CF">
            <w:pPr>
              <w:adjustRightInd w:val="0"/>
              <w:snapToGrid w:val="0"/>
              <w:rPr>
                <w:rFonts w:asciiTheme="majorBidi" w:hAnsiTheme="majorBidi" w:cstheme="majorBidi"/>
                <w:szCs w:val="22"/>
                <w:lang w:eastAsia="zh-Hans"/>
              </w:rPr>
            </w:pPr>
            <w:r w:rsidRPr="000D79DD">
              <w:rPr>
                <w:rFonts w:asciiTheme="majorBidi" w:hAnsiTheme="majorBidi" w:cstheme="majorBidi"/>
                <w:szCs w:val="22"/>
                <w:lang w:eastAsia="zh-Hans"/>
              </w:rPr>
              <w:t>For the purpose of this exclusion, GMOs shall mean and include:</w:t>
            </w:r>
          </w:p>
          <w:p w14:paraId="0CCBBE06" w14:textId="77777777" w:rsidR="006F45CF" w:rsidRPr="000D79DD" w:rsidRDefault="006F45CF" w:rsidP="006F45CF">
            <w:pPr>
              <w:adjustRightInd w:val="0"/>
              <w:snapToGrid w:val="0"/>
              <w:rPr>
                <w:rFonts w:asciiTheme="majorBidi" w:hAnsiTheme="majorBidi" w:cstheme="majorBidi"/>
                <w:szCs w:val="22"/>
                <w:lang w:eastAsia="zh-Hans"/>
              </w:rPr>
            </w:pPr>
            <w:r w:rsidRPr="000D79DD">
              <w:rPr>
                <w:rFonts w:asciiTheme="majorBidi" w:hAnsiTheme="majorBidi" w:cstheme="majorBidi"/>
                <w:szCs w:val="22"/>
                <w:lang w:eastAsia="zh-Hans"/>
              </w:rPr>
              <w:t>(</w:t>
            </w:r>
            <w:proofErr w:type="spellStart"/>
            <w:r w:rsidRPr="000D79DD">
              <w:rPr>
                <w:rFonts w:asciiTheme="majorBidi" w:hAnsiTheme="majorBidi" w:cstheme="majorBidi"/>
                <w:szCs w:val="22"/>
                <w:lang w:eastAsia="zh-Hans"/>
              </w:rPr>
              <w:t>i</w:t>
            </w:r>
            <w:proofErr w:type="spellEnd"/>
            <w:r w:rsidRPr="000D79DD">
              <w:rPr>
                <w:rFonts w:asciiTheme="majorBidi" w:hAnsiTheme="majorBidi" w:cstheme="majorBidi"/>
                <w:szCs w:val="22"/>
                <w:lang w:eastAsia="zh-Hans"/>
              </w:rPr>
              <w:t>) Organisms or micro-organisms or cells, or the organisms or microorganisms, cells or cell organelles, from which they have been derived, which have been subject to a genetic engineering process which resulting in their genetic change,</w:t>
            </w:r>
          </w:p>
          <w:p w14:paraId="7F45A2A6" w14:textId="77777777" w:rsidR="006F45CF" w:rsidRPr="000D79DD" w:rsidRDefault="006F45CF" w:rsidP="006F45CF">
            <w:pPr>
              <w:adjustRightInd w:val="0"/>
              <w:snapToGrid w:val="0"/>
              <w:rPr>
                <w:rFonts w:asciiTheme="majorBidi" w:hAnsiTheme="majorBidi" w:cstheme="majorBidi"/>
                <w:szCs w:val="22"/>
                <w:lang w:eastAsia="zh-Hans"/>
              </w:rPr>
            </w:pPr>
            <w:r w:rsidRPr="000D79DD">
              <w:rPr>
                <w:rFonts w:asciiTheme="majorBidi" w:hAnsiTheme="majorBidi" w:cstheme="majorBidi"/>
                <w:szCs w:val="22"/>
                <w:lang w:eastAsia="zh-Hans"/>
              </w:rPr>
              <w:t xml:space="preserve">(ii) Every biological or molecular unit with </w:t>
            </w:r>
            <w:proofErr w:type="spellStart"/>
            <w:r w:rsidRPr="000D79DD">
              <w:rPr>
                <w:rFonts w:asciiTheme="majorBidi" w:hAnsiTheme="majorBidi" w:cstheme="majorBidi"/>
                <w:szCs w:val="22"/>
                <w:lang w:eastAsia="zh-Hans"/>
              </w:rPr>
              <w:t>self replication</w:t>
            </w:r>
            <w:proofErr w:type="spellEnd"/>
            <w:r w:rsidRPr="000D79DD">
              <w:rPr>
                <w:rFonts w:asciiTheme="majorBidi" w:hAnsiTheme="majorBidi" w:cstheme="majorBidi"/>
                <w:szCs w:val="22"/>
                <w:lang w:eastAsia="zh-Hans"/>
              </w:rPr>
              <w:t xml:space="preserve"> potential, or biological or molecular unit with </w:t>
            </w:r>
            <w:proofErr w:type="spellStart"/>
            <w:r w:rsidRPr="000D79DD">
              <w:rPr>
                <w:rFonts w:asciiTheme="majorBidi" w:hAnsiTheme="majorBidi" w:cstheme="majorBidi"/>
                <w:szCs w:val="22"/>
                <w:lang w:eastAsia="zh-Hans"/>
              </w:rPr>
              <w:t>self replication</w:t>
            </w:r>
            <w:proofErr w:type="spellEnd"/>
            <w:r w:rsidRPr="000D79DD">
              <w:rPr>
                <w:rFonts w:asciiTheme="majorBidi" w:hAnsiTheme="majorBidi" w:cstheme="majorBidi"/>
                <w:szCs w:val="22"/>
                <w:lang w:eastAsia="zh-Hans"/>
              </w:rPr>
              <w:t xml:space="preserve"> potential from which they have been derived, </w:t>
            </w:r>
            <w:r w:rsidRPr="000D79DD">
              <w:rPr>
                <w:rFonts w:asciiTheme="majorBidi" w:hAnsiTheme="majorBidi" w:cstheme="majorBidi"/>
                <w:szCs w:val="22"/>
                <w:lang w:eastAsia="zh-Hans"/>
              </w:rPr>
              <w:lastRenderedPageBreak/>
              <w:t>which has been subject to a genetic engineering process which resulted in its genetic change.</w:t>
            </w:r>
          </w:p>
          <w:p w14:paraId="2D7DBC88" w14:textId="77777777" w:rsidR="006F45CF" w:rsidRPr="000D79DD" w:rsidRDefault="006F45CF" w:rsidP="006F45CF">
            <w:pPr>
              <w:adjustRightInd w:val="0"/>
              <w:snapToGrid w:val="0"/>
              <w:rPr>
                <w:rFonts w:asciiTheme="majorBidi" w:hAnsiTheme="majorBidi" w:cstheme="majorBidi"/>
                <w:szCs w:val="22"/>
                <w:lang w:eastAsia="zh-Hans"/>
              </w:rPr>
            </w:pPr>
            <w:r w:rsidRPr="000D79DD">
              <w:rPr>
                <w:rFonts w:asciiTheme="majorBidi" w:hAnsiTheme="majorBidi" w:cstheme="majorBidi"/>
                <w:szCs w:val="22"/>
                <w:lang w:eastAsia="zh-Hans"/>
              </w:rPr>
              <w:t>In the event that the definition of GMO under the applicable laws and/or official regulations relating to genetic engineering or modification in any State, territory or jurisdiction in which a claim is made is wider than the foregoing then such wider definition shall be deemed to be a part of this definition in addition to the foregoing.</w:t>
            </w:r>
            <w:r w:rsidRPr="000D79DD">
              <w:rPr>
                <w:rStyle w:val="FootnoteReference"/>
                <w:rFonts w:asciiTheme="majorBidi" w:hAnsiTheme="majorBidi" w:cstheme="majorBidi"/>
                <w:szCs w:val="22"/>
                <w:lang w:eastAsia="zh-Hans"/>
              </w:rPr>
              <w:footnoteReference w:id="181"/>
            </w:r>
          </w:p>
        </w:tc>
      </w:tr>
      <w:tr w:rsidR="006F45CF" w:rsidRPr="000D79DD" w14:paraId="5B3DF295" w14:textId="77777777" w:rsidTr="009168FF">
        <w:tc>
          <w:tcPr>
            <w:tcW w:w="1942" w:type="dxa"/>
            <w:vAlign w:val="center"/>
          </w:tcPr>
          <w:p w14:paraId="32AEE1BC" w14:textId="77777777" w:rsidR="006F45CF" w:rsidRPr="000D79DD" w:rsidRDefault="006F45CF" w:rsidP="006F45CF">
            <w:pPr>
              <w:adjustRightInd w:val="0"/>
              <w:snapToGrid w:val="0"/>
              <w:jc w:val="center"/>
              <w:rPr>
                <w:rFonts w:asciiTheme="majorBidi" w:hAnsiTheme="majorBidi" w:cstheme="majorBidi"/>
                <w:szCs w:val="22"/>
                <w:lang w:eastAsia="zh-Hans"/>
              </w:rPr>
            </w:pPr>
            <w:r w:rsidRPr="000D79DD">
              <w:rPr>
                <w:rFonts w:asciiTheme="majorBidi" w:hAnsiTheme="majorBidi" w:cstheme="majorBidi"/>
                <w:szCs w:val="22"/>
                <w:lang w:eastAsia="zh-Hans"/>
              </w:rPr>
              <w:lastRenderedPageBreak/>
              <w:t xml:space="preserve">PT </w:t>
            </w:r>
            <w:proofErr w:type="spellStart"/>
            <w:r w:rsidRPr="000D79DD">
              <w:rPr>
                <w:rFonts w:asciiTheme="majorBidi" w:hAnsiTheme="majorBidi" w:cstheme="majorBidi"/>
                <w:szCs w:val="22"/>
                <w:lang w:eastAsia="zh-Hans"/>
              </w:rPr>
              <w:t>Asuransi</w:t>
            </w:r>
            <w:proofErr w:type="spellEnd"/>
            <w:r w:rsidRPr="000D79DD">
              <w:rPr>
                <w:rFonts w:asciiTheme="majorBidi" w:hAnsiTheme="majorBidi" w:cstheme="majorBidi"/>
                <w:szCs w:val="22"/>
                <w:lang w:eastAsia="zh-Hans"/>
              </w:rPr>
              <w:t xml:space="preserve"> AXA Indonesia Redefining insurance, Smart </w:t>
            </w:r>
            <w:proofErr w:type="spellStart"/>
            <w:r w:rsidRPr="000D79DD">
              <w:rPr>
                <w:rFonts w:asciiTheme="majorBidi" w:hAnsiTheme="majorBidi" w:cstheme="majorBidi"/>
                <w:szCs w:val="22"/>
                <w:lang w:eastAsia="zh-Hans"/>
              </w:rPr>
              <w:t>Traveler</w:t>
            </w:r>
            <w:proofErr w:type="spellEnd"/>
          </w:p>
        </w:tc>
        <w:tc>
          <w:tcPr>
            <w:tcW w:w="7503" w:type="dxa"/>
          </w:tcPr>
          <w:p w14:paraId="7A16B964" w14:textId="77777777" w:rsidR="006F45CF" w:rsidRPr="000D79DD" w:rsidRDefault="006F45CF" w:rsidP="006F45CF">
            <w:pPr>
              <w:pStyle w:val="NormalWeb"/>
              <w:widowControl/>
              <w:adjustRightInd w:val="0"/>
              <w:snapToGrid w:val="0"/>
              <w:spacing w:beforeAutospacing="0" w:afterAutospacing="0"/>
              <w:rPr>
                <w:rFonts w:asciiTheme="majorBidi" w:hAnsiTheme="majorBidi" w:cstheme="majorBidi"/>
                <w:sz w:val="22"/>
                <w:szCs w:val="22"/>
              </w:rPr>
            </w:pPr>
            <w:r w:rsidRPr="000D79DD">
              <w:rPr>
                <w:rFonts w:asciiTheme="majorBidi" w:hAnsiTheme="majorBidi" w:cstheme="majorBidi"/>
                <w:b/>
                <w:sz w:val="22"/>
                <w:szCs w:val="22"/>
              </w:rPr>
              <w:t xml:space="preserve">Exclusion: </w:t>
            </w:r>
            <w:r w:rsidRPr="000D79DD">
              <w:rPr>
                <w:rFonts w:asciiTheme="majorBidi" w:hAnsiTheme="majorBidi" w:cstheme="majorBidi"/>
                <w:sz w:val="22"/>
                <w:szCs w:val="22"/>
              </w:rPr>
              <w:t>Except as set out in this clause, all coverage for claims in connection, or from dealing, with a GMO, a GMO product or product part with a GMO component is expressly excluded. </w:t>
            </w:r>
          </w:p>
          <w:p w14:paraId="54D33833" w14:textId="77777777" w:rsidR="006F45CF" w:rsidRPr="000D79DD" w:rsidRDefault="006F45CF" w:rsidP="006F45CF">
            <w:pPr>
              <w:pStyle w:val="NormalWeb"/>
              <w:widowControl/>
              <w:adjustRightInd w:val="0"/>
              <w:snapToGrid w:val="0"/>
              <w:spacing w:beforeAutospacing="0" w:afterAutospacing="0"/>
              <w:rPr>
                <w:rFonts w:asciiTheme="majorBidi" w:hAnsiTheme="majorBidi" w:cstheme="majorBidi"/>
                <w:sz w:val="22"/>
                <w:szCs w:val="22"/>
              </w:rPr>
            </w:pPr>
            <w:proofErr w:type="gramStart"/>
            <w:r w:rsidRPr="000D79DD">
              <w:rPr>
                <w:rFonts w:asciiTheme="majorBidi" w:hAnsiTheme="majorBidi" w:cstheme="majorBidi"/>
                <w:sz w:val="22"/>
                <w:szCs w:val="22"/>
              </w:rPr>
              <w:t>a. In particular, but</w:t>
            </w:r>
            <w:proofErr w:type="gramEnd"/>
            <w:r w:rsidRPr="000D79DD">
              <w:rPr>
                <w:rFonts w:asciiTheme="majorBidi" w:hAnsiTheme="majorBidi" w:cstheme="majorBidi"/>
                <w:sz w:val="22"/>
                <w:szCs w:val="22"/>
              </w:rPr>
              <w:t xml:space="preserve"> not limited to, there shall be no coverage for claims arising from unintended, </w:t>
            </w:r>
            <w:proofErr w:type="spellStart"/>
            <w:r w:rsidRPr="000D79DD">
              <w:rPr>
                <w:rFonts w:asciiTheme="majorBidi" w:hAnsiTheme="majorBidi" w:cstheme="majorBidi"/>
                <w:sz w:val="22"/>
                <w:szCs w:val="22"/>
              </w:rPr>
              <w:t>non agreed</w:t>
            </w:r>
            <w:proofErr w:type="spellEnd"/>
            <w:r w:rsidRPr="000D79DD">
              <w:rPr>
                <w:rFonts w:asciiTheme="majorBidi" w:hAnsiTheme="majorBidi" w:cstheme="majorBidi"/>
                <w:sz w:val="22"/>
                <w:szCs w:val="22"/>
              </w:rPr>
              <w:t xml:space="preserve"> or improper pollination by, distribution of or blending with a GMO, a GMO product or product part with a GMO component. </w:t>
            </w:r>
          </w:p>
          <w:p w14:paraId="461FD491" w14:textId="77777777" w:rsidR="006F45CF" w:rsidRPr="000D79DD" w:rsidRDefault="006F45CF" w:rsidP="006F45CF">
            <w:pPr>
              <w:pStyle w:val="NormalWeb"/>
              <w:widowControl/>
              <w:adjustRightInd w:val="0"/>
              <w:snapToGrid w:val="0"/>
              <w:spacing w:beforeAutospacing="0" w:afterAutospacing="0"/>
              <w:rPr>
                <w:rFonts w:asciiTheme="majorBidi" w:hAnsiTheme="majorBidi" w:cstheme="majorBidi"/>
                <w:sz w:val="22"/>
                <w:szCs w:val="22"/>
              </w:rPr>
            </w:pPr>
            <w:r w:rsidRPr="000D79DD">
              <w:rPr>
                <w:rFonts w:asciiTheme="majorBidi" w:hAnsiTheme="majorBidi" w:cstheme="majorBidi"/>
                <w:b/>
                <w:sz w:val="22"/>
                <w:szCs w:val="22"/>
              </w:rPr>
              <w:t xml:space="preserve">Definition: </w:t>
            </w:r>
            <w:r w:rsidRPr="000D79DD">
              <w:rPr>
                <w:rFonts w:asciiTheme="majorBidi" w:hAnsiTheme="majorBidi" w:cstheme="majorBidi"/>
                <w:sz w:val="22"/>
                <w:szCs w:val="22"/>
              </w:rPr>
              <w:t>For the purposes of the insurance provided with this endorsement and of the exclusion expressed therein the term Genetically Modified Organisms (GMOs) shall mean and include: </w:t>
            </w:r>
          </w:p>
          <w:p w14:paraId="4E2AA8EC" w14:textId="77777777" w:rsidR="006F45CF" w:rsidRPr="000D79DD" w:rsidRDefault="006F45CF" w:rsidP="006F45CF">
            <w:pPr>
              <w:pStyle w:val="NormalWeb"/>
              <w:widowControl/>
              <w:adjustRightInd w:val="0"/>
              <w:snapToGrid w:val="0"/>
              <w:spacing w:beforeAutospacing="0" w:afterAutospacing="0"/>
              <w:rPr>
                <w:rFonts w:asciiTheme="majorBidi" w:hAnsiTheme="majorBidi" w:cstheme="majorBidi"/>
                <w:sz w:val="22"/>
                <w:szCs w:val="22"/>
              </w:rPr>
            </w:pPr>
            <w:r w:rsidRPr="000D79DD">
              <w:rPr>
                <w:rFonts w:asciiTheme="majorBidi" w:hAnsiTheme="majorBidi" w:cstheme="majorBidi"/>
                <w:sz w:val="22"/>
                <w:szCs w:val="22"/>
              </w:rPr>
              <w:t>a. Organism or micro-organisms or cells, or the organisms or micro-organisms, cells or cell organelles, from which they have been derived, which have been subject to a genetic engineering process which resulted in their genetic change and shall also mean and include </w:t>
            </w:r>
          </w:p>
          <w:p w14:paraId="559F554D" w14:textId="77777777" w:rsidR="006F45CF" w:rsidRPr="000D79DD" w:rsidRDefault="006F45CF" w:rsidP="006F45CF">
            <w:pPr>
              <w:pStyle w:val="NormalWeb"/>
              <w:widowControl/>
              <w:adjustRightInd w:val="0"/>
              <w:snapToGrid w:val="0"/>
              <w:spacing w:beforeAutospacing="0" w:afterAutospacing="0"/>
              <w:rPr>
                <w:rFonts w:asciiTheme="majorBidi" w:hAnsiTheme="majorBidi" w:cstheme="majorBidi"/>
                <w:sz w:val="22"/>
                <w:szCs w:val="22"/>
              </w:rPr>
            </w:pPr>
            <w:r w:rsidRPr="000D79DD">
              <w:rPr>
                <w:rFonts w:asciiTheme="majorBidi" w:hAnsiTheme="majorBidi" w:cstheme="majorBidi"/>
                <w:sz w:val="22"/>
                <w:szCs w:val="22"/>
              </w:rPr>
              <w:t xml:space="preserve">b. Every biological or molecular unit with </w:t>
            </w:r>
            <w:proofErr w:type="spellStart"/>
            <w:r w:rsidRPr="000D79DD">
              <w:rPr>
                <w:rFonts w:asciiTheme="majorBidi" w:hAnsiTheme="majorBidi" w:cstheme="majorBidi"/>
                <w:sz w:val="22"/>
                <w:szCs w:val="22"/>
              </w:rPr>
              <w:t>self replication</w:t>
            </w:r>
            <w:proofErr w:type="spellEnd"/>
            <w:r w:rsidRPr="000D79DD">
              <w:rPr>
                <w:rFonts w:asciiTheme="majorBidi" w:hAnsiTheme="majorBidi" w:cstheme="majorBidi"/>
                <w:sz w:val="22"/>
                <w:szCs w:val="22"/>
              </w:rPr>
              <w:t xml:space="preserve"> potential, or biological or molecular unit with </w:t>
            </w:r>
            <w:proofErr w:type="spellStart"/>
            <w:r w:rsidRPr="000D79DD">
              <w:rPr>
                <w:rFonts w:asciiTheme="majorBidi" w:hAnsiTheme="majorBidi" w:cstheme="majorBidi"/>
                <w:sz w:val="22"/>
                <w:szCs w:val="22"/>
              </w:rPr>
              <w:t>self replication</w:t>
            </w:r>
            <w:proofErr w:type="spellEnd"/>
            <w:r w:rsidRPr="000D79DD">
              <w:rPr>
                <w:rFonts w:asciiTheme="majorBidi" w:hAnsiTheme="majorBidi" w:cstheme="majorBidi"/>
                <w:sz w:val="22"/>
                <w:szCs w:val="22"/>
              </w:rPr>
              <w:t xml:space="preserve"> potential from which they have been derived, which has been subject to a genetic engineering process which resulted in its genetic change. </w:t>
            </w:r>
          </w:p>
          <w:p w14:paraId="5C985691" w14:textId="77777777" w:rsidR="006F45CF" w:rsidRPr="000D79DD" w:rsidRDefault="006F45CF" w:rsidP="006F45CF">
            <w:pPr>
              <w:pStyle w:val="NormalWeb"/>
              <w:widowControl/>
              <w:adjustRightInd w:val="0"/>
              <w:snapToGrid w:val="0"/>
              <w:spacing w:beforeAutospacing="0" w:afterAutospacing="0"/>
              <w:rPr>
                <w:rFonts w:asciiTheme="majorBidi" w:hAnsiTheme="majorBidi" w:cstheme="majorBidi"/>
                <w:sz w:val="22"/>
                <w:szCs w:val="22"/>
                <w:lang w:eastAsia="zh-Hans"/>
              </w:rPr>
            </w:pPr>
            <w:r w:rsidRPr="000D79DD">
              <w:rPr>
                <w:rFonts w:asciiTheme="majorBidi" w:hAnsiTheme="majorBidi" w:cstheme="majorBidi"/>
                <w:sz w:val="22"/>
                <w:szCs w:val="22"/>
              </w:rPr>
              <w:t>In the event that the definition of GMO under the applicable laws and/or official regulations relating to genetic engineering or modification in any State, territory or jurisdiction in which a claim is made is wider than the foregoing then such wider definition shall be incorporated into this definition in addition to the foregoing.</w:t>
            </w:r>
            <w:r w:rsidRPr="000D79DD">
              <w:rPr>
                <w:rStyle w:val="FootnoteReference"/>
                <w:rFonts w:asciiTheme="majorBidi" w:hAnsiTheme="majorBidi" w:cstheme="majorBidi"/>
                <w:szCs w:val="22"/>
              </w:rPr>
              <w:footnoteReference w:id="182"/>
            </w:r>
          </w:p>
        </w:tc>
      </w:tr>
      <w:tr w:rsidR="006F45CF" w:rsidRPr="000D79DD" w14:paraId="4F270F0E" w14:textId="77777777" w:rsidTr="009168FF">
        <w:tc>
          <w:tcPr>
            <w:tcW w:w="1942" w:type="dxa"/>
            <w:vAlign w:val="center"/>
          </w:tcPr>
          <w:p w14:paraId="72902C45" w14:textId="77777777" w:rsidR="006F45CF" w:rsidRPr="000D79DD" w:rsidRDefault="006F45CF" w:rsidP="006F45CF">
            <w:pPr>
              <w:adjustRightInd w:val="0"/>
              <w:snapToGrid w:val="0"/>
              <w:jc w:val="center"/>
              <w:rPr>
                <w:rFonts w:asciiTheme="majorBidi" w:hAnsiTheme="majorBidi" w:cstheme="majorBidi"/>
                <w:szCs w:val="22"/>
                <w:lang w:eastAsia="zh-Hans"/>
              </w:rPr>
            </w:pPr>
            <w:r w:rsidRPr="000D79DD">
              <w:rPr>
                <w:rFonts w:asciiTheme="majorBidi" w:hAnsiTheme="majorBidi" w:cstheme="majorBidi"/>
                <w:szCs w:val="22"/>
                <w:lang w:eastAsia="zh-Hans"/>
              </w:rPr>
              <w:t>L&amp;T General Insurance Company Limited, commercial general liability insurance policy, 2010</w:t>
            </w:r>
          </w:p>
        </w:tc>
        <w:tc>
          <w:tcPr>
            <w:tcW w:w="7503" w:type="dxa"/>
          </w:tcPr>
          <w:p w14:paraId="1FFF53B8" w14:textId="77777777" w:rsidR="006F45CF" w:rsidRPr="000D79DD" w:rsidRDefault="006F45CF" w:rsidP="006F45CF">
            <w:pPr>
              <w:adjustRightInd w:val="0"/>
              <w:snapToGrid w:val="0"/>
              <w:rPr>
                <w:rFonts w:asciiTheme="majorBidi" w:hAnsiTheme="majorBidi" w:cstheme="majorBidi"/>
                <w:szCs w:val="22"/>
                <w:lang w:eastAsia="zh-Hans"/>
              </w:rPr>
            </w:pPr>
            <w:r w:rsidRPr="000D79DD">
              <w:rPr>
                <w:rFonts w:asciiTheme="majorBidi" w:hAnsiTheme="majorBidi" w:cstheme="majorBidi"/>
                <w:szCs w:val="22"/>
                <w:lang w:eastAsia="zh-Hans"/>
              </w:rPr>
              <w:t>General exclusions: the company shall not provide indemnity in respect of,</w:t>
            </w:r>
          </w:p>
          <w:p w14:paraId="213B8F0A" w14:textId="77777777" w:rsidR="006F45CF" w:rsidRPr="000D79DD" w:rsidRDefault="006F45CF" w:rsidP="006F45CF">
            <w:pPr>
              <w:adjustRightInd w:val="0"/>
              <w:snapToGrid w:val="0"/>
              <w:rPr>
                <w:rFonts w:asciiTheme="majorBidi" w:hAnsiTheme="majorBidi" w:cstheme="majorBidi"/>
                <w:szCs w:val="22"/>
              </w:rPr>
            </w:pPr>
            <w:r w:rsidRPr="000D79DD">
              <w:rPr>
                <w:rFonts w:asciiTheme="majorBidi" w:hAnsiTheme="majorBidi" w:cstheme="majorBidi"/>
                <w:szCs w:val="22"/>
                <w:lang w:eastAsia="zh-Hans"/>
              </w:rPr>
              <w:t xml:space="preserve">... </w:t>
            </w:r>
          </w:p>
          <w:p w14:paraId="04EB3A45" w14:textId="77777777" w:rsidR="006F45CF" w:rsidRPr="000D79DD" w:rsidRDefault="006F45CF" w:rsidP="006F45CF">
            <w:pPr>
              <w:pStyle w:val="NormalWeb"/>
              <w:widowControl/>
              <w:adjustRightInd w:val="0"/>
              <w:snapToGrid w:val="0"/>
              <w:spacing w:beforeAutospacing="0" w:afterAutospacing="0"/>
              <w:rPr>
                <w:rFonts w:asciiTheme="majorBidi" w:hAnsiTheme="majorBidi" w:cstheme="majorBidi"/>
                <w:sz w:val="22"/>
                <w:szCs w:val="22"/>
                <w:lang w:eastAsia="zh-Hans"/>
              </w:rPr>
            </w:pPr>
            <w:r w:rsidRPr="000D79DD">
              <w:rPr>
                <w:rFonts w:asciiTheme="majorBidi" w:hAnsiTheme="majorBidi" w:cstheme="majorBidi"/>
                <w:sz w:val="22"/>
                <w:szCs w:val="22"/>
              </w:rPr>
              <w:t>15. Claims and Loss, of whatsoever nature directly or indirectly caused by, in whole or in part arising out of, contributed to, resulting from or in connection with Genetically Modified Organisms and/or products. </w:t>
            </w:r>
            <w:r w:rsidRPr="000D79DD">
              <w:rPr>
                <w:rStyle w:val="FootnoteReference"/>
                <w:rFonts w:asciiTheme="majorBidi" w:hAnsiTheme="majorBidi" w:cstheme="majorBidi"/>
                <w:szCs w:val="22"/>
              </w:rPr>
              <w:footnoteReference w:id="183"/>
            </w:r>
          </w:p>
        </w:tc>
      </w:tr>
      <w:tr w:rsidR="006F45CF" w:rsidRPr="000D79DD" w14:paraId="6BD706F8" w14:textId="77777777" w:rsidTr="009168FF">
        <w:tc>
          <w:tcPr>
            <w:tcW w:w="1942" w:type="dxa"/>
            <w:vAlign w:val="center"/>
          </w:tcPr>
          <w:p w14:paraId="28796973" w14:textId="77777777" w:rsidR="006F45CF" w:rsidRPr="000D79DD" w:rsidRDefault="006F45CF" w:rsidP="006F45CF">
            <w:pPr>
              <w:adjustRightInd w:val="0"/>
              <w:snapToGrid w:val="0"/>
              <w:jc w:val="center"/>
              <w:rPr>
                <w:rFonts w:asciiTheme="majorBidi" w:hAnsiTheme="majorBidi" w:cstheme="majorBidi"/>
                <w:szCs w:val="22"/>
                <w:lang w:eastAsia="zh-Hans"/>
              </w:rPr>
            </w:pPr>
            <w:r w:rsidRPr="000D79DD">
              <w:rPr>
                <w:rFonts w:asciiTheme="majorBidi" w:hAnsiTheme="majorBidi" w:cstheme="majorBidi"/>
                <w:szCs w:val="22"/>
                <w:lang w:eastAsia="zh-Hans"/>
              </w:rPr>
              <w:lastRenderedPageBreak/>
              <w:t>Sun General Insurance, Machinery insurance policy Grenada, 2013</w:t>
            </w:r>
          </w:p>
        </w:tc>
        <w:tc>
          <w:tcPr>
            <w:tcW w:w="7503" w:type="dxa"/>
          </w:tcPr>
          <w:p w14:paraId="54CF20B1" w14:textId="77777777" w:rsidR="006F45CF" w:rsidRPr="000D79DD" w:rsidRDefault="006F45CF" w:rsidP="006F45CF">
            <w:pPr>
              <w:adjustRightInd w:val="0"/>
              <w:snapToGrid w:val="0"/>
              <w:rPr>
                <w:rFonts w:asciiTheme="majorBidi" w:hAnsiTheme="majorBidi" w:cstheme="majorBidi"/>
                <w:szCs w:val="22"/>
                <w:lang w:eastAsia="zh-Hans"/>
              </w:rPr>
            </w:pPr>
            <w:r w:rsidRPr="000D79DD">
              <w:rPr>
                <w:rFonts w:asciiTheme="majorBidi" w:hAnsiTheme="majorBidi" w:cstheme="majorBidi"/>
                <w:szCs w:val="22"/>
                <w:lang w:eastAsia="zh-Hans"/>
              </w:rPr>
              <w:t>5.6 Genetically Modified Organisms</w:t>
            </w:r>
          </w:p>
          <w:p w14:paraId="2925FDD2" w14:textId="77777777" w:rsidR="006F45CF" w:rsidRPr="000D79DD" w:rsidRDefault="006F45CF" w:rsidP="006F45CF">
            <w:pPr>
              <w:adjustRightInd w:val="0"/>
              <w:snapToGrid w:val="0"/>
              <w:rPr>
                <w:rFonts w:asciiTheme="majorBidi" w:hAnsiTheme="majorBidi" w:cstheme="majorBidi"/>
                <w:szCs w:val="22"/>
                <w:lang w:eastAsia="zh-Hans"/>
              </w:rPr>
            </w:pPr>
            <w:r w:rsidRPr="000D79DD">
              <w:rPr>
                <w:rFonts w:asciiTheme="majorBidi" w:hAnsiTheme="majorBidi" w:cstheme="majorBidi"/>
                <w:szCs w:val="22"/>
                <w:lang w:eastAsia="zh-Hans"/>
              </w:rPr>
              <w:t>This Policy does not cover: any liability, loss, cost or expense directly or indirectly arising out of, resulting from, caused or contributed to by GMOs.</w:t>
            </w:r>
          </w:p>
          <w:p w14:paraId="31871AC3" w14:textId="77777777" w:rsidR="006F45CF" w:rsidRPr="000D79DD" w:rsidRDefault="006F45CF" w:rsidP="006F45CF">
            <w:pPr>
              <w:adjustRightInd w:val="0"/>
              <w:snapToGrid w:val="0"/>
              <w:rPr>
                <w:rFonts w:asciiTheme="majorBidi" w:hAnsiTheme="majorBidi" w:cstheme="majorBidi"/>
                <w:szCs w:val="22"/>
                <w:lang w:eastAsia="zh-Hans"/>
              </w:rPr>
            </w:pPr>
            <w:r w:rsidRPr="000D79DD">
              <w:rPr>
                <w:rFonts w:asciiTheme="majorBidi" w:hAnsiTheme="majorBidi" w:cstheme="majorBidi"/>
                <w:szCs w:val="22"/>
                <w:lang w:eastAsia="zh-Hans"/>
              </w:rPr>
              <w:t>For the purposes of this exclusion the term GMO’s shall mean and include:</w:t>
            </w:r>
          </w:p>
          <w:p w14:paraId="271A6A88" w14:textId="77777777" w:rsidR="006F45CF" w:rsidRPr="000D79DD" w:rsidRDefault="006F45CF" w:rsidP="006F45CF">
            <w:pPr>
              <w:adjustRightInd w:val="0"/>
              <w:snapToGrid w:val="0"/>
              <w:rPr>
                <w:rFonts w:asciiTheme="majorBidi" w:hAnsiTheme="majorBidi" w:cstheme="majorBidi"/>
                <w:szCs w:val="22"/>
                <w:lang w:eastAsia="zh-Hans"/>
              </w:rPr>
            </w:pPr>
            <w:r w:rsidRPr="000D79DD">
              <w:rPr>
                <w:rFonts w:asciiTheme="majorBidi" w:hAnsiTheme="majorBidi" w:cstheme="majorBidi"/>
                <w:szCs w:val="22"/>
                <w:lang w:eastAsia="zh-Hans"/>
              </w:rPr>
              <w:t>Organisms or micro-organisms or cells, or the organisms or microorganisms, cells or cell organelles, from which they have been derived, which have been subject to a genetic engineering process which resulted in their genetic change.</w:t>
            </w:r>
          </w:p>
          <w:p w14:paraId="3B75A605" w14:textId="77777777" w:rsidR="006F45CF" w:rsidRPr="000D79DD" w:rsidRDefault="006F45CF" w:rsidP="006F45CF">
            <w:pPr>
              <w:adjustRightInd w:val="0"/>
              <w:snapToGrid w:val="0"/>
              <w:rPr>
                <w:rFonts w:asciiTheme="majorBidi" w:hAnsiTheme="majorBidi" w:cstheme="majorBidi"/>
                <w:szCs w:val="22"/>
                <w:lang w:eastAsia="zh-Hans"/>
              </w:rPr>
            </w:pPr>
            <w:r w:rsidRPr="000D79DD">
              <w:rPr>
                <w:rFonts w:asciiTheme="majorBidi" w:hAnsiTheme="majorBidi" w:cstheme="majorBidi"/>
                <w:szCs w:val="22"/>
                <w:lang w:eastAsia="zh-Hans"/>
              </w:rPr>
              <w:t>Every biological or molecular unit with self-replication potential, or biological or molecular unit with self-replication potential from which they have been derived, which has been subject to a genetic engineering process, which resulted in its genetic change.</w:t>
            </w:r>
          </w:p>
          <w:p w14:paraId="2B6ED3A7" w14:textId="77777777" w:rsidR="006F45CF" w:rsidRPr="000D79DD" w:rsidRDefault="006F45CF" w:rsidP="006F45CF">
            <w:pPr>
              <w:adjustRightInd w:val="0"/>
              <w:snapToGrid w:val="0"/>
              <w:rPr>
                <w:rFonts w:asciiTheme="majorBidi" w:hAnsiTheme="majorBidi" w:cstheme="majorBidi"/>
                <w:szCs w:val="22"/>
                <w:lang w:eastAsia="zh-Hans"/>
              </w:rPr>
            </w:pPr>
            <w:proofErr w:type="gramStart"/>
            <w:r w:rsidRPr="000D79DD">
              <w:rPr>
                <w:rFonts w:asciiTheme="majorBidi" w:hAnsiTheme="majorBidi" w:cstheme="majorBidi"/>
                <w:szCs w:val="22"/>
                <w:lang w:eastAsia="zh-Hans"/>
              </w:rPr>
              <w:t>In the event that</w:t>
            </w:r>
            <w:proofErr w:type="gramEnd"/>
            <w:r w:rsidRPr="000D79DD">
              <w:rPr>
                <w:rFonts w:asciiTheme="majorBidi" w:hAnsiTheme="majorBidi" w:cstheme="majorBidi"/>
                <w:szCs w:val="22"/>
                <w:lang w:eastAsia="zh-Hans"/>
              </w:rPr>
              <w:t xml:space="preserve"> the definition of GMO under the applicable laws and/or official regulations relating to genetic engineering or modification in any province, State, territory or jurisdiction in which a claim is made is wider definition in addition to the foregoing.</w:t>
            </w:r>
          </w:p>
          <w:p w14:paraId="55BA6C3B" w14:textId="77777777" w:rsidR="006F45CF" w:rsidRPr="000D79DD" w:rsidRDefault="006F45CF" w:rsidP="006F45CF">
            <w:pPr>
              <w:adjustRightInd w:val="0"/>
              <w:snapToGrid w:val="0"/>
              <w:rPr>
                <w:rFonts w:asciiTheme="majorBidi" w:hAnsiTheme="majorBidi" w:cstheme="majorBidi"/>
                <w:szCs w:val="22"/>
                <w:lang w:eastAsia="zh-Hans"/>
              </w:rPr>
            </w:pPr>
            <w:r w:rsidRPr="000D79DD">
              <w:rPr>
                <w:rFonts w:asciiTheme="majorBidi" w:hAnsiTheme="majorBidi" w:cstheme="majorBidi"/>
                <w:szCs w:val="22"/>
                <w:lang w:eastAsia="zh-Hans"/>
              </w:rPr>
              <w:t>This exclusion applies regardless of any other contributing or aggravating cause or event that contributes concurrently or in any sequence to the loss, damage, cost or expense.</w:t>
            </w:r>
            <w:r w:rsidRPr="000D79DD">
              <w:rPr>
                <w:rStyle w:val="FootnoteReference"/>
                <w:rFonts w:asciiTheme="majorBidi" w:hAnsiTheme="majorBidi" w:cstheme="majorBidi"/>
                <w:szCs w:val="22"/>
                <w:lang w:eastAsia="zh-Hans"/>
              </w:rPr>
              <w:footnoteReference w:id="184"/>
            </w:r>
          </w:p>
        </w:tc>
      </w:tr>
      <w:tr w:rsidR="006F45CF" w:rsidRPr="000D79DD" w14:paraId="4FCA284D" w14:textId="77777777" w:rsidTr="009168FF">
        <w:tc>
          <w:tcPr>
            <w:tcW w:w="1942" w:type="dxa"/>
            <w:vAlign w:val="center"/>
          </w:tcPr>
          <w:p w14:paraId="33335BBE" w14:textId="77777777" w:rsidR="006F45CF" w:rsidRPr="000D79DD" w:rsidRDefault="006F45CF" w:rsidP="006F45CF">
            <w:pPr>
              <w:adjustRightInd w:val="0"/>
              <w:snapToGrid w:val="0"/>
              <w:jc w:val="center"/>
              <w:rPr>
                <w:rFonts w:asciiTheme="majorBidi" w:hAnsiTheme="majorBidi" w:cstheme="majorBidi"/>
                <w:szCs w:val="22"/>
                <w:lang w:eastAsia="zh-Hans"/>
              </w:rPr>
            </w:pPr>
            <w:proofErr w:type="spellStart"/>
            <w:r w:rsidRPr="000D79DD">
              <w:rPr>
                <w:rFonts w:asciiTheme="majorBidi" w:hAnsiTheme="majorBidi" w:cstheme="majorBidi"/>
                <w:szCs w:val="22"/>
                <w:lang w:eastAsia="zh-Hans"/>
              </w:rPr>
              <w:t>LocalTapiola</w:t>
            </w:r>
            <w:proofErr w:type="spellEnd"/>
            <w:r w:rsidRPr="000D79DD">
              <w:rPr>
                <w:rFonts w:asciiTheme="majorBidi" w:hAnsiTheme="majorBidi" w:cstheme="majorBidi"/>
                <w:szCs w:val="22"/>
                <w:lang w:eastAsia="zh-Hans"/>
              </w:rPr>
              <w:t>, liability insurance VY1, 2014</w:t>
            </w:r>
          </w:p>
        </w:tc>
        <w:tc>
          <w:tcPr>
            <w:tcW w:w="7503" w:type="dxa"/>
          </w:tcPr>
          <w:p w14:paraId="54536768" w14:textId="77777777" w:rsidR="006F45CF" w:rsidRPr="000D79DD" w:rsidRDefault="006F45CF" w:rsidP="006F45CF">
            <w:pPr>
              <w:adjustRightInd w:val="0"/>
              <w:snapToGrid w:val="0"/>
              <w:rPr>
                <w:rFonts w:asciiTheme="majorBidi" w:hAnsiTheme="majorBidi" w:cstheme="majorBidi"/>
                <w:szCs w:val="22"/>
              </w:rPr>
            </w:pPr>
            <w:r w:rsidRPr="000D79DD">
              <w:rPr>
                <w:rFonts w:asciiTheme="majorBidi" w:hAnsiTheme="majorBidi" w:cstheme="majorBidi"/>
                <w:szCs w:val="22"/>
              </w:rPr>
              <w:t>4.14 Special risks excluded from liability insurance</w:t>
            </w:r>
          </w:p>
          <w:p w14:paraId="1EB2E364" w14:textId="77777777" w:rsidR="006F45CF" w:rsidRPr="000D79DD" w:rsidRDefault="006F45CF" w:rsidP="006F45CF">
            <w:pPr>
              <w:adjustRightInd w:val="0"/>
              <w:snapToGrid w:val="0"/>
              <w:rPr>
                <w:rFonts w:asciiTheme="majorBidi" w:hAnsiTheme="majorBidi" w:cstheme="majorBidi"/>
                <w:szCs w:val="22"/>
                <w:lang w:eastAsia="zh-Hans"/>
              </w:rPr>
            </w:pPr>
            <w:r w:rsidRPr="000D79DD">
              <w:rPr>
                <w:rFonts w:asciiTheme="majorBidi" w:hAnsiTheme="majorBidi" w:cstheme="majorBidi"/>
                <w:szCs w:val="22"/>
              </w:rPr>
              <w:t>Liability insurance shall not cover damage or costs that were directly or indirectly caused by any of the following substances, illnesses: ... genetically modified organisms (GMO).</w:t>
            </w:r>
            <w:r w:rsidRPr="000D79DD">
              <w:rPr>
                <w:rStyle w:val="FootnoteReference"/>
                <w:rFonts w:asciiTheme="majorBidi" w:hAnsiTheme="majorBidi" w:cstheme="majorBidi"/>
                <w:szCs w:val="22"/>
              </w:rPr>
              <w:footnoteReference w:id="185"/>
            </w:r>
          </w:p>
        </w:tc>
      </w:tr>
    </w:tbl>
    <w:p w14:paraId="1978FBED" w14:textId="77777777" w:rsidR="006F45CF" w:rsidRPr="000D79DD" w:rsidRDefault="006F45CF" w:rsidP="006F45CF">
      <w:pPr>
        <w:rPr>
          <w:rFonts w:asciiTheme="majorBidi" w:hAnsiTheme="majorBidi" w:cstheme="majorBidi"/>
          <w:szCs w:val="22"/>
        </w:rPr>
      </w:pPr>
    </w:p>
    <w:p w14:paraId="4CA2FBEB" w14:textId="77777777" w:rsidR="006F45CF" w:rsidRPr="000D79DD" w:rsidRDefault="006F45CF" w:rsidP="00391A45">
      <w:pPr>
        <w:pStyle w:val="Para1"/>
        <w:numPr>
          <w:ilvl w:val="0"/>
          <w:numId w:val="0"/>
        </w:numPr>
        <w:jc w:val="center"/>
        <w:outlineLvl w:val="0"/>
        <w:rPr>
          <w:rFonts w:asciiTheme="majorBidi" w:hAnsiTheme="majorBidi" w:cstheme="majorBidi"/>
          <w:iCs/>
          <w:kern w:val="22"/>
          <w:szCs w:val="22"/>
        </w:rPr>
      </w:pPr>
    </w:p>
    <w:p w14:paraId="00161E26" w14:textId="184C509F" w:rsidR="00B3369F" w:rsidRPr="000D79DD" w:rsidRDefault="00C22A80" w:rsidP="00087D95">
      <w:pPr>
        <w:jc w:val="center"/>
        <w:rPr>
          <w:rFonts w:asciiTheme="majorBidi" w:hAnsiTheme="majorBidi" w:cstheme="majorBidi"/>
          <w:kern w:val="22"/>
          <w:szCs w:val="22"/>
        </w:rPr>
      </w:pPr>
      <w:r w:rsidRPr="000D79DD">
        <w:rPr>
          <w:rFonts w:asciiTheme="majorBidi" w:hAnsiTheme="majorBidi" w:cstheme="majorBidi"/>
          <w:kern w:val="22"/>
          <w:szCs w:val="22"/>
        </w:rPr>
        <w:t>__________</w:t>
      </w:r>
    </w:p>
    <w:sectPr w:rsidR="00B3369F" w:rsidRPr="000D79DD" w:rsidSect="00534681">
      <w:headerReference w:type="even" r:id="rId30"/>
      <w:headerReference w:type="default" r:id="rId31"/>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1235D8" w14:textId="77777777" w:rsidR="004B5490" w:rsidRDefault="004B5490" w:rsidP="00CF1848">
      <w:r>
        <w:separator/>
      </w:r>
    </w:p>
  </w:endnote>
  <w:endnote w:type="continuationSeparator" w:id="0">
    <w:p w14:paraId="4050B13E" w14:textId="77777777" w:rsidR="004B5490" w:rsidRDefault="004B5490" w:rsidP="00CF1848">
      <w:r>
        <w:continuationSeparator/>
      </w:r>
    </w:p>
  </w:endnote>
  <w:endnote w:type="continuationNotice" w:id="1">
    <w:p w14:paraId="5E435A69" w14:textId="77777777" w:rsidR="004B5490" w:rsidRDefault="004B54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8F7880" w14:textId="77777777" w:rsidR="00FA5354" w:rsidRPr="00693712" w:rsidRDefault="00FA5354" w:rsidP="00D7122E">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A8235" w14:textId="77777777" w:rsidR="00FA5354" w:rsidRDefault="00FA5354" w:rsidP="00D7122E">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D40C5" w14:textId="77777777" w:rsidR="00FA5354" w:rsidRDefault="00FA5354" w:rsidP="00D7122E">
    <w:pPr>
      <w:pStyle w:val="Footer"/>
      <w:tabs>
        <w:tab w:val="clear" w:pos="4320"/>
        <w:tab w:val="clear" w:pos="8640"/>
      </w:tabs>
      <w:ind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6EA7E" w14:textId="00B8EBAA" w:rsidR="00FA5354" w:rsidRDefault="00FA5354">
    <w:pPr>
      <w:pStyle w:val="Footer"/>
    </w:pPr>
  </w:p>
  <w:p w14:paraId="2CCEB765" w14:textId="77777777" w:rsidR="00FA5354" w:rsidRDefault="00FA5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7AEA1A" w14:textId="77777777" w:rsidR="004B5490" w:rsidRDefault="004B5490" w:rsidP="00CF1848">
      <w:r>
        <w:separator/>
      </w:r>
    </w:p>
  </w:footnote>
  <w:footnote w:type="continuationSeparator" w:id="0">
    <w:p w14:paraId="37A55570" w14:textId="77777777" w:rsidR="004B5490" w:rsidRDefault="004B5490" w:rsidP="00CF1848">
      <w:r>
        <w:continuationSeparator/>
      </w:r>
    </w:p>
  </w:footnote>
  <w:footnote w:type="continuationNotice" w:id="1">
    <w:p w14:paraId="068A4355" w14:textId="77777777" w:rsidR="004B5490" w:rsidRDefault="004B5490"/>
  </w:footnote>
  <w:footnote w:id="2">
    <w:p w14:paraId="581E0A50" w14:textId="685232A3" w:rsidR="00FA5354" w:rsidRPr="00057CAE" w:rsidRDefault="00FA5354" w:rsidP="000723F1">
      <w:pPr>
        <w:pStyle w:val="FootnoteText"/>
        <w:suppressLineNumbers/>
        <w:suppressAutoHyphens/>
        <w:ind w:firstLine="0"/>
        <w:jc w:val="left"/>
        <w:rPr>
          <w:szCs w:val="18"/>
        </w:rPr>
      </w:pPr>
      <w:r w:rsidRPr="000723F1">
        <w:rPr>
          <w:rStyle w:val="FootnoteReference"/>
          <w:sz w:val="18"/>
          <w:szCs w:val="18"/>
        </w:rPr>
        <w:t>*</w:t>
      </w:r>
      <w:r w:rsidRPr="000723F1">
        <w:rPr>
          <w:szCs w:val="18"/>
        </w:rPr>
        <w:t xml:space="preserve"> CBD/CP/MOP/10/1/Rev.1.</w:t>
      </w:r>
    </w:p>
  </w:footnote>
  <w:footnote w:id="3">
    <w:p w14:paraId="40411899" w14:textId="423EDA11"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t>
      </w:r>
      <w:r w:rsidR="00184DC4">
        <w:rPr>
          <w:szCs w:val="18"/>
        </w:rPr>
        <w:t xml:space="preserve">See </w:t>
      </w:r>
      <w:hyperlink r:id="rId1" w:history="1">
        <w:r w:rsidR="00184DC4">
          <w:rPr>
            <w:rStyle w:val="Hyperlink"/>
            <w:szCs w:val="18"/>
          </w:rPr>
          <w:t>n</w:t>
        </w:r>
        <w:r w:rsidRPr="006B2916">
          <w:rPr>
            <w:rStyle w:val="Hyperlink"/>
            <w:szCs w:val="18"/>
          </w:rPr>
          <w:t>otification 2021-038</w:t>
        </w:r>
      </w:hyperlink>
      <w:r w:rsidRPr="006B2916">
        <w:rPr>
          <w:szCs w:val="18"/>
        </w:rPr>
        <w:t xml:space="preserve"> of 25 May 2021.</w:t>
      </w:r>
    </w:p>
  </w:footnote>
  <w:footnote w:id="4">
    <w:p w14:paraId="250CADDB" w14:textId="6641146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t>
      </w:r>
      <w:hyperlink r:id="rId2" w:history="1">
        <w:r w:rsidRPr="006B2916">
          <w:rPr>
            <w:rStyle w:val="Hyperlink"/>
            <w:szCs w:val="18"/>
          </w:rPr>
          <w:t>http://bch.cbd.int/protocol/supplementary/Study.shtml</w:t>
        </w:r>
      </w:hyperlink>
      <w:r w:rsidRPr="006B2916">
        <w:rPr>
          <w:szCs w:val="18"/>
        </w:rPr>
        <w:t xml:space="preserve"> </w:t>
      </w:r>
    </w:p>
  </w:footnote>
  <w:footnote w:id="5">
    <w:p w14:paraId="5165606E" w14:textId="02ECFF6F"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The terms “living modified organism” and “modern biotechnology” are defined in Article 3 of the Cartagena Protocol on Biosafety and apply also to the NKLSP, in accordance with its Article 2 on the use of terms. The text of the NKLSP is provided in Appendix 1.</w:t>
      </w:r>
    </w:p>
  </w:footnote>
  <w:footnote w:id="6">
    <w:p w14:paraId="393131AE"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So Nijar 2013, 272 and Lefeber &amp; Nieto Carrasco 2014.</w:t>
      </w:r>
    </w:p>
  </w:footnote>
  <w:footnote w:id="7">
    <w:p w14:paraId="2F4BB242"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For a further analysis of the liability regime in this NKLSP, see Nijar 2013, 271-290 and Liu 2019, 34-52. For a further analysis of liability and redress under the Cartagena Protocol, see Nijar 2008.</w:t>
      </w:r>
    </w:p>
  </w:footnote>
  <w:footnote w:id="8">
    <w:p w14:paraId="060263D9"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So Nijar 2013, 289; Shibata 2014, 24-28 and Lago Candeira 2016.</w:t>
      </w:r>
    </w:p>
  </w:footnote>
  <w:footnote w:id="9">
    <w:p w14:paraId="24BD3574"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Including detailed studies concerning financial security for LMOs provided by international (re)insurance, such as for example </w:t>
      </w:r>
      <w:hyperlink r:id="rId3" w:tgtFrame="_blank" w:history="1">
        <w:r w:rsidRPr="006B2916">
          <w:rPr>
            <w:rStyle w:val="Hyperlink"/>
            <w:szCs w:val="18"/>
            <w:shd w:val="clear" w:color="auto" w:fill="FFFFFF"/>
          </w:rPr>
          <w:t>https://www.cbd.int/doc/meetings/bs/bswglr-02/information/bswglr-02-inf-07-en.pdf</w:t>
        </w:r>
      </w:hyperlink>
      <w:r w:rsidRPr="006B2916">
        <w:rPr>
          <w:szCs w:val="18"/>
        </w:rPr>
        <w:t xml:space="preserve"> and </w:t>
      </w:r>
      <w:hyperlink r:id="rId4" w:tgtFrame="_blank" w:history="1">
        <w:r w:rsidRPr="006B2916">
          <w:rPr>
            <w:rStyle w:val="Hyperlink"/>
            <w:szCs w:val="18"/>
            <w:shd w:val="clear" w:color="auto" w:fill="FFFFFF"/>
          </w:rPr>
          <w:t>https://www.cbd.int/doc/meetings/bs/bswglr-03/information/bswglr-03-inf-05-en.pdf</w:t>
        </w:r>
      </w:hyperlink>
      <w:r w:rsidRPr="006B2916">
        <w:rPr>
          <w:color w:val="212121"/>
          <w:szCs w:val="18"/>
          <w:shd w:val="clear" w:color="auto" w:fill="FFFFFF"/>
        </w:rPr>
        <w:t>.</w:t>
      </w:r>
    </w:p>
  </w:footnote>
  <w:footnote w:id="10">
    <w:p w14:paraId="09B870C5"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Such as for harm related to offshore oil and gas activities (Faure 2017) or for carbon capture and storage (Faure &amp; Partain 2017).</w:t>
      </w:r>
    </w:p>
  </w:footnote>
  <w:footnote w:id="11">
    <w:p w14:paraId="03CAEFF1"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One note on terminology: the Cartagena Protocol and the NKLSP refer to LMOs. Where the study includes examples from the literature referring to GMOs, the terminology in the example has been maintained. </w:t>
      </w:r>
    </w:p>
  </w:footnote>
  <w:footnote w:id="12">
    <w:p w14:paraId="1B6390C6"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Legal aspects of implementing the Cartagena Protocol on biosafety are discussed in Cordonier-Segger et al. 2013; liability and redress under the Cartagena Protocol is discussed by Nijar 2008; the monograph edited by Shibata 2013 is devoted to the liability regime developed by the NKLSP. The most recent monograph devoted to legal aspects of GMOs (more generally) is the dissertation by Liu 2019.</w:t>
      </w:r>
    </w:p>
  </w:footnote>
  <w:footnote w:id="13">
    <w:p w14:paraId="55B5B373"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for example Koch 2008.</w:t>
      </w:r>
    </w:p>
  </w:footnote>
  <w:footnote w:id="14">
    <w:p w14:paraId="36B23378" w14:textId="77777777" w:rsidR="00FA5354" w:rsidRPr="006B2916" w:rsidRDefault="00FA5354" w:rsidP="006B2916">
      <w:pPr>
        <w:pStyle w:val="FootnoteText"/>
        <w:tabs>
          <w:tab w:val="left" w:pos="1078"/>
        </w:tabs>
        <w:ind w:firstLine="0"/>
        <w:jc w:val="left"/>
        <w:rPr>
          <w:szCs w:val="18"/>
        </w:rPr>
      </w:pPr>
      <w:r w:rsidRPr="006B2916">
        <w:rPr>
          <w:rStyle w:val="FootnoteReference"/>
          <w:sz w:val="18"/>
          <w:szCs w:val="18"/>
        </w:rPr>
        <w:footnoteRef/>
      </w:r>
      <w:r w:rsidRPr="006B2916">
        <w:rPr>
          <w:szCs w:val="18"/>
        </w:rPr>
        <w:t xml:space="preserve"> In the literature a variety of different terms are used to cover the same issue, such as </w:t>
      </w:r>
      <w:r w:rsidRPr="006B2916">
        <w:rPr>
          <w:i/>
          <w:szCs w:val="18"/>
        </w:rPr>
        <w:t>inter alia</w:t>
      </w:r>
      <w:r w:rsidRPr="006B2916">
        <w:rPr>
          <w:szCs w:val="18"/>
        </w:rPr>
        <w:t xml:space="preserve"> “financial assurance” or “bonding requirements”. See Mackie &amp; Besco 2020, 10574.</w:t>
      </w:r>
    </w:p>
  </w:footnote>
  <w:footnote w:id="15">
    <w:p w14:paraId="6D6D63A0"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This goes back on Frank Knight’s famous distinction between risk and uncertainty (Knight 1921).</w:t>
      </w:r>
    </w:p>
  </w:footnote>
  <w:footnote w:id="16">
    <w:p w14:paraId="1893D395"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Arrow 1963, 1965.</w:t>
      </w:r>
    </w:p>
  </w:footnote>
  <w:footnote w:id="17">
    <w:p w14:paraId="7A28C8AD"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Referring to the fact that a victim could obtain a judgment against a liable operator but may not be able to execute it as a result of the operator’s insolvency. See generally Shavell 1986.</w:t>
      </w:r>
    </w:p>
  </w:footnote>
  <w:footnote w:id="18">
    <w:p w14:paraId="09A794FB"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2006; Jost 1996 and Polborn 1998.</w:t>
      </w:r>
    </w:p>
  </w:footnote>
  <w:footnote w:id="19">
    <w:p w14:paraId="7D0B05AC"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Nijar 2013, 277.</w:t>
      </w:r>
    </w:p>
  </w:footnote>
  <w:footnote w:id="20">
    <w:p w14:paraId="2AE582EF"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Nijar 2013, 273.</w:t>
      </w:r>
    </w:p>
  </w:footnote>
  <w:footnote w:id="21">
    <w:p w14:paraId="41DCD095"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Nijar 2013, 276-277; Telesetsky 2011 and Jungcurt &amp; Schabus 2010, 201-202.</w:t>
      </w:r>
    </w:p>
  </w:footnote>
  <w:footnote w:id="22">
    <w:p w14:paraId="4F3AC217"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An argument especially developed by Priest 1987.</w:t>
      </w:r>
    </w:p>
  </w:footnote>
  <w:footnote w:id="23">
    <w:p w14:paraId="1C34BDA8"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further on the relevance of the distinction between first party and </w:t>
      </w:r>
      <w:proofErr w:type="gramStart"/>
      <w:r w:rsidRPr="006B2916">
        <w:rPr>
          <w:szCs w:val="18"/>
        </w:rPr>
        <w:t>third party</w:t>
      </w:r>
      <w:proofErr w:type="gramEnd"/>
      <w:r w:rsidRPr="006B2916">
        <w:rPr>
          <w:szCs w:val="18"/>
        </w:rPr>
        <w:t xml:space="preserve"> cover for LMOs, CBD Secretariat 2007, 2-3, with a discussion of the position of insurers in that respect.</w:t>
      </w:r>
    </w:p>
  </w:footnote>
  <w:footnote w:id="24">
    <w:p w14:paraId="2E5C8C95" w14:textId="624E1D45"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For </w:t>
      </w:r>
      <w:proofErr w:type="gramStart"/>
      <w:r w:rsidRPr="006B2916">
        <w:rPr>
          <w:szCs w:val="18"/>
        </w:rPr>
        <w:t>example</w:t>
      </w:r>
      <w:proofErr w:type="gramEnd"/>
      <w:r w:rsidRPr="006B2916">
        <w:rPr>
          <w:szCs w:val="18"/>
        </w:rPr>
        <w:t xml:space="preserve"> Koch 2008. Property damage for a farmer is not necessarily covered under the NKLSP. Damage is defined in Article 2(2)(b) of the NKLSP as “an adverse effect on the conservation and sustainable use of biological diversity, taking also into account risks to human health, that: (i) Is measurable (…) and (ii) Is significant (…)” (see Appendix 1 for the full text of the definition). Material or personal damage that is associated with damage defined in Article 2(2)(b) is to be addressed under a Party’s domestic civil liability legislation, in accordance with Article 12(2). </w:t>
      </w:r>
    </w:p>
  </w:footnote>
  <w:footnote w:id="25">
    <w:p w14:paraId="2F89EC99"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for example Ebert &amp; Lahnstein 2008.</w:t>
      </w:r>
    </w:p>
  </w:footnote>
  <w:footnote w:id="26">
    <w:p w14:paraId="59467376"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Art. 2(2)(b); Nijar 2013, 273.</w:t>
      </w:r>
    </w:p>
  </w:footnote>
  <w:footnote w:id="27">
    <w:p w14:paraId="7EC85373"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t>
      </w:r>
      <w:proofErr w:type="gramStart"/>
      <w:r w:rsidRPr="006B2916">
        <w:rPr>
          <w:szCs w:val="18"/>
        </w:rPr>
        <w:t>Also</w:t>
      </w:r>
      <w:proofErr w:type="gramEnd"/>
      <w:r w:rsidRPr="006B2916">
        <w:rPr>
          <w:szCs w:val="18"/>
        </w:rPr>
        <w:t xml:space="preserve"> during the negotiations preceding the NKLSP, different damage scenarios were reviewed. For a discussion see Nijar 2013, 283.</w:t>
      </w:r>
    </w:p>
  </w:footnote>
  <w:footnote w:id="28">
    <w:p w14:paraId="66365DF5"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This may depend upon 1) the type of loss; 2) cause of loss; 3) alleged wrong; and 4) the </w:t>
      </w:r>
      <w:proofErr w:type="gramStart"/>
      <w:r w:rsidRPr="006B2916">
        <w:rPr>
          <w:szCs w:val="18"/>
        </w:rPr>
        <w:t>manner in which</w:t>
      </w:r>
      <w:proofErr w:type="gramEnd"/>
      <w:r w:rsidRPr="006B2916">
        <w:rPr>
          <w:szCs w:val="18"/>
        </w:rPr>
        <w:t xml:space="preserve"> the coverage was written, so Roberts 2020.</w:t>
      </w:r>
    </w:p>
  </w:footnote>
  <w:footnote w:id="29">
    <w:p w14:paraId="4EBF7185"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Koch 2008, 616, No. 117.</w:t>
      </w:r>
    </w:p>
  </w:footnote>
  <w:footnote w:id="30">
    <w:p w14:paraId="2172DC47"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Note that risk of LMOs assessed by risk assessors as part of the LMO regulatory process is not necessarily the same analysis of risk that would be considered by a financial security provider.</w:t>
      </w:r>
    </w:p>
  </w:footnote>
  <w:footnote w:id="31">
    <w:p w14:paraId="4E7944EB"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on the difference LeRoy &amp; Singell 1987.</w:t>
      </w:r>
    </w:p>
  </w:footnote>
  <w:footnote w:id="32">
    <w:p w14:paraId="1D55BCE5"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Telesetsky 2011.</w:t>
      </w:r>
    </w:p>
  </w:footnote>
  <w:footnote w:id="33">
    <w:p w14:paraId="7D3C68A4"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Jungcurt &amp; Schabus 2010, 204; James 2008.</w:t>
      </w:r>
    </w:p>
  </w:footnote>
  <w:footnote w:id="34">
    <w:p w14:paraId="11875869"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International Biotechnology Forum 2003, 12 (included in Annex B to CBD Secretariat 2006).</w:t>
      </w:r>
    </w:p>
  </w:footnote>
  <w:footnote w:id="35">
    <w:p w14:paraId="10577F4D"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Ibidem.</w:t>
      </w:r>
    </w:p>
  </w:footnote>
  <w:footnote w:id="36">
    <w:p w14:paraId="07BB6792"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Article 3(4) NKLSP.</w:t>
      </w:r>
    </w:p>
  </w:footnote>
  <w:footnote w:id="37">
    <w:p w14:paraId="3B81012A"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Whether the LMO causing the damage found its origin in a transboundary movement, may be very difficult to verify in practice.</w:t>
      </w:r>
    </w:p>
  </w:footnote>
  <w:footnote w:id="38">
    <w:p w14:paraId="5F1679C7"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also Koch 2008, 615-618; Nijar 2013, 276.</w:t>
      </w:r>
    </w:p>
  </w:footnote>
  <w:footnote w:id="39">
    <w:p w14:paraId="7C4AB91B"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Telesetsky 2011. She refers to the market distributor, the scientific developer and the transporter of the LMO.</w:t>
      </w:r>
    </w:p>
  </w:footnote>
  <w:footnote w:id="40">
    <w:p w14:paraId="59AC3DA3"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In line with Article 10(3)(c) of the NKLSP.</w:t>
      </w:r>
    </w:p>
  </w:footnote>
  <w:footnote w:id="41">
    <w:p w14:paraId="3FC587BB"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Koch 2008, 615, No. 116. The idea is that insurance allows for a spreading of the risk over the entire group of insured. All the insured in the risk-pool share the risk by paying the insurance premium. The sum of all the premiums together will allow to compensate the insured who suffers a loss, i.e. the insured risk.</w:t>
      </w:r>
    </w:p>
  </w:footnote>
  <w:footnote w:id="42">
    <w:p w14:paraId="17F4F1E5"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Koch 2008, 618-620.</w:t>
      </w:r>
    </w:p>
  </w:footnote>
  <w:footnote w:id="43">
    <w:p w14:paraId="2AF09351"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Koch 2008, 617-618.</w:t>
      </w:r>
    </w:p>
  </w:footnote>
  <w:footnote w:id="44">
    <w:p w14:paraId="6A505BF2"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Conditions of insurability have been discussed in the literature (Faure &amp; Hartlief 2003, 81-120) </w:t>
      </w:r>
      <w:proofErr w:type="gramStart"/>
      <w:r w:rsidRPr="006B2916">
        <w:rPr>
          <w:szCs w:val="18"/>
        </w:rPr>
        <w:t>and also</w:t>
      </w:r>
      <w:proofErr w:type="gramEnd"/>
      <w:r w:rsidRPr="006B2916">
        <w:rPr>
          <w:szCs w:val="18"/>
        </w:rPr>
        <w:t xml:space="preserve"> in the framework of the preparations of the NKLSP these conditions have been mentioned (CBD Secretariat 2006, 10).</w:t>
      </w:r>
    </w:p>
  </w:footnote>
  <w:footnote w:id="45">
    <w:p w14:paraId="27E444BB"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Kunreuther, Hogarth &amp; Meszaros 1993.</w:t>
      </w:r>
    </w:p>
  </w:footnote>
  <w:footnote w:id="46">
    <w:p w14:paraId="7B2D9066"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Also discussed in detail </w:t>
      </w:r>
      <w:r w:rsidRPr="006B2916">
        <w:rPr>
          <w:i/>
          <w:szCs w:val="18"/>
        </w:rPr>
        <w:t>inter alia</w:t>
      </w:r>
      <w:r w:rsidRPr="006B2916">
        <w:rPr>
          <w:szCs w:val="18"/>
        </w:rPr>
        <w:t xml:space="preserve"> in CBD Secretariat 2006, 4.</w:t>
      </w:r>
    </w:p>
  </w:footnote>
  <w:footnote w:id="47">
    <w:p w14:paraId="1E098A6C"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Because in that situation adverse selection and the well-known market for lemons would emerge (Akerlof 1970) and, applied to insurance, Priest 1987.</w:t>
      </w:r>
    </w:p>
  </w:footnote>
  <w:footnote w:id="48">
    <w:p w14:paraId="6F102454"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Shavell 1979.</w:t>
      </w:r>
    </w:p>
  </w:footnote>
  <w:footnote w:id="49">
    <w:p w14:paraId="594E9536"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Koch 2008, 615: the insurer should tailor the policies according to the various aspects of the risk, ideally with respect to each insured.</w:t>
      </w:r>
    </w:p>
  </w:footnote>
  <w:footnote w:id="50">
    <w:p w14:paraId="36BF2BA2"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on this point especially Priest 1987.</w:t>
      </w:r>
    </w:p>
  </w:footnote>
  <w:footnote w:id="51">
    <w:p w14:paraId="5EF9B8B8" w14:textId="77777777" w:rsidR="00FA5354" w:rsidRPr="006B2916" w:rsidRDefault="00FA5354" w:rsidP="006B2916">
      <w:pPr>
        <w:pStyle w:val="FootnoteText"/>
        <w:ind w:firstLine="0"/>
        <w:jc w:val="left"/>
        <w:rPr>
          <w:szCs w:val="18"/>
          <w:lang w:val="de-DE"/>
        </w:rPr>
      </w:pPr>
      <w:r w:rsidRPr="006B2916">
        <w:rPr>
          <w:rStyle w:val="FootnoteReference"/>
          <w:sz w:val="18"/>
          <w:szCs w:val="18"/>
        </w:rPr>
        <w:footnoteRef/>
      </w:r>
      <w:r w:rsidRPr="006B2916">
        <w:rPr>
          <w:szCs w:val="18"/>
        </w:rPr>
        <w:t xml:space="preserve"> Pooling by insurers is a technique whereby insurers pool their resources together on a non-competitive basis in order to be able to provide higher capacity (higher amounts of coverage). Pooling is done for an entire category of risks, such as for example nuclear damage or environmental liability. Co-insurance consists of insurers cooperating to cover one larger risk by each providing a part of the coverage (for example four insurers each covering 25%) for this one </w:t>
      </w:r>
      <w:proofErr w:type="gramStart"/>
      <w:r w:rsidRPr="006B2916">
        <w:rPr>
          <w:szCs w:val="18"/>
        </w:rPr>
        <w:t>particular project</w:t>
      </w:r>
      <w:proofErr w:type="gramEnd"/>
      <w:r w:rsidRPr="006B2916">
        <w:rPr>
          <w:szCs w:val="18"/>
        </w:rPr>
        <w:t xml:space="preserve">. Reinsurance is insurance coverage provided by a reinsurer to an insurance company. </w:t>
      </w:r>
      <w:r w:rsidRPr="006B2916">
        <w:rPr>
          <w:szCs w:val="18"/>
          <w:lang w:val="de-DE"/>
        </w:rPr>
        <w:t>See Faure &amp; Hartlief 2003, 88-106.</w:t>
      </w:r>
    </w:p>
  </w:footnote>
  <w:footnote w:id="52">
    <w:p w14:paraId="2D306700" w14:textId="77777777" w:rsidR="00FA5354" w:rsidRPr="006B2916" w:rsidRDefault="00FA5354" w:rsidP="006B2916">
      <w:pPr>
        <w:pStyle w:val="FootnoteText"/>
        <w:ind w:firstLine="0"/>
        <w:jc w:val="left"/>
        <w:rPr>
          <w:szCs w:val="18"/>
          <w:lang w:val="de-DE"/>
        </w:rPr>
      </w:pPr>
      <w:r w:rsidRPr="006B2916">
        <w:rPr>
          <w:rStyle w:val="FootnoteReference"/>
          <w:sz w:val="18"/>
          <w:szCs w:val="18"/>
        </w:rPr>
        <w:footnoteRef/>
      </w:r>
      <w:r w:rsidRPr="006B2916">
        <w:rPr>
          <w:szCs w:val="18"/>
          <w:lang w:val="de-DE"/>
        </w:rPr>
        <w:t xml:space="preserve"> Faure &amp; Hartlief 2003, 222-225.</w:t>
      </w:r>
    </w:p>
  </w:footnote>
  <w:footnote w:id="53">
    <w:p w14:paraId="34EC4404" w14:textId="77777777" w:rsidR="00FA5354" w:rsidRPr="006B2916" w:rsidRDefault="00FA5354" w:rsidP="006B2916">
      <w:pPr>
        <w:pStyle w:val="FootnoteText"/>
        <w:ind w:firstLine="0"/>
        <w:jc w:val="left"/>
        <w:rPr>
          <w:szCs w:val="18"/>
          <w:lang w:val="de-DE"/>
        </w:rPr>
      </w:pPr>
      <w:r w:rsidRPr="006B2916">
        <w:rPr>
          <w:rStyle w:val="FootnoteReference"/>
          <w:sz w:val="18"/>
          <w:szCs w:val="18"/>
        </w:rPr>
        <w:footnoteRef/>
      </w:r>
      <w:r w:rsidRPr="006B2916">
        <w:rPr>
          <w:szCs w:val="18"/>
          <w:lang w:val="de-DE"/>
        </w:rPr>
        <w:t xml:space="preserve"> Koch 2008, 617-620.</w:t>
      </w:r>
    </w:p>
  </w:footnote>
  <w:footnote w:id="54">
    <w:p w14:paraId="66FA1F33" w14:textId="77777777" w:rsidR="00FA5354" w:rsidRPr="006B2916" w:rsidRDefault="00FA5354" w:rsidP="006B2916">
      <w:pPr>
        <w:pStyle w:val="FootnoteText"/>
        <w:ind w:firstLine="0"/>
        <w:jc w:val="left"/>
        <w:rPr>
          <w:szCs w:val="18"/>
          <w:lang w:val="de-DE"/>
        </w:rPr>
      </w:pPr>
      <w:r w:rsidRPr="006B2916">
        <w:rPr>
          <w:rStyle w:val="FootnoteReference"/>
          <w:sz w:val="18"/>
          <w:szCs w:val="18"/>
        </w:rPr>
        <w:footnoteRef/>
      </w:r>
      <w:r w:rsidRPr="006B2916">
        <w:rPr>
          <w:szCs w:val="18"/>
          <w:lang w:val="de-DE"/>
        </w:rPr>
        <w:t xml:space="preserve"> Genschäden nicht versichert (Genetic damaged not insured) Bauernstimme 01/2004, 14; Genethischer-Informationsdienst 160, </w:t>
      </w:r>
      <w:proofErr w:type="gramStart"/>
      <w:r w:rsidRPr="006B2916">
        <w:rPr>
          <w:szCs w:val="18"/>
          <w:lang w:val="de-DE"/>
        </w:rPr>
        <w:t>Oct./</w:t>
      </w:r>
      <w:proofErr w:type="gramEnd"/>
      <w:r w:rsidRPr="006B2916">
        <w:rPr>
          <w:szCs w:val="18"/>
          <w:lang w:val="de-DE"/>
        </w:rPr>
        <w:t>Nov. 2003, 34.</w:t>
      </w:r>
    </w:p>
  </w:footnote>
  <w:footnote w:id="55">
    <w:p w14:paraId="248BC7E3"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2016 IRMI AgriCon, Overview of ISO New Farm Program, available at </w:t>
      </w:r>
      <w:hyperlink r:id="rId5" w:history="1">
        <w:r w:rsidRPr="006B2916">
          <w:rPr>
            <w:rStyle w:val="Hyperlink"/>
            <w:szCs w:val="18"/>
          </w:rPr>
          <w:t>https://www.irmi.com/docs/default-source/afis-handouts/overview-of-isos-new-farm-insurance-program.pdf?sfvrsn=8</w:t>
        </w:r>
      </w:hyperlink>
      <w:r w:rsidRPr="006B2916">
        <w:rPr>
          <w:szCs w:val="18"/>
        </w:rPr>
        <w:t xml:space="preserve"> (last accessed on 1 October, 2020).</w:t>
      </w:r>
    </w:p>
  </w:footnote>
  <w:footnote w:id="56">
    <w:p w14:paraId="21801992"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USDA Advisory Committee on Biotechnology and 21st Century Agriculture (AC21), Enhancing Coexistence: A Report of the AC21 to the Secretary of Agriculture, November 19, 2012, </w:t>
      </w:r>
      <w:hyperlink r:id="rId6" w:history="1">
        <w:r w:rsidRPr="006B2916">
          <w:rPr>
            <w:rStyle w:val="Hyperlink"/>
            <w:szCs w:val="18"/>
          </w:rPr>
          <w:t>https://www.usda.gov/sites/default/files/documents/ac21_report-enhancing-coexistence.pdf</w:t>
        </w:r>
      </w:hyperlink>
      <w:r w:rsidRPr="006B2916">
        <w:rPr>
          <w:szCs w:val="18"/>
        </w:rPr>
        <w:t xml:space="preserve"> (last accessed on 06 October, 2020). It is, however, unknown whether that proposal has been taken up by the market. This proposal is, however, not directly applicable to damage to biodiversity related to transboundary movements of LMOs. </w:t>
      </w:r>
    </w:p>
  </w:footnote>
  <w:footnote w:id="57">
    <w:p w14:paraId="4A61C22A"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Casey Roberts, GMO: a primer of sorts, IRMI, May 2020, available at </w:t>
      </w:r>
      <w:hyperlink r:id="rId7" w:history="1">
        <w:r w:rsidRPr="006B2916">
          <w:rPr>
            <w:rStyle w:val="Hyperlink"/>
            <w:szCs w:val="18"/>
          </w:rPr>
          <w:t>https://www.irmi.com/articles/expert-commentary/gmo-primer</w:t>
        </w:r>
      </w:hyperlink>
      <w:r w:rsidRPr="006B2916">
        <w:rPr>
          <w:szCs w:val="18"/>
        </w:rPr>
        <w:t xml:space="preserve"> (last accessed on 05 October, 2020).</w:t>
      </w:r>
    </w:p>
  </w:footnote>
  <w:footnote w:id="58">
    <w:p w14:paraId="2362B414"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2016 IRMI AgriCon, Overview of ISO New Farm Program, available at </w:t>
      </w:r>
      <w:hyperlink r:id="rId8" w:history="1">
        <w:r w:rsidRPr="006B2916">
          <w:rPr>
            <w:rStyle w:val="Hyperlink"/>
            <w:szCs w:val="18"/>
          </w:rPr>
          <w:t>https://www.irmi.com/docs/default-source/afis-handouts/overview-of-isos-new-farm-insurance-program.pdf?sfvrsn=8</w:t>
        </w:r>
      </w:hyperlink>
      <w:r w:rsidRPr="006B2916">
        <w:rPr>
          <w:szCs w:val="18"/>
        </w:rPr>
        <w:t xml:space="preserve"> (last accessed on 1 October, 2020); Chris Berry and Dwight Aakre (2015), Utilizing a Farm-owner's Insurance Policy to Manage Risks to Farm Property, the document was prepared in by the University of Louisiana at Monroe’s Small Business Risk Management Institute and Department of Agribusiness, available at </w:t>
      </w:r>
      <w:hyperlink r:id="rId9" w:history="1">
        <w:r w:rsidRPr="006B2916">
          <w:rPr>
            <w:rStyle w:val="Hyperlink"/>
            <w:szCs w:val="18"/>
          </w:rPr>
          <w:t>https://farmanswers.org/Library/OpenItem/5345</w:t>
        </w:r>
      </w:hyperlink>
      <w:r w:rsidRPr="006B2916">
        <w:rPr>
          <w:szCs w:val="18"/>
        </w:rPr>
        <w:t xml:space="preserve"> (last accessed on 1 October, 2020).</w:t>
      </w:r>
    </w:p>
  </w:footnote>
  <w:footnote w:id="59">
    <w:p w14:paraId="1CA32F8C"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Swiss Re, A fifth of countries worldwide at risk from ecosystem collapse as biodiversity declines, reveals pioneering Swiss Re index, 23 September 2020, available at </w:t>
      </w:r>
      <w:hyperlink r:id="rId10" w:history="1">
        <w:r w:rsidRPr="006B2916">
          <w:rPr>
            <w:rStyle w:val="Hyperlink"/>
            <w:szCs w:val="18"/>
          </w:rPr>
          <w:t>https://www.swissre.com/media/news-releases/nr-20200923-biodiversity-and-ecosystems-services.html</w:t>
        </w:r>
      </w:hyperlink>
      <w:r w:rsidRPr="006B2916">
        <w:rPr>
          <w:szCs w:val="18"/>
        </w:rPr>
        <w:t xml:space="preserve"> (last accessed at 06 October, 2020). Christian Mumenthaler, Swiss Re’s Group Chief Executive Officer once said that ‘there is a clear need to assess the state of ecosystems so that the global community can minimize further negative impact on economies across the world. This important piece of work provides a data-driven foundation for understanding the economic risks of deteriorating biodiversity and ecosystems. In turn, we can inform governmental decision-making to help improve ecosystem restoration and preservation. We can also support corporations and investors as they fortify themselves against environmental shocks. Armed with this information, we can also ensure the provision of stronger sustainable insurance services.’</w:t>
      </w:r>
    </w:p>
  </w:footnote>
  <w:footnote w:id="60">
    <w:p w14:paraId="3B63BDE4"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For a summary of the requirements of sustainability, see CBD Secretariat 2006, 2-5; Swiss Re, The Insurability of Ecological Damage, 2004, 27-29 (included in Annex B to CBD Secretariat 2006).</w:t>
      </w:r>
    </w:p>
  </w:footnote>
  <w:footnote w:id="61">
    <w:p w14:paraId="7C7897DC" w14:textId="77777777" w:rsidR="00FA5354" w:rsidRPr="006B2916" w:rsidRDefault="00FA5354" w:rsidP="006B2916">
      <w:pPr>
        <w:pStyle w:val="FootnoteText"/>
        <w:ind w:firstLine="0"/>
        <w:jc w:val="left"/>
        <w:rPr>
          <w:szCs w:val="18"/>
          <w:lang w:val="de-DE"/>
        </w:rPr>
      </w:pPr>
      <w:r w:rsidRPr="006B2916">
        <w:rPr>
          <w:rStyle w:val="FootnoteReference"/>
          <w:sz w:val="18"/>
          <w:szCs w:val="18"/>
        </w:rPr>
        <w:footnoteRef/>
      </w:r>
      <w:r w:rsidRPr="006B2916">
        <w:rPr>
          <w:szCs w:val="18"/>
          <w:lang w:val="de-DE"/>
        </w:rPr>
        <w:t xml:space="preserve"> Koch 2008, 616-617; Davenport 2006, 61; Ebert &amp; Lahnstein 2008, 577.</w:t>
      </w:r>
    </w:p>
  </w:footnote>
  <w:footnote w:id="62">
    <w:p w14:paraId="3966D06D" w14:textId="77777777" w:rsidR="00FA5354" w:rsidRPr="006B2916" w:rsidRDefault="00FA5354" w:rsidP="006B2916">
      <w:pPr>
        <w:pStyle w:val="FootnoteText"/>
        <w:ind w:firstLine="0"/>
        <w:jc w:val="left"/>
        <w:rPr>
          <w:szCs w:val="18"/>
          <w:lang w:val="de-DE"/>
        </w:rPr>
      </w:pPr>
      <w:r w:rsidRPr="006B2916">
        <w:rPr>
          <w:rStyle w:val="FootnoteReference"/>
          <w:sz w:val="18"/>
          <w:szCs w:val="18"/>
        </w:rPr>
        <w:footnoteRef/>
      </w:r>
      <w:r w:rsidRPr="006B2916">
        <w:rPr>
          <w:szCs w:val="18"/>
          <w:lang w:val="de-DE"/>
        </w:rPr>
        <w:t xml:space="preserve"> See Ebert &amp; Lahnstein 2008, 577 and Koch 2008, 616, No. 118.</w:t>
      </w:r>
    </w:p>
  </w:footnote>
  <w:footnote w:id="63">
    <w:p w14:paraId="3856C907" w14:textId="77777777" w:rsidR="00FA5354" w:rsidRPr="006B2916" w:rsidRDefault="00FA5354" w:rsidP="006B2916">
      <w:pPr>
        <w:spacing w:after="60"/>
        <w:jc w:val="left"/>
        <w:rPr>
          <w:sz w:val="18"/>
          <w:szCs w:val="18"/>
        </w:rPr>
      </w:pPr>
      <w:r w:rsidRPr="006B2916">
        <w:rPr>
          <w:sz w:val="18"/>
          <w:szCs w:val="18"/>
          <w:vertAlign w:val="superscript"/>
        </w:rPr>
        <w:footnoteRef/>
      </w:r>
      <w:r w:rsidRPr="006B2916">
        <w:rPr>
          <w:sz w:val="18"/>
          <w:szCs w:val="18"/>
        </w:rPr>
        <w:t xml:space="preserve"> Ebert &amp; Lahnstein 2008, 578, No. 4 and Koch 2008, 617.</w:t>
      </w:r>
    </w:p>
  </w:footnote>
  <w:footnote w:id="64">
    <w:p w14:paraId="746AECCE"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Shifting the risk of causal uncertainty to an operator and his insurer has generally been considered as a cause of uninsurability. See Faure &amp; Hartlief 2003, 125-126 and Katzman 1988, 89-90. The Supplementary Protocol also requires a causal link to be established “between the damage and the living modified organism in question in accordance with domestic law” (Art. 4).</w:t>
      </w:r>
    </w:p>
  </w:footnote>
  <w:footnote w:id="65">
    <w:p w14:paraId="450B7DD1" w14:textId="77777777" w:rsidR="00FA5354" w:rsidRPr="006B2916" w:rsidRDefault="00FA5354" w:rsidP="006B2916">
      <w:pPr>
        <w:pStyle w:val="FootnoteText"/>
        <w:ind w:firstLine="0"/>
        <w:jc w:val="left"/>
        <w:rPr>
          <w:szCs w:val="18"/>
          <w:lang w:val="nl-NL"/>
        </w:rPr>
      </w:pPr>
      <w:r w:rsidRPr="006B2916">
        <w:rPr>
          <w:rStyle w:val="FootnoteReference"/>
          <w:sz w:val="18"/>
          <w:szCs w:val="18"/>
        </w:rPr>
        <w:footnoteRef/>
      </w:r>
      <w:r w:rsidRPr="006B2916">
        <w:rPr>
          <w:szCs w:val="18"/>
          <w:lang w:val="nl-NL"/>
        </w:rPr>
        <w:t xml:space="preserve"> Koch 2008, 615, No. 166.</w:t>
      </w:r>
    </w:p>
  </w:footnote>
  <w:footnote w:id="66">
    <w:p w14:paraId="64E692D1" w14:textId="77777777" w:rsidR="00FA5354" w:rsidRPr="006B2916" w:rsidRDefault="00FA5354" w:rsidP="006B2916">
      <w:pPr>
        <w:pStyle w:val="FootnoteText"/>
        <w:ind w:firstLine="0"/>
        <w:jc w:val="left"/>
        <w:rPr>
          <w:szCs w:val="18"/>
          <w:lang w:val="nl-NL"/>
        </w:rPr>
      </w:pPr>
      <w:r w:rsidRPr="006B2916">
        <w:rPr>
          <w:rStyle w:val="FootnoteReference"/>
          <w:sz w:val="18"/>
          <w:szCs w:val="18"/>
        </w:rPr>
        <w:footnoteRef/>
      </w:r>
      <w:r w:rsidRPr="006B2916">
        <w:rPr>
          <w:szCs w:val="18"/>
          <w:lang w:val="nl-NL"/>
        </w:rPr>
        <w:t xml:space="preserve"> Faure &amp; Wang 2017b, 269.</w:t>
      </w:r>
    </w:p>
  </w:footnote>
  <w:footnote w:id="67">
    <w:p w14:paraId="7C9B383C"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t>
      </w:r>
      <w:proofErr w:type="gramStart"/>
      <w:r w:rsidRPr="006B2916">
        <w:rPr>
          <w:szCs w:val="18"/>
        </w:rPr>
        <w:t>So</w:t>
      </w:r>
      <w:proofErr w:type="gramEnd"/>
      <w:r w:rsidRPr="006B2916">
        <w:rPr>
          <w:szCs w:val="18"/>
        </w:rPr>
        <w:t xml:space="preserve"> Ebert &amp; Lahnstein 2008, 577-578 and Tung 2014.</w:t>
      </w:r>
    </w:p>
  </w:footnote>
  <w:footnote w:id="68">
    <w:p w14:paraId="69C94D9B" w14:textId="77777777" w:rsidR="00FA5354" w:rsidRPr="006B2916" w:rsidRDefault="00FA5354" w:rsidP="006B2916">
      <w:pPr>
        <w:pStyle w:val="FootnoteText"/>
        <w:ind w:firstLine="0"/>
        <w:jc w:val="left"/>
        <w:rPr>
          <w:szCs w:val="18"/>
          <w:lang w:val="en-CA"/>
        </w:rPr>
      </w:pPr>
      <w:r w:rsidRPr="006B2916">
        <w:rPr>
          <w:rStyle w:val="FootnoteReference"/>
          <w:sz w:val="18"/>
          <w:szCs w:val="18"/>
        </w:rPr>
        <w:footnoteRef/>
      </w:r>
      <w:r w:rsidRPr="006B2916">
        <w:rPr>
          <w:szCs w:val="18"/>
        </w:rPr>
        <w:t xml:space="preserve"> </w:t>
      </w:r>
      <w:r w:rsidRPr="006B2916">
        <w:rPr>
          <w:szCs w:val="18"/>
          <w:lang w:val="en-CA"/>
        </w:rPr>
        <w:t>See the “Guidance on Risk Assessment of Living Modified Organisms and Monitoring in the Context of Risk Assessment”, document UNEP/CBD/BS/COP-MOP/8/8/Add.1.</w:t>
      </w:r>
    </w:p>
  </w:footnote>
  <w:footnote w:id="69">
    <w:p w14:paraId="6AB31E3B"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Which will be further discussed below in 3.7.</w:t>
      </w:r>
    </w:p>
  </w:footnote>
  <w:footnote w:id="70">
    <w:p w14:paraId="749B9EFD"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&amp; Hartlief 2003, 97-106.</w:t>
      </w:r>
    </w:p>
  </w:footnote>
  <w:footnote w:id="71">
    <w:p w14:paraId="112F3CC9"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&amp; Hartlief 2003, 97-101.</w:t>
      </w:r>
    </w:p>
  </w:footnote>
  <w:footnote w:id="72">
    <w:p w14:paraId="5C3B9BA6"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further Bruggeman, Faure &amp; Fiore 2010; Bruggeman, Faure &amp; Heldt 2012.</w:t>
      </w:r>
    </w:p>
  </w:footnote>
  <w:footnote w:id="73">
    <w:p w14:paraId="75CF04B8"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For examples, see Bruggeman, Faure &amp; Fiore 2010; Bruggeman, Faure &amp; Heldt 2012.</w:t>
      </w:r>
    </w:p>
  </w:footnote>
  <w:footnote w:id="74">
    <w:p w14:paraId="21F509BF"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t>
      </w:r>
      <w:proofErr w:type="gramStart"/>
      <w:r w:rsidRPr="006B2916">
        <w:rPr>
          <w:szCs w:val="18"/>
        </w:rPr>
        <w:t>So</w:t>
      </w:r>
      <w:proofErr w:type="gramEnd"/>
      <w:r w:rsidRPr="006B2916">
        <w:rPr>
          <w:szCs w:val="18"/>
        </w:rPr>
        <w:t xml:space="preserve"> Faure &amp; Hartlief 2003, 144. </w:t>
      </w:r>
    </w:p>
  </w:footnote>
  <w:footnote w:id="75">
    <w:p w14:paraId="5083A473"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From a normative perspective it should only be the larger stakeholders with substantial assets that should use self-insurance; in practice, however, also small holders may be forced to self-insure for the simple reason that they could not access other financial security mechanisms. However, from a normative perspective it is not desirable that those thinly capitalized stakeholders </w:t>
      </w:r>
      <w:proofErr w:type="gramStart"/>
      <w:r w:rsidRPr="006B2916">
        <w:rPr>
          <w:szCs w:val="18"/>
        </w:rPr>
        <w:t>would self-insure</w:t>
      </w:r>
      <w:proofErr w:type="gramEnd"/>
      <w:r w:rsidRPr="006B2916">
        <w:rPr>
          <w:szCs w:val="18"/>
        </w:rPr>
        <w:t xml:space="preserve"> as there could be a substantial risk of insolvency. </w:t>
      </w:r>
    </w:p>
  </w:footnote>
  <w:footnote w:id="76">
    <w:p w14:paraId="6548B53A"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The Compact: A Contractual Mechanism for Response in the Event of Damage to Biological Diversity Caused by the Release of a Living Modified Organism. Second amended text 18 September 2012. The full text is available at: </w:t>
      </w:r>
      <w:hyperlink r:id="rId11" w:history="1">
        <w:r w:rsidRPr="006B2916">
          <w:rPr>
            <w:rStyle w:val="Hyperlink"/>
            <w:szCs w:val="18"/>
          </w:rPr>
          <w:t>http://www.biodiversitycompact.org/wp-content/uploads/Compact-Second-Amended-Text-with-translation-reference-January-2014-2.pdf</w:t>
        </w:r>
      </w:hyperlink>
      <w:r w:rsidRPr="006B2916">
        <w:rPr>
          <w:szCs w:val="18"/>
        </w:rPr>
        <w:t xml:space="preserve"> (last accessed on April 21, 2021).</w:t>
      </w:r>
    </w:p>
  </w:footnote>
  <w:footnote w:id="77">
    <w:p w14:paraId="315D7007"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further Carrato, Barkett &amp; Goldberg 2014; Nijar 2013, 284-285 and Telesetsky 2011.</w:t>
      </w:r>
    </w:p>
  </w:footnote>
  <w:footnote w:id="78">
    <w:p w14:paraId="689F7CFB" w14:textId="77777777" w:rsidR="00FA5354" w:rsidRPr="006B2916" w:rsidRDefault="00FA5354" w:rsidP="006B2916">
      <w:pPr>
        <w:spacing w:after="60"/>
        <w:jc w:val="left"/>
        <w:rPr>
          <w:sz w:val="18"/>
          <w:szCs w:val="18"/>
        </w:rPr>
      </w:pPr>
      <w:r w:rsidRPr="006B2916">
        <w:rPr>
          <w:sz w:val="18"/>
          <w:szCs w:val="18"/>
          <w:vertAlign w:val="superscript"/>
        </w:rPr>
        <w:footnoteRef/>
      </w:r>
      <w:r w:rsidRPr="006B2916">
        <w:rPr>
          <w:sz w:val="18"/>
          <w:szCs w:val="18"/>
        </w:rPr>
        <w:t xml:space="preserve"> Article 3.5 of the Compact.</w:t>
      </w:r>
    </w:p>
  </w:footnote>
  <w:footnote w:id="79">
    <w:p w14:paraId="498A8B1D"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further Beyerlin &amp; Marauhn 2011, available at </w:t>
      </w:r>
      <w:hyperlink r:id="rId12" w:history="1">
        <w:r w:rsidRPr="006B2916">
          <w:rPr>
            <w:rStyle w:val="Hyperlink"/>
            <w:szCs w:val="18"/>
          </w:rPr>
          <w:t>https://research.vu.nl/ws/portalfiles/portal/813537/</w:t>
        </w:r>
        <w:r w:rsidRPr="006B2916">
          <w:rPr>
            <w:rStyle w:val="Hyperlink"/>
            <w:szCs w:val="18"/>
          </w:rPr>
          <w:softHyphen/>
          <w:t>Yearbook+of+International+Environmental+Law-2011-Etty-318-32.pdf</w:t>
        </w:r>
      </w:hyperlink>
      <w:r w:rsidRPr="006B2916">
        <w:rPr>
          <w:szCs w:val="18"/>
        </w:rPr>
        <w:t xml:space="preserve"> (last accessed on September 17, 2020), 318-332; Xiang 2012, 581-600; Bled 2009, 49. </w:t>
      </w:r>
    </w:p>
  </w:footnote>
  <w:footnote w:id="80">
    <w:p w14:paraId="6307C0E2" w14:textId="77777777" w:rsidR="00FA5354" w:rsidRPr="006B2916" w:rsidRDefault="00FA5354" w:rsidP="006B2916">
      <w:pPr>
        <w:spacing w:after="60"/>
        <w:jc w:val="left"/>
        <w:rPr>
          <w:sz w:val="18"/>
          <w:szCs w:val="18"/>
        </w:rPr>
      </w:pPr>
      <w:r w:rsidRPr="006B2916">
        <w:rPr>
          <w:sz w:val="18"/>
          <w:szCs w:val="18"/>
          <w:vertAlign w:val="superscript"/>
        </w:rPr>
        <w:footnoteRef/>
      </w:r>
      <w:r w:rsidRPr="006B2916">
        <w:rPr>
          <w:sz w:val="18"/>
          <w:szCs w:val="18"/>
        </w:rPr>
        <w:t xml:space="preserve"> See section C of the Compact.</w:t>
      </w:r>
    </w:p>
  </w:footnote>
  <w:footnote w:id="81">
    <w:p w14:paraId="3B7F86C7"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Self-insurance is allowed in various jurisdictions for nuclear power plants, oil and gas companies and coalmine operators. See Mackie &amp; Besco 2020, 10575, note 22 and Mackie &amp; Fogleman 2016, 298.</w:t>
      </w:r>
    </w:p>
  </w:footnote>
  <w:footnote w:id="82">
    <w:p w14:paraId="2662509E"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&amp; Wang 2017a, 238-239.</w:t>
      </w:r>
    </w:p>
  </w:footnote>
  <w:footnote w:id="83">
    <w:p w14:paraId="24BB8C73"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&amp; Wang 2017a, 238.</w:t>
      </w:r>
    </w:p>
  </w:footnote>
  <w:footnote w:id="84">
    <w:p w14:paraId="4A07E374"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&amp; Wang 2017a, 240.</w:t>
      </w:r>
    </w:p>
  </w:footnote>
  <w:footnote w:id="85">
    <w:p w14:paraId="2BADC484"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It is, however, considered one of the riskiest options because there is no protection provided from claims of creditors. The document therefore holds “Certainty also depends on stringency of required financial tests”.</w:t>
      </w:r>
    </w:p>
  </w:footnote>
  <w:footnote w:id="86">
    <w:p w14:paraId="4458BA98"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“Self-insurance allows the owner or operator to submit financial statements and other information to prove that they are likely to remain in operation, based on indicators of the economic health of the organization, and that they will be able to complete all required GS activities” (US EPA Geological Sequestration of Carbon Dioxide, Underground Injection Control (UIC) Program). For a discussion see Faure &amp; Partain 2017, 169-170.</w:t>
      </w:r>
    </w:p>
  </w:footnote>
  <w:footnote w:id="87">
    <w:p w14:paraId="1AFB2D5E" w14:textId="77777777" w:rsidR="00FA5354" w:rsidRPr="006B2916" w:rsidRDefault="00FA5354" w:rsidP="006B2916">
      <w:pPr>
        <w:spacing w:after="60"/>
        <w:jc w:val="left"/>
        <w:rPr>
          <w:sz w:val="18"/>
          <w:szCs w:val="18"/>
        </w:rPr>
      </w:pPr>
      <w:r w:rsidRPr="006B2916">
        <w:rPr>
          <w:rStyle w:val="FootnoteReference"/>
          <w:sz w:val="18"/>
          <w:szCs w:val="18"/>
        </w:rPr>
        <w:footnoteRef/>
      </w:r>
      <w:r w:rsidRPr="006B2916">
        <w:rPr>
          <w:rStyle w:val="FootnoteReference"/>
          <w:sz w:val="18"/>
          <w:szCs w:val="18"/>
        </w:rPr>
        <w:t xml:space="preserve"> </w:t>
      </w:r>
      <w:r w:rsidRPr="006B2916">
        <w:rPr>
          <w:sz w:val="18"/>
          <w:szCs w:val="18"/>
        </w:rPr>
        <w:t>An A or higher rating from Standard &amp; Poor’s, A minus or higher from A.M. Best or an A3 or higher from Moody’s.</w:t>
      </w:r>
    </w:p>
  </w:footnote>
  <w:footnote w:id="88">
    <w:p w14:paraId="310821F3"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further on OPOL, Faure &amp; Wang 2015.</w:t>
      </w:r>
    </w:p>
  </w:footnote>
  <w:footnote w:id="89">
    <w:p w14:paraId="200B46F7"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This can obviously lead to the need to sell assets (like real estate) at a lower price to provide the necessary cash.</w:t>
      </w:r>
    </w:p>
  </w:footnote>
  <w:footnote w:id="90">
    <w:p w14:paraId="6BAE237B"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on the concept of moral hazard </w:t>
      </w:r>
      <w:r w:rsidRPr="006B2916">
        <w:rPr>
          <w:i/>
          <w:szCs w:val="18"/>
        </w:rPr>
        <w:t>supra</w:t>
      </w:r>
      <w:r w:rsidRPr="006B2916">
        <w:rPr>
          <w:szCs w:val="18"/>
        </w:rPr>
        <w:t xml:space="preserve"> 3.2.2.</w:t>
      </w:r>
    </w:p>
  </w:footnote>
  <w:footnote w:id="91">
    <w:p w14:paraId="129416E7"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Most environmental legal literature is extremely critical of, what is called “self-bonding”, arguing that it can pose “a systemic risk to the environment and tax payers” (Malone &amp; Winslow 2019, 4; Mackie &amp; Fogleman 2016, 296; Mackie &amp; Besco 2020, 10583-10585).</w:t>
      </w:r>
    </w:p>
  </w:footnote>
  <w:footnote w:id="92">
    <w:p w14:paraId="563F6113"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As will be explained in the next subsection, this is precisely what should be guaranteed in regulation.</w:t>
      </w:r>
    </w:p>
  </w:footnote>
  <w:footnote w:id="93">
    <w:p w14:paraId="587C08D7"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“When an operator self-bonds and files for bankruptcy, there is often little to zero funds for reclamation”, so Malone &amp; Winslow 2018, 4 and Mackie &amp; Besco 2020, 10575.</w:t>
      </w:r>
    </w:p>
  </w:footnote>
  <w:footnote w:id="94">
    <w:p w14:paraId="296C125F"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&amp; Partain 2017, 169.</w:t>
      </w:r>
    </w:p>
  </w:footnote>
  <w:footnote w:id="95">
    <w:p w14:paraId="3209A06D"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Note that in this example the 1.000 is exactly the probability (1%) x damage (100.000), in other words the actuarially fair premium if it were insurance.</w:t>
      </w:r>
    </w:p>
  </w:footnote>
  <w:footnote w:id="96">
    <w:p w14:paraId="365C4E3D"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on the basic features of risk sharing, Skogh 1999. </w:t>
      </w:r>
    </w:p>
  </w:footnote>
  <w:footnote w:id="97">
    <w:p w14:paraId="0E324F6F"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further Faure &amp; Hartlief 2003, 90-92.</w:t>
      </w:r>
    </w:p>
  </w:footnote>
  <w:footnote w:id="98">
    <w:p w14:paraId="3B1DFD90"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3.2.2.</w:t>
      </w:r>
    </w:p>
  </w:footnote>
  <w:footnote w:id="99">
    <w:p w14:paraId="0895458C"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further on the differences between insurance and risk sharing, Liu &amp; Faure 2018, 258-260.</w:t>
      </w:r>
    </w:p>
  </w:footnote>
  <w:footnote w:id="100">
    <w:p w14:paraId="6199C33B" w14:textId="77777777" w:rsidR="00FA5354" w:rsidRPr="006B2916" w:rsidRDefault="00FA5354" w:rsidP="006B2916">
      <w:pPr>
        <w:pStyle w:val="FootnoteText"/>
        <w:ind w:firstLine="0"/>
        <w:jc w:val="left"/>
        <w:rPr>
          <w:szCs w:val="18"/>
          <w:lang w:val="en-CA"/>
        </w:rPr>
      </w:pPr>
      <w:r w:rsidRPr="006B2916">
        <w:rPr>
          <w:rStyle w:val="FootnoteReference"/>
          <w:sz w:val="18"/>
          <w:szCs w:val="18"/>
        </w:rPr>
        <w:footnoteRef/>
      </w:r>
      <w:r w:rsidRPr="006B2916">
        <w:rPr>
          <w:szCs w:val="18"/>
        </w:rPr>
        <w:t xml:space="preserve"> Agricultural insurances may show a wide variety of governance models. In some </w:t>
      </w:r>
      <w:proofErr w:type="gramStart"/>
      <w:r w:rsidRPr="006B2916">
        <w:rPr>
          <w:szCs w:val="18"/>
        </w:rPr>
        <w:t>cases</w:t>
      </w:r>
      <w:proofErr w:type="gramEnd"/>
      <w:r w:rsidRPr="006B2916">
        <w:rPr>
          <w:szCs w:val="18"/>
        </w:rPr>
        <w:t xml:space="preserve"> it would be farmers associations that stimulate (or subsidize) the creation of risk-sharing pools; in other cases mutual insurances (in which farmers associations may equally participate) can provide cover. In practice one can therefore also observe mixes between risk-sharing and insurance. See also the discussion of hybrids in section 3.7 below.</w:t>
      </w:r>
    </w:p>
  </w:footnote>
  <w:footnote w:id="101">
    <w:p w14:paraId="62E39130"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We have just not seen any explicit trace of those in the literature, but it can certainly not be excluded that they do exist.</w:t>
      </w:r>
    </w:p>
  </w:footnote>
  <w:footnote w:id="102">
    <w:p w14:paraId="4F45C7B6"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Koch 2008, 633, No. 192.</w:t>
      </w:r>
    </w:p>
  </w:footnote>
  <w:footnote w:id="103">
    <w:p w14:paraId="430B72D3"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An excellent overview is provided by Koch 2008, 629-634.</w:t>
      </w:r>
    </w:p>
  </w:footnote>
  <w:footnote w:id="104">
    <w:p w14:paraId="2940DD19"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An example constitutes a compensation model developed in Denmark. The model involves all stakeholders dealing with LMOs, but there is no sharing of risk. See further Koch 2008, 633-634. See further 3.5.3.</w:t>
      </w:r>
    </w:p>
  </w:footnote>
  <w:footnote w:id="105">
    <w:p w14:paraId="386ED6C2"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Liu &amp; Faure 2018, 264-266.</w:t>
      </w:r>
    </w:p>
  </w:footnote>
  <w:footnote w:id="106">
    <w:p w14:paraId="0F319FAE"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Liu &amp; Faure 2018, 267-269.</w:t>
      </w:r>
    </w:p>
  </w:footnote>
  <w:footnote w:id="107">
    <w:p w14:paraId="7DC78975"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&amp; Wang 2017a, 261-262.</w:t>
      </w:r>
    </w:p>
  </w:footnote>
  <w:footnote w:id="108">
    <w:p w14:paraId="6AF156FF"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For details, see Jiang &amp; Faure 2020.</w:t>
      </w:r>
    </w:p>
  </w:footnote>
  <w:footnote w:id="109">
    <w:p w14:paraId="47A35A77"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&amp; Wang 2017a, 261-262.</w:t>
      </w:r>
    </w:p>
  </w:footnote>
  <w:footnote w:id="110">
    <w:p w14:paraId="60D25B60"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The absence of such an orchestrator was one of the reasons why the creation of a risk-sharing agreement that was attempted in Portugal (in the region of the Viggo River) between fishermen failed. See Grossmann &amp; Faure 2016.</w:t>
      </w:r>
    </w:p>
  </w:footnote>
  <w:footnote w:id="111">
    <w:p w14:paraId="01084B0B"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&amp; Partain 2017, 177.</w:t>
      </w:r>
    </w:p>
  </w:footnote>
  <w:footnote w:id="112">
    <w:p w14:paraId="36339E51"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Grossmann &amp; Faure 2016, 67.</w:t>
      </w:r>
    </w:p>
  </w:footnote>
  <w:footnote w:id="113">
    <w:p w14:paraId="754D618A"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further on these advantages, Faure &amp; Partain 2017, 172.</w:t>
      </w:r>
    </w:p>
  </w:footnote>
  <w:footnote w:id="114">
    <w:p w14:paraId="34A3E7D1"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further 3.7.</w:t>
      </w:r>
    </w:p>
  </w:footnote>
  <w:footnote w:id="115">
    <w:p w14:paraId="0F00F9FF"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Liu &amp; Faure 2018, 271.</w:t>
      </w:r>
    </w:p>
  </w:footnote>
  <w:footnote w:id="116">
    <w:p w14:paraId="3383608A" w14:textId="77777777" w:rsidR="00FA5354" w:rsidRPr="006B2916" w:rsidRDefault="00FA5354" w:rsidP="006B2916">
      <w:pPr>
        <w:spacing w:after="60"/>
        <w:jc w:val="left"/>
        <w:rPr>
          <w:sz w:val="18"/>
          <w:szCs w:val="18"/>
        </w:rPr>
      </w:pPr>
      <w:r w:rsidRPr="006B2916">
        <w:rPr>
          <w:sz w:val="18"/>
          <w:szCs w:val="18"/>
          <w:vertAlign w:val="superscript"/>
        </w:rPr>
        <w:footnoteRef/>
      </w:r>
      <w:r w:rsidRPr="006B2916">
        <w:rPr>
          <w:sz w:val="18"/>
          <w:szCs w:val="18"/>
        </w:rPr>
        <w:t xml:space="preserve"> </w:t>
      </w:r>
      <w:r w:rsidRPr="00057CAE">
        <w:rPr>
          <w:sz w:val="18"/>
          <w:szCs w:val="18"/>
        </w:rPr>
        <w:t>See also section 3.2.5.</w:t>
      </w:r>
    </w:p>
  </w:footnote>
  <w:footnote w:id="117">
    <w:p w14:paraId="521B4AC0"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Jiang &amp; Faure 2020.</w:t>
      </w:r>
    </w:p>
  </w:footnote>
  <w:footnote w:id="118">
    <w:p w14:paraId="7C0F7F90"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Joshi &amp; Chatterjee 2016 and Singh Sidhu 2016. India is not a party to the international nuclear liability conventions but did sign the Convention on Supplementary Compensation as that is a separate, independent instrument.</w:t>
      </w:r>
    </w:p>
  </w:footnote>
  <w:footnote w:id="119">
    <w:p w14:paraId="799DB304"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2007, 353-354.</w:t>
      </w:r>
    </w:p>
  </w:footnote>
  <w:footnote w:id="120">
    <w:p w14:paraId="31E99C76"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&amp; Hartlief 1996.</w:t>
      </w:r>
    </w:p>
  </w:footnote>
  <w:footnote w:id="121">
    <w:p w14:paraId="6A242605" w14:textId="77777777" w:rsidR="00FA5354" w:rsidRPr="006B2916" w:rsidRDefault="00FA5354" w:rsidP="006B2916">
      <w:pPr>
        <w:pStyle w:val="FootnoteText"/>
        <w:ind w:firstLine="0"/>
        <w:jc w:val="left"/>
        <w:rPr>
          <w:szCs w:val="18"/>
          <w:lang w:val="de-DE"/>
        </w:rPr>
      </w:pPr>
      <w:r w:rsidRPr="006B2916">
        <w:rPr>
          <w:rStyle w:val="FootnoteReference"/>
          <w:sz w:val="18"/>
          <w:szCs w:val="18"/>
        </w:rPr>
        <w:footnoteRef/>
      </w:r>
      <w:r w:rsidRPr="006B2916">
        <w:rPr>
          <w:szCs w:val="18"/>
          <w:lang w:val="de-DE"/>
        </w:rPr>
        <w:t xml:space="preserve"> Jungcurt &amp; Schabus 2010, 205.</w:t>
      </w:r>
    </w:p>
  </w:footnote>
  <w:footnote w:id="122">
    <w:p w14:paraId="07D36EC7" w14:textId="77777777" w:rsidR="00FA5354" w:rsidRPr="006B2916" w:rsidRDefault="00FA5354" w:rsidP="006B2916">
      <w:pPr>
        <w:pStyle w:val="FootnoteText"/>
        <w:ind w:firstLine="0"/>
        <w:jc w:val="left"/>
        <w:rPr>
          <w:szCs w:val="18"/>
          <w:lang w:val="de-DE"/>
        </w:rPr>
      </w:pPr>
      <w:r w:rsidRPr="006B2916">
        <w:rPr>
          <w:rStyle w:val="FootnoteReference"/>
          <w:sz w:val="18"/>
          <w:szCs w:val="18"/>
        </w:rPr>
        <w:footnoteRef/>
      </w:r>
      <w:r w:rsidRPr="006B2916">
        <w:rPr>
          <w:szCs w:val="18"/>
          <w:lang w:val="de-DE"/>
        </w:rPr>
        <w:t xml:space="preserve"> Ebert &amp; Lahnstein 2008, 579, No. 9.</w:t>
      </w:r>
    </w:p>
  </w:footnote>
  <w:footnote w:id="123">
    <w:p w14:paraId="554D7D6B"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Ebert &amp; Lahnstein 2008, 579, No. 9. The conclusion that no such fund has been established is only drawn by the authors for the European context.</w:t>
      </w:r>
    </w:p>
  </w:footnote>
  <w:footnote w:id="124">
    <w:p w14:paraId="18D14365"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Ibidem.</w:t>
      </w:r>
    </w:p>
  </w:footnote>
  <w:footnote w:id="125">
    <w:p w14:paraId="2F134525"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CBD Secretariat 2007, 3 (referring to a report by Munich Re).</w:t>
      </w:r>
    </w:p>
  </w:footnote>
  <w:footnote w:id="126">
    <w:p w14:paraId="115072E9"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Koch 2008, 633-634.</w:t>
      </w:r>
    </w:p>
  </w:footnote>
  <w:footnote w:id="127">
    <w:p w14:paraId="56551FA6" w14:textId="77777777" w:rsidR="00FA5354" w:rsidRPr="000723F1" w:rsidRDefault="00FA5354" w:rsidP="006B2916">
      <w:pPr>
        <w:pStyle w:val="CommentText"/>
        <w:spacing w:after="60" w:line="240" w:lineRule="auto"/>
        <w:jc w:val="left"/>
        <w:rPr>
          <w:sz w:val="18"/>
          <w:szCs w:val="18"/>
        </w:rPr>
      </w:pPr>
      <w:r w:rsidRPr="006B2916">
        <w:rPr>
          <w:rStyle w:val="FootnoteReference"/>
          <w:sz w:val="18"/>
          <w:szCs w:val="18"/>
        </w:rPr>
        <w:footnoteRef/>
      </w:r>
      <w:r w:rsidRPr="006B2916">
        <w:rPr>
          <w:sz w:val="18"/>
          <w:szCs w:val="18"/>
        </w:rPr>
        <w:t xml:space="preserve"> </w:t>
      </w:r>
      <w:r w:rsidRPr="00057CAE">
        <w:rPr>
          <w:sz w:val="18"/>
          <w:szCs w:val="18"/>
        </w:rPr>
        <w:t xml:space="preserve">See further </w:t>
      </w:r>
      <w:r w:rsidRPr="00057CAE">
        <w:rPr>
          <w:color w:val="212121"/>
          <w:sz w:val="18"/>
          <w:szCs w:val="18"/>
          <w:shd w:val="clear" w:color="auto" w:fill="FFFFFF"/>
        </w:rPr>
        <w:t>Karky &amp; Perry 2019, 369-370.</w:t>
      </w:r>
    </w:p>
  </w:footnote>
  <w:footnote w:id="128">
    <w:p w14:paraId="1AABF654"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Koch 2008, 629.</w:t>
      </w:r>
    </w:p>
  </w:footnote>
  <w:footnote w:id="129">
    <w:p w14:paraId="5215B1E2"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Koch 2008, 630.</w:t>
      </w:r>
    </w:p>
  </w:footnote>
  <w:footnote w:id="130">
    <w:p w14:paraId="2555FBE0"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Koch 2008, 631.</w:t>
      </w:r>
    </w:p>
  </w:footnote>
  <w:footnote w:id="131">
    <w:p w14:paraId="6EAC92DE"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Namely the Convention on Third Party Liability in the Field of Nuclear Energy of July 29, 1960 (Paris Convention) and the Supplementary Convention to the Paris Convention of January 31, 1963 (Brussels Supplementary Convention). A second regime was developed under the aegis of the International Atomic Energy Agency (IAEA).</w:t>
      </w:r>
    </w:p>
  </w:footnote>
  <w:footnote w:id="132">
    <w:p w14:paraId="6D8B4E53"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These amounts will be increased once the adapted conventions enacted after the Chernobyl accident enter into force on 1 January 2022. The compensation regime for nuclear accidents has also been studied during the negotiations preceding the NKLSP (See </w:t>
      </w:r>
      <w:r w:rsidRPr="006B2916">
        <w:rPr>
          <w:i/>
          <w:szCs w:val="18"/>
        </w:rPr>
        <w:t>inter alia</w:t>
      </w:r>
      <w:r w:rsidRPr="006B2916">
        <w:rPr>
          <w:szCs w:val="18"/>
        </w:rPr>
        <w:t xml:space="preserve"> CBD Secretariat 2001, 4-7 and see CBD Secretariat 2006, 2-3).</w:t>
      </w:r>
    </w:p>
  </w:footnote>
  <w:footnote w:id="133">
    <w:p w14:paraId="1448B3C7"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further on this regime, Liu 2013, 214 and Sands &amp; Peel 2012, 740.</w:t>
      </w:r>
    </w:p>
  </w:footnote>
  <w:footnote w:id="134">
    <w:p w14:paraId="442582E1"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These guarantees are usually provided via insurance offered by the Protection and Indemnity Clubs (P&amp;I Clubs), a risk-sharing agreement discussed in 3.4.</w:t>
      </w:r>
    </w:p>
  </w:footnote>
  <w:footnote w:id="135">
    <w:p w14:paraId="6E1AC44F"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The oil receivers can be the commercial entities importing the oil or states (if it is the state that receives the oil). See Faure &amp; Wang 2006, 213.</w:t>
      </w:r>
    </w:p>
  </w:footnote>
  <w:footnote w:id="136">
    <w:p w14:paraId="13E9EAFC"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on the historical development Wang 2011, 60-75.</w:t>
      </w:r>
    </w:p>
  </w:footnote>
  <w:footnote w:id="137">
    <w:p w14:paraId="0FE888C3"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The adaptations took place in order to adapt the amounts of compensation to new evidence concerning the damage resulting from oil pollution incidents. See Liu, Faure &amp; Wang 2014, 136-145.</w:t>
      </w:r>
    </w:p>
  </w:footnote>
  <w:footnote w:id="138">
    <w:p w14:paraId="66D351B1"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For a comparative analysis of both regimes, see Faure 2016, 153-155. </w:t>
      </w:r>
      <w:proofErr w:type="gramStart"/>
      <w:r w:rsidRPr="006B2916">
        <w:rPr>
          <w:szCs w:val="18"/>
        </w:rPr>
        <w:t>Also</w:t>
      </w:r>
      <w:proofErr w:type="gramEnd"/>
      <w:r w:rsidRPr="006B2916">
        <w:rPr>
          <w:szCs w:val="18"/>
        </w:rPr>
        <w:t xml:space="preserve"> the international regime for compensating oil pollution damage has been discussed at large in the documents preceding the NKLSP (See CBD Secretariat 2001, 7-9; CBD Secretariat 2006, 4-5 and CBD Secretariat 2009, 10-12).</w:t>
      </w:r>
    </w:p>
  </w:footnote>
  <w:footnote w:id="139">
    <w:p w14:paraId="53F1DDA0"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Koch 2008, 621, No. 141.</w:t>
      </w:r>
    </w:p>
  </w:footnote>
  <w:footnote w:id="140">
    <w:p w14:paraId="00D0134D"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Koch 2008, 620, No. 137.</w:t>
      </w:r>
    </w:p>
  </w:footnote>
  <w:footnote w:id="141">
    <w:p w14:paraId="49813216"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Heldt 2015 and Vanden Borre 2007.</w:t>
      </w:r>
    </w:p>
  </w:footnote>
  <w:footnote w:id="142">
    <w:p w14:paraId="7C6B49E9"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For a comparison of the two regimes see Faure 2016, 150-155.</w:t>
      </w:r>
    </w:p>
  </w:footnote>
  <w:footnote w:id="143">
    <w:p w14:paraId="3AFF65BB"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&amp; Wang 2006, 213-214.</w:t>
      </w:r>
    </w:p>
  </w:footnote>
  <w:footnote w:id="144">
    <w:p w14:paraId="72EE9AF6"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further Feinberg 2012, 125-183 and Faure &amp; Weber 2015, 9-12.</w:t>
      </w:r>
    </w:p>
  </w:footnote>
  <w:footnote w:id="145">
    <w:p w14:paraId="46BBBC03"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Although in that case often </w:t>
      </w:r>
      <w:r w:rsidRPr="006B2916">
        <w:rPr>
          <w:i/>
          <w:szCs w:val="18"/>
        </w:rPr>
        <w:t>ad hoc</w:t>
      </w:r>
      <w:r w:rsidRPr="006B2916">
        <w:rPr>
          <w:szCs w:val="18"/>
        </w:rPr>
        <w:t xml:space="preserve"> compensation is arranged. See box 6.</w:t>
      </w:r>
    </w:p>
  </w:footnote>
  <w:footnote w:id="146">
    <w:p w14:paraId="2B28A79E"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CBD Secretariat 2006, 8.</w:t>
      </w:r>
    </w:p>
  </w:footnote>
  <w:footnote w:id="147">
    <w:p w14:paraId="51B31AC9"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Koch 2008, 620, No. 136.</w:t>
      </w:r>
    </w:p>
  </w:footnote>
  <w:footnote w:id="148">
    <w:p w14:paraId="5F17684F"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Koch argues that this may be a risk in case of LMO-related damage, Koch 2008, 620-621.</w:t>
      </w:r>
    </w:p>
  </w:footnote>
  <w:footnote w:id="149">
    <w:p w14:paraId="20098FFE"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Koch 2008, 621, No. 141.</w:t>
      </w:r>
    </w:p>
  </w:footnote>
  <w:footnote w:id="150">
    <w:p w14:paraId="29E5CF54"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further on catastrophe bonds, Tyran &amp; Zweifel 1993.</w:t>
      </w:r>
    </w:p>
  </w:footnote>
  <w:footnote w:id="151">
    <w:p w14:paraId="704F8B00"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&amp; Partain 2017, 179-182.</w:t>
      </w:r>
    </w:p>
  </w:footnote>
  <w:footnote w:id="152">
    <w:p w14:paraId="369475C3"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&amp; Partain 2017, 178. Compared to insurance, one can hold that if insurers specialize in LMO-related risks, they may have more information for an appropriate risk-differentiation and premium setting; as a </w:t>
      </w:r>
      <w:proofErr w:type="gramStart"/>
      <w:r w:rsidRPr="006B2916">
        <w:rPr>
          <w:szCs w:val="18"/>
        </w:rPr>
        <w:t>result</w:t>
      </w:r>
      <w:proofErr w:type="gramEnd"/>
      <w:r w:rsidRPr="006B2916">
        <w:rPr>
          <w:szCs w:val="18"/>
        </w:rPr>
        <w:t xml:space="preserve"> the costs of insurance could be lower than the costs of a bank guarantee.</w:t>
      </w:r>
    </w:p>
  </w:footnote>
  <w:footnote w:id="153">
    <w:p w14:paraId="78768FEE" w14:textId="77777777" w:rsidR="00FA5354" w:rsidRPr="006B2916" w:rsidRDefault="00FA5354" w:rsidP="006B2916">
      <w:pPr>
        <w:pStyle w:val="FootnoteText"/>
        <w:ind w:firstLine="0"/>
        <w:jc w:val="left"/>
        <w:rPr>
          <w:szCs w:val="18"/>
          <w:lang w:val="de-DE"/>
        </w:rPr>
      </w:pPr>
      <w:r w:rsidRPr="006B2916">
        <w:rPr>
          <w:rStyle w:val="FootnoteReference"/>
          <w:sz w:val="18"/>
          <w:szCs w:val="18"/>
        </w:rPr>
        <w:footnoteRef/>
      </w:r>
      <w:r w:rsidRPr="006B2916">
        <w:rPr>
          <w:szCs w:val="18"/>
          <w:lang w:val="de-DE"/>
        </w:rPr>
        <w:t xml:space="preserve"> Paull 2019.</w:t>
      </w:r>
    </w:p>
  </w:footnote>
  <w:footnote w:id="154">
    <w:p w14:paraId="777C9259" w14:textId="77777777" w:rsidR="00FA5354" w:rsidRPr="006B2916" w:rsidRDefault="00FA5354" w:rsidP="006B2916">
      <w:pPr>
        <w:pStyle w:val="FootnoteText"/>
        <w:ind w:firstLine="0"/>
        <w:jc w:val="left"/>
        <w:rPr>
          <w:szCs w:val="18"/>
          <w:lang w:val="de-DE"/>
        </w:rPr>
      </w:pPr>
      <w:r w:rsidRPr="006B2916">
        <w:rPr>
          <w:rStyle w:val="FootnoteReference"/>
          <w:sz w:val="18"/>
          <w:szCs w:val="18"/>
        </w:rPr>
        <w:footnoteRef/>
      </w:r>
      <w:r w:rsidRPr="006B2916">
        <w:rPr>
          <w:szCs w:val="18"/>
          <w:lang w:val="de-DE"/>
        </w:rPr>
        <w:t xml:space="preserve"> Dari-Mattiacci &amp; Faure 2015.</w:t>
      </w:r>
    </w:p>
  </w:footnote>
  <w:footnote w:id="155">
    <w:p w14:paraId="010747F6" w14:textId="77777777" w:rsidR="00FA5354" w:rsidRPr="006B2916" w:rsidRDefault="00FA5354" w:rsidP="006B2916">
      <w:pPr>
        <w:pStyle w:val="FootnoteText"/>
        <w:ind w:firstLine="0"/>
        <w:jc w:val="left"/>
        <w:rPr>
          <w:szCs w:val="18"/>
          <w:lang w:val="de-DE"/>
        </w:rPr>
      </w:pPr>
      <w:r w:rsidRPr="006B2916">
        <w:rPr>
          <w:rStyle w:val="FootnoteReference"/>
          <w:sz w:val="18"/>
          <w:szCs w:val="18"/>
        </w:rPr>
        <w:footnoteRef/>
      </w:r>
      <w:r w:rsidRPr="006B2916">
        <w:rPr>
          <w:szCs w:val="18"/>
          <w:lang w:val="de-DE"/>
        </w:rPr>
        <w:t xml:space="preserve"> Epstein 1996.</w:t>
      </w:r>
    </w:p>
  </w:footnote>
  <w:footnote w:id="156">
    <w:p w14:paraId="0F6063F0"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lang w:val="de-DE"/>
        </w:rPr>
        <w:t xml:space="preserve"> Ebert &amp; Lahnstein 2008, 580, No. 10; Koch 2008, 634, No. 194. </w:t>
      </w:r>
      <w:r w:rsidRPr="006B2916">
        <w:rPr>
          <w:szCs w:val="18"/>
        </w:rPr>
        <w:t>The literature does not mention the reason why the project was discontinued.</w:t>
      </w:r>
    </w:p>
  </w:footnote>
  <w:footnote w:id="157">
    <w:p w14:paraId="7FE6B12C"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further Van Erp et al. 2019.</w:t>
      </w:r>
    </w:p>
  </w:footnote>
  <w:footnote w:id="158">
    <w:p w14:paraId="5027D929"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Bruggeman 2010, 378-379.</w:t>
      </w:r>
    </w:p>
  </w:footnote>
  <w:footnote w:id="159">
    <w:p w14:paraId="23C2D8FB"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It is the system </w:t>
      </w:r>
      <w:r w:rsidRPr="006B2916">
        <w:rPr>
          <w:i/>
          <w:szCs w:val="18"/>
        </w:rPr>
        <w:t xml:space="preserve">inter alia </w:t>
      </w:r>
      <w:r w:rsidRPr="006B2916">
        <w:rPr>
          <w:szCs w:val="18"/>
        </w:rPr>
        <w:t>proposed by Jungcurt &amp; Schabus 2010, 205.</w:t>
      </w:r>
    </w:p>
  </w:footnote>
  <w:footnote w:id="160">
    <w:p w14:paraId="050ADBEB"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&amp; Partain 2017, 189.</w:t>
      </w:r>
    </w:p>
  </w:footnote>
  <w:footnote w:id="161">
    <w:p w14:paraId="0CA38BD5"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Discussed in 3.5.3.</w:t>
      </w:r>
    </w:p>
  </w:footnote>
  <w:footnote w:id="162">
    <w:p w14:paraId="79382C76"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for a detailed description, Faure, Liu &amp; Philipsen 2015, 11-55, with a summarizing table on p. 52.</w:t>
      </w:r>
    </w:p>
  </w:footnote>
  <w:footnote w:id="163">
    <w:p w14:paraId="7B0EB302"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Calabresi 1970.</w:t>
      </w:r>
    </w:p>
  </w:footnote>
  <w:footnote w:id="164">
    <w:p w14:paraId="7DF65593"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Coase 1960.</w:t>
      </w:r>
    </w:p>
  </w:footnote>
  <w:footnote w:id="165">
    <w:p w14:paraId="6E3DE05C"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In the words of Koch: “It is actually the ultimate consumer who pays the insurance premiums: the GM farmer will inevitably try to pass on these costs to her customers, or at least include them in her calculation” (Koch 2008, 617, No. 123).</w:t>
      </w:r>
    </w:p>
  </w:footnote>
  <w:footnote w:id="166">
    <w:p w14:paraId="56D52248"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also Telesetsky 2011.</w:t>
      </w:r>
    </w:p>
  </w:footnote>
  <w:footnote w:id="167">
    <w:p w14:paraId="4990FD8C"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There was a fear that financial security might result in higher prices for genetically modified crops and animals (Telesetsky 2011). </w:t>
      </w:r>
    </w:p>
  </w:footnote>
  <w:footnote w:id="168">
    <w:p w14:paraId="5A5BB215"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t>
      </w:r>
      <w:proofErr w:type="gramStart"/>
      <w:r w:rsidRPr="006B2916">
        <w:rPr>
          <w:szCs w:val="18"/>
        </w:rPr>
        <w:t>So</w:t>
      </w:r>
      <w:proofErr w:type="gramEnd"/>
      <w:r w:rsidRPr="006B2916">
        <w:rPr>
          <w:szCs w:val="18"/>
        </w:rPr>
        <w:t xml:space="preserve"> Faure &amp; Hartlief 1996.</w:t>
      </w:r>
    </w:p>
  </w:footnote>
  <w:footnote w:id="169">
    <w:p w14:paraId="0ACBC1C0"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Paull 2019, 31-46; Swinbourn 2019, 32.</w:t>
      </w:r>
    </w:p>
  </w:footnote>
  <w:footnote w:id="170">
    <w:p w14:paraId="45D4885D"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Dan Flynn, AC21 Wants USDA to Investigate Crop Insurance for Genetic Harm To Organic Crops, November 21, 2012, Food Safety News, available at </w:t>
      </w:r>
      <w:hyperlink r:id="rId13" w:history="1">
        <w:r w:rsidRPr="006B2916">
          <w:rPr>
            <w:rStyle w:val="Hyperlink"/>
            <w:szCs w:val="18"/>
          </w:rPr>
          <w:t>https://www.foodsafetynews.com/2012/11/ac21-wants-usda-to-investigate-crop-insurance-for-genetic-harm-to-organic-crops/</w:t>
        </w:r>
      </w:hyperlink>
      <w:r w:rsidRPr="006B2916">
        <w:rPr>
          <w:szCs w:val="18"/>
        </w:rPr>
        <w:t xml:space="preserve"> (last accessed on 07 October, 2020).</w:t>
      </w:r>
    </w:p>
  </w:footnote>
  <w:footnote w:id="171">
    <w:p w14:paraId="058038AC"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Nijar 2013, 284.</w:t>
      </w:r>
    </w:p>
  </w:footnote>
  <w:footnote w:id="172">
    <w:p w14:paraId="230ACCA4"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t>
      </w:r>
      <w:proofErr w:type="gramStart"/>
      <w:r w:rsidRPr="006B2916">
        <w:rPr>
          <w:szCs w:val="18"/>
        </w:rPr>
        <w:t>Similar to</w:t>
      </w:r>
      <w:proofErr w:type="gramEnd"/>
      <w:r w:rsidRPr="006B2916">
        <w:rPr>
          <w:szCs w:val="18"/>
        </w:rPr>
        <w:t xml:space="preserve"> the way this happens within OPOL, discussed above in Box 2. </w:t>
      </w:r>
    </w:p>
  </w:footnote>
  <w:footnote w:id="173">
    <w:p w14:paraId="70598538"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See implementation of Directive 2009/31/EC on the geological storage of carbon dioxide, Guidance Document 4, 27 which mentions “Certainty also depends on stringency of required financial tests”.</w:t>
      </w:r>
    </w:p>
  </w:footnote>
  <w:footnote w:id="174">
    <w:p w14:paraId="3558A6C9"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Recall from the example of the oil pollution (3.4.3) that risk-sharing between tanker owners (via the P&amp;I Club) could take care of the first layer of compensation, but for amounts exceeding this first layer, the IOPC Fund (financed by oil receivers) intervenes (3.5.3).</w:t>
      </w:r>
    </w:p>
  </w:footnote>
  <w:footnote w:id="175">
    <w:p w14:paraId="25034729"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Risk-sharing among farmers for example emerged in Burkina Faso (Sommerfeld et al. 2002) and in Ethiopia (Berg et al. 2020; Dercon et al. 2014). In Tamil Nadu, India, local mutual pools to protect farmers via risk-sharing have been created (Kingma 2007).</w:t>
      </w:r>
    </w:p>
  </w:footnote>
  <w:footnote w:id="176">
    <w:p w14:paraId="09CDB714"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Faure &amp; Hartlief 1996.</w:t>
      </w:r>
    </w:p>
  </w:footnote>
  <w:footnote w:id="177">
    <w:p w14:paraId="33F5432C"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Such as the Superfund in the US.</w:t>
      </w:r>
    </w:p>
  </w:footnote>
  <w:footnote w:id="178">
    <w:p w14:paraId="631EBEB5"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Such as the IOPC Fund discussed above (3.5.3).</w:t>
      </w:r>
    </w:p>
  </w:footnote>
  <w:footnote w:id="179">
    <w:p w14:paraId="2D8709C9"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DUAL Australia Public Liability Wording (11/13), BizCover, available at </w:t>
      </w:r>
      <w:hyperlink r:id="rId14" w:history="1">
        <w:r w:rsidRPr="006B2916">
          <w:rPr>
            <w:rStyle w:val="Hyperlink"/>
            <w:szCs w:val="18"/>
          </w:rPr>
          <w:t>https://www.bizcover.com.au/wp-content/uploads/2014/07DUAL%20Public%20Liability%20Wording.pdf</w:t>
        </w:r>
      </w:hyperlink>
      <w:r w:rsidRPr="006B2916">
        <w:rPr>
          <w:szCs w:val="18"/>
        </w:rPr>
        <w:t xml:space="preserve"> (last accessed on 02 October, 2020) and DUAL Australia iTech Information Technology Wording (12/09), available at </w:t>
      </w:r>
      <w:hyperlink r:id="rId15" w:history="1">
        <w:r w:rsidRPr="006B2916">
          <w:rPr>
            <w:rStyle w:val="Hyperlink"/>
            <w:szCs w:val="18"/>
          </w:rPr>
          <w:t>https://www.centrewest.com.au/wp-content/uploads/2016/07/IT-Wording-12-09.pdf</w:t>
        </w:r>
      </w:hyperlink>
      <w:r w:rsidRPr="006B2916">
        <w:rPr>
          <w:szCs w:val="18"/>
        </w:rPr>
        <w:t xml:space="preserve"> (last accessed on 02 October, 2020).</w:t>
      </w:r>
    </w:p>
  </w:footnote>
  <w:footnote w:id="180">
    <w:p w14:paraId="308F2A4E"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Winter Crop Insurance Product Disclosure Statement, Achmea Australia, June 2017, Version C 4.0, available at </w:t>
      </w:r>
      <w:hyperlink r:id="rId16" w:history="1">
        <w:r w:rsidRPr="006B2916">
          <w:rPr>
            <w:rStyle w:val="Hyperlink"/>
            <w:szCs w:val="18"/>
          </w:rPr>
          <w:t>https://www.achmea.com.au/wp-content/uploads/2017/07/Achmea_Australia_Winter_Crop_PDS_2017.pdf</w:t>
        </w:r>
      </w:hyperlink>
      <w:r w:rsidRPr="006B2916">
        <w:rPr>
          <w:szCs w:val="18"/>
        </w:rPr>
        <w:t xml:space="preserve"> (last accessed on 02 October, 2020).</w:t>
      </w:r>
    </w:p>
  </w:footnote>
  <w:footnote w:id="181">
    <w:p w14:paraId="7F56B458"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t>
      </w:r>
      <w:r w:rsidRPr="006B2916">
        <w:rPr>
          <w:rFonts w:eastAsia="Helvetica"/>
          <w:szCs w:val="18"/>
          <w:lang w:bidi="ar"/>
        </w:rPr>
        <w:t>ICICI Lombard General Insurance Company limited</w:t>
      </w:r>
      <w:r w:rsidRPr="006B2916">
        <w:rPr>
          <w:szCs w:val="18"/>
        </w:rPr>
        <w:t xml:space="preserve">, product liability insurance, the policy is available at </w:t>
      </w:r>
      <w:hyperlink r:id="rId17" w:history="1">
        <w:r w:rsidRPr="006B2916">
          <w:rPr>
            <w:rStyle w:val="Hyperlink"/>
            <w:szCs w:val="18"/>
          </w:rPr>
          <w:t>https://www.idfcfirstbank.com/content/dam/IDFCFirstBank/form-center/business-insurance/Policy-Draft-PDT-LIABILITY.pdf</w:t>
        </w:r>
      </w:hyperlink>
      <w:r w:rsidRPr="006B2916">
        <w:rPr>
          <w:szCs w:val="18"/>
        </w:rPr>
        <w:t xml:space="preserve"> (last accessed on 07 October, 2020).</w:t>
      </w:r>
    </w:p>
  </w:footnote>
  <w:footnote w:id="182">
    <w:p w14:paraId="3C519525"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t>
      </w:r>
      <w:r w:rsidRPr="006B2916">
        <w:rPr>
          <w:szCs w:val="18"/>
          <w:lang w:eastAsia="zh-Hans"/>
        </w:rPr>
        <w:t xml:space="preserve">PT Asuransi AXA Indonesia Redefining insurance, Smart Traveler, the policy is available at </w:t>
      </w:r>
      <w:hyperlink r:id="rId18" w:history="1">
        <w:r w:rsidRPr="006B2916">
          <w:rPr>
            <w:rStyle w:val="Hyperlink"/>
            <w:szCs w:val="18"/>
          </w:rPr>
          <w:t>https://axa.co.id/wp-content/uploads/axagi/download_center/file/Policy_Wording_SmartTraveller-bilingual-update-merged.pdf</w:t>
        </w:r>
      </w:hyperlink>
      <w:r w:rsidRPr="006B2916">
        <w:rPr>
          <w:szCs w:val="18"/>
        </w:rPr>
        <w:t xml:space="preserve"> (last accessed on 07 October, 2020).</w:t>
      </w:r>
    </w:p>
  </w:footnote>
  <w:footnote w:id="183">
    <w:p w14:paraId="20D38BFA"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t>
      </w:r>
      <w:r w:rsidRPr="006B2916">
        <w:rPr>
          <w:szCs w:val="18"/>
          <w:lang w:eastAsia="zh-Hans"/>
        </w:rPr>
        <w:t xml:space="preserve">L&amp;T General Insurance Company Limited, commercial general liability insurance policy, 2010, the policy is available at </w:t>
      </w:r>
      <w:hyperlink r:id="rId19" w:history="1">
        <w:r w:rsidRPr="006B2916">
          <w:rPr>
            <w:rStyle w:val="Hyperlink"/>
            <w:szCs w:val="18"/>
          </w:rPr>
          <w:t>https://www.irdai.gov.in/ADMINCMS/cms/Uploadedfiles/21_CGL%20-%20Policy%20Wordings.pdf</w:t>
        </w:r>
      </w:hyperlink>
      <w:r w:rsidRPr="006B2916">
        <w:rPr>
          <w:szCs w:val="18"/>
        </w:rPr>
        <w:t xml:space="preserve"> (last accessed on 07 October, 2020).</w:t>
      </w:r>
    </w:p>
  </w:footnote>
  <w:footnote w:id="184">
    <w:p w14:paraId="6EADBFFF"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t>
      </w:r>
      <w:r w:rsidRPr="006B2916">
        <w:rPr>
          <w:szCs w:val="18"/>
          <w:lang w:eastAsia="zh-Hans"/>
        </w:rPr>
        <w:t xml:space="preserve">Sun General Insurance, Machinery insurance policy Grenada, 2013, the policy is available at </w:t>
      </w:r>
      <w:hyperlink r:id="rId20" w:history="1">
        <w:r w:rsidRPr="006B2916">
          <w:rPr>
            <w:rStyle w:val="Hyperlink"/>
            <w:szCs w:val="18"/>
          </w:rPr>
          <w:t>https://www.sungeneral.net/images/policies/machinery-breakdown/SPECIMEN-Grenada-Machinery-Insurance.pdf</w:t>
        </w:r>
      </w:hyperlink>
      <w:r w:rsidRPr="006B2916">
        <w:rPr>
          <w:szCs w:val="18"/>
        </w:rPr>
        <w:t xml:space="preserve"> (last accessed on 07 October, 2020).</w:t>
      </w:r>
    </w:p>
  </w:footnote>
  <w:footnote w:id="185">
    <w:p w14:paraId="1AAB9319" w14:textId="77777777" w:rsidR="00FA5354" w:rsidRPr="006B2916" w:rsidRDefault="00FA5354" w:rsidP="006B2916">
      <w:pPr>
        <w:pStyle w:val="FootnoteText"/>
        <w:ind w:firstLine="0"/>
        <w:jc w:val="left"/>
        <w:rPr>
          <w:szCs w:val="18"/>
        </w:rPr>
      </w:pPr>
      <w:r w:rsidRPr="006B2916">
        <w:rPr>
          <w:rStyle w:val="FootnoteReference"/>
          <w:sz w:val="18"/>
          <w:szCs w:val="18"/>
        </w:rPr>
        <w:footnoteRef/>
      </w:r>
      <w:r w:rsidRPr="006B2916">
        <w:rPr>
          <w:szCs w:val="18"/>
        </w:rPr>
        <w:t xml:space="preserve"> </w:t>
      </w:r>
      <w:r w:rsidRPr="006B2916">
        <w:rPr>
          <w:szCs w:val="18"/>
          <w:lang w:eastAsia="zh-Hans"/>
        </w:rPr>
        <w:t xml:space="preserve">LocalTapiola, liability insurance VY1, 2014, the policy is available at </w:t>
      </w:r>
      <w:hyperlink r:id="rId21" w:history="1">
        <w:r w:rsidRPr="006B2916">
          <w:rPr>
            <w:rStyle w:val="Hyperlink"/>
            <w:szCs w:val="18"/>
          </w:rPr>
          <w:t>https://www.kokairport.fi/files/6</w:t>
        </w:r>
      </w:hyperlink>
      <w:r w:rsidRPr="006B2916">
        <w:rPr>
          <w:szCs w:val="18"/>
        </w:rPr>
        <w:t xml:space="preserve"> (last accessed on 07 October,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118681069"/>
      <w:placeholder>
        <w:docPart w:val="4D7D1B30FC3C4D85AC821BD4587F0C5B"/>
      </w:placeholder>
      <w:dataBinding w:prefixMappings="xmlns:ns0='http://purl.org/dc/elements/1.1/' xmlns:ns1='http://schemas.openxmlformats.org/package/2006/metadata/core-properties' " w:xpath="/ns1:coreProperties[1]/ns0:subject[1]" w:storeItemID="{6C3C8BC8-F283-45AE-878A-BAB7291924A1}"/>
      <w:text/>
    </w:sdtPr>
    <w:sdtEndPr/>
    <w:sdtContent>
      <w:p w14:paraId="23CF2CEA" w14:textId="67299B6D" w:rsidR="00FA5354" w:rsidRPr="006B2916" w:rsidRDefault="00FA5354" w:rsidP="00D7122E">
        <w:pPr>
          <w:jc w:val="left"/>
          <w:rPr>
            <w:noProof/>
            <w:kern w:val="22"/>
          </w:rPr>
        </w:pPr>
        <w:r w:rsidRPr="006B2916">
          <w:rPr>
            <w:noProof/>
            <w:kern w:val="22"/>
          </w:rPr>
          <w:t>CBD/CP/MOP/10/INF/1</w:t>
        </w:r>
      </w:p>
    </w:sdtContent>
  </w:sdt>
  <w:p w14:paraId="7804C339" w14:textId="137F57E6" w:rsidR="00FA5354" w:rsidRPr="006B2916" w:rsidRDefault="00FA5354" w:rsidP="006B2916">
    <w:pPr>
      <w:pStyle w:val="Header"/>
      <w:tabs>
        <w:tab w:val="clear" w:pos="4320"/>
        <w:tab w:val="clear" w:pos="8640"/>
        <w:tab w:val="left" w:pos="2127"/>
      </w:tabs>
      <w:spacing w:after="240"/>
      <w:jc w:val="left"/>
      <w:rPr>
        <w:noProof/>
        <w:kern w:val="22"/>
      </w:rPr>
    </w:pPr>
    <w:r w:rsidRPr="006B2916">
      <w:rPr>
        <w:noProof/>
        <w:kern w:val="22"/>
      </w:rPr>
      <w:t xml:space="preserve">Page </w:t>
    </w:r>
    <w:r w:rsidRPr="00765FA2">
      <w:rPr>
        <w:noProof/>
        <w:kern w:val="22"/>
      </w:rPr>
      <w:fldChar w:fldCharType="begin"/>
    </w:r>
    <w:r w:rsidRPr="006B2916">
      <w:rPr>
        <w:noProof/>
        <w:kern w:val="22"/>
      </w:rPr>
      <w:instrText xml:space="preserve"> PAGE   \* MERGEFORMAT </w:instrText>
    </w:r>
    <w:r w:rsidRPr="006B2916">
      <w:rPr>
        <w:noProof/>
        <w:kern w:val="22"/>
      </w:rPr>
      <w:fldChar w:fldCharType="separate"/>
    </w:r>
    <w:r w:rsidRPr="006B2916">
      <w:rPr>
        <w:noProof/>
        <w:kern w:val="22"/>
      </w:rPr>
      <w:t>2</w:t>
    </w:r>
    <w:r w:rsidRPr="006B2916">
      <w:rP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2138364639"/>
      <w:placeholder>
        <w:docPart w:val="5B638A896FDE44C182E6F4C321F292E9"/>
      </w:placeholder>
      <w:dataBinding w:prefixMappings="xmlns:ns0='http://purl.org/dc/elements/1.1/' xmlns:ns1='http://schemas.openxmlformats.org/package/2006/metadata/core-properties' " w:xpath="/ns1:coreProperties[1]/ns0:subject[1]" w:storeItemID="{6C3C8BC8-F283-45AE-878A-BAB7291924A1}"/>
      <w:text/>
    </w:sdtPr>
    <w:sdtEndPr/>
    <w:sdtContent>
      <w:p w14:paraId="61B4537F" w14:textId="45DDE200" w:rsidR="00FA5354" w:rsidRPr="006B2916" w:rsidRDefault="00FA5354">
        <w:pPr>
          <w:jc w:val="right"/>
          <w:rPr>
            <w:noProof/>
            <w:kern w:val="22"/>
          </w:rPr>
        </w:pPr>
        <w:r w:rsidRPr="006B2916">
          <w:rPr>
            <w:noProof/>
            <w:kern w:val="22"/>
          </w:rPr>
          <w:t>CBD/CP/MOP/10/INF/1</w:t>
        </w:r>
      </w:p>
    </w:sdtContent>
  </w:sdt>
  <w:p w14:paraId="76EC4646" w14:textId="5C112190" w:rsidR="00FA5354" w:rsidRPr="006B2916" w:rsidRDefault="00FA5354">
    <w:pPr>
      <w:pStyle w:val="Header"/>
      <w:tabs>
        <w:tab w:val="clear" w:pos="4320"/>
        <w:tab w:val="clear" w:pos="8640"/>
      </w:tabs>
      <w:spacing w:after="240"/>
      <w:jc w:val="right"/>
      <w:rPr>
        <w:noProof/>
        <w:kern w:val="22"/>
      </w:rPr>
    </w:pPr>
    <w:r w:rsidRPr="006B2916">
      <w:rPr>
        <w:noProof/>
        <w:kern w:val="22"/>
      </w:rPr>
      <w:t xml:space="preserve">Page </w:t>
    </w:r>
    <w:r w:rsidRPr="00765FA2">
      <w:rPr>
        <w:noProof/>
        <w:kern w:val="22"/>
      </w:rPr>
      <w:fldChar w:fldCharType="begin"/>
    </w:r>
    <w:r w:rsidRPr="006B2916">
      <w:rPr>
        <w:noProof/>
        <w:kern w:val="22"/>
      </w:rPr>
      <w:instrText xml:space="preserve"> PAGE   \* MERGEFORMAT </w:instrText>
    </w:r>
    <w:r w:rsidRPr="006B2916">
      <w:rPr>
        <w:noProof/>
        <w:kern w:val="22"/>
      </w:rPr>
      <w:fldChar w:fldCharType="separate"/>
    </w:r>
    <w:r w:rsidRPr="006B2916">
      <w:rPr>
        <w:noProof/>
        <w:kern w:val="22"/>
      </w:rPr>
      <w:t>3</w:t>
    </w:r>
    <w:r w:rsidRPr="006B2916">
      <w:rPr>
        <w:noProof/>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67EA2C5" w14:textId="4C0DA202" w:rsidR="00FA5354" w:rsidRPr="006F45CF" w:rsidRDefault="00FA5354" w:rsidP="00087D95">
        <w:pPr>
          <w:pStyle w:val="Header"/>
          <w:tabs>
            <w:tab w:val="clear" w:pos="4320"/>
            <w:tab w:val="clear" w:pos="8640"/>
          </w:tabs>
          <w:jc w:val="left"/>
          <w:rPr>
            <w:noProof/>
            <w:lang w:val="en-US"/>
          </w:rPr>
        </w:pPr>
        <w:r>
          <w:rPr>
            <w:noProof/>
            <w:lang w:val="en-US"/>
          </w:rPr>
          <w:t>CBD/CP/MOP/10/INF/1</w:t>
        </w:r>
      </w:p>
    </w:sdtContent>
  </w:sdt>
  <w:p w14:paraId="670CCEB0" w14:textId="64EE42EF" w:rsidR="00FA5354" w:rsidRPr="00A45F85" w:rsidRDefault="00FA5354" w:rsidP="00F5491E">
    <w:pPr>
      <w:pStyle w:val="Header"/>
      <w:tabs>
        <w:tab w:val="clear" w:pos="4320"/>
        <w:tab w:val="clear" w:pos="8640"/>
      </w:tabs>
      <w:spacing w:after="240"/>
      <w:jc w:val="left"/>
      <w:rPr>
        <w:noProof/>
        <w:lang w:val="fr-FR"/>
      </w:rPr>
    </w:pPr>
    <w:r w:rsidRPr="00A45F85">
      <w:rPr>
        <w:noProof/>
        <w:lang w:val="fr-FR"/>
      </w:rPr>
      <w:t xml:space="preserve">Page </w:t>
    </w:r>
    <w:r>
      <w:rPr>
        <w:noProof/>
      </w:rPr>
      <w:fldChar w:fldCharType="begin"/>
    </w:r>
    <w:r w:rsidRPr="00A45F85">
      <w:rPr>
        <w:noProof/>
        <w:lang w:val="fr-FR"/>
      </w:rPr>
      <w:instrText xml:space="preserve"> PAGE   \* MERGEFORMAT </w:instrText>
    </w:r>
    <w:r>
      <w:rPr>
        <w:noProof/>
      </w:rPr>
      <w:fldChar w:fldCharType="separate"/>
    </w:r>
    <w:r w:rsidRPr="00A45F85">
      <w:rPr>
        <w:noProof/>
        <w:lang w:val="fr-FR"/>
      </w:rPr>
      <w:t>4</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ACA6E0A" w14:textId="26F040B8" w:rsidR="00FA5354" w:rsidRPr="00A45F85" w:rsidRDefault="00FA5354" w:rsidP="00087D95">
        <w:pPr>
          <w:pStyle w:val="Header"/>
          <w:tabs>
            <w:tab w:val="clear" w:pos="4320"/>
            <w:tab w:val="clear" w:pos="8640"/>
          </w:tabs>
          <w:jc w:val="right"/>
          <w:rPr>
            <w:noProof/>
            <w:lang w:val="fr-FR"/>
          </w:rPr>
        </w:pPr>
        <w:r>
          <w:rPr>
            <w:noProof/>
            <w:lang w:val="fr-FR"/>
          </w:rPr>
          <w:t>CBD/CP/MOP/10/INF/1</w:t>
        </w:r>
      </w:p>
    </w:sdtContent>
  </w:sdt>
  <w:p w14:paraId="22EC65A7" w14:textId="77777777" w:rsidR="00FA5354" w:rsidRPr="00A45F85" w:rsidRDefault="00FA5354" w:rsidP="00087D95">
    <w:pPr>
      <w:pStyle w:val="Header"/>
      <w:tabs>
        <w:tab w:val="clear" w:pos="4320"/>
        <w:tab w:val="clear" w:pos="8640"/>
      </w:tabs>
      <w:jc w:val="right"/>
      <w:rPr>
        <w:noProof/>
        <w:lang w:val="fr-FR"/>
      </w:rPr>
    </w:pPr>
    <w:r w:rsidRPr="00A45F85">
      <w:rPr>
        <w:noProof/>
        <w:lang w:val="fr-FR"/>
      </w:rPr>
      <w:t xml:space="preserve">Page </w:t>
    </w:r>
    <w:r>
      <w:rPr>
        <w:noProof/>
      </w:rPr>
      <w:fldChar w:fldCharType="begin"/>
    </w:r>
    <w:r w:rsidRPr="00A45F85">
      <w:rPr>
        <w:noProof/>
        <w:lang w:val="fr-FR"/>
      </w:rPr>
      <w:instrText xml:space="preserve"> PAGE   \* MERGEFORMAT </w:instrText>
    </w:r>
    <w:r>
      <w:rPr>
        <w:noProof/>
      </w:rPr>
      <w:fldChar w:fldCharType="separate"/>
    </w:r>
    <w:r w:rsidRPr="00A45F85">
      <w:rPr>
        <w:noProof/>
        <w:lang w:val="fr-FR"/>
      </w:rPr>
      <w:t>3</w:t>
    </w:r>
    <w:r>
      <w:rPr>
        <w:noProof/>
      </w:rPr>
      <w:fldChar w:fldCharType="end"/>
    </w:r>
  </w:p>
  <w:p w14:paraId="62048059" w14:textId="77777777" w:rsidR="00FA5354" w:rsidRPr="00A45F85" w:rsidRDefault="00FA5354" w:rsidP="00087D95">
    <w:pPr>
      <w:pStyle w:val="Header"/>
      <w:tabs>
        <w:tab w:val="clear" w:pos="4320"/>
        <w:tab w:val="clear" w:pos="8640"/>
      </w:tabs>
      <w:jc w:val="right"/>
      <w:rPr>
        <w:noProof/>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0B67"/>
    <w:multiLevelType w:val="hybridMultilevel"/>
    <w:tmpl w:val="DE2A6F64"/>
    <w:lvl w:ilvl="0" w:tplc="A98275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2D6468"/>
    <w:multiLevelType w:val="multilevel"/>
    <w:tmpl w:val="80189BC4"/>
    <w:lvl w:ilvl="0">
      <w:start w:val="1"/>
      <w:numFmt w:val="decimal"/>
      <w:lvlText w:val="%1."/>
      <w:lvlJc w:val="left"/>
      <w:pPr>
        <w:ind w:left="360" w:hanging="360"/>
      </w:pPr>
      <w:rPr>
        <w:rFonts w:hint="default"/>
        <w:b/>
        <w:bCs/>
        <w:color w:val="548DD4" w:themeColor="text2" w:themeTint="99"/>
        <w:sz w:val="24"/>
        <w:szCs w:val="24"/>
      </w:rPr>
    </w:lvl>
    <w:lvl w:ilvl="1">
      <w:start w:val="2"/>
      <w:numFmt w:val="decimal"/>
      <w:isLgl/>
      <w:lvlText w:val="%1.%2"/>
      <w:lvlJc w:val="left"/>
      <w:pPr>
        <w:ind w:left="-2970" w:hanging="360"/>
      </w:pPr>
      <w:rPr>
        <w:rFonts w:hint="default"/>
      </w:rPr>
    </w:lvl>
    <w:lvl w:ilvl="2">
      <w:start w:val="1"/>
      <w:numFmt w:val="decimal"/>
      <w:isLgl/>
      <w:lvlText w:val="%1.%2.%3"/>
      <w:lvlJc w:val="left"/>
      <w:pPr>
        <w:ind w:left="-2610" w:hanging="720"/>
      </w:pPr>
      <w:rPr>
        <w:rFonts w:hint="default"/>
      </w:rPr>
    </w:lvl>
    <w:lvl w:ilvl="3">
      <w:start w:val="1"/>
      <w:numFmt w:val="decimal"/>
      <w:isLgl/>
      <w:lvlText w:val="%1.%2.%3.%4"/>
      <w:lvlJc w:val="left"/>
      <w:pPr>
        <w:ind w:left="-261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1890" w:hanging="1440"/>
      </w:pPr>
      <w:rPr>
        <w:rFont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0A607EF"/>
    <w:multiLevelType w:val="hybridMultilevel"/>
    <w:tmpl w:val="1EF0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1060BB"/>
    <w:multiLevelType w:val="hybridMultilevel"/>
    <w:tmpl w:val="5D6C7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33129E"/>
    <w:multiLevelType w:val="multilevel"/>
    <w:tmpl w:val="CA6407BC"/>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C8F3E6E"/>
    <w:multiLevelType w:val="hybridMultilevel"/>
    <w:tmpl w:val="4F640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0442B4"/>
    <w:multiLevelType w:val="multilevel"/>
    <w:tmpl w:val="6E1EEBE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0231DB1"/>
    <w:multiLevelType w:val="hybridMultilevel"/>
    <w:tmpl w:val="1292F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FC09CD"/>
    <w:multiLevelType w:val="hybridMultilevel"/>
    <w:tmpl w:val="644AF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BF9624E"/>
    <w:multiLevelType w:val="hybridMultilevel"/>
    <w:tmpl w:val="0C823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0B4A1F"/>
    <w:multiLevelType w:val="multilevel"/>
    <w:tmpl w:val="54909F82"/>
    <w:lvl w:ilvl="0">
      <w:start w:val="1"/>
      <w:numFmt w:val="lowerLetter"/>
      <w:lvlText w:val="(%1)"/>
      <w:lvlJc w:val="left"/>
      <w:pPr>
        <w:tabs>
          <w:tab w:val="num" w:pos="360"/>
        </w:tabs>
        <w:ind w:left="0" w:firstLine="0"/>
      </w:pPr>
      <w:rPr>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8"/>
  </w:num>
  <w:num w:numId="3">
    <w:abstractNumId w:val="6"/>
  </w:num>
  <w:num w:numId="4">
    <w:abstractNumId w:val="11"/>
  </w:num>
  <w:num w:numId="5">
    <w:abstractNumId w:val="1"/>
  </w:num>
  <w:num w:numId="6">
    <w:abstractNumId w:val="0"/>
  </w:num>
  <w:num w:numId="7">
    <w:abstractNumId w:val="3"/>
  </w:num>
  <w:num w:numId="8">
    <w:abstractNumId w:val="10"/>
  </w:num>
  <w:num w:numId="9">
    <w:abstractNumId w:val="12"/>
  </w:num>
  <w:num w:numId="10">
    <w:abstractNumId w:val="4"/>
  </w:num>
  <w:num w:numId="11">
    <w:abstractNumId w:val="7"/>
  </w:num>
  <w:num w:numId="12">
    <w:abstractNumId w:val="9"/>
  </w:num>
  <w:num w:numId="13">
    <w:abstractNumId w:val="5"/>
  </w:num>
  <w:num w:numId="14">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663"/>
    <w:rsid w:val="00002B58"/>
    <w:rsid w:val="00005AE0"/>
    <w:rsid w:val="000069C6"/>
    <w:rsid w:val="000079C0"/>
    <w:rsid w:val="00011218"/>
    <w:rsid w:val="00015ED7"/>
    <w:rsid w:val="000171CA"/>
    <w:rsid w:val="0002173C"/>
    <w:rsid w:val="00031C69"/>
    <w:rsid w:val="00031D3E"/>
    <w:rsid w:val="00033429"/>
    <w:rsid w:val="00035BA6"/>
    <w:rsid w:val="0003705B"/>
    <w:rsid w:val="00037B5E"/>
    <w:rsid w:val="00047864"/>
    <w:rsid w:val="000525A2"/>
    <w:rsid w:val="00053ADD"/>
    <w:rsid w:val="00053DCB"/>
    <w:rsid w:val="00053DF6"/>
    <w:rsid w:val="00057CAE"/>
    <w:rsid w:val="0006055A"/>
    <w:rsid w:val="0006577C"/>
    <w:rsid w:val="000661B4"/>
    <w:rsid w:val="000669BB"/>
    <w:rsid w:val="0007014D"/>
    <w:rsid w:val="000716A5"/>
    <w:rsid w:val="000717C4"/>
    <w:rsid w:val="000723F1"/>
    <w:rsid w:val="00086B38"/>
    <w:rsid w:val="00087D95"/>
    <w:rsid w:val="000906E6"/>
    <w:rsid w:val="0009476E"/>
    <w:rsid w:val="00097AA5"/>
    <w:rsid w:val="000A1CC8"/>
    <w:rsid w:val="000A24FB"/>
    <w:rsid w:val="000A52EE"/>
    <w:rsid w:val="000A5A6F"/>
    <w:rsid w:val="000A5D79"/>
    <w:rsid w:val="000B3E16"/>
    <w:rsid w:val="000B501F"/>
    <w:rsid w:val="000B5C43"/>
    <w:rsid w:val="000C3326"/>
    <w:rsid w:val="000C7AF7"/>
    <w:rsid w:val="000D05CC"/>
    <w:rsid w:val="000D0FE4"/>
    <w:rsid w:val="000D100E"/>
    <w:rsid w:val="000D16E9"/>
    <w:rsid w:val="000D5D8D"/>
    <w:rsid w:val="000D79DD"/>
    <w:rsid w:val="000E0539"/>
    <w:rsid w:val="000E192D"/>
    <w:rsid w:val="000E673A"/>
    <w:rsid w:val="000F0868"/>
    <w:rsid w:val="000F0A7F"/>
    <w:rsid w:val="000F2A74"/>
    <w:rsid w:val="000F539C"/>
    <w:rsid w:val="000F74F5"/>
    <w:rsid w:val="00105372"/>
    <w:rsid w:val="0010553B"/>
    <w:rsid w:val="0011328C"/>
    <w:rsid w:val="001140F5"/>
    <w:rsid w:val="00120E96"/>
    <w:rsid w:val="00131E7A"/>
    <w:rsid w:val="00141515"/>
    <w:rsid w:val="00142EB8"/>
    <w:rsid w:val="001443F4"/>
    <w:rsid w:val="00146FC0"/>
    <w:rsid w:val="0016778C"/>
    <w:rsid w:val="00171BB1"/>
    <w:rsid w:val="00171E20"/>
    <w:rsid w:val="00172AF6"/>
    <w:rsid w:val="0017359B"/>
    <w:rsid w:val="00176CEE"/>
    <w:rsid w:val="001808E9"/>
    <w:rsid w:val="00181B29"/>
    <w:rsid w:val="0018337E"/>
    <w:rsid w:val="00184DC4"/>
    <w:rsid w:val="00186694"/>
    <w:rsid w:val="00192A22"/>
    <w:rsid w:val="001940E8"/>
    <w:rsid w:val="00196D78"/>
    <w:rsid w:val="00196E19"/>
    <w:rsid w:val="00197CC1"/>
    <w:rsid w:val="001A2F92"/>
    <w:rsid w:val="001B2FA4"/>
    <w:rsid w:val="001B6D38"/>
    <w:rsid w:val="001C3C07"/>
    <w:rsid w:val="001C718A"/>
    <w:rsid w:val="001C7B3F"/>
    <w:rsid w:val="001D0FE9"/>
    <w:rsid w:val="001D32F9"/>
    <w:rsid w:val="001D4CE2"/>
    <w:rsid w:val="001D4FF4"/>
    <w:rsid w:val="001D515D"/>
    <w:rsid w:val="001E2081"/>
    <w:rsid w:val="001E4E8E"/>
    <w:rsid w:val="001E587D"/>
    <w:rsid w:val="001E6EC7"/>
    <w:rsid w:val="001E7381"/>
    <w:rsid w:val="001E76C7"/>
    <w:rsid w:val="001F185E"/>
    <w:rsid w:val="001F254D"/>
    <w:rsid w:val="001F2A12"/>
    <w:rsid w:val="001F3FF9"/>
    <w:rsid w:val="00201DFE"/>
    <w:rsid w:val="00203A55"/>
    <w:rsid w:val="00212A0C"/>
    <w:rsid w:val="002134A5"/>
    <w:rsid w:val="00216F05"/>
    <w:rsid w:val="00220175"/>
    <w:rsid w:val="00222BB2"/>
    <w:rsid w:val="00226F98"/>
    <w:rsid w:val="00227D1D"/>
    <w:rsid w:val="00231703"/>
    <w:rsid w:val="00231E34"/>
    <w:rsid w:val="00235197"/>
    <w:rsid w:val="002433A5"/>
    <w:rsid w:val="002507D0"/>
    <w:rsid w:val="002518D1"/>
    <w:rsid w:val="002536D2"/>
    <w:rsid w:val="00260CB0"/>
    <w:rsid w:val="00264940"/>
    <w:rsid w:val="00272ED0"/>
    <w:rsid w:val="002749E0"/>
    <w:rsid w:val="00274AA6"/>
    <w:rsid w:val="002766CD"/>
    <w:rsid w:val="002821AF"/>
    <w:rsid w:val="00282731"/>
    <w:rsid w:val="00297A61"/>
    <w:rsid w:val="002A5A18"/>
    <w:rsid w:val="002A5D28"/>
    <w:rsid w:val="002B1366"/>
    <w:rsid w:val="002B1EAE"/>
    <w:rsid w:val="002C2543"/>
    <w:rsid w:val="002C2A3D"/>
    <w:rsid w:val="002C2C8C"/>
    <w:rsid w:val="002C2D29"/>
    <w:rsid w:val="002D23BF"/>
    <w:rsid w:val="002D2E45"/>
    <w:rsid w:val="002E6190"/>
    <w:rsid w:val="002E65FA"/>
    <w:rsid w:val="002F0624"/>
    <w:rsid w:val="002F06A5"/>
    <w:rsid w:val="00300384"/>
    <w:rsid w:val="00303696"/>
    <w:rsid w:val="003040BF"/>
    <w:rsid w:val="003047C7"/>
    <w:rsid w:val="00314E56"/>
    <w:rsid w:val="00322966"/>
    <w:rsid w:val="00323A50"/>
    <w:rsid w:val="00323C1D"/>
    <w:rsid w:val="00323C4E"/>
    <w:rsid w:val="0032438F"/>
    <w:rsid w:val="003251D7"/>
    <w:rsid w:val="00327B3F"/>
    <w:rsid w:val="0033219B"/>
    <w:rsid w:val="0033349A"/>
    <w:rsid w:val="00333D3B"/>
    <w:rsid w:val="00334C65"/>
    <w:rsid w:val="003413B9"/>
    <w:rsid w:val="0034223B"/>
    <w:rsid w:val="003443B2"/>
    <w:rsid w:val="00345EF4"/>
    <w:rsid w:val="00346EDA"/>
    <w:rsid w:val="00347278"/>
    <w:rsid w:val="00354CEC"/>
    <w:rsid w:val="0036116C"/>
    <w:rsid w:val="003618A1"/>
    <w:rsid w:val="00363706"/>
    <w:rsid w:val="00363A11"/>
    <w:rsid w:val="00370B65"/>
    <w:rsid w:val="00372F74"/>
    <w:rsid w:val="003758CE"/>
    <w:rsid w:val="003776F6"/>
    <w:rsid w:val="0038086A"/>
    <w:rsid w:val="00381875"/>
    <w:rsid w:val="003818EB"/>
    <w:rsid w:val="00386DC2"/>
    <w:rsid w:val="003919E7"/>
    <w:rsid w:val="00391A45"/>
    <w:rsid w:val="00392DE3"/>
    <w:rsid w:val="003A12BF"/>
    <w:rsid w:val="003A5A36"/>
    <w:rsid w:val="003A6C59"/>
    <w:rsid w:val="003B45D4"/>
    <w:rsid w:val="003B5529"/>
    <w:rsid w:val="003B79FF"/>
    <w:rsid w:val="003D2F50"/>
    <w:rsid w:val="003F7224"/>
    <w:rsid w:val="003F7485"/>
    <w:rsid w:val="00410F0F"/>
    <w:rsid w:val="00411D02"/>
    <w:rsid w:val="00414B98"/>
    <w:rsid w:val="00415BD8"/>
    <w:rsid w:val="00416AFF"/>
    <w:rsid w:val="004177E3"/>
    <w:rsid w:val="004208DE"/>
    <w:rsid w:val="00425192"/>
    <w:rsid w:val="00427D21"/>
    <w:rsid w:val="00430A26"/>
    <w:rsid w:val="00433E09"/>
    <w:rsid w:val="00445C1A"/>
    <w:rsid w:val="00447A51"/>
    <w:rsid w:val="004544E9"/>
    <w:rsid w:val="004644C2"/>
    <w:rsid w:val="004649A2"/>
    <w:rsid w:val="00465242"/>
    <w:rsid w:val="00467521"/>
    <w:rsid w:val="00467F9C"/>
    <w:rsid w:val="004702AE"/>
    <w:rsid w:val="004733AE"/>
    <w:rsid w:val="00480362"/>
    <w:rsid w:val="00481094"/>
    <w:rsid w:val="00481260"/>
    <w:rsid w:val="00484AEC"/>
    <w:rsid w:val="004909B7"/>
    <w:rsid w:val="004A5A70"/>
    <w:rsid w:val="004A74FA"/>
    <w:rsid w:val="004B1995"/>
    <w:rsid w:val="004B4CF2"/>
    <w:rsid w:val="004B5490"/>
    <w:rsid w:val="004C04BF"/>
    <w:rsid w:val="004C1BFA"/>
    <w:rsid w:val="004C1D80"/>
    <w:rsid w:val="004C33F6"/>
    <w:rsid w:val="004D552A"/>
    <w:rsid w:val="004E0031"/>
    <w:rsid w:val="004E28AF"/>
    <w:rsid w:val="004E3435"/>
    <w:rsid w:val="004E374E"/>
    <w:rsid w:val="004E47DF"/>
    <w:rsid w:val="004E6864"/>
    <w:rsid w:val="004F1B5B"/>
    <w:rsid w:val="004F4C51"/>
    <w:rsid w:val="005025F2"/>
    <w:rsid w:val="005042C4"/>
    <w:rsid w:val="00505323"/>
    <w:rsid w:val="00506CD9"/>
    <w:rsid w:val="005105A4"/>
    <w:rsid w:val="00513BFF"/>
    <w:rsid w:val="00514335"/>
    <w:rsid w:val="00515AA4"/>
    <w:rsid w:val="005209D6"/>
    <w:rsid w:val="005264CB"/>
    <w:rsid w:val="00530E07"/>
    <w:rsid w:val="00532EC0"/>
    <w:rsid w:val="00533FF4"/>
    <w:rsid w:val="00534681"/>
    <w:rsid w:val="00541277"/>
    <w:rsid w:val="005438FC"/>
    <w:rsid w:val="005451A3"/>
    <w:rsid w:val="005502EC"/>
    <w:rsid w:val="005560C6"/>
    <w:rsid w:val="005605B3"/>
    <w:rsid w:val="00561770"/>
    <w:rsid w:val="0056237E"/>
    <w:rsid w:val="0056535A"/>
    <w:rsid w:val="00567A3A"/>
    <w:rsid w:val="005709CE"/>
    <w:rsid w:val="0058513A"/>
    <w:rsid w:val="00585FC9"/>
    <w:rsid w:val="0058726C"/>
    <w:rsid w:val="005908C4"/>
    <w:rsid w:val="005915FC"/>
    <w:rsid w:val="00594727"/>
    <w:rsid w:val="005952C2"/>
    <w:rsid w:val="005A1D08"/>
    <w:rsid w:val="005B29CB"/>
    <w:rsid w:val="005C2A6C"/>
    <w:rsid w:val="005D3C08"/>
    <w:rsid w:val="005D52EF"/>
    <w:rsid w:val="005D56F0"/>
    <w:rsid w:val="005E0B51"/>
    <w:rsid w:val="005E31DD"/>
    <w:rsid w:val="005E3426"/>
    <w:rsid w:val="005E3FA7"/>
    <w:rsid w:val="005F00D7"/>
    <w:rsid w:val="005F042E"/>
    <w:rsid w:val="005F23AD"/>
    <w:rsid w:val="005F2EF6"/>
    <w:rsid w:val="005F3F9A"/>
    <w:rsid w:val="0060024E"/>
    <w:rsid w:val="00604741"/>
    <w:rsid w:val="00604777"/>
    <w:rsid w:val="0061112E"/>
    <w:rsid w:val="006122BA"/>
    <w:rsid w:val="00617CFE"/>
    <w:rsid w:val="00621397"/>
    <w:rsid w:val="0062273F"/>
    <w:rsid w:val="006231A2"/>
    <w:rsid w:val="00630A06"/>
    <w:rsid w:val="00630D71"/>
    <w:rsid w:val="006313A4"/>
    <w:rsid w:val="00633D39"/>
    <w:rsid w:val="00635929"/>
    <w:rsid w:val="00635AB3"/>
    <w:rsid w:val="00641CF7"/>
    <w:rsid w:val="00645A46"/>
    <w:rsid w:val="006463AE"/>
    <w:rsid w:val="00651EFF"/>
    <w:rsid w:val="00653733"/>
    <w:rsid w:val="00661A0D"/>
    <w:rsid w:val="00665280"/>
    <w:rsid w:val="00670C15"/>
    <w:rsid w:val="006737D7"/>
    <w:rsid w:val="006802DA"/>
    <w:rsid w:val="00680547"/>
    <w:rsid w:val="0068134E"/>
    <w:rsid w:val="00681A31"/>
    <w:rsid w:val="00681B62"/>
    <w:rsid w:val="00681C92"/>
    <w:rsid w:val="006829D2"/>
    <w:rsid w:val="006830BC"/>
    <w:rsid w:val="00683B29"/>
    <w:rsid w:val="006853EE"/>
    <w:rsid w:val="006A06EC"/>
    <w:rsid w:val="006A5C03"/>
    <w:rsid w:val="006A71C7"/>
    <w:rsid w:val="006B0CB1"/>
    <w:rsid w:val="006B2290"/>
    <w:rsid w:val="006B2916"/>
    <w:rsid w:val="006C05A1"/>
    <w:rsid w:val="006C0FAF"/>
    <w:rsid w:val="006C2CA0"/>
    <w:rsid w:val="006D6FE3"/>
    <w:rsid w:val="006D7654"/>
    <w:rsid w:val="006D7BF3"/>
    <w:rsid w:val="006E28EC"/>
    <w:rsid w:val="006F1737"/>
    <w:rsid w:val="006F39E6"/>
    <w:rsid w:val="006F45CF"/>
    <w:rsid w:val="006F5683"/>
    <w:rsid w:val="006F6442"/>
    <w:rsid w:val="00701CA9"/>
    <w:rsid w:val="00702D8D"/>
    <w:rsid w:val="00703CF4"/>
    <w:rsid w:val="00707EF0"/>
    <w:rsid w:val="007101F9"/>
    <w:rsid w:val="00710880"/>
    <w:rsid w:val="0071112E"/>
    <w:rsid w:val="00711C13"/>
    <w:rsid w:val="00711D80"/>
    <w:rsid w:val="00714E2E"/>
    <w:rsid w:val="00715F32"/>
    <w:rsid w:val="00717D88"/>
    <w:rsid w:val="00721570"/>
    <w:rsid w:val="00721F65"/>
    <w:rsid w:val="0072218C"/>
    <w:rsid w:val="00723847"/>
    <w:rsid w:val="007256E5"/>
    <w:rsid w:val="00726278"/>
    <w:rsid w:val="007269BB"/>
    <w:rsid w:val="007304B4"/>
    <w:rsid w:val="00732DB2"/>
    <w:rsid w:val="00734C35"/>
    <w:rsid w:val="0074030B"/>
    <w:rsid w:val="00743CBF"/>
    <w:rsid w:val="00743FB6"/>
    <w:rsid w:val="0074698F"/>
    <w:rsid w:val="007469F0"/>
    <w:rsid w:val="007509D1"/>
    <w:rsid w:val="00750FD9"/>
    <w:rsid w:val="007564DA"/>
    <w:rsid w:val="00756613"/>
    <w:rsid w:val="00765FA2"/>
    <w:rsid w:val="007705DA"/>
    <w:rsid w:val="00772D25"/>
    <w:rsid w:val="00780AA8"/>
    <w:rsid w:val="007811BE"/>
    <w:rsid w:val="00786A55"/>
    <w:rsid w:val="007917D3"/>
    <w:rsid w:val="0079211F"/>
    <w:rsid w:val="00792EB7"/>
    <w:rsid w:val="00793765"/>
    <w:rsid w:val="007942D3"/>
    <w:rsid w:val="007A7328"/>
    <w:rsid w:val="007B0795"/>
    <w:rsid w:val="007B25F4"/>
    <w:rsid w:val="007B2EBF"/>
    <w:rsid w:val="007B6C09"/>
    <w:rsid w:val="007B7884"/>
    <w:rsid w:val="007C00F1"/>
    <w:rsid w:val="007C2CFC"/>
    <w:rsid w:val="007C3B40"/>
    <w:rsid w:val="007D692A"/>
    <w:rsid w:val="007D7112"/>
    <w:rsid w:val="007D7D48"/>
    <w:rsid w:val="007E09DA"/>
    <w:rsid w:val="007E4BAC"/>
    <w:rsid w:val="007E6EDD"/>
    <w:rsid w:val="007F1B81"/>
    <w:rsid w:val="00805C9B"/>
    <w:rsid w:val="00805E10"/>
    <w:rsid w:val="00807EC7"/>
    <w:rsid w:val="00812131"/>
    <w:rsid w:val="00814204"/>
    <w:rsid w:val="00814552"/>
    <w:rsid w:val="0081500D"/>
    <w:rsid w:val="008178B6"/>
    <w:rsid w:val="00830F11"/>
    <w:rsid w:val="00835E94"/>
    <w:rsid w:val="0083706A"/>
    <w:rsid w:val="00837BDB"/>
    <w:rsid w:val="00840499"/>
    <w:rsid w:val="008408EF"/>
    <w:rsid w:val="008420F9"/>
    <w:rsid w:val="00842CD2"/>
    <w:rsid w:val="00850A2A"/>
    <w:rsid w:val="00854F7B"/>
    <w:rsid w:val="0086212B"/>
    <w:rsid w:val="00865B74"/>
    <w:rsid w:val="00870ED4"/>
    <w:rsid w:val="00871E71"/>
    <w:rsid w:val="008730CB"/>
    <w:rsid w:val="008763AB"/>
    <w:rsid w:val="00882745"/>
    <w:rsid w:val="00894161"/>
    <w:rsid w:val="00894800"/>
    <w:rsid w:val="008A01E9"/>
    <w:rsid w:val="008A0BB1"/>
    <w:rsid w:val="008A2846"/>
    <w:rsid w:val="008A5130"/>
    <w:rsid w:val="008B0C6C"/>
    <w:rsid w:val="008B50DF"/>
    <w:rsid w:val="008C141B"/>
    <w:rsid w:val="008C144F"/>
    <w:rsid w:val="008C1693"/>
    <w:rsid w:val="008C316A"/>
    <w:rsid w:val="008C4D41"/>
    <w:rsid w:val="008C56AE"/>
    <w:rsid w:val="008D0A94"/>
    <w:rsid w:val="008D1768"/>
    <w:rsid w:val="008D39DD"/>
    <w:rsid w:val="008D588E"/>
    <w:rsid w:val="008D7E33"/>
    <w:rsid w:val="008E1501"/>
    <w:rsid w:val="008E51D3"/>
    <w:rsid w:val="008E65A7"/>
    <w:rsid w:val="00903AD8"/>
    <w:rsid w:val="00911921"/>
    <w:rsid w:val="009168FF"/>
    <w:rsid w:val="00921131"/>
    <w:rsid w:val="00922354"/>
    <w:rsid w:val="00922D20"/>
    <w:rsid w:val="009231F2"/>
    <w:rsid w:val="009272E8"/>
    <w:rsid w:val="00927687"/>
    <w:rsid w:val="00930BA1"/>
    <w:rsid w:val="00931329"/>
    <w:rsid w:val="009315F4"/>
    <w:rsid w:val="0093169E"/>
    <w:rsid w:val="00935CA5"/>
    <w:rsid w:val="00935CCA"/>
    <w:rsid w:val="00936BEE"/>
    <w:rsid w:val="00940BDB"/>
    <w:rsid w:val="00943877"/>
    <w:rsid w:val="0094563D"/>
    <w:rsid w:val="00947037"/>
    <w:rsid w:val="009505C9"/>
    <w:rsid w:val="00953149"/>
    <w:rsid w:val="00961A1A"/>
    <w:rsid w:val="009630EB"/>
    <w:rsid w:val="00965011"/>
    <w:rsid w:val="00973F48"/>
    <w:rsid w:val="00980EBF"/>
    <w:rsid w:val="0098391E"/>
    <w:rsid w:val="00983CCB"/>
    <w:rsid w:val="00991C04"/>
    <w:rsid w:val="00996390"/>
    <w:rsid w:val="00996399"/>
    <w:rsid w:val="0099752E"/>
    <w:rsid w:val="00997957"/>
    <w:rsid w:val="009A4316"/>
    <w:rsid w:val="009A4C9C"/>
    <w:rsid w:val="009B57A4"/>
    <w:rsid w:val="009C0169"/>
    <w:rsid w:val="009C3077"/>
    <w:rsid w:val="009C4645"/>
    <w:rsid w:val="009C73AF"/>
    <w:rsid w:val="009D21D5"/>
    <w:rsid w:val="009D4BB1"/>
    <w:rsid w:val="009E19D8"/>
    <w:rsid w:val="009E2053"/>
    <w:rsid w:val="009E2CF8"/>
    <w:rsid w:val="009F4C28"/>
    <w:rsid w:val="00A151A8"/>
    <w:rsid w:val="00A268AF"/>
    <w:rsid w:val="00A26E08"/>
    <w:rsid w:val="00A34278"/>
    <w:rsid w:val="00A34894"/>
    <w:rsid w:val="00A35618"/>
    <w:rsid w:val="00A35D9A"/>
    <w:rsid w:val="00A36A40"/>
    <w:rsid w:val="00A36B51"/>
    <w:rsid w:val="00A44C0A"/>
    <w:rsid w:val="00A45F85"/>
    <w:rsid w:val="00A52F80"/>
    <w:rsid w:val="00A5720B"/>
    <w:rsid w:val="00A57F79"/>
    <w:rsid w:val="00A606DF"/>
    <w:rsid w:val="00A63E41"/>
    <w:rsid w:val="00A648A0"/>
    <w:rsid w:val="00A775D1"/>
    <w:rsid w:val="00A847E8"/>
    <w:rsid w:val="00A866D5"/>
    <w:rsid w:val="00A9627B"/>
    <w:rsid w:val="00A972B9"/>
    <w:rsid w:val="00AA00CD"/>
    <w:rsid w:val="00AA7541"/>
    <w:rsid w:val="00AB401B"/>
    <w:rsid w:val="00AC35E8"/>
    <w:rsid w:val="00AC4891"/>
    <w:rsid w:val="00AC7FDE"/>
    <w:rsid w:val="00AD11C2"/>
    <w:rsid w:val="00AD15B5"/>
    <w:rsid w:val="00AD197E"/>
    <w:rsid w:val="00AD225C"/>
    <w:rsid w:val="00AD3A7E"/>
    <w:rsid w:val="00AD5FD4"/>
    <w:rsid w:val="00AD66EF"/>
    <w:rsid w:val="00AE103D"/>
    <w:rsid w:val="00AE157E"/>
    <w:rsid w:val="00AE65A2"/>
    <w:rsid w:val="00AE6E7D"/>
    <w:rsid w:val="00B002E8"/>
    <w:rsid w:val="00B06016"/>
    <w:rsid w:val="00B0758B"/>
    <w:rsid w:val="00B1264D"/>
    <w:rsid w:val="00B13948"/>
    <w:rsid w:val="00B13D41"/>
    <w:rsid w:val="00B20780"/>
    <w:rsid w:val="00B239B6"/>
    <w:rsid w:val="00B26BA4"/>
    <w:rsid w:val="00B27E17"/>
    <w:rsid w:val="00B3369F"/>
    <w:rsid w:val="00B36A80"/>
    <w:rsid w:val="00B41900"/>
    <w:rsid w:val="00B43ECC"/>
    <w:rsid w:val="00B445CA"/>
    <w:rsid w:val="00B46773"/>
    <w:rsid w:val="00B5121E"/>
    <w:rsid w:val="00B53754"/>
    <w:rsid w:val="00B53790"/>
    <w:rsid w:val="00B549C4"/>
    <w:rsid w:val="00B54D87"/>
    <w:rsid w:val="00B565FB"/>
    <w:rsid w:val="00B64F90"/>
    <w:rsid w:val="00B65640"/>
    <w:rsid w:val="00B65A39"/>
    <w:rsid w:val="00B6737D"/>
    <w:rsid w:val="00B67401"/>
    <w:rsid w:val="00B731F1"/>
    <w:rsid w:val="00B766B0"/>
    <w:rsid w:val="00B80A39"/>
    <w:rsid w:val="00B87D60"/>
    <w:rsid w:val="00B94FA4"/>
    <w:rsid w:val="00BA0526"/>
    <w:rsid w:val="00BA3AE8"/>
    <w:rsid w:val="00BA57F2"/>
    <w:rsid w:val="00BB0EBF"/>
    <w:rsid w:val="00BB3C56"/>
    <w:rsid w:val="00BB6435"/>
    <w:rsid w:val="00BB762C"/>
    <w:rsid w:val="00BC3E08"/>
    <w:rsid w:val="00BC6343"/>
    <w:rsid w:val="00BD1A51"/>
    <w:rsid w:val="00BD665E"/>
    <w:rsid w:val="00BE1EB8"/>
    <w:rsid w:val="00BE3193"/>
    <w:rsid w:val="00BE477C"/>
    <w:rsid w:val="00BE516D"/>
    <w:rsid w:val="00BE743E"/>
    <w:rsid w:val="00BF0F15"/>
    <w:rsid w:val="00BF6878"/>
    <w:rsid w:val="00C03EAB"/>
    <w:rsid w:val="00C10572"/>
    <w:rsid w:val="00C1217F"/>
    <w:rsid w:val="00C157EF"/>
    <w:rsid w:val="00C167BD"/>
    <w:rsid w:val="00C16AB3"/>
    <w:rsid w:val="00C2221E"/>
    <w:rsid w:val="00C22A80"/>
    <w:rsid w:val="00C2339A"/>
    <w:rsid w:val="00C24856"/>
    <w:rsid w:val="00C4198C"/>
    <w:rsid w:val="00C42741"/>
    <w:rsid w:val="00C47D55"/>
    <w:rsid w:val="00C512F1"/>
    <w:rsid w:val="00C62207"/>
    <w:rsid w:val="00C62224"/>
    <w:rsid w:val="00C62520"/>
    <w:rsid w:val="00C64B17"/>
    <w:rsid w:val="00C667DC"/>
    <w:rsid w:val="00C709D5"/>
    <w:rsid w:val="00C71444"/>
    <w:rsid w:val="00C827C7"/>
    <w:rsid w:val="00C84F19"/>
    <w:rsid w:val="00C864B6"/>
    <w:rsid w:val="00C91076"/>
    <w:rsid w:val="00C9161D"/>
    <w:rsid w:val="00CA132E"/>
    <w:rsid w:val="00CA2A48"/>
    <w:rsid w:val="00CA7CD4"/>
    <w:rsid w:val="00CB28EB"/>
    <w:rsid w:val="00CB3C79"/>
    <w:rsid w:val="00CB6CDA"/>
    <w:rsid w:val="00CB6E0A"/>
    <w:rsid w:val="00CC0E59"/>
    <w:rsid w:val="00CD0C5B"/>
    <w:rsid w:val="00CD2DDB"/>
    <w:rsid w:val="00CD2F8E"/>
    <w:rsid w:val="00CD4714"/>
    <w:rsid w:val="00CD6426"/>
    <w:rsid w:val="00CE23BC"/>
    <w:rsid w:val="00CF1848"/>
    <w:rsid w:val="00CF20AB"/>
    <w:rsid w:val="00D01C79"/>
    <w:rsid w:val="00D05B73"/>
    <w:rsid w:val="00D12044"/>
    <w:rsid w:val="00D13690"/>
    <w:rsid w:val="00D14731"/>
    <w:rsid w:val="00D170B8"/>
    <w:rsid w:val="00D20A16"/>
    <w:rsid w:val="00D20E61"/>
    <w:rsid w:val="00D30E3D"/>
    <w:rsid w:val="00D31C1C"/>
    <w:rsid w:val="00D31F5F"/>
    <w:rsid w:val="00D33A9D"/>
    <w:rsid w:val="00D36DA5"/>
    <w:rsid w:val="00D403BD"/>
    <w:rsid w:val="00D4105F"/>
    <w:rsid w:val="00D42798"/>
    <w:rsid w:val="00D43C3E"/>
    <w:rsid w:val="00D43F09"/>
    <w:rsid w:val="00D44AB8"/>
    <w:rsid w:val="00D4540C"/>
    <w:rsid w:val="00D47AC4"/>
    <w:rsid w:val="00D50454"/>
    <w:rsid w:val="00D57DD3"/>
    <w:rsid w:val="00D61C9B"/>
    <w:rsid w:val="00D63310"/>
    <w:rsid w:val="00D65CD1"/>
    <w:rsid w:val="00D6761F"/>
    <w:rsid w:val="00D7009E"/>
    <w:rsid w:val="00D70AB9"/>
    <w:rsid w:val="00D7122E"/>
    <w:rsid w:val="00D71BF9"/>
    <w:rsid w:val="00D73336"/>
    <w:rsid w:val="00D7402A"/>
    <w:rsid w:val="00D74F8F"/>
    <w:rsid w:val="00D76A18"/>
    <w:rsid w:val="00D80B11"/>
    <w:rsid w:val="00D83A6B"/>
    <w:rsid w:val="00D843CB"/>
    <w:rsid w:val="00D85053"/>
    <w:rsid w:val="00D86667"/>
    <w:rsid w:val="00D917C4"/>
    <w:rsid w:val="00DA125C"/>
    <w:rsid w:val="00DA2404"/>
    <w:rsid w:val="00DA4D2E"/>
    <w:rsid w:val="00DB23FA"/>
    <w:rsid w:val="00DB5EC1"/>
    <w:rsid w:val="00DB6CDA"/>
    <w:rsid w:val="00DC3D56"/>
    <w:rsid w:val="00DC5759"/>
    <w:rsid w:val="00DC5843"/>
    <w:rsid w:val="00DC78E8"/>
    <w:rsid w:val="00DD118C"/>
    <w:rsid w:val="00DD1734"/>
    <w:rsid w:val="00DD3023"/>
    <w:rsid w:val="00DD31E1"/>
    <w:rsid w:val="00DD4DA5"/>
    <w:rsid w:val="00DD7F73"/>
    <w:rsid w:val="00DE2692"/>
    <w:rsid w:val="00DE51F0"/>
    <w:rsid w:val="00DE6E14"/>
    <w:rsid w:val="00DF10CD"/>
    <w:rsid w:val="00E0051B"/>
    <w:rsid w:val="00E02E52"/>
    <w:rsid w:val="00E11B91"/>
    <w:rsid w:val="00E22858"/>
    <w:rsid w:val="00E30308"/>
    <w:rsid w:val="00E348EA"/>
    <w:rsid w:val="00E450B3"/>
    <w:rsid w:val="00E457E5"/>
    <w:rsid w:val="00E50B59"/>
    <w:rsid w:val="00E543B7"/>
    <w:rsid w:val="00E54BCD"/>
    <w:rsid w:val="00E57760"/>
    <w:rsid w:val="00E614B1"/>
    <w:rsid w:val="00E6339C"/>
    <w:rsid w:val="00E64714"/>
    <w:rsid w:val="00E66235"/>
    <w:rsid w:val="00E67942"/>
    <w:rsid w:val="00E7005B"/>
    <w:rsid w:val="00E7195B"/>
    <w:rsid w:val="00E72F26"/>
    <w:rsid w:val="00E747BA"/>
    <w:rsid w:val="00E8316C"/>
    <w:rsid w:val="00E83C24"/>
    <w:rsid w:val="00E866D0"/>
    <w:rsid w:val="00E86F14"/>
    <w:rsid w:val="00E87A5F"/>
    <w:rsid w:val="00E9318D"/>
    <w:rsid w:val="00E95EBB"/>
    <w:rsid w:val="00E9605F"/>
    <w:rsid w:val="00E9779F"/>
    <w:rsid w:val="00EA0016"/>
    <w:rsid w:val="00EA02F6"/>
    <w:rsid w:val="00EA2F1D"/>
    <w:rsid w:val="00EA3ECF"/>
    <w:rsid w:val="00EB5909"/>
    <w:rsid w:val="00EB5B08"/>
    <w:rsid w:val="00EB7D1D"/>
    <w:rsid w:val="00EC00F0"/>
    <w:rsid w:val="00EC1D88"/>
    <w:rsid w:val="00EC295E"/>
    <w:rsid w:val="00ED6930"/>
    <w:rsid w:val="00ED7B5E"/>
    <w:rsid w:val="00EE3C5A"/>
    <w:rsid w:val="00EE433E"/>
    <w:rsid w:val="00EE665E"/>
    <w:rsid w:val="00EF2230"/>
    <w:rsid w:val="00EF7ACF"/>
    <w:rsid w:val="00F0091D"/>
    <w:rsid w:val="00F0566B"/>
    <w:rsid w:val="00F063C8"/>
    <w:rsid w:val="00F16FFB"/>
    <w:rsid w:val="00F20A57"/>
    <w:rsid w:val="00F26DFC"/>
    <w:rsid w:val="00F34628"/>
    <w:rsid w:val="00F37F73"/>
    <w:rsid w:val="00F44531"/>
    <w:rsid w:val="00F512C2"/>
    <w:rsid w:val="00F53054"/>
    <w:rsid w:val="00F53A83"/>
    <w:rsid w:val="00F53D82"/>
    <w:rsid w:val="00F5491E"/>
    <w:rsid w:val="00F55736"/>
    <w:rsid w:val="00F632F1"/>
    <w:rsid w:val="00F657CC"/>
    <w:rsid w:val="00F74128"/>
    <w:rsid w:val="00F75EA7"/>
    <w:rsid w:val="00F76274"/>
    <w:rsid w:val="00F81035"/>
    <w:rsid w:val="00F91C22"/>
    <w:rsid w:val="00F920AC"/>
    <w:rsid w:val="00F94774"/>
    <w:rsid w:val="00F97B13"/>
    <w:rsid w:val="00FA5354"/>
    <w:rsid w:val="00FA596A"/>
    <w:rsid w:val="00FB3E7B"/>
    <w:rsid w:val="00FB4B3B"/>
    <w:rsid w:val="00FB7E33"/>
    <w:rsid w:val="00FC1E5F"/>
    <w:rsid w:val="00FC3349"/>
    <w:rsid w:val="00FC53DB"/>
    <w:rsid w:val="00FC59F7"/>
    <w:rsid w:val="00FC66D4"/>
    <w:rsid w:val="00FD0CD0"/>
    <w:rsid w:val="00FD3EFA"/>
    <w:rsid w:val="00FD4B16"/>
    <w:rsid w:val="00FE65B9"/>
    <w:rsid w:val="00FF084B"/>
    <w:rsid w:val="00FF2B03"/>
    <w:rsid w:val="00FF31EA"/>
    <w:rsid w:val="00FF403C"/>
    <w:rsid w:val="00FF764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D8B1A4"/>
  <w15:docId w15:val="{0FA21206-D519-446E-A8B6-B47BECCDB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qFormat/>
    <w:rsid w:val="007E09DA"/>
    <w:pPr>
      <w:tabs>
        <w:tab w:val="center" w:pos="4320"/>
        <w:tab w:val="right" w:pos="8640"/>
      </w:tabs>
      <w:ind w:firstLine="720"/>
      <w:jc w:val="right"/>
    </w:pPr>
  </w:style>
  <w:style w:type="character" w:customStyle="1" w:styleId="FooterChar">
    <w:name w:val="Footer Char"/>
    <w:basedOn w:val="DefaultParagraphFont"/>
    <w:link w:val="Footer"/>
    <w:qFormat/>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uiPriority w:val="9"/>
    <w:rsid w:val="007E09DA"/>
    <w:rPr>
      <w:rFonts w:ascii="Times New Roman" w:eastAsia="Times New Roman" w:hAnsi="Times New Roman" w:cs="Times New Roman"/>
      <w:b/>
      <w:caps/>
      <w:sz w:val="22"/>
      <w:lang w:val="en-GB"/>
    </w:rPr>
  </w:style>
  <w:style w:type="paragraph" w:styleId="BodyText">
    <w:name w:val="Body Text"/>
    <w:basedOn w:val="Normal"/>
    <w:link w:val="BodyTextChar"/>
    <w:uiPriority w:val="1"/>
    <w:qFormat/>
    <w:rsid w:val="007E09DA"/>
    <w:pPr>
      <w:spacing w:before="120" w:after="120"/>
      <w:ind w:firstLine="720"/>
    </w:pPr>
    <w:rPr>
      <w:iCs/>
    </w:rPr>
  </w:style>
  <w:style w:type="character" w:customStyle="1" w:styleId="BodyTextChar">
    <w:name w:val="Body Text Char"/>
    <w:basedOn w:val="DefaultParagraphFont"/>
    <w:link w:val="BodyText"/>
    <w:uiPriority w:val="1"/>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qFormat/>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Voetnootverwijzing,FR,FR1"/>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 t,Char Char,a"/>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001663"/>
    <w:pPr>
      <w:tabs>
        <w:tab w:val="left" w:pos="8910"/>
      </w:tabs>
      <w:ind w:left="720" w:hanging="720"/>
      <w:jc w:val="left"/>
    </w:pPr>
    <w:rPr>
      <w:caps/>
    </w:rPr>
  </w:style>
  <w:style w:type="paragraph" w:styleId="TOC2">
    <w:name w:val="toc 2"/>
    <w:basedOn w:val="Normal"/>
    <w:next w:val="Normal"/>
    <w:autoRedefine/>
    <w:uiPriority w:val="39"/>
    <w:rsid w:val="00001663"/>
    <w:pPr>
      <w:tabs>
        <w:tab w:val="left" w:pos="9000"/>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qFormat/>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A606D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CD471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D4714"/>
    <w:rPr>
      <w:rFonts w:ascii="Times New Roman" w:eastAsia="Times New Roman" w:hAnsi="Times New Roman" w:cs="Times New Roman"/>
      <w:b/>
      <w:bCs/>
      <w:sz w:val="20"/>
      <w:szCs w:val="20"/>
      <w:lang w:val="en-GB"/>
    </w:rPr>
  </w:style>
  <w:style w:type="paragraph" w:styleId="Revision">
    <w:name w:val="Revision"/>
    <w:hidden/>
    <w:uiPriority w:val="99"/>
    <w:semiHidden/>
    <w:rsid w:val="00F53054"/>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AD15B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0D16E9"/>
    <w:pPr>
      <w:spacing w:after="160" w:line="240" w:lineRule="exact"/>
      <w:jc w:val="left"/>
    </w:pPr>
    <w:rPr>
      <w:rFonts w:asciiTheme="minorHAnsi" w:eastAsiaTheme="minorEastAsia" w:hAnsiTheme="minorHAnsi" w:cstheme="minorBidi"/>
      <w:vertAlign w:val="superscript"/>
      <w:lang w:val="fr-CA"/>
    </w:rPr>
  </w:style>
  <w:style w:type="paragraph" w:customStyle="1" w:styleId="Para10">
    <w:name w:val="Para 1"/>
    <w:basedOn w:val="Normal"/>
    <w:rsid w:val="00B43ECC"/>
    <w:pPr>
      <w:tabs>
        <w:tab w:val="num" w:pos="3763"/>
      </w:tabs>
      <w:ind w:left="3403"/>
    </w:pPr>
  </w:style>
  <w:style w:type="character" w:styleId="UnresolvedMention">
    <w:name w:val="Unresolved Mention"/>
    <w:basedOn w:val="DefaultParagraphFont"/>
    <w:uiPriority w:val="99"/>
    <w:semiHidden/>
    <w:unhideWhenUsed/>
    <w:rsid w:val="00743FB6"/>
    <w:rPr>
      <w:color w:val="605E5C"/>
      <w:shd w:val="clear" w:color="auto" w:fill="E1DFDD"/>
    </w:rPr>
  </w:style>
  <w:style w:type="paragraph" w:customStyle="1" w:styleId="TableParagraph">
    <w:name w:val="Table Paragraph"/>
    <w:basedOn w:val="Normal"/>
    <w:uiPriority w:val="1"/>
    <w:qFormat/>
    <w:rsid w:val="006F45CF"/>
    <w:pPr>
      <w:widowControl w:val="0"/>
      <w:spacing w:line="360" w:lineRule="auto"/>
    </w:pPr>
    <w:rPr>
      <w:rFonts w:eastAsiaTheme="minorHAnsi" w:cstheme="minorBidi"/>
      <w:sz w:val="24"/>
      <w:szCs w:val="22"/>
      <w:lang w:val="en-US"/>
    </w:rPr>
  </w:style>
  <w:style w:type="paragraph" w:styleId="NormalWeb">
    <w:name w:val="Normal (Web)"/>
    <w:basedOn w:val="Normal"/>
    <w:uiPriority w:val="99"/>
    <w:qFormat/>
    <w:rsid w:val="006F45CF"/>
    <w:pPr>
      <w:widowControl w:val="0"/>
      <w:spacing w:beforeAutospacing="1" w:after="160" w:afterAutospacing="1" w:line="259" w:lineRule="auto"/>
      <w:jc w:val="left"/>
    </w:pPr>
    <w:rPr>
      <w:rFonts w:eastAsia="Times"/>
      <w:sz w:val="24"/>
      <w:lang w:val="en-US" w:eastAsia="zh-CN"/>
    </w:rPr>
  </w:style>
  <w:style w:type="character" w:customStyle="1" w:styleId="16">
    <w:name w:val="16"/>
    <w:basedOn w:val="DefaultParagraphFont"/>
    <w:rsid w:val="006F45CF"/>
    <w:rPr>
      <w:rFonts w:ascii="Times New Roman" w:hAnsi="Times New Roman" w:cs="Times New Roman" w:hint="default"/>
      <w:color w:val="954F72"/>
      <w:u w:val="single"/>
    </w:rPr>
  </w:style>
  <w:style w:type="paragraph" w:customStyle="1" w:styleId="Normal1">
    <w:name w:val="Normal1"/>
    <w:rsid w:val="006F45CF"/>
    <w:pPr>
      <w:jc w:val="both"/>
    </w:pPr>
    <w:rPr>
      <w:rFonts w:ascii="Times New Roman" w:eastAsia="SimSun" w:hAnsi="Times New Roman" w:cs="Times New Roman"/>
      <w:kern w:val="2"/>
      <w:sz w:val="21"/>
      <w:szCs w:val="21"/>
      <w:lang w:val="en-US" w:eastAsia="zh-CN"/>
    </w:rPr>
  </w:style>
  <w:style w:type="character" w:customStyle="1" w:styleId="Mention1">
    <w:name w:val="Mention1"/>
    <w:basedOn w:val="DefaultParagraphFont"/>
    <w:uiPriority w:val="99"/>
    <w:unhideWhenUsed/>
    <w:rsid w:val="006F45CF"/>
    <w:rPr>
      <w:color w:val="2B579A"/>
      <w:shd w:val="clear" w:color="auto" w:fill="E6E6E6"/>
    </w:rPr>
  </w:style>
  <w:style w:type="character" w:customStyle="1" w:styleId="harvardtitle">
    <w:name w:val="harvard_title"/>
    <w:basedOn w:val="DefaultParagraphFont"/>
    <w:rsid w:val="006F45CF"/>
  </w:style>
  <w:style w:type="character" w:styleId="Emphasis">
    <w:name w:val="Emphasis"/>
    <w:basedOn w:val="DefaultParagraphFont"/>
    <w:uiPriority w:val="20"/>
    <w:qFormat/>
    <w:rsid w:val="006F45CF"/>
    <w:rPr>
      <w:i/>
      <w:iCs/>
    </w:rPr>
  </w:style>
  <w:style w:type="character" w:customStyle="1" w:styleId="normaltextrun">
    <w:name w:val="normaltextrun"/>
    <w:basedOn w:val="DefaultParagraphFont"/>
    <w:rsid w:val="006F45CF"/>
  </w:style>
  <w:style w:type="character" w:customStyle="1" w:styleId="UnresolvedMention2">
    <w:name w:val="Unresolved Mention2"/>
    <w:basedOn w:val="DefaultParagraphFont"/>
    <w:uiPriority w:val="99"/>
    <w:unhideWhenUsed/>
    <w:rsid w:val="006F45CF"/>
    <w:rPr>
      <w:color w:val="605E5C"/>
      <w:shd w:val="clear" w:color="auto" w:fill="E1DFDD"/>
    </w:rPr>
  </w:style>
  <w:style w:type="character" w:customStyle="1" w:styleId="Mention2">
    <w:name w:val="Mention2"/>
    <w:basedOn w:val="DefaultParagraphFont"/>
    <w:uiPriority w:val="99"/>
    <w:unhideWhenUsed/>
    <w:rsid w:val="006F45CF"/>
    <w:rPr>
      <w:color w:val="2B579A"/>
      <w:shd w:val="clear" w:color="auto" w:fill="E1DFDD"/>
    </w:rPr>
  </w:style>
  <w:style w:type="paragraph" w:styleId="TOCHeading">
    <w:name w:val="TOC Heading"/>
    <w:basedOn w:val="Heading1"/>
    <w:next w:val="Normal"/>
    <w:uiPriority w:val="39"/>
    <w:unhideWhenUsed/>
    <w:qFormat/>
    <w:rsid w:val="002C2A3D"/>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983433">
      <w:bodyDiv w:val="1"/>
      <w:marLeft w:val="0"/>
      <w:marRight w:val="0"/>
      <w:marTop w:val="0"/>
      <w:marBottom w:val="0"/>
      <w:divBdr>
        <w:top w:val="none" w:sz="0" w:space="0" w:color="auto"/>
        <w:left w:val="none" w:sz="0" w:space="0" w:color="auto"/>
        <w:bottom w:val="none" w:sz="0" w:space="0" w:color="auto"/>
        <w:right w:val="none" w:sz="0" w:space="0" w:color="auto"/>
      </w:divBdr>
    </w:div>
    <w:div w:id="680552250">
      <w:bodyDiv w:val="1"/>
      <w:marLeft w:val="0"/>
      <w:marRight w:val="0"/>
      <w:marTop w:val="0"/>
      <w:marBottom w:val="0"/>
      <w:divBdr>
        <w:top w:val="none" w:sz="0" w:space="0" w:color="auto"/>
        <w:left w:val="none" w:sz="0" w:space="0" w:color="auto"/>
        <w:bottom w:val="none" w:sz="0" w:space="0" w:color="auto"/>
        <w:right w:val="none" w:sz="0" w:space="0" w:color="auto"/>
      </w:divBdr>
    </w:div>
    <w:div w:id="1394698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yperlink" Target="https://lp.feindlaw.com" TargetMode="External"/><Relationship Id="rId3" Type="http://schemas.openxmlformats.org/officeDocument/2006/relationships/customXml" Target="../customXml/item3.xml"/><Relationship Id="rId21" Type="http://schemas.openxmlformats.org/officeDocument/2006/relationships/hyperlink" Target="https://www.cbd.int/doc/meetings/bs/iccp-02/official/iccp-02-03-en.pdf"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5" Type="http://schemas.openxmlformats.org/officeDocument/2006/relationships/hyperlink" Target="https://www.cbd.int/doc/meetings/bs/bswglr-02/information/bswglr-02-inf-07-en.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linkprotect.cudasvc.com/url?a=https%3a%2f%2fwww.cbd.int%2fdoc%2fmeetings%2fbs%2fbsgflr-01%2finformation%2fbsgflr-01-inf-01-en.pdf&amp;c=E,1,dhthwi5vPTzIsC3DpzSa34X6aAnQStZ3OFfMaCpKlokJfqT37k6nFP7OySNv8kYfNUHidGycxmIkO6lK6hCjhWHUzpogQ_iLOFQOHY4Q&amp;typo=1"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p-mop-09/cp-mop-09-dec-15-en.pdf" TargetMode="External"/><Relationship Id="rId23" Type="http://schemas.openxmlformats.org/officeDocument/2006/relationships/hyperlink" Target="https://www.cbd.int/doc/meetings/bs/bswglr-03/information/bswglr-03-inf-05-en.pdf" TargetMode="External"/><Relationship Id="rId28" Type="http://schemas.openxmlformats.org/officeDocument/2006/relationships/hyperlink" Target="https://www.asil.org/insights/volume/15/issue/1/2010-nagoya-kuala-lumpur-supplementary-protocol-new-treaty-assigning" TargetMode="Externa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cbd.int/doc/meetings/bs/bswglr-02/information/bswglr-02-inf-07-en.pdf" TargetMode="External"/><Relationship Id="rId27" Type="http://schemas.openxmlformats.org/officeDocument/2006/relationships/hyperlink" Target="https://www.irmi.com/articles/expert-commentary/gmo-primer" TargetMode="External"/><Relationship Id="rId30" Type="http://schemas.openxmlformats.org/officeDocument/2006/relationships/header" Target="header3.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irmi.com/docs/default-source/afis-handouts/overview-of-isos-new-farm-insurance-program.pdf?sfvrsn=8" TargetMode="External"/><Relationship Id="rId13" Type="http://schemas.openxmlformats.org/officeDocument/2006/relationships/hyperlink" Target="https://www.foodsafetynews.com/2012/11/ac21-wants-usda-to-investigate-crop-insurance-for-genetic-harm-to-organic-crops/" TargetMode="External"/><Relationship Id="rId18" Type="http://schemas.openxmlformats.org/officeDocument/2006/relationships/hyperlink" Target="https://axa.co.id/wp-content/uploads/axagi/download_center/file/Policy_Wording_SmartTraveller-bilingual-update-merged.pdf" TargetMode="External"/><Relationship Id="rId3" Type="http://schemas.openxmlformats.org/officeDocument/2006/relationships/hyperlink" Target="https://linkprotect.cudasvc.com/url?a=https%3a%2f%2fwww.cbd.int%2fdoc%2fmeetings%2fbs%2fbswglr-02%2finformation%2fbswglr-02-inf-07-en.pdf&amp;c=E,1,aU4BnBOHnYbYZj1b6fk4E6heUg3IC6JJQcpoatKPl4KpkkNPVcBl-uQMwRjwr07ZMWuJ1x2C1TndAg0BZILqWvtQr-7E24iM_Gr8rubL959m8nm_LZVq&amp;typo=1" TargetMode="External"/><Relationship Id="rId21" Type="http://schemas.openxmlformats.org/officeDocument/2006/relationships/hyperlink" Target="https://www.kokairport.fi/files/6" TargetMode="External"/><Relationship Id="rId7" Type="http://schemas.openxmlformats.org/officeDocument/2006/relationships/hyperlink" Target="https://www.irmi.com/articles/expert-commentary/gmo-primer" TargetMode="External"/><Relationship Id="rId12" Type="http://schemas.openxmlformats.org/officeDocument/2006/relationships/hyperlink" Target="https://research.vu.nl/ws/portalfiles/portal/813537/Yearbook+of+International+Environmental+Law-2011-Etty-318-32.pdf" TargetMode="External"/><Relationship Id="rId17" Type="http://schemas.openxmlformats.org/officeDocument/2006/relationships/hyperlink" Target="https://www.idfcfirstbank.com/content/dam/IDFCFirstBank/form-center/business-insurance/Policy-Draft-PDT-LIABILITY.pdf" TargetMode="External"/><Relationship Id="rId2" Type="http://schemas.openxmlformats.org/officeDocument/2006/relationships/hyperlink" Target="http://bch.cbd.int/protocol/supplementary/Study.shtml" TargetMode="External"/><Relationship Id="rId16" Type="http://schemas.openxmlformats.org/officeDocument/2006/relationships/hyperlink" Target="https://www.achmea.com.au/wp-content/uploads/2017/07/Achmea_Australia_Winter_Crop_PDS_2017.pdf" TargetMode="External"/><Relationship Id="rId20" Type="http://schemas.openxmlformats.org/officeDocument/2006/relationships/hyperlink" Target="https://www.sungeneral.net/images/policies/machinery-breakdown/SPECIMEN-Grenada-Machinery-Insurance.pdf" TargetMode="External"/><Relationship Id="rId1" Type="http://schemas.openxmlformats.org/officeDocument/2006/relationships/hyperlink" Target="https://www.cbd.int/doc/notifications/2021/ntf-2021-038-bs-en.pdf" TargetMode="External"/><Relationship Id="rId6" Type="http://schemas.openxmlformats.org/officeDocument/2006/relationships/hyperlink" Target="https://www.usda.gov/sites/default/files/documents/ac21_report-enhancing-coexistence.pdf" TargetMode="External"/><Relationship Id="rId11" Type="http://schemas.openxmlformats.org/officeDocument/2006/relationships/hyperlink" Target="http://www.biodiversitycompact.org/wp-content/uploads/Compact-Second-Amended-Text-with-translation-reference-January-2014-2.pdf" TargetMode="External"/><Relationship Id="rId5" Type="http://schemas.openxmlformats.org/officeDocument/2006/relationships/hyperlink" Target="https://www.irmi.com/docs/default-source/afis-handouts/overview-of-isos-new-farm-insurance-program.pdf?sfvrsn=8" TargetMode="External"/><Relationship Id="rId15" Type="http://schemas.openxmlformats.org/officeDocument/2006/relationships/hyperlink" Target="https://www.centrewest.com.au/wp-content/uploads/2016/07/IT-Wording-12-09.pdf" TargetMode="External"/><Relationship Id="rId10" Type="http://schemas.openxmlformats.org/officeDocument/2006/relationships/hyperlink" Target="https://www.swissre.com/media/news-releases/nr-20200923-biodiversity-and-ecosystems-services.html" TargetMode="External"/><Relationship Id="rId19" Type="http://schemas.openxmlformats.org/officeDocument/2006/relationships/hyperlink" Target="https://www.irdai.gov.in/ADMINCMS/cms/Uploadedfiles/21_CGL%20-%20Policy%20Wordings.pdf" TargetMode="External"/><Relationship Id="rId4" Type="http://schemas.openxmlformats.org/officeDocument/2006/relationships/hyperlink" Target="https://www.cbd.int/doc/meetings/bs/bswglr-03/information/bswglr-03-inf-05-en.pdf" TargetMode="External"/><Relationship Id="rId9" Type="http://schemas.openxmlformats.org/officeDocument/2006/relationships/hyperlink" Target="https://farmanswers.org/Library/OpenItem/5345" TargetMode="External"/><Relationship Id="rId14" Type="http://schemas.openxmlformats.org/officeDocument/2006/relationships/hyperlink" Target="https://www.bizcover.com.au/wp-content/uploads/2014/07DUAL%20Public%20Liability%20Wording.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4D7D1B30FC3C4D85AC821BD4587F0C5B"/>
        <w:category>
          <w:name w:val="General"/>
          <w:gallery w:val="placeholder"/>
        </w:category>
        <w:types>
          <w:type w:val="bbPlcHdr"/>
        </w:types>
        <w:behaviors>
          <w:behavior w:val="content"/>
        </w:behaviors>
        <w:guid w:val="{663AB8FD-8A47-4578-A7D0-85B9BC1FF4FB}"/>
      </w:docPartPr>
      <w:docPartBody>
        <w:p w:rsidR="00BB0A77" w:rsidRDefault="000203B2">
          <w:r w:rsidRPr="002F08F4">
            <w:rPr>
              <w:rStyle w:val="PlaceholderText"/>
            </w:rPr>
            <w:t>[Subject]</w:t>
          </w:r>
        </w:p>
      </w:docPartBody>
    </w:docPart>
    <w:docPart>
      <w:docPartPr>
        <w:name w:val="5B638A896FDE44C182E6F4C321F292E9"/>
        <w:category>
          <w:name w:val="General"/>
          <w:gallery w:val="placeholder"/>
        </w:category>
        <w:types>
          <w:type w:val="bbPlcHdr"/>
        </w:types>
        <w:behaviors>
          <w:behavior w:val="content"/>
        </w:behaviors>
        <w:guid w:val="{F934AB30-DFAD-43FB-81CD-CF7126AFDCE3}"/>
      </w:docPartPr>
      <w:docPartBody>
        <w:p w:rsidR="00BB0A77" w:rsidRDefault="000203B2">
          <w:r w:rsidRPr="002F08F4">
            <w:rPr>
              <w:rStyle w:val="PlaceholderText"/>
            </w:rPr>
            <w:t>[Subject]</w:t>
          </w:r>
        </w:p>
      </w:docPartBody>
    </w:docPart>
    <w:docPart>
      <w:docPartPr>
        <w:name w:val="4BFC2725F4D34E609C1F5397B8284F5F"/>
        <w:category>
          <w:name w:val="General"/>
          <w:gallery w:val="placeholder"/>
        </w:category>
        <w:types>
          <w:type w:val="bbPlcHdr"/>
        </w:types>
        <w:behaviors>
          <w:behavior w:val="content"/>
        </w:behaviors>
        <w:guid w:val="{C0A5E306-1C1A-4340-BA71-9085B586B884}"/>
      </w:docPartPr>
      <w:docPartBody>
        <w:p w:rsidR="006A79E6" w:rsidRDefault="004B056B" w:rsidP="004B056B">
          <w:pPr>
            <w:pStyle w:val="4BFC2725F4D34E609C1F5397B8284F5F"/>
          </w:pPr>
          <w:r w:rsidRPr="00F0026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203B2"/>
    <w:rsid w:val="000973F2"/>
    <w:rsid w:val="000F2DD3"/>
    <w:rsid w:val="002768CC"/>
    <w:rsid w:val="0037389A"/>
    <w:rsid w:val="004B056B"/>
    <w:rsid w:val="004D079C"/>
    <w:rsid w:val="00500A2B"/>
    <w:rsid w:val="00534735"/>
    <w:rsid w:val="0058288D"/>
    <w:rsid w:val="006801B3"/>
    <w:rsid w:val="006A79E6"/>
    <w:rsid w:val="00770D55"/>
    <w:rsid w:val="00810A55"/>
    <w:rsid w:val="008C6619"/>
    <w:rsid w:val="008D420E"/>
    <w:rsid w:val="00935DB0"/>
    <w:rsid w:val="009723F0"/>
    <w:rsid w:val="0098642F"/>
    <w:rsid w:val="009B1E4B"/>
    <w:rsid w:val="00A05EC6"/>
    <w:rsid w:val="00BB0A77"/>
    <w:rsid w:val="00C73124"/>
    <w:rsid w:val="00D57225"/>
    <w:rsid w:val="00EC6804"/>
    <w:rsid w:val="00FA24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056B"/>
    <w:rPr>
      <w:color w:val="808080"/>
    </w:rPr>
  </w:style>
  <w:style w:type="paragraph" w:customStyle="1" w:styleId="4BFC2725F4D34E609C1F5397B8284F5F">
    <w:name w:val="4BFC2725F4D34E609C1F5397B8284F5F"/>
    <w:rsid w:val="004B056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2018-07-12T00:00:00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860B5D8-859C-44B5-BFB7-71A8106267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4D9088-111C-46D7-82AE-A92131740818}">
  <ds:schemaRefs>
    <ds:schemaRef ds:uri="http://schemas.microsoft.com/sharepoint/v3/contenttype/forms"/>
  </ds:schemaRefs>
</ds:datastoreItem>
</file>

<file path=customXml/itemProps4.xml><?xml version="1.0" encoding="utf-8"?>
<ds:datastoreItem xmlns:ds="http://schemas.openxmlformats.org/officeDocument/2006/customXml" ds:itemID="{F982A6D9-15F4-45BC-B15C-AF9A56DBF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8D4A072-8CAC-4EA4-A4C0-F489BAB90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61</Pages>
  <Words>27347</Words>
  <Characters>155884</Characters>
  <Application>Microsoft Office Word</Application>
  <DocSecurity>0</DocSecurity>
  <Lines>1299</Lines>
  <Paragraphs>365</Paragraphs>
  <ScaleCrop>false</ScaleCrop>
  <HeadingPairs>
    <vt:vector size="2" baseType="variant">
      <vt:variant>
        <vt:lpstr>Title</vt:lpstr>
      </vt:variant>
      <vt:variant>
        <vt:i4>1</vt:i4>
      </vt:variant>
    </vt:vector>
  </HeadingPairs>
  <TitlesOfParts>
    <vt:vector size="1" baseType="lpstr">
      <vt:lpstr>Study on financial security mechanisms (Article 10 of the Nagoya – Kuala Lumpur Supplementary Protocol on Liability and Redress)</vt:lpstr>
    </vt:vector>
  </TitlesOfParts>
  <Company>SCBD</Company>
  <LinksUpToDate>false</LinksUpToDate>
  <CharactersWithSpaces>182866</CharactersWithSpaces>
  <SharedDoc>false</SharedDoc>
  <HLinks>
    <vt:vector size="378" baseType="variant">
      <vt:variant>
        <vt:i4>2031643</vt:i4>
      </vt:variant>
      <vt:variant>
        <vt:i4>225</vt:i4>
      </vt:variant>
      <vt:variant>
        <vt:i4>0</vt:i4>
      </vt:variant>
      <vt:variant>
        <vt:i4>5</vt:i4>
      </vt:variant>
      <vt:variant>
        <vt:lpwstr>https://www.asil.org/insights/volume/15/issue/1/2010-nagoya-kuala-lumpur-supplementary-protocol-new-treaty-assigning</vt:lpwstr>
      </vt:variant>
      <vt:variant>
        <vt:lpwstr/>
      </vt:variant>
      <vt:variant>
        <vt:i4>6750308</vt:i4>
      </vt:variant>
      <vt:variant>
        <vt:i4>222</vt:i4>
      </vt:variant>
      <vt:variant>
        <vt:i4>0</vt:i4>
      </vt:variant>
      <vt:variant>
        <vt:i4>5</vt:i4>
      </vt:variant>
      <vt:variant>
        <vt:lpwstr>https://www.irmi.com/articles/expert-commentary/gmo-primer</vt:lpwstr>
      </vt:variant>
      <vt:variant>
        <vt:lpwstr/>
      </vt:variant>
      <vt:variant>
        <vt:i4>327708</vt:i4>
      </vt:variant>
      <vt:variant>
        <vt:i4>219</vt:i4>
      </vt:variant>
      <vt:variant>
        <vt:i4>0</vt:i4>
      </vt:variant>
      <vt:variant>
        <vt:i4>5</vt:i4>
      </vt:variant>
      <vt:variant>
        <vt:lpwstr>https://lp.feindlaw.com/</vt:lpwstr>
      </vt:variant>
      <vt:variant>
        <vt:lpwstr/>
      </vt:variant>
      <vt:variant>
        <vt:i4>4522000</vt:i4>
      </vt:variant>
      <vt:variant>
        <vt:i4>216</vt:i4>
      </vt:variant>
      <vt:variant>
        <vt:i4>0</vt:i4>
      </vt:variant>
      <vt:variant>
        <vt:i4>5</vt:i4>
      </vt:variant>
      <vt:variant>
        <vt:lpwstr>https://www.cbd.int/doc/meetings/bs/bswglr-02/information/bswglr-02-inf-07-en.pdf</vt:lpwstr>
      </vt:variant>
      <vt:variant>
        <vt:lpwstr/>
      </vt:variant>
      <vt:variant>
        <vt:i4>4194337</vt:i4>
      </vt:variant>
      <vt:variant>
        <vt:i4>213</vt:i4>
      </vt:variant>
      <vt:variant>
        <vt:i4>0</vt:i4>
      </vt:variant>
      <vt:variant>
        <vt:i4>5</vt:i4>
      </vt:variant>
      <vt:variant>
        <vt:lpwstr>https://linkprotect.cudasvc.com/url?a=https%3a%2f%2fwww.cbd.int%2fdoc%2fmeetings%2fbs%2fbsgflr-01%2finformation%2fbsgflr-01-inf-01-en.pdf&amp;c=E,1,dhthwi5vPTzIsC3DpzSa34X6aAnQStZ3OFfMaCpKlokJfqT37k6nFP7OySNv8kYfNUHidGycxmIkO6lK6hCjhWHUzpogQ_iLOFQOHY4Q&amp;typo=1</vt:lpwstr>
      </vt:variant>
      <vt:variant>
        <vt:lpwstr/>
      </vt:variant>
      <vt:variant>
        <vt:i4>4653072</vt:i4>
      </vt:variant>
      <vt:variant>
        <vt:i4>210</vt:i4>
      </vt:variant>
      <vt:variant>
        <vt:i4>0</vt:i4>
      </vt:variant>
      <vt:variant>
        <vt:i4>5</vt:i4>
      </vt:variant>
      <vt:variant>
        <vt:lpwstr>https://www.cbd.int/doc/meetings/bs/bswglr-03/information/bswglr-03-inf-05-en.pdf</vt:lpwstr>
      </vt:variant>
      <vt:variant>
        <vt:lpwstr/>
      </vt:variant>
      <vt:variant>
        <vt:i4>4522000</vt:i4>
      </vt:variant>
      <vt:variant>
        <vt:i4>207</vt:i4>
      </vt:variant>
      <vt:variant>
        <vt:i4>0</vt:i4>
      </vt:variant>
      <vt:variant>
        <vt:i4>5</vt:i4>
      </vt:variant>
      <vt:variant>
        <vt:lpwstr>https://www.cbd.int/doc/meetings/bs/bswglr-02/information/bswglr-02-inf-07-en.pdf</vt:lpwstr>
      </vt:variant>
      <vt:variant>
        <vt:lpwstr/>
      </vt:variant>
      <vt:variant>
        <vt:i4>3276836</vt:i4>
      </vt:variant>
      <vt:variant>
        <vt:i4>204</vt:i4>
      </vt:variant>
      <vt:variant>
        <vt:i4>0</vt:i4>
      </vt:variant>
      <vt:variant>
        <vt:i4>5</vt:i4>
      </vt:variant>
      <vt:variant>
        <vt:lpwstr>https://www.cbd.int/doc/meetings/bs/iccp-02/official/iccp-02-03-en.pdf</vt:lpwstr>
      </vt:variant>
      <vt:variant>
        <vt:lpwstr/>
      </vt:variant>
      <vt:variant>
        <vt:i4>2031677</vt:i4>
      </vt:variant>
      <vt:variant>
        <vt:i4>197</vt:i4>
      </vt:variant>
      <vt:variant>
        <vt:i4>0</vt:i4>
      </vt:variant>
      <vt:variant>
        <vt:i4>5</vt:i4>
      </vt:variant>
      <vt:variant>
        <vt:lpwstr/>
      </vt:variant>
      <vt:variant>
        <vt:lpwstr>_Toc82176429</vt:lpwstr>
      </vt:variant>
      <vt:variant>
        <vt:i4>1966141</vt:i4>
      </vt:variant>
      <vt:variant>
        <vt:i4>191</vt:i4>
      </vt:variant>
      <vt:variant>
        <vt:i4>0</vt:i4>
      </vt:variant>
      <vt:variant>
        <vt:i4>5</vt:i4>
      </vt:variant>
      <vt:variant>
        <vt:lpwstr/>
      </vt:variant>
      <vt:variant>
        <vt:lpwstr>_Toc82176428</vt:lpwstr>
      </vt:variant>
      <vt:variant>
        <vt:i4>1114173</vt:i4>
      </vt:variant>
      <vt:variant>
        <vt:i4>185</vt:i4>
      </vt:variant>
      <vt:variant>
        <vt:i4>0</vt:i4>
      </vt:variant>
      <vt:variant>
        <vt:i4>5</vt:i4>
      </vt:variant>
      <vt:variant>
        <vt:lpwstr/>
      </vt:variant>
      <vt:variant>
        <vt:lpwstr>_Toc82176427</vt:lpwstr>
      </vt:variant>
      <vt:variant>
        <vt:i4>1048637</vt:i4>
      </vt:variant>
      <vt:variant>
        <vt:i4>179</vt:i4>
      </vt:variant>
      <vt:variant>
        <vt:i4>0</vt:i4>
      </vt:variant>
      <vt:variant>
        <vt:i4>5</vt:i4>
      </vt:variant>
      <vt:variant>
        <vt:lpwstr/>
      </vt:variant>
      <vt:variant>
        <vt:lpwstr>_Toc82176426</vt:lpwstr>
      </vt:variant>
      <vt:variant>
        <vt:i4>1245245</vt:i4>
      </vt:variant>
      <vt:variant>
        <vt:i4>173</vt:i4>
      </vt:variant>
      <vt:variant>
        <vt:i4>0</vt:i4>
      </vt:variant>
      <vt:variant>
        <vt:i4>5</vt:i4>
      </vt:variant>
      <vt:variant>
        <vt:lpwstr/>
      </vt:variant>
      <vt:variant>
        <vt:lpwstr>_Toc82176425</vt:lpwstr>
      </vt:variant>
      <vt:variant>
        <vt:i4>1179709</vt:i4>
      </vt:variant>
      <vt:variant>
        <vt:i4>167</vt:i4>
      </vt:variant>
      <vt:variant>
        <vt:i4>0</vt:i4>
      </vt:variant>
      <vt:variant>
        <vt:i4>5</vt:i4>
      </vt:variant>
      <vt:variant>
        <vt:lpwstr/>
      </vt:variant>
      <vt:variant>
        <vt:lpwstr>_Toc82176424</vt:lpwstr>
      </vt:variant>
      <vt:variant>
        <vt:i4>1376317</vt:i4>
      </vt:variant>
      <vt:variant>
        <vt:i4>161</vt:i4>
      </vt:variant>
      <vt:variant>
        <vt:i4>0</vt:i4>
      </vt:variant>
      <vt:variant>
        <vt:i4>5</vt:i4>
      </vt:variant>
      <vt:variant>
        <vt:lpwstr/>
      </vt:variant>
      <vt:variant>
        <vt:lpwstr>_Toc82176423</vt:lpwstr>
      </vt:variant>
      <vt:variant>
        <vt:i4>1310781</vt:i4>
      </vt:variant>
      <vt:variant>
        <vt:i4>155</vt:i4>
      </vt:variant>
      <vt:variant>
        <vt:i4>0</vt:i4>
      </vt:variant>
      <vt:variant>
        <vt:i4>5</vt:i4>
      </vt:variant>
      <vt:variant>
        <vt:lpwstr/>
      </vt:variant>
      <vt:variant>
        <vt:lpwstr>_Toc82176422</vt:lpwstr>
      </vt:variant>
      <vt:variant>
        <vt:i4>1507389</vt:i4>
      </vt:variant>
      <vt:variant>
        <vt:i4>149</vt:i4>
      </vt:variant>
      <vt:variant>
        <vt:i4>0</vt:i4>
      </vt:variant>
      <vt:variant>
        <vt:i4>5</vt:i4>
      </vt:variant>
      <vt:variant>
        <vt:lpwstr/>
      </vt:variant>
      <vt:variant>
        <vt:lpwstr>_Toc82176421</vt:lpwstr>
      </vt:variant>
      <vt:variant>
        <vt:i4>1441853</vt:i4>
      </vt:variant>
      <vt:variant>
        <vt:i4>143</vt:i4>
      </vt:variant>
      <vt:variant>
        <vt:i4>0</vt:i4>
      </vt:variant>
      <vt:variant>
        <vt:i4>5</vt:i4>
      </vt:variant>
      <vt:variant>
        <vt:lpwstr/>
      </vt:variant>
      <vt:variant>
        <vt:lpwstr>_Toc82176420</vt:lpwstr>
      </vt:variant>
      <vt:variant>
        <vt:i4>2031678</vt:i4>
      </vt:variant>
      <vt:variant>
        <vt:i4>137</vt:i4>
      </vt:variant>
      <vt:variant>
        <vt:i4>0</vt:i4>
      </vt:variant>
      <vt:variant>
        <vt:i4>5</vt:i4>
      </vt:variant>
      <vt:variant>
        <vt:lpwstr/>
      </vt:variant>
      <vt:variant>
        <vt:lpwstr>_Toc82176419</vt:lpwstr>
      </vt:variant>
      <vt:variant>
        <vt:i4>1966142</vt:i4>
      </vt:variant>
      <vt:variant>
        <vt:i4>131</vt:i4>
      </vt:variant>
      <vt:variant>
        <vt:i4>0</vt:i4>
      </vt:variant>
      <vt:variant>
        <vt:i4>5</vt:i4>
      </vt:variant>
      <vt:variant>
        <vt:lpwstr/>
      </vt:variant>
      <vt:variant>
        <vt:lpwstr>_Toc82176418</vt:lpwstr>
      </vt:variant>
      <vt:variant>
        <vt:i4>1114174</vt:i4>
      </vt:variant>
      <vt:variant>
        <vt:i4>125</vt:i4>
      </vt:variant>
      <vt:variant>
        <vt:i4>0</vt:i4>
      </vt:variant>
      <vt:variant>
        <vt:i4>5</vt:i4>
      </vt:variant>
      <vt:variant>
        <vt:lpwstr/>
      </vt:variant>
      <vt:variant>
        <vt:lpwstr>_Toc82176417</vt:lpwstr>
      </vt:variant>
      <vt:variant>
        <vt:i4>1048638</vt:i4>
      </vt:variant>
      <vt:variant>
        <vt:i4>119</vt:i4>
      </vt:variant>
      <vt:variant>
        <vt:i4>0</vt:i4>
      </vt:variant>
      <vt:variant>
        <vt:i4>5</vt:i4>
      </vt:variant>
      <vt:variant>
        <vt:lpwstr/>
      </vt:variant>
      <vt:variant>
        <vt:lpwstr>_Toc82176416</vt:lpwstr>
      </vt:variant>
      <vt:variant>
        <vt:i4>1245246</vt:i4>
      </vt:variant>
      <vt:variant>
        <vt:i4>113</vt:i4>
      </vt:variant>
      <vt:variant>
        <vt:i4>0</vt:i4>
      </vt:variant>
      <vt:variant>
        <vt:i4>5</vt:i4>
      </vt:variant>
      <vt:variant>
        <vt:lpwstr/>
      </vt:variant>
      <vt:variant>
        <vt:lpwstr>_Toc82176415</vt:lpwstr>
      </vt:variant>
      <vt:variant>
        <vt:i4>1179710</vt:i4>
      </vt:variant>
      <vt:variant>
        <vt:i4>107</vt:i4>
      </vt:variant>
      <vt:variant>
        <vt:i4>0</vt:i4>
      </vt:variant>
      <vt:variant>
        <vt:i4>5</vt:i4>
      </vt:variant>
      <vt:variant>
        <vt:lpwstr/>
      </vt:variant>
      <vt:variant>
        <vt:lpwstr>_Toc82176414</vt:lpwstr>
      </vt:variant>
      <vt:variant>
        <vt:i4>1376318</vt:i4>
      </vt:variant>
      <vt:variant>
        <vt:i4>101</vt:i4>
      </vt:variant>
      <vt:variant>
        <vt:i4>0</vt:i4>
      </vt:variant>
      <vt:variant>
        <vt:i4>5</vt:i4>
      </vt:variant>
      <vt:variant>
        <vt:lpwstr/>
      </vt:variant>
      <vt:variant>
        <vt:lpwstr>_Toc82176413</vt:lpwstr>
      </vt:variant>
      <vt:variant>
        <vt:i4>1310782</vt:i4>
      </vt:variant>
      <vt:variant>
        <vt:i4>95</vt:i4>
      </vt:variant>
      <vt:variant>
        <vt:i4>0</vt:i4>
      </vt:variant>
      <vt:variant>
        <vt:i4>5</vt:i4>
      </vt:variant>
      <vt:variant>
        <vt:lpwstr/>
      </vt:variant>
      <vt:variant>
        <vt:lpwstr>_Toc82176412</vt:lpwstr>
      </vt:variant>
      <vt:variant>
        <vt:i4>1507390</vt:i4>
      </vt:variant>
      <vt:variant>
        <vt:i4>89</vt:i4>
      </vt:variant>
      <vt:variant>
        <vt:i4>0</vt:i4>
      </vt:variant>
      <vt:variant>
        <vt:i4>5</vt:i4>
      </vt:variant>
      <vt:variant>
        <vt:lpwstr/>
      </vt:variant>
      <vt:variant>
        <vt:lpwstr>_Toc82176411</vt:lpwstr>
      </vt:variant>
      <vt:variant>
        <vt:i4>1441854</vt:i4>
      </vt:variant>
      <vt:variant>
        <vt:i4>83</vt:i4>
      </vt:variant>
      <vt:variant>
        <vt:i4>0</vt:i4>
      </vt:variant>
      <vt:variant>
        <vt:i4>5</vt:i4>
      </vt:variant>
      <vt:variant>
        <vt:lpwstr/>
      </vt:variant>
      <vt:variant>
        <vt:lpwstr>_Toc82176410</vt:lpwstr>
      </vt:variant>
      <vt:variant>
        <vt:i4>2031679</vt:i4>
      </vt:variant>
      <vt:variant>
        <vt:i4>77</vt:i4>
      </vt:variant>
      <vt:variant>
        <vt:i4>0</vt:i4>
      </vt:variant>
      <vt:variant>
        <vt:i4>5</vt:i4>
      </vt:variant>
      <vt:variant>
        <vt:lpwstr/>
      </vt:variant>
      <vt:variant>
        <vt:lpwstr>_Toc82176409</vt:lpwstr>
      </vt:variant>
      <vt:variant>
        <vt:i4>1966143</vt:i4>
      </vt:variant>
      <vt:variant>
        <vt:i4>71</vt:i4>
      </vt:variant>
      <vt:variant>
        <vt:i4>0</vt:i4>
      </vt:variant>
      <vt:variant>
        <vt:i4>5</vt:i4>
      </vt:variant>
      <vt:variant>
        <vt:lpwstr/>
      </vt:variant>
      <vt:variant>
        <vt:lpwstr>_Toc82176408</vt:lpwstr>
      </vt:variant>
      <vt:variant>
        <vt:i4>1114175</vt:i4>
      </vt:variant>
      <vt:variant>
        <vt:i4>65</vt:i4>
      </vt:variant>
      <vt:variant>
        <vt:i4>0</vt:i4>
      </vt:variant>
      <vt:variant>
        <vt:i4>5</vt:i4>
      </vt:variant>
      <vt:variant>
        <vt:lpwstr/>
      </vt:variant>
      <vt:variant>
        <vt:lpwstr>_Toc82176407</vt:lpwstr>
      </vt:variant>
      <vt:variant>
        <vt:i4>1048639</vt:i4>
      </vt:variant>
      <vt:variant>
        <vt:i4>59</vt:i4>
      </vt:variant>
      <vt:variant>
        <vt:i4>0</vt:i4>
      </vt:variant>
      <vt:variant>
        <vt:i4>5</vt:i4>
      </vt:variant>
      <vt:variant>
        <vt:lpwstr/>
      </vt:variant>
      <vt:variant>
        <vt:lpwstr>_Toc82176406</vt:lpwstr>
      </vt:variant>
      <vt:variant>
        <vt:i4>1245247</vt:i4>
      </vt:variant>
      <vt:variant>
        <vt:i4>53</vt:i4>
      </vt:variant>
      <vt:variant>
        <vt:i4>0</vt:i4>
      </vt:variant>
      <vt:variant>
        <vt:i4>5</vt:i4>
      </vt:variant>
      <vt:variant>
        <vt:lpwstr/>
      </vt:variant>
      <vt:variant>
        <vt:lpwstr>_Toc82176405</vt:lpwstr>
      </vt:variant>
      <vt:variant>
        <vt:i4>1179711</vt:i4>
      </vt:variant>
      <vt:variant>
        <vt:i4>47</vt:i4>
      </vt:variant>
      <vt:variant>
        <vt:i4>0</vt:i4>
      </vt:variant>
      <vt:variant>
        <vt:i4>5</vt:i4>
      </vt:variant>
      <vt:variant>
        <vt:lpwstr/>
      </vt:variant>
      <vt:variant>
        <vt:lpwstr>_Toc82176404</vt:lpwstr>
      </vt:variant>
      <vt:variant>
        <vt:i4>1376319</vt:i4>
      </vt:variant>
      <vt:variant>
        <vt:i4>41</vt:i4>
      </vt:variant>
      <vt:variant>
        <vt:i4>0</vt:i4>
      </vt:variant>
      <vt:variant>
        <vt:i4>5</vt:i4>
      </vt:variant>
      <vt:variant>
        <vt:lpwstr/>
      </vt:variant>
      <vt:variant>
        <vt:lpwstr>_Toc82176403</vt:lpwstr>
      </vt:variant>
      <vt:variant>
        <vt:i4>1310783</vt:i4>
      </vt:variant>
      <vt:variant>
        <vt:i4>35</vt:i4>
      </vt:variant>
      <vt:variant>
        <vt:i4>0</vt:i4>
      </vt:variant>
      <vt:variant>
        <vt:i4>5</vt:i4>
      </vt:variant>
      <vt:variant>
        <vt:lpwstr/>
      </vt:variant>
      <vt:variant>
        <vt:lpwstr>_Toc82176402</vt:lpwstr>
      </vt:variant>
      <vt:variant>
        <vt:i4>1507391</vt:i4>
      </vt:variant>
      <vt:variant>
        <vt:i4>29</vt:i4>
      </vt:variant>
      <vt:variant>
        <vt:i4>0</vt:i4>
      </vt:variant>
      <vt:variant>
        <vt:i4>5</vt:i4>
      </vt:variant>
      <vt:variant>
        <vt:lpwstr/>
      </vt:variant>
      <vt:variant>
        <vt:lpwstr>_Toc82176401</vt:lpwstr>
      </vt:variant>
      <vt:variant>
        <vt:i4>1441855</vt:i4>
      </vt:variant>
      <vt:variant>
        <vt:i4>23</vt:i4>
      </vt:variant>
      <vt:variant>
        <vt:i4>0</vt:i4>
      </vt:variant>
      <vt:variant>
        <vt:i4>5</vt:i4>
      </vt:variant>
      <vt:variant>
        <vt:lpwstr/>
      </vt:variant>
      <vt:variant>
        <vt:lpwstr>_Toc82176400</vt:lpwstr>
      </vt:variant>
      <vt:variant>
        <vt:i4>1572918</vt:i4>
      </vt:variant>
      <vt:variant>
        <vt:i4>17</vt:i4>
      </vt:variant>
      <vt:variant>
        <vt:i4>0</vt:i4>
      </vt:variant>
      <vt:variant>
        <vt:i4>5</vt:i4>
      </vt:variant>
      <vt:variant>
        <vt:lpwstr/>
      </vt:variant>
      <vt:variant>
        <vt:lpwstr>_Toc82176399</vt:lpwstr>
      </vt:variant>
      <vt:variant>
        <vt:i4>1638454</vt:i4>
      </vt:variant>
      <vt:variant>
        <vt:i4>11</vt:i4>
      </vt:variant>
      <vt:variant>
        <vt:i4>0</vt:i4>
      </vt:variant>
      <vt:variant>
        <vt:i4>5</vt:i4>
      </vt:variant>
      <vt:variant>
        <vt:lpwstr/>
      </vt:variant>
      <vt:variant>
        <vt:lpwstr>_Toc82176398</vt:lpwstr>
      </vt:variant>
      <vt:variant>
        <vt:i4>1441846</vt:i4>
      </vt:variant>
      <vt:variant>
        <vt:i4>5</vt:i4>
      </vt:variant>
      <vt:variant>
        <vt:i4>0</vt:i4>
      </vt:variant>
      <vt:variant>
        <vt:i4>5</vt:i4>
      </vt:variant>
      <vt:variant>
        <vt:lpwstr/>
      </vt:variant>
      <vt:variant>
        <vt:lpwstr>_Toc82176397</vt:lpwstr>
      </vt:variant>
      <vt:variant>
        <vt:i4>7405616</vt:i4>
      </vt:variant>
      <vt:variant>
        <vt:i4>0</vt:i4>
      </vt:variant>
      <vt:variant>
        <vt:i4>0</vt:i4>
      </vt:variant>
      <vt:variant>
        <vt:i4>5</vt:i4>
      </vt:variant>
      <vt:variant>
        <vt:lpwstr>https://www.cbd.int/doc/decisions/cp-mop-09/cp-mop-09-dec-15-en.pdf</vt:lpwstr>
      </vt:variant>
      <vt:variant>
        <vt:lpwstr/>
      </vt:variant>
      <vt:variant>
        <vt:i4>4522005</vt:i4>
      </vt:variant>
      <vt:variant>
        <vt:i4>60</vt:i4>
      </vt:variant>
      <vt:variant>
        <vt:i4>0</vt:i4>
      </vt:variant>
      <vt:variant>
        <vt:i4>5</vt:i4>
      </vt:variant>
      <vt:variant>
        <vt:lpwstr>https://www.kokairport.fi/files/6</vt:lpwstr>
      </vt:variant>
      <vt:variant>
        <vt:lpwstr/>
      </vt:variant>
      <vt:variant>
        <vt:i4>7405689</vt:i4>
      </vt:variant>
      <vt:variant>
        <vt:i4>57</vt:i4>
      </vt:variant>
      <vt:variant>
        <vt:i4>0</vt:i4>
      </vt:variant>
      <vt:variant>
        <vt:i4>5</vt:i4>
      </vt:variant>
      <vt:variant>
        <vt:lpwstr>https://www.sungeneral.net/images/policies/machinery-breakdown/SPECIMEN-Grenada-Machinery-Insurance.pdf</vt:lpwstr>
      </vt:variant>
      <vt:variant>
        <vt:lpwstr/>
      </vt:variant>
      <vt:variant>
        <vt:i4>4718638</vt:i4>
      </vt:variant>
      <vt:variant>
        <vt:i4>54</vt:i4>
      </vt:variant>
      <vt:variant>
        <vt:i4>0</vt:i4>
      </vt:variant>
      <vt:variant>
        <vt:i4>5</vt:i4>
      </vt:variant>
      <vt:variant>
        <vt:lpwstr>https://www.irdai.gov.in/ADMINCMS/cms/Uploadedfiles/21_CGL - Policy Wordings.pdf</vt:lpwstr>
      </vt:variant>
      <vt:variant>
        <vt:lpwstr/>
      </vt:variant>
      <vt:variant>
        <vt:i4>3801088</vt:i4>
      </vt:variant>
      <vt:variant>
        <vt:i4>51</vt:i4>
      </vt:variant>
      <vt:variant>
        <vt:i4>0</vt:i4>
      </vt:variant>
      <vt:variant>
        <vt:i4>5</vt:i4>
      </vt:variant>
      <vt:variant>
        <vt:lpwstr>https://axa.co.id/wp-content/uploads/axagi/download_center/file/Policy_Wording_SmartTraveller-bilingual-update-merged.pdf</vt:lpwstr>
      </vt:variant>
      <vt:variant>
        <vt:lpwstr/>
      </vt:variant>
      <vt:variant>
        <vt:i4>4849688</vt:i4>
      </vt:variant>
      <vt:variant>
        <vt:i4>48</vt:i4>
      </vt:variant>
      <vt:variant>
        <vt:i4>0</vt:i4>
      </vt:variant>
      <vt:variant>
        <vt:i4>5</vt:i4>
      </vt:variant>
      <vt:variant>
        <vt:lpwstr>https://www.idfcfirstbank.com/content/dam/IDFCFirstBank/form-center/business-insurance/Policy-Draft-PDT-LIABILITY.pdf</vt:lpwstr>
      </vt:variant>
      <vt:variant>
        <vt:lpwstr/>
      </vt:variant>
      <vt:variant>
        <vt:i4>6815763</vt:i4>
      </vt:variant>
      <vt:variant>
        <vt:i4>45</vt:i4>
      </vt:variant>
      <vt:variant>
        <vt:i4>0</vt:i4>
      </vt:variant>
      <vt:variant>
        <vt:i4>5</vt:i4>
      </vt:variant>
      <vt:variant>
        <vt:lpwstr>https://www.achmea.com.au/wp-content/uploads/2017/07/Achmea_Australia_Winter_Crop_PDS_2017.pdf</vt:lpwstr>
      </vt:variant>
      <vt:variant>
        <vt:lpwstr/>
      </vt:variant>
      <vt:variant>
        <vt:i4>5570630</vt:i4>
      </vt:variant>
      <vt:variant>
        <vt:i4>42</vt:i4>
      </vt:variant>
      <vt:variant>
        <vt:i4>0</vt:i4>
      </vt:variant>
      <vt:variant>
        <vt:i4>5</vt:i4>
      </vt:variant>
      <vt:variant>
        <vt:lpwstr>https://www.centrewest.com.au/wp-content/uploads/2016/07/IT-Wording-12-09.pdf</vt:lpwstr>
      </vt:variant>
      <vt:variant>
        <vt:lpwstr/>
      </vt:variant>
      <vt:variant>
        <vt:i4>2359416</vt:i4>
      </vt:variant>
      <vt:variant>
        <vt:i4>39</vt:i4>
      </vt:variant>
      <vt:variant>
        <vt:i4>0</vt:i4>
      </vt:variant>
      <vt:variant>
        <vt:i4>5</vt:i4>
      </vt:variant>
      <vt:variant>
        <vt:lpwstr>https://www.bizcover.com.au/wp-content/uploads/2014/07DUAL Public Liability Wording.pdf</vt:lpwstr>
      </vt:variant>
      <vt:variant>
        <vt:lpwstr/>
      </vt:variant>
      <vt:variant>
        <vt:i4>4063290</vt:i4>
      </vt:variant>
      <vt:variant>
        <vt:i4>36</vt:i4>
      </vt:variant>
      <vt:variant>
        <vt:i4>0</vt:i4>
      </vt:variant>
      <vt:variant>
        <vt:i4>5</vt:i4>
      </vt:variant>
      <vt:variant>
        <vt:lpwstr>https://www.foodsafetynews.com/2012/11/ac21-wants-usda-to-investigate-crop-insurance-for-genetic-harm-to-organic-crops/</vt:lpwstr>
      </vt:variant>
      <vt:variant>
        <vt:lpwstr/>
      </vt:variant>
      <vt:variant>
        <vt:i4>5767242</vt:i4>
      </vt:variant>
      <vt:variant>
        <vt:i4>33</vt:i4>
      </vt:variant>
      <vt:variant>
        <vt:i4>0</vt:i4>
      </vt:variant>
      <vt:variant>
        <vt:i4>5</vt:i4>
      </vt:variant>
      <vt:variant>
        <vt:lpwstr>https://research.vu.nl/ws/portalfiles/portal/813537/Yearbook+of+International+Environmental+Law-2011-Etty-318-32.pdf</vt:lpwstr>
      </vt:variant>
      <vt:variant>
        <vt:lpwstr/>
      </vt:variant>
      <vt:variant>
        <vt:i4>6553725</vt:i4>
      </vt:variant>
      <vt:variant>
        <vt:i4>30</vt:i4>
      </vt:variant>
      <vt:variant>
        <vt:i4>0</vt:i4>
      </vt:variant>
      <vt:variant>
        <vt:i4>5</vt:i4>
      </vt:variant>
      <vt:variant>
        <vt:lpwstr>http://www.biodiversitycompact.org/wp-content/uploads/Compact-Second-Amended-Text-with-translation-reference-January-2014-2.pdf</vt:lpwstr>
      </vt:variant>
      <vt:variant>
        <vt:lpwstr/>
      </vt:variant>
      <vt:variant>
        <vt:i4>5242909</vt:i4>
      </vt:variant>
      <vt:variant>
        <vt:i4>27</vt:i4>
      </vt:variant>
      <vt:variant>
        <vt:i4>0</vt:i4>
      </vt:variant>
      <vt:variant>
        <vt:i4>5</vt:i4>
      </vt:variant>
      <vt:variant>
        <vt:lpwstr>https://www.swissre.com/media/news-releases/nr-20200923-biodiversity-and-ecosystems-services.html</vt:lpwstr>
      </vt:variant>
      <vt:variant>
        <vt:lpwstr/>
      </vt:variant>
      <vt:variant>
        <vt:i4>4522068</vt:i4>
      </vt:variant>
      <vt:variant>
        <vt:i4>24</vt:i4>
      </vt:variant>
      <vt:variant>
        <vt:i4>0</vt:i4>
      </vt:variant>
      <vt:variant>
        <vt:i4>5</vt:i4>
      </vt:variant>
      <vt:variant>
        <vt:lpwstr>https://farmanswers.org/Library/OpenItem/5345</vt:lpwstr>
      </vt:variant>
      <vt:variant>
        <vt:lpwstr/>
      </vt:variant>
      <vt:variant>
        <vt:i4>7143535</vt:i4>
      </vt:variant>
      <vt:variant>
        <vt:i4>21</vt:i4>
      </vt:variant>
      <vt:variant>
        <vt:i4>0</vt:i4>
      </vt:variant>
      <vt:variant>
        <vt:i4>5</vt:i4>
      </vt:variant>
      <vt:variant>
        <vt:lpwstr>https://www.irmi.com/docs/default-source/afis-handouts/overview-of-isos-new-farm-insurance-program.pdf?sfvrsn=8</vt:lpwstr>
      </vt:variant>
      <vt:variant>
        <vt:lpwstr/>
      </vt:variant>
      <vt:variant>
        <vt:i4>6750308</vt:i4>
      </vt:variant>
      <vt:variant>
        <vt:i4>18</vt:i4>
      </vt:variant>
      <vt:variant>
        <vt:i4>0</vt:i4>
      </vt:variant>
      <vt:variant>
        <vt:i4>5</vt:i4>
      </vt:variant>
      <vt:variant>
        <vt:lpwstr>https://www.irmi.com/articles/expert-commentary/gmo-primer</vt:lpwstr>
      </vt:variant>
      <vt:variant>
        <vt:lpwstr/>
      </vt:variant>
      <vt:variant>
        <vt:i4>2818132</vt:i4>
      </vt:variant>
      <vt:variant>
        <vt:i4>15</vt:i4>
      </vt:variant>
      <vt:variant>
        <vt:i4>0</vt:i4>
      </vt:variant>
      <vt:variant>
        <vt:i4>5</vt:i4>
      </vt:variant>
      <vt:variant>
        <vt:lpwstr>https://www.usda.gov/sites/default/files/documents/ac21_report-enhancing-coexistence.pdf</vt:lpwstr>
      </vt:variant>
      <vt:variant>
        <vt:lpwstr/>
      </vt:variant>
      <vt:variant>
        <vt:i4>7143535</vt:i4>
      </vt:variant>
      <vt:variant>
        <vt:i4>12</vt:i4>
      </vt:variant>
      <vt:variant>
        <vt:i4>0</vt:i4>
      </vt:variant>
      <vt:variant>
        <vt:i4>5</vt:i4>
      </vt:variant>
      <vt:variant>
        <vt:lpwstr>https://www.irmi.com/docs/default-source/afis-handouts/overview-of-isos-new-farm-insurance-program.pdf?sfvrsn=8</vt:lpwstr>
      </vt:variant>
      <vt:variant>
        <vt:lpwstr/>
      </vt:variant>
      <vt:variant>
        <vt:i4>4653072</vt:i4>
      </vt:variant>
      <vt:variant>
        <vt:i4>9</vt:i4>
      </vt:variant>
      <vt:variant>
        <vt:i4>0</vt:i4>
      </vt:variant>
      <vt:variant>
        <vt:i4>5</vt:i4>
      </vt:variant>
      <vt:variant>
        <vt:lpwstr>https://www.cbd.int/doc/meetings/bs/bswglr-03/information/bswglr-03-inf-05-en.pdf</vt:lpwstr>
      </vt:variant>
      <vt:variant>
        <vt:lpwstr/>
      </vt:variant>
      <vt:variant>
        <vt:i4>2097233</vt:i4>
      </vt:variant>
      <vt:variant>
        <vt:i4>6</vt:i4>
      </vt:variant>
      <vt:variant>
        <vt:i4>0</vt:i4>
      </vt:variant>
      <vt:variant>
        <vt:i4>5</vt:i4>
      </vt:variant>
      <vt:variant>
        <vt:lpwstr>https://linkprotect.cudasvc.com/url?a=https%3a%2f%2fwww.cbd.int%2fdoc%2fmeetings%2fbs%2fbswglr-02%2finformation%2fbswglr-02-inf-07-en.pdf&amp;c=E,1,aU4BnBOHnYbYZj1b6fk4E6heUg3IC6JJQcpoatKPl4KpkkNPVcBl-uQMwRjwr07ZMWuJ1x2C1TndAg0BZILqWvtQr-7E24iM_Gr8rubL959m8nm_LZVq&amp;typo=1</vt:lpwstr>
      </vt:variant>
      <vt:variant>
        <vt:lpwstr/>
      </vt:variant>
      <vt:variant>
        <vt:i4>1835084</vt:i4>
      </vt:variant>
      <vt:variant>
        <vt:i4>3</vt:i4>
      </vt:variant>
      <vt:variant>
        <vt:i4>0</vt:i4>
      </vt:variant>
      <vt:variant>
        <vt:i4>5</vt:i4>
      </vt:variant>
      <vt:variant>
        <vt:lpwstr>http://bch.cbd.int/protocol/supplementary/Study.shtml</vt:lpwstr>
      </vt:variant>
      <vt:variant>
        <vt:lpwstr/>
      </vt:variant>
      <vt:variant>
        <vt:i4>4521988</vt:i4>
      </vt:variant>
      <vt:variant>
        <vt:i4>0</vt:i4>
      </vt:variant>
      <vt:variant>
        <vt:i4>0</vt:i4>
      </vt:variant>
      <vt:variant>
        <vt:i4>5</vt:i4>
      </vt:variant>
      <vt:variant>
        <vt:lpwstr>https://www.cbd.int/doc/notifications/2021/ntf-2021-038-bs-en.pdf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on financial security mechanisms (Article 10 of the Nagoya – Kuala Lumpur Supplementary Protocol on Liability and Redress)</dc:title>
  <dc:subject>CBD/CP/MOP/10/INF/1</dc:subject>
  <dc:creator>SCBD</dc:creator>
  <cp:keywords>Conference of the Parties serving as the meeting of the Parties to the Cartagena Protocol on Biosafety, Tenth meeting, Kunming, China, 11-15 October 2021 and 25 April to 8 May 2022</cp:keywords>
  <cp:lastModifiedBy>Orestes Plasencia</cp:lastModifiedBy>
  <cp:revision>4</cp:revision>
  <dcterms:created xsi:type="dcterms:W3CDTF">2021-10-20T23:40:00Z</dcterms:created>
  <dcterms:modified xsi:type="dcterms:W3CDTF">2021-10-20T23:41:00Z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