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461"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
        <w:gridCol w:w="3892"/>
        <w:gridCol w:w="5471"/>
      </w:tblGrid>
      <w:tr w:rsidR="00A96B21" w:rsidRPr="00EA442C" w14:paraId="2927B0C6" w14:textId="77777777" w:rsidTr="00137187">
        <w:trPr>
          <w:trHeight w:val="851"/>
        </w:trPr>
        <w:tc>
          <w:tcPr>
            <w:tcW w:w="477" w:type="pct"/>
            <w:tcBorders>
              <w:bottom w:val="single" w:sz="8" w:space="0" w:color="auto"/>
            </w:tcBorders>
            <w:vAlign w:val="bottom"/>
          </w:tcPr>
          <w:p w14:paraId="2DCBCCB8" w14:textId="77777777" w:rsidR="00A96B21" w:rsidRPr="00550DCE" w:rsidRDefault="00A96B21" w:rsidP="00335F76">
            <w:pPr>
              <w:spacing w:after="120"/>
              <w:jc w:val="left"/>
            </w:pPr>
            <w:bookmarkStart w:id="0" w:name="_Hlk137651738"/>
            <w:r w:rsidRPr="00550DCE">
              <w:rPr>
                <w:noProof/>
              </w:rPr>
              <w:drawing>
                <wp:inline distT="0" distB="0" distL="0" distR="0" wp14:anchorId="2B19C010" wp14:editId="15E9F6E3">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80" w:type="pct"/>
            <w:tcBorders>
              <w:bottom w:val="single" w:sz="8" w:space="0" w:color="auto"/>
            </w:tcBorders>
            <w:shd w:val="clear" w:color="auto" w:fill="auto"/>
            <w:tcFitText/>
            <w:vAlign w:val="bottom"/>
          </w:tcPr>
          <w:p w14:paraId="7E7987B5" w14:textId="77777777" w:rsidR="00A96B21" w:rsidRPr="00550DCE" w:rsidRDefault="00A96B21" w:rsidP="00335F76">
            <w:pPr>
              <w:spacing w:after="120"/>
              <w:jc w:val="left"/>
            </w:pPr>
            <w:r w:rsidRPr="00BA4A53">
              <w:rPr>
                <w:noProof/>
              </w:rPr>
              <w:drawing>
                <wp:inline distT="0" distB="0" distL="0" distR="0" wp14:anchorId="4BB12A78" wp14:editId="1BD28EB3">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643" w:type="pct"/>
            <w:tcBorders>
              <w:bottom w:val="single" w:sz="8" w:space="0" w:color="auto"/>
            </w:tcBorders>
            <w:vAlign w:val="bottom"/>
          </w:tcPr>
          <w:p w14:paraId="175814EE" w14:textId="2FB84C59" w:rsidR="00A96B21" w:rsidRPr="00550DCE" w:rsidRDefault="00A96B21" w:rsidP="00184909">
            <w:pPr>
              <w:spacing w:after="120"/>
              <w:ind w:left="2021"/>
              <w:jc w:val="right"/>
              <w:rPr>
                <w:szCs w:val="22"/>
              </w:rPr>
            </w:pPr>
            <w:r w:rsidRPr="00550DCE">
              <w:rPr>
                <w:sz w:val="40"/>
                <w:szCs w:val="40"/>
              </w:rPr>
              <w:t>CBD</w:t>
            </w:r>
            <w:r w:rsidRPr="00550DCE">
              <w:rPr>
                <w:szCs w:val="22"/>
              </w:rPr>
              <w:t>/</w:t>
            </w:r>
            <w:r w:rsidR="003E0A26">
              <w:rPr>
                <w:szCs w:val="22"/>
              </w:rPr>
              <w:t>SBI/4/</w:t>
            </w:r>
            <w:r w:rsidR="002A3FD3">
              <w:rPr>
                <w:szCs w:val="22"/>
              </w:rPr>
              <w:t>8</w:t>
            </w:r>
          </w:p>
        </w:tc>
      </w:tr>
      <w:tr w:rsidR="00A96B21" w:rsidRPr="00EA442C" w14:paraId="71EA333B" w14:textId="77777777" w:rsidTr="00137187">
        <w:tc>
          <w:tcPr>
            <w:tcW w:w="2357" w:type="pct"/>
            <w:gridSpan w:val="2"/>
            <w:tcBorders>
              <w:top w:val="single" w:sz="8" w:space="0" w:color="auto"/>
              <w:bottom w:val="single" w:sz="12" w:space="0" w:color="auto"/>
            </w:tcBorders>
          </w:tcPr>
          <w:p w14:paraId="72B56C40" w14:textId="77777777" w:rsidR="00A96B21" w:rsidRPr="00550DCE" w:rsidRDefault="00A96B21" w:rsidP="00335F76">
            <w:pPr>
              <w:pStyle w:val="Cornernotation"/>
              <w:suppressLineNumbers/>
              <w:suppressAutoHyphens/>
              <w:spacing w:before="120" w:after="120"/>
              <w:ind w:left="0" w:right="0" w:firstLine="0"/>
            </w:pPr>
            <w:r w:rsidRPr="00550DCE">
              <w:rPr>
                <w:b w:val="0"/>
                <w:bCs/>
                <w:noProof/>
              </w:rPr>
              <w:drawing>
                <wp:inline distT="0" distB="0" distL="0" distR="0" wp14:anchorId="1C3E0A24" wp14:editId="1317C8DE">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643" w:type="pct"/>
            <w:tcBorders>
              <w:top w:val="single" w:sz="8" w:space="0" w:color="auto"/>
              <w:bottom w:val="single" w:sz="12" w:space="0" w:color="auto"/>
            </w:tcBorders>
          </w:tcPr>
          <w:p w14:paraId="3506C8AA" w14:textId="77777777" w:rsidR="00A96B21" w:rsidRPr="003C6F10" w:rsidRDefault="00A96B21" w:rsidP="00AA7DB8">
            <w:pPr>
              <w:ind w:left="2805"/>
              <w:rPr>
                <w:sz w:val="22"/>
                <w:szCs w:val="22"/>
              </w:rPr>
            </w:pPr>
            <w:r w:rsidRPr="003C6F10">
              <w:rPr>
                <w:sz w:val="22"/>
                <w:szCs w:val="22"/>
              </w:rPr>
              <w:t>Distr.: General</w:t>
            </w:r>
          </w:p>
          <w:p w14:paraId="604CED82" w14:textId="32E5C9D2" w:rsidR="00A96B21" w:rsidRPr="003C6F10" w:rsidRDefault="00C513BF" w:rsidP="00AA7DB8">
            <w:pPr>
              <w:ind w:left="2805"/>
              <w:rPr>
                <w:sz w:val="22"/>
                <w:szCs w:val="22"/>
              </w:rPr>
            </w:pPr>
            <w:r>
              <w:rPr>
                <w:sz w:val="22"/>
                <w:szCs w:val="22"/>
              </w:rPr>
              <w:t xml:space="preserve">31 </w:t>
            </w:r>
            <w:r w:rsidR="0025484C">
              <w:rPr>
                <w:sz w:val="22"/>
                <w:szCs w:val="22"/>
              </w:rPr>
              <w:t>March</w:t>
            </w:r>
            <w:r w:rsidR="00A96B21" w:rsidRPr="003C6F10">
              <w:rPr>
                <w:sz w:val="22"/>
                <w:szCs w:val="22"/>
              </w:rPr>
              <w:t xml:space="preserve"> 202</w:t>
            </w:r>
            <w:r w:rsidR="0092346F">
              <w:rPr>
                <w:sz w:val="22"/>
                <w:szCs w:val="22"/>
              </w:rPr>
              <w:t>4</w:t>
            </w:r>
          </w:p>
          <w:p w14:paraId="02408692" w14:textId="77777777" w:rsidR="00A96B21" w:rsidRPr="003C6F10" w:rsidRDefault="00A96B21" w:rsidP="00AA7DB8">
            <w:pPr>
              <w:ind w:left="2805"/>
              <w:rPr>
                <w:sz w:val="22"/>
                <w:szCs w:val="22"/>
              </w:rPr>
            </w:pPr>
          </w:p>
          <w:p w14:paraId="00774990" w14:textId="77777777" w:rsidR="00A96B21" w:rsidRPr="003C6F10" w:rsidRDefault="00A96B21" w:rsidP="00AA7DB8">
            <w:pPr>
              <w:ind w:left="2805"/>
              <w:rPr>
                <w:sz w:val="22"/>
                <w:szCs w:val="22"/>
              </w:rPr>
            </w:pPr>
            <w:r w:rsidRPr="003C6F10">
              <w:rPr>
                <w:sz w:val="22"/>
                <w:szCs w:val="22"/>
              </w:rPr>
              <w:t>Original: English</w:t>
            </w:r>
          </w:p>
          <w:p w14:paraId="7B4DC778" w14:textId="77777777" w:rsidR="00A96B21" w:rsidRPr="00550DCE" w:rsidRDefault="00A96B21" w:rsidP="00335F76"/>
        </w:tc>
      </w:tr>
    </w:tbl>
    <w:p w14:paraId="40BC5A24" w14:textId="77777777" w:rsidR="00874541" w:rsidRDefault="003E0A26" w:rsidP="00A96B21">
      <w:pPr>
        <w:pStyle w:val="Cornernotation"/>
        <w:rPr>
          <w:bCs/>
        </w:rPr>
      </w:pPr>
      <w:r>
        <w:rPr>
          <w:bCs/>
        </w:rPr>
        <w:t>Subsidiary Body on Implementation</w:t>
      </w:r>
    </w:p>
    <w:p w14:paraId="14DAECB9" w14:textId="77777777" w:rsidR="00A96B21" w:rsidRDefault="003E0A26" w:rsidP="00A96B21">
      <w:pPr>
        <w:pStyle w:val="Cornernotation"/>
        <w:rPr>
          <w:bCs/>
          <w:sz w:val="22"/>
          <w:szCs w:val="22"/>
        </w:rPr>
      </w:pPr>
      <w:r>
        <w:rPr>
          <w:bCs/>
          <w:sz w:val="22"/>
          <w:szCs w:val="22"/>
        </w:rPr>
        <w:t>Fourth</w:t>
      </w:r>
      <w:r w:rsidR="00A96B21" w:rsidRPr="00A96B21">
        <w:rPr>
          <w:bCs/>
          <w:sz w:val="22"/>
          <w:szCs w:val="22"/>
        </w:rPr>
        <w:t xml:space="preserve"> meeting </w:t>
      </w:r>
    </w:p>
    <w:p w14:paraId="2DB84049" w14:textId="4E9B0570" w:rsidR="00A96B21" w:rsidRPr="00935461" w:rsidRDefault="003E0A26" w:rsidP="00A96B21">
      <w:pPr>
        <w:pStyle w:val="Venuedate"/>
        <w:rPr>
          <w:lang w:val="en-CA"/>
        </w:rPr>
      </w:pPr>
      <w:r>
        <w:rPr>
          <w:lang w:val="en-CA"/>
        </w:rPr>
        <w:t>Nairobi</w:t>
      </w:r>
      <w:r w:rsidR="00A96B21" w:rsidRPr="00935461">
        <w:rPr>
          <w:lang w:val="en-CA"/>
        </w:rPr>
        <w:t xml:space="preserve">, </w:t>
      </w:r>
      <w:r>
        <w:rPr>
          <w:lang w:val="en-CA"/>
        </w:rPr>
        <w:t>21–29 May 202</w:t>
      </w:r>
      <w:r w:rsidR="00AC665D">
        <w:rPr>
          <w:lang w:val="en-CA"/>
        </w:rPr>
        <w:t>4</w:t>
      </w:r>
    </w:p>
    <w:p w14:paraId="10870A83" w14:textId="3EE32487" w:rsidR="00A96B21" w:rsidRPr="00441498" w:rsidRDefault="00A96B21" w:rsidP="00A96B21">
      <w:pPr>
        <w:pStyle w:val="Cornernotation-Item"/>
        <w:rPr>
          <w:b w:val="0"/>
          <w:bCs w:val="0"/>
        </w:rPr>
      </w:pPr>
      <w:r w:rsidRPr="00441498">
        <w:rPr>
          <w:b w:val="0"/>
          <w:bCs w:val="0"/>
        </w:rPr>
        <w:t xml:space="preserve">Item </w:t>
      </w:r>
      <w:r w:rsidR="00B17719">
        <w:rPr>
          <w:b w:val="0"/>
          <w:bCs w:val="0"/>
        </w:rPr>
        <w:t>5</w:t>
      </w:r>
      <w:r w:rsidR="00C93F4E">
        <w:rPr>
          <w:b w:val="0"/>
          <w:bCs w:val="0"/>
        </w:rPr>
        <w:t xml:space="preserve"> (b)</w:t>
      </w:r>
      <w:r w:rsidR="00B17719" w:rsidRPr="00441498">
        <w:rPr>
          <w:b w:val="0"/>
          <w:bCs w:val="0"/>
        </w:rPr>
        <w:t xml:space="preserve"> </w:t>
      </w:r>
      <w:r w:rsidRPr="00441498">
        <w:rPr>
          <w:b w:val="0"/>
          <w:bCs w:val="0"/>
        </w:rPr>
        <w:t>of the provisional agenda</w:t>
      </w:r>
      <w:r w:rsidRPr="00441498">
        <w:rPr>
          <w:rStyle w:val="FootnoteReference"/>
          <w:b w:val="0"/>
          <w:bCs w:val="0"/>
        </w:rPr>
        <w:footnoteReference w:customMarkFollows="1" w:id="2"/>
        <w:t>*</w:t>
      </w:r>
    </w:p>
    <w:p w14:paraId="27AAFCD6" w14:textId="33931CF2" w:rsidR="00A96B21" w:rsidRDefault="00DB1E0E" w:rsidP="00C154D3">
      <w:pPr>
        <w:pStyle w:val="Cornernotation-Item"/>
        <w:ind w:left="0" w:firstLine="0"/>
      </w:pPr>
      <w:r w:rsidRPr="00DB1E0E">
        <w:t>Capacity-building and development, technical and scientific cooperation, the clearing-house mechanism and knowledge management under the Convention and its Protocols</w:t>
      </w:r>
    </w:p>
    <w:bookmarkEnd w:id="0"/>
    <w:p w14:paraId="65B26EE3" w14:textId="4A8E87C0" w:rsidR="00A96B21" w:rsidRDefault="00000000" w:rsidP="00137187">
      <w:pPr>
        <w:pStyle w:val="Title"/>
        <w:jc w:val="left"/>
        <w:rPr>
          <w:rFonts w:hint="eastAsia"/>
        </w:rPr>
      </w:pPr>
      <w:sdt>
        <w:sdtPr>
          <w:alias w:val="Title"/>
          <w:tag w:val=""/>
          <w:id w:val="-1975355689"/>
          <w:placeholder>
            <w:docPart w:val="CC1BE74D5FF14C56B1E32B0FAAAD66AA"/>
          </w:placeholder>
          <w:dataBinding w:prefixMappings="xmlns:ns0='http://purl.org/dc/elements/1.1/' xmlns:ns1='http://schemas.openxmlformats.org/package/2006/metadata/core-properties' " w:xpath="/ns1:coreProperties[1]/ns0:title[1]" w:storeItemID="{6C3C8BC8-F283-45AE-878A-BAB7291924A1}"/>
          <w:text/>
        </w:sdtPr>
        <w:sdtContent>
          <w:r w:rsidR="008C4596">
            <w:t>Draft c</w:t>
          </w:r>
          <w:r w:rsidR="008C4596" w:rsidRPr="00DB1E0E">
            <w:t xml:space="preserve">apacity-building and </w:t>
          </w:r>
          <w:r w:rsidR="008C4596">
            <w:t>d</w:t>
          </w:r>
          <w:r w:rsidR="008C4596" w:rsidRPr="00DB1E0E">
            <w:t xml:space="preserve">evelopment </w:t>
          </w:r>
          <w:r w:rsidR="008C4596">
            <w:t>a</w:t>
          </w:r>
          <w:r w:rsidR="008C4596" w:rsidRPr="00DB1E0E">
            <w:t xml:space="preserve">ction </w:t>
          </w:r>
          <w:r w:rsidR="008C4596">
            <w:t>p</w:t>
          </w:r>
          <w:r w:rsidR="008C4596" w:rsidRPr="00DB1E0E">
            <w:t>lan for the Nagoya Protocol</w:t>
          </w:r>
        </w:sdtContent>
      </w:sdt>
    </w:p>
    <w:p w14:paraId="0954EFCE" w14:textId="77777777" w:rsidR="00A96B21" w:rsidRDefault="00A96B21" w:rsidP="00A96B21">
      <w:pPr>
        <w:pStyle w:val="Subtitle"/>
        <w:spacing w:before="120" w:after="120"/>
        <w:ind w:left="567"/>
        <w:jc w:val="left"/>
        <w:rPr>
          <w:rFonts w:ascii="Times New Roman" w:hAnsi="Times New Roman" w:cs="Times New Roman"/>
          <w:color w:val="auto"/>
        </w:rPr>
      </w:pPr>
      <w:r w:rsidRPr="00A96B21">
        <w:rPr>
          <w:rFonts w:ascii="Times New Roman" w:hAnsi="Times New Roman" w:cs="Times New Roman"/>
          <w:color w:val="auto"/>
        </w:rPr>
        <w:t>Note by the Secretariat</w:t>
      </w:r>
    </w:p>
    <w:p w14:paraId="1A80768C" w14:textId="66CE2DBD" w:rsidR="00FA18C9" w:rsidRDefault="00DB1E0E" w:rsidP="00137187">
      <w:pPr>
        <w:pStyle w:val="Heading1"/>
        <w:ind w:left="567" w:hanging="567"/>
      </w:pPr>
      <w:r>
        <w:t>Introduction</w:t>
      </w:r>
    </w:p>
    <w:p w14:paraId="74D89DCD" w14:textId="348B0B11" w:rsidR="00DB1E0E" w:rsidRDefault="007533C5" w:rsidP="007533C5">
      <w:pPr>
        <w:pStyle w:val="Para1"/>
        <w:ind w:left="540" w:firstLine="27"/>
      </w:pPr>
      <w:r>
        <w:rPr>
          <w:lang w:val="en-GB"/>
        </w:rPr>
        <w:t>I</w:t>
      </w:r>
      <w:r w:rsidRPr="007533C5">
        <w:rPr>
          <w:lang w:val="en-GB"/>
        </w:rPr>
        <w:t xml:space="preserve">n </w:t>
      </w:r>
      <w:r>
        <w:rPr>
          <w:lang w:val="en-GB"/>
        </w:rPr>
        <w:t xml:space="preserve">its </w:t>
      </w:r>
      <w:r w:rsidRPr="007533C5">
        <w:rPr>
          <w:lang w:val="en-GB"/>
        </w:rPr>
        <w:t xml:space="preserve">decision </w:t>
      </w:r>
      <w:hyperlink r:id="rId14" w:history="1">
        <w:r w:rsidRPr="007533C5">
          <w:rPr>
            <w:rStyle w:val="Hyperlink"/>
            <w:lang w:val="en-GB"/>
          </w:rPr>
          <w:t>NP-4/7</w:t>
        </w:r>
      </w:hyperlink>
      <w:r w:rsidRPr="007533C5">
        <w:rPr>
          <w:lang w:val="en-GB"/>
        </w:rPr>
        <w:t xml:space="preserve">, </w:t>
      </w:r>
      <w:r>
        <w:t>t</w:t>
      </w:r>
      <w:r w:rsidR="00DB1E0E">
        <w:t xml:space="preserve">he </w:t>
      </w:r>
      <w:bookmarkStart w:id="1" w:name="_Hlk163069193"/>
      <w:r w:rsidR="00DB1E0E">
        <w:t xml:space="preserve">Conference of the Parties serving as the meeting of the Parties to the </w:t>
      </w:r>
      <w:bookmarkEnd w:id="1"/>
      <w:r w:rsidR="00393A2E">
        <w:t xml:space="preserve">Nagoya </w:t>
      </w:r>
      <w:r w:rsidR="00DB1E0E">
        <w:t>Protocol requested the Executive Secretary to prepare, in consultation with Parties, a revised strategic framework for capacity-building and development</w:t>
      </w:r>
      <w:r w:rsidR="009F3838">
        <w:t xml:space="preserve"> to support the </w:t>
      </w:r>
      <w:r w:rsidR="008917BD">
        <w:t>effective implementation of the Protocol</w:t>
      </w:r>
      <w:r w:rsidR="00A871E3">
        <w:t>,</w:t>
      </w:r>
      <w:r w:rsidR="00586A99">
        <w:rPr>
          <w:rStyle w:val="FootnoteReference"/>
        </w:rPr>
        <w:footnoteReference w:id="3"/>
      </w:r>
      <w:r w:rsidR="00DB1E0E">
        <w:t xml:space="preserve"> in line with the Kunming-Montreal Global Biodiversity Framework</w:t>
      </w:r>
      <w:r w:rsidR="007D4BC2">
        <w:rPr>
          <w:rStyle w:val="FootnoteReference"/>
        </w:rPr>
        <w:footnoteReference w:id="4"/>
      </w:r>
      <w:r w:rsidR="00DB1E0E">
        <w:t xml:space="preserve"> and the long-term strategic framework for capacity-building and development</w:t>
      </w:r>
      <w:r w:rsidR="00C04B6A">
        <w:t xml:space="preserve"> to</w:t>
      </w:r>
      <w:r w:rsidR="000B412D">
        <w:t xml:space="preserve"> </w:t>
      </w:r>
      <w:r w:rsidR="005B7F93">
        <w:t>support the implementation of the Framework</w:t>
      </w:r>
      <w:r w:rsidR="002F3B47">
        <w:t>,</w:t>
      </w:r>
      <w:r w:rsidR="00B65BFB">
        <w:rPr>
          <w:rStyle w:val="FootnoteReference"/>
        </w:rPr>
        <w:footnoteReference w:id="5"/>
      </w:r>
      <w:r w:rsidR="00DB1E0E">
        <w:t xml:space="preserve"> taking into account the findings of the evaluation of the </w:t>
      </w:r>
      <w:r w:rsidR="000857E7">
        <w:t xml:space="preserve">original </w:t>
      </w:r>
      <w:r w:rsidR="00DB1E0E">
        <w:t>strategic framework for capacity-building and development for the Protocol</w:t>
      </w:r>
      <w:r w:rsidR="00D027E5">
        <w:t xml:space="preserve">, </w:t>
      </w:r>
      <w:r w:rsidR="00D027E5" w:rsidRPr="00D027E5">
        <w:t xml:space="preserve">for </w:t>
      </w:r>
      <w:r w:rsidR="00EA335B">
        <w:t xml:space="preserve">the </w:t>
      </w:r>
      <w:r w:rsidR="00D027E5" w:rsidRPr="00D027E5">
        <w:t xml:space="preserve">consideration </w:t>
      </w:r>
      <w:r w:rsidR="00EA335B">
        <w:t>of</w:t>
      </w:r>
      <w:r w:rsidR="00D027E5" w:rsidRPr="00D027E5">
        <w:t xml:space="preserve"> the Subsidiary Body on Implementation at its fourth meeting and for adoption by the Conference of the Parties serving as the meeting of the Parties to the Protocol at its fifth meeting</w:t>
      </w:r>
      <w:r w:rsidR="00D027E5">
        <w:t xml:space="preserve"> (sect</w:t>
      </w:r>
      <w:r w:rsidR="00B20CC7">
        <w:t>.</w:t>
      </w:r>
      <w:r w:rsidR="00D027E5">
        <w:t xml:space="preserve"> A, para. 8),</w:t>
      </w:r>
      <w:r w:rsidR="00586A99">
        <w:t xml:space="preserve"> as well as</w:t>
      </w:r>
      <w:r w:rsidR="00586A99" w:rsidRPr="00586A99">
        <w:t xml:space="preserve"> </w:t>
      </w:r>
      <w:r w:rsidR="00586A99">
        <w:t xml:space="preserve">to consider incorporating elements of the awareness-raising strategy when revising the strategic framework for capacity-building and development </w:t>
      </w:r>
      <w:r w:rsidR="0040650D">
        <w:t xml:space="preserve">for the Protocol </w:t>
      </w:r>
      <w:r w:rsidR="00586A99">
        <w:t>(</w:t>
      </w:r>
      <w:r w:rsidR="00EB181A">
        <w:t xml:space="preserve">sect. </w:t>
      </w:r>
      <w:r w:rsidR="00BC2EE7">
        <w:t>B</w:t>
      </w:r>
      <w:r w:rsidR="00EB181A">
        <w:t xml:space="preserve">, </w:t>
      </w:r>
      <w:r w:rsidR="00586A99">
        <w:t>para. 6).</w:t>
      </w:r>
    </w:p>
    <w:p w14:paraId="52A06238" w14:textId="125D23EA" w:rsidR="00393A2E" w:rsidRDefault="00DB1E0E" w:rsidP="007533C5">
      <w:pPr>
        <w:pStyle w:val="Para1"/>
        <w:ind w:left="540" w:firstLine="27"/>
      </w:pPr>
      <w:r>
        <w:t xml:space="preserve">In </w:t>
      </w:r>
      <w:r w:rsidR="00BF6728">
        <w:t>the same dec</w:t>
      </w:r>
      <w:r w:rsidR="00BA1448">
        <w:t>ision</w:t>
      </w:r>
      <w:r>
        <w:t xml:space="preserve">, the </w:t>
      </w:r>
      <w:r w:rsidR="00D411AF" w:rsidRPr="00D411AF">
        <w:rPr>
          <w:lang w:val="en-GB"/>
        </w:rPr>
        <w:t xml:space="preserve">Conference of the Parties serving as the meeting of the Parties to the </w:t>
      </w:r>
      <w:r w:rsidR="00D411AF">
        <w:rPr>
          <w:lang w:val="en-GB"/>
        </w:rPr>
        <w:t xml:space="preserve">Protocol </w:t>
      </w:r>
      <w:r w:rsidR="00601910">
        <w:rPr>
          <w:lang w:val="en-GB"/>
        </w:rPr>
        <w:t xml:space="preserve">decided to extend the </w:t>
      </w:r>
      <w:r>
        <w:t xml:space="preserve">mandate of the </w:t>
      </w:r>
      <w:r w:rsidR="00101AD9">
        <w:t>I</w:t>
      </w:r>
      <w:r>
        <w:t xml:space="preserve">nformal </w:t>
      </w:r>
      <w:r w:rsidR="00101AD9">
        <w:t>A</w:t>
      </w:r>
      <w:r>
        <w:t xml:space="preserve">dvisory </w:t>
      </w:r>
      <w:r w:rsidR="00101AD9">
        <w:t>C</w:t>
      </w:r>
      <w:r>
        <w:t xml:space="preserve">ommittee on </w:t>
      </w:r>
      <w:r w:rsidR="001C3FCF">
        <w:t>C</w:t>
      </w:r>
      <w:r>
        <w:t xml:space="preserve">apacity-building for the </w:t>
      </w:r>
      <w:r w:rsidR="00C83AD1">
        <w:t>I</w:t>
      </w:r>
      <w:r>
        <w:t xml:space="preserve">mplementation of the </w:t>
      </w:r>
      <w:r w:rsidR="004A2BE5">
        <w:t xml:space="preserve">Nagoya </w:t>
      </w:r>
      <w:r>
        <w:t>Protocol until the fifth meeting of Conference of the Parties serving as the meeting of the Parties to the Protocol</w:t>
      </w:r>
      <w:r w:rsidR="00BA53A3">
        <w:t>;</w:t>
      </w:r>
      <w:r>
        <w:t xml:space="preserve"> </w:t>
      </w:r>
      <w:r w:rsidR="00BA53A3">
        <w:t xml:space="preserve">update </w:t>
      </w:r>
      <w:r>
        <w:t xml:space="preserve">its terms of reference </w:t>
      </w:r>
      <w:r w:rsidR="007533C5">
        <w:t xml:space="preserve"> </w:t>
      </w:r>
      <w:r>
        <w:t>to include supporting the revision and updating of the</w:t>
      </w:r>
      <w:r w:rsidR="003B5672">
        <w:t xml:space="preserve"> original</w:t>
      </w:r>
      <w:r>
        <w:t xml:space="preserve"> strategic framework for capacity-building and development for the Protocol</w:t>
      </w:r>
      <w:r w:rsidR="008763B8">
        <w:t>;</w:t>
      </w:r>
      <w:r>
        <w:t xml:space="preserve"> and </w:t>
      </w:r>
      <w:r w:rsidR="008763B8">
        <w:t xml:space="preserve">expand </w:t>
      </w:r>
      <w:r w:rsidR="00EC1A97">
        <w:t>the</w:t>
      </w:r>
      <w:r w:rsidR="007533C5">
        <w:t xml:space="preserve"> </w:t>
      </w:r>
      <w:r>
        <w:t xml:space="preserve">membership </w:t>
      </w:r>
      <w:r w:rsidR="001404FF">
        <w:t xml:space="preserve">of the Committee </w:t>
      </w:r>
      <w:r>
        <w:t>to include representatives of the business sector, the research community and youth (</w:t>
      </w:r>
      <w:r w:rsidR="00D411AF">
        <w:t xml:space="preserve">sect. A, </w:t>
      </w:r>
      <w:r>
        <w:t>para. 5).</w:t>
      </w:r>
      <w:r w:rsidR="00393A2E">
        <w:t xml:space="preserve"> </w:t>
      </w:r>
      <w:r w:rsidR="001404FF">
        <w:t>Also</w:t>
      </w:r>
      <w:r w:rsidR="00386B44">
        <w:t xml:space="preserve"> in decision NP</w:t>
      </w:r>
      <w:r w:rsidR="00D55CBF">
        <w:t>-</w:t>
      </w:r>
      <w:r w:rsidR="00386B44">
        <w:t>4</w:t>
      </w:r>
      <w:r w:rsidR="00D55CBF">
        <w:t>/</w:t>
      </w:r>
      <w:r w:rsidR="00386B44">
        <w:t>7</w:t>
      </w:r>
      <w:r w:rsidR="00D55CBF">
        <w:t xml:space="preserve">, </w:t>
      </w:r>
      <w:r w:rsidR="003565F8" w:rsidRPr="003565F8">
        <w:rPr>
          <w:lang w:val="en-GB"/>
        </w:rPr>
        <w:t>the Conference of the Parties serving as the meeting of the Parties to the Protocol</w:t>
      </w:r>
      <w:r>
        <w:t xml:space="preserve"> decided that the </w:t>
      </w:r>
      <w:r w:rsidR="007C66BA">
        <w:t>I</w:t>
      </w:r>
      <w:r>
        <w:t xml:space="preserve">nformal </w:t>
      </w:r>
      <w:r w:rsidR="007C66BA">
        <w:t>A</w:t>
      </w:r>
      <w:r>
        <w:t xml:space="preserve">dvisory </w:t>
      </w:r>
      <w:r w:rsidR="007C66BA">
        <w:t>C</w:t>
      </w:r>
      <w:r w:rsidR="00F14595">
        <w:t>omm</w:t>
      </w:r>
      <w:r>
        <w:t xml:space="preserve">ittee </w:t>
      </w:r>
      <w:r w:rsidR="00393A2E">
        <w:t>would</w:t>
      </w:r>
      <w:r>
        <w:t xml:space="preserve"> hold one meeting, and online consultations as needed</w:t>
      </w:r>
      <w:r w:rsidR="00F14595">
        <w:t>,</w:t>
      </w:r>
      <w:r>
        <w:t xml:space="preserve"> </w:t>
      </w:r>
      <w:r w:rsidR="00CA2C2C">
        <w:t xml:space="preserve">to support the revision </w:t>
      </w:r>
      <w:r w:rsidR="00EE772E">
        <w:t xml:space="preserve">and updating </w:t>
      </w:r>
      <w:r w:rsidR="00CA2C2C">
        <w:t xml:space="preserve">of </w:t>
      </w:r>
      <w:r w:rsidR="00DE0678">
        <w:t xml:space="preserve">the strategic framework </w:t>
      </w:r>
      <w:r>
        <w:t>(</w:t>
      </w:r>
      <w:r w:rsidR="007B1826">
        <w:t xml:space="preserve">sect. A, </w:t>
      </w:r>
      <w:r>
        <w:t xml:space="preserve">para. 6). </w:t>
      </w:r>
    </w:p>
    <w:p w14:paraId="3E740E5C" w14:textId="6C208EE3" w:rsidR="00DB1E0E" w:rsidRDefault="00A806EC" w:rsidP="007533C5">
      <w:pPr>
        <w:pStyle w:val="Para1"/>
        <w:ind w:left="540" w:firstLine="27"/>
      </w:pPr>
      <w:r>
        <w:lastRenderedPageBreak/>
        <w:t>In a</w:t>
      </w:r>
      <w:r w:rsidR="001C44EE">
        <w:t>ccord</w:t>
      </w:r>
      <w:r>
        <w:t>ance with decision N</w:t>
      </w:r>
      <w:r w:rsidR="00422B83">
        <w:t>P-4/7</w:t>
      </w:r>
      <w:r w:rsidR="001C44EE">
        <w:t>, t</w:t>
      </w:r>
      <w:r w:rsidR="00DB1E0E">
        <w:t xml:space="preserve">he fifth meeting of the </w:t>
      </w:r>
      <w:r w:rsidR="006E4804">
        <w:t>Informal A</w:t>
      </w:r>
      <w:r w:rsidR="00DB1E0E">
        <w:t xml:space="preserve">dvisory </w:t>
      </w:r>
      <w:r w:rsidR="006E4804">
        <w:t>C</w:t>
      </w:r>
      <w:r w:rsidR="00DB1E0E">
        <w:t xml:space="preserve">ommittee was held </w:t>
      </w:r>
      <w:r w:rsidR="006E4804">
        <w:t xml:space="preserve">in Montreal </w:t>
      </w:r>
      <w:r w:rsidR="00DB1E0E">
        <w:t>from 20 to 22 June 2023</w:t>
      </w:r>
      <w:r w:rsidR="002770EC">
        <w:t>.</w:t>
      </w:r>
      <w:r w:rsidR="00E44B28">
        <w:rPr>
          <w:rStyle w:val="FootnoteReference"/>
        </w:rPr>
        <w:footnoteReference w:id="6"/>
      </w:r>
      <w:r w:rsidR="002770EC">
        <w:t xml:space="preserve"> </w:t>
      </w:r>
      <w:r w:rsidR="00B10C86">
        <w:t xml:space="preserve">In </w:t>
      </w:r>
      <w:r w:rsidR="00BF27C4">
        <w:t>a</w:t>
      </w:r>
      <w:r w:rsidR="002770EC">
        <w:t>ddition,</w:t>
      </w:r>
      <w:r w:rsidR="001C44EE">
        <w:t xml:space="preserve"> </w:t>
      </w:r>
      <w:r w:rsidR="00393A2E">
        <w:t xml:space="preserve">the Secretariat organized a webinar as well as online consultations prior </w:t>
      </w:r>
      <w:r w:rsidR="00E37FB5">
        <w:t>to</w:t>
      </w:r>
      <w:r w:rsidR="00393A2E">
        <w:t xml:space="preserve"> </w:t>
      </w:r>
      <w:r w:rsidR="00787835">
        <w:t xml:space="preserve">and following </w:t>
      </w:r>
      <w:r w:rsidR="00393A2E">
        <w:t>the meeting.</w:t>
      </w:r>
      <w:r w:rsidR="00393A2E">
        <w:rPr>
          <w:rStyle w:val="FootnoteReference"/>
        </w:rPr>
        <w:footnoteReference w:id="7"/>
      </w:r>
    </w:p>
    <w:p w14:paraId="4D73AAA3" w14:textId="74E01F92" w:rsidR="00BF6728" w:rsidRDefault="00BF6481" w:rsidP="007533C5">
      <w:pPr>
        <w:pStyle w:val="Para1"/>
        <w:ind w:left="540" w:firstLine="27"/>
      </w:pPr>
      <w:r>
        <w:t xml:space="preserve">The </w:t>
      </w:r>
      <w:r w:rsidR="006D3210">
        <w:t>C</w:t>
      </w:r>
      <w:r>
        <w:t xml:space="preserve">ommittee considered </w:t>
      </w:r>
      <w:r w:rsidR="00A46EFB">
        <w:t xml:space="preserve">a </w:t>
      </w:r>
      <w:r w:rsidR="00DB1E0E">
        <w:t>draft of</w:t>
      </w:r>
      <w:r w:rsidR="00A8739F">
        <w:t xml:space="preserve"> the</w:t>
      </w:r>
      <w:r w:rsidR="00DB1E0E">
        <w:t xml:space="preserve"> </w:t>
      </w:r>
      <w:r w:rsidR="00E976AB">
        <w:t xml:space="preserve">revised </w:t>
      </w:r>
      <w:r w:rsidR="00EA5FDA">
        <w:t xml:space="preserve">strategic </w:t>
      </w:r>
      <w:r w:rsidR="00E976AB">
        <w:t>framework</w:t>
      </w:r>
      <w:r w:rsidR="00186A91">
        <w:t xml:space="preserve"> for capacity-building and development for the P</w:t>
      </w:r>
      <w:r w:rsidR="00767E8D">
        <w:t>r</w:t>
      </w:r>
      <w:r w:rsidR="00186A91">
        <w:t>o</w:t>
      </w:r>
      <w:r w:rsidR="00767E8D">
        <w:t>t</w:t>
      </w:r>
      <w:r w:rsidR="00186A91">
        <w:t>o</w:t>
      </w:r>
      <w:r w:rsidR="00767E8D">
        <w:t>co</w:t>
      </w:r>
      <w:r w:rsidR="00186A91">
        <w:t>l</w:t>
      </w:r>
      <w:r w:rsidR="00096E25">
        <w:rPr>
          <w:rStyle w:val="FootnoteReference"/>
        </w:rPr>
        <w:footnoteReference w:id="8"/>
      </w:r>
      <w:r w:rsidR="001C44EE">
        <w:t xml:space="preserve"> and</w:t>
      </w:r>
      <w:r w:rsidR="00194C32">
        <w:t xml:space="preserve"> the results of its deliberations are </w:t>
      </w:r>
      <w:r w:rsidR="00DB1E0E">
        <w:t>summari</w:t>
      </w:r>
      <w:r w:rsidR="00146794">
        <w:t>z</w:t>
      </w:r>
      <w:r w:rsidR="00DB1E0E">
        <w:t>ed in the</w:t>
      </w:r>
      <w:r w:rsidR="001C44EE">
        <w:t xml:space="preserve"> </w:t>
      </w:r>
      <w:r w:rsidR="00DB1E0E">
        <w:t>report</w:t>
      </w:r>
      <w:r w:rsidR="00C02A6E" w:rsidRPr="00C02A6E">
        <w:t xml:space="preserve"> </w:t>
      </w:r>
      <w:r w:rsidR="00C02A6E">
        <w:t>of the meeting.</w:t>
      </w:r>
      <w:r w:rsidR="00987D5F">
        <w:rPr>
          <w:rStyle w:val="FootnoteReference"/>
        </w:rPr>
        <w:footnoteReference w:id="9"/>
      </w:r>
      <w:r w:rsidR="00D465BD" w:rsidRPr="00D465BD">
        <w:t xml:space="preserve"> </w:t>
      </w:r>
      <w:r w:rsidR="004D42CB">
        <w:t xml:space="preserve">Pursuant </w:t>
      </w:r>
      <w:r w:rsidR="006F522E">
        <w:t xml:space="preserve">to the suggestion of </w:t>
      </w:r>
      <w:r w:rsidR="00BF6728">
        <w:t xml:space="preserve">the </w:t>
      </w:r>
      <w:r w:rsidR="004D42CB">
        <w:t>C</w:t>
      </w:r>
      <w:r w:rsidR="00BF6728">
        <w:t>ommittee,</w:t>
      </w:r>
      <w:r w:rsidR="00BF6728" w:rsidRPr="00393A2E">
        <w:t xml:space="preserve"> </w:t>
      </w:r>
      <w:r w:rsidR="00C513BF">
        <w:t xml:space="preserve">it is proposed that </w:t>
      </w:r>
      <w:r w:rsidR="00BF6728" w:rsidRPr="00393A2E">
        <w:t xml:space="preserve">the revised </w:t>
      </w:r>
      <w:r w:rsidR="006F522E">
        <w:t xml:space="preserve">strategic </w:t>
      </w:r>
      <w:r w:rsidR="00BF6728" w:rsidRPr="00393A2E">
        <w:t xml:space="preserve">framework </w:t>
      </w:r>
      <w:r w:rsidR="00BF6728">
        <w:t xml:space="preserve">be referred to </w:t>
      </w:r>
      <w:r w:rsidR="00BF6728" w:rsidRPr="00393A2E">
        <w:t xml:space="preserve">as the </w:t>
      </w:r>
      <w:r w:rsidR="006F522E">
        <w:t>d</w:t>
      </w:r>
      <w:r w:rsidR="00E50F1C">
        <w:t xml:space="preserve">raft </w:t>
      </w:r>
      <w:r w:rsidR="006F522E">
        <w:t>c</w:t>
      </w:r>
      <w:r w:rsidR="00BF6728" w:rsidRPr="00393A2E">
        <w:t xml:space="preserve">apacity-building and </w:t>
      </w:r>
      <w:r w:rsidR="006F522E">
        <w:t>d</w:t>
      </w:r>
      <w:r w:rsidR="00BF6728" w:rsidRPr="00393A2E">
        <w:t xml:space="preserve">evelopment </w:t>
      </w:r>
      <w:r w:rsidR="006F522E">
        <w:t>a</w:t>
      </w:r>
      <w:r w:rsidR="00BF6728" w:rsidRPr="00393A2E">
        <w:t xml:space="preserve">ction </w:t>
      </w:r>
      <w:r w:rsidR="006F522E">
        <w:t>p</w:t>
      </w:r>
      <w:r w:rsidR="00BF6728" w:rsidRPr="00393A2E">
        <w:t>lan for the Nagoya Protocol</w:t>
      </w:r>
      <w:r w:rsidR="00BF6728">
        <w:t>.</w:t>
      </w:r>
      <w:r w:rsidR="00BE79D5" w:rsidRPr="00BE79D5">
        <w:t xml:space="preserve"> </w:t>
      </w:r>
      <w:r w:rsidR="00BE79D5">
        <w:t xml:space="preserve">The </w:t>
      </w:r>
      <w:r w:rsidR="009C5BA8">
        <w:t>d</w:t>
      </w:r>
      <w:r w:rsidR="00BE79D5">
        <w:t xml:space="preserve">raft </w:t>
      </w:r>
      <w:r w:rsidR="009C5BA8">
        <w:t>a</w:t>
      </w:r>
      <w:r w:rsidR="00BE79D5">
        <w:t xml:space="preserve">ction </w:t>
      </w:r>
      <w:r w:rsidR="009C5BA8">
        <w:t>p</w:t>
      </w:r>
      <w:r w:rsidR="00BE79D5">
        <w:t xml:space="preserve">lan is contained in the annex to the present </w:t>
      </w:r>
      <w:r w:rsidR="00CF6C51">
        <w:t>note</w:t>
      </w:r>
      <w:r w:rsidR="00BE79D5">
        <w:t>.</w:t>
      </w:r>
    </w:p>
    <w:p w14:paraId="280FCC17" w14:textId="10620A5D" w:rsidR="00D465BD" w:rsidRDefault="00D465BD" w:rsidP="00D465BD">
      <w:pPr>
        <w:pStyle w:val="Para1"/>
        <w:ind w:left="540" w:firstLine="27"/>
      </w:pPr>
      <w:r>
        <w:t xml:space="preserve">Section II </w:t>
      </w:r>
      <w:r w:rsidR="00A46A88">
        <w:t xml:space="preserve">of the present note </w:t>
      </w:r>
      <w:r w:rsidRPr="00171A94">
        <w:t xml:space="preserve">focuses on the elements considered in the </w:t>
      </w:r>
      <w:r w:rsidR="006F522E">
        <w:t>d</w:t>
      </w:r>
      <w:r w:rsidR="00E50F1C">
        <w:t xml:space="preserve">raft </w:t>
      </w:r>
      <w:r w:rsidR="006F522E">
        <w:t>c</w:t>
      </w:r>
      <w:r w:rsidR="004908E5" w:rsidRPr="00171A94">
        <w:t>apacity-building</w:t>
      </w:r>
      <w:r w:rsidR="004908E5">
        <w:t xml:space="preserve"> and </w:t>
      </w:r>
      <w:r w:rsidR="006F522E">
        <w:t>d</w:t>
      </w:r>
      <w:r w:rsidR="004908E5">
        <w:t xml:space="preserve">evelopment </w:t>
      </w:r>
      <w:r w:rsidR="006F522E">
        <w:t>a</w:t>
      </w:r>
      <w:r w:rsidR="004908E5">
        <w:t xml:space="preserve">ction </w:t>
      </w:r>
      <w:r w:rsidR="006F522E">
        <w:t>p</w:t>
      </w:r>
      <w:r w:rsidR="004908E5">
        <w:t>lan</w:t>
      </w:r>
      <w:r w:rsidR="00DD7790">
        <w:t xml:space="preserve">. </w:t>
      </w:r>
      <w:r w:rsidR="00F852EC">
        <w:t>S</w:t>
      </w:r>
      <w:r>
        <w:t xml:space="preserve">ection </w:t>
      </w:r>
      <w:r w:rsidR="004B5974">
        <w:t>III</w:t>
      </w:r>
      <w:r>
        <w:t xml:space="preserve"> </w:t>
      </w:r>
      <w:r w:rsidR="0030130B">
        <w:t>provide</w:t>
      </w:r>
      <w:r w:rsidR="007503DC">
        <w:t>s</w:t>
      </w:r>
      <w:r w:rsidR="0030130B">
        <w:t xml:space="preserve"> elements</w:t>
      </w:r>
      <w:r w:rsidR="00EE3AAB">
        <w:t xml:space="preserve"> of a</w:t>
      </w:r>
      <w:r>
        <w:t xml:space="preserve"> recommendation for consideration by the Subsidiary Body on Implementation. </w:t>
      </w:r>
    </w:p>
    <w:p w14:paraId="4B3E47FF" w14:textId="27303B94" w:rsidR="00DB1E0E" w:rsidRDefault="00DB1E0E" w:rsidP="00137187">
      <w:pPr>
        <w:pStyle w:val="Heading1"/>
        <w:ind w:left="567" w:hanging="567"/>
      </w:pPr>
      <w:r>
        <w:t xml:space="preserve">Elements considered in the </w:t>
      </w:r>
      <w:r w:rsidR="000C0942">
        <w:t>c</w:t>
      </w:r>
      <w:r w:rsidR="00FB6F55" w:rsidRPr="00FB6F55">
        <w:t xml:space="preserve">apacity-building and </w:t>
      </w:r>
      <w:r w:rsidR="000C0942">
        <w:t>d</w:t>
      </w:r>
      <w:r w:rsidR="00FB6F55" w:rsidRPr="00FB6F55">
        <w:t xml:space="preserve">evelopment </w:t>
      </w:r>
      <w:r w:rsidR="000C0942">
        <w:t>a</w:t>
      </w:r>
      <w:r>
        <w:t xml:space="preserve">ction </w:t>
      </w:r>
      <w:r w:rsidR="000C0942">
        <w:t>p</w:t>
      </w:r>
      <w:r>
        <w:t>lan</w:t>
      </w:r>
      <w:r w:rsidR="00FB6F55">
        <w:t xml:space="preserve"> for the Nagoya Protocol</w:t>
      </w:r>
    </w:p>
    <w:p w14:paraId="7265BB63" w14:textId="45243B32" w:rsidR="007B334B" w:rsidRDefault="00DB1E0E" w:rsidP="00CE42D7">
      <w:pPr>
        <w:pStyle w:val="Para1"/>
        <w:ind w:left="540" w:firstLine="27"/>
      </w:pPr>
      <w:r w:rsidRPr="00B22DC9">
        <w:t xml:space="preserve">The </w:t>
      </w:r>
      <w:r w:rsidR="00BB7F3B">
        <w:t>a</w:t>
      </w:r>
      <w:r w:rsidRPr="00B22DC9">
        <w:t xml:space="preserve">ction </w:t>
      </w:r>
      <w:r w:rsidR="00BB7F3B">
        <w:t>p</w:t>
      </w:r>
      <w:r w:rsidRPr="00B22DC9">
        <w:t xml:space="preserve">lan </w:t>
      </w:r>
      <w:r w:rsidR="00C912F0">
        <w:t xml:space="preserve">was </w:t>
      </w:r>
      <w:r w:rsidR="00816CC4">
        <w:t>developed on the basis of</w:t>
      </w:r>
      <w:r w:rsidRPr="00B22DC9">
        <w:t xml:space="preserve"> the recommendations for improvement resulting from the evaluation of the</w:t>
      </w:r>
      <w:r w:rsidR="00D54303" w:rsidRPr="00B22DC9">
        <w:t xml:space="preserve"> original</w:t>
      </w:r>
      <w:r w:rsidRPr="00B22DC9">
        <w:t xml:space="preserve"> strategic framework</w:t>
      </w:r>
      <w:r w:rsidR="000062B7">
        <w:t>,</w:t>
      </w:r>
      <w:r w:rsidR="00207AE4" w:rsidRPr="00B22DC9">
        <w:rPr>
          <w:rStyle w:val="FootnoteReference"/>
        </w:rPr>
        <w:footnoteReference w:id="10"/>
      </w:r>
      <w:r w:rsidRPr="00B22DC9">
        <w:t xml:space="preserve"> as well as the </w:t>
      </w:r>
      <w:r w:rsidR="0034089C" w:rsidRPr="00B22DC9">
        <w:t>advice received from</w:t>
      </w:r>
      <w:r w:rsidRPr="00B22DC9">
        <w:t xml:space="preserve"> </w:t>
      </w:r>
      <w:r w:rsidR="004F75F1">
        <w:t xml:space="preserve">the </w:t>
      </w:r>
      <w:r w:rsidR="00BB7F3B">
        <w:t>I</w:t>
      </w:r>
      <w:r w:rsidRPr="00B22DC9">
        <w:t xml:space="preserve">nformal </w:t>
      </w:r>
      <w:r w:rsidR="00BB7F3B">
        <w:t>A</w:t>
      </w:r>
      <w:r w:rsidRPr="00B22DC9">
        <w:t xml:space="preserve">dvisory </w:t>
      </w:r>
      <w:r w:rsidR="00BB7F3B">
        <w:t>C</w:t>
      </w:r>
      <w:r w:rsidRPr="00B22DC9">
        <w:t xml:space="preserve">ommittee </w:t>
      </w:r>
      <w:r w:rsidR="00980E49" w:rsidRPr="00B22DC9">
        <w:t>during the online consultations and the in-person meeting</w:t>
      </w:r>
      <w:r w:rsidRPr="00B22DC9">
        <w:t xml:space="preserve">. </w:t>
      </w:r>
      <w:r w:rsidR="00FE3606">
        <w:t xml:space="preserve">A description of relevant elements considered in the </w:t>
      </w:r>
      <w:r w:rsidR="00BB7F3B">
        <w:t>a</w:t>
      </w:r>
      <w:r w:rsidR="00FE3606">
        <w:t xml:space="preserve">ction </w:t>
      </w:r>
      <w:r w:rsidR="00BB7F3B">
        <w:t>p</w:t>
      </w:r>
      <w:r w:rsidR="00FE3606">
        <w:t xml:space="preserve">lan </w:t>
      </w:r>
      <w:r w:rsidR="000119EF">
        <w:t xml:space="preserve">is contained in sections A to H </w:t>
      </w:r>
      <w:r w:rsidR="00040AB8">
        <w:t xml:space="preserve">directly </w:t>
      </w:r>
      <w:r w:rsidR="000119EF">
        <w:t>below.</w:t>
      </w:r>
    </w:p>
    <w:p w14:paraId="32C24E14" w14:textId="0092F262" w:rsidR="00DB1E0E" w:rsidRDefault="00DB1E0E" w:rsidP="00137187">
      <w:pPr>
        <w:pStyle w:val="Heading2"/>
        <w:jc w:val="left"/>
      </w:pPr>
      <w:r>
        <w:t>A.</w:t>
      </w:r>
      <w:r>
        <w:tab/>
      </w:r>
      <w:r w:rsidR="00EB4C12">
        <w:t>Links to</w:t>
      </w:r>
      <w:r>
        <w:t xml:space="preserve"> the Kunming-Montreal Global Biodiversity Framework, the long-term strategic framework for capacity-building and development </w:t>
      </w:r>
      <w:r w:rsidR="003E354B">
        <w:t xml:space="preserve">to support the </w:t>
      </w:r>
      <w:r w:rsidR="00C1120D">
        <w:t xml:space="preserve">implementation of the Framework </w:t>
      </w:r>
      <w:r>
        <w:t xml:space="preserve">and the </w:t>
      </w:r>
      <w:r w:rsidR="00BB7F3B">
        <w:t>S</w:t>
      </w:r>
      <w:r>
        <w:t xml:space="preserve">ustainable </w:t>
      </w:r>
      <w:r w:rsidR="00BB7F3B">
        <w:t>D</w:t>
      </w:r>
      <w:r>
        <w:t xml:space="preserve">evelopment </w:t>
      </w:r>
      <w:r w:rsidR="00BB7F3B">
        <w:t>G</w:t>
      </w:r>
      <w:r>
        <w:t>oals</w:t>
      </w:r>
    </w:p>
    <w:p w14:paraId="635C5D4E" w14:textId="484B362D" w:rsidR="00DB1E0E" w:rsidRDefault="00DB1E0E" w:rsidP="0080088C">
      <w:pPr>
        <w:pStyle w:val="Para1"/>
        <w:ind w:left="540" w:firstLine="27"/>
      </w:pPr>
      <w:r>
        <w:t xml:space="preserve">The </w:t>
      </w:r>
      <w:r w:rsidR="009A046A">
        <w:t>a</w:t>
      </w:r>
      <w:r>
        <w:t xml:space="preserve">ction </w:t>
      </w:r>
      <w:r w:rsidR="009A046A">
        <w:t>p</w:t>
      </w:r>
      <w:r>
        <w:t>lan supports the development of effective capacity-building measures for implementing the Nagoya Protocol</w:t>
      </w:r>
      <w:r w:rsidR="00E03761">
        <w:t>,</w:t>
      </w:r>
      <w:r>
        <w:t xml:space="preserve"> </w:t>
      </w:r>
      <w:r w:rsidR="0070035B">
        <w:t xml:space="preserve">thus contributing to the fair and equitable sharing of benefits </w:t>
      </w:r>
      <w:r w:rsidR="008D363E">
        <w:t xml:space="preserve">that arise from the utilization of genetic resources and associated traditional knowledge. The </w:t>
      </w:r>
      <w:r w:rsidR="009A046A">
        <w:t>a</w:t>
      </w:r>
      <w:r w:rsidR="008D363E">
        <w:t xml:space="preserve">ction </w:t>
      </w:r>
      <w:r w:rsidR="009B528E">
        <w:t>p</w:t>
      </w:r>
      <w:r w:rsidR="008D363E">
        <w:t>lan</w:t>
      </w:r>
      <w:r w:rsidR="00053CDF">
        <w:t xml:space="preserve"> </w:t>
      </w:r>
      <w:r w:rsidR="45571260">
        <w:t>therefore</w:t>
      </w:r>
      <w:r>
        <w:t xml:space="preserve"> contributes directly to the implementation of Target 13 of the Kunming-Montreal Global Biodiversity Framework</w:t>
      </w:r>
      <w:r w:rsidR="00E03761">
        <w:t xml:space="preserve">. </w:t>
      </w:r>
      <w:r w:rsidR="00220245">
        <w:t>Moreover, t</w:t>
      </w:r>
      <w:r w:rsidR="00C513BF">
        <w:t xml:space="preserve">he </w:t>
      </w:r>
      <w:r w:rsidR="00220245">
        <w:t>a</w:t>
      </w:r>
      <w:r w:rsidR="00C513BF">
        <w:t xml:space="preserve">ction </w:t>
      </w:r>
      <w:r w:rsidR="00220245">
        <w:t>p</w:t>
      </w:r>
      <w:r w:rsidR="00C513BF">
        <w:t xml:space="preserve">lan supports the attainment of Goal C of the Framework and its vision </w:t>
      </w:r>
      <w:r w:rsidR="00F71818">
        <w:t>for</w:t>
      </w:r>
      <w:r w:rsidR="00C513BF">
        <w:t xml:space="preserve"> </w:t>
      </w:r>
      <w:r w:rsidR="00066DF5">
        <w:t xml:space="preserve">achieving </w:t>
      </w:r>
      <w:r w:rsidR="00C513BF">
        <w:t>a world of living in harmony with nature</w:t>
      </w:r>
      <w:r w:rsidR="006F43DB">
        <w:t xml:space="preserve"> by 2050</w:t>
      </w:r>
      <w:r w:rsidR="00D561CB">
        <w:t>.</w:t>
      </w:r>
    </w:p>
    <w:p w14:paraId="6974708B" w14:textId="435C7E70" w:rsidR="00DB1E0E" w:rsidRDefault="00DB1E0E" w:rsidP="00CE42D7">
      <w:pPr>
        <w:pStyle w:val="Para1"/>
        <w:ind w:left="540" w:firstLine="27"/>
      </w:pPr>
      <w:r>
        <w:t xml:space="preserve">The </w:t>
      </w:r>
      <w:r w:rsidR="00005651">
        <w:t>a</w:t>
      </w:r>
      <w:r>
        <w:t xml:space="preserve">ction </w:t>
      </w:r>
      <w:r w:rsidR="00005651">
        <w:t>p</w:t>
      </w:r>
      <w:r>
        <w:t>lan has direct links to other targets of the Kunming-Montreal Global Biodiversity Framework, namely:</w:t>
      </w:r>
    </w:p>
    <w:p w14:paraId="330E8453" w14:textId="09C3D2A6" w:rsidR="00DB1E0E" w:rsidRDefault="00DB1E0E" w:rsidP="005C7B52">
      <w:pPr>
        <w:pStyle w:val="Para2"/>
      </w:pPr>
      <w:r>
        <w:t>(a)</w:t>
      </w:r>
      <w:r>
        <w:tab/>
        <w:t>Target 15, on taking legal, administrative or policy measures to encourage and enable business and to ensure that large and transnational companies and financial institutions</w:t>
      </w:r>
      <w:r w:rsidR="005F0C65">
        <w:t>, inter alia,</w:t>
      </w:r>
      <w:r w:rsidR="0067480D">
        <w:t xml:space="preserve"> </w:t>
      </w:r>
      <w:r>
        <w:t>report on compliance with access and benefit</w:t>
      </w:r>
      <w:r w:rsidR="00CF047E">
        <w:t>-</w:t>
      </w:r>
      <w:r>
        <w:t>sharing regulations and measures, as applicable</w:t>
      </w:r>
      <w:r w:rsidR="00912A44">
        <w:t>;</w:t>
      </w:r>
    </w:p>
    <w:p w14:paraId="4EF73958" w14:textId="3874E81F" w:rsidR="00DB1E0E" w:rsidRDefault="005C7B52" w:rsidP="005C7B52">
      <w:pPr>
        <w:pStyle w:val="Para2"/>
      </w:pPr>
      <w:r>
        <w:t>(b)</w:t>
      </w:r>
      <w:r>
        <w:tab/>
      </w:r>
      <w:r w:rsidR="00DB1E0E">
        <w:t>Target 20, on strengthening capacity-building and development, access to and transfer of technology, and promot</w:t>
      </w:r>
      <w:r w:rsidR="613C8249">
        <w:t>ion of</w:t>
      </w:r>
      <w:r w:rsidR="00DB1E0E">
        <w:t xml:space="preserve"> development of and access to innovation and technical and scientific cooperation</w:t>
      </w:r>
      <w:r w:rsidR="00912A44">
        <w:t>;</w:t>
      </w:r>
      <w:r w:rsidR="00DB1E0E">
        <w:t xml:space="preserve"> </w:t>
      </w:r>
    </w:p>
    <w:p w14:paraId="7D5FD2F6" w14:textId="76B378DA" w:rsidR="00DB1E0E" w:rsidRDefault="005C7B52" w:rsidP="005C7B52">
      <w:pPr>
        <w:pStyle w:val="Para2"/>
      </w:pPr>
      <w:r>
        <w:t>(c)</w:t>
      </w:r>
      <w:r>
        <w:tab/>
      </w:r>
      <w:r w:rsidR="00CE53EE">
        <w:t>T</w:t>
      </w:r>
      <w:r w:rsidR="00DB1E0E">
        <w:t xml:space="preserve">argets 19, 21, 22 and 23 </w:t>
      </w:r>
      <w:r w:rsidR="00CE302F">
        <w:t>(</w:t>
      </w:r>
      <w:r w:rsidR="00DB1E0E">
        <w:t>progress towards the</w:t>
      </w:r>
      <w:r w:rsidR="00624904">
        <w:t xml:space="preserve">se </w:t>
      </w:r>
      <w:r w:rsidR="00CE302F">
        <w:t xml:space="preserve">four targets </w:t>
      </w:r>
      <w:r w:rsidR="00DB1E0E">
        <w:t xml:space="preserve">will help </w:t>
      </w:r>
      <w:r w:rsidR="00BF076A">
        <w:t>in</w:t>
      </w:r>
      <w:r w:rsidR="00DB1E0E">
        <w:t xml:space="preserve"> reach</w:t>
      </w:r>
      <w:r w:rsidR="00BF076A">
        <w:t>ing</w:t>
      </w:r>
      <w:r w:rsidR="00DB1E0E">
        <w:t xml:space="preserve"> Target 13</w:t>
      </w:r>
      <w:r w:rsidR="00BF076A">
        <w:t>)</w:t>
      </w:r>
      <w:r w:rsidR="00DB1E0E">
        <w:t>.</w:t>
      </w:r>
      <w:r w:rsidR="004F02E2">
        <w:rPr>
          <w:rStyle w:val="FootnoteReference"/>
        </w:rPr>
        <w:footnoteReference w:id="11"/>
      </w:r>
      <w:r w:rsidR="00DB1E0E">
        <w:t xml:space="preserve"> </w:t>
      </w:r>
    </w:p>
    <w:p w14:paraId="7DDFF904" w14:textId="031D32D0" w:rsidR="00EE2593" w:rsidRDefault="00566686" w:rsidP="00EE2593">
      <w:pPr>
        <w:pStyle w:val="Para1"/>
        <w:ind w:left="540" w:firstLine="27"/>
      </w:pPr>
      <w:r>
        <w:lastRenderedPageBreak/>
        <w:t>T</w:t>
      </w:r>
      <w:r w:rsidR="00EE2593">
        <w:t xml:space="preserve">he </w:t>
      </w:r>
      <w:r>
        <w:t>a</w:t>
      </w:r>
      <w:r w:rsidR="00EE2593">
        <w:t xml:space="preserve">ction </w:t>
      </w:r>
      <w:r>
        <w:t>p</w:t>
      </w:r>
      <w:r w:rsidR="00EE2593">
        <w:t xml:space="preserve">lan can help support Parties in meeting the Sustainable Development Goals and directly contributes to the achievement of </w:t>
      </w:r>
      <w:r w:rsidR="004F2401">
        <w:t>t</w:t>
      </w:r>
      <w:r w:rsidR="00EE2593">
        <w:t>arget 15.6</w:t>
      </w:r>
      <w:r w:rsidR="00D21350">
        <w:t xml:space="preserve"> of the Sustainable Development Goals</w:t>
      </w:r>
      <w:r w:rsidR="001B5BAC">
        <w:t>.</w:t>
      </w:r>
      <w:r w:rsidR="00EE2593">
        <w:rPr>
          <w:rStyle w:val="FootnoteReference"/>
        </w:rPr>
        <w:footnoteReference w:id="12"/>
      </w:r>
    </w:p>
    <w:p w14:paraId="602D1A15" w14:textId="72E27EC9" w:rsidR="00DB1E0E" w:rsidRDefault="00036651" w:rsidP="00CA2967">
      <w:pPr>
        <w:pStyle w:val="Para1"/>
        <w:ind w:left="540" w:firstLine="27"/>
      </w:pPr>
      <w:r>
        <w:t xml:space="preserve">As suggested by the </w:t>
      </w:r>
      <w:r w:rsidR="00C85026">
        <w:t xml:space="preserve">Informal Advisory </w:t>
      </w:r>
      <w:r>
        <w:t>Committee,</w:t>
      </w:r>
      <w:r w:rsidR="00B47798">
        <w:t xml:space="preserve"> </w:t>
      </w:r>
      <w:r>
        <w:t>t</w:t>
      </w:r>
      <w:r w:rsidR="00DB1E0E">
        <w:t xml:space="preserve">he </w:t>
      </w:r>
      <w:r w:rsidR="00C85026">
        <w:t>a</w:t>
      </w:r>
      <w:r w:rsidR="00DB1E0E">
        <w:t xml:space="preserve">ction </w:t>
      </w:r>
      <w:r w:rsidR="00C85026">
        <w:t>p</w:t>
      </w:r>
      <w:r w:rsidR="00DB1E0E">
        <w:t xml:space="preserve">lan is to be considered one of the thematic action plans proposed under the long-term strategic framework for capacity-building and development. Key concepts presented in the long-term </w:t>
      </w:r>
      <w:r w:rsidR="00DB1E0E" w:rsidRPr="00C46FC8">
        <w:t>framework, including the definition of capacity-building and development, have been incorporated</w:t>
      </w:r>
      <w:r w:rsidR="00F54DBF" w:rsidRPr="00C46FC8">
        <w:t xml:space="preserve"> in the </w:t>
      </w:r>
      <w:r w:rsidR="00D75199">
        <w:t>a</w:t>
      </w:r>
      <w:r w:rsidR="00F54DBF" w:rsidRPr="00C46FC8">
        <w:t xml:space="preserve">ction </w:t>
      </w:r>
      <w:r w:rsidR="00D75199">
        <w:t>p</w:t>
      </w:r>
      <w:r w:rsidR="00F54DBF" w:rsidRPr="00C46FC8">
        <w:t>lan</w:t>
      </w:r>
      <w:r w:rsidR="00DB1E0E" w:rsidRPr="00C46FC8">
        <w:t>, together with guiding principles and relevant approaches and strategi</w:t>
      </w:r>
      <w:r w:rsidR="009B00DD" w:rsidRPr="00C46FC8">
        <w:t>es</w:t>
      </w:r>
      <w:r w:rsidR="00DB1E0E" w:rsidRPr="00C46FC8">
        <w:t xml:space="preserve">. </w:t>
      </w:r>
      <w:r w:rsidR="0080208E" w:rsidRPr="00C46FC8">
        <w:t>Relevant information</w:t>
      </w:r>
      <w:r w:rsidR="0080208E">
        <w:t xml:space="preserve"> </w:t>
      </w:r>
      <w:r w:rsidR="002737CF">
        <w:t xml:space="preserve">is </w:t>
      </w:r>
      <w:r w:rsidR="00C46FC8">
        <w:t>summarized</w:t>
      </w:r>
      <w:r w:rsidR="002737CF">
        <w:t xml:space="preserve"> in </w:t>
      </w:r>
      <w:r w:rsidR="00C46FC8">
        <w:t xml:space="preserve">information document </w:t>
      </w:r>
      <w:r w:rsidR="00C46FC8" w:rsidRPr="00137187">
        <w:t>CBD/SBI/4/INF/</w:t>
      </w:r>
      <w:r w:rsidR="00E15EBD">
        <w:t>3</w:t>
      </w:r>
      <w:r w:rsidR="00C46FC8" w:rsidRPr="00DD30CD">
        <w:t>.</w:t>
      </w:r>
    </w:p>
    <w:p w14:paraId="05EDD410" w14:textId="77777777" w:rsidR="00DB1E0E" w:rsidRDefault="00DB1E0E" w:rsidP="005C7B52">
      <w:pPr>
        <w:pStyle w:val="Heading2"/>
      </w:pPr>
      <w:r>
        <w:t>B.</w:t>
      </w:r>
      <w:r>
        <w:tab/>
        <w:t>Theory of change and results chain</w:t>
      </w:r>
    </w:p>
    <w:p w14:paraId="262E9B61" w14:textId="470B4903" w:rsidR="00DB1E0E" w:rsidRDefault="0055035B" w:rsidP="00CE42D7">
      <w:pPr>
        <w:pStyle w:val="Para1"/>
        <w:ind w:left="540" w:firstLine="27"/>
      </w:pPr>
      <w:r>
        <w:t xml:space="preserve">To </w:t>
      </w:r>
      <w:r w:rsidR="00A35730">
        <w:t xml:space="preserve">enable a </w:t>
      </w:r>
      <w:r>
        <w:t>better understand</w:t>
      </w:r>
      <w:r w:rsidR="00A35730">
        <w:t>ing of</w:t>
      </w:r>
      <w:r>
        <w:t xml:space="preserve"> the changes that the </w:t>
      </w:r>
      <w:r w:rsidR="00A35730">
        <w:t>a</w:t>
      </w:r>
      <w:r>
        <w:t xml:space="preserve">ction </w:t>
      </w:r>
      <w:r w:rsidR="00A35730">
        <w:t>p</w:t>
      </w:r>
      <w:r>
        <w:t>lan is expected to bring about, an overarching theory of change</w:t>
      </w:r>
      <w:r>
        <w:rPr>
          <w:rStyle w:val="FootnoteReference"/>
        </w:rPr>
        <w:footnoteReference w:id="13"/>
      </w:r>
      <w:r>
        <w:t xml:space="preserve"> has been developed, together with a results chain. </w:t>
      </w:r>
      <w:r w:rsidR="00DB1E0E">
        <w:t xml:space="preserve">Underpinning the theory of change </w:t>
      </w:r>
      <w:r w:rsidR="00CC60FD">
        <w:t>for</w:t>
      </w:r>
      <w:r w:rsidR="000D57F0">
        <w:t xml:space="preserve"> the </w:t>
      </w:r>
      <w:r w:rsidR="00BF1100">
        <w:t>a</w:t>
      </w:r>
      <w:r w:rsidR="00657C44">
        <w:t xml:space="preserve">ction </w:t>
      </w:r>
      <w:r w:rsidR="00BF1100">
        <w:t>p</w:t>
      </w:r>
      <w:r w:rsidR="000D57F0">
        <w:t xml:space="preserve">lan </w:t>
      </w:r>
      <w:r w:rsidR="00DB1E0E">
        <w:t xml:space="preserve">are several assumptions. </w:t>
      </w:r>
      <w:r w:rsidR="005258EC">
        <w:t>Under those assumptions</w:t>
      </w:r>
      <w:r w:rsidR="00DB1E0E">
        <w:t xml:space="preserve">, results can be achieved </w:t>
      </w:r>
      <w:r w:rsidR="00CC60FD">
        <w:t xml:space="preserve">only </w:t>
      </w:r>
      <w:r w:rsidR="00DB1E0E">
        <w:t>if the following conditions are met:</w:t>
      </w:r>
    </w:p>
    <w:p w14:paraId="650BAC9B" w14:textId="77777777" w:rsidR="00DB1E0E" w:rsidRDefault="00DB1E0E" w:rsidP="005C7B52">
      <w:pPr>
        <w:pStyle w:val="Para2"/>
      </w:pPr>
      <w:r>
        <w:t>(a)</w:t>
      </w:r>
      <w:r>
        <w:tab/>
        <w:t>Adequate financial, technical, technological and human resources are made available for capacity-building and development;</w:t>
      </w:r>
    </w:p>
    <w:p w14:paraId="0BE9A462" w14:textId="77777777" w:rsidR="00DB1E0E" w:rsidRDefault="00DB1E0E" w:rsidP="005C7B52">
      <w:pPr>
        <w:pStyle w:val="Para2"/>
      </w:pPr>
      <w:r>
        <w:t>(b)</w:t>
      </w:r>
      <w:r>
        <w:tab/>
        <w:t>A whole-of-government and whole-of-society approach is taken;</w:t>
      </w:r>
    </w:p>
    <w:p w14:paraId="1D53F090" w14:textId="16FCCFC2" w:rsidR="00DB1E0E" w:rsidRDefault="00DB1E0E" w:rsidP="005C7B52">
      <w:pPr>
        <w:pStyle w:val="Para2"/>
      </w:pPr>
      <w:r>
        <w:t>(c)</w:t>
      </w:r>
      <w:r>
        <w:tab/>
        <w:t xml:space="preserve">Capacity-building and development </w:t>
      </w:r>
      <w:r w:rsidR="008A4357">
        <w:t>for access and benefit</w:t>
      </w:r>
      <w:r w:rsidR="00CF047E">
        <w:t>-</w:t>
      </w:r>
      <w:r w:rsidR="008A4357">
        <w:t xml:space="preserve">sharing </w:t>
      </w:r>
      <w:r w:rsidR="00444CEA">
        <w:t xml:space="preserve">is </w:t>
      </w:r>
      <w:r>
        <w:t>prioritized in national plans</w:t>
      </w:r>
      <w:r w:rsidR="00495708">
        <w:rPr>
          <w:lang w:val="en-GB"/>
        </w:rPr>
        <w:t xml:space="preserve">, such as </w:t>
      </w:r>
      <w:r w:rsidR="00C849DF">
        <w:rPr>
          <w:lang w:val="en-GB"/>
        </w:rPr>
        <w:t>n</w:t>
      </w:r>
      <w:r w:rsidR="00495708">
        <w:rPr>
          <w:lang w:val="en-GB"/>
        </w:rPr>
        <w:t xml:space="preserve">ational </w:t>
      </w:r>
      <w:r w:rsidR="00C849DF">
        <w:rPr>
          <w:lang w:val="en-GB"/>
        </w:rPr>
        <w:t>b</w:t>
      </w:r>
      <w:r w:rsidR="00495708">
        <w:rPr>
          <w:lang w:val="en-GB"/>
        </w:rPr>
        <w:t xml:space="preserve">iodiversity </w:t>
      </w:r>
      <w:r w:rsidR="00C849DF">
        <w:rPr>
          <w:lang w:val="en-GB"/>
        </w:rPr>
        <w:t>s</w:t>
      </w:r>
      <w:r w:rsidR="00495708">
        <w:rPr>
          <w:lang w:val="en-GB"/>
        </w:rPr>
        <w:t>trateg</w:t>
      </w:r>
      <w:r w:rsidR="00C849DF">
        <w:rPr>
          <w:lang w:val="en-GB"/>
        </w:rPr>
        <w:t>ies and action plans or financial plans</w:t>
      </w:r>
      <w:r>
        <w:t xml:space="preserve">; </w:t>
      </w:r>
    </w:p>
    <w:p w14:paraId="38407731" w14:textId="51EA17E9" w:rsidR="00DB1E0E" w:rsidRDefault="00DB1E0E" w:rsidP="005C7B52">
      <w:pPr>
        <w:pStyle w:val="Para2"/>
      </w:pPr>
      <w:r>
        <w:t>(d)</w:t>
      </w:r>
      <w:r>
        <w:tab/>
        <w:t xml:space="preserve">Capacity-building and development interventions are designed according to the guidance </w:t>
      </w:r>
      <w:r w:rsidR="00704B57">
        <w:t xml:space="preserve">provided </w:t>
      </w:r>
      <w:r>
        <w:t xml:space="preserve">in the present </w:t>
      </w:r>
      <w:r w:rsidR="00380BD7">
        <w:t>a</w:t>
      </w:r>
      <w:r>
        <w:t xml:space="preserve">ction </w:t>
      </w:r>
      <w:r w:rsidR="00380BD7">
        <w:t>p</w:t>
      </w:r>
      <w:r>
        <w:t>lan;</w:t>
      </w:r>
    </w:p>
    <w:p w14:paraId="1C295317" w14:textId="61BA0E4D" w:rsidR="00DB1E0E" w:rsidRDefault="00DB1E0E" w:rsidP="005C7B52">
      <w:pPr>
        <w:pStyle w:val="Para2"/>
      </w:pPr>
      <w:r>
        <w:t>(e)</w:t>
      </w:r>
      <w:r>
        <w:tab/>
        <w:t xml:space="preserve">The products and services (outputs) generated in the context of the </w:t>
      </w:r>
      <w:r w:rsidR="00704B57">
        <w:t>a</w:t>
      </w:r>
      <w:r w:rsidR="00657C44">
        <w:t xml:space="preserve">ction </w:t>
      </w:r>
      <w:r w:rsidR="00704B57">
        <w:t>p</w:t>
      </w:r>
      <w:r>
        <w:t xml:space="preserve">lan are relevant and effective; </w:t>
      </w:r>
    </w:p>
    <w:p w14:paraId="78656D59" w14:textId="1C612403" w:rsidR="00DB1E0E" w:rsidRDefault="00DB1E0E" w:rsidP="005C7B52">
      <w:pPr>
        <w:pStyle w:val="Para2"/>
      </w:pPr>
      <w:r>
        <w:t>(f)</w:t>
      </w:r>
      <w:r>
        <w:tab/>
      </w:r>
      <w:r w:rsidR="001A5DD6">
        <w:t>Parties take the necessary steps to</w:t>
      </w:r>
      <w:r>
        <w:t xml:space="preserve"> implement the Protocol </w:t>
      </w:r>
      <w:r w:rsidR="008E2110">
        <w:t xml:space="preserve">so </w:t>
      </w:r>
      <w:r w:rsidR="00704B57">
        <w:t xml:space="preserve">that </w:t>
      </w:r>
      <w:r w:rsidR="008E2110">
        <w:t>it can</w:t>
      </w:r>
      <w:r w:rsidR="00541490">
        <w:t xml:space="preserve"> </w:t>
      </w:r>
      <w:r>
        <w:t>lead to benefit-sharing</w:t>
      </w:r>
      <w:r w:rsidR="008E2110">
        <w:t>. This c</w:t>
      </w:r>
      <w:r w:rsidR="00704B57">
        <w:t>ould</w:t>
      </w:r>
      <w:r w:rsidR="008E2110">
        <w:t xml:space="preserve"> include </w:t>
      </w:r>
      <w:r w:rsidR="00A348DA">
        <w:t xml:space="preserve">establishing </w:t>
      </w:r>
      <w:r w:rsidR="003E5E5F">
        <w:t xml:space="preserve">the conditions </w:t>
      </w:r>
      <w:r w:rsidR="00A348DA">
        <w:t>for</w:t>
      </w:r>
      <w:r>
        <w:t xml:space="preserve"> access</w:t>
      </w:r>
      <w:r w:rsidR="00A348DA">
        <w:t>ing</w:t>
      </w:r>
      <w:r>
        <w:t xml:space="preserve"> genetic resources </w:t>
      </w:r>
      <w:r w:rsidR="003E5E5F">
        <w:t>and issuing</w:t>
      </w:r>
      <w:r>
        <w:t xml:space="preserve"> permits</w:t>
      </w:r>
      <w:r w:rsidR="003E5E5F">
        <w:t>, as appropriate</w:t>
      </w:r>
      <w:r w:rsidR="005C7B52">
        <w:t>;</w:t>
      </w:r>
    </w:p>
    <w:p w14:paraId="6620E0EC" w14:textId="55AF4129" w:rsidR="00DB1E0E" w:rsidRDefault="00DB1E0E" w:rsidP="005C7B52">
      <w:pPr>
        <w:pStyle w:val="Para2"/>
      </w:pPr>
      <w:r>
        <w:t>(g)</w:t>
      </w:r>
      <w:r>
        <w:tab/>
        <w:t>Benefit</w:t>
      </w:r>
      <w:r w:rsidR="00CF047E">
        <w:t>-</w:t>
      </w:r>
      <w:r>
        <w:t>sharing contributes to the conservation and sustainable use of biodiversity.</w:t>
      </w:r>
    </w:p>
    <w:p w14:paraId="1661A5AA" w14:textId="1C193A47" w:rsidR="00DB1E0E" w:rsidRDefault="00DB1E0E" w:rsidP="002C1EA0">
      <w:pPr>
        <w:pStyle w:val="Para1"/>
        <w:ind w:left="540" w:firstLine="27"/>
      </w:pPr>
      <w:r>
        <w:t xml:space="preserve">At the same time, several factors may hinder </w:t>
      </w:r>
      <w:r w:rsidR="00881868">
        <w:t xml:space="preserve">progress </w:t>
      </w:r>
      <w:r w:rsidR="00CB7081">
        <w:t>on</w:t>
      </w:r>
      <w:r w:rsidR="00881868">
        <w:t xml:space="preserve"> the </w:t>
      </w:r>
      <w:r w:rsidR="00E33CBD">
        <w:t>a</w:t>
      </w:r>
      <w:r w:rsidR="00657C44">
        <w:t xml:space="preserve">ction </w:t>
      </w:r>
      <w:r w:rsidR="00E33CBD">
        <w:t>p</w:t>
      </w:r>
      <w:r w:rsidR="00881868">
        <w:t>lan</w:t>
      </w:r>
      <w:r>
        <w:t>, such as:</w:t>
      </w:r>
    </w:p>
    <w:p w14:paraId="3B1D1BC3" w14:textId="0EDD7E8D" w:rsidR="00DB1E0E" w:rsidRDefault="00DB1E0E" w:rsidP="005C7B52">
      <w:pPr>
        <w:pStyle w:val="Para2"/>
      </w:pPr>
      <w:r>
        <w:t>(a)</w:t>
      </w:r>
      <w:r>
        <w:tab/>
        <w:t>Insufficient political will</w:t>
      </w:r>
      <w:r w:rsidR="0020056C">
        <w:t xml:space="preserve">, </w:t>
      </w:r>
      <w:r>
        <w:t>technical knowledge, commitment and support at the national, regional and global levels;</w:t>
      </w:r>
    </w:p>
    <w:p w14:paraId="66BED9BC" w14:textId="5979FB07" w:rsidR="00DB1E0E" w:rsidRDefault="00DB1E0E" w:rsidP="005C7B52">
      <w:pPr>
        <w:pStyle w:val="Para2"/>
      </w:pPr>
      <w:r>
        <w:t>(b)</w:t>
      </w:r>
      <w:r>
        <w:tab/>
        <w:t>Insufficient resources to support</w:t>
      </w:r>
      <w:r w:rsidR="213E9034">
        <w:t>, sustain</w:t>
      </w:r>
      <w:r>
        <w:t xml:space="preserve"> and maintain capacity-building and development at the national level;</w:t>
      </w:r>
    </w:p>
    <w:p w14:paraId="42B3EF97" w14:textId="31FC9E00" w:rsidR="00DB1E0E" w:rsidRDefault="00DB1E0E" w:rsidP="005C7B52">
      <w:pPr>
        <w:pStyle w:val="Para2"/>
      </w:pPr>
      <w:r>
        <w:t>(c)</w:t>
      </w:r>
      <w:r>
        <w:tab/>
        <w:t xml:space="preserve">Lack of capacity-building providers with </w:t>
      </w:r>
      <w:r w:rsidR="00754DDA">
        <w:t xml:space="preserve">the </w:t>
      </w:r>
      <w:r>
        <w:t xml:space="preserve">technical expertise </w:t>
      </w:r>
      <w:r w:rsidR="00754DDA">
        <w:t xml:space="preserve">needed </w:t>
      </w:r>
      <w:r>
        <w:t>to support the</w:t>
      </w:r>
      <w:r w:rsidR="00657C44">
        <w:t xml:space="preserve"> </w:t>
      </w:r>
      <w:r w:rsidR="00754DDA">
        <w:t>a</w:t>
      </w:r>
      <w:r w:rsidR="00657C44">
        <w:t>ction</w:t>
      </w:r>
      <w:r>
        <w:t xml:space="preserve"> </w:t>
      </w:r>
      <w:r w:rsidR="00754DDA">
        <w:t>p</w:t>
      </w:r>
      <w:r>
        <w:t>lan;</w:t>
      </w:r>
    </w:p>
    <w:p w14:paraId="0BFB5C16" w14:textId="310455BD" w:rsidR="00DB1E0E" w:rsidRDefault="00DB1E0E" w:rsidP="005C7B52">
      <w:pPr>
        <w:pStyle w:val="Para2"/>
      </w:pPr>
      <w:r>
        <w:t>(d)</w:t>
      </w:r>
      <w:r>
        <w:tab/>
        <w:t>Competing priorities and demands at the national level</w:t>
      </w:r>
      <w:r w:rsidR="006F0914">
        <w:t>;</w:t>
      </w:r>
    </w:p>
    <w:p w14:paraId="71D91C36" w14:textId="38C58552" w:rsidR="43C64F0A" w:rsidRDefault="43C64F0A" w:rsidP="774ED644">
      <w:pPr>
        <w:pStyle w:val="Para2"/>
      </w:pPr>
      <w:r>
        <w:t>(e)</w:t>
      </w:r>
      <w:r>
        <w:tab/>
        <w:t xml:space="preserve">Lack of sufficient awareness of the provisions of the </w:t>
      </w:r>
      <w:r w:rsidR="00671C18">
        <w:t>P</w:t>
      </w:r>
      <w:r>
        <w:t>rotocol</w:t>
      </w:r>
      <w:r w:rsidR="00671C18">
        <w:t>;</w:t>
      </w:r>
    </w:p>
    <w:p w14:paraId="050FD3EE" w14:textId="3A972A52" w:rsidR="4FE420A9" w:rsidRDefault="4FE420A9" w:rsidP="774ED644">
      <w:pPr>
        <w:pStyle w:val="Para2"/>
      </w:pPr>
      <w:r>
        <w:t>(f)</w:t>
      </w:r>
      <w:r w:rsidR="00671C18">
        <w:tab/>
      </w:r>
      <w:r>
        <w:t>Lack of broad stakeholder participation</w:t>
      </w:r>
      <w:r w:rsidR="00671C18">
        <w:t>.</w:t>
      </w:r>
    </w:p>
    <w:p w14:paraId="45085E81" w14:textId="7600EFD2" w:rsidR="00DB1E0E" w:rsidRDefault="00696733" w:rsidP="002C1EA0">
      <w:pPr>
        <w:pStyle w:val="Para1"/>
        <w:ind w:left="540" w:firstLine="27"/>
      </w:pPr>
      <w:r>
        <w:lastRenderedPageBreak/>
        <w:t xml:space="preserve">A results chain based on this theory of change </w:t>
      </w:r>
      <w:r w:rsidR="00644877">
        <w:t xml:space="preserve">that </w:t>
      </w:r>
      <w:r w:rsidR="002B7F94">
        <w:t>illustrates</w:t>
      </w:r>
      <w:r w:rsidR="00DB1E0E">
        <w:t xml:space="preserve"> the causal linkage</w:t>
      </w:r>
      <w:r w:rsidR="00754DDA">
        <w:t>s</w:t>
      </w:r>
      <w:r w:rsidR="00DB1E0E">
        <w:t xml:space="preserve"> </w:t>
      </w:r>
      <w:r w:rsidR="00754DDA">
        <w:t>among</w:t>
      </w:r>
      <w:r w:rsidR="00DB1E0E">
        <w:t xml:space="preserve"> inputs, activities, outputs, outcomes and impact </w:t>
      </w:r>
      <w:r>
        <w:t xml:space="preserve">is </w:t>
      </w:r>
      <w:r w:rsidR="00C513BF">
        <w:t xml:space="preserve">provided </w:t>
      </w:r>
      <w:r>
        <w:t xml:space="preserve">in </w:t>
      </w:r>
      <w:bookmarkStart w:id="2" w:name="_Hlk162340242"/>
      <w:r>
        <w:t xml:space="preserve">information document </w:t>
      </w:r>
      <w:r w:rsidRPr="00137187">
        <w:t>CBD/SBI/</w:t>
      </w:r>
      <w:r w:rsidR="000A2E14" w:rsidRPr="00137187">
        <w:t>4/INF/</w:t>
      </w:r>
      <w:bookmarkEnd w:id="2"/>
      <w:r w:rsidR="00DB7295" w:rsidRPr="00DB7295">
        <w:t>3</w:t>
      </w:r>
      <w:r w:rsidR="00DB1E0E" w:rsidRPr="00DB7295">
        <w:t>.</w:t>
      </w:r>
      <w:r w:rsidR="00DB1E0E">
        <w:t xml:space="preserve"> </w:t>
      </w:r>
    </w:p>
    <w:p w14:paraId="0811DAF4" w14:textId="0232A602" w:rsidR="008142AC" w:rsidRDefault="008142AC" w:rsidP="008142AC">
      <w:pPr>
        <w:pStyle w:val="Heading2"/>
      </w:pPr>
      <w:r>
        <w:t>C.</w:t>
      </w:r>
      <w:r>
        <w:tab/>
      </w:r>
      <w:r w:rsidR="008652DB">
        <w:t>Stakeholder c</w:t>
      </w:r>
      <w:r>
        <w:t>ooperation and coordination</w:t>
      </w:r>
    </w:p>
    <w:p w14:paraId="06854EF9" w14:textId="6FB4F32E" w:rsidR="00C172DE" w:rsidRDefault="009E120F" w:rsidP="009E120F">
      <w:pPr>
        <w:pStyle w:val="Para1"/>
        <w:ind w:left="567" w:firstLine="0"/>
      </w:pPr>
      <w:r>
        <w:t xml:space="preserve">The </w:t>
      </w:r>
      <w:r w:rsidR="00CA677C">
        <w:t>a</w:t>
      </w:r>
      <w:r w:rsidR="00314861">
        <w:t xml:space="preserve">ction </w:t>
      </w:r>
      <w:r w:rsidR="00CA677C">
        <w:t>p</w:t>
      </w:r>
      <w:r w:rsidR="00314861">
        <w:t xml:space="preserve">lan is addressed to all </w:t>
      </w:r>
      <w:r w:rsidR="00376714">
        <w:t>actors</w:t>
      </w:r>
      <w:r w:rsidR="00314861">
        <w:t xml:space="preserve"> involved in capacity-</w:t>
      </w:r>
      <w:r w:rsidR="00F4127E">
        <w:t>building</w:t>
      </w:r>
      <w:r w:rsidR="00314861">
        <w:t xml:space="preserve"> and </w:t>
      </w:r>
      <w:r w:rsidR="00F4127E">
        <w:t>development</w:t>
      </w:r>
      <w:r>
        <w:t xml:space="preserve"> </w:t>
      </w:r>
      <w:r w:rsidR="00F4127E">
        <w:t xml:space="preserve">to support implementation of the Protocol. </w:t>
      </w:r>
      <w:r w:rsidR="00D102B1">
        <w:t>Different</w:t>
      </w:r>
      <w:r w:rsidR="00C172DE" w:rsidRPr="003E63A4">
        <w:t xml:space="preserve"> actors have </w:t>
      </w:r>
      <w:r w:rsidR="00D102B1">
        <w:t>specific</w:t>
      </w:r>
      <w:r w:rsidR="00C172DE" w:rsidRPr="003E63A4">
        <w:t xml:space="preserve"> role</w:t>
      </w:r>
      <w:r w:rsidR="00D102B1">
        <w:t>s</w:t>
      </w:r>
      <w:r w:rsidR="00C172DE" w:rsidRPr="003E63A4">
        <w:t xml:space="preserve"> to play in supporting capacity-building and development </w:t>
      </w:r>
      <w:r w:rsidR="00C172DE">
        <w:t>and awareness</w:t>
      </w:r>
      <w:r w:rsidR="00AE3E26">
        <w:t>-</w:t>
      </w:r>
      <w:r w:rsidR="00C172DE">
        <w:t>raising efforts</w:t>
      </w:r>
      <w:r w:rsidR="00C172DE" w:rsidRPr="003E63A4">
        <w:t xml:space="preserve"> for the implementation of the Protocol and access and benefit</w:t>
      </w:r>
      <w:r w:rsidR="006C19C4">
        <w:t>-</w:t>
      </w:r>
      <w:r w:rsidR="00C172DE" w:rsidRPr="003E63A4">
        <w:t>sharing</w:t>
      </w:r>
      <w:r w:rsidR="0097256E">
        <w:t xml:space="preserve"> more generally</w:t>
      </w:r>
      <w:r w:rsidR="00C172DE">
        <w:t>.</w:t>
      </w:r>
      <w:r w:rsidR="00C172DE" w:rsidRPr="003E63A4">
        <w:t xml:space="preserve"> </w:t>
      </w:r>
      <w:r w:rsidR="000A2E14">
        <w:t>A</w:t>
      </w:r>
      <w:r w:rsidR="00C172DE" w:rsidRPr="003E63A4">
        <w:t xml:space="preserve">n </w:t>
      </w:r>
      <w:r w:rsidR="00C172DE">
        <w:t>overview of</w:t>
      </w:r>
      <w:r w:rsidR="00C172DE" w:rsidRPr="003E63A4">
        <w:t xml:space="preserve"> </w:t>
      </w:r>
      <w:r w:rsidR="00C172DE">
        <w:t>general examples</w:t>
      </w:r>
      <w:r w:rsidR="00C172DE" w:rsidRPr="003E63A4">
        <w:t xml:space="preserve"> of some of the contributions that different </w:t>
      </w:r>
      <w:r w:rsidR="00C172DE">
        <w:t>actors</w:t>
      </w:r>
      <w:r w:rsidR="00C172DE" w:rsidRPr="003E63A4">
        <w:t xml:space="preserve"> can make</w:t>
      </w:r>
      <w:r w:rsidR="000A2E14">
        <w:t xml:space="preserve"> is </w:t>
      </w:r>
      <w:r w:rsidR="00C513BF">
        <w:t xml:space="preserve">provided </w:t>
      </w:r>
      <w:r w:rsidR="000A2E14">
        <w:t xml:space="preserve">in information document </w:t>
      </w:r>
      <w:r w:rsidR="000A2E14" w:rsidRPr="00137187">
        <w:t>CBD/SBI/4/INF/</w:t>
      </w:r>
      <w:r w:rsidR="00DB7295" w:rsidRPr="00DB7295">
        <w:t>3</w:t>
      </w:r>
      <w:r w:rsidR="00C172DE" w:rsidRPr="00DB7295">
        <w:t>.</w:t>
      </w:r>
    </w:p>
    <w:p w14:paraId="3009693B" w14:textId="044A953F" w:rsidR="008142AC" w:rsidRDefault="00376714" w:rsidP="009E120F">
      <w:pPr>
        <w:pStyle w:val="Para1"/>
        <w:ind w:left="567" w:firstLine="0"/>
      </w:pPr>
      <w:r>
        <w:t>Stakeholder c</w:t>
      </w:r>
      <w:r w:rsidR="008142AC">
        <w:t xml:space="preserve">ooperation and coordination remain a key element for </w:t>
      </w:r>
      <w:r w:rsidR="007533C5">
        <w:t>the</w:t>
      </w:r>
      <w:r w:rsidR="008142AC">
        <w:t xml:space="preserve"> successful implementation of the Protocol. Strengthening cooperation and coordination among actors involved in capacity-building and development initiatives is important for their success. All actors are encouraged to use existing cooperation and coordination mechanisms and strategies or establish new ones to facilitate cooperation on capacity-building and development for the implementation of the Protocol. </w:t>
      </w:r>
    </w:p>
    <w:p w14:paraId="7416C4D0" w14:textId="7A0AE16E" w:rsidR="008142AC" w:rsidRDefault="008142AC" w:rsidP="008142AC">
      <w:pPr>
        <w:pStyle w:val="Para1"/>
        <w:ind w:left="567" w:firstLine="0"/>
      </w:pPr>
      <w:r>
        <w:t xml:space="preserve">A widespread constraint </w:t>
      </w:r>
      <w:r w:rsidR="00D10734">
        <w:t>on</w:t>
      </w:r>
      <w:r>
        <w:t xml:space="preserve"> the implementation of the </w:t>
      </w:r>
      <w:r w:rsidR="004A64AA">
        <w:t>a</w:t>
      </w:r>
      <w:r>
        <w:t xml:space="preserve">ction </w:t>
      </w:r>
      <w:r w:rsidR="004A64AA">
        <w:t>p</w:t>
      </w:r>
      <w:r>
        <w:t xml:space="preserve">lan is the limited number of capacity-building providers with expertise in </w:t>
      </w:r>
      <w:r w:rsidR="005B3FC0">
        <w:t xml:space="preserve">the domain of </w:t>
      </w:r>
      <w:r>
        <w:t>access and benefit</w:t>
      </w:r>
      <w:r w:rsidR="00CF047E">
        <w:t>-</w:t>
      </w:r>
      <w:r>
        <w:t>sharing. A critical mass of experts and organizations working on access and benefit</w:t>
      </w:r>
      <w:r w:rsidR="006C19C4">
        <w:t>-</w:t>
      </w:r>
      <w:r>
        <w:t>sharing needs to be developed, maintained and increased to help ramp up efforts and meet growing demand. An emphasis should be placed on leveraging and fostering local expertise and collaboration.</w:t>
      </w:r>
    </w:p>
    <w:p w14:paraId="28894B3C" w14:textId="673D8444" w:rsidR="008142AC" w:rsidRDefault="008142AC" w:rsidP="0042538C">
      <w:pPr>
        <w:pStyle w:val="Para1"/>
        <w:ind w:left="567" w:firstLine="0"/>
      </w:pPr>
      <w:r>
        <w:t xml:space="preserve">In line with the guidance provided in the long-term strategic framework, </w:t>
      </w:r>
      <w:r w:rsidR="007C3C87">
        <w:t>sub</w:t>
      </w:r>
      <w:r>
        <w:t xml:space="preserve">regional support networks or centres of excellence </w:t>
      </w:r>
      <w:r w:rsidR="007C3C87">
        <w:t xml:space="preserve">are being established </w:t>
      </w:r>
      <w:r>
        <w:t xml:space="preserve">that could provide, upon request, capacity-building and development support to national government institutions, subnational governments, local authorities, indigenous peoples and local communities, women and youth as well as other stakeholders within their respective regions or subregions. </w:t>
      </w:r>
      <w:r w:rsidR="00DF1187">
        <w:t>Not only would s</w:t>
      </w:r>
      <w:r>
        <w:t xml:space="preserve">uch support centres foster cooperation, collaboration and synergy but </w:t>
      </w:r>
      <w:r w:rsidR="001C638D">
        <w:t xml:space="preserve">they </w:t>
      </w:r>
      <w:r>
        <w:t>could contribute to building individual and organizational expertise, skill and know-how on access and benefit</w:t>
      </w:r>
      <w:r w:rsidR="006C19C4">
        <w:t>-</w:t>
      </w:r>
      <w:r>
        <w:t>sharing at the regional and subregional levels as well as provi</w:t>
      </w:r>
      <w:r w:rsidR="00C74D09">
        <w:t>ding</w:t>
      </w:r>
      <w:r>
        <w:t xml:space="preserve"> guidance </w:t>
      </w:r>
      <w:r w:rsidRPr="002C53E2">
        <w:t>towards the harmonization of national access and benefit-sharing approaches and networks within regions.</w:t>
      </w:r>
      <w:r w:rsidR="007D401C" w:rsidRPr="002C53E2">
        <w:t xml:space="preserve"> An overview of the </w:t>
      </w:r>
      <w:r w:rsidR="0031733C" w:rsidRPr="002C53E2">
        <w:t>process establishing the subregional support network</w:t>
      </w:r>
      <w:r w:rsidR="00177182" w:rsidRPr="002C53E2">
        <w:t xml:space="preserve"> as part of the </w:t>
      </w:r>
      <w:r w:rsidR="0042538C" w:rsidRPr="002C53E2">
        <w:rPr>
          <w:lang w:val="en-GB"/>
        </w:rPr>
        <w:t>technical and scientific cooperation mechanism</w:t>
      </w:r>
      <w:r w:rsidR="0042538C" w:rsidRPr="002C53E2">
        <w:rPr>
          <w:rStyle w:val="FootnoteReference"/>
          <w:lang w:val="en-GB"/>
        </w:rPr>
        <w:footnoteReference w:id="14"/>
      </w:r>
      <w:r w:rsidR="0031733C" w:rsidRPr="002C53E2">
        <w:t xml:space="preserve"> is </w:t>
      </w:r>
      <w:r w:rsidR="00CE01B1" w:rsidRPr="002C53E2">
        <w:t>provided</w:t>
      </w:r>
      <w:r w:rsidR="0031733C" w:rsidRPr="002C53E2">
        <w:t xml:space="preserve"> in </w:t>
      </w:r>
      <w:r w:rsidR="0031733C" w:rsidRPr="00234073">
        <w:t xml:space="preserve">document </w:t>
      </w:r>
      <w:r w:rsidR="00CE01B1" w:rsidRPr="00137187">
        <w:t>CBD/</w:t>
      </w:r>
      <w:r w:rsidR="0031733C" w:rsidRPr="00137187">
        <w:t>SBI/4/</w:t>
      </w:r>
      <w:r w:rsidR="00956EB7" w:rsidRPr="00137187">
        <w:t>7</w:t>
      </w:r>
      <w:r w:rsidR="0031733C" w:rsidRPr="00137187">
        <w:t>.</w:t>
      </w:r>
    </w:p>
    <w:p w14:paraId="5F303AC2" w14:textId="7B8EE532" w:rsidR="00DB1E0E" w:rsidRDefault="008142AC" w:rsidP="00AB65F5">
      <w:pPr>
        <w:pStyle w:val="Heading2"/>
      </w:pPr>
      <w:r>
        <w:t>D</w:t>
      </w:r>
      <w:r w:rsidR="00DB1E0E">
        <w:t>.</w:t>
      </w:r>
      <w:r w:rsidR="00DB1E0E">
        <w:tab/>
        <w:t>Priorities for capacity-building and development</w:t>
      </w:r>
    </w:p>
    <w:p w14:paraId="34F3A2C1" w14:textId="5EE55CE8" w:rsidR="00712597" w:rsidRDefault="00712597" w:rsidP="005501AB">
      <w:pPr>
        <w:pStyle w:val="Para1"/>
        <w:ind w:left="567" w:firstLine="0"/>
      </w:pPr>
      <w:r w:rsidRPr="00712597">
        <w:t xml:space="preserve">At its third meeting, the Conference of the Parties serving as the meeting of the Parties to the Protocol adopted decision </w:t>
      </w:r>
      <w:hyperlink r:id="rId15" w:history="1">
        <w:r w:rsidRPr="000F0489">
          <w:rPr>
            <w:rStyle w:val="Hyperlink"/>
          </w:rPr>
          <w:t>NP-3/1</w:t>
        </w:r>
      </w:hyperlink>
      <w:r w:rsidRPr="00712597">
        <w:t xml:space="preserve"> on the first assessment and review of the effectiveness of the Nagoya Protocol four years after its entry into force. In th</w:t>
      </w:r>
      <w:r w:rsidR="00771D54">
        <w:t>at</w:t>
      </w:r>
      <w:r w:rsidRPr="00712597">
        <w:t xml:space="preserve"> decision, Parties identified priority areas where further work </w:t>
      </w:r>
      <w:r w:rsidR="00D86DA5">
        <w:t>wa</w:t>
      </w:r>
      <w:r w:rsidRPr="00712597">
        <w:t>s needed (</w:t>
      </w:r>
      <w:r w:rsidR="00D86DA5">
        <w:t xml:space="preserve">sect. A, </w:t>
      </w:r>
      <w:r w:rsidRPr="00712597">
        <w:t xml:space="preserve">para. 5), challenges in the implementation of the Protocol and possible mechanisms </w:t>
      </w:r>
      <w:r w:rsidR="00AD7431">
        <w:t>for</w:t>
      </w:r>
      <w:r w:rsidRPr="00712597">
        <w:t xml:space="preserve"> address</w:t>
      </w:r>
      <w:r w:rsidR="00AD7431">
        <w:t>ing</w:t>
      </w:r>
      <w:r w:rsidRPr="00712597">
        <w:t xml:space="preserve"> those challenges in accordance with national circumstances. The relevant outcomes from the first assessment and review, including its key findings</w:t>
      </w:r>
      <w:r w:rsidR="00771972">
        <w:t xml:space="preserve">, as </w:t>
      </w:r>
      <w:r w:rsidRPr="00712597">
        <w:t xml:space="preserve"> contained in </w:t>
      </w:r>
      <w:r w:rsidR="00A95ADF" w:rsidRPr="00712597">
        <w:t>annex</w:t>
      </w:r>
      <w:r w:rsidR="00A95ADF">
        <w:t> </w:t>
      </w:r>
      <w:r w:rsidRPr="00712597">
        <w:t>I of decision</w:t>
      </w:r>
      <w:r w:rsidR="00771972">
        <w:t xml:space="preserve"> NP-3/1</w:t>
      </w:r>
      <w:r w:rsidR="00E1152D">
        <w:t>,</w:t>
      </w:r>
      <w:r w:rsidR="003101BC">
        <w:t xml:space="preserve"> </w:t>
      </w:r>
      <w:r w:rsidRPr="00712597">
        <w:t xml:space="preserve">were considered during the </w:t>
      </w:r>
      <w:r w:rsidR="00E1152D">
        <w:t xml:space="preserve">development of the </w:t>
      </w:r>
      <w:r w:rsidR="00AD7431">
        <w:t>a</w:t>
      </w:r>
      <w:r w:rsidR="00E1152D">
        <w:t xml:space="preserve">ction </w:t>
      </w:r>
      <w:r w:rsidR="00AD7431">
        <w:t>p</w:t>
      </w:r>
      <w:r w:rsidR="00E1152D">
        <w:t>lan</w:t>
      </w:r>
      <w:r w:rsidRPr="00712597">
        <w:t xml:space="preserve">. </w:t>
      </w:r>
    </w:p>
    <w:p w14:paraId="100F3E62" w14:textId="0BAC8441" w:rsidR="007B1520" w:rsidRPr="00712597" w:rsidRDefault="001A2CC5" w:rsidP="005501AB">
      <w:pPr>
        <w:pStyle w:val="Para1"/>
        <w:ind w:left="567" w:firstLine="0"/>
      </w:pPr>
      <w:r>
        <w:t>I</w:t>
      </w:r>
      <w:r w:rsidR="00396F82">
        <w:t xml:space="preserve">n line with decision </w:t>
      </w:r>
      <w:hyperlink r:id="rId16">
        <w:r w:rsidR="00396F82" w:rsidRPr="75787C80">
          <w:rPr>
            <w:rStyle w:val="Hyperlink"/>
          </w:rPr>
          <w:t>15/11</w:t>
        </w:r>
      </w:hyperlink>
      <w:r w:rsidR="00396F82">
        <w:t xml:space="preserve">, </w:t>
      </w:r>
      <w:r w:rsidR="0063477C">
        <w:t xml:space="preserve">the Gender Plan of Action </w:t>
      </w:r>
      <w:r w:rsidR="00D94BCE">
        <w:t>has</w:t>
      </w:r>
      <w:r w:rsidR="005835F8">
        <w:t xml:space="preserve"> been used as </w:t>
      </w:r>
      <w:r w:rsidR="000A45CB">
        <w:t xml:space="preserve">a </w:t>
      </w:r>
      <w:r w:rsidR="005835F8">
        <w:t xml:space="preserve">guidance document </w:t>
      </w:r>
      <w:r w:rsidR="00706252">
        <w:t>in the development of the</w:t>
      </w:r>
      <w:r w:rsidR="00C74EDC">
        <w:t xml:space="preserve"> </w:t>
      </w:r>
      <w:r w:rsidR="009A6144">
        <w:t>a</w:t>
      </w:r>
      <w:r w:rsidR="00C74EDC">
        <w:t xml:space="preserve">ction </w:t>
      </w:r>
      <w:r w:rsidR="009A6144">
        <w:t>p</w:t>
      </w:r>
      <w:r w:rsidR="00C74EDC">
        <w:t xml:space="preserve">lan </w:t>
      </w:r>
      <w:r w:rsidR="009900FD">
        <w:t>with the objective</w:t>
      </w:r>
      <w:r w:rsidR="00C74EDC">
        <w:t xml:space="preserve"> </w:t>
      </w:r>
      <w:r w:rsidR="000A45CB">
        <w:t>of supporting</w:t>
      </w:r>
      <w:r w:rsidR="000D2B41">
        <w:t xml:space="preserve"> a coherent gender</w:t>
      </w:r>
      <w:r w:rsidR="00DF428B">
        <w:t>-</w:t>
      </w:r>
      <w:r w:rsidR="000D2B41">
        <w:t>responsiv</w:t>
      </w:r>
      <w:r w:rsidR="00B445DB">
        <w:t xml:space="preserve">e </w:t>
      </w:r>
      <w:r w:rsidR="00CD1CEE">
        <w:t>implementation of the Nagoya Protocol.</w:t>
      </w:r>
    </w:p>
    <w:p w14:paraId="0006C31F" w14:textId="4EB9B26B" w:rsidR="005B286F" w:rsidRDefault="00E74BA7" w:rsidP="005B286F">
      <w:pPr>
        <w:pStyle w:val="Heading2"/>
      </w:pPr>
      <w:r>
        <w:t>E</w:t>
      </w:r>
      <w:r w:rsidR="005B286F">
        <w:t>.</w:t>
      </w:r>
      <w:r w:rsidR="005B286F">
        <w:tab/>
        <w:t>Relevant awareness-raising elements</w:t>
      </w:r>
    </w:p>
    <w:p w14:paraId="26C82F45" w14:textId="76A62EFF" w:rsidR="00EA5D49" w:rsidRDefault="00B84E9F" w:rsidP="0062412A">
      <w:pPr>
        <w:pStyle w:val="Para1"/>
        <w:ind w:left="540" w:firstLine="27"/>
      </w:pPr>
      <w:r>
        <w:t>The awareness-raising strategy for the Nagoya Protocol</w:t>
      </w:r>
      <w:r>
        <w:rPr>
          <w:rStyle w:val="FootnoteReference"/>
        </w:rPr>
        <w:footnoteReference w:id="15"/>
      </w:r>
      <w:r>
        <w:t xml:space="preserve"> </w:t>
      </w:r>
      <w:r w:rsidR="00596656">
        <w:t xml:space="preserve">aims </w:t>
      </w:r>
      <w:r w:rsidR="00616463">
        <w:t>towards</w:t>
      </w:r>
      <w:r w:rsidR="00596656">
        <w:t xml:space="preserve"> </w:t>
      </w:r>
      <w:r w:rsidR="00624891">
        <w:t>providing a systematic and coherent approach to assist</w:t>
      </w:r>
      <w:r w:rsidR="00616463">
        <w:t>ing</w:t>
      </w:r>
      <w:r w:rsidR="00624891">
        <w:t xml:space="preserve"> Parties in the implementation of </w:t>
      </w:r>
      <w:hyperlink r:id="rId17" w:history="1">
        <w:r w:rsidR="003274B5">
          <w:rPr>
            <w:rStyle w:val="Hyperlink"/>
          </w:rPr>
          <w:t>A</w:t>
        </w:r>
        <w:r w:rsidR="00624891" w:rsidRPr="008E7651">
          <w:rPr>
            <w:rStyle w:val="Hyperlink"/>
          </w:rPr>
          <w:t>rticle 21</w:t>
        </w:r>
      </w:hyperlink>
      <w:r w:rsidR="00624891">
        <w:t xml:space="preserve"> of the Protocol. </w:t>
      </w:r>
      <w:r w:rsidR="0054151A">
        <w:t xml:space="preserve">The </w:t>
      </w:r>
      <w:r w:rsidR="0054151A">
        <w:lastRenderedPageBreak/>
        <w:t>strategy</w:t>
      </w:r>
      <w:r w:rsidR="00EB60DC">
        <w:t xml:space="preserve"> </w:t>
      </w:r>
      <w:r w:rsidR="000F5D0A">
        <w:t xml:space="preserve">recognizes the need to link activities </w:t>
      </w:r>
      <w:r w:rsidR="00E91339">
        <w:t>identified in</w:t>
      </w:r>
      <w:r w:rsidR="000F5D0A">
        <w:t xml:space="preserve"> </w:t>
      </w:r>
      <w:r w:rsidR="003274B5">
        <w:t>A</w:t>
      </w:r>
      <w:r w:rsidR="000F5D0A">
        <w:t>rticle 21</w:t>
      </w:r>
      <w:r w:rsidR="00806851">
        <w:t xml:space="preserve"> to other capacity-development activities under the Protocol. </w:t>
      </w:r>
      <w:r w:rsidR="00BD77C6">
        <w:t>A</w:t>
      </w:r>
      <w:r w:rsidR="00EF4F24">
        <w:t xml:space="preserve">wareness-raising and </w:t>
      </w:r>
      <w:r w:rsidR="0073149B">
        <w:t xml:space="preserve">strategic </w:t>
      </w:r>
      <w:r w:rsidR="00EF4F24">
        <w:t xml:space="preserve">communication have been identified as </w:t>
      </w:r>
      <w:r w:rsidR="00EC3FFF">
        <w:t xml:space="preserve">a </w:t>
      </w:r>
      <w:r w:rsidR="00EF4F24">
        <w:t xml:space="preserve">cross-cutting issue relevant for the success of various outcome areas of the </w:t>
      </w:r>
      <w:r w:rsidR="0054151A">
        <w:t>a</w:t>
      </w:r>
      <w:r w:rsidR="00EF4F24">
        <w:t xml:space="preserve">ction </w:t>
      </w:r>
      <w:r w:rsidR="0054151A">
        <w:t>p</w:t>
      </w:r>
      <w:r w:rsidR="00EF4F24">
        <w:t>lan</w:t>
      </w:r>
      <w:r w:rsidR="00D1693C">
        <w:t xml:space="preserve">. </w:t>
      </w:r>
      <w:r w:rsidR="006535F5">
        <w:t>Consequently</w:t>
      </w:r>
      <w:r w:rsidR="00D1693C">
        <w:t xml:space="preserve">, </w:t>
      </w:r>
      <w:r w:rsidR="00B25B3E">
        <w:t xml:space="preserve">elements of the awareness-raising strategy have been </w:t>
      </w:r>
      <w:r w:rsidR="005C13C3">
        <w:t>integrated</w:t>
      </w:r>
      <w:r w:rsidR="00C416D3">
        <w:t xml:space="preserve"> into the </w:t>
      </w:r>
      <w:r w:rsidR="006535F5">
        <w:t>a</w:t>
      </w:r>
      <w:r w:rsidR="00BC418C">
        <w:t xml:space="preserve">ction </w:t>
      </w:r>
      <w:r w:rsidR="006535F5">
        <w:t>p</w:t>
      </w:r>
      <w:r w:rsidR="00C416D3">
        <w:t xml:space="preserve">lan </w:t>
      </w:r>
      <w:r w:rsidR="00793520">
        <w:t>in a new outcome area 6</w:t>
      </w:r>
      <w:r w:rsidR="00C50CA2">
        <w:t xml:space="preserve"> as well as</w:t>
      </w:r>
      <w:r w:rsidR="00703C93">
        <w:t xml:space="preserve"> in</w:t>
      </w:r>
      <w:r w:rsidR="00C50CA2">
        <w:t xml:space="preserve"> other outputs</w:t>
      </w:r>
      <w:r w:rsidR="006535F5">
        <w:t>,</w:t>
      </w:r>
      <w:r w:rsidR="00C50CA2">
        <w:t xml:space="preserve"> where </w:t>
      </w:r>
      <w:r w:rsidR="000F7198">
        <w:t>appropriate</w:t>
      </w:r>
      <w:r w:rsidR="005C13C3">
        <w:t>.</w:t>
      </w:r>
    </w:p>
    <w:p w14:paraId="79C8EE41" w14:textId="4E6F58E6" w:rsidR="00B84E9F" w:rsidRDefault="00737725" w:rsidP="0062412A">
      <w:pPr>
        <w:pStyle w:val="Para1"/>
        <w:ind w:left="540" w:firstLine="27"/>
      </w:pPr>
      <w:r>
        <w:t>T</w:t>
      </w:r>
      <w:r w:rsidR="00CF3D67">
        <w:t xml:space="preserve">he </w:t>
      </w:r>
      <w:r w:rsidR="00307E3E">
        <w:t xml:space="preserve">capacity-building and development </w:t>
      </w:r>
      <w:r w:rsidR="0064326A">
        <w:t>activities</w:t>
      </w:r>
      <w:r w:rsidR="00307E3E">
        <w:t xml:space="preserve"> </w:t>
      </w:r>
      <w:r w:rsidR="00317D68">
        <w:t xml:space="preserve">integrated in the </w:t>
      </w:r>
      <w:r w:rsidR="006535F5">
        <w:t>a</w:t>
      </w:r>
      <w:r w:rsidR="709FB8B5">
        <w:t xml:space="preserve">ction </w:t>
      </w:r>
      <w:r w:rsidR="006535F5">
        <w:t>p</w:t>
      </w:r>
      <w:r w:rsidR="00317D68">
        <w:t xml:space="preserve">lan </w:t>
      </w:r>
      <w:r w:rsidR="00481070">
        <w:t>aim</w:t>
      </w:r>
      <w:r w:rsidR="00317D68">
        <w:t xml:space="preserve"> to</w:t>
      </w:r>
      <w:r w:rsidR="00770EAE">
        <w:t>wards</w:t>
      </w:r>
      <w:r w:rsidR="007578A0">
        <w:t xml:space="preserve"> i</w:t>
      </w:r>
      <w:r w:rsidR="007578A0" w:rsidRPr="00337E1C">
        <w:t>ncreas</w:t>
      </w:r>
      <w:r w:rsidR="007578A0">
        <w:t>ing</w:t>
      </w:r>
      <w:r w:rsidR="00AA0A13">
        <w:t>:</w:t>
      </w:r>
    </w:p>
    <w:p w14:paraId="41AA92E1" w14:textId="04A2A38E" w:rsidR="00317D68" w:rsidRPr="00337E1C" w:rsidRDefault="00337E1C" w:rsidP="00337E1C">
      <w:pPr>
        <w:pStyle w:val="Para2"/>
      </w:pPr>
      <w:r>
        <w:t>(a)</w:t>
      </w:r>
      <w:r>
        <w:tab/>
      </w:r>
      <w:r w:rsidR="007578A0">
        <w:t>K</w:t>
      </w:r>
      <w:r w:rsidR="003A3B61" w:rsidRPr="00337E1C">
        <w:t xml:space="preserve">nowledge on how to </w:t>
      </w:r>
      <w:r w:rsidR="00C3758B" w:rsidRPr="00337E1C">
        <w:t>use</w:t>
      </w:r>
      <w:r w:rsidR="003A3B61" w:rsidRPr="00337E1C">
        <w:t xml:space="preserve"> strategic communication </w:t>
      </w:r>
      <w:r w:rsidR="00376298" w:rsidRPr="00337E1C">
        <w:t xml:space="preserve">and </w:t>
      </w:r>
      <w:r w:rsidR="003A1D77" w:rsidRPr="00337E1C">
        <w:t>raise awareness</w:t>
      </w:r>
      <w:r w:rsidR="00317D68" w:rsidRPr="00337E1C">
        <w:t xml:space="preserve"> of the importance of genetic resources and traditional knowledge associated with genetic resources</w:t>
      </w:r>
      <w:r w:rsidR="00481070" w:rsidRPr="00337E1C">
        <w:t>, and related access and benefit</w:t>
      </w:r>
      <w:r w:rsidR="006C19C4">
        <w:t>-</w:t>
      </w:r>
      <w:r w:rsidR="00481070" w:rsidRPr="00337E1C">
        <w:t>sharing issues;</w:t>
      </w:r>
    </w:p>
    <w:p w14:paraId="3849810B" w14:textId="1178D192" w:rsidR="00481070" w:rsidRPr="00337E1C" w:rsidRDefault="00337E1C" w:rsidP="00337E1C">
      <w:pPr>
        <w:pStyle w:val="Para2"/>
      </w:pPr>
      <w:r>
        <w:t>(b)</w:t>
      </w:r>
      <w:r>
        <w:tab/>
      </w:r>
      <w:r w:rsidR="007578A0">
        <w:t>K</w:t>
      </w:r>
      <w:r w:rsidR="00842E03" w:rsidRPr="00337E1C">
        <w:t xml:space="preserve">nowledge </w:t>
      </w:r>
      <w:r w:rsidR="00A52C11">
        <w:t>of</w:t>
      </w:r>
      <w:r w:rsidR="00A52C11" w:rsidRPr="00337E1C">
        <w:t xml:space="preserve"> indigenous peoples and local communities </w:t>
      </w:r>
      <w:r w:rsidR="00842E03" w:rsidRPr="00337E1C">
        <w:t>o</w:t>
      </w:r>
      <w:r w:rsidR="00A708E3" w:rsidRPr="00337E1C">
        <w:t>n</w:t>
      </w:r>
      <w:r w:rsidR="007656D4" w:rsidRPr="00337E1C">
        <w:t xml:space="preserve"> how to develop and promote</w:t>
      </w:r>
      <w:r w:rsidR="00A708E3" w:rsidRPr="00337E1C">
        <w:t xml:space="preserve"> </w:t>
      </w:r>
      <w:r w:rsidR="007B2A51" w:rsidRPr="00337E1C">
        <w:t>community</w:t>
      </w:r>
      <w:r w:rsidR="00A708E3" w:rsidRPr="00337E1C">
        <w:t xml:space="preserve"> </w:t>
      </w:r>
      <w:r w:rsidR="003C2A05" w:rsidRPr="00337E1C">
        <w:t xml:space="preserve">protocols, </w:t>
      </w:r>
      <w:r w:rsidR="00760CEC" w:rsidRPr="00337E1C">
        <w:t>procedures and customary laws</w:t>
      </w:r>
      <w:r w:rsidR="00A708E3" w:rsidRPr="00337E1C">
        <w:t>;</w:t>
      </w:r>
    </w:p>
    <w:p w14:paraId="793060AC" w14:textId="6D35A271" w:rsidR="00760CEC" w:rsidRPr="00337E1C" w:rsidRDefault="00337E1C" w:rsidP="00337E1C">
      <w:pPr>
        <w:pStyle w:val="Para2"/>
      </w:pPr>
      <w:r>
        <w:t>(c)</w:t>
      </w:r>
      <w:r>
        <w:tab/>
      </w:r>
      <w:r w:rsidR="007578A0">
        <w:t>K</w:t>
      </w:r>
      <w:r w:rsidR="009B3799" w:rsidRPr="00337E1C">
        <w:t xml:space="preserve">nowledge and </w:t>
      </w:r>
      <w:r w:rsidR="00711AEC" w:rsidRPr="00337E1C">
        <w:t xml:space="preserve">awareness </w:t>
      </w:r>
      <w:r w:rsidR="00E210E3" w:rsidRPr="00337E1C">
        <w:t>of users and provider</w:t>
      </w:r>
      <w:r w:rsidR="006A3181" w:rsidRPr="00337E1C">
        <w:t xml:space="preserve">s </w:t>
      </w:r>
      <w:r w:rsidR="00E210E3" w:rsidRPr="00337E1C">
        <w:t xml:space="preserve">of genetic resources and associated traditional knowledge on </w:t>
      </w:r>
      <w:r w:rsidR="00711AEC" w:rsidRPr="00337E1C">
        <w:t xml:space="preserve">access </w:t>
      </w:r>
      <w:r w:rsidR="00E210E3" w:rsidRPr="00337E1C">
        <w:t xml:space="preserve">and benefit-sharing </w:t>
      </w:r>
      <w:r w:rsidR="00711AEC" w:rsidRPr="00337E1C">
        <w:t xml:space="preserve">obligations </w:t>
      </w:r>
      <w:r w:rsidR="00420D1D" w:rsidRPr="00337E1C">
        <w:t>and implementation</w:t>
      </w:r>
      <w:r w:rsidR="00711AEC" w:rsidRPr="00337E1C">
        <w:t xml:space="preserve"> </w:t>
      </w:r>
      <w:r w:rsidR="004950F0">
        <w:t xml:space="preserve">of </w:t>
      </w:r>
      <w:r w:rsidR="00711AEC" w:rsidRPr="00337E1C">
        <w:t>the Nagoya Protocol;</w:t>
      </w:r>
      <w:r w:rsidR="00760CEC" w:rsidRPr="00337E1C">
        <w:t xml:space="preserve"> </w:t>
      </w:r>
    </w:p>
    <w:p w14:paraId="2307F428" w14:textId="1650ACEA" w:rsidR="00760CEC" w:rsidRPr="00337E1C" w:rsidRDefault="00337E1C" w:rsidP="00337E1C">
      <w:pPr>
        <w:pStyle w:val="Para2"/>
      </w:pPr>
      <w:r>
        <w:t>(d)</w:t>
      </w:r>
      <w:r>
        <w:tab/>
      </w:r>
      <w:r w:rsidR="007578A0">
        <w:t>T</w:t>
      </w:r>
      <w:r w:rsidR="004950F0">
        <w:t xml:space="preserve">he </w:t>
      </w:r>
      <w:r w:rsidR="00A717E5">
        <w:t>amount of</w:t>
      </w:r>
      <w:r w:rsidR="00760CEC" w:rsidRPr="00337E1C">
        <w:t xml:space="preserve"> information </w:t>
      </w:r>
      <w:r w:rsidR="00A717E5">
        <w:t>available</w:t>
      </w:r>
      <w:r w:rsidR="00AD319A">
        <w:t xml:space="preserve"> in</w:t>
      </w:r>
      <w:r w:rsidR="00A717E5">
        <w:t xml:space="preserve"> and </w:t>
      </w:r>
      <w:r w:rsidR="00954631">
        <w:t xml:space="preserve">the </w:t>
      </w:r>
      <w:r w:rsidR="00A717E5">
        <w:t xml:space="preserve">use </w:t>
      </w:r>
      <w:r w:rsidR="00760CEC" w:rsidRPr="00337E1C">
        <w:t>o</w:t>
      </w:r>
      <w:r w:rsidR="00AD319A">
        <w:t>f</w:t>
      </w:r>
      <w:r w:rsidR="00760CEC" w:rsidRPr="00337E1C">
        <w:t xml:space="preserve"> the </w:t>
      </w:r>
      <w:r w:rsidR="007B4316">
        <w:t>A</w:t>
      </w:r>
      <w:r w:rsidR="006B1A25">
        <w:t>ccess and Benefit-sharing</w:t>
      </w:r>
      <w:r w:rsidR="00760CEC" w:rsidRPr="00337E1C">
        <w:t xml:space="preserve"> Clearing-House;</w:t>
      </w:r>
    </w:p>
    <w:p w14:paraId="4EB07E20" w14:textId="407CB81C" w:rsidR="00C50CA2" w:rsidRPr="00337E1C" w:rsidRDefault="00337E1C" w:rsidP="00337E1C">
      <w:pPr>
        <w:pStyle w:val="Para2"/>
      </w:pPr>
      <w:r>
        <w:t>(e)</w:t>
      </w:r>
      <w:r>
        <w:tab/>
      </w:r>
      <w:r w:rsidR="007578A0">
        <w:t>O</w:t>
      </w:r>
      <w:r w:rsidR="002044F7" w:rsidRPr="00337E1C">
        <w:t>pportunities for</w:t>
      </w:r>
      <w:r w:rsidR="009B5EF5" w:rsidRPr="00337E1C">
        <w:t xml:space="preserve"> </w:t>
      </w:r>
      <w:r w:rsidR="000A45CB">
        <w:t xml:space="preserve">the </w:t>
      </w:r>
      <w:r w:rsidR="009B5EF5" w:rsidRPr="00337E1C">
        <w:t>exchange of experience</w:t>
      </w:r>
      <w:r w:rsidR="002044F7" w:rsidRPr="00337E1C">
        <w:t>s</w:t>
      </w:r>
      <w:r w:rsidR="08307A1C">
        <w:t>, lessons learned and good practices</w:t>
      </w:r>
      <w:r w:rsidR="009B5EF5" w:rsidRPr="00337E1C">
        <w:t>.</w:t>
      </w:r>
    </w:p>
    <w:p w14:paraId="3FEEC6E1" w14:textId="72E859FF" w:rsidR="005A68A4" w:rsidRDefault="00050A74" w:rsidP="00A55E5B">
      <w:pPr>
        <w:pStyle w:val="Para1"/>
        <w:ind w:left="540" w:firstLine="27"/>
      </w:pPr>
      <w:r>
        <w:t>C</w:t>
      </w:r>
      <w:r w:rsidR="005C6AF0">
        <w:t xml:space="preserve">ountries are encouraged to develop </w:t>
      </w:r>
      <w:r>
        <w:t>national</w:t>
      </w:r>
      <w:r w:rsidR="005C6AF0">
        <w:t xml:space="preserve"> awareness-raising plans</w:t>
      </w:r>
      <w:r w:rsidR="00165979">
        <w:t xml:space="preserve"> to effectively implement awareness-raising measures</w:t>
      </w:r>
      <w:r w:rsidR="000B0CEE">
        <w:t>.</w:t>
      </w:r>
      <w:r w:rsidR="00C81BEB">
        <w:t xml:space="preserve"> </w:t>
      </w:r>
      <w:r w:rsidR="005F4B5F">
        <w:t xml:space="preserve">In line with the awareness-raising strategy, the </w:t>
      </w:r>
      <w:r w:rsidR="00A55E15">
        <w:t>Secretariat</w:t>
      </w:r>
      <w:r w:rsidR="005F4B5F">
        <w:t xml:space="preserve"> developed </w:t>
      </w:r>
      <w:r w:rsidR="0037299F">
        <w:t>t</w:t>
      </w:r>
      <w:r w:rsidR="00FE1CA0">
        <w:t>he</w:t>
      </w:r>
      <w:r w:rsidR="00694D61">
        <w:t xml:space="preserve"> </w:t>
      </w:r>
      <w:r w:rsidR="00B00D58" w:rsidRPr="00AA7DB8">
        <w:rPr>
          <w:i/>
          <w:iCs/>
        </w:rPr>
        <w:t xml:space="preserve">CEPA </w:t>
      </w:r>
      <w:r w:rsidR="00FE7290">
        <w:t>[</w:t>
      </w:r>
      <w:r w:rsidR="00E3739E">
        <w:t xml:space="preserve">communication, education and public awareness] </w:t>
      </w:r>
      <w:r w:rsidR="00B00D58" w:rsidRPr="00AA7DB8">
        <w:rPr>
          <w:i/>
          <w:iCs/>
        </w:rPr>
        <w:t>Toolkit</w:t>
      </w:r>
      <w:r w:rsidR="00F3078D">
        <w:rPr>
          <w:i/>
          <w:iCs/>
        </w:rPr>
        <w:t>,</w:t>
      </w:r>
      <w:r w:rsidR="00710712" w:rsidRPr="00AA7DB8">
        <w:rPr>
          <w:i/>
          <w:iCs/>
        </w:rPr>
        <w:t xml:space="preserve"> </w:t>
      </w:r>
      <w:r w:rsidR="00684723">
        <w:rPr>
          <w:i/>
          <w:iCs/>
        </w:rPr>
        <w:t>I</w:t>
      </w:r>
      <w:r w:rsidR="00710712" w:rsidRPr="00AA7DB8">
        <w:rPr>
          <w:i/>
          <w:iCs/>
        </w:rPr>
        <w:t>ncluding Consider</w:t>
      </w:r>
      <w:r w:rsidR="00294E9C" w:rsidRPr="00AA7DB8">
        <w:rPr>
          <w:i/>
          <w:iCs/>
        </w:rPr>
        <w:t>ations</w:t>
      </w:r>
      <w:r w:rsidR="00710712" w:rsidRPr="00AA7DB8">
        <w:rPr>
          <w:i/>
          <w:iCs/>
        </w:rPr>
        <w:t xml:space="preserve"> for Access and </w:t>
      </w:r>
      <w:r w:rsidR="00294E9C" w:rsidRPr="00AA7DB8">
        <w:rPr>
          <w:i/>
          <w:iCs/>
        </w:rPr>
        <w:t>Benefit-Sharing</w:t>
      </w:r>
      <w:r w:rsidR="00C74C8C">
        <w:t xml:space="preserve"> </w:t>
      </w:r>
      <w:r w:rsidR="0003399A">
        <w:t xml:space="preserve">(Montreal, 2018) </w:t>
      </w:r>
      <w:r w:rsidR="005B2524">
        <w:t xml:space="preserve">to support </w:t>
      </w:r>
      <w:r w:rsidR="007B2331">
        <w:t xml:space="preserve">countries and stakeholders </w:t>
      </w:r>
      <w:r w:rsidR="00925CA8">
        <w:t xml:space="preserve">in </w:t>
      </w:r>
      <w:r w:rsidR="00F75430">
        <w:t>designing and implement</w:t>
      </w:r>
      <w:r w:rsidR="00F80C50">
        <w:t>ing</w:t>
      </w:r>
      <w:r w:rsidR="00F75430">
        <w:t xml:space="preserve"> their </w:t>
      </w:r>
      <w:r w:rsidR="004A3929">
        <w:t xml:space="preserve">communications and </w:t>
      </w:r>
      <w:r w:rsidR="00EC18B9">
        <w:t>awareness</w:t>
      </w:r>
      <w:r w:rsidR="004A3929">
        <w:t>-raising</w:t>
      </w:r>
      <w:r w:rsidR="00F75430">
        <w:t xml:space="preserve"> plans</w:t>
      </w:r>
      <w:r w:rsidR="00B443BD">
        <w:t>.</w:t>
      </w:r>
      <w:r w:rsidR="005A68A4">
        <w:t xml:space="preserve"> </w:t>
      </w:r>
    </w:p>
    <w:p w14:paraId="42A3D3E3" w14:textId="7260AB32" w:rsidR="008142AC" w:rsidRDefault="00E74BA7" w:rsidP="00137187">
      <w:pPr>
        <w:pStyle w:val="Heading2"/>
        <w:jc w:val="left"/>
      </w:pPr>
      <w:r>
        <w:t>F</w:t>
      </w:r>
      <w:r w:rsidR="00F67942">
        <w:t>.</w:t>
      </w:r>
      <w:r w:rsidR="00F67942">
        <w:tab/>
      </w:r>
      <w:r w:rsidR="008142AC">
        <w:t>Financial resources for capacity-building and development</w:t>
      </w:r>
    </w:p>
    <w:p w14:paraId="2204909F" w14:textId="77777777" w:rsidR="008142AC" w:rsidRPr="0004325B" w:rsidRDefault="008142AC" w:rsidP="008142AC">
      <w:pPr>
        <w:pStyle w:val="Para1"/>
        <w:ind w:left="540" w:firstLine="27"/>
      </w:pPr>
      <w:r>
        <w:t xml:space="preserve">Both international and national funding sources are required to support capacity-building and </w:t>
      </w:r>
      <w:r w:rsidRPr="0004325B">
        <w:t xml:space="preserve">development efforts for implementing the Protocol. </w:t>
      </w:r>
    </w:p>
    <w:p w14:paraId="242CDF7B" w14:textId="4C1B42F6" w:rsidR="008142AC" w:rsidRPr="0004325B" w:rsidRDefault="008142AC" w:rsidP="008142AC">
      <w:pPr>
        <w:pStyle w:val="Para1"/>
        <w:ind w:left="540" w:firstLine="27"/>
      </w:pPr>
      <w:r w:rsidRPr="0004325B">
        <w:t xml:space="preserve">In decision </w:t>
      </w:r>
      <w:hyperlink r:id="rId18" w:history="1">
        <w:hyperlink r:id="rId19" w:history="1">
          <w:hyperlink r:id="rId20">
            <w:r w:rsidRPr="00157FCF">
              <w:rPr>
                <w:rStyle w:val="Hyperlink"/>
              </w:rPr>
              <w:t>15/7</w:t>
            </w:r>
          </w:hyperlink>
        </w:hyperlink>
      </w:hyperlink>
      <w:r w:rsidRPr="0004325B">
        <w:t xml:space="preserve">, </w:t>
      </w:r>
      <w:r w:rsidR="00FC5913">
        <w:t xml:space="preserve">the Conference of the </w:t>
      </w:r>
      <w:r w:rsidRPr="0004325B">
        <w:t>Parties to the Convention adopted a strategy for resource mobilization for the Kunming-Montreal Global Biodiversity Framework</w:t>
      </w:r>
      <w:r w:rsidR="00127DA3">
        <w:t>,</w:t>
      </w:r>
      <w:r w:rsidR="00547C23">
        <w:rPr>
          <w:rStyle w:val="FootnoteReference"/>
        </w:rPr>
        <w:footnoteReference w:id="16"/>
      </w:r>
      <w:r w:rsidRPr="0004325B">
        <w:t xml:space="preserve"> </w:t>
      </w:r>
      <w:r w:rsidR="00547C23" w:rsidRPr="0004325B">
        <w:t>as guidance to facilitate the immediate mobilization of resources</w:t>
      </w:r>
      <w:r w:rsidR="00127DA3">
        <w:t>.</w:t>
      </w:r>
      <w:r w:rsidR="00547C23" w:rsidRPr="0004325B">
        <w:t xml:space="preserve"> </w:t>
      </w:r>
      <w:r w:rsidR="00127DA3">
        <w:t>I</w:t>
      </w:r>
      <w:r w:rsidR="00127DA3" w:rsidRPr="0004325B">
        <w:t xml:space="preserve">n decision </w:t>
      </w:r>
      <w:hyperlink r:id="rId21" w:history="1">
        <w:hyperlink r:id="rId22">
          <w:r w:rsidR="00127DA3" w:rsidRPr="00027217">
            <w:rPr>
              <w:rStyle w:val="Hyperlink"/>
            </w:rPr>
            <w:t>NP-4/8</w:t>
          </w:r>
        </w:hyperlink>
      </w:hyperlink>
      <w:r w:rsidR="00127DA3" w:rsidRPr="0004325B">
        <w:t xml:space="preserve">, </w:t>
      </w:r>
      <w:r w:rsidR="006A11C4">
        <w:t xml:space="preserve">the Conference of the </w:t>
      </w:r>
      <w:r w:rsidRPr="0004325B">
        <w:t xml:space="preserve">Parties </w:t>
      </w:r>
      <w:r w:rsidR="006A11C4">
        <w:t xml:space="preserve">serving as the meeting of </w:t>
      </w:r>
      <w:r w:rsidRPr="0004325B">
        <w:t xml:space="preserve">the </w:t>
      </w:r>
      <w:r w:rsidR="006A11C4">
        <w:t xml:space="preserve">Parties to the </w:t>
      </w:r>
      <w:r w:rsidR="00FE1754">
        <w:t xml:space="preserve">Nagoya </w:t>
      </w:r>
      <w:r w:rsidRPr="0004325B">
        <w:t>Protocol</w:t>
      </w:r>
      <w:r w:rsidR="00AD4574">
        <w:t xml:space="preserve"> </w:t>
      </w:r>
      <w:r w:rsidRPr="0004325B">
        <w:t xml:space="preserve">welcomed decision 15/7 and encouraged Parties to consider resource mobilization for the Nagoya Protocol in the implementation of the strategy </w:t>
      </w:r>
      <w:r w:rsidR="00E9489C">
        <w:t xml:space="preserve">for resource mobilization </w:t>
      </w:r>
      <w:r w:rsidRPr="0004325B">
        <w:t xml:space="preserve">and, in particular, to include provisions for the implementation of the Protocol in national biodiversity finance plans. </w:t>
      </w:r>
    </w:p>
    <w:p w14:paraId="6886429B" w14:textId="419F541B" w:rsidR="008142AC" w:rsidRPr="00863436" w:rsidRDefault="0073186E" w:rsidP="008142AC">
      <w:pPr>
        <w:pStyle w:val="Para1"/>
        <w:ind w:left="540" w:firstLine="27"/>
      </w:pPr>
      <w:r>
        <w:t>Also i</w:t>
      </w:r>
      <w:r w:rsidR="009F6E06">
        <w:t>n decision</w:t>
      </w:r>
      <w:r>
        <w:t xml:space="preserve"> </w:t>
      </w:r>
      <w:r w:rsidR="008F4F62">
        <w:t>15/7</w:t>
      </w:r>
      <w:r w:rsidR="009F6E06">
        <w:t xml:space="preserve">, </w:t>
      </w:r>
      <w:r w:rsidR="008F4F62">
        <w:t>the Conference of the Parties</w:t>
      </w:r>
      <w:r w:rsidR="006901E4">
        <w:t xml:space="preserve"> established a</w:t>
      </w:r>
      <w:r w:rsidR="008142AC" w:rsidRPr="0004325B">
        <w:t>n advisory committee on resource mobilization</w:t>
      </w:r>
      <w:r w:rsidR="008142AC" w:rsidRPr="00757405">
        <w:rPr>
          <w:vertAlign w:val="superscript"/>
        </w:rPr>
        <w:footnoteReference w:id="17"/>
      </w:r>
      <w:r w:rsidR="008142AC" w:rsidRPr="0004325B">
        <w:t xml:space="preserve"> to support the strengthening of the strategy for resource mobilization and to further operationalize </w:t>
      </w:r>
      <w:r w:rsidR="006901E4">
        <w:t xml:space="preserve">that </w:t>
      </w:r>
      <w:r w:rsidR="008142AC" w:rsidRPr="0004325B">
        <w:t>decision. An overview of the work undertaken</w:t>
      </w:r>
      <w:r w:rsidR="006901E4">
        <w:t>,</w:t>
      </w:r>
      <w:r w:rsidR="008142AC" w:rsidRPr="0004325B">
        <w:t xml:space="preserve"> including recommendations by the advisory committee on resource mobilization</w:t>
      </w:r>
      <w:r w:rsidR="006901E4">
        <w:t>,</w:t>
      </w:r>
      <w:r w:rsidR="008142AC" w:rsidRPr="0004325B">
        <w:t xml:space="preserve"> is </w:t>
      </w:r>
      <w:r w:rsidR="006901E4">
        <w:t>provided</w:t>
      </w:r>
      <w:r w:rsidR="003764DC">
        <w:t xml:space="preserve"> </w:t>
      </w:r>
      <w:r w:rsidR="008142AC" w:rsidRPr="0004325B">
        <w:t xml:space="preserve">in </w:t>
      </w:r>
      <w:r w:rsidR="008142AC" w:rsidRPr="00863436">
        <w:t>document CBD/SBI/4/</w:t>
      </w:r>
      <w:r w:rsidR="00863436" w:rsidRPr="00863436">
        <w:t>5</w:t>
      </w:r>
      <w:r w:rsidR="008142AC" w:rsidRPr="00863436">
        <w:t>.</w:t>
      </w:r>
    </w:p>
    <w:p w14:paraId="01B614BF" w14:textId="3E59072A" w:rsidR="008142AC" w:rsidRPr="0004325B" w:rsidRDefault="008142AC" w:rsidP="008142AC">
      <w:pPr>
        <w:pStyle w:val="Para1"/>
        <w:ind w:left="540" w:firstLine="27"/>
      </w:pPr>
      <w:r w:rsidRPr="0004325B">
        <w:t xml:space="preserve">In accordance with </w:t>
      </w:r>
      <w:hyperlink r:id="rId23" w:history="1">
        <w:r w:rsidR="003274B5">
          <w:rPr>
            <w:rStyle w:val="Hyperlink"/>
          </w:rPr>
          <w:t>A</w:t>
        </w:r>
        <w:r w:rsidRPr="001800EF">
          <w:rPr>
            <w:rStyle w:val="Hyperlink"/>
          </w:rPr>
          <w:t>rticle 25</w:t>
        </w:r>
      </w:hyperlink>
      <w:r w:rsidRPr="0004325B">
        <w:t xml:space="preserve"> </w:t>
      </w:r>
      <w:r w:rsidR="0079340A">
        <w:t xml:space="preserve">(2) </w:t>
      </w:r>
      <w:r w:rsidRPr="0004325B">
        <w:t>of the Protocol, the financial mechanism of the Convention is the financi</w:t>
      </w:r>
      <w:r w:rsidR="00CB56E3">
        <w:t>al</w:t>
      </w:r>
      <w:r w:rsidRPr="0004325B">
        <w:t xml:space="preserve"> mechanism of the Protocol. The </w:t>
      </w:r>
      <w:r w:rsidR="004D6FFC">
        <w:t>a</w:t>
      </w:r>
      <w:r w:rsidRPr="0004325B">
        <w:t xml:space="preserve">ction </w:t>
      </w:r>
      <w:r w:rsidR="004D6FFC">
        <w:t>p</w:t>
      </w:r>
      <w:r w:rsidRPr="0004325B">
        <w:t xml:space="preserve">lan could </w:t>
      </w:r>
      <w:r w:rsidR="009521C6">
        <w:t xml:space="preserve">serve </w:t>
      </w:r>
      <w:r w:rsidR="008A4847">
        <w:t>as</w:t>
      </w:r>
      <w:r w:rsidRPr="0004325B">
        <w:t xml:space="preserve"> </w:t>
      </w:r>
      <w:r w:rsidR="00AD144E">
        <w:t xml:space="preserve">a source of </w:t>
      </w:r>
      <w:r w:rsidRPr="0004325B">
        <w:t xml:space="preserve">strategic direction </w:t>
      </w:r>
      <w:r>
        <w:t xml:space="preserve">and guidance </w:t>
      </w:r>
      <w:r w:rsidRPr="0004325B">
        <w:t>for the financial mechanism.</w:t>
      </w:r>
    </w:p>
    <w:p w14:paraId="41468E19" w14:textId="4089E346" w:rsidR="008142AC" w:rsidRPr="004858DE" w:rsidRDefault="008142AC" w:rsidP="008142AC">
      <w:pPr>
        <w:pStyle w:val="Para1"/>
        <w:ind w:left="540" w:firstLine="27"/>
      </w:pPr>
      <w:r w:rsidRPr="004858DE">
        <w:t xml:space="preserve">An overview of other available international funding opportunities to support capacity-building and </w:t>
      </w:r>
      <w:r w:rsidRPr="002E793E">
        <w:t xml:space="preserve">development for the implementation of the Protocol </w:t>
      </w:r>
      <w:r w:rsidR="00715FAE" w:rsidRPr="002E793E">
        <w:t xml:space="preserve">is contained in information document </w:t>
      </w:r>
      <w:r w:rsidR="00715FAE" w:rsidRPr="00137187">
        <w:t>CBD/SBI/4/INF/</w:t>
      </w:r>
      <w:r w:rsidR="002E793E" w:rsidRPr="00137187">
        <w:t>3</w:t>
      </w:r>
      <w:r w:rsidRPr="00137187">
        <w:t>.</w:t>
      </w:r>
    </w:p>
    <w:p w14:paraId="17B6E604" w14:textId="3A217674" w:rsidR="00F414D2" w:rsidRPr="003A6D7B" w:rsidRDefault="00E74BA7" w:rsidP="00F67942">
      <w:pPr>
        <w:pStyle w:val="Heading2"/>
        <w:ind w:left="0" w:firstLine="0"/>
        <w:rPr>
          <w:lang w:val="en-CA"/>
        </w:rPr>
      </w:pPr>
      <w:r>
        <w:rPr>
          <w:lang w:val="en-CA"/>
        </w:rPr>
        <w:lastRenderedPageBreak/>
        <w:t>G</w:t>
      </w:r>
      <w:r w:rsidR="00F67942">
        <w:rPr>
          <w:lang w:val="en-CA"/>
        </w:rPr>
        <w:t>.</w:t>
      </w:r>
      <w:r w:rsidR="00F67942">
        <w:rPr>
          <w:lang w:val="en-CA"/>
        </w:rPr>
        <w:tab/>
      </w:r>
      <w:r w:rsidR="009B78E4" w:rsidRPr="003A6D7B">
        <w:rPr>
          <w:lang w:val="en-CA"/>
        </w:rPr>
        <w:t>Development of national</w:t>
      </w:r>
      <w:r w:rsidR="00A02944" w:rsidRPr="003A6D7B">
        <w:rPr>
          <w:lang w:val="en-CA"/>
        </w:rPr>
        <w:t xml:space="preserve"> </w:t>
      </w:r>
      <w:r w:rsidR="00285A6F" w:rsidRPr="003A6D7B">
        <w:rPr>
          <w:lang w:val="en-CA"/>
        </w:rPr>
        <w:t>p</w:t>
      </w:r>
      <w:r w:rsidR="00A02944" w:rsidRPr="003A6D7B">
        <w:rPr>
          <w:lang w:val="en-CA"/>
        </w:rPr>
        <w:t>lan</w:t>
      </w:r>
      <w:r w:rsidR="00954250" w:rsidRPr="003A6D7B">
        <w:rPr>
          <w:lang w:val="en-CA"/>
        </w:rPr>
        <w:t>s</w:t>
      </w:r>
    </w:p>
    <w:p w14:paraId="305F1207" w14:textId="3D53AFC8" w:rsidR="00512312" w:rsidRDefault="008600B8" w:rsidP="00F25C0E">
      <w:pPr>
        <w:pStyle w:val="Para1"/>
        <w:ind w:left="540" w:firstLine="27"/>
      </w:pPr>
      <w:r>
        <w:t xml:space="preserve">In order to advance the implementation of the </w:t>
      </w:r>
      <w:r w:rsidR="00D00E89">
        <w:t>Kunming-Montreal Global Biodiversity Framework</w:t>
      </w:r>
      <w:r w:rsidR="00AA28A2">
        <w:t>,</w:t>
      </w:r>
      <w:r w:rsidR="00802E8F">
        <w:t xml:space="preserve"> </w:t>
      </w:r>
      <w:r w:rsidR="00D563A9">
        <w:t xml:space="preserve">the </w:t>
      </w:r>
      <w:r w:rsidR="002F2AE8">
        <w:t xml:space="preserve">Conference of the </w:t>
      </w:r>
      <w:r w:rsidR="00160132">
        <w:t>Parties</w:t>
      </w:r>
      <w:r w:rsidR="00E65531">
        <w:t xml:space="preserve"> </w:t>
      </w:r>
      <w:r w:rsidR="00D819F7">
        <w:t>requested</w:t>
      </w:r>
      <w:r w:rsidR="00661FA8">
        <w:t xml:space="preserve"> Parties</w:t>
      </w:r>
      <w:r w:rsidR="00D819F7">
        <w:t xml:space="preserve"> to revise or updat</w:t>
      </w:r>
      <w:r w:rsidR="00642770">
        <w:t xml:space="preserve">e their </w:t>
      </w:r>
      <w:r w:rsidR="00755895" w:rsidRPr="00755895">
        <w:t>national biodiversity strategies and action plans</w:t>
      </w:r>
      <w:r w:rsidR="0087205A">
        <w:t>, including their national targets.</w:t>
      </w:r>
      <w:r w:rsidR="00217D74">
        <w:rPr>
          <w:rStyle w:val="FootnoteReference"/>
        </w:rPr>
        <w:footnoteReference w:id="18"/>
      </w:r>
      <w:r w:rsidR="002B6D25">
        <w:t xml:space="preserve"> </w:t>
      </w:r>
      <w:r w:rsidR="00662D64">
        <w:t xml:space="preserve">In decision </w:t>
      </w:r>
      <w:hyperlink r:id="rId24" w:history="1">
        <w:r w:rsidR="00C02353" w:rsidRPr="00B36E3B">
          <w:rPr>
            <w:rStyle w:val="Hyperlink"/>
          </w:rPr>
          <w:t>NP-4/5</w:t>
        </w:r>
      </w:hyperlink>
      <w:r w:rsidR="00841E81">
        <w:rPr>
          <w:rStyle w:val="Hyperlink"/>
        </w:rPr>
        <w:t xml:space="preserve"> </w:t>
      </w:r>
      <w:r w:rsidR="00841E81">
        <w:t>(para. 3)</w:t>
      </w:r>
      <w:r w:rsidR="002728D3">
        <w:t xml:space="preserve">, </w:t>
      </w:r>
      <w:r w:rsidR="00435C5D">
        <w:t>th</w:t>
      </w:r>
      <w:r w:rsidR="000559BA">
        <w:t xml:space="preserve">e </w:t>
      </w:r>
      <w:r w:rsidR="00B23AD7">
        <w:t>C</w:t>
      </w:r>
      <w:r w:rsidR="002934FA">
        <w:t xml:space="preserve">onference of the Parties serving as the </w:t>
      </w:r>
      <w:r w:rsidR="00435C5D">
        <w:t>meeting</w:t>
      </w:r>
      <w:r w:rsidR="002728D3">
        <w:t xml:space="preserve"> of the </w:t>
      </w:r>
      <w:r w:rsidR="00C02353" w:rsidRPr="00C02353">
        <w:t xml:space="preserve">Parties </w:t>
      </w:r>
      <w:r w:rsidR="002934FA">
        <w:t xml:space="preserve">to the Protocol </w:t>
      </w:r>
      <w:r w:rsidR="00FF2B8A">
        <w:t>invited Parties</w:t>
      </w:r>
      <w:r w:rsidR="000036DD">
        <w:t xml:space="preserve">, and encouraged other Governments, </w:t>
      </w:r>
      <w:r w:rsidR="00C02353" w:rsidRPr="00C02353">
        <w:t xml:space="preserve">to make use of the approach to planning, monitoring, reporting and review </w:t>
      </w:r>
      <w:r w:rsidR="00125FC0">
        <w:t>set out</w:t>
      </w:r>
      <w:r w:rsidR="00C46DD8">
        <w:t xml:space="preserve"> in decision </w:t>
      </w:r>
      <w:hyperlink r:id="rId25" w:history="1">
        <w:r w:rsidR="00C46DD8" w:rsidRPr="00157FCF">
          <w:rPr>
            <w:rStyle w:val="Hyperlink"/>
          </w:rPr>
          <w:t>15/6</w:t>
        </w:r>
      </w:hyperlink>
      <w:r w:rsidR="00C02353" w:rsidRPr="00C02353">
        <w:t xml:space="preserve"> to enhance the implementation of the Nagoya Protocol and the integration of </w:t>
      </w:r>
      <w:r w:rsidR="00D434F4">
        <w:t xml:space="preserve">access and benefit-sharing </w:t>
      </w:r>
      <w:r w:rsidR="00C02353" w:rsidRPr="00C02353">
        <w:t xml:space="preserve">in revised or updated </w:t>
      </w:r>
      <w:bookmarkStart w:id="3" w:name="_Hlk163151706"/>
      <w:r w:rsidR="005B1F2F" w:rsidRPr="005B1F2F">
        <w:rPr>
          <w:lang w:val="en-GB"/>
        </w:rPr>
        <w:t>national biodiversity strategies and action plans</w:t>
      </w:r>
      <w:bookmarkEnd w:id="3"/>
      <w:r w:rsidR="00C02353" w:rsidRPr="00C02353">
        <w:t>.</w:t>
      </w:r>
    </w:p>
    <w:p w14:paraId="7EA86246" w14:textId="43B6D19F" w:rsidR="00601CA5" w:rsidRPr="00B567B3" w:rsidRDefault="00B567B3" w:rsidP="00F25C0E">
      <w:pPr>
        <w:pStyle w:val="Para1"/>
        <w:ind w:left="540" w:firstLine="27"/>
      </w:pPr>
      <w:r w:rsidRPr="00B567B3">
        <w:t xml:space="preserve">The </w:t>
      </w:r>
      <w:r w:rsidR="00125FC0">
        <w:t>a</w:t>
      </w:r>
      <w:r w:rsidRPr="00B567B3">
        <w:t xml:space="preserve">ction </w:t>
      </w:r>
      <w:r w:rsidR="00125FC0">
        <w:t>p</w:t>
      </w:r>
      <w:r w:rsidRPr="00B567B3">
        <w:t xml:space="preserve">lan can </w:t>
      </w:r>
      <w:r w:rsidR="009521C6">
        <w:t>serve as</w:t>
      </w:r>
      <w:r w:rsidRPr="00B567B3">
        <w:t xml:space="preserve"> guidance </w:t>
      </w:r>
      <w:r w:rsidR="00C17CD9">
        <w:t>in</w:t>
      </w:r>
      <w:r w:rsidRPr="00B567B3">
        <w:t xml:space="preserve"> assist</w:t>
      </w:r>
      <w:r w:rsidR="00C17CD9">
        <w:t>ing</w:t>
      </w:r>
      <w:r w:rsidRPr="00B567B3">
        <w:t xml:space="preserve"> Parties </w:t>
      </w:r>
      <w:r w:rsidR="00F65FD0">
        <w:t>a</w:t>
      </w:r>
      <w:r w:rsidR="00601CA5" w:rsidRPr="00B567B3">
        <w:t xml:space="preserve">s </w:t>
      </w:r>
      <w:r w:rsidR="00F65FD0">
        <w:t>they</w:t>
      </w:r>
      <w:r w:rsidR="00601CA5" w:rsidRPr="00B567B3">
        <w:t xml:space="preserve"> revise or update their </w:t>
      </w:r>
      <w:r w:rsidR="00C17CD9" w:rsidRPr="00C17CD9">
        <w:rPr>
          <w:lang w:val="en-GB"/>
        </w:rPr>
        <w:t>national biodiversity strategies and action plans</w:t>
      </w:r>
      <w:r w:rsidR="001222A8" w:rsidRPr="00B567B3">
        <w:t xml:space="preserve"> and</w:t>
      </w:r>
      <w:r w:rsidR="003C6564" w:rsidRPr="00B567B3">
        <w:t xml:space="preserve"> </w:t>
      </w:r>
      <w:r w:rsidR="00D5653F" w:rsidRPr="00B567B3">
        <w:t>establish national targets to</w:t>
      </w:r>
      <w:r w:rsidR="00427518" w:rsidRPr="00B567B3">
        <w:t xml:space="preserve">wards Goal C and </w:t>
      </w:r>
      <w:r w:rsidR="00BD2D2A" w:rsidRPr="00B567B3">
        <w:t>Target 13</w:t>
      </w:r>
      <w:r w:rsidR="001D10AF" w:rsidRPr="00B567B3">
        <w:t xml:space="preserve">, </w:t>
      </w:r>
      <w:r w:rsidR="001222A8" w:rsidRPr="00B567B3">
        <w:t>as well as</w:t>
      </w:r>
      <w:r w:rsidR="00A858ED" w:rsidRPr="00B567B3">
        <w:t xml:space="preserve"> action</w:t>
      </w:r>
      <w:r w:rsidR="00AA62D2" w:rsidRPr="00B567B3">
        <w:t>s, policies and programmes to achieve the</w:t>
      </w:r>
      <w:r w:rsidR="00375FBC">
        <w:t>se targets</w:t>
      </w:r>
      <w:r w:rsidR="007A4033">
        <w:t>.</w:t>
      </w:r>
      <w:r w:rsidR="00617DD0" w:rsidRPr="00B567B3">
        <w:t xml:space="preserve"> </w:t>
      </w:r>
      <w:r w:rsidR="001222A8" w:rsidRPr="00B567B3">
        <w:t>T</w:t>
      </w:r>
      <w:r w:rsidR="00617DD0" w:rsidRPr="00B567B3">
        <w:t>he development of these actions should go hand in hand with the identification of financing and capacity gaps and the development of national finance plans, or similar instruments, as well as capacity-building and development plans</w:t>
      </w:r>
      <w:r w:rsidR="00A3481A" w:rsidRPr="00B567B3">
        <w:t xml:space="preserve"> based on needs and priorities, including those of indigenous peoples and local communities and relevant stakeholders. </w:t>
      </w:r>
    </w:p>
    <w:p w14:paraId="189DD126" w14:textId="55C09EE5" w:rsidR="00753A60" w:rsidRDefault="00E74BA7" w:rsidP="00F67942">
      <w:pPr>
        <w:pStyle w:val="Heading2"/>
      </w:pPr>
      <w:r>
        <w:t>H</w:t>
      </w:r>
      <w:r w:rsidR="00923D7A">
        <w:t>.</w:t>
      </w:r>
      <w:r w:rsidR="00923D7A">
        <w:tab/>
      </w:r>
      <w:r w:rsidR="00753A60">
        <w:t>Role of the Secretariat and mechanism for providing advice to the Executive Secretary</w:t>
      </w:r>
    </w:p>
    <w:p w14:paraId="796D4D42" w14:textId="77777777" w:rsidR="00753A60" w:rsidRDefault="00753A60" w:rsidP="00137187">
      <w:pPr>
        <w:pStyle w:val="Heading3"/>
        <w:ind w:left="567" w:hanging="567"/>
      </w:pPr>
      <w:r>
        <w:t>Role of the Secretariat</w:t>
      </w:r>
    </w:p>
    <w:p w14:paraId="7139CE7E" w14:textId="23CD634E" w:rsidR="00753A60" w:rsidRDefault="009D2D96" w:rsidP="0062412A">
      <w:pPr>
        <w:pStyle w:val="Para1"/>
        <w:ind w:left="540" w:firstLine="27"/>
      </w:pPr>
      <w:r>
        <w:t>The</w:t>
      </w:r>
      <w:r w:rsidR="00753A60">
        <w:t xml:space="preserve"> Secretariat will continue to support efforts to implement the Protocol. This support includes </w:t>
      </w:r>
      <w:r w:rsidR="005003F8">
        <w:t xml:space="preserve">the </w:t>
      </w:r>
      <w:r w:rsidR="009521C6">
        <w:t>operation</w:t>
      </w:r>
      <w:r w:rsidR="005003F8">
        <w:t xml:space="preserve"> and </w:t>
      </w:r>
      <w:r w:rsidR="009E66F5">
        <w:t>administration of</w:t>
      </w:r>
      <w:r w:rsidR="00753A60">
        <w:t xml:space="preserve"> the Access and Benefit-sharing Clearing-House and undertaking and facilitating activities, including capacity-building and development activities, as requested by the Conference of the Parties serving as the meeting of the Parties to the Protocol.</w:t>
      </w:r>
    </w:p>
    <w:p w14:paraId="51B398CE" w14:textId="073414CC" w:rsidR="00753A60" w:rsidRDefault="00753A60" w:rsidP="0062412A">
      <w:pPr>
        <w:pStyle w:val="Para1"/>
        <w:ind w:left="540" w:firstLine="27"/>
      </w:pPr>
      <w:r>
        <w:t xml:space="preserve">The Secretariat will disseminate and promote the use of the </w:t>
      </w:r>
      <w:r w:rsidR="00A82D5E">
        <w:t>a</w:t>
      </w:r>
      <w:r>
        <w:t xml:space="preserve">ction </w:t>
      </w:r>
      <w:r w:rsidR="00241395">
        <w:t>p</w:t>
      </w:r>
      <w:r>
        <w:t xml:space="preserve">lan by its target audiences. Additional support may be provided upon request </w:t>
      </w:r>
      <w:r w:rsidR="00CF4536">
        <w:t>by</w:t>
      </w:r>
      <w:r>
        <w:t xml:space="preserve"> the Conference of </w:t>
      </w:r>
      <w:r w:rsidR="00241395">
        <w:t xml:space="preserve">the </w:t>
      </w:r>
      <w:r>
        <w:t xml:space="preserve">Parties serving as the meeting of </w:t>
      </w:r>
      <w:r w:rsidR="00241395">
        <w:t xml:space="preserve">the </w:t>
      </w:r>
      <w:r>
        <w:t xml:space="preserve">Parties to the Protocol. Such support could include compiling experiences and good practices </w:t>
      </w:r>
      <w:r w:rsidR="009521C6">
        <w:t xml:space="preserve">and </w:t>
      </w:r>
      <w:r>
        <w:t>bringing together Parties, indigenous peoples and local communities and other relevant stakeholders to share experiences</w:t>
      </w:r>
      <w:r w:rsidR="00E93CCB">
        <w:t xml:space="preserve"> </w:t>
      </w:r>
      <w:r w:rsidR="5157F658">
        <w:t>and good practices</w:t>
      </w:r>
      <w:r>
        <w:t xml:space="preserve"> at the global level.</w:t>
      </w:r>
    </w:p>
    <w:p w14:paraId="1DE05F85" w14:textId="6F1F95E0" w:rsidR="00753A60" w:rsidRDefault="00753A60" w:rsidP="00137187">
      <w:pPr>
        <w:pStyle w:val="Heading3"/>
        <w:ind w:left="567" w:hanging="567"/>
      </w:pPr>
      <w:r>
        <w:t xml:space="preserve">Mechanism </w:t>
      </w:r>
      <w:r w:rsidR="002C55D1">
        <w:t>for</w:t>
      </w:r>
      <w:r>
        <w:t xml:space="preserve"> provid</w:t>
      </w:r>
      <w:r w:rsidR="002C55D1">
        <w:t>ing</w:t>
      </w:r>
      <w:r>
        <w:t xml:space="preserve"> advice to the Executive Secretary </w:t>
      </w:r>
    </w:p>
    <w:p w14:paraId="43BD392C" w14:textId="7A9E9F71" w:rsidR="00753A60" w:rsidRDefault="00753A60" w:rsidP="00D00513">
      <w:pPr>
        <w:pStyle w:val="Para1"/>
        <w:ind w:left="540" w:firstLine="27"/>
      </w:pPr>
      <w:r>
        <w:t xml:space="preserve">At its first meeting, the Conference of the Parties serving as the meeting of the Parties to the </w:t>
      </w:r>
      <w:r w:rsidR="00D920A1">
        <w:t xml:space="preserve">Nagoya </w:t>
      </w:r>
      <w:r>
        <w:t xml:space="preserve">Protocol established an </w:t>
      </w:r>
      <w:r w:rsidR="008E480E">
        <w:t>I</w:t>
      </w:r>
      <w:r>
        <w:t xml:space="preserve">nformal </w:t>
      </w:r>
      <w:r w:rsidR="008E480E">
        <w:t>A</w:t>
      </w:r>
      <w:r>
        <w:t xml:space="preserve">dvisory </w:t>
      </w:r>
      <w:r w:rsidR="008E480E">
        <w:t>C</w:t>
      </w:r>
      <w:r>
        <w:t xml:space="preserve">ommittee on </w:t>
      </w:r>
      <w:r w:rsidR="008E480E">
        <w:t>C</w:t>
      </w:r>
      <w:r>
        <w:t xml:space="preserve">apacity-building for the </w:t>
      </w:r>
      <w:r w:rsidR="008E480E">
        <w:t>I</w:t>
      </w:r>
      <w:r>
        <w:t xml:space="preserve">mplementation of the Protocol. The </w:t>
      </w:r>
      <w:r w:rsidR="008E480E">
        <w:t>I</w:t>
      </w:r>
      <w:r>
        <w:t xml:space="preserve">nformal </w:t>
      </w:r>
      <w:r w:rsidR="008E480E">
        <w:t>A</w:t>
      </w:r>
      <w:r>
        <w:t xml:space="preserve">dvisory </w:t>
      </w:r>
      <w:r w:rsidR="008E480E">
        <w:t>C</w:t>
      </w:r>
      <w:r>
        <w:t xml:space="preserve">ommittee was to provide advice to the Executive Secretary on matters related to the implementation of the strategic framework for capacity-building. The </w:t>
      </w:r>
      <w:r w:rsidR="00882D3C">
        <w:t>C</w:t>
      </w:r>
      <w:r>
        <w:t xml:space="preserve">ommittee had a time-limited mandate which was extended by the Conference of the Parties serving as the meeting of the Parties to the Protocol at both its third and fourth meetings. In decision NP-4/7, the Conference of the Parties serving as the meeting of the Parties to the Protocol </w:t>
      </w:r>
      <w:r w:rsidR="00356B38">
        <w:t xml:space="preserve">decided to </w:t>
      </w:r>
      <w:r>
        <w:t xml:space="preserve">update the terms of reference of the </w:t>
      </w:r>
      <w:r w:rsidR="00B83A9C">
        <w:t>C</w:t>
      </w:r>
      <w:r>
        <w:t xml:space="preserve">ommittee and expanded its membership to include representatives of the business sector, the research community and youth, in addition to the </w:t>
      </w:r>
      <w:r w:rsidR="00336B8D">
        <w:t>15</w:t>
      </w:r>
      <w:r>
        <w:t xml:space="preserve"> experts from Parties, three </w:t>
      </w:r>
      <w:r w:rsidR="001D7AD1">
        <w:t xml:space="preserve">representatives of </w:t>
      </w:r>
      <w:r>
        <w:t>indigenous peoples and local communities and representatives of relevant organizations.</w:t>
      </w:r>
    </w:p>
    <w:p w14:paraId="4D472E3E" w14:textId="00A06A57" w:rsidR="00753A60" w:rsidRDefault="00D11774" w:rsidP="00D00513">
      <w:pPr>
        <w:pStyle w:val="Para1"/>
        <w:ind w:left="540" w:firstLine="27"/>
      </w:pPr>
      <w:r>
        <w:t>As t</w:t>
      </w:r>
      <w:r w:rsidR="00753A60">
        <w:t xml:space="preserve">he mandate of the </w:t>
      </w:r>
      <w:r w:rsidR="0079791B">
        <w:t>I</w:t>
      </w:r>
      <w:r w:rsidR="00753A60">
        <w:t xml:space="preserve">nformal </w:t>
      </w:r>
      <w:r w:rsidR="0079791B">
        <w:t>A</w:t>
      </w:r>
      <w:r w:rsidR="00753A60">
        <w:t xml:space="preserve">dvisory </w:t>
      </w:r>
      <w:r w:rsidR="0079791B">
        <w:t>C</w:t>
      </w:r>
      <w:r w:rsidR="00753A60">
        <w:t xml:space="preserve">ommittee on </w:t>
      </w:r>
      <w:r>
        <w:t>C</w:t>
      </w:r>
      <w:r w:rsidR="00753A60">
        <w:t xml:space="preserve">apacity-building expires at the </w:t>
      </w:r>
      <w:r w:rsidR="00C95AF1">
        <w:t xml:space="preserve">time of the </w:t>
      </w:r>
      <w:r w:rsidR="00753A60">
        <w:t>fifth meeting of the Conference of the Parties serving as the meeting of the Parties to the Protocol, a decision needs to be taken on the way forward. At its most recent meeting</w:t>
      </w:r>
      <w:r w:rsidR="00C95AF1">
        <w:t>,</w:t>
      </w:r>
      <w:r w:rsidR="00753A60">
        <w:t xml:space="preserve"> in June 2023, the </w:t>
      </w:r>
      <w:r w:rsidR="00C95AF1">
        <w:t>I</w:t>
      </w:r>
      <w:r w:rsidR="00753A60">
        <w:t xml:space="preserve">nformal </w:t>
      </w:r>
      <w:r w:rsidR="00C95AF1">
        <w:t>A</w:t>
      </w:r>
      <w:r w:rsidR="00753A60">
        <w:t xml:space="preserve">dvisory </w:t>
      </w:r>
      <w:r w:rsidR="00C95AF1">
        <w:t>C</w:t>
      </w:r>
      <w:r w:rsidR="00753A60">
        <w:t xml:space="preserve">ommittee on </w:t>
      </w:r>
      <w:r w:rsidR="00C95AF1">
        <w:t>C</w:t>
      </w:r>
      <w:r w:rsidR="00753A60">
        <w:t>apacity</w:t>
      </w:r>
      <w:r w:rsidR="0096670C">
        <w:t>-</w:t>
      </w:r>
      <w:r w:rsidR="00753A60">
        <w:t xml:space="preserve">building suggested </w:t>
      </w:r>
      <w:r w:rsidR="00561DA9">
        <w:t>expanding</w:t>
      </w:r>
      <w:r w:rsidR="00753A60">
        <w:t xml:space="preserve"> the mandate of the </w:t>
      </w:r>
      <w:r w:rsidR="00C95AF1">
        <w:t>C</w:t>
      </w:r>
      <w:r w:rsidR="00753A60">
        <w:t xml:space="preserve">ommittee to </w:t>
      </w:r>
      <w:r w:rsidR="000C7174">
        <w:t>include</w:t>
      </w:r>
      <w:r w:rsidR="00C95AF1">
        <w:t xml:space="preserve"> </w:t>
      </w:r>
      <w:r w:rsidR="00753A60">
        <w:t>providing advice on issues more generally related to the implementation of the Protocol, while keeping the current expanded membership.</w:t>
      </w:r>
      <w:r w:rsidR="00753A60">
        <w:rPr>
          <w:rStyle w:val="FootnoteReference"/>
        </w:rPr>
        <w:footnoteReference w:id="19"/>
      </w:r>
      <w:r w:rsidR="00753A60">
        <w:t xml:space="preserve"> </w:t>
      </w:r>
    </w:p>
    <w:p w14:paraId="3EC5D185" w14:textId="0F685BE4" w:rsidR="00753A60" w:rsidRPr="003256AB" w:rsidRDefault="00273043" w:rsidP="00D00513">
      <w:pPr>
        <w:pStyle w:val="Para1"/>
        <w:ind w:left="540" w:firstLine="27"/>
      </w:pPr>
      <w:r>
        <w:lastRenderedPageBreak/>
        <w:t xml:space="preserve">A proposal for a </w:t>
      </w:r>
      <w:r w:rsidR="00517B7F">
        <w:t>mechanism for providing advice to the Executive Secretary on issues related to implementation</w:t>
      </w:r>
      <w:r w:rsidR="00105E08">
        <w:t xml:space="preserve"> </w:t>
      </w:r>
      <w:r w:rsidR="002B56FB">
        <w:t xml:space="preserve">of the </w:t>
      </w:r>
      <w:r w:rsidR="000C7174">
        <w:t xml:space="preserve">Nagoya </w:t>
      </w:r>
      <w:r w:rsidR="002B56FB">
        <w:t>Protoco</w:t>
      </w:r>
      <w:r w:rsidR="00E331B0">
        <w:t>l</w:t>
      </w:r>
      <w:r w:rsidR="002B56FB">
        <w:t xml:space="preserve"> </w:t>
      </w:r>
      <w:r w:rsidR="00105E08">
        <w:t xml:space="preserve">is </w:t>
      </w:r>
      <w:r w:rsidR="00D27E11">
        <w:t>included</w:t>
      </w:r>
      <w:r w:rsidR="00753A60">
        <w:t xml:space="preserve"> in </w:t>
      </w:r>
      <w:r w:rsidR="00753A60" w:rsidRPr="00CB56E3">
        <w:t>document CBD/SBI/4/</w:t>
      </w:r>
      <w:r w:rsidR="00CB56E3" w:rsidRPr="00CB56E3">
        <w:t>12</w:t>
      </w:r>
      <w:r w:rsidR="00753A60" w:rsidRPr="00CB56E3">
        <w:t xml:space="preserve"> on</w:t>
      </w:r>
      <w:r w:rsidR="00753A60">
        <w:t xml:space="preserve"> assessment and review</w:t>
      </w:r>
      <w:r w:rsidR="00F218FC">
        <w:t xml:space="preserve"> of the Protocol</w:t>
      </w:r>
      <w:r w:rsidR="00D27E11">
        <w:t xml:space="preserve">. In </w:t>
      </w:r>
      <w:r w:rsidR="00DA47D5">
        <w:t>this regard</w:t>
      </w:r>
      <w:r w:rsidR="00D27E11">
        <w:t xml:space="preserve">, </w:t>
      </w:r>
      <w:r w:rsidR="00442BE1">
        <w:t>it is proposed that</w:t>
      </w:r>
      <w:r w:rsidR="00753A60">
        <w:t xml:space="preserve"> the mandate of the </w:t>
      </w:r>
      <w:r w:rsidR="00DA47D5">
        <w:t>I</w:t>
      </w:r>
      <w:r w:rsidR="00753A60">
        <w:t xml:space="preserve">nformal </w:t>
      </w:r>
      <w:r w:rsidR="00DA47D5">
        <w:t>A</w:t>
      </w:r>
      <w:r w:rsidR="00753A60">
        <w:t xml:space="preserve">dvisory </w:t>
      </w:r>
      <w:r w:rsidR="00DA47D5">
        <w:t>C</w:t>
      </w:r>
      <w:r w:rsidR="00753A60">
        <w:t xml:space="preserve">ommittee on </w:t>
      </w:r>
      <w:r w:rsidR="00DA47D5">
        <w:t>C</w:t>
      </w:r>
      <w:r w:rsidR="00753A60">
        <w:t xml:space="preserve">apacity-building </w:t>
      </w:r>
      <w:r w:rsidR="000A2CB2">
        <w:t xml:space="preserve">be </w:t>
      </w:r>
      <w:r w:rsidR="00753A60">
        <w:t xml:space="preserve">expanded to </w:t>
      </w:r>
      <w:r w:rsidR="000C7174">
        <w:t xml:space="preserve">include </w:t>
      </w:r>
      <w:r w:rsidR="00753A60">
        <w:t>provid</w:t>
      </w:r>
      <w:r w:rsidR="000C7174">
        <w:t>ing</w:t>
      </w:r>
      <w:r w:rsidR="00753A60">
        <w:t xml:space="preserve"> advice to the Executive Secretary on issues related to </w:t>
      </w:r>
      <w:r w:rsidR="00561DA9">
        <w:t xml:space="preserve">the </w:t>
      </w:r>
      <w:r w:rsidR="00753A60">
        <w:t xml:space="preserve">implementation of the Protocol. </w:t>
      </w:r>
      <w:r w:rsidR="00753A60" w:rsidRPr="003256AB">
        <w:t xml:space="preserve">This could include, as necessary, advice on issues related to capacity-building and development, awareness-raising, </w:t>
      </w:r>
      <w:r w:rsidR="00104B27">
        <w:t xml:space="preserve">and </w:t>
      </w:r>
      <w:r w:rsidR="00753A60" w:rsidRPr="003256AB">
        <w:t xml:space="preserve">the assessment and review process under the Protocol, with flexibility </w:t>
      </w:r>
      <w:r w:rsidR="00831D30">
        <w:t xml:space="preserve">with respect </w:t>
      </w:r>
      <w:r w:rsidR="00753A60" w:rsidRPr="003256AB">
        <w:t>to adapt</w:t>
      </w:r>
      <w:r w:rsidR="00831D30">
        <w:t>ing</w:t>
      </w:r>
      <w:r w:rsidR="00753A60" w:rsidRPr="003256AB">
        <w:t xml:space="preserve"> its tasks as the need arises.</w:t>
      </w:r>
    </w:p>
    <w:p w14:paraId="0E1326FD" w14:textId="657A337E" w:rsidR="00DB1E0E" w:rsidRDefault="00715DE6" w:rsidP="00137187">
      <w:pPr>
        <w:pStyle w:val="Heading1"/>
        <w:ind w:left="567" w:hanging="567"/>
      </w:pPr>
      <w:r>
        <w:t>Suggested issues for consideration by the Subsidiary Body on</w:t>
      </w:r>
      <w:r w:rsidR="0096112C">
        <w:t xml:space="preserve"> Implementation </w:t>
      </w:r>
    </w:p>
    <w:p w14:paraId="53A4DBB0" w14:textId="68B57262" w:rsidR="00B320AC" w:rsidRDefault="00DB1E0E" w:rsidP="00D00513">
      <w:pPr>
        <w:pStyle w:val="Para1"/>
        <w:ind w:left="540" w:firstLine="27"/>
      </w:pPr>
      <w:r>
        <w:t xml:space="preserve">The Subsidiary Body on Implementation may wish to review the proposed </w:t>
      </w:r>
      <w:r w:rsidR="000369FD">
        <w:t>c</w:t>
      </w:r>
      <w:r>
        <w:t xml:space="preserve">apacity-building and </w:t>
      </w:r>
      <w:r w:rsidR="000369FD">
        <w:t>d</w:t>
      </w:r>
      <w:r>
        <w:t xml:space="preserve">evelopment </w:t>
      </w:r>
      <w:r w:rsidR="000369FD">
        <w:t>a</w:t>
      </w:r>
      <w:r>
        <w:t xml:space="preserve">ction </w:t>
      </w:r>
      <w:r w:rsidR="000369FD">
        <w:t>p</w:t>
      </w:r>
      <w:r>
        <w:t>lan for the Nagoya Protocol, as contained in annex</w:t>
      </w:r>
      <w:r w:rsidR="009C7F51">
        <w:t xml:space="preserve"> II</w:t>
      </w:r>
      <w:r>
        <w:t xml:space="preserve"> to the present document</w:t>
      </w:r>
      <w:r w:rsidR="00B320AC">
        <w:t>, taking into account the following considerations:</w:t>
      </w:r>
    </w:p>
    <w:p w14:paraId="5A26EC98" w14:textId="1F8D2ABC" w:rsidR="00684888" w:rsidRDefault="00684888" w:rsidP="002F6A6A">
      <w:pPr>
        <w:pStyle w:val="Para2"/>
      </w:pPr>
      <w:r>
        <w:t>(a)</w:t>
      </w:r>
      <w:r>
        <w:tab/>
        <w:t xml:space="preserve">Different outcome areas have different target </w:t>
      </w:r>
      <w:r w:rsidR="0017235A">
        <w:t xml:space="preserve">groups, which </w:t>
      </w:r>
      <w:r>
        <w:t xml:space="preserve">are identified in the explanatory text under each outcome area; </w:t>
      </w:r>
    </w:p>
    <w:p w14:paraId="0FCB6026" w14:textId="4528FB4F" w:rsidR="00DB1E0E" w:rsidRDefault="00656E31" w:rsidP="002F6A6A">
      <w:pPr>
        <w:pStyle w:val="Para2"/>
      </w:pPr>
      <w:r>
        <w:t>(</w:t>
      </w:r>
      <w:r w:rsidR="00684888">
        <w:t>b</w:t>
      </w:r>
      <w:r>
        <w:t>)</w:t>
      </w:r>
      <w:r w:rsidR="00B62316">
        <w:tab/>
      </w:r>
      <w:r w:rsidR="00E17793">
        <w:t>The</w:t>
      </w:r>
      <w:r w:rsidR="001201CD">
        <w:t xml:space="preserve"> drafting of </w:t>
      </w:r>
      <w:r w:rsidR="00345027">
        <w:t>outputs</w:t>
      </w:r>
      <w:r w:rsidR="00B21F44">
        <w:t xml:space="preserve"> and indicative ac</w:t>
      </w:r>
      <w:r w:rsidR="00CB3437">
        <w:t xml:space="preserve">tivities </w:t>
      </w:r>
      <w:r w:rsidR="007E5CD3">
        <w:t>conta</w:t>
      </w:r>
      <w:r w:rsidR="00083866">
        <w:t xml:space="preserve">ined in the </w:t>
      </w:r>
      <w:r w:rsidR="000369FD">
        <w:t>a</w:t>
      </w:r>
      <w:r w:rsidR="00083866">
        <w:t xml:space="preserve">ction </w:t>
      </w:r>
      <w:r w:rsidR="000369FD">
        <w:t>p</w:t>
      </w:r>
      <w:r w:rsidR="00083866">
        <w:t xml:space="preserve">lan </w:t>
      </w:r>
      <w:r w:rsidR="002F2638">
        <w:t>is</w:t>
      </w:r>
      <w:r w:rsidR="00CB3437">
        <w:t xml:space="preserve"> </w:t>
      </w:r>
      <w:r w:rsidR="0070195E">
        <w:t xml:space="preserve">meant to be as </w:t>
      </w:r>
      <w:r w:rsidR="00CB3437">
        <w:t xml:space="preserve">general </w:t>
      </w:r>
      <w:r w:rsidR="0070195E">
        <w:t xml:space="preserve">as possible </w:t>
      </w:r>
      <w:r w:rsidR="00CB3437">
        <w:t>to allow for Parties, indigenous peoples and local communities, relevant stakeholders and organi</w:t>
      </w:r>
      <w:r w:rsidR="008D1BFA">
        <w:t>z</w:t>
      </w:r>
      <w:r w:rsidR="00CB3437">
        <w:t xml:space="preserve">ations to adapt them </w:t>
      </w:r>
      <w:r w:rsidR="00385F14">
        <w:t>to their specific</w:t>
      </w:r>
      <w:r w:rsidR="001C1553">
        <w:t xml:space="preserve"> needs, priorities and </w:t>
      </w:r>
      <w:r w:rsidR="00345027">
        <w:t>circumstances</w:t>
      </w:r>
      <w:r>
        <w:t>;</w:t>
      </w:r>
    </w:p>
    <w:p w14:paraId="7FDD47E2" w14:textId="3325FFF3" w:rsidR="004C3122" w:rsidRDefault="00656E31" w:rsidP="002F6A6A">
      <w:pPr>
        <w:pStyle w:val="Para2"/>
      </w:pPr>
      <w:r>
        <w:t>(c)</w:t>
      </w:r>
      <w:r w:rsidR="00B62316">
        <w:tab/>
      </w:r>
      <w:r w:rsidR="00DA7128">
        <w:t>The drafting of outputs and indicative activities aim</w:t>
      </w:r>
      <w:r w:rsidR="009742B3">
        <w:t>s</w:t>
      </w:r>
      <w:r w:rsidR="00DA7128">
        <w:t xml:space="preserve"> to</w:t>
      </w:r>
      <w:r w:rsidR="00BD7A96">
        <w:t>wards</w:t>
      </w:r>
      <w:r w:rsidR="00DA7128">
        <w:t xml:space="preserve"> avoid</w:t>
      </w:r>
      <w:r w:rsidR="00BD7A96">
        <w:t>ing</w:t>
      </w:r>
      <w:r w:rsidR="00DA7128">
        <w:t xml:space="preserve"> r</w:t>
      </w:r>
      <w:r w:rsidR="00C62DA5">
        <w:t>epetition and duplication</w:t>
      </w:r>
      <w:r w:rsidR="00DA7128">
        <w:t xml:space="preserve"> </w:t>
      </w:r>
      <w:r w:rsidR="004F5E2F">
        <w:t>of information</w:t>
      </w:r>
      <w:r>
        <w:t>.</w:t>
      </w:r>
    </w:p>
    <w:p w14:paraId="08345A0A" w14:textId="66240256" w:rsidR="00DB1E0E" w:rsidRDefault="00DB1E0E" w:rsidP="00D00513">
      <w:pPr>
        <w:pStyle w:val="Para1"/>
        <w:ind w:left="540" w:firstLine="27"/>
      </w:pPr>
      <w:r>
        <w:t xml:space="preserve">The Subsidiary Body on Implementation may wish to recommend that the Conference of the Parties serving as the meeting of the Parties to the Protocol, at its fifth meeting, adopt a decision along the following lines: </w:t>
      </w:r>
    </w:p>
    <w:p w14:paraId="5B6EE901" w14:textId="77777777" w:rsidR="00DB1E0E" w:rsidRPr="003906C5" w:rsidRDefault="00DB1E0E" w:rsidP="009D2502">
      <w:pPr>
        <w:pStyle w:val="Para2"/>
        <w:rPr>
          <w:i/>
          <w:iCs/>
        </w:rPr>
      </w:pPr>
      <w:r w:rsidRPr="003906C5">
        <w:rPr>
          <w:i/>
          <w:iCs/>
        </w:rPr>
        <w:t>The Conference of the Parties serving as the meeting of the Parties to the Nagoya Protocol,</w:t>
      </w:r>
    </w:p>
    <w:p w14:paraId="598D6FD8" w14:textId="45540BC3" w:rsidR="008E4179" w:rsidRPr="008E4179" w:rsidRDefault="00DB1E0E" w:rsidP="009D2502">
      <w:pPr>
        <w:pStyle w:val="Para2"/>
      </w:pPr>
      <w:r w:rsidRPr="003906C5">
        <w:rPr>
          <w:i/>
          <w:iCs/>
        </w:rPr>
        <w:t>Recalling</w:t>
      </w:r>
      <w:r>
        <w:t xml:space="preserve"> </w:t>
      </w:r>
      <w:hyperlink r:id="rId26" w:history="1">
        <w:r w:rsidR="0008680F">
          <w:rPr>
            <w:rStyle w:val="Hyperlink"/>
          </w:rPr>
          <w:t>A</w:t>
        </w:r>
        <w:r w:rsidRPr="005C4D3C">
          <w:rPr>
            <w:rStyle w:val="Hyperlink"/>
          </w:rPr>
          <w:t>rticle</w:t>
        </w:r>
        <w:r w:rsidR="004E04B6" w:rsidRPr="005C4D3C">
          <w:rPr>
            <w:rStyle w:val="Hyperlink"/>
          </w:rPr>
          <w:t>s</w:t>
        </w:r>
        <w:r w:rsidRPr="005C4D3C">
          <w:rPr>
            <w:rStyle w:val="Hyperlink"/>
          </w:rPr>
          <w:t xml:space="preserve"> </w:t>
        </w:r>
        <w:r w:rsidR="004E04B6" w:rsidRPr="005C4D3C">
          <w:rPr>
            <w:rStyle w:val="Hyperlink"/>
          </w:rPr>
          <w:t>21</w:t>
        </w:r>
      </w:hyperlink>
      <w:r w:rsidR="004E04B6">
        <w:t xml:space="preserve"> </w:t>
      </w:r>
      <w:r w:rsidR="00722345">
        <w:t xml:space="preserve">and </w:t>
      </w:r>
      <w:hyperlink r:id="rId27" w:history="1">
        <w:r w:rsidRPr="007B658A">
          <w:rPr>
            <w:rStyle w:val="Hyperlink"/>
          </w:rPr>
          <w:t>22</w:t>
        </w:r>
      </w:hyperlink>
      <w:r>
        <w:t xml:space="preserve"> of the Nagoya Protocol</w:t>
      </w:r>
      <w:r w:rsidR="002F6A6A">
        <w:t>,</w:t>
      </w:r>
      <w:r w:rsidR="00285361">
        <w:t xml:space="preserve"> </w:t>
      </w:r>
    </w:p>
    <w:p w14:paraId="13E9DFB2" w14:textId="61BF8D0D" w:rsidR="00DB1E0E" w:rsidRDefault="00DB1E0E" w:rsidP="009D2502">
      <w:pPr>
        <w:pStyle w:val="Para2"/>
      </w:pPr>
      <w:r w:rsidRPr="003906C5">
        <w:rPr>
          <w:i/>
          <w:iCs/>
        </w:rPr>
        <w:t>Recalling</w:t>
      </w:r>
      <w:r w:rsidR="00007D56">
        <w:t xml:space="preserve"> </w:t>
      </w:r>
      <w:r w:rsidR="00007D56" w:rsidRPr="00AA7DB8">
        <w:rPr>
          <w:i/>
          <w:iCs/>
        </w:rPr>
        <w:t>also</w:t>
      </w:r>
      <w:r>
        <w:t xml:space="preserve"> </w:t>
      </w:r>
      <w:r w:rsidR="00372182">
        <w:t xml:space="preserve">decision </w:t>
      </w:r>
      <w:hyperlink r:id="rId28" w:history="1">
        <w:r w:rsidR="00372182" w:rsidRPr="0033429E">
          <w:rPr>
            <w:rStyle w:val="Hyperlink"/>
          </w:rPr>
          <w:t>15/4</w:t>
        </w:r>
      </w:hyperlink>
      <w:r w:rsidR="006C2EA8">
        <w:t xml:space="preserve"> </w:t>
      </w:r>
      <w:r w:rsidR="00AC589B">
        <w:t>of the Conference of the Parties to the Convention</w:t>
      </w:r>
      <w:r w:rsidR="006F0687">
        <w:t>,</w:t>
      </w:r>
      <w:r w:rsidR="00AC589B">
        <w:t xml:space="preserve"> </w:t>
      </w:r>
      <w:r w:rsidR="003500F5">
        <w:t xml:space="preserve">in which </w:t>
      </w:r>
      <w:r>
        <w:t xml:space="preserve">the </w:t>
      </w:r>
      <w:r w:rsidR="00C77FD5" w:rsidRPr="00C77FD5">
        <w:t xml:space="preserve">Conference of the Parties </w:t>
      </w:r>
      <w:r w:rsidR="00C77FD5">
        <w:t xml:space="preserve">adopted </w:t>
      </w:r>
      <w:r>
        <w:t xml:space="preserve">the Kunming-Montreal Global Biodiversity Framework, </w:t>
      </w:r>
      <w:r w:rsidR="00601C47">
        <w:t xml:space="preserve">and </w:t>
      </w:r>
      <w:r>
        <w:t>specifically Goal C and Target 13</w:t>
      </w:r>
      <w:r w:rsidR="00EC52E5">
        <w:t xml:space="preserve"> of the Framework</w:t>
      </w:r>
      <w:r w:rsidR="001B23C9">
        <w:t>,</w:t>
      </w:r>
      <w:r w:rsidR="00887DB2">
        <w:t xml:space="preserve"> as well as </w:t>
      </w:r>
      <w:r w:rsidR="001B23C9">
        <w:t xml:space="preserve">decision </w:t>
      </w:r>
      <w:hyperlink r:id="rId29" w:history="1">
        <w:r w:rsidR="001B23C9" w:rsidRPr="0033429E">
          <w:rPr>
            <w:rStyle w:val="Hyperlink"/>
          </w:rPr>
          <w:t>15</w:t>
        </w:r>
        <w:r w:rsidR="00960E02" w:rsidRPr="0033429E">
          <w:rPr>
            <w:rStyle w:val="Hyperlink"/>
          </w:rPr>
          <w:t>/8</w:t>
        </w:r>
      </w:hyperlink>
      <w:r w:rsidR="00AB1A92">
        <w:rPr>
          <w:rStyle w:val="Hyperlink"/>
        </w:rPr>
        <w:t xml:space="preserve"> of the Conference of the Parties</w:t>
      </w:r>
      <w:r w:rsidR="00FB234E">
        <w:t xml:space="preserve">, in </w:t>
      </w:r>
      <w:r w:rsidR="00120225">
        <w:t>particular the l</w:t>
      </w:r>
      <w:r w:rsidR="00887DB2">
        <w:t>ong-term strategic framework for capacity</w:t>
      </w:r>
      <w:r w:rsidR="00A953FC">
        <w:t>-</w:t>
      </w:r>
      <w:r w:rsidR="00887DB2">
        <w:t>building and development</w:t>
      </w:r>
      <w:r w:rsidR="00120225">
        <w:t xml:space="preserve"> </w:t>
      </w:r>
      <w:r w:rsidR="003F56A0">
        <w:t>(</w:t>
      </w:r>
      <w:r w:rsidR="00815092">
        <w:t>a</w:t>
      </w:r>
      <w:r w:rsidR="003F56A0">
        <w:t xml:space="preserve">nnex </w:t>
      </w:r>
      <w:r w:rsidR="009E649A">
        <w:t>I</w:t>
      </w:r>
      <w:r w:rsidR="003F56A0">
        <w:t>)</w:t>
      </w:r>
      <w:r w:rsidR="006D018A">
        <w:t>,</w:t>
      </w:r>
    </w:p>
    <w:p w14:paraId="3D1FDD6A" w14:textId="0C93270F" w:rsidR="00DB1E0E" w:rsidRDefault="00DB1E0E" w:rsidP="003B7960">
      <w:pPr>
        <w:pStyle w:val="Para2"/>
      </w:pPr>
      <w:r>
        <w:t>1.</w:t>
      </w:r>
      <w:r>
        <w:tab/>
      </w:r>
      <w:r w:rsidRPr="004A7CAB">
        <w:rPr>
          <w:i/>
          <w:iCs/>
        </w:rPr>
        <w:t>Takes note</w:t>
      </w:r>
      <w:r>
        <w:t xml:space="preserve"> of the report of the Informal Advisory Committee on Capacity-building for the Implementation of the Nagoya Protocol on its fifth meeting</w:t>
      </w:r>
      <w:r w:rsidR="00726AA5">
        <w:t>;</w:t>
      </w:r>
      <w:r w:rsidR="00392D6D">
        <w:rPr>
          <w:rStyle w:val="FootnoteReference"/>
        </w:rPr>
        <w:footnoteReference w:id="20"/>
      </w:r>
    </w:p>
    <w:p w14:paraId="1EBFBF3C" w14:textId="044E1D2E" w:rsidR="00C513BF" w:rsidRDefault="00DB1E0E" w:rsidP="003B7960">
      <w:pPr>
        <w:pStyle w:val="Para2"/>
      </w:pPr>
      <w:r>
        <w:t>2.</w:t>
      </w:r>
      <w:r>
        <w:tab/>
      </w:r>
      <w:r w:rsidR="00C513BF" w:rsidRPr="00483438">
        <w:rPr>
          <w:i/>
          <w:iCs/>
        </w:rPr>
        <w:t>Decides</w:t>
      </w:r>
      <w:r w:rsidR="00C513BF">
        <w:t xml:space="preserve"> to expand the mandate of the Informal Advisory Committee to </w:t>
      </w:r>
      <w:r w:rsidR="00726AA5">
        <w:t xml:space="preserve">include </w:t>
      </w:r>
      <w:r w:rsidR="00C513BF">
        <w:t>providing advice on issues more generally related to the implementation of the Protocol, including</w:t>
      </w:r>
      <w:r w:rsidR="00726AA5">
        <w:t>,</w:t>
      </w:r>
      <w:r w:rsidR="00C513BF">
        <w:t xml:space="preserve"> as necessary, advice on issues related to capacity-building and development, awareness-raising and assessment and review under the Protocol, with flexibility to adapt its tasks as needed, and to keep the expanded membership to include representatives of indigenous peoples </w:t>
      </w:r>
      <w:r w:rsidR="00726AA5">
        <w:t xml:space="preserve">and </w:t>
      </w:r>
      <w:r w:rsidR="00C513BF">
        <w:t>local communities, the business</w:t>
      </w:r>
      <w:r w:rsidR="00C513BF" w:rsidRPr="00742DCB">
        <w:t xml:space="preserve"> </w:t>
      </w:r>
      <w:r w:rsidR="00C513BF">
        <w:t>sector, the research community, women and youth</w:t>
      </w:r>
      <w:r w:rsidR="00726AA5">
        <w:t>;</w:t>
      </w:r>
    </w:p>
    <w:p w14:paraId="08444195" w14:textId="291602D9" w:rsidR="00DB1E0E" w:rsidRDefault="00C513BF" w:rsidP="003B7960">
      <w:pPr>
        <w:pStyle w:val="Para2"/>
      </w:pPr>
      <w:r>
        <w:t>3.</w:t>
      </w:r>
      <w:r>
        <w:tab/>
      </w:r>
      <w:r w:rsidR="00DB1E0E" w:rsidRPr="004A7CAB">
        <w:rPr>
          <w:i/>
          <w:iCs/>
        </w:rPr>
        <w:t>Adopts</w:t>
      </w:r>
      <w:r w:rsidR="00DB1E0E">
        <w:t xml:space="preserve"> the </w:t>
      </w:r>
      <w:r w:rsidR="0038736C">
        <w:t>c</w:t>
      </w:r>
      <w:r w:rsidR="00DB1E0E">
        <w:t xml:space="preserve">apacity-building and </w:t>
      </w:r>
      <w:r w:rsidR="0038736C">
        <w:t>d</w:t>
      </w:r>
      <w:r w:rsidR="00DB1E0E">
        <w:t xml:space="preserve">evelopment </w:t>
      </w:r>
      <w:r w:rsidR="0038736C">
        <w:t>a</w:t>
      </w:r>
      <w:r w:rsidR="00DB1E0E">
        <w:t xml:space="preserve">ction </w:t>
      </w:r>
      <w:r w:rsidR="0038736C">
        <w:t>p</w:t>
      </w:r>
      <w:r w:rsidR="00DB1E0E">
        <w:t>lan for the Nagoya Protocol, contained in the annex to th</w:t>
      </w:r>
      <w:r w:rsidR="00726AA5">
        <w:t>e present</w:t>
      </w:r>
      <w:r w:rsidR="00DB1E0E">
        <w:t xml:space="preserve"> decision;</w:t>
      </w:r>
    </w:p>
    <w:p w14:paraId="4304FDE2" w14:textId="332F947F" w:rsidR="008A2666" w:rsidRPr="0013513C" w:rsidRDefault="00956EB7" w:rsidP="008A2666">
      <w:pPr>
        <w:pStyle w:val="Para2"/>
      </w:pPr>
      <w:r>
        <w:t>4</w:t>
      </w:r>
      <w:r w:rsidR="00DB1E0E">
        <w:t>.</w:t>
      </w:r>
      <w:r w:rsidR="00DB1E0E">
        <w:tab/>
      </w:r>
      <w:r w:rsidR="008A2666" w:rsidRPr="0013513C">
        <w:rPr>
          <w:i/>
          <w:iCs/>
        </w:rPr>
        <w:t xml:space="preserve">Invites </w:t>
      </w:r>
      <w:r w:rsidR="008A2666" w:rsidRPr="0013513C">
        <w:t xml:space="preserve">Parties and other Governments to use the </w:t>
      </w:r>
      <w:r w:rsidR="0038736C">
        <w:t>a</w:t>
      </w:r>
      <w:r w:rsidR="008A2666" w:rsidRPr="0013513C">
        <w:t xml:space="preserve">ction </w:t>
      </w:r>
      <w:r w:rsidR="0038736C">
        <w:t>p</w:t>
      </w:r>
      <w:r w:rsidR="008A2666" w:rsidRPr="0013513C">
        <w:t>lan to assess capacity-building and development</w:t>
      </w:r>
      <w:r w:rsidR="00377B0B">
        <w:t xml:space="preserve"> needs and priorities</w:t>
      </w:r>
      <w:r w:rsidR="008A2666" w:rsidRPr="0013513C">
        <w:t xml:space="preserve">, including </w:t>
      </w:r>
      <w:r w:rsidR="002E46CC">
        <w:t>those of indigenous peoples and local</w:t>
      </w:r>
      <w:r w:rsidR="00035B9E">
        <w:t xml:space="preserve"> communities</w:t>
      </w:r>
      <w:r w:rsidR="002E46CC">
        <w:t xml:space="preserve"> </w:t>
      </w:r>
      <w:r w:rsidR="00D83A0D">
        <w:t>and relevant stakeholders</w:t>
      </w:r>
      <w:r w:rsidR="00A1774F">
        <w:t xml:space="preserve">, </w:t>
      </w:r>
      <w:r w:rsidR="00035B9E">
        <w:t>including</w:t>
      </w:r>
      <w:r w:rsidR="00A1774F">
        <w:t xml:space="preserve"> women and youth</w:t>
      </w:r>
      <w:r w:rsidR="00B6253E">
        <w:t xml:space="preserve">, </w:t>
      </w:r>
      <w:r w:rsidR="008A2666" w:rsidRPr="0013513C">
        <w:t xml:space="preserve">in the development of capacity-building and development plans on access and benefit-sharing as part of their national biodiversity strategies and </w:t>
      </w:r>
      <w:r w:rsidR="008A2666" w:rsidRPr="0013513C">
        <w:lastRenderedPageBreak/>
        <w:t xml:space="preserve">action plans </w:t>
      </w:r>
      <w:r w:rsidR="287E1D4E">
        <w:t xml:space="preserve">as well as national finance plans </w:t>
      </w:r>
      <w:r w:rsidR="008A2666" w:rsidRPr="0013513C">
        <w:t>to implement the Kunming-Montreal Global Biodiversity Framework</w:t>
      </w:r>
      <w:r w:rsidR="00DB5924">
        <w:t>;</w:t>
      </w:r>
    </w:p>
    <w:p w14:paraId="4AEFD5EF" w14:textId="7F340561" w:rsidR="00B90E0D" w:rsidRPr="00E17F9A" w:rsidRDefault="00956EB7" w:rsidP="00B90E0D">
      <w:pPr>
        <w:pStyle w:val="Para2"/>
      </w:pPr>
      <w:r>
        <w:t>5</w:t>
      </w:r>
      <w:r w:rsidR="00E17F9A">
        <w:rPr>
          <w:i/>
          <w:iCs/>
        </w:rPr>
        <w:t>.</w:t>
      </w:r>
      <w:r w:rsidR="00E17F9A">
        <w:rPr>
          <w:i/>
          <w:iCs/>
        </w:rPr>
        <w:tab/>
      </w:r>
      <w:r w:rsidR="0041454D">
        <w:rPr>
          <w:i/>
          <w:iCs/>
        </w:rPr>
        <w:t>I</w:t>
      </w:r>
      <w:r w:rsidR="00B90E0D" w:rsidRPr="00B90E0D">
        <w:rPr>
          <w:i/>
          <w:iCs/>
        </w:rPr>
        <w:t>nvites</w:t>
      </w:r>
      <w:r w:rsidR="00E17F9A">
        <w:t xml:space="preserve"> </w:t>
      </w:r>
      <w:r w:rsidR="00DB1E0E" w:rsidRPr="00E17F9A">
        <w:t>Parties</w:t>
      </w:r>
      <w:r w:rsidR="00B90E0D" w:rsidRPr="00E17F9A">
        <w:t>,</w:t>
      </w:r>
      <w:r w:rsidR="00DB1E0E" w:rsidRPr="00E17F9A">
        <w:t xml:space="preserve"> other Governments</w:t>
      </w:r>
      <w:r w:rsidR="00B90E0D" w:rsidRPr="00E17F9A">
        <w:t xml:space="preserve">, indigenous </w:t>
      </w:r>
      <w:r w:rsidR="00203D4C" w:rsidRPr="00E17F9A">
        <w:t>peoples</w:t>
      </w:r>
      <w:r w:rsidR="00B90E0D" w:rsidRPr="00E17F9A">
        <w:t xml:space="preserve"> and local</w:t>
      </w:r>
      <w:r w:rsidR="00B90E0D">
        <w:rPr>
          <w:color w:val="FF0000"/>
        </w:rPr>
        <w:t xml:space="preserve"> </w:t>
      </w:r>
      <w:r w:rsidR="00B90E0D" w:rsidRPr="00E17F9A">
        <w:t xml:space="preserve">communities </w:t>
      </w:r>
      <w:r w:rsidR="00E14A58">
        <w:t xml:space="preserve">and </w:t>
      </w:r>
      <w:r w:rsidR="00B90E0D" w:rsidRPr="00E17F9A">
        <w:t>relevant</w:t>
      </w:r>
      <w:r w:rsidR="00203D4C" w:rsidRPr="00E17F9A">
        <w:t xml:space="preserve"> stakeholder</w:t>
      </w:r>
      <w:r w:rsidR="00F43C3A">
        <w:t>s</w:t>
      </w:r>
      <w:r w:rsidR="00B90E0D" w:rsidRPr="00E17F9A">
        <w:t xml:space="preserve"> </w:t>
      </w:r>
      <w:r w:rsidR="00E16B2A" w:rsidRPr="00E17F9A">
        <w:t>and</w:t>
      </w:r>
      <w:r w:rsidR="00B90E0D" w:rsidRPr="00E17F9A">
        <w:t xml:space="preserve"> organizations to develop and implement capacity-building and development activities consistent with</w:t>
      </w:r>
      <w:r w:rsidR="00A0579C" w:rsidRPr="00E17F9A">
        <w:t xml:space="preserve"> </w:t>
      </w:r>
      <w:r w:rsidR="00ED7EEF">
        <w:t xml:space="preserve">the </w:t>
      </w:r>
      <w:r w:rsidR="00E14A58">
        <w:t>a</w:t>
      </w:r>
      <w:r w:rsidR="00D22365" w:rsidRPr="00E17F9A">
        <w:t xml:space="preserve">ction </w:t>
      </w:r>
      <w:r w:rsidR="00E14A58">
        <w:t>p</w:t>
      </w:r>
      <w:r w:rsidR="00D22365" w:rsidRPr="00E17F9A">
        <w:t>lan</w:t>
      </w:r>
      <w:r w:rsidR="00F32673">
        <w:t xml:space="preserve"> and to </w:t>
      </w:r>
      <w:r w:rsidR="00961BE0">
        <w:t>publish</w:t>
      </w:r>
      <w:r w:rsidR="00F32673">
        <w:t xml:space="preserve"> </w:t>
      </w:r>
      <w:r w:rsidR="0034526F">
        <w:t xml:space="preserve">relevant </w:t>
      </w:r>
      <w:r w:rsidR="0034526F" w:rsidRPr="00182FA4">
        <w:t>information and resources</w:t>
      </w:r>
      <w:r w:rsidR="008C3417" w:rsidRPr="00182FA4">
        <w:t xml:space="preserve"> </w:t>
      </w:r>
      <w:r w:rsidR="00182FA4" w:rsidRPr="00182FA4">
        <w:t>on</w:t>
      </w:r>
      <w:r w:rsidR="00FF74C8" w:rsidRPr="00182FA4">
        <w:t xml:space="preserve"> the Access and Benefit-sharing Clearing-House</w:t>
      </w:r>
      <w:r w:rsidR="00182FA4">
        <w:t>;</w:t>
      </w:r>
    </w:p>
    <w:p w14:paraId="29CD7D7D" w14:textId="60CD9DAD" w:rsidR="00742F7A" w:rsidRPr="00182FA4" w:rsidRDefault="00956EB7" w:rsidP="00B90E0D">
      <w:pPr>
        <w:pStyle w:val="Para2"/>
      </w:pPr>
      <w:r>
        <w:t>6</w:t>
      </w:r>
      <w:r w:rsidR="00485E71">
        <w:t>.</w:t>
      </w:r>
      <w:r w:rsidR="00A43EF8">
        <w:tab/>
      </w:r>
      <w:r w:rsidR="0087083B" w:rsidRPr="00AA7DB8">
        <w:rPr>
          <w:i/>
          <w:iCs/>
        </w:rPr>
        <w:t>Also</w:t>
      </w:r>
      <w:r w:rsidR="0094569E" w:rsidRPr="0094569E">
        <w:rPr>
          <w:i/>
          <w:iCs/>
        </w:rPr>
        <w:t xml:space="preserve"> i</w:t>
      </w:r>
      <w:r w:rsidR="00485E71" w:rsidRPr="0094569E">
        <w:rPr>
          <w:i/>
          <w:iCs/>
        </w:rPr>
        <w:t>nvites</w:t>
      </w:r>
      <w:r w:rsidR="00485E71" w:rsidRPr="00485E71">
        <w:t xml:space="preserve"> Parties, other Governments, indigenous peoples and local communities</w:t>
      </w:r>
      <w:r w:rsidR="0087083B">
        <w:t xml:space="preserve"> and</w:t>
      </w:r>
      <w:r w:rsidR="00485E71" w:rsidRPr="00485E71">
        <w:t xml:space="preserve"> relevant stakeholder</w:t>
      </w:r>
      <w:r w:rsidR="004850C1">
        <w:t>s</w:t>
      </w:r>
      <w:r w:rsidR="00485E71" w:rsidRPr="00485E71">
        <w:t xml:space="preserve"> and </w:t>
      </w:r>
      <w:r w:rsidR="00485E71" w:rsidRPr="0094569E">
        <w:t>organization</w:t>
      </w:r>
      <w:r w:rsidR="0094569E">
        <w:t>s</w:t>
      </w:r>
      <w:r w:rsidR="00485E71">
        <w:t xml:space="preserve"> t</w:t>
      </w:r>
      <w:r w:rsidR="00742F7A" w:rsidRPr="00742F7A">
        <w:t xml:space="preserve">o continue using and promoting the </w:t>
      </w:r>
      <w:r w:rsidR="00742F7A" w:rsidRPr="00AA7DB8">
        <w:rPr>
          <w:i/>
          <w:iCs/>
        </w:rPr>
        <w:t>CEPA Toolkit</w:t>
      </w:r>
      <w:r w:rsidR="00AD1DE9" w:rsidRPr="00AA7DB8">
        <w:rPr>
          <w:i/>
          <w:iCs/>
        </w:rPr>
        <w:t xml:space="preserve">, </w:t>
      </w:r>
      <w:r w:rsidR="00742F7A" w:rsidRPr="00AA7DB8">
        <w:rPr>
          <w:i/>
          <w:iCs/>
        </w:rPr>
        <w:t xml:space="preserve"> Including Considerations for Access and Benefit</w:t>
      </w:r>
      <w:r w:rsidR="00096013" w:rsidRPr="00AA7DB8">
        <w:rPr>
          <w:i/>
          <w:iCs/>
        </w:rPr>
        <w:t>-</w:t>
      </w:r>
      <w:r w:rsidR="00742F7A" w:rsidRPr="00AA7DB8">
        <w:rPr>
          <w:i/>
          <w:iCs/>
        </w:rPr>
        <w:t>sharing</w:t>
      </w:r>
      <w:r w:rsidR="00A7193C">
        <w:rPr>
          <w:rStyle w:val="FootnoteReference"/>
        </w:rPr>
        <w:footnoteReference w:id="21"/>
      </w:r>
      <w:r w:rsidR="00742F7A" w:rsidRPr="00742F7A">
        <w:t xml:space="preserve"> as part of their awareness-raising and capacity-building and </w:t>
      </w:r>
      <w:r w:rsidR="00742F7A" w:rsidRPr="0094569E">
        <w:t>development</w:t>
      </w:r>
      <w:r w:rsidR="00742F7A" w:rsidRPr="00742F7A">
        <w:t xml:space="preserve"> activities</w:t>
      </w:r>
      <w:r w:rsidR="0094569E">
        <w:t>;</w:t>
      </w:r>
    </w:p>
    <w:p w14:paraId="7B184C4D" w14:textId="2EF9B692" w:rsidR="00143471" w:rsidRPr="00B90E0D" w:rsidRDefault="00956EB7" w:rsidP="0094569E">
      <w:pPr>
        <w:pStyle w:val="Para2"/>
      </w:pPr>
      <w:r>
        <w:t>7</w:t>
      </w:r>
      <w:r w:rsidR="00B90E0D" w:rsidRPr="004E5BBE">
        <w:t>.</w:t>
      </w:r>
      <w:r w:rsidR="004E5BBE" w:rsidRPr="004E5BBE">
        <w:tab/>
      </w:r>
      <w:r w:rsidR="0094569E">
        <w:rPr>
          <w:i/>
          <w:iCs/>
        </w:rPr>
        <w:t>Urges</w:t>
      </w:r>
      <w:r w:rsidR="00E17F9A">
        <w:rPr>
          <w:i/>
          <w:iCs/>
        </w:rPr>
        <w:t xml:space="preserve"> </w:t>
      </w:r>
      <w:r w:rsidR="00B90E0D" w:rsidRPr="00E17F9A">
        <w:t xml:space="preserve">Parties, other Governments, international organizations, regional development banks, other financial institutions and the private sector, as appropriate, to provide financial resources to support implementation of the </w:t>
      </w:r>
      <w:r w:rsidR="00C306DF">
        <w:t>a</w:t>
      </w:r>
      <w:r w:rsidR="00490C90">
        <w:t xml:space="preserve">ction </w:t>
      </w:r>
      <w:r w:rsidR="00C306DF">
        <w:t>p</w:t>
      </w:r>
      <w:r w:rsidR="00490C90">
        <w:t>lan</w:t>
      </w:r>
      <w:r w:rsidR="00B90E0D" w:rsidRPr="00E17F9A">
        <w:t>;</w:t>
      </w:r>
    </w:p>
    <w:p w14:paraId="69893291" w14:textId="24605239" w:rsidR="00DB1E0E" w:rsidRDefault="00956EB7" w:rsidP="003B7960">
      <w:pPr>
        <w:pStyle w:val="Para2"/>
      </w:pPr>
      <w:r>
        <w:t>8</w:t>
      </w:r>
      <w:r w:rsidR="00DB1E0E">
        <w:t>.</w:t>
      </w:r>
      <w:r w:rsidR="00DB1E0E">
        <w:tab/>
      </w:r>
      <w:r w:rsidR="00C95289" w:rsidRPr="001D2A49">
        <w:rPr>
          <w:i/>
          <w:iCs/>
        </w:rPr>
        <w:t xml:space="preserve">Recommends </w:t>
      </w:r>
      <w:r w:rsidR="00C95289">
        <w:t xml:space="preserve">that the Conference of the Parties, in adopting its guidance </w:t>
      </w:r>
      <w:r w:rsidR="00CB56E3">
        <w:t>for</w:t>
      </w:r>
      <w:r w:rsidR="00C95289">
        <w:t xml:space="preserve"> the financial mechanism with respect to support for the implementation of the Nagoya Protocol, invite the Global Environment Facility to </w:t>
      </w:r>
      <w:r w:rsidR="00EE5AF9">
        <w:t xml:space="preserve">support </w:t>
      </w:r>
      <w:r w:rsidR="00B16D91">
        <w:t xml:space="preserve">implementation of </w:t>
      </w:r>
      <w:r w:rsidR="00EE5AF9">
        <w:t xml:space="preserve">the </w:t>
      </w:r>
      <w:r w:rsidR="00DF2164">
        <w:t>a</w:t>
      </w:r>
      <w:r w:rsidR="00EE5AF9">
        <w:t xml:space="preserve">ction </w:t>
      </w:r>
      <w:r w:rsidR="00DF2164">
        <w:t>p</w:t>
      </w:r>
      <w:r w:rsidR="00EE5AF9">
        <w:t>lan</w:t>
      </w:r>
      <w:r w:rsidR="00B16D91">
        <w:t>;</w:t>
      </w:r>
    </w:p>
    <w:p w14:paraId="6AEFDFC9" w14:textId="78A485A2" w:rsidR="00DB1E0E" w:rsidRPr="00332EC6" w:rsidRDefault="00956EB7" w:rsidP="003B7960">
      <w:pPr>
        <w:pStyle w:val="Para2"/>
      </w:pPr>
      <w:r>
        <w:t>9</w:t>
      </w:r>
      <w:r w:rsidR="007F565B" w:rsidRPr="007F565B">
        <w:t>.</w:t>
      </w:r>
      <w:r w:rsidR="007F565B" w:rsidRPr="007F565B">
        <w:tab/>
      </w:r>
      <w:r w:rsidR="00EA7DC0" w:rsidRPr="004A7CAB">
        <w:rPr>
          <w:i/>
          <w:iCs/>
        </w:rPr>
        <w:t>Decides</w:t>
      </w:r>
      <w:r w:rsidR="00EA7DC0">
        <w:t xml:space="preserve"> to </w:t>
      </w:r>
      <w:r w:rsidR="00C84CC4">
        <w:t>assess</w:t>
      </w:r>
      <w:r w:rsidR="00EA7DC0">
        <w:t xml:space="preserve"> </w:t>
      </w:r>
      <w:r w:rsidR="00152052">
        <w:t xml:space="preserve">implementation of the </w:t>
      </w:r>
      <w:r w:rsidR="006F093D">
        <w:t>a</w:t>
      </w:r>
      <w:r w:rsidR="00152052">
        <w:t xml:space="preserve">ction </w:t>
      </w:r>
      <w:r w:rsidR="006F093D">
        <w:t>p</w:t>
      </w:r>
      <w:r w:rsidR="00152052">
        <w:t xml:space="preserve">lan </w:t>
      </w:r>
      <w:r w:rsidR="00FD0FAA">
        <w:t xml:space="preserve">as part of </w:t>
      </w:r>
      <w:r w:rsidR="00765FBC" w:rsidRPr="00765FBC">
        <w:t xml:space="preserve">the </w:t>
      </w:r>
      <w:r w:rsidR="00EA32A5">
        <w:t xml:space="preserve">third </w:t>
      </w:r>
      <w:r w:rsidR="00765FBC" w:rsidRPr="00765FBC">
        <w:t xml:space="preserve">assessment and review </w:t>
      </w:r>
      <w:r w:rsidR="00EA32A5">
        <w:t>of the</w:t>
      </w:r>
      <w:r w:rsidR="00021470">
        <w:t xml:space="preserve"> effectiveness of the</w:t>
      </w:r>
      <w:r w:rsidR="00EA32A5">
        <w:t xml:space="preserve"> Nagoya</w:t>
      </w:r>
      <w:r w:rsidR="00765FBC" w:rsidRPr="00765FBC">
        <w:t xml:space="preserve"> Protocol </w:t>
      </w:r>
      <w:r w:rsidR="00DE417C">
        <w:t xml:space="preserve">and to </w:t>
      </w:r>
      <w:r w:rsidR="00EA7DC0">
        <w:t>consider</w:t>
      </w:r>
      <w:r w:rsidR="007C5A1C">
        <w:t>,</w:t>
      </w:r>
      <w:r w:rsidR="00EA7DC0">
        <w:t xml:space="preserve"> </w:t>
      </w:r>
      <w:r w:rsidR="00C43ABF">
        <w:t>at its eighth meeting</w:t>
      </w:r>
      <w:r w:rsidR="007C5A1C">
        <w:t>,</w:t>
      </w:r>
      <w:r w:rsidR="00C43ABF">
        <w:t xml:space="preserve"> </w:t>
      </w:r>
      <w:r w:rsidR="00EA7DC0">
        <w:t xml:space="preserve">the need </w:t>
      </w:r>
      <w:r w:rsidR="0015622C">
        <w:t xml:space="preserve">for </w:t>
      </w:r>
      <w:r w:rsidR="0098353A">
        <w:t xml:space="preserve">its </w:t>
      </w:r>
      <w:r w:rsidR="00F90B0B">
        <w:t xml:space="preserve">review or </w:t>
      </w:r>
      <w:r w:rsidR="00122A6E">
        <w:t>revision</w:t>
      </w:r>
      <w:r w:rsidR="00332EC6">
        <w:t>;</w:t>
      </w:r>
    </w:p>
    <w:p w14:paraId="0F690334" w14:textId="242C0611" w:rsidR="00DB1E0E" w:rsidRDefault="00956EB7" w:rsidP="003B7960">
      <w:pPr>
        <w:pStyle w:val="Para2"/>
      </w:pPr>
      <w:r>
        <w:t>10</w:t>
      </w:r>
      <w:r w:rsidR="00DB1E0E">
        <w:t>.</w:t>
      </w:r>
      <w:r w:rsidR="00DB1E0E">
        <w:tab/>
      </w:r>
      <w:r w:rsidR="00DB1E0E" w:rsidRPr="004A7CAB">
        <w:rPr>
          <w:i/>
          <w:iCs/>
        </w:rPr>
        <w:t>Requests</w:t>
      </w:r>
      <w:r w:rsidR="00DB1E0E">
        <w:t xml:space="preserve"> the Executive Secretary</w:t>
      </w:r>
      <w:r w:rsidR="00E10F57">
        <w:t xml:space="preserve"> to</w:t>
      </w:r>
      <w:r w:rsidR="00DB1E0E">
        <w:t>:</w:t>
      </w:r>
    </w:p>
    <w:p w14:paraId="5A05B84E" w14:textId="6802FF8A" w:rsidR="00D7353F" w:rsidRDefault="00DB1E0E" w:rsidP="00D7353F">
      <w:pPr>
        <w:pStyle w:val="Para2"/>
      </w:pPr>
      <w:r>
        <w:t>(a)</w:t>
      </w:r>
      <w:r w:rsidR="006C600E">
        <w:tab/>
      </w:r>
      <w:r w:rsidR="00E10F57">
        <w:t>D</w:t>
      </w:r>
      <w:r w:rsidR="00EA7DC0" w:rsidRPr="00EA7DC0">
        <w:t xml:space="preserve">isseminate and promote the </w:t>
      </w:r>
      <w:r w:rsidR="00763803">
        <w:t>a</w:t>
      </w:r>
      <w:r w:rsidR="00EA7DC0" w:rsidRPr="00EA7DC0">
        <w:t xml:space="preserve">ction </w:t>
      </w:r>
      <w:r w:rsidR="00763803">
        <w:t>p</w:t>
      </w:r>
      <w:r w:rsidR="00EA7DC0" w:rsidRPr="00EA7DC0">
        <w:t>lan;</w:t>
      </w:r>
    </w:p>
    <w:p w14:paraId="4AACABFF" w14:textId="56125202" w:rsidR="00DB1E0E" w:rsidRDefault="00D7353F" w:rsidP="003B7960">
      <w:pPr>
        <w:pStyle w:val="Para2"/>
      </w:pPr>
      <w:r>
        <w:t>(b)</w:t>
      </w:r>
      <w:r w:rsidR="006C600E">
        <w:tab/>
      </w:r>
      <w:r w:rsidR="00E10F57">
        <w:t>C</w:t>
      </w:r>
      <w:r w:rsidR="00DB1E0E">
        <w:t>ontinue facilitating capacity-building and development activities as well as coordination and cooperation among Parties, indigenous peoples and local communities</w:t>
      </w:r>
      <w:r w:rsidR="00700EA0">
        <w:t xml:space="preserve"> and</w:t>
      </w:r>
      <w:r w:rsidR="00DB1E0E">
        <w:t xml:space="preserve"> relevant stakeholders </w:t>
      </w:r>
      <w:r w:rsidR="009F7BFF">
        <w:t>and organizations</w:t>
      </w:r>
      <w:r w:rsidR="00700EA0">
        <w:t>,</w:t>
      </w:r>
      <w:r w:rsidR="009F7BFF">
        <w:t xml:space="preserve"> </w:t>
      </w:r>
      <w:r w:rsidR="00DB1E0E">
        <w:t>with a view to support</w:t>
      </w:r>
      <w:r w:rsidR="00700EA0">
        <w:t>ing</w:t>
      </w:r>
      <w:r w:rsidR="00DB1E0E">
        <w:t xml:space="preserve"> the effective implementation of the Nagoya Protocol;</w:t>
      </w:r>
    </w:p>
    <w:p w14:paraId="5D4F21C3" w14:textId="3F2D134B" w:rsidR="00DB1E0E" w:rsidRDefault="00DB1E0E" w:rsidP="003B7960">
      <w:pPr>
        <w:pStyle w:val="Para2"/>
      </w:pPr>
      <w:r>
        <w:t>(</w:t>
      </w:r>
      <w:r w:rsidR="006C600E">
        <w:t>c</w:t>
      </w:r>
      <w:r>
        <w:t>)</w:t>
      </w:r>
      <w:r w:rsidR="006C600E">
        <w:tab/>
      </w:r>
      <w:r w:rsidR="00E10F57">
        <w:t>S</w:t>
      </w:r>
      <w:r>
        <w:t xml:space="preserve">upport opportunities </w:t>
      </w:r>
      <w:r w:rsidR="593B57A7">
        <w:t>for</w:t>
      </w:r>
      <w:r>
        <w:t xml:space="preserve"> </w:t>
      </w:r>
      <w:r w:rsidR="00002EA0">
        <w:t xml:space="preserve">compiling, </w:t>
      </w:r>
      <w:r>
        <w:t xml:space="preserve">sharing and </w:t>
      </w:r>
      <w:r w:rsidR="36459A84">
        <w:t>disseminati</w:t>
      </w:r>
      <w:r w:rsidR="00002EA0">
        <w:t>ng</w:t>
      </w:r>
      <w:r w:rsidR="36459A84">
        <w:t xml:space="preserve"> </w:t>
      </w:r>
      <w:r>
        <w:t>experiences, lessons learned and good practices among Parties, indigenous peoples and local communities and relevant stakeholders at the global level</w:t>
      </w:r>
      <w:r w:rsidR="006929FA">
        <w:t xml:space="preserve"> and make them available through the A</w:t>
      </w:r>
      <w:r w:rsidR="00D44FBB">
        <w:t xml:space="preserve">ccess and </w:t>
      </w:r>
      <w:r w:rsidR="006929FA">
        <w:t>B</w:t>
      </w:r>
      <w:r w:rsidR="00D44FBB">
        <w:t>enefit-sharing</w:t>
      </w:r>
      <w:r w:rsidR="006929FA">
        <w:t xml:space="preserve"> Clearing-House</w:t>
      </w:r>
      <w:r>
        <w:t>;</w:t>
      </w:r>
    </w:p>
    <w:p w14:paraId="3ED1F9F4" w14:textId="2A18C3C8" w:rsidR="00A31250" w:rsidRDefault="00DB1E0E" w:rsidP="00862259">
      <w:pPr>
        <w:pStyle w:val="Para2"/>
      </w:pPr>
      <w:r>
        <w:t>(</w:t>
      </w:r>
      <w:r w:rsidR="006C600E">
        <w:t>d</w:t>
      </w:r>
      <w:r>
        <w:t>)</w:t>
      </w:r>
      <w:r w:rsidR="006C600E">
        <w:tab/>
      </w:r>
      <w:r w:rsidR="007651F3">
        <w:t>M</w:t>
      </w:r>
      <w:r w:rsidR="00666C13">
        <w:t xml:space="preserve">ake available supporting guidance material relevant </w:t>
      </w:r>
      <w:r w:rsidR="0072522C">
        <w:t>to</w:t>
      </w:r>
      <w:r w:rsidR="00666C13">
        <w:t xml:space="preserve"> the Action Plan</w:t>
      </w:r>
      <w:r w:rsidR="00AC54C0">
        <w:t>,</w:t>
      </w:r>
      <w:r w:rsidR="00AA5A01">
        <w:rPr>
          <w:rStyle w:val="FootnoteReference"/>
        </w:rPr>
        <w:footnoteReference w:id="22"/>
      </w:r>
      <w:r w:rsidR="00666C13">
        <w:t xml:space="preserve"> including an overview of available international funding sources</w:t>
      </w:r>
      <w:r w:rsidR="00BC2CAE">
        <w:t xml:space="preserve"> </w:t>
      </w:r>
      <w:r w:rsidR="00666C13">
        <w:t xml:space="preserve">to support </w:t>
      </w:r>
      <w:r w:rsidR="005D6B85">
        <w:t xml:space="preserve">capacity-building and development </w:t>
      </w:r>
      <w:r w:rsidR="00AC54C0">
        <w:t>for</w:t>
      </w:r>
      <w:r w:rsidR="005D6B85">
        <w:t xml:space="preserve"> </w:t>
      </w:r>
      <w:r w:rsidR="00666C13">
        <w:t xml:space="preserve">the implementation of </w:t>
      </w:r>
      <w:r w:rsidR="00546FCB">
        <w:t>t</w:t>
      </w:r>
      <w:r w:rsidR="00666C13">
        <w:t>he Nagoya Protocol</w:t>
      </w:r>
      <w:r w:rsidR="009240E9">
        <w:t xml:space="preserve">, an </w:t>
      </w:r>
      <w:r w:rsidR="00BE1907">
        <w:t>overview of examples of roles and contributions of different stakeholders</w:t>
      </w:r>
      <w:r w:rsidR="009240E9">
        <w:t xml:space="preserve"> and a results chain</w:t>
      </w:r>
      <w:r w:rsidR="000D5EFF">
        <w:t xml:space="preserve"> for the </w:t>
      </w:r>
      <w:r w:rsidR="00AC54C0">
        <w:t>a</w:t>
      </w:r>
      <w:r w:rsidR="000D5EFF">
        <w:t xml:space="preserve">ction </w:t>
      </w:r>
      <w:r w:rsidR="00AC54C0">
        <w:t>p</w:t>
      </w:r>
      <w:r w:rsidR="000D5EFF">
        <w:t>lan</w:t>
      </w:r>
      <w:r w:rsidR="00C57908">
        <w:t>,</w:t>
      </w:r>
      <w:r w:rsidR="00E53B1C">
        <w:t xml:space="preserve"> and </w:t>
      </w:r>
      <w:r w:rsidR="00AC54C0">
        <w:t xml:space="preserve">to </w:t>
      </w:r>
      <w:r w:rsidR="00E53B1C">
        <w:t xml:space="preserve">review </w:t>
      </w:r>
      <w:r w:rsidR="00C57908">
        <w:t xml:space="preserve">and update </w:t>
      </w:r>
      <w:r w:rsidR="00067C17">
        <w:t xml:space="preserve">that material </w:t>
      </w:r>
      <w:r w:rsidR="00E53B1C">
        <w:t>as necessar</w:t>
      </w:r>
      <w:r w:rsidR="00C57908">
        <w:t>y</w:t>
      </w:r>
      <w:r w:rsidR="00BB2A65">
        <w:t>.</w:t>
      </w:r>
    </w:p>
    <w:p w14:paraId="1C669AEC" w14:textId="49C3A529" w:rsidR="005D0BDE" w:rsidRDefault="005D0BDE" w:rsidP="005D0BDE">
      <w:pPr>
        <w:pStyle w:val="Para2"/>
      </w:pPr>
    </w:p>
    <w:p w14:paraId="0DD18949" w14:textId="04E0BAB7" w:rsidR="00CF70AB" w:rsidRPr="00CF70AB" w:rsidRDefault="00CF70AB" w:rsidP="00A55E5B">
      <w:pPr>
        <w:jc w:val="center"/>
      </w:pPr>
    </w:p>
    <w:p w14:paraId="0C1A333E" w14:textId="77777777" w:rsidR="00E450DA" w:rsidRDefault="00E450DA">
      <w:pPr>
        <w:spacing w:after="160" w:line="259" w:lineRule="auto"/>
        <w:jc w:val="left"/>
        <w:rPr>
          <w:lang w:val="en-CA"/>
        </w:rPr>
        <w:sectPr w:rsidR="00E450DA" w:rsidSect="00DE7A84">
          <w:headerReference w:type="even" r:id="rId30"/>
          <w:headerReference w:type="default" r:id="rId31"/>
          <w:footerReference w:type="even" r:id="rId32"/>
          <w:footerReference w:type="default" r:id="rId33"/>
          <w:footnotePr>
            <w:numRestart w:val="eachSect"/>
          </w:footnotePr>
          <w:pgSz w:w="12240" w:h="15840" w:code="1"/>
          <w:pgMar w:top="562" w:right="1382" w:bottom="1138" w:left="1382" w:header="706" w:footer="706" w:gutter="0"/>
          <w:cols w:space="708"/>
          <w:titlePg/>
          <w:docGrid w:linePitch="360"/>
        </w:sectPr>
      </w:pPr>
    </w:p>
    <w:p w14:paraId="34128EE8" w14:textId="43023EBF" w:rsidR="00C1286F" w:rsidRPr="00137187" w:rsidRDefault="00C1286F" w:rsidP="00137187">
      <w:pPr>
        <w:pStyle w:val="Para10"/>
        <w:suppressLineNumbers/>
        <w:tabs>
          <w:tab w:val="left" w:pos="720"/>
        </w:tabs>
        <w:suppressAutoHyphens/>
        <w:snapToGrid w:val="0"/>
        <w:ind w:left="567"/>
        <w:jc w:val="left"/>
        <w:rPr>
          <w:b/>
          <w:bCs/>
          <w:sz w:val="28"/>
          <w:szCs w:val="28"/>
        </w:rPr>
      </w:pPr>
      <w:r w:rsidRPr="00137187">
        <w:rPr>
          <w:b/>
          <w:bCs/>
          <w:sz w:val="28"/>
          <w:szCs w:val="28"/>
        </w:rPr>
        <w:lastRenderedPageBreak/>
        <w:t>Annex</w:t>
      </w:r>
    </w:p>
    <w:p w14:paraId="5DE6516E" w14:textId="73507C95" w:rsidR="00D44EAC" w:rsidRPr="00137187" w:rsidRDefault="004A22E7" w:rsidP="00137187">
      <w:pPr>
        <w:pStyle w:val="Para10"/>
        <w:suppressLineNumbers/>
        <w:tabs>
          <w:tab w:val="left" w:pos="720"/>
        </w:tabs>
        <w:suppressAutoHyphens/>
        <w:snapToGrid w:val="0"/>
        <w:ind w:left="567"/>
        <w:jc w:val="left"/>
        <w:rPr>
          <w:b/>
          <w:bCs/>
          <w:kern w:val="22"/>
          <w:sz w:val="28"/>
          <w:szCs w:val="28"/>
        </w:rPr>
      </w:pPr>
      <w:r w:rsidRPr="00137187">
        <w:rPr>
          <w:b/>
          <w:bCs/>
          <w:sz w:val="28"/>
          <w:szCs w:val="28"/>
        </w:rPr>
        <w:t>Draft capacity</w:t>
      </w:r>
      <w:r w:rsidR="00D44EAC" w:rsidRPr="00137187">
        <w:rPr>
          <w:b/>
          <w:bCs/>
          <w:sz w:val="28"/>
          <w:szCs w:val="28"/>
        </w:rPr>
        <w:t>-</w:t>
      </w:r>
      <w:r w:rsidRPr="00137187">
        <w:rPr>
          <w:b/>
          <w:bCs/>
          <w:sz w:val="28"/>
          <w:szCs w:val="28"/>
        </w:rPr>
        <w:t>building</w:t>
      </w:r>
      <w:r w:rsidR="00D44EAC" w:rsidRPr="00137187">
        <w:rPr>
          <w:b/>
          <w:bCs/>
          <w:sz w:val="28"/>
          <w:szCs w:val="28"/>
        </w:rPr>
        <w:t xml:space="preserve"> </w:t>
      </w:r>
      <w:r w:rsidRPr="00137187">
        <w:rPr>
          <w:b/>
          <w:bCs/>
          <w:sz w:val="28"/>
          <w:szCs w:val="28"/>
        </w:rPr>
        <w:t>and</w:t>
      </w:r>
      <w:r w:rsidR="00D44EAC" w:rsidRPr="00137187">
        <w:rPr>
          <w:b/>
          <w:bCs/>
          <w:sz w:val="28"/>
          <w:szCs w:val="28"/>
        </w:rPr>
        <w:t xml:space="preserve"> </w:t>
      </w:r>
      <w:r w:rsidRPr="00137187">
        <w:rPr>
          <w:b/>
          <w:bCs/>
          <w:sz w:val="28"/>
          <w:szCs w:val="28"/>
        </w:rPr>
        <w:t>development</w:t>
      </w:r>
      <w:r w:rsidR="00D44EAC" w:rsidRPr="00137187">
        <w:rPr>
          <w:b/>
          <w:bCs/>
          <w:sz w:val="28"/>
          <w:szCs w:val="28"/>
        </w:rPr>
        <w:t xml:space="preserve"> </w:t>
      </w:r>
      <w:r w:rsidRPr="00137187">
        <w:rPr>
          <w:b/>
          <w:bCs/>
          <w:sz w:val="28"/>
          <w:szCs w:val="28"/>
        </w:rPr>
        <w:t>action</w:t>
      </w:r>
      <w:r w:rsidR="00D44EAC" w:rsidRPr="00137187">
        <w:rPr>
          <w:b/>
          <w:bCs/>
          <w:sz w:val="28"/>
          <w:szCs w:val="28"/>
        </w:rPr>
        <w:t xml:space="preserve"> </w:t>
      </w:r>
      <w:r w:rsidRPr="00137187">
        <w:rPr>
          <w:b/>
          <w:bCs/>
          <w:sz w:val="28"/>
          <w:szCs w:val="28"/>
        </w:rPr>
        <w:t>plan</w:t>
      </w:r>
      <w:r w:rsidR="00D44EAC" w:rsidRPr="00137187">
        <w:rPr>
          <w:b/>
          <w:bCs/>
          <w:sz w:val="28"/>
          <w:szCs w:val="28"/>
        </w:rPr>
        <w:t xml:space="preserve"> </w:t>
      </w:r>
      <w:r w:rsidRPr="00137187">
        <w:rPr>
          <w:b/>
          <w:bCs/>
          <w:sz w:val="28"/>
          <w:szCs w:val="28"/>
        </w:rPr>
        <w:t>for</w:t>
      </w:r>
      <w:r w:rsidR="00D44EAC" w:rsidRPr="00137187">
        <w:rPr>
          <w:b/>
          <w:bCs/>
          <w:sz w:val="28"/>
          <w:szCs w:val="28"/>
        </w:rPr>
        <w:t xml:space="preserve"> </w:t>
      </w:r>
      <w:r w:rsidRPr="00137187">
        <w:rPr>
          <w:b/>
          <w:bCs/>
          <w:sz w:val="28"/>
          <w:szCs w:val="28"/>
        </w:rPr>
        <w:t>the</w:t>
      </w:r>
      <w:r w:rsidR="00D44EAC" w:rsidRPr="00137187">
        <w:rPr>
          <w:b/>
          <w:bCs/>
          <w:sz w:val="28"/>
          <w:szCs w:val="28"/>
        </w:rPr>
        <w:t xml:space="preserve"> </w:t>
      </w:r>
      <w:r>
        <w:rPr>
          <w:b/>
          <w:bCs/>
          <w:sz w:val="28"/>
          <w:szCs w:val="28"/>
        </w:rPr>
        <w:t>N</w:t>
      </w:r>
      <w:r w:rsidRPr="00137187">
        <w:rPr>
          <w:b/>
          <w:bCs/>
          <w:sz w:val="28"/>
          <w:szCs w:val="28"/>
        </w:rPr>
        <w:t>agoya</w:t>
      </w:r>
      <w:r w:rsidR="00D44EAC" w:rsidRPr="00137187">
        <w:rPr>
          <w:b/>
          <w:bCs/>
          <w:sz w:val="28"/>
          <w:szCs w:val="28"/>
        </w:rPr>
        <w:t xml:space="preserve"> </w:t>
      </w:r>
      <w:r>
        <w:rPr>
          <w:b/>
          <w:bCs/>
          <w:sz w:val="28"/>
          <w:szCs w:val="28"/>
        </w:rPr>
        <w:t>P</w:t>
      </w:r>
      <w:r w:rsidRPr="00137187">
        <w:rPr>
          <w:b/>
          <w:bCs/>
          <w:sz w:val="28"/>
          <w:szCs w:val="28"/>
        </w:rPr>
        <w:t>rotocol</w:t>
      </w:r>
    </w:p>
    <w:p w14:paraId="67CEBEE7" w14:textId="742A50F6" w:rsidR="00D44EAC" w:rsidRPr="00381E08" w:rsidRDefault="000C2024" w:rsidP="00137187">
      <w:pPr>
        <w:pStyle w:val="Heading1"/>
        <w:numPr>
          <w:ilvl w:val="0"/>
          <w:numId w:val="10"/>
        </w:numPr>
        <w:ind w:left="567" w:hanging="567"/>
      </w:pPr>
      <w:r>
        <w:t>I</w:t>
      </w:r>
      <w:r w:rsidR="00D44EAC" w:rsidRPr="00381E08">
        <w:t>ntroduction</w:t>
      </w:r>
    </w:p>
    <w:p w14:paraId="017E8AE0" w14:textId="77777777" w:rsidR="00D44EAC" w:rsidRPr="00381E08" w:rsidRDefault="00D44EAC" w:rsidP="00137187">
      <w:pPr>
        <w:pStyle w:val="Heading2"/>
        <w:numPr>
          <w:ilvl w:val="0"/>
          <w:numId w:val="8"/>
        </w:numPr>
        <w:ind w:left="567" w:hanging="567"/>
      </w:pPr>
      <w:r w:rsidRPr="00381E08">
        <w:t xml:space="preserve">Purpose </w:t>
      </w:r>
    </w:p>
    <w:p w14:paraId="6EA25684" w14:textId="5B68FFD3" w:rsidR="00D44EAC" w:rsidRPr="000E527A" w:rsidRDefault="00D44EAC" w:rsidP="00137187">
      <w:pPr>
        <w:pStyle w:val="Para10"/>
        <w:numPr>
          <w:ilvl w:val="0"/>
          <w:numId w:val="11"/>
        </w:numPr>
        <w:suppressLineNumbers/>
        <w:tabs>
          <w:tab w:val="left" w:pos="1134"/>
        </w:tabs>
        <w:suppressAutoHyphens/>
        <w:snapToGrid w:val="0"/>
        <w:ind w:left="567" w:firstLine="0"/>
        <w:rPr>
          <w:szCs w:val="22"/>
        </w:rPr>
      </w:pPr>
      <w:r>
        <w:t xml:space="preserve">In </w:t>
      </w:r>
      <w:r w:rsidR="00CA7EBF">
        <w:t xml:space="preserve">its </w:t>
      </w:r>
      <w:r>
        <w:t xml:space="preserve">decision 15/8, the </w:t>
      </w:r>
      <w:r w:rsidR="00476B37">
        <w:t xml:space="preserve">Conference of the </w:t>
      </w:r>
      <w:r>
        <w:t>Parties to the Convention adopted a long-term strategic framework for capacity building and development</w:t>
      </w:r>
      <w:r>
        <w:rPr>
          <w:rStyle w:val="FootnoteReference"/>
        </w:rPr>
        <w:footnoteReference w:id="23"/>
      </w:r>
      <w:r>
        <w:t xml:space="preserve"> to support nationally determined priorities for the implementation of the Kunming-Montreal Global Biodiversity Framework. The </w:t>
      </w:r>
      <w:r w:rsidR="00CA7EBF">
        <w:t>c</w:t>
      </w:r>
      <w:r>
        <w:t xml:space="preserve">apacity-building and </w:t>
      </w:r>
      <w:r w:rsidR="00CA7EBF">
        <w:t>d</w:t>
      </w:r>
      <w:r>
        <w:t xml:space="preserve">evelopment </w:t>
      </w:r>
      <w:r w:rsidR="00CA7EBF">
        <w:t>a</w:t>
      </w:r>
      <w:r>
        <w:t xml:space="preserve">ction </w:t>
      </w:r>
      <w:r w:rsidR="00CA7EBF">
        <w:t>p</w:t>
      </w:r>
      <w:r>
        <w:t>lan for the Nagoya Protocol</w:t>
      </w:r>
      <w:r>
        <w:rPr>
          <w:rStyle w:val="FootnoteReference"/>
        </w:rPr>
        <w:footnoteReference w:id="24"/>
      </w:r>
      <w:r>
        <w:t xml:space="preserve"> is a thematic action plan aim</w:t>
      </w:r>
      <w:r w:rsidR="002241E7">
        <w:t>ed at</w:t>
      </w:r>
      <w:r>
        <w:t xml:space="preserve"> support</w:t>
      </w:r>
      <w:r w:rsidR="002241E7">
        <w:t>ing</w:t>
      </w:r>
      <w:r>
        <w:t xml:space="preserve"> the effective implementation of the Nagoya Protocol in the context of its </w:t>
      </w:r>
      <w:hyperlink r:id="rId34" w:history="1">
        <w:r w:rsidR="0008680F">
          <w:rPr>
            <w:rStyle w:val="Hyperlink"/>
          </w:rPr>
          <w:t>A</w:t>
        </w:r>
        <w:r w:rsidRPr="005F51AA">
          <w:rPr>
            <w:rStyle w:val="Hyperlink"/>
          </w:rPr>
          <w:t>rticle 22</w:t>
        </w:r>
      </w:hyperlink>
      <w:r>
        <w:t>. As such, it contributes to the implementation of Target</w:t>
      </w:r>
      <w:r w:rsidR="002F2717">
        <w:t>s</w:t>
      </w:r>
      <w:r>
        <w:t xml:space="preserve"> 13 and 20</w:t>
      </w:r>
      <w:r w:rsidR="00126B3B" w:rsidRPr="00126B3B">
        <w:t xml:space="preserve"> </w:t>
      </w:r>
      <w:r w:rsidR="00126B3B">
        <w:t>of the Kunming-Montreal Global Biodiversity Framework</w:t>
      </w:r>
      <w:r>
        <w:t>, the attainment of Goal C</w:t>
      </w:r>
      <w:r w:rsidR="00126B3B">
        <w:t xml:space="preserve"> of the Framework</w:t>
      </w:r>
      <w:r>
        <w:rPr>
          <w:rStyle w:val="FootnoteReference"/>
        </w:rPr>
        <w:footnoteReference w:id="25"/>
      </w:r>
      <w:r>
        <w:t xml:space="preserve"> and </w:t>
      </w:r>
      <w:r w:rsidR="0043530E">
        <w:t>the</w:t>
      </w:r>
      <w:r>
        <w:t xml:space="preserve"> </w:t>
      </w:r>
      <w:r w:rsidR="00655161">
        <w:t xml:space="preserve">vision </w:t>
      </w:r>
      <w:r w:rsidR="00A61A6B">
        <w:t xml:space="preserve">presented </w:t>
      </w:r>
      <w:r w:rsidR="000235AC">
        <w:t>i</w:t>
      </w:r>
      <w:r w:rsidR="00FD694A">
        <w:t>n</w:t>
      </w:r>
      <w:r w:rsidR="00A61A6B">
        <w:t xml:space="preserve"> </w:t>
      </w:r>
      <w:r w:rsidR="00C403B4">
        <w:t xml:space="preserve">the Framework </w:t>
      </w:r>
      <w:r>
        <w:t>of living in harmony with nature</w:t>
      </w:r>
      <w:r w:rsidR="00C403B4">
        <w:t xml:space="preserve"> by 2050</w:t>
      </w:r>
      <w:r>
        <w:t xml:space="preserve">. Furthermore, the </w:t>
      </w:r>
      <w:r w:rsidR="00777197">
        <w:t>a</w:t>
      </w:r>
      <w:r>
        <w:t xml:space="preserve">ction </w:t>
      </w:r>
      <w:r w:rsidR="00777197">
        <w:t>p</w:t>
      </w:r>
      <w:r>
        <w:t xml:space="preserve">lan supports the implementation of </w:t>
      </w:r>
      <w:hyperlink r:id="rId35" w:history="1">
        <w:r w:rsidR="0008680F">
          <w:rPr>
            <w:rStyle w:val="Hyperlink"/>
          </w:rPr>
          <w:t>A</w:t>
        </w:r>
        <w:r w:rsidRPr="00D50DCF">
          <w:rPr>
            <w:rStyle w:val="Hyperlink"/>
          </w:rPr>
          <w:t>rticle 21</w:t>
        </w:r>
      </w:hyperlink>
      <w:r>
        <w:t xml:space="preserve"> </w:t>
      </w:r>
      <w:r w:rsidR="00EA2FD9">
        <w:t xml:space="preserve">of the Protocol </w:t>
      </w:r>
      <w:r>
        <w:t xml:space="preserve">on awareness-raising. </w:t>
      </w:r>
    </w:p>
    <w:p w14:paraId="64DDE70F" w14:textId="75812E39" w:rsidR="00D44EAC" w:rsidRPr="00E27CFC" w:rsidRDefault="00D44EAC" w:rsidP="00137187">
      <w:pPr>
        <w:pStyle w:val="Para10"/>
        <w:numPr>
          <w:ilvl w:val="0"/>
          <w:numId w:val="11"/>
        </w:numPr>
        <w:suppressLineNumbers/>
        <w:tabs>
          <w:tab w:val="left" w:pos="1134"/>
        </w:tabs>
        <w:suppressAutoHyphens/>
        <w:snapToGrid w:val="0"/>
        <w:ind w:left="567" w:firstLine="0"/>
        <w:rPr>
          <w:kern w:val="22"/>
          <w:szCs w:val="22"/>
        </w:rPr>
      </w:pPr>
      <w:r w:rsidRPr="00381E08">
        <w:rPr>
          <w:kern w:val="22"/>
        </w:rPr>
        <w:t xml:space="preserve">The </w:t>
      </w:r>
      <w:r w:rsidR="00160301">
        <w:rPr>
          <w:kern w:val="22"/>
        </w:rPr>
        <w:t>a</w:t>
      </w:r>
      <w:r w:rsidRPr="00381E08">
        <w:rPr>
          <w:kern w:val="22"/>
        </w:rPr>
        <w:t>ction</w:t>
      </w:r>
      <w:r w:rsidRPr="00381E08">
        <w:t xml:space="preserve"> </w:t>
      </w:r>
      <w:r w:rsidR="00160301">
        <w:t>p</w:t>
      </w:r>
      <w:r w:rsidRPr="00381E08">
        <w:t>lan</w:t>
      </w:r>
      <w:r>
        <w:t xml:space="preserve"> </w:t>
      </w:r>
      <w:r>
        <w:rPr>
          <w:kern w:val="22"/>
        </w:rPr>
        <w:t>aims</w:t>
      </w:r>
      <w:r w:rsidRPr="00381E08">
        <w:rPr>
          <w:kern w:val="22"/>
        </w:rPr>
        <w:t xml:space="preserve"> to</w:t>
      </w:r>
      <w:r w:rsidR="00160301">
        <w:rPr>
          <w:kern w:val="22"/>
        </w:rPr>
        <w:t>wards</w:t>
      </w:r>
      <w:r w:rsidRPr="00381E08">
        <w:rPr>
          <w:kern w:val="22"/>
        </w:rPr>
        <w:t xml:space="preserve"> support</w:t>
      </w:r>
      <w:r w:rsidR="00160301">
        <w:rPr>
          <w:kern w:val="22"/>
        </w:rPr>
        <w:t>ing</w:t>
      </w:r>
      <w:r w:rsidRPr="00381E08">
        <w:rPr>
          <w:kern w:val="22"/>
        </w:rPr>
        <w:t xml:space="preserve"> Parties </w:t>
      </w:r>
      <w:r w:rsidR="009E16F5">
        <w:rPr>
          <w:kern w:val="22"/>
        </w:rPr>
        <w:t>in</w:t>
      </w:r>
      <w:r w:rsidR="009E16F5" w:rsidRPr="00381E08">
        <w:rPr>
          <w:kern w:val="22"/>
        </w:rPr>
        <w:t xml:space="preserve"> </w:t>
      </w:r>
      <w:r w:rsidRPr="00381E08">
        <w:rPr>
          <w:kern w:val="22"/>
        </w:rPr>
        <w:t>meeting the Sustainable Development Goals</w:t>
      </w:r>
      <w:r w:rsidRPr="00A271FF">
        <w:rPr>
          <w:kern w:val="22"/>
        </w:rPr>
        <w:t xml:space="preserve"> and</w:t>
      </w:r>
      <w:r w:rsidRPr="00381E08">
        <w:rPr>
          <w:kern w:val="22"/>
        </w:rPr>
        <w:t xml:space="preserve"> contributes to the achievement of </w:t>
      </w:r>
      <w:r>
        <w:rPr>
          <w:kern w:val="22"/>
        </w:rPr>
        <w:t>t</w:t>
      </w:r>
      <w:r w:rsidRPr="00381E08">
        <w:rPr>
          <w:kern w:val="22"/>
        </w:rPr>
        <w:t>arget 15.6</w:t>
      </w:r>
      <w:r w:rsidR="00D81866">
        <w:rPr>
          <w:kern w:val="22"/>
        </w:rPr>
        <w:t xml:space="preserve"> under the Goals.</w:t>
      </w:r>
      <w:r>
        <w:rPr>
          <w:rStyle w:val="FootnoteReference"/>
          <w:kern w:val="22"/>
        </w:rPr>
        <w:footnoteReference w:id="26"/>
      </w:r>
    </w:p>
    <w:p w14:paraId="2FF61F6A" w14:textId="1170AFE3" w:rsidR="00D44EAC" w:rsidRPr="00A202B9" w:rsidRDefault="00D44EAC" w:rsidP="00137187">
      <w:pPr>
        <w:pStyle w:val="Para10"/>
        <w:numPr>
          <w:ilvl w:val="0"/>
          <w:numId w:val="11"/>
        </w:numPr>
        <w:suppressLineNumbers/>
        <w:tabs>
          <w:tab w:val="left" w:pos="1134"/>
        </w:tabs>
        <w:suppressAutoHyphens/>
        <w:snapToGrid w:val="0"/>
        <w:ind w:left="567" w:firstLine="0"/>
      </w:pPr>
      <w:r w:rsidRPr="00137187">
        <w:t>The</w:t>
      </w:r>
      <w:r w:rsidRPr="001E4D17">
        <w:rPr>
          <w:snapToGrid/>
          <w:kern w:val="22"/>
        </w:rPr>
        <w:t xml:space="preserve"> theoretical </w:t>
      </w:r>
      <w:r>
        <w:rPr>
          <w:snapToGrid/>
          <w:kern w:val="22"/>
        </w:rPr>
        <w:t>foundation</w:t>
      </w:r>
      <w:r w:rsidRPr="001E4D17">
        <w:rPr>
          <w:snapToGrid/>
          <w:kern w:val="22"/>
        </w:rPr>
        <w:t xml:space="preserve"> for this</w:t>
      </w:r>
      <w:r w:rsidRPr="00A202B9">
        <w:rPr>
          <w:snapToGrid/>
          <w:kern w:val="22"/>
        </w:rPr>
        <w:t xml:space="preserve"> </w:t>
      </w:r>
      <w:r w:rsidR="00D81866">
        <w:rPr>
          <w:snapToGrid/>
          <w:kern w:val="22"/>
        </w:rPr>
        <w:t>a</w:t>
      </w:r>
      <w:r w:rsidRPr="00A202B9">
        <w:rPr>
          <w:snapToGrid/>
          <w:kern w:val="22"/>
        </w:rPr>
        <w:t xml:space="preserve">ction </w:t>
      </w:r>
      <w:r w:rsidR="00D81866">
        <w:rPr>
          <w:snapToGrid/>
          <w:kern w:val="22"/>
        </w:rPr>
        <w:t>p</w:t>
      </w:r>
      <w:r w:rsidRPr="00A202B9">
        <w:rPr>
          <w:snapToGrid/>
          <w:kern w:val="22"/>
        </w:rPr>
        <w:t xml:space="preserve">lan </w:t>
      </w:r>
      <w:r w:rsidRPr="00A73500">
        <w:rPr>
          <w:snapToGrid/>
          <w:kern w:val="22"/>
        </w:rPr>
        <w:t>is</w:t>
      </w:r>
      <w:r>
        <w:rPr>
          <w:snapToGrid/>
          <w:kern w:val="22"/>
        </w:rPr>
        <w:t xml:space="preserve"> based on</w:t>
      </w:r>
      <w:r w:rsidRPr="00A202B9">
        <w:rPr>
          <w:snapToGrid/>
          <w:kern w:val="22"/>
        </w:rPr>
        <w:t xml:space="preserve"> key concepts presented in the long-term framework, including the definition of capacity-building and development, guiding principles and relevant approaches and strategies</w:t>
      </w:r>
      <w:r w:rsidRPr="001E4D17">
        <w:rPr>
          <w:snapToGrid/>
          <w:kern w:val="22"/>
        </w:rPr>
        <w:t xml:space="preserve">. The </w:t>
      </w:r>
      <w:r w:rsidR="00DD31D3">
        <w:rPr>
          <w:snapToGrid/>
          <w:kern w:val="22"/>
        </w:rPr>
        <w:t>a</w:t>
      </w:r>
      <w:r w:rsidR="002041D4">
        <w:rPr>
          <w:snapToGrid/>
          <w:kern w:val="22"/>
        </w:rPr>
        <w:t xml:space="preserve">ction </w:t>
      </w:r>
      <w:r w:rsidR="00DD31D3">
        <w:rPr>
          <w:snapToGrid/>
          <w:kern w:val="22"/>
        </w:rPr>
        <w:t>p</w:t>
      </w:r>
      <w:r w:rsidRPr="001E4D17">
        <w:rPr>
          <w:snapToGrid/>
          <w:kern w:val="22"/>
        </w:rPr>
        <w:t>lan</w:t>
      </w:r>
      <w:r w:rsidRPr="00A202B9">
        <w:rPr>
          <w:snapToGrid/>
          <w:kern w:val="22"/>
        </w:rPr>
        <w:t>:</w:t>
      </w:r>
    </w:p>
    <w:p w14:paraId="101FEDBE" w14:textId="29DA47BB" w:rsidR="00D44EAC" w:rsidRPr="000862B7" w:rsidRDefault="00D44EAC" w:rsidP="00137187">
      <w:pPr>
        <w:pStyle w:val="Para10"/>
        <w:suppressLineNumbers/>
        <w:tabs>
          <w:tab w:val="left" w:pos="1701"/>
        </w:tabs>
        <w:suppressAutoHyphens/>
        <w:snapToGrid w:val="0"/>
        <w:ind w:left="567" w:firstLine="567"/>
        <w:rPr>
          <w:snapToGrid/>
          <w:kern w:val="22"/>
        </w:rPr>
      </w:pPr>
      <w:r w:rsidRPr="00381E08">
        <w:rPr>
          <w:snapToGrid/>
          <w:kern w:val="22"/>
        </w:rPr>
        <w:t>(a)</w:t>
      </w:r>
      <w:r w:rsidR="00336406">
        <w:rPr>
          <w:snapToGrid/>
          <w:kern w:val="22"/>
          <w:szCs w:val="22"/>
        </w:rPr>
        <w:tab/>
      </w:r>
      <w:r>
        <w:rPr>
          <w:snapToGrid/>
          <w:kern w:val="22"/>
        </w:rPr>
        <w:t>Emphasi</w:t>
      </w:r>
      <w:r w:rsidR="00DD31D3">
        <w:rPr>
          <w:snapToGrid/>
          <w:kern w:val="22"/>
        </w:rPr>
        <w:t>z</w:t>
      </w:r>
      <w:r>
        <w:rPr>
          <w:snapToGrid/>
          <w:kern w:val="22"/>
        </w:rPr>
        <w:t>e</w:t>
      </w:r>
      <w:r w:rsidR="00060EE0">
        <w:rPr>
          <w:snapToGrid/>
          <w:kern w:val="22"/>
        </w:rPr>
        <w:t>s</w:t>
      </w:r>
      <w:r>
        <w:rPr>
          <w:snapToGrid/>
          <w:kern w:val="22"/>
        </w:rPr>
        <w:t xml:space="preserve"> the importance of integrating access and benefit-sharing as part of broader biodiversity capacity-building and development efforts, such as those that have been incorporated in national</w:t>
      </w:r>
      <w:r w:rsidDel="00A87E38">
        <w:rPr>
          <w:snapToGrid/>
          <w:kern w:val="22"/>
        </w:rPr>
        <w:t xml:space="preserve"> </w:t>
      </w:r>
      <w:r w:rsidRPr="000862B7">
        <w:rPr>
          <w:snapToGrid/>
          <w:kern w:val="22"/>
        </w:rPr>
        <w:t>biodiversity strategies and action plans;</w:t>
      </w:r>
    </w:p>
    <w:p w14:paraId="33F04966" w14:textId="35FEA95A" w:rsidR="00D44EAC" w:rsidRDefault="00D44EAC" w:rsidP="00137187">
      <w:pPr>
        <w:pStyle w:val="Para10"/>
        <w:suppressLineNumbers/>
        <w:tabs>
          <w:tab w:val="left" w:pos="1701"/>
        </w:tabs>
        <w:suppressAutoHyphens/>
        <w:snapToGrid w:val="0"/>
        <w:ind w:left="567" w:firstLine="567"/>
        <w:rPr>
          <w:snapToGrid/>
          <w:kern w:val="22"/>
          <w:szCs w:val="22"/>
        </w:rPr>
      </w:pPr>
      <w:r w:rsidRPr="000862B7">
        <w:rPr>
          <w:snapToGrid/>
          <w:kern w:val="22"/>
        </w:rPr>
        <w:t>(</w:t>
      </w:r>
      <w:r>
        <w:rPr>
          <w:snapToGrid/>
          <w:kern w:val="22"/>
        </w:rPr>
        <w:t>b</w:t>
      </w:r>
      <w:r w:rsidRPr="000862B7">
        <w:rPr>
          <w:snapToGrid/>
          <w:kern w:val="22"/>
        </w:rPr>
        <w:t>)</w:t>
      </w:r>
      <w:r w:rsidR="00336406">
        <w:rPr>
          <w:snapToGrid/>
          <w:kern w:val="22"/>
        </w:rPr>
        <w:tab/>
      </w:r>
      <w:r w:rsidRPr="000862B7">
        <w:rPr>
          <w:snapToGrid/>
          <w:kern w:val="22"/>
        </w:rPr>
        <w:t>Promote</w:t>
      </w:r>
      <w:r w:rsidR="00060EE0">
        <w:rPr>
          <w:snapToGrid/>
          <w:kern w:val="22"/>
        </w:rPr>
        <w:t>s</w:t>
      </w:r>
      <w:r w:rsidRPr="000862B7">
        <w:rPr>
          <w:snapToGrid/>
          <w:kern w:val="22"/>
        </w:rPr>
        <w:t xml:space="preserve"> a set of concepts and principles that foster strategic and longer-term capacity-building and development </w:t>
      </w:r>
      <w:r w:rsidR="001E5CA7">
        <w:rPr>
          <w:snapToGrid/>
          <w:kern w:val="22"/>
        </w:rPr>
        <w:t xml:space="preserve">based on a theory of change </w:t>
      </w:r>
      <w:r w:rsidRPr="000862B7">
        <w:rPr>
          <w:snapToGrid/>
          <w:kern w:val="22"/>
        </w:rPr>
        <w:t>(sect</w:t>
      </w:r>
      <w:r w:rsidR="00DD31D3">
        <w:rPr>
          <w:snapToGrid/>
          <w:kern w:val="22"/>
        </w:rPr>
        <w:t>.</w:t>
      </w:r>
      <w:r w:rsidRPr="000862B7">
        <w:rPr>
          <w:snapToGrid/>
          <w:kern w:val="22"/>
        </w:rPr>
        <w:t xml:space="preserve"> II);</w:t>
      </w:r>
    </w:p>
    <w:p w14:paraId="243C8A73" w14:textId="24194D9E" w:rsidR="00D44EAC" w:rsidRPr="00053F97" w:rsidRDefault="00D44EAC" w:rsidP="00137187">
      <w:pPr>
        <w:pStyle w:val="Para10"/>
        <w:suppressLineNumbers/>
        <w:tabs>
          <w:tab w:val="left" w:pos="1701"/>
        </w:tabs>
        <w:suppressAutoHyphens/>
        <w:snapToGrid w:val="0"/>
        <w:ind w:left="567" w:firstLine="567"/>
      </w:pPr>
      <w:r w:rsidRPr="00FB7B83">
        <w:rPr>
          <w:snapToGrid/>
          <w:kern w:val="22"/>
        </w:rPr>
        <w:t>(</w:t>
      </w:r>
      <w:r>
        <w:rPr>
          <w:snapToGrid/>
          <w:kern w:val="22"/>
        </w:rPr>
        <w:t>c</w:t>
      </w:r>
      <w:r w:rsidRPr="00FB7B83">
        <w:rPr>
          <w:snapToGrid/>
          <w:kern w:val="22"/>
        </w:rPr>
        <w:t>)</w:t>
      </w:r>
      <w:r w:rsidR="00336406">
        <w:rPr>
          <w:snapToGrid/>
          <w:kern w:val="22"/>
        </w:rPr>
        <w:tab/>
      </w:r>
      <w:r w:rsidRPr="00FB7B83">
        <w:rPr>
          <w:snapToGrid/>
          <w:kern w:val="22"/>
        </w:rPr>
        <w:t>Foster</w:t>
      </w:r>
      <w:r w:rsidR="00060EE0">
        <w:rPr>
          <w:snapToGrid/>
          <w:kern w:val="22"/>
        </w:rPr>
        <w:t>s</w:t>
      </w:r>
      <w:r w:rsidRPr="00FB7B83">
        <w:rPr>
          <w:snapToGrid/>
          <w:kern w:val="22"/>
        </w:rPr>
        <w:t xml:space="preserve"> cooperation, synergies and coordination at the international, regional</w:t>
      </w:r>
      <w:r w:rsidR="6C044003" w:rsidRPr="00FB7B83">
        <w:rPr>
          <w:snapToGrid/>
          <w:kern w:val="22"/>
        </w:rPr>
        <w:t>, sub-regional</w:t>
      </w:r>
      <w:r w:rsidRPr="00FB7B83">
        <w:rPr>
          <w:snapToGrid/>
          <w:kern w:val="22"/>
        </w:rPr>
        <w:t xml:space="preserve"> and national levels,</w:t>
      </w:r>
      <w:r w:rsidRPr="00FB7B83">
        <w:rPr>
          <w:snapToGrid/>
          <w:kern w:val="22"/>
          <w:szCs w:val="22"/>
        </w:rPr>
        <w:t xml:space="preserve"> </w:t>
      </w:r>
      <w:r w:rsidRPr="00FB7B83">
        <w:rPr>
          <w:snapToGrid/>
          <w:kern w:val="22"/>
        </w:rPr>
        <w:t xml:space="preserve">as well as the sharing among stakeholders </w:t>
      </w:r>
      <w:r w:rsidR="00DD31D3" w:rsidRPr="00FB7B83">
        <w:rPr>
          <w:snapToGrid/>
          <w:kern w:val="22"/>
        </w:rPr>
        <w:t xml:space="preserve">of good practices and lessons </w:t>
      </w:r>
      <w:r w:rsidR="00DD31D3" w:rsidRPr="00FB7B83">
        <w:t xml:space="preserve">learned </w:t>
      </w:r>
      <w:r w:rsidRPr="00FB7B83">
        <w:rPr>
          <w:snapToGrid/>
          <w:kern w:val="22"/>
        </w:rPr>
        <w:t>(sect</w:t>
      </w:r>
      <w:r w:rsidR="00DD31D3">
        <w:rPr>
          <w:snapToGrid/>
          <w:kern w:val="22"/>
        </w:rPr>
        <w:t>.</w:t>
      </w:r>
      <w:r w:rsidRPr="00FB7B83">
        <w:rPr>
          <w:snapToGrid/>
          <w:kern w:val="22"/>
        </w:rPr>
        <w:t xml:space="preserve"> III)</w:t>
      </w:r>
      <w:r>
        <w:rPr>
          <w:snapToGrid/>
          <w:kern w:val="22"/>
          <w:szCs w:val="22"/>
        </w:rPr>
        <w:t>;</w:t>
      </w:r>
    </w:p>
    <w:p w14:paraId="419820B0" w14:textId="3AC652B9" w:rsidR="00D44EAC" w:rsidRDefault="00D44EAC" w:rsidP="00137187">
      <w:pPr>
        <w:pStyle w:val="Para10"/>
        <w:suppressLineNumbers/>
        <w:tabs>
          <w:tab w:val="left" w:pos="1701"/>
        </w:tabs>
        <w:suppressAutoHyphens/>
        <w:snapToGrid w:val="0"/>
        <w:ind w:left="567" w:firstLine="567"/>
        <w:rPr>
          <w:snapToGrid/>
          <w:kern w:val="22"/>
        </w:rPr>
      </w:pPr>
      <w:r w:rsidRPr="001E4D17" w:rsidDel="006D106F">
        <w:rPr>
          <w:snapToGrid/>
          <w:kern w:val="22"/>
        </w:rPr>
        <w:t>(</w:t>
      </w:r>
      <w:r w:rsidR="00DD31D3">
        <w:rPr>
          <w:snapToGrid/>
          <w:kern w:val="22"/>
        </w:rPr>
        <w:t>d</w:t>
      </w:r>
      <w:r w:rsidRPr="001E4D17">
        <w:rPr>
          <w:snapToGrid/>
          <w:kern w:val="22"/>
        </w:rPr>
        <w:t>)</w:t>
      </w:r>
      <w:r w:rsidR="00336406">
        <w:rPr>
          <w:snapToGrid/>
          <w:kern w:val="22"/>
        </w:rPr>
        <w:tab/>
      </w:r>
      <w:r>
        <w:rPr>
          <w:snapToGrid/>
          <w:kern w:val="22"/>
        </w:rPr>
        <w:t>I</w:t>
      </w:r>
      <w:r w:rsidRPr="00381E08">
        <w:rPr>
          <w:snapToGrid/>
          <w:kern w:val="22"/>
        </w:rPr>
        <w:t>dentif</w:t>
      </w:r>
      <w:r w:rsidR="00060EE0">
        <w:rPr>
          <w:snapToGrid/>
          <w:kern w:val="22"/>
        </w:rPr>
        <w:t>ies</w:t>
      </w:r>
      <w:r w:rsidRPr="00381E08">
        <w:rPr>
          <w:snapToGrid/>
          <w:kern w:val="22"/>
        </w:rPr>
        <w:t xml:space="preserve"> </w:t>
      </w:r>
      <w:r>
        <w:rPr>
          <w:snapToGrid/>
          <w:kern w:val="22"/>
        </w:rPr>
        <w:t>key</w:t>
      </w:r>
      <w:r w:rsidRPr="00381E08">
        <w:rPr>
          <w:snapToGrid/>
          <w:kern w:val="22"/>
        </w:rPr>
        <w:t xml:space="preserve"> outcome areas for capacity-building and development, </w:t>
      </w:r>
      <w:r w:rsidR="00D43E5C">
        <w:rPr>
          <w:snapToGrid/>
          <w:kern w:val="22"/>
        </w:rPr>
        <w:t xml:space="preserve">the main target group </w:t>
      </w:r>
      <w:r w:rsidRPr="00381E08">
        <w:rPr>
          <w:snapToGrid/>
          <w:kern w:val="22"/>
        </w:rPr>
        <w:t xml:space="preserve">along with indicative </w:t>
      </w:r>
      <w:r>
        <w:rPr>
          <w:snapToGrid/>
          <w:kern w:val="22"/>
        </w:rPr>
        <w:t xml:space="preserve">priority </w:t>
      </w:r>
      <w:r w:rsidRPr="00381E08">
        <w:rPr>
          <w:snapToGrid/>
          <w:kern w:val="22"/>
        </w:rPr>
        <w:t>outputs</w:t>
      </w:r>
      <w:r w:rsidR="008F6FA6">
        <w:rPr>
          <w:snapToGrid/>
          <w:kern w:val="22"/>
        </w:rPr>
        <w:t xml:space="preserve"> and </w:t>
      </w:r>
      <w:r w:rsidRPr="00381E08">
        <w:rPr>
          <w:snapToGrid/>
          <w:kern w:val="22"/>
        </w:rPr>
        <w:t>activities</w:t>
      </w:r>
      <w:r>
        <w:rPr>
          <w:snapToGrid/>
          <w:kern w:val="22"/>
        </w:rPr>
        <w:t xml:space="preserve"> </w:t>
      </w:r>
      <w:r w:rsidRPr="00B03884">
        <w:rPr>
          <w:snapToGrid/>
          <w:kern w:val="22"/>
        </w:rPr>
        <w:t>(</w:t>
      </w:r>
      <w:r w:rsidR="000238A1">
        <w:rPr>
          <w:snapToGrid/>
          <w:kern w:val="22"/>
        </w:rPr>
        <w:t>see enclosure</w:t>
      </w:r>
      <w:r w:rsidR="00E248B3">
        <w:rPr>
          <w:snapToGrid/>
          <w:kern w:val="22"/>
        </w:rPr>
        <w:t xml:space="preserve"> </w:t>
      </w:r>
      <w:r w:rsidR="000238A1">
        <w:rPr>
          <w:snapToGrid/>
          <w:kern w:val="22"/>
        </w:rPr>
        <w:t>below</w:t>
      </w:r>
      <w:r w:rsidRPr="00B03884">
        <w:rPr>
          <w:snapToGrid/>
          <w:kern w:val="22"/>
        </w:rPr>
        <w:t>)</w:t>
      </w:r>
      <w:r>
        <w:rPr>
          <w:snapToGrid/>
          <w:kern w:val="22"/>
        </w:rPr>
        <w:t>.</w:t>
      </w:r>
    </w:p>
    <w:p w14:paraId="042AE1A6" w14:textId="7A7E3E9D" w:rsidR="00D44EAC" w:rsidRPr="00381E08" w:rsidRDefault="00D44EAC" w:rsidP="00137187">
      <w:pPr>
        <w:pStyle w:val="Heading2"/>
        <w:numPr>
          <w:ilvl w:val="0"/>
          <w:numId w:val="8"/>
        </w:numPr>
        <w:ind w:left="567" w:hanging="567"/>
      </w:pPr>
      <w:r w:rsidRPr="00381E08">
        <w:t>Target audience</w:t>
      </w:r>
      <w:r>
        <w:t xml:space="preserve"> of the </w:t>
      </w:r>
      <w:r w:rsidR="00E450DA">
        <w:t>a</w:t>
      </w:r>
      <w:r>
        <w:t xml:space="preserve">ction </w:t>
      </w:r>
      <w:r w:rsidR="00E450DA">
        <w:t>p</w:t>
      </w:r>
      <w:r>
        <w:t>lan</w:t>
      </w:r>
    </w:p>
    <w:p w14:paraId="7C1F4B62" w14:textId="18430BBB" w:rsidR="00D44EAC" w:rsidRDefault="00D44EAC" w:rsidP="00137187">
      <w:pPr>
        <w:pStyle w:val="Para10"/>
        <w:numPr>
          <w:ilvl w:val="0"/>
          <w:numId w:val="11"/>
        </w:numPr>
        <w:suppressLineNumbers/>
        <w:tabs>
          <w:tab w:val="left" w:pos="1134"/>
        </w:tabs>
        <w:suppressAutoHyphens/>
        <w:snapToGrid w:val="0"/>
        <w:ind w:left="567" w:firstLine="0"/>
        <w:rPr>
          <w:snapToGrid/>
          <w:kern w:val="22"/>
        </w:rPr>
      </w:pPr>
      <w:r w:rsidRPr="00137187">
        <w:t>The</w:t>
      </w:r>
      <w:r w:rsidRPr="00381E08">
        <w:rPr>
          <w:snapToGrid/>
          <w:kern w:val="22"/>
        </w:rPr>
        <w:t xml:space="preserve"> target audience</w:t>
      </w:r>
      <w:r>
        <w:rPr>
          <w:snapToGrid/>
          <w:kern w:val="22"/>
        </w:rPr>
        <w:t xml:space="preserve"> includes</w:t>
      </w:r>
      <w:r w:rsidRPr="00381E08">
        <w:rPr>
          <w:snapToGrid/>
          <w:kern w:val="22"/>
        </w:rPr>
        <w:t xml:space="preserve"> all actors </w:t>
      </w:r>
      <w:r>
        <w:rPr>
          <w:snapToGrid/>
          <w:kern w:val="22"/>
        </w:rPr>
        <w:t>involved in</w:t>
      </w:r>
      <w:r w:rsidRPr="00381E08">
        <w:rPr>
          <w:snapToGrid/>
          <w:kern w:val="22"/>
        </w:rPr>
        <w:t xml:space="preserve"> capacity-building and development </w:t>
      </w:r>
      <w:r>
        <w:rPr>
          <w:snapToGrid/>
          <w:kern w:val="22"/>
        </w:rPr>
        <w:t xml:space="preserve">initiatives </w:t>
      </w:r>
      <w:r w:rsidR="007266C7">
        <w:rPr>
          <w:snapToGrid/>
          <w:kern w:val="22"/>
        </w:rPr>
        <w:t xml:space="preserve">aimed </w:t>
      </w:r>
      <w:r w:rsidRPr="00381E08">
        <w:rPr>
          <w:snapToGrid/>
          <w:kern w:val="22"/>
        </w:rPr>
        <w:t>to</w:t>
      </w:r>
      <w:r w:rsidR="007266C7">
        <w:rPr>
          <w:snapToGrid/>
          <w:kern w:val="22"/>
        </w:rPr>
        <w:t>wards</w:t>
      </w:r>
      <w:r w:rsidRPr="00381E08">
        <w:rPr>
          <w:snapToGrid/>
          <w:kern w:val="22"/>
        </w:rPr>
        <w:t xml:space="preserve"> support </w:t>
      </w:r>
      <w:r w:rsidR="007266C7">
        <w:rPr>
          <w:snapToGrid/>
          <w:kern w:val="22"/>
        </w:rPr>
        <w:t xml:space="preserve">of </w:t>
      </w:r>
      <w:r w:rsidRPr="00381E08">
        <w:rPr>
          <w:snapToGrid/>
          <w:kern w:val="22"/>
        </w:rPr>
        <w:t>the implementation of the Protocol</w:t>
      </w:r>
      <w:r>
        <w:rPr>
          <w:snapToGrid/>
          <w:kern w:val="22"/>
        </w:rPr>
        <w:t xml:space="preserve">, such as </w:t>
      </w:r>
      <w:r w:rsidRPr="00381E08">
        <w:rPr>
          <w:kern w:val="22"/>
        </w:rPr>
        <w:t>Parties</w:t>
      </w:r>
      <w:r>
        <w:rPr>
          <w:kern w:val="22"/>
        </w:rPr>
        <w:t xml:space="preserve"> and</w:t>
      </w:r>
      <w:r w:rsidRPr="00381E08">
        <w:rPr>
          <w:kern w:val="22"/>
        </w:rPr>
        <w:t xml:space="preserve"> </w:t>
      </w:r>
      <w:r>
        <w:rPr>
          <w:kern w:val="22"/>
        </w:rPr>
        <w:t xml:space="preserve">other Governments at all levels and including </w:t>
      </w:r>
      <w:r w:rsidRPr="00906C6A">
        <w:rPr>
          <w:kern w:val="22"/>
        </w:rPr>
        <w:t>ministries and agencies of relevant sectors</w:t>
      </w:r>
      <w:r w:rsidR="007266C7">
        <w:rPr>
          <w:kern w:val="22"/>
        </w:rPr>
        <w:t>;</w:t>
      </w:r>
      <w:r w:rsidRPr="00381E08">
        <w:rPr>
          <w:kern w:val="22"/>
        </w:rPr>
        <w:t xml:space="preserve"> indigenous peoples and local communities</w:t>
      </w:r>
      <w:r w:rsidR="007266C7">
        <w:rPr>
          <w:kern w:val="22"/>
        </w:rPr>
        <w:t>;</w:t>
      </w:r>
      <w:r w:rsidRPr="00381E08">
        <w:rPr>
          <w:kern w:val="22"/>
        </w:rPr>
        <w:t xml:space="preserve"> international, regional and national</w:t>
      </w:r>
      <w:r w:rsidRPr="00381E08">
        <w:rPr>
          <w:kern w:val="22"/>
          <w:szCs w:val="22"/>
        </w:rPr>
        <w:t xml:space="preserve"> </w:t>
      </w:r>
      <w:r w:rsidRPr="00381E08">
        <w:rPr>
          <w:kern w:val="22"/>
        </w:rPr>
        <w:t>organizations</w:t>
      </w:r>
      <w:r w:rsidR="007266C7">
        <w:rPr>
          <w:kern w:val="22"/>
          <w:szCs w:val="22"/>
        </w:rPr>
        <w:t>;</w:t>
      </w:r>
      <w:r w:rsidRPr="00381E08">
        <w:rPr>
          <w:kern w:val="22"/>
        </w:rPr>
        <w:t xml:space="preserve"> </w:t>
      </w:r>
      <w:r>
        <w:rPr>
          <w:kern w:val="22"/>
        </w:rPr>
        <w:t xml:space="preserve">donors and funding </w:t>
      </w:r>
      <w:r>
        <w:rPr>
          <w:kern w:val="22"/>
        </w:rPr>
        <w:lastRenderedPageBreak/>
        <w:t>agencies</w:t>
      </w:r>
      <w:r w:rsidRPr="00A271FF">
        <w:rPr>
          <w:kern w:val="22"/>
        </w:rPr>
        <w:t>, including</w:t>
      </w:r>
      <w:r w:rsidRPr="00381E08">
        <w:rPr>
          <w:kern w:val="22"/>
        </w:rPr>
        <w:t xml:space="preserve"> regional development banks</w:t>
      </w:r>
      <w:r w:rsidR="007266C7">
        <w:rPr>
          <w:kern w:val="22"/>
          <w:szCs w:val="22"/>
        </w:rPr>
        <w:t>;</w:t>
      </w:r>
      <w:r w:rsidRPr="00381E08">
        <w:rPr>
          <w:kern w:val="22"/>
        </w:rPr>
        <w:t xml:space="preserve"> </w:t>
      </w:r>
      <w:r w:rsidR="00475932">
        <w:rPr>
          <w:kern w:val="22"/>
        </w:rPr>
        <w:t xml:space="preserve">and </w:t>
      </w:r>
      <w:r>
        <w:rPr>
          <w:kern w:val="22"/>
        </w:rPr>
        <w:t xml:space="preserve">relevant stakeholders, including </w:t>
      </w:r>
      <w:r w:rsidRPr="00381E08">
        <w:rPr>
          <w:kern w:val="22"/>
        </w:rPr>
        <w:t>the business sector</w:t>
      </w:r>
      <w:r w:rsidR="005F1E9B">
        <w:rPr>
          <w:kern w:val="22"/>
        </w:rPr>
        <w:t>,</w:t>
      </w:r>
      <w:r>
        <w:rPr>
          <w:kern w:val="22"/>
        </w:rPr>
        <w:t xml:space="preserve"> t</w:t>
      </w:r>
      <w:r w:rsidRPr="00381E08">
        <w:rPr>
          <w:kern w:val="22"/>
        </w:rPr>
        <w:t>he research community</w:t>
      </w:r>
      <w:r>
        <w:rPr>
          <w:kern w:val="22"/>
        </w:rPr>
        <w:t xml:space="preserve"> </w:t>
      </w:r>
      <w:r w:rsidRPr="00A271FF">
        <w:rPr>
          <w:kern w:val="22"/>
        </w:rPr>
        <w:t>and</w:t>
      </w:r>
      <w:r w:rsidRPr="00381E08">
        <w:rPr>
          <w:kern w:val="22"/>
        </w:rPr>
        <w:t xml:space="preserve"> groups representing women and </w:t>
      </w:r>
      <w:r>
        <w:rPr>
          <w:kern w:val="22"/>
        </w:rPr>
        <w:t>youth</w:t>
      </w:r>
      <w:r w:rsidRPr="007418D0">
        <w:rPr>
          <w:snapToGrid/>
          <w:kern w:val="22"/>
        </w:rPr>
        <w:t>.</w:t>
      </w:r>
      <w:r>
        <w:rPr>
          <w:rStyle w:val="FootnoteReference"/>
          <w:snapToGrid/>
          <w:kern w:val="22"/>
        </w:rPr>
        <w:footnoteReference w:id="27"/>
      </w:r>
      <w:r w:rsidR="00475932">
        <w:rPr>
          <w:snapToGrid/>
          <w:kern w:val="22"/>
          <w:vertAlign w:val="superscript"/>
        </w:rPr>
        <w:t>,</w:t>
      </w:r>
      <w:r w:rsidR="00C513BF">
        <w:rPr>
          <w:rStyle w:val="FootnoteReference"/>
          <w:snapToGrid/>
          <w:kern w:val="22"/>
        </w:rPr>
        <w:footnoteReference w:id="28"/>
      </w:r>
    </w:p>
    <w:p w14:paraId="579BE3A3" w14:textId="6D8444CE" w:rsidR="00D44EAC" w:rsidRPr="005B5F1C" w:rsidRDefault="00D44EAC" w:rsidP="00137187">
      <w:pPr>
        <w:pStyle w:val="Para10"/>
        <w:numPr>
          <w:ilvl w:val="0"/>
          <w:numId w:val="11"/>
        </w:numPr>
        <w:suppressLineNumbers/>
        <w:tabs>
          <w:tab w:val="left" w:pos="1134"/>
        </w:tabs>
        <w:suppressAutoHyphens/>
        <w:snapToGrid w:val="0"/>
        <w:ind w:left="567" w:firstLine="0"/>
        <w:rPr>
          <w:snapToGrid/>
          <w:kern w:val="22"/>
        </w:rPr>
      </w:pPr>
      <w:r w:rsidRPr="000F400D">
        <w:rPr>
          <w:snapToGrid/>
          <w:kern w:val="22"/>
        </w:rPr>
        <w:t xml:space="preserve">In each country, the target </w:t>
      </w:r>
      <w:r w:rsidR="00A432D2">
        <w:rPr>
          <w:snapToGrid/>
          <w:kern w:val="22"/>
        </w:rPr>
        <w:t>group</w:t>
      </w:r>
      <w:r w:rsidRPr="000F400D">
        <w:rPr>
          <w:snapToGrid/>
          <w:kern w:val="22"/>
        </w:rPr>
        <w:t xml:space="preserve"> will vary depending</w:t>
      </w:r>
      <w:r w:rsidRPr="007418D0">
        <w:rPr>
          <w:snapToGrid/>
          <w:kern w:val="22"/>
        </w:rPr>
        <w:t xml:space="preserve"> </w:t>
      </w:r>
      <w:r w:rsidRPr="000F400D">
        <w:rPr>
          <w:snapToGrid/>
          <w:kern w:val="22"/>
        </w:rPr>
        <w:t>on national circumstances, capacity needs and priorities</w:t>
      </w:r>
      <w:r w:rsidRPr="007418D0">
        <w:rPr>
          <w:snapToGrid/>
          <w:kern w:val="22"/>
        </w:rPr>
        <w:t xml:space="preserve">. </w:t>
      </w:r>
      <w:r>
        <w:rPr>
          <w:snapToGrid/>
          <w:kern w:val="22"/>
        </w:rPr>
        <w:t>I</w:t>
      </w:r>
      <w:r w:rsidRPr="007418D0">
        <w:rPr>
          <w:snapToGrid/>
          <w:kern w:val="22"/>
        </w:rPr>
        <w:t xml:space="preserve">n </w:t>
      </w:r>
      <w:r w:rsidRPr="00137187">
        <w:rPr>
          <w:kern w:val="22"/>
        </w:rPr>
        <w:t>accordance</w:t>
      </w:r>
      <w:r w:rsidRPr="007418D0">
        <w:rPr>
          <w:snapToGrid/>
          <w:kern w:val="22"/>
        </w:rPr>
        <w:t xml:space="preserve"> with </w:t>
      </w:r>
      <w:r w:rsidR="00ED7164">
        <w:rPr>
          <w:snapToGrid/>
          <w:kern w:val="22"/>
        </w:rPr>
        <w:t>A</w:t>
      </w:r>
      <w:r w:rsidRPr="007418D0">
        <w:rPr>
          <w:snapToGrid/>
          <w:kern w:val="22"/>
        </w:rPr>
        <w:t>rticle 22 of the Protocol</w:t>
      </w:r>
      <w:r>
        <w:rPr>
          <w:snapToGrid/>
          <w:kern w:val="22"/>
        </w:rPr>
        <w:t>, t</w:t>
      </w:r>
      <w:r w:rsidRPr="007418D0">
        <w:rPr>
          <w:snapToGrid/>
          <w:kern w:val="22"/>
        </w:rPr>
        <w:t>he needs of developing country Parties, in particular the least developed countries and small island developing States among them, and Parties with economies in transition shall be taken fully into account</w:t>
      </w:r>
      <w:r>
        <w:rPr>
          <w:snapToGrid/>
          <w:kern w:val="22"/>
        </w:rPr>
        <w:t>. A</w:t>
      </w:r>
      <w:r w:rsidRPr="007418D0">
        <w:rPr>
          <w:snapToGrid/>
          <w:kern w:val="22"/>
        </w:rPr>
        <w:t>ctors should facilitate the involvement of indigenous peoples and local communities and relevant stakeholders, including</w:t>
      </w:r>
      <w:r w:rsidRPr="007418D0" w:rsidDel="00CE0408">
        <w:rPr>
          <w:snapToGrid/>
          <w:kern w:val="22"/>
        </w:rPr>
        <w:t xml:space="preserve"> </w:t>
      </w:r>
      <w:r w:rsidRPr="00B6461B" w:rsidDel="00DE241A">
        <w:rPr>
          <w:snapToGrid/>
          <w:kern w:val="22"/>
        </w:rPr>
        <w:t>non-governmental organization</w:t>
      </w:r>
      <w:r w:rsidDel="00DE241A">
        <w:rPr>
          <w:snapToGrid/>
          <w:kern w:val="22"/>
        </w:rPr>
        <w:t>s</w:t>
      </w:r>
      <w:r>
        <w:rPr>
          <w:snapToGrid/>
          <w:kern w:val="22"/>
        </w:rPr>
        <w:t>, the business</w:t>
      </w:r>
      <w:r w:rsidRPr="007418D0">
        <w:rPr>
          <w:snapToGrid/>
          <w:kern w:val="22"/>
        </w:rPr>
        <w:t xml:space="preserve"> </w:t>
      </w:r>
      <w:r w:rsidRPr="00283C9B">
        <w:rPr>
          <w:snapToGrid/>
          <w:kern w:val="22"/>
        </w:rPr>
        <w:t>sector</w:t>
      </w:r>
      <w:r w:rsidR="005F1E9B">
        <w:rPr>
          <w:snapToGrid/>
          <w:kern w:val="22"/>
        </w:rPr>
        <w:t>,</w:t>
      </w:r>
      <w:r>
        <w:rPr>
          <w:snapToGrid/>
          <w:kern w:val="22"/>
        </w:rPr>
        <w:t xml:space="preserve"> the research community</w:t>
      </w:r>
      <w:r w:rsidR="005F1E9B">
        <w:rPr>
          <w:snapToGrid/>
          <w:kern w:val="22"/>
        </w:rPr>
        <w:t xml:space="preserve"> and</w:t>
      </w:r>
      <w:r>
        <w:rPr>
          <w:snapToGrid/>
          <w:kern w:val="22"/>
        </w:rPr>
        <w:t xml:space="preserve"> women and youth</w:t>
      </w:r>
      <w:r w:rsidR="00E06650">
        <w:rPr>
          <w:snapToGrid/>
          <w:kern w:val="22"/>
        </w:rPr>
        <w:t>,</w:t>
      </w:r>
      <w:r>
        <w:rPr>
          <w:snapToGrid/>
          <w:kern w:val="22"/>
        </w:rPr>
        <w:t xml:space="preserve"> in capacity-building and </w:t>
      </w:r>
      <w:r w:rsidRPr="005B5F1C">
        <w:rPr>
          <w:snapToGrid/>
          <w:kern w:val="22"/>
        </w:rPr>
        <w:t xml:space="preserve">development </w:t>
      </w:r>
      <w:r w:rsidRPr="001E4D17">
        <w:rPr>
          <w:snapToGrid/>
          <w:kern w:val="22"/>
        </w:rPr>
        <w:t>initiatives</w:t>
      </w:r>
      <w:r w:rsidR="002657DC">
        <w:rPr>
          <w:snapToGrid/>
          <w:kern w:val="22"/>
        </w:rPr>
        <w:t>.</w:t>
      </w:r>
      <w:r w:rsidRPr="001E4D17">
        <w:rPr>
          <w:rStyle w:val="FootnoteReference"/>
          <w:snapToGrid/>
          <w:kern w:val="22"/>
        </w:rPr>
        <w:footnoteReference w:id="29"/>
      </w:r>
    </w:p>
    <w:p w14:paraId="1278D9EE" w14:textId="1D94C9BE" w:rsidR="00D44EAC" w:rsidRPr="00381E08" w:rsidRDefault="00D44EAC" w:rsidP="00137187">
      <w:pPr>
        <w:pStyle w:val="Heading2"/>
        <w:numPr>
          <w:ilvl w:val="0"/>
          <w:numId w:val="8"/>
        </w:numPr>
        <w:ind w:left="567" w:hanging="567"/>
      </w:pPr>
      <w:r w:rsidRPr="00381E08">
        <w:t xml:space="preserve">How to use the </w:t>
      </w:r>
      <w:r w:rsidR="003B79F0">
        <w:t>c</w:t>
      </w:r>
      <w:r w:rsidRPr="00381E08">
        <w:t xml:space="preserve">apacity-building and </w:t>
      </w:r>
      <w:r w:rsidR="003B79F0">
        <w:t>d</w:t>
      </w:r>
      <w:r w:rsidRPr="00381E08">
        <w:t xml:space="preserve">evelopment </w:t>
      </w:r>
      <w:r w:rsidR="003B79F0">
        <w:t>a</w:t>
      </w:r>
      <w:r w:rsidRPr="00381E08">
        <w:t xml:space="preserve">ction </w:t>
      </w:r>
      <w:r w:rsidR="003B79F0">
        <w:t>p</w:t>
      </w:r>
      <w:r w:rsidRPr="00381E08">
        <w:t>lan</w:t>
      </w:r>
    </w:p>
    <w:p w14:paraId="2D2639E3" w14:textId="58901B20" w:rsidR="00977431" w:rsidRPr="00977431" w:rsidRDefault="00D44EAC" w:rsidP="00137187">
      <w:pPr>
        <w:pStyle w:val="Para10"/>
        <w:numPr>
          <w:ilvl w:val="0"/>
          <w:numId w:val="11"/>
        </w:numPr>
        <w:suppressLineNumbers/>
        <w:tabs>
          <w:tab w:val="left" w:pos="1134"/>
        </w:tabs>
        <w:suppressAutoHyphens/>
        <w:snapToGrid w:val="0"/>
        <w:ind w:left="567" w:firstLine="0"/>
      </w:pPr>
      <w:r w:rsidRPr="00E27CFC">
        <w:rPr>
          <w:snapToGrid/>
          <w:kern w:val="22"/>
        </w:rPr>
        <w:t xml:space="preserve">The </w:t>
      </w:r>
      <w:r w:rsidR="00E06650">
        <w:rPr>
          <w:kern w:val="22"/>
        </w:rPr>
        <w:t>a</w:t>
      </w:r>
      <w:r w:rsidRPr="00137187">
        <w:rPr>
          <w:kern w:val="22"/>
        </w:rPr>
        <w:t>ction</w:t>
      </w:r>
      <w:r w:rsidRPr="00E27CFC">
        <w:rPr>
          <w:snapToGrid/>
          <w:kern w:val="22"/>
        </w:rPr>
        <w:t xml:space="preserve"> </w:t>
      </w:r>
      <w:r w:rsidR="00E06650">
        <w:rPr>
          <w:snapToGrid/>
          <w:kern w:val="22"/>
        </w:rPr>
        <w:t>p</w:t>
      </w:r>
      <w:r w:rsidRPr="00E27CFC">
        <w:rPr>
          <w:snapToGrid/>
          <w:kern w:val="22"/>
        </w:rPr>
        <w:t>lan can be used for various purposes, including</w:t>
      </w:r>
      <w:r w:rsidR="00977431">
        <w:rPr>
          <w:snapToGrid/>
          <w:kern w:val="22"/>
        </w:rPr>
        <w:t>:</w:t>
      </w:r>
      <w:r w:rsidRPr="00E27CFC">
        <w:rPr>
          <w:snapToGrid/>
          <w:kern w:val="22"/>
        </w:rPr>
        <w:t xml:space="preserve"> </w:t>
      </w:r>
    </w:p>
    <w:p w14:paraId="3C754B33" w14:textId="1F32A8E8" w:rsidR="00977431" w:rsidRDefault="00D44EAC" w:rsidP="00137187">
      <w:pPr>
        <w:pStyle w:val="Para10"/>
        <w:suppressLineNumbers/>
        <w:tabs>
          <w:tab w:val="left" w:pos="1701"/>
        </w:tabs>
        <w:suppressAutoHyphens/>
        <w:snapToGrid w:val="0"/>
        <w:ind w:left="567" w:firstLine="567"/>
        <w:rPr>
          <w:snapToGrid/>
          <w:kern w:val="22"/>
        </w:rPr>
      </w:pPr>
      <w:r w:rsidRPr="00E27CFC">
        <w:rPr>
          <w:snapToGrid/>
          <w:kern w:val="22"/>
        </w:rPr>
        <w:t>(a)</w:t>
      </w:r>
      <w:r w:rsidR="00996EF8">
        <w:rPr>
          <w:snapToGrid/>
          <w:kern w:val="22"/>
        </w:rPr>
        <w:tab/>
      </w:r>
      <w:r w:rsidR="00A06C15">
        <w:rPr>
          <w:snapToGrid/>
          <w:kern w:val="22"/>
        </w:rPr>
        <w:t>T</w:t>
      </w:r>
      <w:r w:rsidR="00C513BF">
        <w:rPr>
          <w:snapToGrid/>
          <w:kern w:val="22"/>
        </w:rPr>
        <w:t>o support t</w:t>
      </w:r>
      <w:r>
        <w:rPr>
          <w:snapToGrid/>
          <w:kern w:val="22"/>
        </w:rPr>
        <w:t xml:space="preserve">he assessment of capacity-building and development needs and priorities; </w:t>
      </w:r>
    </w:p>
    <w:p w14:paraId="1FF33C4E" w14:textId="3B35656A" w:rsidR="00A06C15" w:rsidRDefault="00D44EAC" w:rsidP="00137187">
      <w:pPr>
        <w:pStyle w:val="Para10"/>
        <w:suppressLineNumbers/>
        <w:tabs>
          <w:tab w:val="left" w:pos="1701"/>
        </w:tabs>
        <w:suppressAutoHyphens/>
        <w:snapToGrid w:val="0"/>
        <w:ind w:left="567" w:firstLine="567"/>
        <w:rPr>
          <w:snapToGrid/>
          <w:kern w:val="22"/>
        </w:rPr>
      </w:pPr>
      <w:r>
        <w:rPr>
          <w:snapToGrid/>
          <w:kern w:val="22"/>
        </w:rPr>
        <w:t>(b)</w:t>
      </w:r>
      <w:r w:rsidR="00996EF8">
        <w:rPr>
          <w:snapToGrid/>
          <w:kern w:val="22"/>
        </w:rPr>
        <w:tab/>
      </w:r>
      <w:r w:rsidR="00A06C15">
        <w:rPr>
          <w:snapToGrid/>
          <w:kern w:val="22"/>
        </w:rPr>
        <w:t>T</w:t>
      </w:r>
      <w:r w:rsidR="00C513BF">
        <w:rPr>
          <w:snapToGrid/>
          <w:kern w:val="22"/>
        </w:rPr>
        <w:t>o inform t</w:t>
      </w:r>
      <w:r w:rsidRPr="00E27CFC">
        <w:rPr>
          <w:snapToGrid/>
          <w:kern w:val="22"/>
        </w:rPr>
        <w:t xml:space="preserve">he design of capacity-building and development </w:t>
      </w:r>
      <w:r>
        <w:rPr>
          <w:snapToGrid/>
          <w:kern w:val="22"/>
        </w:rPr>
        <w:t>initiatives</w:t>
      </w:r>
      <w:r w:rsidRPr="00E27CFC">
        <w:rPr>
          <w:snapToGrid/>
          <w:kern w:val="22"/>
        </w:rPr>
        <w:t xml:space="preserve"> at the global, regional</w:t>
      </w:r>
      <w:r w:rsidR="53E11361" w:rsidRPr="00E27CFC">
        <w:rPr>
          <w:snapToGrid/>
          <w:kern w:val="22"/>
        </w:rPr>
        <w:t>, subregional</w:t>
      </w:r>
      <w:r w:rsidRPr="00E27CFC">
        <w:rPr>
          <w:snapToGrid/>
          <w:kern w:val="22"/>
        </w:rPr>
        <w:t xml:space="preserve"> and national levels to support the effective implementation of the Protocol</w:t>
      </w:r>
      <w:r>
        <w:rPr>
          <w:snapToGrid/>
          <w:kern w:val="22"/>
        </w:rPr>
        <w:t>,</w:t>
      </w:r>
      <w:r w:rsidRPr="00E27CFC">
        <w:rPr>
          <w:snapToGrid/>
          <w:kern w:val="22"/>
        </w:rPr>
        <w:t xml:space="preserve"> </w:t>
      </w:r>
      <w:r>
        <w:rPr>
          <w:snapToGrid/>
          <w:kern w:val="22"/>
        </w:rPr>
        <w:t xml:space="preserve">including </w:t>
      </w:r>
      <w:r w:rsidRPr="00E27CFC">
        <w:rPr>
          <w:snapToGrid/>
          <w:kern w:val="22"/>
        </w:rPr>
        <w:t xml:space="preserve">the development of capacity-building and development plans </w:t>
      </w:r>
      <w:r>
        <w:rPr>
          <w:snapToGrid/>
          <w:kern w:val="22"/>
        </w:rPr>
        <w:t>on access and benefit-sharing</w:t>
      </w:r>
      <w:r w:rsidRPr="00E27CFC">
        <w:rPr>
          <w:snapToGrid/>
          <w:kern w:val="22"/>
        </w:rPr>
        <w:t xml:space="preserve"> as part of national biodiversity strategies and action plans; </w:t>
      </w:r>
    </w:p>
    <w:p w14:paraId="2448BB65" w14:textId="21EE8156" w:rsidR="00A06C15" w:rsidRDefault="00D44EAC" w:rsidP="00137187">
      <w:pPr>
        <w:pStyle w:val="Para10"/>
        <w:suppressLineNumbers/>
        <w:tabs>
          <w:tab w:val="left" w:pos="1701"/>
        </w:tabs>
        <w:suppressAutoHyphens/>
        <w:snapToGrid w:val="0"/>
        <w:ind w:left="567" w:firstLine="567"/>
        <w:rPr>
          <w:snapToGrid/>
          <w:kern w:val="22"/>
        </w:rPr>
      </w:pPr>
      <w:r w:rsidRPr="00E27CFC">
        <w:rPr>
          <w:snapToGrid/>
          <w:kern w:val="22"/>
        </w:rPr>
        <w:t>(</w:t>
      </w:r>
      <w:r>
        <w:rPr>
          <w:snapToGrid/>
          <w:kern w:val="22"/>
        </w:rPr>
        <w:t>c</w:t>
      </w:r>
      <w:r w:rsidDel="006D106F">
        <w:rPr>
          <w:snapToGrid/>
          <w:kern w:val="22"/>
        </w:rPr>
        <w:t>)</w:t>
      </w:r>
      <w:r w:rsidR="00996EF8">
        <w:rPr>
          <w:snapToGrid/>
          <w:kern w:val="22"/>
        </w:rPr>
        <w:tab/>
      </w:r>
      <w:r w:rsidR="00A06C15">
        <w:rPr>
          <w:snapToGrid/>
          <w:kern w:val="22"/>
        </w:rPr>
        <w:t>A</w:t>
      </w:r>
      <w:r w:rsidRPr="00E27CFC">
        <w:rPr>
          <w:snapToGrid/>
          <w:kern w:val="22"/>
        </w:rPr>
        <w:t xml:space="preserve">s a reference </w:t>
      </w:r>
      <w:r w:rsidR="00E06650">
        <w:rPr>
          <w:snapToGrid/>
          <w:kern w:val="22"/>
        </w:rPr>
        <w:t>for</w:t>
      </w:r>
      <w:r w:rsidRPr="00E27CFC">
        <w:rPr>
          <w:snapToGrid/>
          <w:kern w:val="22"/>
        </w:rPr>
        <w:t xml:space="preserve"> guid</w:t>
      </w:r>
      <w:r w:rsidR="00E06650">
        <w:rPr>
          <w:snapToGrid/>
          <w:kern w:val="22"/>
        </w:rPr>
        <w:t>ing</w:t>
      </w:r>
      <w:r w:rsidRPr="00E27CFC">
        <w:rPr>
          <w:snapToGrid/>
          <w:kern w:val="22"/>
        </w:rPr>
        <w:t xml:space="preserve"> the capacity-building and development programmatic </w:t>
      </w:r>
      <w:r w:rsidRPr="00381E08">
        <w:rPr>
          <w:snapToGrid/>
          <w:kern w:val="22"/>
        </w:rPr>
        <w:t>directions</w:t>
      </w:r>
      <w:r w:rsidRPr="00E27CFC">
        <w:rPr>
          <w:snapToGrid/>
          <w:kern w:val="22"/>
        </w:rPr>
        <w:t xml:space="preserve"> of the financial mechanism </w:t>
      </w:r>
      <w:r>
        <w:rPr>
          <w:snapToGrid/>
          <w:kern w:val="22"/>
        </w:rPr>
        <w:t>for</w:t>
      </w:r>
      <w:r w:rsidRPr="00E27CFC">
        <w:rPr>
          <w:snapToGrid/>
          <w:kern w:val="22"/>
        </w:rPr>
        <w:t xml:space="preserve"> the </w:t>
      </w:r>
      <w:r>
        <w:rPr>
          <w:snapToGrid/>
          <w:kern w:val="22"/>
        </w:rPr>
        <w:t xml:space="preserve">Convention and its </w:t>
      </w:r>
      <w:r w:rsidRPr="00E27CFC">
        <w:rPr>
          <w:snapToGrid/>
          <w:kern w:val="22"/>
        </w:rPr>
        <w:t>Protocol</w:t>
      </w:r>
      <w:r>
        <w:rPr>
          <w:snapToGrid/>
          <w:kern w:val="22"/>
        </w:rPr>
        <w:t>s</w:t>
      </w:r>
      <w:r w:rsidRPr="00E27CFC">
        <w:rPr>
          <w:snapToGrid/>
          <w:kern w:val="22"/>
        </w:rPr>
        <w:t>, the Global Environmental Facility</w:t>
      </w:r>
      <w:r>
        <w:rPr>
          <w:snapToGrid/>
          <w:kern w:val="22"/>
        </w:rPr>
        <w:t>, the Global Biodiversity Framework Fund</w:t>
      </w:r>
      <w:r w:rsidRPr="00E27CFC">
        <w:rPr>
          <w:snapToGrid/>
          <w:kern w:val="22"/>
        </w:rPr>
        <w:t xml:space="preserve"> and other donors; </w:t>
      </w:r>
    </w:p>
    <w:p w14:paraId="414D40A6" w14:textId="55E47537" w:rsidR="00D44EAC" w:rsidRPr="009A3849" w:rsidRDefault="00D44EAC" w:rsidP="00137187">
      <w:pPr>
        <w:pStyle w:val="Para10"/>
        <w:suppressLineNumbers/>
        <w:tabs>
          <w:tab w:val="left" w:pos="1701"/>
        </w:tabs>
        <w:suppressAutoHyphens/>
        <w:snapToGrid w:val="0"/>
        <w:ind w:left="567" w:firstLine="567"/>
      </w:pPr>
      <w:r w:rsidRPr="00E27CFC">
        <w:rPr>
          <w:snapToGrid/>
          <w:kern w:val="22"/>
        </w:rPr>
        <w:t>(</w:t>
      </w:r>
      <w:r>
        <w:rPr>
          <w:snapToGrid/>
          <w:kern w:val="22"/>
        </w:rPr>
        <w:t>d</w:t>
      </w:r>
      <w:r w:rsidRPr="00E27CFC">
        <w:rPr>
          <w:snapToGrid/>
          <w:kern w:val="22"/>
        </w:rPr>
        <w:t>)</w:t>
      </w:r>
      <w:r w:rsidR="00996EF8">
        <w:rPr>
          <w:snapToGrid/>
          <w:kern w:val="22"/>
        </w:rPr>
        <w:tab/>
      </w:r>
      <w:r w:rsidR="00A06C15">
        <w:rPr>
          <w:snapToGrid/>
          <w:kern w:val="22"/>
        </w:rPr>
        <w:t>A</w:t>
      </w:r>
      <w:r w:rsidRPr="00E27CFC">
        <w:rPr>
          <w:snapToGrid/>
          <w:kern w:val="22"/>
        </w:rPr>
        <w:t xml:space="preserve">s a tool </w:t>
      </w:r>
      <w:r w:rsidR="00250467">
        <w:rPr>
          <w:snapToGrid/>
          <w:kern w:val="22"/>
        </w:rPr>
        <w:t>for</w:t>
      </w:r>
      <w:r w:rsidRPr="00E27CFC">
        <w:rPr>
          <w:snapToGrid/>
          <w:kern w:val="22"/>
        </w:rPr>
        <w:t xml:space="preserve"> foster</w:t>
      </w:r>
      <w:r w:rsidR="00250467">
        <w:rPr>
          <w:snapToGrid/>
          <w:kern w:val="22"/>
        </w:rPr>
        <w:t>ing</w:t>
      </w:r>
      <w:r w:rsidRPr="00E27CFC">
        <w:rPr>
          <w:snapToGrid/>
          <w:kern w:val="22"/>
        </w:rPr>
        <w:t xml:space="preserve"> the engagement of indigenous peoples and local communities and relevant stakeholders, such as the business sector, </w:t>
      </w:r>
      <w:r w:rsidR="00250467">
        <w:rPr>
          <w:snapToGrid/>
          <w:kern w:val="22"/>
        </w:rPr>
        <w:t xml:space="preserve">the </w:t>
      </w:r>
      <w:r w:rsidRPr="00E27CFC">
        <w:rPr>
          <w:snapToGrid/>
          <w:kern w:val="22"/>
        </w:rPr>
        <w:t>research community</w:t>
      </w:r>
      <w:r w:rsidRPr="00E27CFC" w:rsidDel="006D106F">
        <w:rPr>
          <w:snapToGrid/>
          <w:kern w:val="22"/>
        </w:rPr>
        <w:t xml:space="preserve"> </w:t>
      </w:r>
      <w:r w:rsidRPr="00E27CFC">
        <w:rPr>
          <w:snapToGrid/>
          <w:kern w:val="22"/>
        </w:rPr>
        <w:t xml:space="preserve">and organizations representing women and </w:t>
      </w:r>
      <w:r>
        <w:rPr>
          <w:snapToGrid/>
          <w:kern w:val="22"/>
        </w:rPr>
        <w:t>youth</w:t>
      </w:r>
      <w:r w:rsidRPr="00E27CFC">
        <w:rPr>
          <w:snapToGrid/>
          <w:kern w:val="22"/>
        </w:rPr>
        <w:t xml:space="preserve">. </w:t>
      </w:r>
    </w:p>
    <w:p w14:paraId="5D80BEBC" w14:textId="3E715D6E" w:rsidR="00D44EAC" w:rsidRPr="00DD4AAC" w:rsidRDefault="00D44EAC" w:rsidP="00137187">
      <w:pPr>
        <w:pStyle w:val="Para10"/>
        <w:numPr>
          <w:ilvl w:val="0"/>
          <w:numId w:val="11"/>
        </w:numPr>
        <w:suppressLineNumbers/>
        <w:tabs>
          <w:tab w:val="left" w:pos="1134"/>
        </w:tabs>
        <w:suppressAutoHyphens/>
        <w:snapToGrid w:val="0"/>
        <w:ind w:left="567" w:firstLine="0"/>
        <w:rPr>
          <w:snapToGrid/>
          <w:kern w:val="22"/>
        </w:rPr>
      </w:pPr>
      <w:r w:rsidRPr="00DD4AAC">
        <w:rPr>
          <w:snapToGrid/>
          <w:kern w:val="22"/>
        </w:rPr>
        <w:t xml:space="preserve">The </w:t>
      </w:r>
      <w:r w:rsidR="00250467">
        <w:rPr>
          <w:kern w:val="22"/>
        </w:rPr>
        <w:t>a</w:t>
      </w:r>
      <w:r w:rsidRPr="00137187">
        <w:rPr>
          <w:kern w:val="22"/>
        </w:rPr>
        <w:t>ction</w:t>
      </w:r>
      <w:r w:rsidRPr="00DD4AAC">
        <w:rPr>
          <w:snapToGrid/>
          <w:kern w:val="22"/>
        </w:rPr>
        <w:t xml:space="preserve"> </w:t>
      </w:r>
      <w:r w:rsidR="00845A81">
        <w:rPr>
          <w:snapToGrid/>
          <w:kern w:val="22"/>
        </w:rPr>
        <w:t>p</w:t>
      </w:r>
      <w:r w:rsidRPr="00DD4AAC">
        <w:rPr>
          <w:snapToGrid/>
          <w:kern w:val="22"/>
        </w:rPr>
        <w:t>lan</w:t>
      </w:r>
      <w:r w:rsidR="00DD4AAC" w:rsidRPr="00DD4AAC">
        <w:rPr>
          <w:snapToGrid/>
          <w:kern w:val="22"/>
        </w:rPr>
        <w:t xml:space="preserve"> is structured </w:t>
      </w:r>
      <w:r w:rsidR="00743181">
        <w:rPr>
          <w:snapToGrid/>
          <w:kern w:val="22"/>
        </w:rPr>
        <w:t>around</w:t>
      </w:r>
      <w:r w:rsidR="00DD4AAC" w:rsidRPr="00DD4AAC">
        <w:rPr>
          <w:snapToGrid/>
          <w:kern w:val="22"/>
        </w:rPr>
        <w:t xml:space="preserve"> six key outcome areas for capacity-building and development</w:t>
      </w:r>
      <w:r w:rsidR="00845A81">
        <w:rPr>
          <w:snapToGrid/>
          <w:kern w:val="22"/>
        </w:rPr>
        <w:t>.</w:t>
      </w:r>
      <w:r w:rsidR="00DD4AAC">
        <w:rPr>
          <w:rStyle w:val="FootnoteReference"/>
          <w:snapToGrid/>
          <w:kern w:val="22"/>
        </w:rPr>
        <w:footnoteReference w:id="30"/>
      </w:r>
      <w:r w:rsidR="00DD4AAC" w:rsidRPr="00DD4AAC">
        <w:rPr>
          <w:snapToGrid/>
          <w:kern w:val="22"/>
        </w:rPr>
        <w:t xml:space="preserve"> </w:t>
      </w:r>
      <w:r w:rsidRPr="00DD4AAC">
        <w:rPr>
          <w:snapToGrid/>
          <w:kern w:val="22"/>
        </w:rPr>
        <w:t>For each outcome area</w:t>
      </w:r>
      <w:r w:rsidR="00845A81">
        <w:rPr>
          <w:snapToGrid/>
          <w:kern w:val="22"/>
        </w:rPr>
        <w:t xml:space="preserve">, </w:t>
      </w:r>
      <w:r w:rsidRPr="00DD4AAC">
        <w:rPr>
          <w:snapToGrid/>
          <w:kern w:val="22"/>
        </w:rPr>
        <w:t xml:space="preserve">an explanation of scope and target </w:t>
      </w:r>
      <w:r w:rsidR="002A0E23" w:rsidRPr="00DD4AAC">
        <w:rPr>
          <w:snapToGrid/>
          <w:kern w:val="22"/>
        </w:rPr>
        <w:t>group</w:t>
      </w:r>
      <w:r w:rsidRPr="00DD4AAC">
        <w:rPr>
          <w:snapToGrid/>
          <w:kern w:val="22"/>
        </w:rPr>
        <w:t xml:space="preserve"> is provided</w:t>
      </w:r>
      <w:r w:rsidR="00A54180">
        <w:rPr>
          <w:snapToGrid/>
          <w:kern w:val="22"/>
        </w:rPr>
        <w:t>. A</w:t>
      </w:r>
      <w:r w:rsidRPr="00DD4AAC">
        <w:rPr>
          <w:snapToGrid/>
          <w:kern w:val="22"/>
        </w:rPr>
        <w:t xml:space="preserve"> list of indicative outputs and activities </w:t>
      </w:r>
      <w:r w:rsidR="00B526AF" w:rsidRPr="00DD4AAC">
        <w:rPr>
          <w:snapToGrid/>
          <w:kern w:val="22"/>
        </w:rPr>
        <w:t>to</w:t>
      </w:r>
      <w:r w:rsidRPr="00DD4AAC">
        <w:rPr>
          <w:snapToGrid/>
          <w:kern w:val="22"/>
        </w:rPr>
        <w:t xml:space="preserve"> be considered in the design of capacity-building and development initiatives has been developed based on results-based management principles. </w:t>
      </w:r>
      <w:r w:rsidR="00A54180">
        <w:rPr>
          <w:snapToGrid/>
          <w:kern w:val="22"/>
        </w:rPr>
        <w:t>As t</w:t>
      </w:r>
      <w:r w:rsidRPr="00DD4AAC">
        <w:rPr>
          <w:snapToGrid/>
          <w:kern w:val="22"/>
        </w:rPr>
        <w:t>he relevance of those outputs and activities will depend on national circumstances, current capacities and needs</w:t>
      </w:r>
      <w:r w:rsidR="00A54180">
        <w:rPr>
          <w:snapToGrid/>
          <w:kern w:val="22"/>
        </w:rPr>
        <w:t xml:space="preserve">, </w:t>
      </w:r>
      <w:r w:rsidR="00220AE5">
        <w:rPr>
          <w:snapToGrid/>
          <w:kern w:val="22"/>
        </w:rPr>
        <w:t>they</w:t>
      </w:r>
      <w:r w:rsidRPr="00DD4AAC">
        <w:rPr>
          <w:snapToGrid/>
          <w:kern w:val="22"/>
        </w:rPr>
        <w:t xml:space="preserve"> should be </w:t>
      </w:r>
      <w:r w:rsidR="00D528DA">
        <w:rPr>
          <w:snapToGrid/>
          <w:kern w:val="22"/>
        </w:rPr>
        <w:t>approached</w:t>
      </w:r>
      <w:r w:rsidRPr="00DD4AAC">
        <w:rPr>
          <w:snapToGrid/>
          <w:kern w:val="22"/>
        </w:rPr>
        <w:t xml:space="preserve"> in a flexible and adaptive manner.</w:t>
      </w:r>
    </w:p>
    <w:p w14:paraId="2F22094A" w14:textId="43AC3D8F" w:rsidR="00D44EAC" w:rsidRPr="00591751" w:rsidRDefault="00D44EAC" w:rsidP="003006AB">
      <w:pPr>
        <w:pStyle w:val="Heading1"/>
        <w:numPr>
          <w:ilvl w:val="0"/>
          <w:numId w:val="10"/>
        </w:numPr>
        <w:ind w:left="567" w:hanging="567"/>
      </w:pPr>
      <w:r w:rsidRPr="00591751">
        <w:t>Key concepts</w:t>
      </w:r>
      <w:r w:rsidR="001563CE">
        <w:t>,</w:t>
      </w:r>
      <w:r w:rsidRPr="00591751">
        <w:t xml:space="preserve"> guiding principles</w:t>
      </w:r>
      <w:r w:rsidR="001563CE">
        <w:t xml:space="preserve"> and theory of change</w:t>
      </w:r>
    </w:p>
    <w:p w14:paraId="47CB314D" w14:textId="77777777" w:rsidR="00D44EAC" w:rsidRPr="00381E08" w:rsidRDefault="00D44EAC" w:rsidP="003006AB">
      <w:pPr>
        <w:pStyle w:val="Heading2"/>
      </w:pPr>
      <w:r w:rsidRPr="00381E08">
        <w:t>A.</w:t>
      </w:r>
      <w:r w:rsidRPr="00381E08">
        <w:tab/>
        <w:t>Key concepts</w:t>
      </w:r>
    </w:p>
    <w:p w14:paraId="592F3382" w14:textId="1E1A0F4B" w:rsidR="00D44EAC" w:rsidRPr="007418D0" w:rsidRDefault="00D44EAC" w:rsidP="003006AB">
      <w:pPr>
        <w:pStyle w:val="Para10"/>
        <w:numPr>
          <w:ilvl w:val="0"/>
          <w:numId w:val="11"/>
        </w:numPr>
        <w:suppressLineNumbers/>
        <w:tabs>
          <w:tab w:val="left" w:pos="1134"/>
        </w:tabs>
        <w:suppressAutoHyphens/>
        <w:snapToGrid w:val="0"/>
        <w:ind w:left="567" w:firstLine="0"/>
      </w:pPr>
      <w:r w:rsidRPr="00381E08">
        <w:rPr>
          <w:snapToGrid/>
          <w:kern w:val="22"/>
        </w:rPr>
        <w:t xml:space="preserve">In line with </w:t>
      </w:r>
      <w:r>
        <w:rPr>
          <w:snapToGrid/>
          <w:kern w:val="22"/>
        </w:rPr>
        <w:t>decision 15/8</w:t>
      </w:r>
      <w:r w:rsidRPr="00381E08">
        <w:rPr>
          <w:snapToGrid/>
          <w:kern w:val="22"/>
        </w:rPr>
        <w:t>, capacity-building and development are understood as the process whereby people, organizations and society as a whole unleash, strengthen, create, adapt</w:t>
      </w:r>
      <w:r w:rsidR="22BEF18C" w:rsidRPr="00381E08">
        <w:rPr>
          <w:snapToGrid/>
          <w:kern w:val="22"/>
        </w:rPr>
        <w:t>, sustain</w:t>
      </w:r>
      <w:r w:rsidRPr="00381E08">
        <w:rPr>
          <w:snapToGrid/>
          <w:kern w:val="22"/>
        </w:rPr>
        <w:t xml:space="preserve"> and maintain capacity over time </w:t>
      </w:r>
      <w:r w:rsidRPr="00E27CFC">
        <w:rPr>
          <w:snapToGrid/>
          <w:kern w:val="22"/>
        </w:rPr>
        <w:t>to</w:t>
      </w:r>
      <w:r w:rsidRPr="00381E08">
        <w:rPr>
          <w:snapToGrid/>
          <w:kern w:val="22"/>
        </w:rPr>
        <w:t xml:space="preserve"> achieve positive biodiversity results</w:t>
      </w:r>
      <w:r w:rsidR="00C06711">
        <w:rPr>
          <w:snapToGrid/>
          <w:kern w:val="22"/>
        </w:rPr>
        <w:t>.</w:t>
      </w:r>
      <w:r w:rsidRPr="001E4D17">
        <w:rPr>
          <w:vertAlign w:val="superscript"/>
        </w:rPr>
        <w:footnoteReference w:id="31"/>
      </w:r>
    </w:p>
    <w:p w14:paraId="02D7E895" w14:textId="521DC9AE" w:rsidR="00D44EAC" w:rsidRPr="00E27CFC" w:rsidRDefault="00D44EAC" w:rsidP="00733F12">
      <w:pPr>
        <w:pStyle w:val="Para10"/>
        <w:numPr>
          <w:ilvl w:val="0"/>
          <w:numId w:val="11"/>
        </w:numPr>
        <w:suppressLineNumbers/>
        <w:tabs>
          <w:tab w:val="left" w:pos="1134"/>
        </w:tabs>
        <w:suppressAutoHyphens/>
        <w:snapToGrid w:val="0"/>
        <w:ind w:left="567" w:firstLine="0"/>
        <w:rPr>
          <w:snapToGrid/>
          <w:kern w:val="22"/>
        </w:rPr>
      </w:pPr>
      <w:r w:rsidRPr="00381E08">
        <w:rPr>
          <w:snapToGrid/>
          <w:kern w:val="22"/>
        </w:rPr>
        <w:lastRenderedPageBreak/>
        <w:t>An</w:t>
      </w:r>
      <w:r>
        <w:rPr>
          <w:snapToGrid/>
          <w:kern w:val="22"/>
        </w:rPr>
        <w:t xml:space="preserve">other important </w:t>
      </w:r>
      <w:r w:rsidR="00694424">
        <w:rPr>
          <w:snapToGrid/>
          <w:kern w:val="22"/>
        </w:rPr>
        <w:t>concept</w:t>
      </w:r>
      <w:r w:rsidR="00DF585F">
        <w:rPr>
          <w:snapToGrid/>
          <w:kern w:val="22"/>
        </w:rPr>
        <w:t>ion</w:t>
      </w:r>
      <w:r w:rsidRPr="00381E08">
        <w:rPr>
          <w:snapToGrid/>
          <w:kern w:val="22"/>
        </w:rPr>
        <w:t xml:space="preserve"> is that effective change is dependent on securing the relevant capacit</w:t>
      </w:r>
      <w:r w:rsidRPr="00E27CFC">
        <w:rPr>
          <w:snapToGrid/>
          <w:kern w:val="22"/>
        </w:rPr>
        <w:t>ies</w:t>
      </w:r>
      <w:r w:rsidRPr="00381E08">
        <w:rPr>
          <w:snapToGrid/>
          <w:kern w:val="22"/>
        </w:rPr>
        <w:t xml:space="preserve"> at all levels within systems and societies</w:t>
      </w:r>
      <w:r w:rsidRPr="007418D0">
        <w:rPr>
          <w:kern w:val="22"/>
        </w:rPr>
        <w:t xml:space="preserve">. </w:t>
      </w:r>
      <w:r w:rsidRPr="00381E08">
        <w:rPr>
          <w:snapToGrid/>
          <w:kern w:val="22"/>
        </w:rPr>
        <w:t>In the context of</w:t>
      </w:r>
      <w:r w:rsidRPr="007418D0">
        <w:rPr>
          <w:kern w:val="22"/>
        </w:rPr>
        <w:t xml:space="preserve"> </w:t>
      </w:r>
      <w:r>
        <w:rPr>
          <w:snapToGrid/>
          <w:kern w:val="22"/>
        </w:rPr>
        <w:t xml:space="preserve">this </w:t>
      </w:r>
      <w:r w:rsidR="00694424">
        <w:rPr>
          <w:snapToGrid/>
          <w:kern w:val="22"/>
        </w:rPr>
        <w:t>a</w:t>
      </w:r>
      <w:r>
        <w:rPr>
          <w:snapToGrid/>
          <w:kern w:val="22"/>
        </w:rPr>
        <w:t>ction</w:t>
      </w:r>
      <w:r w:rsidRPr="00381E08">
        <w:rPr>
          <w:snapToGrid/>
          <w:kern w:val="22"/>
        </w:rPr>
        <w:t xml:space="preserve"> </w:t>
      </w:r>
      <w:r w:rsidR="00694424">
        <w:rPr>
          <w:snapToGrid/>
          <w:kern w:val="22"/>
        </w:rPr>
        <w:t>p</w:t>
      </w:r>
      <w:r w:rsidRPr="00381E08">
        <w:rPr>
          <w:snapToGrid/>
          <w:kern w:val="22"/>
        </w:rPr>
        <w:t>lan</w:t>
      </w:r>
      <w:r w:rsidRPr="007418D0">
        <w:rPr>
          <w:kern w:val="22"/>
        </w:rPr>
        <w:t>,</w:t>
      </w:r>
      <w:r w:rsidRPr="00381E08">
        <w:rPr>
          <w:snapToGrid/>
          <w:kern w:val="22"/>
        </w:rPr>
        <w:t xml:space="preserve"> three levels are considered</w:t>
      </w:r>
      <w:r w:rsidR="00694424">
        <w:rPr>
          <w:snapToGrid/>
          <w:kern w:val="22"/>
        </w:rPr>
        <w:t>:</w:t>
      </w:r>
      <w:r w:rsidRPr="00381E08">
        <w:rPr>
          <w:snapToGrid/>
          <w:kern w:val="22"/>
        </w:rPr>
        <w:t xml:space="preserve"> the enabling environment level, the organizational level and </w:t>
      </w:r>
      <w:r>
        <w:rPr>
          <w:snapToGrid/>
          <w:kern w:val="22"/>
        </w:rPr>
        <w:t xml:space="preserve">the </w:t>
      </w:r>
      <w:r w:rsidRPr="00381E08">
        <w:rPr>
          <w:snapToGrid/>
          <w:kern w:val="22"/>
        </w:rPr>
        <w:t>individual level.</w:t>
      </w:r>
      <w:r w:rsidRPr="001E4D17">
        <w:rPr>
          <w:kern w:val="22"/>
          <w:vertAlign w:val="superscript"/>
        </w:rPr>
        <w:footnoteReference w:id="32"/>
      </w:r>
      <w:r w:rsidRPr="007418D0">
        <w:rPr>
          <w:kern w:val="22"/>
        </w:rPr>
        <w:t xml:space="preserve"> </w:t>
      </w:r>
      <w:r w:rsidRPr="00381E08">
        <w:rPr>
          <w:snapToGrid/>
          <w:kern w:val="22"/>
        </w:rPr>
        <w:t xml:space="preserve">When designing capacity-building and development </w:t>
      </w:r>
      <w:r w:rsidRPr="00733F12">
        <w:rPr>
          <w:kern w:val="22"/>
        </w:rPr>
        <w:t>initiatives</w:t>
      </w:r>
      <w:r w:rsidRPr="007418D0">
        <w:rPr>
          <w:snapToGrid/>
          <w:kern w:val="22"/>
        </w:rPr>
        <w:t>,</w:t>
      </w:r>
      <w:r w:rsidRPr="00381E08">
        <w:rPr>
          <w:snapToGrid/>
          <w:kern w:val="22"/>
        </w:rPr>
        <w:t xml:space="preserve"> careful consideration needs to be given to all three interconnected levels. </w:t>
      </w:r>
    </w:p>
    <w:p w14:paraId="30025440" w14:textId="1C1B34FC" w:rsidR="00D44EAC" w:rsidRPr="00381E08" w:rsidRDefault="00D44EAC" w:rsidP="00733F12">
      <w:pPr>
        <w:pStyle w:val="Para10"/>
        <w:numPr>
          <w:ilvl w:val="0"/>
          <w:numId w:val="11"/>
        </w:numPr>
        <w:suppressLineNumbers/>
        <w:tabs>
          <w:tab w:val="left" w:pos="1134"/>
        </w:tabs>
        <w:suppressAutoHyphens/>
        <w:snapToGrid w:val="0"/>
        <w:ind w:left="567" w:firstLine="0"/>
      </w:pPr>
      <w:r w:rsidRPr="00381E08">
        <w:rPr>
          <w:snapToGrid/>
          <w:kern w:val="22"/>
        </w:rPr>
        <w:t>Equally important</w:t>
      </w:r>
      <w:r w:rsidR="000D1A48">
        <w:rPr>
          <w:snapToGrid/>
          <w:kern w:val="22"/>
        </w:rPr>
        <w:t xml:space="preserve"> </w:t>
      </w:r>
      <w:r w:rsidR="00694424">
        <w:rPr>
          <w:snapToGrid/>
          <w:kern w:val="22"/>
        </w:rPr>
        <w:t>in</w:t>
      </w:r>
      <w:r w:rsidRPr="00381E08">
        <w:rPr>
          <w:snapToGrid/>
          <w:kern w:val="22"/>
        </w:rPr>
        <w:t xml:space="preserve"> designing effective interventions is the need to consider the various types of capacit</w:t>
      </w:r>
      <w:r w:rsidRPr="00381E08">
        <w:t>ies</w:t>
      </w:r>
      <w:r w:rsidR="006C5682">
        <w:rPr>
          <w:snapToGrid/>
          <w:kern w:val="22"/>
        </w:rPr>
        <w:t xml:space="preserve">, </w:t>
      </w:r>
      <w:r w:rsidR="006C5682">
        <w:t>which comprise</w:t>
      </w:r>
      <w:r w:rsidR="006C5682" w:rsidRPr="00381E08">
        <w:rPr>
          <w:snapToGrid/>
          <w:kern w:val="22"/>
        </w:rPr>
        <w:t xml:space="preserve"> technical, </w:t>
      </w:r>
      <w:r w:rsidR="006C5682" w:rsidRPr="00733F12">
        <w:rPr>
          <w:kern w:val="22"/>
        </w:rPr>
        <w:t>technological</w:t>
      </w:r>
      <w:r w:rsidR="006C5682" w:rsidRPr="00381E08">
        <w:rPr>
          <w:snapToGrid/>
          <w:kern w:val="22"/>
        </w:rPr>
        <w:t xml:space="preserve"> and functional capacities</w:t>
      </w:r>
      <w:r w:rsidR="006C5682">
        <w:rPr>
          <w:snapToGrid/>
          <w:kern w:val="22"/>
        </w:rPr>
        <w:t>,</w:t>
      </w:r>
      <w:r w:rsidR="006C5682" w:rsidRPr="00381E08">
        <w:rPr>
          <w:snapToGrid/>
          <w:kern w:val="22"/>
        </w:rPr>
        <w:t xml:space="preserve"> </w:t>
      </w:r>
      <w:r w:rsidRPr="00381E08">
        <w:rPr>
          <w:snapToGrid/>
          <w:kern w:val="22"/>
        </w:rPr>
        <w:t xml:space="preserve">that individuals and organizations </w:t>
      </w:r>
      <w:r>
        <w:rPr>
          <w:snapToGrid/>
          <w:kern w:val="22"/>
        </w:rPr>
        <w:t xml:space="preserve">must </w:t>
      </w:r>
      <w:r w:rsidR="00B91FB3">
        <w:rPr>
          <w:snapToGrid/>
          <w:kern w:val="22"/>
        </w:rPr>
        <w:t>possess in order</w:t>
      </w:r>
      <w:r w:rsidRPr="00381E08">
        <w:rPr>
          <w:snapToGrid/>
          <w:kern w:val="22"/>
        </w:rPr>
        <w:t xml:space="preserve"> to function effectively</w:t>
      </w:r>
      <w:r w:rsidRPr="00381E08">
        <w:t xml:space="preserve"> and efficiently</w:t>
      </w:r>
      <w:r>
        <w:rPr>
          <w:rStyle w:val="FootnoteReference"/>
          <w:snapToGrid/>
          <w:kern w:val="22"/>
        </w:rPr>
        <w:footnoteReference w:id="33"/>
      </w:r>
      <w:r w:rsidRPr="00381E08">
        <w:rPr>
          <w:snapToGrid/>
          <w:kern w:val="22"/>
        </w:rPr>
        <w:t xml:space="preserve"> and for enabling conditions to be in place.</w:t>
      </w:r>
    </w:p>
    <w:p w14:paraId="6466F6F6" w14:textId="5D7042DA" w:rsidR="00D44EAC" w:rsidRPr="00381E08" w:rsidRDefault="00F31846" w:rsidP="00733F12">
      <w:pPr>
        <w:pStyle w:val="Para10"/>
        <w:numPr>
          <w:ilvl w:val="0"/>
          <w:numId w:val="11"/>
        </w:numPr>
        <w:suppressLineNumbers/>
        <w:tabs>
          <w:tab w:val="left" w:pos="1134"/>
        </w:tabs>
        <w:suppressAutoHyphens/>
        <w:snapToGrid w:val="0"/>
        <w:ind w:left="567" w:firstLine="0"/>
      </w:pPr>
      <w:r>
        <w:rPr>
          <w:snapToGrid/>
          <w:kern w:val="22"/>
        </w:rPr>
        <w:t>C</w:t>
      </w:r>
      <w:r w:rsidR="00D44EAC" w:rsidRPr="00381E08">
        <w:rPr>
          <w:snapToGrid/>
          <w:kern w:val="22"/>
        </w:rPr>
        <w:t>apacity-</w:t>
      </w:r>
      <w:r w:rsidR="00D44EAC" w:rsidRPr="00733F12">
        <w:rPr>
          <w:kern w:val="22"/>
        </w:rPr>
        <w:t>building</w:t>
      </w:r>
      <w:r w:rsidR="00D44EAC" w:rsidRPr="00381E08">
        <w:rPr>
          <w:snapToGrid/>
          <w:kern w:val="22"/>
        </w:rPr>
        <w:t xml:space="preserve"> and development </w:t>
      </w:r>
      <w:r w:rsidR="00B64912">
        <w:rPr>
          <w:snapToGrid/>
          <w:kern w:val="22"/>
        </w:rPr>
        <w:t xml:space="preserve">constitute </w:t>
      </w:r>
      <w:r w:rsidR="00D44EAC" w:rsidRPr="00381E08">
        <w:rPr>
          <w:snapToGrid/>
          <w:kern w:val="22"/>
        </w:rPr>
        <w:t>an ongoing</w:t>
      </w:r>
      <w:r w:rsidR="00D44EAC" w:rsidRPr="00381E08">
        <w:rPr>
          <w:snapToGrid/>
          <w:kern w:val="22"/>
          <w:szCs w:val="22"/>
        </w:rPr>
        <w:t xml:space="preserve"> </w:t>
      </w:r>
      <w:r w:rsidR="00D44EAC" w:rsidRPr="00381E08">
        <w:rPr>
          <w:snapToGrid/>
          <w:kern w:val="22"/>
        </w:rPr>
        <w:t xml:space="preserve">iterative process </w:t>
      </w:r>
      <w:r w:rsidR="00D44EAC">
        <w:rPr>
          <w:snapToGrid/>
          <w:kern w:val="22"/>
        </w:rPr>
        <w:t>which requires</w:t>
      </w:r>
      <w:r w:rsidR="00D44EAC" w:rsidRPr="00381E08">
        <w:rPr>
          <w:snapToGrid/>
          <w:kern w:val="22"/>
        </w:rPr>
        <w:t xml:space="preserve"> </w:t>
      </w:r>
      <w:r w:rsidR="00BB0D9A">
        <w:rPr>
          <w:snapToGrid/>
          <w:kern w:val="22"/>
        </w:rPr>
        <w:t xml:space="preserve">consistency and </w:t>
      </w:r>
      <w:r w:rsidR="00F3371E">
        <w:rPr>
          <w:snapToGrid/>
          <w:kern w:val="22"/>
        </w:rPr>
        <w:t>continuous</w:t>
      </w:r>
      <w:r w:rsidR="00F3371E" w:rsidRPr="00381E08">
        <w:rPr>
          <w:snapToGrid/>
          <w:kern w:val="22"/>
        </w:rPr>
        <w:t xml:space="preserve"> </w:t>
      </w:r>
      <w:r w:rsidR="00D44EAC" w:rsidRPr="00381E08">
        <w:rPr>
          <w:snapToGrid/>
          <w:kern w:val="22"/>
        </w:rPr>
        <w:t>feedback loops and flexibility for revising</w:t>
      </w:r>
      <w:r w:rsidR="00D44EAC" w:rsidRPr="00381E08">
        <w:t>, updating</w:t>
      </w:r>
      <w:r w:rsidR="00D44EAC" w:rsidRPr="00381E08">
        <w:rPr>
          <w:snapToGrid/>
          <w:kern w:val="22"/>
        </w:rPr>
        <w:t xml:space="preserve"> and adapting strategies. The process encompass</w:t>
      </w:r>
      <w:r w:rsidR="00D44EAC">
        <w:rPr>
          <w:snapToGrid/>
          <w:kern w:val="22"/>
        </w:rPr>
        <w:t>es</w:t>
      </w:r>
      <w:r w:rsidR="00D44EAC" w:rsidRPr="00381E08">
        <w:rPr>
          <w:snapToGrid/>
          <w:kern w:val="22"/>
          <w:szCs w:val="22"/>
        </w:rPr>
        <w:t xml:space="preserve"> </w:t>
      </w:r>
      <w:r w:rsidR="00D44EAC" w:rsidRPr="00381E08">
        <w:rPr>
          <w:snapToGrid/>
          <w:kern w:val="22"/>
        </w:rPr>
        <w:t>interventions not only for capacity analysis (analysing existing capacity and identifying needs</w:t>
      </w:r>
      <w:r w:rsidR="00D44EAC">
        <w:rPr>
          <w:snapToGrid/>
          <w:kern w:val="22"/>
        </w:rPr>
        <w:t xml:space="preserve">, </w:t>
      </w:r>
      <w:r w:rsidR="00D44EAC" w:rsidRPr="00381E08">
        <w:rPr>
          <w:snapToGrid/>
          <w:kern w:val="22"/>
        </w:rPr>
        <w:t>gaps</w:t>
      </w:r>
      <w:r w:rsidR="00D44EAC">
        <w:rPr>
          <w:snapToGrid/>
          <w:kern w:val="22"/>
        </w:rPr>
        <w:t xml:space="preserve"> and priorities</w:t>
      </w:r>
      <w:r w:rsidR="00D44EAC" w:rsidRPr="00381E08">
        <w:rPr>
          <w:snapToGrid/>
          <w:kern w:val="22"/>
        </w:rPr>
        <w:t>) and development (enhancing capacities or creating new ones), but also for capacity utilization (mobilizing, deploying and utilizing existing capacities)</w:t>
      </w:r>
      <w:r w:rsidR="00D44EAC" w:rsidRPr="00A271FF">
        <w:rPr>
          <w:snapToGrid/>
          <w:kern w:val="22"/>
        </w:rPr>
        <w:t xml:space="preserve"> and</w:t>
      </w:r>
      <w:r w:rsidR="00D44EAC" w:rsidRPr="00381E08">
        <w:rPr>
          <w:snapToGrid/>
          <w:kern w:val="22"/>
        </w:rPr>
        <w:t xml:space="preserve"> retention (nurturing</w:t>
      </w:r>
      <w:r w:rsidR="00D44EAC" w:rsidRPr="00381E08">
        <w:t>, maintaining</w:t>
      </w:r>
      <w:r w:rsidR="00D44EAC" w:rsidRPr="00381E08">
        <w:rPr>
          <w:snapToGrid/>
          <w:kern w:val="22"/>
        </w:rPr>
        <w:t xml:space="preserve"> and sustaining the capacity created over time).</w:t>
      </w:r>
      <w:r w:rsidR="00C513BF">
        <w:rPr>
          <w:rStyle w:val="FootnoteReference"/>
          <w:snapToGrid/>
          <w:kern w:val="22"/>
        </w:rPr>
        <w:footnoteReference w:id="34"/>
      </w:r>
    </w:p>
    <w:p w14:paraId="5D1D38CC" w14:textId="77777777" w:rsidR="00D44EAC" w:rsidRPr="00381E08" w:rsidRDefault="00D44EAC" w:rsidP="00D44EAC">
      <w:pPr>
        <w:pStyle w:val="Heading2"/>
        <w:ind w:left="360"/>
      </w:pPr>
      <w:r w:rsidRPr="00381E08">
        <w:t>B.</w:t>
      </w:r>
      <w:r w:rsidRPr="00381E08">
        <w:tab/>
        <w:t>Guiding principles</w:t>
      </w:r>
    </w:p>
    <w:p w14:paraId="4518C67F" w14:textId="77777777" w:rsidR="00D44EAC" w:rsidRPr="00381E08" w:rsidRDefault="00D44EAC" w:rsidP="00733F12">
      <w:pPr>
        <w:pStyle w:val="Para10"/>
        <w:numPr>
          <w:ilvl w:val="0"/>
          <w:numId w:val="11"/>
        </w:numPr>
        <w:suppressLineNumbers/>
        <w:tabs>
          <w:tab w:val="left" w:pos="1134"/>
        </w:tabs>
        <w:suppressAutoHyphens/>
        <w:snapToGrid w:val="0"/>
        <w:ind w:left="567" w:firstLine="0"/>
        <w:rPr>
          <w:kern w:val="22"/>
          <w:szCs w:val="22"/>
        </w:rPr>
      </w:pPr>
      <w:r w:rsidRPr="00381E08">
        <w:rPr>
          <w:kern w:val="22"/>
        </w:rPr>
        <w:t>To ensure that interventions are relevant and effective, the design and implementation of capacity</w:t>
      </w:r>
      <w:r w:rsidRPr="00381E08">
        <w:rPr>
          <w:kern w:val="22"/>
        </w:rPr>
        <w:noBreakHyphen/>
        <w:t>building and development initiatives in support of the implementation of the Protocol should be guided b</w:t>
      </w:r>
      <w:r>
        <w:rPr>
          <w:kern w:val="22"/>
        </w:rPr>
        <w:t>y the following principles</w:t>
      </w:r>
      <w:r w:rsidRPr="00381E08">
        <w:rPr>
          <w:kern w:val="22"/>
        </w:rPr>
        <w:t>:</w:t>
      </w:r>
      <w:r w:rsidRPr="00381E08">
        <w:rPr>
          <w:kern w:val="22"/>
          <w:vertAlign w:val="superscript"/>
        </w:rPr>
        <w:footnoteReference w:id="35"/>
      </w:r>
      <w:r w:rsidRPr="00381E08">
        <w:rPr>
          <w:kern w:val="22"/>
          <w:szCs w:val="22"/>
        </w:rPr>
        <w:t xml:space="preserve"> </w:t>
      </w:r>
    </w:p>
    <w:p w14:paraId="6283CE8D" w14:textId="36C194EA" w:rsidR="00D44EAC" w:rsidRPr="00381E08" w:rsidRDefault="00145D15" w:rsidP="003006AB">
      <w:pPr>
        <w:pStyle w:val="ListParagraph"/>
        <w:numPr>
          <w:ilvl w:val="0"/>
          <w:numId w:val="12"/>
        </w:numPr>
        <w:tabs>
          <w:tab w:val="left" w:pos="1701"/>
        </w:tabs>
        <w:spacing w:before="120" w:after="120"/>
        <w:ind w:left="567" w:firstLine="567"/>
        <w:contextualSpacing w:val="0"/>
      </w:pPr>
      <w:r>
        <w:t>Design and implementation</w:t>
      </w:r>
      <w:r w:rsidR="00727098">
        <w:t xml:space="preserve"> should b</w:t>
      </w:r>
      <w:r w:rsidR="004A13D1">
        <w:t>e</w:t>
      </w:r>
      <w:r w:rsidR="004540E5" w:rsidRPr="00381E08">
        <w:t xml:space="preserve"> </w:t>
      </w:r>
      <w:r w:rsidR="00D44EAC" w:rsidRPr="00381E08">
        <w:t>based on an inclusive analysis</w:t>
      </w:r>
      <w:r w:rsidR="00D44EAC">
        <w:t xml:space="preserve"> and assessment</w:t>
      </w:r>
      <w:r w:rsidR="00D44EAC" w:rsidRPr="00381E08">
        <w:t xml:space="preserve"> of the national context, </w:t>
      </w:r>
      <w:r w:rsidR="00D44EAC">
        <w:t>actors</w:t>
      </w:r>
      <w:r w:rsidR="00D44EAC" w:rsidRPr="00381E08">
        <w:t>, existing capacities and needs;</w:t>
      </w:r>
    </w:p>
    <w:p w14:paraId="7597DDF2" w14:textId="3B7AA82E" w:rsidR="00D44EAC" w:rsidRPr="00381E08" w:rsidRDefault="00134BC6" w:rsidP="003006AB">
      <w:pPr>
        <w:pStyle w:val="ListParagraph"/>
        <w:numPr>
          <w:ilvl w:val="0"/>
          <w:numId w:val="12"/>
        </w:numPr>
        <w:tabs>
          <w:tab w:val="left" w:pos="1701"/>
        </w:tabs>
        <w:spacing w:before="120" w:after="120"/>
        <w:ind w:left="567" w:firstLine="567"/>
        <w:contextualSpacing w:val="0"/>
      </w:pPr>
      <w:r>
        <w:t>There should be a</w:t>
      </w:r>
      <w:r w:rsidR="002D756A">
        <w:t xml:space="preserve">dequate </w:t>
      </w:r>
      <w:r w:rsidR="002D756A" w:rsidRPr="00381E08">
        <w:t>political</w:t>
      </w:r>
      <w:r w:rsidR="00D44EAC" w:rsidRPr="00381E08">
        <w:t xml:space="preserve"> and technical</w:t>
      </w:r>
      <w:r w:rsidR="00D44EAC" w:rsidRPr="001F3276">
        <w:t xml:space="preserve"> </w:t>
      </w:r>
      <w:r w:rsidR="00D44EAC">
        <w:t>will, ownership and</w:t>
      </w:r>
      <w:r w:rsidR="00D44EAC" w:rsidRPr="001F3276">
        <w:t xml:space="preserve"> support </w:t>
      </w:r>
      <w:r w:rsidR="00D44EAC">
        <w:t>by countries</w:t>
      </w:r>
      <w:r w:rsidR="00D44EAC" w:rsidRPr="00381E08">
        <w:t xml:space="preserve">; </w:t>
      </w:r>
    </w:p>
    <w:p w14:paraId="5E2A8E3D" w14:textId="6B92B803" w:rsidR="00D44EAC" w:rsidRPr="00381E08" w:rsidRDefault="00134BC6" w:rsidP="003006AB">
      <w:pPr>
        <w:pStyle w:val="ListParagraph"/>
        <w:numPr>
          <w:ilvl w:val="0"/>
          <w:numId w:val="12"/>
        </w:numPr>
        <w:tabs>
          <w:tab w:val="left" w:pos="1701"/>
        </w:tabs>
        <w:spacing w:before="120" w:after="120"/>
        <w:ind w:left="567" w:firstLine="567"/>
        <w:contextualSpacing w:val="0"/>
        <w:rPr>
          <w:lang w:val="en-US"/>
        </w:rPr>
      </w:pPr>
      <w:r>
        <w:rPr>
          <w:lang w:val="en-US"/>
        </w:rPr>
        <w:t>A</w:t>
      </w:r>
      <w:r w:rsidR="00D44EAC" w:rsidRPr="00381E08">
        <w:rPr>
          <w:lang w:val="en-US"/>
        </w:rPr>
        <w:t xml:space="preserve"> long-term programmatic </w:t>
      </w:r>
      <w:r w:rsidR="00D44EAC">
        <w:rPr>
          <w:lang w:val="en-US"/>
        </w:rPr>
        <w:t xml:space="preserve">and iterative </w:t>
      </w:r>
      <w:r w:rsidR="00D44EAC" w:rsidRPr="00381E08">
        <w:rPr>
          <w:lang w:val="en-US"/>
        </w:rPr>
        <w:t xml:space="preserve">approach </w:t>
      </w:r>
      <w:r>
        <w:rPr>
          <w:lang w:val="en-US"/>
        </w:rPr>
        <w:t xml:space="preserve">should be taken, </w:t>
      </w:r>
      <w:r w:rsidR="00D44EAC" w:rsidRPr="00381E08">
        <w:rPr>
          <w:lang w:val="en-US"/>
        </w:rPr>
        <w:t>with an emphasis on sustainability and the retention of capacities;</w:t>
      </w:r>
    </w:p>
    <w:p w14:paraId="219FA7C8" w14:textId="5D8B7D17" w:rsidR="00D44EAC" w:rsidRPr="00381E08" w:rsidRDefault="006D52D8" w:rsidP="003006AB">
      <w:pPr>
        <w:pStyle w:val="ListParagraph"/>
        <w:numPr>
          <w:ilvl w:val="0"/>
          <w:numId w:val="12"/>
        </w:numPr>
        <w:tabs>
          <w:tab w:val="left" w:pos="1701"/>
        </w:tabs>
        <w:spacing w:before="120" w:after="120"/>
        <w:ind w:left="567" w:firstLine="567"/>
        <w:contextualSpacing w:val="0"/>
      </w:pPr>
      <w:r>
        <w:t>S</w:t>
      </w:r>
      <w:r w:rsidR="00D44EAC" w:rsidRPr="00381E08">
        <w:t>trategic and integrated system-wide approaches to capacity-building and development</w:t>
      </w:r>
      <w:r w:rsidR="00134BC6" w:rsidRPr="00134BC6">
        <w:t xml:space="preserve"> </w:t>
      </w:r>
      <w:r w:rsidR="00134BC6">
        <w:t>should be p</w:t>
      </w:r>
      <w:r w:rsidR="00134BC6" w:rsidRPr="00381E08">
        <w:t>romote</w:t>
      </w:r>
      <w:r w:rsidR="00134BC6">
        <w:t>d</w:t>
      </w:r>
      <w:r w:rsidR="00D44EAC" w:rsidRPr="00381E08">
        <w:t xml:space="preserve">; </w:t>
      </w:r>
    </w:p>
    <w:p w14:paraId="04F47389" w14:textId="4B4ACD2C" w:rsidR="00D44EAC" w:rsidRPr="00381E08" w:rsidRDefault="006D52D8" w:rsidP="003006AB">
      <w:pPr>
        <w:pStyle w:val="ListParagraph"/>
        <w:numPr>
          <w:ilvl w:val="0"/>
          <w:numId w:val="12"/>
        </w:numPr>
        <w:tabs>
          <w:tab w:val="left" w:pos="1701"/>
        </w:tabs>
        <w:spacing w:before="120" w:after="120"/>
        <w:ind w:left="567" w:firstLine="567"/>
        <w:contextualSpacing w:val="0"/>
      </w:pPr>
      <w:r>
        <w:t>Design and implementation</w:t>
      </w:r>
      <w:r w:rsidR="0089489D">
        <w:t xml:space="preserve"> should b</w:t>
      </w:r>
      <w:r w:rsidR="004A13D1">
        <w:t>e</w:t>
      </w:r>
      <w:r w:rsidR="000D532B" w:rsidRPr="00381E08">
        <w:t xml:space="preserve"> </w:t>
      </w:r>
      <w:r w:rsidR="00D44EAC" w:rsidRPr="00381E08">
        <w:t>built upon recognized good practices and lessons learned;</w:t>
      </w:r>
    </w:p>
    <w:p w14:paraId="3100F403" w14:textId="48660E6E" w:rsidR="00D44EAC" w:rsidRDefault="00C26630" w:rsidP="003006AB">
      <w:pPr>
        <w:pStyle w:val="ListParagraph"/>
        <w:numPr>
          <w:ilvl w:val="0"/>
          <w:numId w:val="12"/>
        </w:numPr>
        <w:tabs>
          <w:tab w:val="left" w:pos="1701"/>
        </w:tabs>
        <w:spacing w:before="120" w:after="120"/>
        <w:ind w:left="567" w:firstLine="567"/>
        <w:contextualSpacing w:val="0"/>
      </w:pPr>
      <w:r>
        <w:t>There should be an integration of the p</w:t>
      </w:r>
      <w:r w:rsidR="0089489D">
        <w:t>erspectives and knowledge systems</w:t>
      </w:r>
      <w:r w:rsidR="0089489D" w:rsidRPr="00381E08">
        <w:t xml:space="preserve"> </w:t>
      </w:r>
      <w:r w:rsidR="0089489D">
        <w:t>of i</w:t>
      </w:r>
      <w:r w:rsidR="00D44EAC" w:rsidRPr="00381E08">
        <w:t>ndigenous peoples and local communities</w:t>
      </w:r>
      <w:r w:rsidR="00ED63BB">
        <w:t>;</w:t>
      </w:r>
      <w:r w:rsidR="00D44EAC">
        <w:t xml:space="preserve"> </w:t>
      </w:r>
    </w:p>
    <w:p w14:paraId="0C9DD522" w14:textId="438FBB63" w:rsidR="00D44EAC" w:rsidRPr="00381E08" w:rsidRDefault="00C26630" w:rsidP="003006AB">
      <w:pPr>
        <w:pStyle w:val="ListParagraph"/>
        <w:numPr>
          <w:ilvl w:val="0"/>
          <w:numId w:val="12"/>
        </w:numPr>
        <w:tabs>
          <w:tab w:val="left" w:pos="1701"/>
        </w:tabs>
        <w:spacing w:before="120" w:after="120"/>
        <w:ind w:left="567" w:firstLine="567"/>
        <w:contextualSpacing w:val="0"/>
      </w:pPr>
      <w:r>
        <w:t xml:space="preserve">The </w:t>
      </w:r>
      <w:r w:rsidRPr="00381E08">
        <w:t>perspectives</w:t>
      </w:r>
      <w:r>
        <w:t xml:space="preserve"> of women</w:t>
      </w:r>
      <w:r w:rsidRPr="00381E08">
        <w:t xml:space="preserve"> </w:t>
      </w:r>
      <w:r>
        <w:t>and youth</w:t>
      </w:r>
      <w:r w:rsidRPr="0027408A">
        <w:t xml:space="preserve"> </w:t>
      </w:r>
      <w:r>
        <w:t>should be i</w:t>
      </w:r>
      <w:r w:rsidR="00D44EAC">
        <w:t>ntegrate</w:t>
      </w:r>
      <w:r>
        <w:t>d</w:t>
      </w:r>
      <w:r w:rsidR="00D44EAC" w:rsidRPr="00381E08">
        <w:t xml:space="preserve"> </w:t>
      </w:r>
      <w:r w:rsidR="00D44EAC">
        <w:t xml:space="preserve">and </w:t>
      </w:r>
      <w:r>
        <w:t xml:space="preserve">the </w:t>
      </w:r>
      <w:r w:rsidR="00D44EAC">
        <w:t>use</w:t>
      </w:r>
      <w:r w:rsidR="00D44EAC" w:rsidRPr="00381E08">
        <w:t xml:space="preserve"> </w:t>
      </w:r>
      <w:r w:rsidR="00D44EAC">
        <w:t xml:space="preserve">of </w:t>
      </w:r>
      <w:r w:rsidR="00D44EAC" w:rsidRPr="00381E08">
        <w:t>the Gender Plan of Action</w:t>
      </w:r>
      <w:r w:rsidR="00D44EAC">
        <w:t xml:space="preserve"> as guidance</w:t>
      </w:r>
      <w:r w:rsidRPr="00C26630">
        <w:t xml:space="preserve"> </w:t>
      </w:r>
      <w:r>
        <w:t>should be supported</w:t>
      </w:r>
      <w:r w:rsidR="00D44EAC" w:rsidRPr="00381E08">
        <w:t>;</w:t>
      </w:r>
    </w:p>
    <w:p w14:paraId="1E063C1D" w14:textId="400E6022" w:rsidR="00D44EAC" w:rsidRDefault="00AB67B4" w:rsidP="003006AB">
      <w:pPr>
        <w:pStyle w:val="ListParagraph"/>
        <w:numPr>
          <w:ilvl w:val="0"/>
          <w:numId w:val="12"/>
        </w:numPr>
        <w:tabs>
          <w:tab w:val="left" w:pos="1701"/>
        </w:tabs>
        <w:spacing w:before="120" w:after="120"/>
        <w:ind w:left="567" w:firstLine="567"/>
      </w:pPr>
      <w:r>
        <w:t>M</w:t>
      </w:r>
      <w:r w:rsidR="00D44EAC" w:rsidRPr="00381E08">
        <w:t xml:space="preserve">onitoring, </w:t>
      </w:r>
      <w:r w:rsidR="50A87465">
        <w:t>review,</w:t>
      </w:r>
      <w:r w:rsidR="00D44EAC">
        <w:t xml:space="preserve"> </w:t>
      </w:r>
      <w:r w:rsidR="00D44EAC" w:rsidRPr="00381E08">
        <w:t xml:space="preserve">evaluation and adaptive management and learning </w:t>
      </w:r>
      <w:r w:rsidR="00A36AA3">
        <w:t>should be i</w:t>
      </w:r>
      <w:r w:rsidR="00A36AA3" w:rsidRPr="00381E08">
        <w:t>nclude</w:t>
      </w:r>
      <w:r w:rsidR="00A36AA3">
        <w:t>d</w:t>
      </w:r>
      <w:r w:rsidR="00A36AA3" w:rsidRPr="00381E08">
        <w:t xml:space="preserve"> </w:t>
      </w:r>
      <w:r w:rsidR="00D44EAC" w:rsidRPr="00381E08">
        <w:t>as integral parts</w:t>
      </w:r>
      <w:r w:rsidR="00A36AA3">
        <w:t xml:space="preserve"> of design and implementation</w:t>
      </w:r>
      <w:r w:rsidR="00D44EAC" w:rsidRPr="00381E08">
        <w:t>;</w:t>
      </w:r>
    </w:p>
    <w:p w14:paraId="703CF84D" w14:textId="25045893" w:rsidR="00D44EAC" w:rsidRPr="001563CE" w:rsidRDefault="00B81272" w:rsidP="003006AB">
      <w:pPr>
        <w:pStyle w:val="ListParagraph"/>
        <w:numPr>
          <w:ilvl w:val="0"/>
          <w:numId w:val="12"/>
        </w:numPr>
        <w:tabs>
          <w:tab w:val="left" w:pos="1701"/>
        </w:tabs>
        <w:spacing w:before="120" w:after="120"/>
        <w:ind w:left="567" w:firstLine="567"/>
        <w:contextualSpacing w:val="0"/>
      </w:pPr>
      <w:r>
        <w:rPr>
          <w:rFonts w:asciiTheme="majorBidi" w:hAnsiTheme="majorBidi" w:cstheme="majorBidi"/>
        </w:rPr>
        <w:lastRenderedPageBreak/>
        <w:t>S</w:t>
      </w:r>
      <w:r w:rsidR="00D44EAC" w:rsidRPr="00AC159B">
        <w:rPr>
          <w:rFonts w:asciiTheme="majorBidi" w:hAnsiTheme="majorBidi" w:cstheme="majorBidi"/>
        </w:rPr>
        <w:t>ynergies, mainstreaming, integration and mutually supportive implementation with other international access and benefit-sharing instruments, such as the International Treaty on Plan</w:t>
      </w:r>
      <w:r w:rsidR="002041D4">
        <w:rPr>
          <w:rFonts w:asciiTheme="majorBidi" w:hAnsiTheme="majorBidi" w:cstheme="majorBidi"/>
        </w:rPr>
        <w:t>t</w:t>
      </w:r>
      <w:r w:rsidR="00D44EAC" w:rsidRPr="00AC159B">
        <w:rPr>
          <w:rFonts w:asciiTheme="majorBidi" w:hAnsiTheme="majorBidi" w:cstheme="majorBidi"/>
        </w:rPr>
        <w:t xml:space="preserve"> Genetic Resources for Food and Agriculture</w:t>
      </w:r>
      <w:r>
        <w:rPr>
          <w:rFonts w:asciiTheme="majorBidi" w:hAnsiTheme="majorBidi" w:cstheme="majorBidi"/>
        </w:rPr>
        <w:t>, should be e</w:t>
      </w:r>
      <w:r w:rsidRPr="00AC159B">
        <w:rPr>
          <w:rFonts w:asciiTheme="majorBidi" w:hAnsiTheme="majorBidi" w:cstheme="majorBidi"/>
        </w:rPr>
        <w:t>ncourage</w:t>
      </w:r>
      <w:r>
        <w:rPr>
          <w:rFonts w:asciiTheme="majorBidi" w:hAnsiTheme="majorBidi" w:cstheme="majorBidi"/>
        </w:rPr>
        <w:t>d</w:t>
      </w:r>
      <w:r w:rsidR="00D44EAC" w:rsidRPr="00AC159B">
        <w:rPr>
          <w:rFonts w:asciiTheme="majorBidi" w:hAnsiTheme="majorBidi" w:cstheme="majorBidi"/>
        </w:rPr>
        <w:t>.</w:t>
      </w:r>
    </w:p>
    <w:p w14:paraId="1F7EB1B9" w14:textId="7BDFE812" w:rsidR="001563CE" w:rsidRPr="00D071CB" w:rsidRDefault="001563CE" w:rsidP="001563CE">
      <w:pPr>
        <w:pStyle w:val="Heading2"/>
        <w:ind w:hanging="657"/>
      </w:pPr>
      <w:r>
        <w:t>C.</w:t>
      </w:r>
      <w:r>
        <w:tab/>
      </w:r>
      <w:r w:rsidRPr="001563CE">
        <w:t>Theory</w:t>
      </w:r>
      <w:r>
        <w:t xml:space="preserve"> of change</w:t>
      </w:r>
    </w:p>
    <w:p w14:paraId="0D81B626" w14:textId="47523095" w:rsidR="00D071CB" w:rsidRPr="001563CE" w:rsidRDefault="00D071CB" w:rsidP="00B354F4">
      <w:pPr>
        <w:pStyle w:val="Para10"/>
        <w:numPr>
          <w:ilvl w:val="0"/>
          <w:numId w:val="11"/>
        </w:numPr>
        <w:suppressLineNumbers/>
        <w:tabs>
          <w:tab w:val="left" w:pos="1134"/>
        </w:tabs>
        <w:suppressAutoHyphens/>
        <w:snapToGrid w:val="0"/>
        <w:ind w:left="567" w:firstLine="0"/>
        <w:rPr>
          <w:rFonts w:asciiTheme="majorBidi" w:hAnsiTheme="majorBidi" w:cstheme="majorBidi"/>
        </w:rPr>
      </w:pPr>
      <w:r w:rsidRPr="00B354F4">
        <w:rPr>
          <w:kern w:val="22"/>
        </w:rPr>
        <w:t>The</w:t>
      </w:r>
      <w:r w:rsidRPr="001563CE">
        <w:rPr>
          <w:rFonts w:asciiTheme="majorBidi" w:hAnsiTheme="majorBidi" w:cstheme="majorBidi"/>
        </w:rPr>
        <w:t xml:space="preserve"> theory of change </w:t>
      </w:r>
      <w:r w:rsidR="00031FE2">
        <w:rPr>
          <w:rFonts w:asciiTheme="majorBidi" w:hAnsiTheme="majorBidi" w:cstheme="majorBidi"/>
        </w:rPr>
        <w:t xml:space="preserve">under </w:t>
      </w:r>
      <w:r w:rsidRPr="001563CE">
        <w:rPr>
          <w:rFonts w:asciiTheme="majorBidi" w:hAnsiTheme="majorBidi" w:cstheme="majorBidi"/>
        </w:rPr>
        <w:t xml:space="preserve">the </w:t>
      </w:r>
      <w:r w:rsidR="00D236AD">
        <w:rPr>
          <w:rFonts w:asciiTheme="majorBidi" w:hAnsiTheme="majorBidi" w:cstheme="majorBidi"/>
        </w:rPr>
        <w:t>a</w:t>
      </w:r>
      <w:r w:rsidRPr="001563CE">
        <w:rPr>
          <w:rFonts w:asciiTheme="majorBidi" w:hAnsiTheme="majorBidi" w:cstheme="majorBidi"/>
        </w:rPr>
        <w:t xml:space="preserve">ction </w:t>
      </w:r>
      <w:r w:rsidR="00D236AD">
        <w:rPr>
          <w:rFonts w:asciiTheme="majorBidi" w:hAnsiTheme="majorBidi" w:cstheme="majorBidi"/>
        </w:rPr>
        <w:t>p</w:t>
      </w:r>
      <w:r w:rsidRPr="001563CE">
        <w:rPr>
          <w:rFonts w:asciiTheme="majorBidi" w:hAnsiTheme="majorBidi" w:cstheme="majorBidi"/>
        </w:rPr>
        <w:t xml:space="preserve">lan holds that, if adequate human, financial, material and technological resources are invested, then activities </w:t>
      </w:r>
      <w:r w:rsidR="00D236AD">
        <w:rPr>
          <w:rFonts w:asciiTheme="majorBidi" w:hAnsiTheme="majorBidi" w:cstheme="majorBidi"/>
        </w:rPr>
        <w:t>encompassing</w:t>
      </w:r>
      <w:r w:rsidRPr="001563CE">
        <w:rPr>
          <w:rFonts w:asciiTheme="majorBidi" w:hAnsiTheme="majorBidi" w:cstheme="majorBidi"/>
        </w:rPr>
        <w:t xml:space="preserve"> analys</w:t>
      </w:r>
      <w:r w:rsidR="00D236AD">
        <w:rPr>
          <w:rFonts w:asciiTheme="majorBidi" w:hAnsiTheme="majorBidi" w:cstheme="majorBidi"/>
        </w:rPr>
        <w:t>is</w:t>
      </w:r>
      <w:r w:rsidRPr="001563CE">
        <w:rPr>
          <w:rFonts w:asciiTheme="majorBidi" w:hAnsiTheme="majorBidi" w:cstheme="majorBidi"/>
        </w:rPr>
        <w:t xml:space="preserve"> </w:t>
      </w:r>
      <w:r w:rsidR="00D236AD">
        <w:rPr>
          <w:rFonts w:asciiTheme="majorBidi" w:hAnsiTheme="majorBidi" w:cstheme="majorBidi"/>
        </w:rPr>
        <w:t xml:space="preserve">of </w:t>
      </w:r>
      <w:r w:rsidRPr="001563CE">
        <w:rPr>
          <w:rFonts w:asciiTheme="majorBidi" w:hAnsiTheme="majorBidi" w:cstheme="majorBidi"/>
        </w:rPr>
        <w:t xml:space="preserve"> context and needs, map</w:t>
      </w:r>
      <w:r w:rsidR="00B97B0A">
        <w:rPr>
          <w:rFonts w:asciiTheme="majorBidi" w:hAnsiTheme="majorBidi" w:cstheme="majorBidi"/>
        </w:rPr>
        <w:t>ping</w:t>
      </w:r>
      <w:r w:rsidRPr="001563CE">
        <w:rPr>
          <w:rFonts w:asciiTheme="majorBidi" w:hAnsiTheme="majorBidi" w:cstheme="majorBidi"/>
        </w:rPr>
        <w:t xml:space="preserve"> and engage</w:t>
      </w:r>
      <w:r w:rsidR="00B97B0A">
        <w:rPr>
          <w:rFonts w:asciiTheme="majorBidi" w:hAnsiTheme="majorBidi" w:cstheme="majorBidi"/>
        </w:rPr>
        <w:t>ment of</w:t>
      </w:r>
      <w:r w:rsidRPr="001563CE">
        <w:rPr>
          <w:rFonts w:asciiTheme="majorBidi" w:hAnsiTheme="majorBidi" w:cstheme="majorBidi"/>
        </w:rPr>
        <w:t xml:space="preserve"> stakeholders, design </w:t>
      </w:r>
      <w:r w:rsidR="00B97B0A">
        <w:rPr>
          <w:rFonts w:asciiTheme="majorBidi" w:hAnsiTheme="majorBidi" w:cstheme="majorBidi"/>
        </w:rPr>
        <w:t xml:space="preserve">of </w:t>
      </w:r>
      <w:r w:rsidRPr="001563CE">
        <w:rPr>
          <w:rFonts w:asciiTheme="majorBidi" w:hAnsiTheme="majorBidi" w:cstheme="majorBidi"/>
        </w:rPr>
        <w:t>effective capacity-building and development interventions and strengthen</w:t>
      </w:r>
      <w:r w:rsidR="00B97B0A">
        <w:rPr>
          <w:rFonts w:asciiTheme="majorBidi" w:hAnsiTheme="majorBidi" w:cstheme="majorBidi"/>
        </w:rPr>
        <w:t>ing of</w:t>
      </w:r>
      <w:r w:rsidRPr="001563CE">
        <w:rPr>
          <w:rFonts w:asciiTheme="majorBidi" w:hAnsiTheme="majorBidi" w:cstheme="majorBidi"/>
        </w:rPr>
        <w:t xml:space="preserve"> multi-stakeholder coordination mechanisms at the national level can be carried out. If those activities are carried out, then high-quality long-term plans or programmes and strategic partnerships dedicated to capacity-building and development for the Protocol will be created. If those outputs are produced, then knowledge and capacities will be developed, used and retained at all levels to implement the Protocol effectively. If capacities are built, developed, used and retained at the individual, organizational and enabling environment levels to implement the Protocol effectively, then benefits from the utilization of genetic resources and traditional knowledge associated with genetic resources will be shared fairly and equitably, thereby contributing to the conservation and sustainable use of biodiversity. </w:t>
      </w:r>
    </w:p>
    <w:p w14:paraId="6E0EA505" w14:textId="2E426B38" w:rsidR="00D44EAC" w:rsidRPr="00381E08" w:rsidRDefault="00D44EAC" w:rsidP="00BD2C12">
      <w:pPr>
        <w:pStyle w:val="Heading1"/>
        <w:numPr>
          <w:ilvl w:val="0"/>
          <w:numId w:val="10"/>
        </w:numPr>
        <w:ind w:left="0"/>
      </w:pPr>
      <w:r w:rsidRPr="00381E08">
        <w:t xml:space="preserve">Cooperation </w:t>
      </w:r>
      <w:r w:rsidR="0065528E">
        <w:t>and coor</w:t>
      </w:r>
      <w:r w:rsidR="007210B5">
        <w:t>dination</w:t>
      </w:r>
    </w:p>
    <w:p w14:paraId="42DDA52E" w14:textId="2E53F11C" w:rsidR="00D44EAC" w:rsidRPr="00E27CFC" w:rsidRDefault="00D44EAC" w:rsidP="00B354F4">
      <w:pPr>
        <w:pStyle w:val="Para10"/>
        <w:numPr>
          <w:ilvl w:val="0"/>
          <w:numId w:val="11"/>
        </w:numPr>
        <w:suppressLineNumbers/>
        <w:tabs>
          <w:tab w:val="left" w:pos="1134"/>
        </w:tabs>
        <w:suppressAutoHyphens/>
        <w:snapToGrid w:val="0"/>
        <w:ind w:left="567" w:firstLine="0"/>
        <w:rPr>
          <w:rFonts w:asciiTheme="majorBidi" w:hAnsiTheme="majorBidi" w:cstheme="majorBidi"/>
        </w:rPr>
      </w:pPr>
      <w:r>
        <w:rPr>
          <w:rFonts w:asciiTheme="majorBidi" w:hAnsiTheme="majorBidi" w:cstheme="majorBidi"/>
        </w:rPr>
        <w:t xml:space="preserve">Strengthening the </w:t>
      </w:r>
      <w:r w:rsidRPr="00B354F4">
        <w:rPr>
          <w:kern w:val="22"/>
        </w:rPr>
        <w:t>cooperation</w:t>
      </w:r>
      <w:r>
        <w:rPr>
          <w:rFonts w:asciiTheme="majorBidi" w:hAnsiTheme="majorBidi" w:cstheme="majorBidi"/>
        </w:rPr>
        <w:t xml:space="preserve"> and coordination among actors involved in capacity-building and development initiatives is an important </w:t>
      </w:r>
      <w:r w:rsidR="00790597">
        <w:rPr>
          <w:rFonts w:asciiTheme="majorBidi" w:hAnsiTheme="majorBidi" w:cstheme="majorBidi"/>
        </w:rPr>
        <w:t>determinant</w:t>
      </w:r>
      <w:r>
        <w:rPr>
          <w:rFonts w:asciiTheme="majorBidi" w:hAnsiTheme="majorBidi" w:cstheme="majorBidi"/>
        </w:rPr>
        <w:t xml:space="preserve"> for their success. Specific mechanisms are available at different levels</w:t>
      </w:r>
      <w:r w:rsidR="00B9021F">
        <w:rPr>
          <w:rFonts w:asciiTheme="majorBidi" w:hAnsiTheme="majorBidi" w:cstheme="majorBidi"/>
        </w:rPr>
        <w:t>. In particular</w:t>
      </w:r>
      <w:r>
        <w:rPr>
          <w:rFonts w:asciiTheme="majorBidi" w:hAnsiTheme="majorBidi" w:cstheme="majorBidi"/>
        </w:rPr>
        <w:t>:</w:t>
      </w:r>
    </w:p>
    <w:p w14:paraId="4C16B2FF" w14:textId="1DE7B044" w:rsidR="00D44EAC" w:rsidRPr="00E27CFC" w:rsidRDefault="00D44EAC" w:rsidP="00B354F4">
      <w:pPr>
        <w:pStyle w:val="Para10"/>
        <w:numPr>
          <w:ilvl w:val="0"/>
          <w:numId w:val="42"/>
        </w:numPr>
        <w:suppressLineNumbers/>
        <w:tabs>
          <w:tab w:val="left" w:pos="1701"/>
        </w:tabs>
        <w:suppressAutoHyphens/>
        <w:snapToGrid w:val="0"/>
        <w:ind w:left="567" w:firstLine="567"/>
        <w:rPr>
          <w:rFonts w:asciiTheme="majorBidi" w:hAnsiTheme="majorBidi" w:cstheme="majorBidi"/>
        </w:rPr>
      </w:pPr>
      <w:r w:rsidRPr="00E27CFC">
        <w:rPr>
          <w:rFonts w:asciiTheme="majorBidi" w:hAnsiTheme="majorBidi" w:cstheme="majorBidi"/>
        </w:rPr>
        <w:t xml:space="preserve">At the national level, coordination can be fostered through the inter-institutional and cross-sectoral arrangements set up for the revision and implementation of the national biodiversity strategies and action plans and national targets to assess contributions to the Kunming-Montreal Global Biodiversity Framework. The United Nations resident coordinator office can also play a role by supporting national institutions </w:t>
      </w:r>
      <w:r w:rsidR="003B2F9A">
        <w:rPr>
          <w:rFonts w:asciiTheme="majorBidi" w:hAnsiTheme="majorBidi" w:cstheme="majorBidi"/>
        </w:rPr>
        <w:t>in</w:t>
      </w:r>
      <w:r w:rsidRPr="00E27CFC">
        <w:rPr>
          <w:rFonts w:asciiTheme="majorBidi" w:hAnsiTheme="majorBidi" w:cstheme="majorBidi"/>
        </w:rPr>
        <w:t xml:space="preserve"> setting up and coordinating the multi-stakeholder process</w:t>
      </w:r>
      <w:r>
        <w:rPr>
          <w:rFonts w:asciiTheme="majorBidi" w:hAnsiTheme="majorBidi" w:cstheme="majorBidi"/>
        </w:rPr>
        <w:t>es and strengthening local expertise</w:t>
      </w:r>
      <w:r w:rsidR="00B354F4">
        <w:rPr>
          <w:rFonts w:asciiTheme="majorBidi" w:hAnsiTheme="majorBidi" w:cstheme="majorBidi"/>
        </w:rPr>
        <w:t>;</w:t>
      </w:r>
    </w:p>
    <w:p w14:paraId="1DDDBFF3" w14:textId="5C61EE41" w:rsidR="00D44EAC" w:rsidRPr="00E27CFC" w:rsidRDefault="00D44EAC" w:rsidP="00B354F4">
      <w:pPr>
        <w:pStyle w:val="Para10"/>
        <w:numPr>
          <w:ilvl w:val="0"/>
          <w:numId w:val="42"/>
        </w:numPr>
        <w:suppressLineNumbers/>
        <w:tabs>
          <w:tab w:val="left" w:pos="1701"/>
        </w:tabs>
        <w:suppressAutoHyphens/>
        <w:snapToGrid w:val="0"/>
        <w:ind w:left="567" w:firstLine="567"/>
        <w:rPr>
          <w:rFonts w:asciiTheme="majorBidi" w:hAnsiTheme="majorBidi" w:cstheme="majorBidi"/>
        </w:rPr>
      </w:pPr>
      <w:r w:rsidRPr="774ED644">
        <w:rPr>
          <w:rFonts w:asciiTheme="majorBidi" w:hAnsiTheme="majorBidi" w:cstheme="majorBidi"/>
        </w:rPr>
        <w:t>At the regional</w:t>
      </w:r>
      <w:r w:rsidR="7B7DF571" w:rsidRPr="774ED644">
        <w:rPr>
          <w:rFonts w:asciiTheme="majorBidi" w:hAnsiTheme="majorBidi" w:cstheme="majorBidi"/>
        </w:rPr>
        <w:t xml:space="preserve"> and sub</w:t>
      </w:r>
      <w:r w:rsidRPr="00E27CFC">
        <w:rPr>
          <w:rFonts w:asciiTheme="majorBidi" w:hAnsiTheme="majorBidi" w:cstheme="majorBidi"/>
        </w:rPr>
        <w:t>regional level</w:t>
      </w:r>
      <w:r w:rsidR="00451C49">
        <w:rPr>
          <w:rFonts w:asciiTheme="majorBidi" w:hAnsiTheme="majorBidi" w:cstheme="majorBidi"/>
        </w:rPr>
        <w:t>s</w:t>
      </w:r>
      <w:r w:rsidRPr="00E27CFC">
        <w:rPr>
          <w:rFonts w:asciiTheme="majorBidi" w:hAnsiTheme="majorBidi" w:cstheme="majorBidi"/>
        </w:rPr>
        <w:t xml:space="preserve">, organizations, including </w:t>
      </w:r>
      <w:r>
        <w:rPr>
          <w:rFonts w:asciiTheme="majorBidi" w:hAnsiTheme="majorBidi" w:cstheme="majorBidi"/>
        </w:rPr>
        <w:t xml:space="preserve">regional and/or subregional </w:t>
      </w:r>
      <w:r w:rsidRPr="00E27CFC">
        <w:rPr>
          <w:rFonts w:asciiTheme="majorBidi" w:hAnsiTheme="majorBidi" w:cstheme="majorBidi"/>
        </w:rPr>
        <w:t>support centres</w:t>
      </w:r>
      <w:r w:rsidR="00B354F4">
        <w:rPr>
          <w:rFonts w:asciiTheme="majorBidi" w:hAnsiTheme="majorBidi" w:cstheme="majorBidi"/>
        </w:rPr>
        <w:t>,</w:t>
      </w:r>
      <w:r>
        <w:rPr>
          <w:rStyle w:val="FootnoteReference"/>
          <w:rFonts w:asciiTheme="majorBidi" w:hAnsiTheme="majorBidi" w:cstheme="majorBidi"/>
        </w:rPr>
        <w:footnoteReference w:id="36"/>
      </w:r>
      <w:r w:rsidRPr="00E27CFC">
        <w:rPr>
          <w:rFonts w:asciiTheme="majorBidi" w:hAnsiTheme="majorBidi" w:cstheme="majorBidi"/>
        </w:rPr>
        <w:t xml:space="preserve"> can play a role in bringing together various actors to identify needs and opportunities for cooperation, synergy and collaboration and to foster the sharing of </w:t>
      </w:r>
      <w:r>
        <w:rPr>
          <w:rFonts w:asciiTheme="majorBidi" w:hAnsiTheme="majorBidi" w:cstheme="majorBidi"/>
        </w:rPr>
        <w:t>best practices</w:t>
      </w:r>
      <w:r w:rsidRPr="00E27CFC">
        <w:rPr>
          <w:rFonts w:asciiTheme="majorBidi" w:hAnsiTheme="majorBidi" w:cstheme="majorBidi"/>
        </w:rPr>
        <w:t xml:space="preserve"> and lessons learned. For example, the future mechanism to strengthen technical and scientific cooperation in support of the Kunming-Montreal Global Biodiversity Framework could play such a role.</w:t>
      </w:r>
      <w:r w:rsidRPr="001E4D17">
        <w:rPr>
          <w:rFonts w:asciiTheme="majorBidi" w:hAnsiTheme="majorBidi" w:cstheme="majorBidi"/>
          <w:vertAlign w:val="superscript"/>
        </w:rPr>
        <w:footnoteReference w:id="37"/>
      </w:r>
      <w:r w:rsidRPr="004E5D2B">
        <w:t xml:space="preserve"> </w:t>
      </w:r>
      <w:r w:rsidRPr="004E5D2B">
        <w:rPr>
          <w:rFonts w:asciiTheme="majorBidi" w:hAnsiTheme="majorBidi" w:cstheme="majorBidi"/>
        </w:rPr>
        <w:t>Collaboration and cooperation at the regional and subregional levels can also contribute to the harmoni</w:t>
      </w:r>
      <w:r w:rsidR="003B2F9A">
        <w:rPr>
          <w:rFonts w:asciiTheme="majorBidi" w:hAnsiTheme="majorBidi" w:cstheme="majorBidi"/>
        </w:rPr>
        <w:t>z</w:t>
      </w:r>
      <w:r w:rsidRPr="004E5D2B">
        <w:rPr>
          <w:rFonts w:asciiTheme="majorBidi" w:hAnsiTheme="majorBidi" w:cstheme="majorBidi"/>
        </w:rPr>
        <w:t>ation of access and benefit-sharing approaches and frameworks</w:t>
      </w:r>
      <w:r w:rsidR="00B354F4">
        <w:rPr>
          <w:rFonts w:asciiTheme="majorBidi" w:hAnsiTheme="majorBidi" w:cstheme="majorBidi"/>
        </w:rPr>
        <w:t>;</w:t>
      </w:r>
    </w:p>
    <w:p w14:paraId="5F19828D" w14:textId="77777777" w:rsidR="00D44EAC" w:rsidRPr="004E5D2B" w:rsidRDefault="00D44EAC" w:rsidP="00B354F4">
      <w:pPr>
        <w:pStyle w:val="Para10"/>
        <w:numPr>
          <w:ilvl w:val="0"/>
          <w:numId w:val="42"/>
        </w:numPr>
        <w:suppressLineNumbers/>
        <w:tabs>
          <w:tab w:val="left" w:pos="1701"/>
        </w:tabs>
        <w:suppressAutoHyphens/>
        <w:snapToGrid w:val="0"/>
        <w:ind w:left="567" w:firstLine="567"/>
        <w:rPr>
          <w:szCs w:val="22"/>
        </w:rPr>
      </w:pPr>
      <w:r w:rsidRPr="00E27CFC">
        <w:rPr>
          <w:rFonts w:asciiTheme="majorBidi" w:hAnsiTheme="majorBidi" w:cstheme="majorBidi"/>
        </w:rPr>
        <w:t>At the global level, coordination can be fostered through the Convention and Protocol processes, including the meetings of the informal advisory committees established to provide advice to the Executive Secretary on issues related to the implementation of the Protocol</w:t>
      </w:r>
      <w:r>
        <w:rPr>
          <w:rFonts w:asciiTheme="majorBidi" w:hAnsiTheme="majorBidi" w:cstheme="majorBidi"/>
        </w:rPr>
        <w:t xml:space="preserve"> and the</w:t>
      </w:r>
      <w:r w:rsidDel="004E5D2B">
        <w:rPr>
          <w:rFonts w:asciiTheme="majorBidi" w:hAnsiTheme="majorBidi" w:cstheme="majorBidi"/>
        </w:rPr>
        <w:t xml:space="preserve"> </w:t>
      </w:r>
      <w:r w:rsidRPr="00E27CFC">
        <w:rPr>
          <w:rFonts w:asciiTheme="majorBidi" w:hAnsiTheme="majorBidi" w:cstheme="majorBidi"/>
        </w:rPr>
        <w:t>capacity-building and development forum</w:t>
      </w:r>
      <w:r w:rsidRPr="003C5A41">
        <w:rPr>
          <w:rFonts w:asciiTheme="majorBidi" w:hAnsiTheme="majorBidi" w:cstheme="majorBidi"/>
          <w:vertAlign w:val="superscript"/>
        </w:rPr>
        <w:footnoteReference w:id="38"/>
      </w:r>
      <w:r w:rsidRPr="00E27CFC">
        <w:rPr>
          <w:rFonts w:asciiTheme="majorBidi" w:hAnsiTheme="majorBidi" w:cstheme="majorBidi"/>
        </w:rPr>
        <w:t xml:space="preserve"> to facilitate networking and the sharing of experiences</w:t>
      </w:r>
      <w:r w:rsidRPr="004E5D2B" w:rsidDel="008B6EE7">
        <w:rPr>
          <w:rFonts w:asciiTheme="majorBidi" w:hAnsiTheme="majorBidi" w:cstheme="majorBidi"/>
        </w:rPr>
        <w:t>.</w:t>
      </w:r>
    </w:p>
    <w:p w14:paraId="70B23AAE" w14:textId="52BC78B4" w:rsidR="00D44EAC" w:rsidRPr="00381E08" w:rsidRDefault="00D44EAC" w:rsidP="00B354F4">
      <w:pPr>
        <w:pStyle w:val="Heading1"/>
        <w:numPr>
          <w:ilvl w:val="0"/>
          <w:numId w:val="10"/>
        </w:numPr>
        <w:ind w:left="567" w:hanging="567"/>
      </w:pPr>
      <w:r>
        <w:t>Review of implementation of</w:t>
      </w:r>
      <w:r w:rsidRPr="00381E08">
        <w:t xml:space="preserve"> the </w:t>
      </w:r>
      <w:r w:rsidR="00E450DA">
        <w:t>a</w:t>
      </w:r>
      <w:r w:rsidRPr="00381E08">
        <w:t xml:space="preserve">ction </w:t>
      </w:r>
      <w:r w:rsidR="00E450DA">
        <w:t>p</w:t>
      </w:r>
      <w:r w:rsidRPr="00381E08">
        <w:t>lan</w:t>
      </w:r>
    </w:p>
    <w:p w14:paraId="4509640D" w14:textId="5A56ED46" w:rsidR="00901277" w:rsidRPr="00193260" w:rsidRDefault="00D44EAC" w:rsidP="00193260">
      <w:pPr>
        <w:pStyle w:val="Para10"/>
        <w:numPr>
          <w:ilvl w:val="0"/>
          <w:numId w:val="11"/>
        </w:numPr>
        <w:suppressLineNumbers/>
        <w:tabs>
          <w:tab w:val="left" w:pos="1134"/>
        </w:tabs>
        <w:suppressAutoHyphens/>
        <w:snapToGrid w:val="0"/>
        <w:ind w:left="567" w:firstLine="0"/>
      </w:pPr>
      <w:r w:rsidRPr="003429A7">
        <w:t xml:space="preserve">The </w:t>
      </w:r>
      <w:r w:rsidRPr="00B354F4">
        <w:rPr>
          <w:kern w:val="22"/>
        </w:rPr>
        <w:t>Conference</w:t>
      </w:r>
      <w:r w:rsidRPr="003429A7">
        <w:t xml:space="preserve"> of the Parties serving as the meeting of the Parties to the Protocol will undertake a review </w:t>
      </w:r>
      <w:r>
        <w:t>of the implementation</w:t>
      </w:r>
      <w:r w:rsidRPr="003429A7">
        <w:t xml:space="preserve"> of the </w:t>
      </w:r>
      <w:r w:rsidR="000579E8">
        <w:t>a</w:t>
      </w:r>
      <w:r w:rsidRPr="003429A7">
        <w:t xml:space="preserve">ction </w:t>
      </w:r>
      <w:r w:rsidR="000579E8">
        <w:t>p</w:t>
      </w:r>
      <w:r w:rsidRPr="003429A7">
        <w:t>lan</w:t>
      </w:r>
      <w:r>
        <w:t xml:space="preserve"> as part of the</w:t>
      </w:r>
      <w:r w:rsidRPr="003429A7">
        <w:t xml:space="preserve"> assessment and review process under the Protocol</w:t>
      </w:r>
      <w:r>
        <w:t xml:space="preserve"> </w:t>
      </w:r>
      <w:r w:rsidR="005D561D">
        <w:t>p</w:t>
      </w:r>
      <w:r w:rsidR="00A2147C">
        <w:t xml:space="preserve">ursuant </w:t>
      </w:r>
      <w:r>
        <w:t xml:space="preserve">to </w:t>
      </w:r>
      <w:r w:rsidR="00ED7164">
        <w:t>A</w:t>
      </w:r>
      <w:r>
        <w:t>rticle 31</w:t>
      </w:r>
      <w:r w:rsidRPr="00206754">
        <w:t xml:space="preserve"> </w:t>
      </w:r>
      <w:r>
        <w:t xml:space="preserve">and </w:t>
      </w:r>
      <w:r w:rsidR="5126D5D7">
        <w:t xml:space="preserve">on the basis of </w:t>
      </w:r>
      <w:r>
        <w:t xml:space="preserve">information submitted through national reports </w:t>
      </w:r>
      <w:r>
        <w:lastRenderedPageBreak/>
        <w:t xml:space="preserve">and in the Access and Benefit-sharing Clearing-House in 2030 and thereafter </w:t>
      </w:r>
      <w:r w:rsidR="005D561D">
        <w:t>at</w:t>
      </w:r>
      <w:r>
        <w:t xml:space="preserve"> intervals to be determined</w:t>
      </w:r>
      <w:r w:rsidRPr="003429A7">
        <w:t>.</w:t>
      </w:r>
    </w:p>
    <w:p w14:paraId="38EB0CF2" w14:textId="77777777" w:rsidR="00901277" w:rsidRDefault="00901277" w:rsidP="00901277">
      <w:pPr>
        <w:rPr>
          <w:i/>
          <w:iCs/>
        </w:rPr>
      </w:pPr>
    </w:p>
    <w:p w14:paraId="36AB23FE" w14:textId="77777777" w:rsidR="00901277" w:rsidRPr="00901277" w:rsidRDefault="00901277" w:rsidP="00901277">
      <w:pPr>
        <w:sectPr w:rsidR="00901277" w:rsidRPr="00901277" w:rsidSect="00DE7A84">
          <w:footnotePr>
            <w:numRestart w:val="eachSect"/>
          </w:footnotePr>
          <w:pgSz w:w="12240" w:h="15840" w:code="1"/>
          <w:pgMar w:top="562" w:right="1382" w:bottom="1138" w:left="1382" w:header="706" w:footer="706" w:gutter="0"/>
          <w:cols w:space="708"/>
          <w:docGrid w:linePitch="360"/>
        </w:sectPr>
      </w:pPr>
    </w:p>
    <w:p w14:paraId="5E909ED3" w14:textId="236F7B44" w:rsidR="00D44EAC" w:rsidRPr="00137187" w:rsidRDefault="00972B78" w:rsidP="00137187">
      <w:pPr>
        <w:pStyle w:val="Para10"/>
        <w:spacing w:before="0" w:after="0"/>
        <w:ind w:left="567"/>
        <w:jc w:val="left"/>
        <w:rPr>
          <w:b/>
          <w:bCs/>
          <w:sz w:val="28"/>
          <w:szCs w:val="28"/>
        </w:rPr>
      </w:pPr>
      <w:r>
        <w:rPr>
          <w:b/>
          <w:bCs/>
          <w:sz w:val="28"/>
          <w:szCs w:val="28"/>
        </w:rPr>
        <w:lastRenderedPageBreak/>
        <w:t>Enclosure</w:t>
      </w:r>
    </w:p>
    <w:p w14:paraId="6D29FB30" w14:textId="415BD1CD" w:rsidR="00D44EAC" w:rsidRPr="00381E08" w:rsidRDefault="00336406" w:rsidP="00137187">
      <w:pPr>
        <w:pStyle w:val="Title"/>
        <w:jc w:val="left"/>
        <w:rPr>
          <w:rFonts w:hint="eastAsia"/>
        </w:rPr>
      </w:pPr>
      <w:r>
        <w:t xml:space="preserve">Outputs and indicative capacity-building and development activities to </w:t>
      </w:r>
      <w:r w:rsidRPr="00A271FF">
        <w:t>support</w:t>
      </w:r>
      <w:r w:rsidR="00D44EAC" w:rsidRPr="00372A69">
        <w:t xml:space="preserve"> </w:t>
      </w:r>
      <w:r w:rsidRPr="00A271FF">
        <w:t>the</w:t>
      </w:r>
      <w:r w:rsidR="00D44EAC" w:rsidRPr="00372A69">
        <w:t xml:space="preserve"> </w:t>
      </w:r>
      <w:r w:rsidRPr="00A271FF">
        <w:t>effect</w:t>
      </w:r>
      <w:r w:rsidRPr="00372A69">
        <w:t>iv</w:t>
      </w:r>
      <w:r w:rsidRPr="00A271FF">
        <w:t>e</w:t>
      </w:r>
      <w:r w:rsidR="00D44EAC" w:rsidRPr="00372A69">
        <w:t xml:space="preserve"> </w:t>
      </w:r>
      <w:r w:rsidRPr="00A271FF">
        <w:t>implementation</w:t>
      </w:r>
      <w:r w:rsidR="00D44EAC" w:rsidRPr="00372A69">
        <w:t xml:space="preserve"> </w:t>
      </w:r>
      <w:r w:rsidRPr="00A271FF">
        <w:t>of</w:t>
      </w:r>
      <w:r w:rsidR="00D44EAC" w:rsidRPr="00372A69">
        <w:t xml:space="preserve"> </w:t>
      </w:r>
      <w:r w:rsidRPr="00A271FF">
        <w:t>the</w:t>
      </w:r>
      <w:r w:rsidR="00D44EAC" w:rsidRPr="00372A69">
        <w:t xml:space="preserve"> </w:t>
      </w:r>
      <w:r>
        <w:t>N</w:t>
      </w:r>
      <w:r w:rsidRPr="00A271FF">
        <w:t>agoya</w:t>
      </w:r>
      <w:r w:rsidR="00D44EAC" w:rsidRPr="00372A69">
        <w:t xml:space="preserve"> </w:t>
      </w:r>
      <w:r>
        <w:t>P</w:t>
      </w:r>
      <w:r w:rsidRPr="00A271FF">
        <w:t>rotocol</w:t>
      </w:r>
    </w:p>
    <w:p w14:paraId="7E9647E9" w14:textId="1CBFD86C" w:rsidR="00D44EAC" w:rsidRDefault="00D44EAC" w:rsidP="00137187">
      <w:pPr>
        <w:spacing w:after="240"/>
        <w:ind w:left="567"/>
      </w:pPr>
      <w:r w:rsidRPr="00381E08">
        <w:t xml:space="preserve">The matrix </w:t>
      </w:r>
      <w:r w:rsidR="009C1B4B">
        <w:t xml:space="preserve">below </w:t>
      </w:r>
      <w:r w:rsidRPr="00381E08">
        <w:t>provide</w:t>
      </w:r>
      <w:r>
        <w:t>s</w:t>
      </w:r>
      <w:r w:rsidRPr="00381E08">
        <w:t xml:space="preserve"> a list of outputs and indicative activities for each key outcome area following results-based management principles</w:t>
      </w:r>
      <w:r w:rsidRPr="00381E08">
        <w:rPr>
          <w:rStyle w:val="FootnoteReference"/>
        </w:rPr>
        <w:footnoteReference w:id="39"/>
      </w:r>
      <w:r w:rsidRPr="00381E08">
        <w:t xml:space="preserve"> </w:t>
      </w:r>
      <w:r w:rsidR="009C1B4B">
        <w:t>which</w:t>
      </w:r>
      <w:r w:rsidRPr="00381E08">
        <w:t xml:space="preserve"> can be included </w:t>
      </w:r>
      <w:r>
        <w:t>in</w:t>
      </w:r>
      <w:r w:rsidRPr="00381E08">
        <w:t xml:space="preserve"> </w:t>
      </w:r>
      <w:r>
        <w:t>initiatives</w:t>
      </w:r>
      <w:r w:rsidRPr="00381E08">
        <w:t xml:space="preserve"> aimed at capacity-building and development for the</w:t>
      </w:r>
      <w:r>
        <w:t xml:space="preserve"> effective implementation of the</w:t>
      </w:r>
      <w:r w:rsidRPr="00381E08">
        <w:t xml:space="preserve"> Nagoya Protocol.</w:t>
      </w:r>
    </w:p>
    <w:tbl>
      <w:tblPr>
        <w:tblW w:w="13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9810"/>
      </w:tblGrid>
      <w:tr w:rsidR="00D44EAC" w:rsidRPr="00DD54AB" w14:paraId="4FB325A7" w14:textId="77777777" w:rsidTr="00840F80">
        <w:trPr>
          <w:jc w:val="center"/>
        </w:trPr>
        <w:tc>
          <w:tcPr>
            <w:tcW w:w="13170" w:type="dxa"/>
            <w:gridSpan w:val="2"/>
          </w:tcPr>
          <w:p w14:paraId="6651B000" w14:textId="1D223495" w:rsidR="00D44EAC" w:rsidRDefault="00D44EAC" w:rsidP="00335F76">
            <w:pPr>
              <w:spacing w:before="120" w:after="120"/>
              <w:rPr>
                <w:b/>
                <w:bCs/>
                <w:kern w:val="22"/>
                <w:szCs w:val="22"/>
              </w:rPr>
            </w:pPr>
            <w:r w:rsidRPr="009C4CCA">
              <w:rPr>
                <w:b/>
                <w:bCs/>
                <w:kern w:val="22"/>
                <w:szCs w:val="22"/>
              </w:rPr>
              <w:t xml:space="preserve">Outcome area 1: </w:t>
            </w:r>
            <w:r w:rsidRPr="009C4CCA">
              <w:rPr>
                <w:b/>
                <w:bCs/>
                <w:szCs w:val="22"/>
              </w:rPr>
              <w:t>Strengthened c</w:t>
            </w:r>
            <w:r w:rsidRPr="009C4CCA">
              <w:rPr>
                <w:b/>
                <w:bCs/>
                <w:kern w:val="22"/>
                <w:szCs w:val="22"/>
              </w:rPr>
              <w:t>apacity to implement</w:t>
            </w:r>
            <w:r>
              <w:rPr>
                <w:b/>
                <w:bCs/>
                <w:kern w:val="22"/>
                <w:szCs w:val="22"/>
              </w:rPr>
              <w:t>,</w:t>
            </w:r>
            <w:r w:rsidRPr="009C4CCA">
              <w:rPr>
                <w:b/>
                <w:bCs/>
                <w:kern w:val="22"/>
                <w:szCs w:val="22"/>
              </w:rPr>
              <w:t xml:space="preserve"> and</w:t>
            </w:r>
            <w:r>
              <w:rPr>
                <w:b/>
                <w:bCs/>
                <w:kern w:val="22"/>
                <w:szCs w:val="22"/>
              </w:rPr>
              <w:t xml:space="preserve"> </w:t>
            </w:r>
            <w:r w:rsidRPr="009C4CCA">
              <w:rPr>
                <w:b/>
                <w:bCs/>
                <w:kern w:val="22"/>
                <w:szCs w:val="22"/>
              </w:rPr>
              <w:t xml:space="preserve">comply with the obligations </w:t>
            </w:r>
            <w:r w:rsidR="00FF39E1">
              <w:rPr>
                <w:b/>
                <w:bCs/>
                <w:kern w:val="22"/>
                <w:szCs w:val="22"/>
              </w:rPr>
              <w:t>under</w:t>
            </w:r>
            <w:r w:rsidR="00C919F7">
              <w:rPr>
                <w:b/>
                <w:bCs/>
                <w:kern w:val="22"/>
                <w:szCs w:val="22"/>
              </w:rPr>
              <w:t>,</w:t>
            </w:r>
            <w:r w:rsidRPr="009C4CCA">
              <w:rPr>
                <w:b/>
                <w:bCs/>
                <w:kern w:val="22"/>
                <w:szCs w:val="22"/>
              </w:rPr>
              <w:t xml:space="preserve"> the </w:t>
            </w:r>
            <w:r w:rsidRPr="009C4CCA">
              <w:rPr>
                <w:b/>
                <w:bCs/>
                <w:szCs w:val="22"/>
              </w:rPr>
              <w:t>Nagoya</w:t>
            </w:r>
            <w:r w:rsidRPr="009C4CCA">
              <w:rPr>
                <w:b/>
                <w:bCs/>
                <w:kern w:val="22"/>
                <w:szCs w:val="22"/>
              </w:rPr>
              <w:t xml:space="preserve"> Protocol</w:t>
            </w:r>
          </w:p>
          <w:p w14:paraId="66D9E1AA" w14:textId="430A7427" w:rsidR="00D44EAC" w:rsidRPr="009841A0" w:rsidRDefault="00FF39E1" w:rsidP="00137187">
            <w:pPr>
              <w:spacing w:before="120" w:after="120"/>
              <w:jc w:val="left"/>
              <w:rPr>
                <w:i/>
                <w:iCs/>
                <w:kern w:val="22"/>
                <w:szCs w:val="22"/>
              </w:rPr>
            </w:pPr>
            <w:r>
              <w:rPr>
                <w:i/>
                <w:kern w:val="22"/>
                <w:szCs w:val="22"/>
              </w:rPr>
              <w:t>O</w:t>
            </w:r>
            <w:r w:rsidR="00D44EAC" w:rsidRPr="00A6358F">
              <w:rPr>
                <w:i/>
                <w:kern w:val="22"/>
                <w:szCs w:val="22"/>
              </w:rPr>
              <w:t>utcome area</w:t>
            </w:r>
            <w:r w:rsidR="00D44EAC" w:rsidRPr="00E27CFC">
              <w:rPr>
                <w:i/>
                <w:kern w:val="22"/>
                <w:szCs w:val="22"/>
              </w:rPr>
              <w:t xml:space="preserve"> </w:t>
            </w:r>
            <w:r>
              <w:rPr>
                <w:i/>
                <w:kern w:val="22"/>
                <w:szCs w:val="22"/>
              </w:rPr>
              <w:t xml:space="preserve">1 </w:t>
            </w:r>
            <w:r w:rsidR="00D44EAC">
              <w:rPr>
                <w:i/>
                <w:kern w:val="22"/>
                <w:szCs w:val="22"/>
              </w:rPr>
              <w:t>addresses</w:t>
            </w:r>
            <w:r w:rsidR="00D44EAC" w:rsidRPr="00E27CFC">
              <w:rPr>
                <w:i/>
                <w:kern w:val="22"/>
                <w:szCs w:val="22"/>
              </w:rPr>
              <w:t xml:space="preserve"> the enabling environment needed for the implementation </w:t>
            </w:r>
            <w:r>
              <w:rPr>
                <w:i/>
                <w:kern w:val="22"/>
                <w:szCs w:val="22"/>
              </w:rPr>
              <w:t>of</w:t>
            </w:r>
            <w:r w:rsidR="00C53186">
              <w:rPr>
                <w:i/>
                <w:kern w:val="22"/>
                <w:szCs w:val="22"/>
              </w:rPr>
              <w:t>,</w:t>
            </w:r>
            <w:r>
              <w:rPr>
                <w:i/>
                <w:kern w:val="22"/>
                <w:szCs w:val="22"/>
              </w:rPr>
              <w:t xml:space="preserve"> </w:t>
            </w:r>
            <w:r w:rsidR="00D44EAC" w:rsidRPr="00E27CFC">
              <w:rPr>
                <w:i/>
                <w:kern w:val="22"/>
                <w:szCs w:val="22"/>
              </w:rPr>
              <w:t xml:space="preserve">and compliance with the obligations </w:t>
            </w:r>
            <w:r>
              <w:rPr>
                <w:i/>
                <w:kern w:val="22"/>
                <w:szCs w:val="22"/>
              </w:rPr>
              <w:t>under</w:t>
            </w:r>
            <w:r w:rsidR="00C53186">
              <w:rPr>
                <w:i/>
                <w:kern w:val="22"/>
                <w:szCs w:val="22"/>
              </w:rPr>
              <w:t>,</w:t>
            </w:r>
            <w:r w:rsidR="00D44EAC" w:rsidRPr="00E27CFC">
              <w:rPr>
                <w:i/>
                <w:kern w:val="22"/>
                <w:szCs w:val="22"/>
              </w:rPr>
              <w:t xml:space="preserve"> the Protocol</w:t>
            </w:r>
            <w:r w:rsidR="00D44EAC">
              <w:rPr>
                <w:i/>
                <w:kern w:val="22"/>
                <w:szCs w:val="22"/>
              </w:rPr>
              <w:t xml:space="preserve"> by Parties</w:t>
            </w:r>
            <w:r w:rsidR="00D44EAC" w:rsidRPr="00E27CFC">
              <w:rPr>
                <w:i/>
                <w:kern w:val="22"/>
                <w:szCs w:val="22"/>
              </w:rPr>
              <w:t>.</w:t>
            </w:r>
            <w:r w:rsidR="00D44EAC" w:rsidRPr="00A6358F">
              <w:rPr>
                <w:i/>
                <w:kern w:val="22"/>
                <w:szCs w:val="22"/>
              </w:rPr>
              <w:t xml:space="preserve"> </w:t>
            </w:r>
            <w:r w:rsidR="00D44EAC" w:rsidRPr="00E27CFC">
              <w:rPr>
                <w:i/>
                <w:kern w:val="22"/>
                <w:szCs w:val="22"/>
              </w:rPr>
              <w:t xml:space="preserve">Expected outputs relate to ratification, </w:t>
            </w:r>
            <w:r w:rsidR="00D44EAC" w:rsidRPr="00E27CFC">
              <w:rPr>
                <w:i/>
                <w:iCs/>
                <w:kern w:val="22"/>
                <w:szCs w:val="22"/>
              </w:rPr>
              <w:t xml:space="preserve">multi-stakeholder and </w:t>
            </w:r>
            <w:r w:rsidR="00D44EAC" w:rsidRPr="00E27CFC">
              <w:rPr>
                <w:i/>
                <w:kern w:val="22"/>
                <w:szCs w:val="22"/>
              </w:rPr>
              <w:t xml:space="preserve">inter-agency cooperation, needs assessment, financial resources and reporting requirements. </w:t>
            </w:r>
          </w:p>
        </w:tc>
      </w:tr>
      <w:tr w:rsidR="00D44EAC" w:rsidRPr="00DD54AB" w14:paraId="42831F91" w14:textId="77777777" w:rsidTr="00840F80">
        <w:trPr>
          <w:tblHeader/>
          <w:jc w:val="center"/>
        </w:trPr>
        <w:tc>
          <w:tcPr>
            <w:tcW w:w="3360" w:type="dxa"/>
          </w:tcPr>
          <w:p w14:paraId="26B84AEA" w14:textId="77777777" w:rsidR="00D44EAC" w:rsidRPr="009841A0" w:rsidRDefault="00D44EAC" w:rsidP="00335F76">
            <w:pPr>
              <w:rPr>
                <w:b/>
                <w:bCs/>
                <w:kern w:val="22"/>
                <w:szCs w:val="22"/>
              </w:rPr>
            </w:pPr>
            <w:r w:rsidRPr="009841A0">
              <w:rPr>
                <w:b/>
                <w:bCs/>
                <w:kern w:val="22"/>
                <w:szCs w:val="22"/>
              </w:rPr>
              <w:t>Outputs</w:t>
            </w:r>
          </w:p>
        </w:tc>
        <w:tc>
          <w:tcPr>
            <w:tcW w:w="9810" w:type="dxa"/>
          </w:tcPr>
          <w:p w14:paraId="071EC548" w14:textId="77777777" w:rsidR="00D44EAC" w:rsidRPr="009841A0" w:rsidRDefault="00D44EAC" w:rsidP="00335F76">
            <w:pPr>
              <w:rPr>
                <w:b/>
                <w:bCs/>
                <w:kern w:val="22"/>
                <w:szCs w:val="22"/>
              </w:rPr>
            </w:pPr>
            <w:r w:rsidRPr="009841A0">
              <w:rPr>
                <w:b/>
                <w:bCs/>
                <w:kern w:val="22"/>
                <w:szCs w:val="22"/>
              </w:rPr>
              <w:t>Indicative capacity-building and development activities</w:t>
            </w:r>
          </w:p>
        </w:tc>
      </w:tr>
      <w:tr w:rsidR="00D44EAC" w:rsidRPr="00DD54AB" w14:paraId="57749059" w14:textId="77777777" w:rsidTr="00840F80">
        <w:trPr>
          <w:jc w:val="center"/>
        </w:trPr>
        <w:tc>
          <w:tcPr>
            <w:tcW w:w="3360" w:type="dxa"/>
          </w:tcPr>
          <w:p w14:paraId="3B5ED14C" w14:textId="1F368FBA" w:rsidR="00D44EAC" w:rsidRPr="006F2FB5" w:rsidRDefault="00D44EAC" w:rsidP="00335F76">
            <w:pPr>
              <w:tabs>
                <w:tab w:val="left" w:pos="449"/>
              </w:tabs>
              <w:jc w:val="left"/>
              <w:rPr>
                <w:kern w:val="22"/>
                <w:szCs w:val="22"/>
              </w:rPr>
            </w:pPr>
            <w:r w:rsidRPr="006F2FB5">
              <w:rPr>
                <w:kern w:val="22"/>
                <w:szCs w:val="22"/>
              </w:rPr>
              <w:t>1.</w:t>
            </w:r>
            <w:r>
              <w:rPr>
                <w:kern w:val="22"/>
                <w:szCs w:val="22"/>
              </w:rPr>
              <w:t>1</w:t>
            </w:r>
            <w:r w:rsidRPr="006F2FB5">
              <w:rPr>
                <w:kern w:val="22"/>
                <w:szCs w:val="22"/>
              </w:rPr>
              <w:t>. Ratification of or accession to the Protocol is enabled</w:t>
            </w:r>
          </w:p>
        </w:tc>
        <w:tc>
          <w:tcPr>
            <w:tcW w:w="9810" w:type="dxa"/>
          </w:tcPr>
          <w:p w14:paraId="3F901F5C" w14:textId="0B3497BC" w:rsidR="00D44EAC" w:rsidRPr="00C60241" w:rsidRDefault="00D44EAC" w:rsidP="00BD2C12">
            <w:pPr>
              <w:numPr>
                <w:ilvl w:val="2"/>
                <w:numId w:val="30"/>
              </w:numPr>
              <w:jc w:val="left"/>
              <w:rPr>
                <w:kern w:val="22"/>
                <w:szCs w:val="22"/>
              </w:rPr>
            </w:pPr>
            <w:r w:rsidRPr="00C60241">
              <w:rPr>
                <w:kern w:val="22"/>
                <w:szCs w:val="22"/>
              </w:rPr>
              <w:t xml:space="preserve">Provide </w:t>
            </w:r>
            <w:r w:rsidR="008B75B3">
              <w:rPr>
                <w:kern w:val="22"/>
                <w:szCs w:val="22"/>
              </w:rPr>
              <w:t xml:space="preserve">guidance, </w:t>
            </w:r>
            <w:r w:rsidRPr="00C60241">
              <w:rPr>
                <w:kern w:val="22"/>
                <w:szCs w:val="22"/>
              </w:rPr>
              <w:t xml:space="preserve">training </w:t>
            </w:r>
            <w:r w:rsidR="00065B54">
              <w:rPr>
                <w:kern w:val="22"/>
                <w:szCs w:val="22"/>
              </w:rPr>
              <w:t xml:space="preserve">or technical assistance </w:t>
            </w:r>
            <w:r w:rsidRPr="00C60241">
              <w:rPr>
                <w:kern w:val="22"/>
                <w:szCs w:val="22"/>
              </w:rPr>
              <w:t>to designated human resources to advance the ratification/accession process and facilitate coordination within the government and among relevant ministries</w:t>
            </w:r>
            <w:r w:rsidR="00870AAC">
              <w:rPr>
                <w:kern w:val="22"/>
                <w:szCs w:val="22"/>
              </w:rPr>
              <w:t>;</w:t>
            </w:r>
          </w:p>
          <w:p w14:paraId="170FE298" w14:textId="7BADC483" w:rsidR="00D44EAC" w:rsidRPr="00BE6F15" w:rsidRDefault="00D44EAC" w:rsidP="00BD2C12">
            <w:pPr>
              <w:numPr>
                <w:ilvl w:val="2"/>
                <w:numId w:val="30"/>
              </w:numPr>
              <w:jc w:val="left"/>
              <w:rPr>
                <w:kern w:val="22"/>
                <w:szCs w:val="22"/>
              </w:rPr>
            </w:pPr>
            <w:r w:rsidRPr="006F2FB5">
              <w:rPr>
                <w:kern w:val="22"/>
                <w:szCs w:val="22"/>
              </w:rPr>
              <w:t>Organize workshops, trainings and awareness</w:t>
            </w:r>
            <w:r w:rsidR="00E5145F">
              <w:rPr>
                <w:kern w:val="22"/>
                <w:szCs w:val="22"/>
              </w:rPr>
              <w:t>-</w:t>
            </w:r>
            <w:r w:rsidRPr="006F2FB5">
              <w:rPr>
                <w:kern w:val="22"/>
                <w:szCs w:val="22"/>
              </w:rPr>
              <w:t>raising activities on the provisions of the Protocol</w:t>
            </w:r>
            <w:r>
              <w:rPr>
                <w:kern w:val="22"/>
                <w:szCs w:val="22"/>
              </w:rPr>
              <w:t xml:space="preserve"> and </w:t>
            </w:r>
            <w:r w:rsidRPr="006F2FB5">
              <w:rPr>
                <w:kern w:val="22"/>
                <w:szCs w:val="22"/>
              </w:rPr>
              <w:t>the importance of genetic resources, associated traditional knowledge and related access and benefit-sharing issues</w:t>
            </w:r>
            <w:r>
              <w:rPr>
                <w:kern w:val="22"/>
                <w:szCs w:val="22"/>
              </w:rPr>
              <w:t>.</w:t>
            </w:r>
          </w:p>
        </w:tc>
      </w:tr>
      <w:tr w:rsidR="00D44EAC" w:rsidRPr="00DD54AB" w14:paraId="4D4D38AF" w14:textId="77777777" w:rsidTr="00840F80">
        <w:trPr>
          <w:jc w:val="center"/>
        </w:trPr>
        <w:tc>
          <w:tcPr>
            <w:tcW w:w="3360" w:type="dxa"/>
          </w:tcPr>
          <w:p w14:paraId="2DD289D7" w14:textId="77777777" w:rsidR="00D44EAC" w:rsidRPr="005E7F86" w:rsidRDefault="00D44EAC" w:rsidP="00335F76">
            <w:pPr>
              <w:tabs>
                <w:tab w:val="left" w:pos="449"/>
              </w:tabs>
              <w:jc w:val="left"/>
              <w:rPr>
                <w:kern w:val="22"/>
                <w:szCs w:val="22"/>
              </w:rPr>
            </w:pPr>
            <w:r w:rsidRPr="005E7F86">
              <w:rPr>
                <w:kern w:val="22"/>
                <w:szCs w:val="22"/>
              </w:rPr>
              <w:t>1.</w:t>
            </w:r>
            <w:r>
              <w:rPr>
                <w:kern w:val="22"/>
                <w:szCs w:val="22"/>
              </w:rPr>
              <w:t>2</w:t>
            </w:r>
            <w:r w:rsidRPr="005E7F86">
              <w:rPr>
                <w:kern w:val="22"/>
                <w:szCs w:val="22"/>
              </w:rPr>
              <w:t xml:space="preserve">. Mechanisms for </w:t>
            </w:r>
            <w:r w:rsidRPr="00A6358F">
              <w:rPr>
                <w:kern w:val="22"/>
                <w:szCs w:val="22"/>
              </w:rPr>
              <w:t>multi-stakeholder</w:t>
            </w:r>
            <w:r w:rsidRPr="005E7F86">
              <w:rPr>
                <w:kern w:val="22"/>
                <w:szCs w:val="22"/>
              </w:rPr>
              <w:t xml:space="preserve"> </w:t>
            </w:r>
            <w:r>
              <w:rPr>
                <w:kern w:val="22"/>
                <w:szCs w:val="22"/>
              </w:rPr>
              <w:t xml:space="preserve">and </w:t>
            </w:r>
            <w:r w:rsidRPr="005E7F86">
              <w:rPr>
                <w:kern w:val="22"/>
                <w:szCs w:val="22"/>
              </w:rPr>
              <w:t>inter-agenc</w:t>
            </w:r>
            <w:r>
              <w:rPr>
                <w:kern w:val="22"/>
                <w:szCs w:val="22"/>
              </w:rPr>
              <w:t xml:space="preserve">y </w:t>
            </w:r>
            <w:r w:rsidRPr="005E7F86">
              <w:rPr>
                <w:kern w:val="22"/>
                <w:szCs w:val="22"/>
              </w:rPr>
              <w:t>coordination at the national level are established</w:t>
            </w:r>
          </w:p>
        </w:tc>
        <w:tc>
          <w:tcPr>
            <w:tcW w:w="9810" w:type="dxa"/>
          </w:tcPr>
          <w:p w14:paraId="00FEB8FA" w14:textId="25F5E6E9" w:rsidR="00D44EAC" w:rsidRPr="00F3620E" w:rsidRDefault="00D44EAC" w:rsidP="00BD2C12">
            <w:pPr>
              <w:numPr>
                <w:ilvl w:val="2"/>
                <w:numId w:val="31"/>
              </w:numPr>
              <w:jc w:val="left"/>
              <w:rPr>
                <w:kern w:val="22"/>
                <w:szCs w:val="22"/>
              </w:rPr>
            </w:pPr>
            <w:r w:rsidRPr="00F3620E">
              <w:rPr>
                <w:kern w:val="22"/>
                <w:szCs w:val="22"/>
              </w:rPr>
              <w:t>Map relevant actors</w:t>
            </w:r>
            <w:r w:rsidR="00870AAC">
              <w:rPr>
                <w:kern w:val="22"/>
                <w:szCs w:val="22"/>
              </w:rPr>
              <w:t>;</w:t>
            </w:r>
          </w:p>
          <w:p w14:paraId="470B0751" w14:textId="6B9C261E" w:rsidR="00D44EAC" w:rsidRPr="00BF765B" w:rsidRDefault="00D44EAC" w:rsidP="00BD2C12">
            <w:pPr>
              <w:numPr>
                <w:ilvl w:val="2"/>
                <w:numId w:val="31"/>
              </w:numPr>
              <w:jc w:val="left"/>
              <w:rPr>
                <w:kern w:val="22"/>
                <w:szCs w:val="22"/>
              </w:rPr>
            </w:pPr>
            <w:r>
              <w:rPr>
                <w:kern w:val="22"/>
                <w:szCs w:val="22"/>
              </w:rPr>
              <w:t>Provide</w:t>
            </w:r>
            <w:r w:rsidR="007239C8">
              <w:rPr>
                <w:kern w:val="22"/>
                <w:szCs w:val="22"/>
              </w:rPr>
              <w:t xml:space="preserve"> guidance,</w:t>
            </w:r>
            <w:r w:rsidRPr="00BF765B">
              <w:rPr>
                <w:kern w:val="22"/>
                <w:szCs w:val="22"/>
              </w:rPr>
              <w:t xml:space="preserve"> training </w:t>
            </w:r>
            <w:r w:rsidR="00065B54">
              <w:rPr>
                <w:kern w:val="22"/>
                <w:szCs w:val="22"/>
              </w:rPr>
              <w:t xml:space="preserve">or </w:t>
            </w:r>
            <w:r>
              <w:rPr>
                <w:kern w:val="22"/>
                <w:szCs w:val="22"/>
              </w:rPr>
              <w:t xml:space="preserve">technical assistance </w:t>
            </w:r>
            <w:r w:rsidRPr="00BF765B">
              <w:rPr>
                <w:kern w:val="22"/>
                <w:szCs w:val="22"/>
              </w:rPr>
              <w:t xml:space="preserve">on facilitating </w:t>
            </w:r>
            <w:r>
              <w:rPr>
                <w:kern w:val="22"/>
                <w:szCs w:val="22"/>
              </w:rPr>
              <w:t xml:space="preserve">and </w:t>
            </w:r>
            <w:r w:rsidRPr="00A6358F">
              <w:rPr>
                <w:kern w:val="22"/>
                <w:szCs w:val="22"/>
              </w:rPr>
              <w:t>establishing multi-stakeholder and</w:t>
            </w:r>
            <w:r>
              <w:rPr>
                <w:kern w:val="22"/>
                <w:szCs w:val="22"/>
              </w:rPr>
              <w:t xml:space="preserve"> inter-agency </w:t>
            </w:r>
            <w:r w:rsidRPr="00BF765B">
              <w:rPr>
                <w:kern w:val="22"/>
                <w:szCs w:val="22"/>
              </w:rPr>
              <w:t>mechanisms to support access and benefit</w:t>
            </w:r>
            <w:r w:rsidRPr="00BF765B">
              <w:rPr>
                <w:kern w:val="22"/>
                <w:szCs w:val="22"/>
              </w:rPr>
              <w:noBreakHyphen/>
              <w:t>sharing</w:t>
            </w:r>
            <w:r>
              <w:rPr>
                <w:kern w:val="22"/>
                <w:szCs w:val="22"/>
              </w:rPr>
              <w:t xml:space="preserve"> and mutually supportive implementation of the Protocol with other international </w:t>
            </w:r>
            <w:r w:rsidR="00E5145F">
              <w:rPr>
                <w:kern w:val="22"/>
                <w:szCs w:val="22"/>
              </w:rPr>
              <w:t>access and benefit-sharing</w:t>
            </w:r>
            <w:r>
              <w:rPr>
                <w:kern w:val="22"/>
                <w:szCs w:val="22"/>
              </w:rPr>
              <w:t xml:space="preserve"> instruments</w:t>
            </w:r>
            <w:r w:rsidR="00870AAC">
              <w:rPr>
                <w:kern w:val="22"/>
                <w:szCs w:val="22"/>
              </w:rPr>
              <w:t>;</w:t>
            </w:r>
          </w:p>
          <w:p w14:paraId="0D24869F" w14:textId="77777777" w:rsidR="00D44EAC" w:rsidRPr="00BF765B" w:rsidRDefault="00D44EAC" w:rsidP="00BD2C12">
            <w:pPr>
              <w:numPr>
                <w:ilvl w:val="2"/>
                <w:numId w:val="31"/>
              </w:numPr>
              <w:jc w:val="left"/>
              <w:rPr>
                <w:kern w:val="22"/>
                <w:szCs w:val="22"/>
              </w:rPr>
            </w:pPr>
            <w:r>
              <w:rPr>
                <w:kern w:val="22"/>
                <w:szCs w:val="22"/>
              </w:rPr>
              <w:t>Support the development of n</w:t>
            </w:r>
            <w:r w:rsidRPr="00577298">
              <w:rPr>
                <w:kern w:val="22"/>
                <w:szCs w:val="22"/>
              </w:rPr>
              <w:t>ational mechanisms for the participation of indigenous peoples and local communities in</w:t>
            </w:r>
            <w:r>
              <w:rPr>
                <w:kern w:val="22"/>
                <w:szCs w:val="22"/>
              </w:rPr>
              <w:t xml:space="preserve"> </w:t>
            </w:r>
            <w:r w:rsidRPr="00577298">
              <w:rPr>
                <w:kern w:val="22"/>
                <w:szCs w:val="22"/>
              </w:rPr>
              <w:t>the implementation of the provisions of the Protocol related to indigenous peoples and local communities</w:t>
            </w:r>
            <w:r>
              <w:rPr>
                <w:kern w:val="22"/>
                <w:szCs w:val="22"/>
              </w:rPr>
              <w:t xml:space="preserve"> and traditional knowledge associated with genetic resources</w:t>
            </w:r>
            <w:r w:rsidRPr="00BF765B" w:rsidDel="00A64F2E">
              <w:rPr>
                <w:kern w:val="22"/>
                <w:szCs w:val="22"/>
              </w:rPr>
              <w:t>.</w:t>
            </w:r>
          </w:p>
        </w:tc>
      </w:tr>
      <w:tr w:rsidR="00D44EAC" w:rsidRPr="00DD54AB" w14:paraId="7BCF0378" w14:textId="77777777" w:rsidTr="00840F80">
        <w:trPr>
          <w:jc w:val="center"/>
        </w:trPr>
        <w:tc>
          <w:tcPr>
            <w:tcW w:w="3360" w:type="dxa"/>
          </w:tcPr>
          <w:p w14:paraId="268470E3" w14:textId="606F4BD3" w:rsidR="00D44EAC" w:rsidRPr="005E7F86" w:rsidRDefault="00D44EAC" w:rsidP="00335F76">
            <w:pPr>
              <w:tabs>
                <w:tab w:val="left" w:pos="449"/>
              </w:tabs>
              <w:jc w:val="left"/>
              <w:rPr>
                <w:kern w:val="22"/>
                <w:szCs w:val="22"/>
              </w:rPr>
            </w:pPr>
            <w:r>
              <w:rPr>
                <w:kern w:val="22"/>
                <w:szCs w:val="22"/>
              </w:rPr>
              <w:t xml:space="preserve">1.3. Capacity needs and priorities </w:t>
            </w:r>
            <w:r w:rsidR="00B20DD7">
              <w:rPr>
                <w:kern w:val="22"/>
                <w:szCs w:val="22"/>
              </w:rPr>
              <w:t>for</w:t>
            </w:r>
            <w:r>
              <w:rPr>
                <w:kern w:val="22"/>
                <w:szCs w:val="22"/>
              </w:rPr>
              <w:t xml:space="preserve"> implement</w:t>
            </w:r>
            <w:r w:rsidR="00365818">
              <w:rPr>
                <w:kern w:val="22"/>
                <w:szCs w:val="22"/>
              </w:rPr>
              <w:t>ing</w:t>
            </w:r>
            <w:r>
              <w:rPr>
                <w:kern w:val="22"/>
                <w:szCs w:val="22"/>
              </w:rPr>
              <w:t xml:space="preserve"> the Protocol are assessed </w:t>
            </w:r>
          </w:p>
        </w:tc>
        <w:tc>
          <w:tcPr>
            <w:tcW w:w="9810" w:type="dxa"/>
          </w:tcPr>
          <w:p w14:paraId="41EB69BD" w14:textId="69F03B01" w:rsidR="00D44EAC" w:rsidRDefault="00D44EAC" w:rsidP="00BD2C12">
            <w:pPr>
              <w:numPr>
                <w:ilvl w:val="2"/>
                <w:numId w:val="38"/>
              </w:numPr>
              <w:jc w:val="left"/>
              <w:rPr>
                <w:kern w:val="22"/>
                <w:szCs w:val="22"/>
              </w:rPr>
            </w:pPr>
            <w:r>
              <w:rPr>
                <w:kern w:val="22"/>
                <w:szCs w:val="22"/>
              </w:rPr>
              <w:t xml:space="preserve">Take stock </w:t>
            </w:r>
            <w:r w:rsidRPr="00F3620E">
              <w:rPr>
                <w:kern w:val="22"/>
                <w:szCs w:val="22"/>
              </w:rPr>
              <w:t xml:space="preserve">and assess </w:t>
            </w:r>
            <w:r>
              <w:rPr>
                <w:kern w:val="22"/>
                <w:szCs w:val="22"/>
              </w:rPr>
              <w:t xml:space="preserve">expertise and </w:t>
            </w:r>
            <w:r w:rsidRPr="00F3620E">
              <w:rPr>
                <w:kern w:val="22"/>
                <w:szCs w:val="22"/>
              </w:rPr>
              <w:t xml:space="preserve">needs </w:t>
            </w:r>
            <w:r>
              <w:rPr>
                <w:kern w:val="22"/>
                <w:szCs w:val="22"/>
              </w:rPr>
              <w:t>of actors for the implementation of the Protocol</w:t>
            </w:r>
            <w:r w:rsidR="00870AAC">
              <w:rPr>
                <w:kern w:val="22"/>
                <w:szCs w:val="22"/>
              </w:rPr>
              <w:t>;</w:t>
            </w:r>
          </w:p>
          <w:p w14:paraId="7F44571E" w14:textId="6EE2FFE3" w:rsidR="00D44EAC" w:rsidRPr="005E7F86" w:rsidRDefault="00D44EAC" w:rsidP="00BD2C12">
            <w:pPr>
              <w:numPr>
                <w:ilvl w:val="2"/>
                <w:numId w:val="38"/>
              </w:numPr>
              <w:jc w:val="left"/>
              <w:rPr>
                <w:kern w:val="22"/>
                <w:szCs w:val="22"/>
              </w:rPr>
            </w:pPr>
            <w:r>
              <w:rPr>
                <w:kern w:val="22"/>
                <w:szCs w:val="22"/>
              </w:rPr>
              <w:t xml:space="preserve">Provide </w:t>
            </w:r>
            <w:r w:rsidR="0035517C">
              <w:rPr>
                <w:kern w:val="22"/>
                <w:szCs w:val="22"/>
              </w:rPr>
              <w:t xml:space="preserve">guidance, </w:t>
            </w:r>
            <w:r>
              <w:rPr>
                <w:kern w:val="22"/>
                <w:szCs w:val="22"/>
              </w:rPr>
              <w:t xml:space="preserve">training </w:t>
            </w:r>
            <w:r w:rsidR="004C21F5">
              <w:rPr>
                <w:kern w:val="22"/>
                <w:szCs w:val="22"/>
              </w:rPr>
              <w:t xml:space="preserve">or </w:t>
            </w:r>
            <w:r>
              <w:rPr>
                <w:kern w:val="22"/>
                <w:szCs w:val="22"/>
              </w:rPr>
              <w:t xml:space="preserve">technical assistance </w:t>
            </w:r>
            <w:r w:rsidR="00365818">
              <w:rPr>
                <w:kern w:val="22"/>
                <w:szCs w:val="22"/>
              </w:rPr>
              <w:t>in</w:t>
            </w:r>
            <w:r>
              <w:rPr>
                <w:kern w:val="22"/>
                <w:szCs w:val="22"/>
              </w:rPr>
              <w:t xml:space="preserve"> carry</w:t>
            </w:r>
            <w:r w:rsidR="00365818">
              <w:rPr>
                <w:kern w:val="22"/>
                <w:szCs w:val="22"/>
              </w:rPr>
              <w:t>ing</w:t>
            </w:r>
            <w:r>
              <w:rPr>
                <w:kern w:val="22"/>
                <w:szCs w:val="22"/>
              </w:rPr>
              <w:t xml:space="preserve"> out assessment of capacity needs and priorities</w:t>
            </w:r>
            <w:r w:rsidR="00A354C5">
              <w:rPr>
                <w:kern w:val="22"/>
                <w:szCs w:val="22"/>
              </w:rPr>
              <w:t xml:space="preserve">, </w:t>
            </w:r>
            <w:r>
              <w:rPr>
                <w:kern w:val="22"/>
                <w:szCs w:val="22"/>
              </w:rPr>
              <w:t xml:space="preserve">including those of indigenous peoples and local communities and relevant stakeholders, </w:t>
            </w:r>
            <w:r w:rsidR="008F2409">
              <w:rPr>
                <w:kern w:val="22"/>
                <w:szCs w:val="22"/>
              </w:rPr>
              <w:t xml:space="preserve">as </w:t>
            </w:r>
            <w:r>
              <w:rPr>
                <w:kern w:val="22"/>
                <w:szCs w:val="22"/>
              </w:rPr>
              <w:t>identified by them</w:t>
            </w:r>
            <w:r w:rsidR="008F2409">
              <w:rPr>
                <w:kern w:val="22"/>
                <w:szCs w:val="22"/>
              </w:rPr>
              <w:t>,</w:t>
            </w:r>
            <w:r>
              <w:rPr>
                <w:kern w:val="22"/>
                <w:szCs w:val="22"/>
              </w:rPr>
              <w:t xml:space="preserve"> and emphasizing the capacity needs and priorities of women and youth.</w:t>
            </w:r>
          </w:p>
        </w:tc>
      </w:tr>
      <w:tr w:rsidR="00D44EAC" w:rsidRPr="00DD54AB" w14:paraId="67FDBC94" w14:textId="77777777" w:rsidTr="00840F80">
        <w:trPr>
          <w:jc w:val="center"/>
        </w:trPr>
        <w:tc>
          <w:tcPr>
            <w:tcW w:w="3360" w:type="dxa"/>
          </w:tcPr>
          <w:p w14:paraId="4FC5103F" w14:textId="157F8D72" w:rsidR="00D44EAC" w:rsidRPr="00BF765B" w:rsidRDefault="00D44EAC" w:rsidP="00335F76">
            <w:pPr>
              <w:tabs>
                <w:tab w:val="left" w:pos="449"/>
              </w:tabs>
              <w:jc w:val="left"/>
              <w:rPr>
                <w:kern w:val="22"/>
                <w:szCs w:val="22"/>
              </w:rPr>
            </w:pPr>
            <w:r w:rsidRPr="00BF765B">
              <w:rPr>
                <w:kern w:val="22"/>
                <w:szCs w:val="22"/>
              </w:rPr>
              <w:lastRenderedPageBreak/>
              <w:t>1.</w:t>
            </w:r>
            <w:r>
              <w:rPr>
                <w:kern w:val="22"/>
                <w:szCs w:val="22"/>
              </w:rPr>
              <w:t>4</w:t>
            </w:r>
            <w:r w:rsidRPr="00BF765B" w:rsidDel="004A4B62">
              <w:rPr>
                <w:kern w:val="22"/>
                <w:szCs w:val="22"/>
              </w:rPr>
              <w:t>.</w:t>
            </w:r>
            <w:r w:rsidRPr="00BF765B">
              <w:rPr>
                <w:kern w:val="22"/>
                <w:szCs w:val="22"/>
              </w:rPr>
              <w:t xml:space="preserve"> New and innovative financial resources </w:t>
            </w:r>
            <w:r w:rsidR="004C5631">
              <w:rPr>
                <w:kern w:val="22"/>
                <w:szCs w:val="22"/>
              </w:rPr>
              <w:t>for</w:t>
            </w:r>
            <w:r w:rsidRPr="00BF765B">
              <w:rPr>
                <w:kern w:val="22"/>
                <w:szCs w:val="22"/>
              </w:rPr>
              <w:t xml:space="preserve"> implement</w:t>
            </w:r>
            <w:r w:rsidR="004C5631">
              <w:rPr>
                <w:kern w:val="22"/>
                <w:szCs w:val="22"/>
              </w:rPr>
              <w:t>ing</w:t>
            </w:r>
            <w:r w:rsidRPr="00BF765B">
              <w:rPr>
                <w:kern w:val="22"/>
                <w:szCs w:val="22"/>
              </w:rPr>
              <w:t xml:space="preserve"> the Protocol are mobilized </w:t>
            </w:r>
          </w:p>
        </w:tc>
        <w:tc>
          <w:tcPr>
            <w:tcW w:w="9810" w:type="dxa"/>
            <w:shd w:val="clear" w:color="auto" w:fill="auto"/>
          </w:tcPr>
          <w:p w14:paraId="560D3241" w14:textId="59620A21" w:rsidR="00D44EAC" w:rsidRPr="001362C8" w:rsidRDefault="00D44EAC" w:rsidP="00BD2C12">
            <w:pPr>
              <w:numPr>
                <w:ilvl w:val="2"/>
                <w:numId w:val="32"/>
              </w:numPr>
              <w:jc w:val="left"/>
              <w:rPr>
                <w:kern w:val="22"/>
                <w:szCs w:val="22"/>
              </w:rPr>
            </w:pPr>
            <w:r>
              <w:rPr>
                <w:kern w:val="22"/>
                <w:szCs w:val="22"/>
              </w:rPr>
              <w:t>Provide</w:t>
            </w:r>
            <w:r w:rsidRPr="00BF765B">
              <w:rPr>
                <w:kern w:val="22"/>
                <w:szCs w:val="22"/>
              </w:rPr>
              <w:t xml:space="preserve"> </w:t>
            </w:r>
            <w:r w:rsidR="007239C8">
              <w:rPr>
                <w:kern w:val="22"/>
                <w:szCs w:val="22"/>
              </w:rPr>
              <w:t xml:space="preserve">guidance and </w:t>
            </w:r>
            <w:r w:rsidRPr="00BF765B">
              <w:rPr>
                <w:kern w:val="22"/>
                <w:szCs w:val="22"/>
              </w:rPr>
              <w:t>training on resource mobilization skills (</w:t>
            </w:r>
            <w:r w:rsidR="00E772D1">
              <w:rPr>
                <w:kern w:val="22"/>
                <w:szCs w:val="22"/>
              </w:rPr>
              <w:t>for example,</w:t>
            </w:r>
            <w:r w:rsidRPr="00BF765B">
              <w:rPr>
                <w:kern w:val="22"/>
                <w:szCs w:val="22"/>
              </w:rPr>
              <w:t xml:space="preserve"> project development, fundraising and resource recovery)</w:t>
            </w:r>
            <w:r w:rsidR="00870AAC">
              <w:rPr>
                <w:kern w:val="22"/>
                <w:szCs w:val="22"/>
              </w:rPr>
              <w:t>;</w:t>
            </w:r>
          </w:p>
          <w:p w14:paraId="534DBAA2" w14:textId="494ABC98" w:rsidR="00D44EAC" w:rsidRPr="001362C8" w:rsidRDefault="00D44EAC" w:rsidP="00BD2C12">
            <w:pPr>
              <w:numPr>
                <w:ilvl w:val="2"/>
                <w:numId w:val="32"/>
              </w:numPr>
              <w:jc w:val="left"/>
              <w:rPr>
                <w:kern w:val="22"/>
                <w:szCs w:val="22"/>
              </w:rPr>
            </w:pPr>
            <w:r w:rsidRPr="001362C8">
              <w:rPr>
                <w:kern w:val="22"/>
                <w:szCs w:val="22"/>
              </w:rPr>
              <w:t>Provide</w:t>
            </w:r>
            <w:r w:rsidR="00BF24C9">
              <w:rPr>
                <w:kern w:val="22"/>
                <w:szCs w:val="22"/>
              </w:rPr>
              <w:t xml:space="preserve"> </w:t>
            </w:r>
            <w:r w:rsidR="0069761D">
              <w:rPr>
                <w:kern w:val="22"/>
                <w:szCs w:val="22"/>
              </w:rPr>
              <w:t xml:space="preserve">guidance, </w:t>
            </w:r>
            <w:r w:rsidR="00BF24C9">
              <w:rPr>
                <w:kern w:val="22"/>
                <w:szCs w:val="22"/>
              </w:rPr>
              <w:t xml:space="preserve">training </w:t>
            </w:r>
            <w:r w:rsidR="000678B0">
              <w:rPr>
                <w:kern w:val="22"/>
                <w:szCs w:val="22"/>
              </w:rPr>
              <w:t>or</w:t>
            </w:r>
            <w:r w:rsidRPr="001362C8">
              <w:rPr>
                <w:kern w:val="22"/>
                <w:szCs w:val="22"/>
              </w:rPr>
              <w:t xml:space="preserve"> technical assistance for the development of national resource mobilization strategies.</w:t>
            </w:r>
          </w:p>
        </w:tc>
      </w:tr>
      <w:tr w:rsidR="00D44EAC" w:rsidRPr="00DD54AB" w14:paraId="4D715FEB" w14:textId="77777777" w:rsidTr="00840F80">
        <w:trPr>
          <w:jc w:val="center"/>
        </w:trPr>
        <w:tc>
          <w:tcPr>
            <w:tcW w:w="3360" w:type="dxa"/>
          </w:tcPr>
          <w:p w14:paraId="0C3870E8" w14:textId="77777777" w:rsidR="00D44EAC" w:rsidRDefault="00D44EAC" w:rsidP="00335F76">
            <w:pPr>
              <w:tabs>
                <w:tab w:val="left" w:pos="449"/>
              </w:tabs>
              <w:jc w:val="left"/>
              <w:rPr>
                <w:szCs w:val="22"/>
              </w:rPr>
            </w:pPr>
            <w:r>
              <w:rPr>
                <w:szCs w:val="22"/>
              </w:rPr>
              <w:t>1.5.</w:t>
            </w:r>
            <w:r w:rsidRPr="00190E83">
              <w:rPr>
                <w:szCs w:val="22"/>
              </w:rPr>
              <w:t xml:space="preserve"> </w:t>
            </w:r>
            <w:r>
              <w:rPr>
                <w:szCs w:val="22"/>
              </w:rPr>
              <w:t>Reporting obligations under the Protocol and the Kunming-Montreal Global Biodiversity Framework are fulfilled</w:t>
            </w:r>
          </w:p>
          <w:p w14:paraId="6C502069" w14:textId="77777777" w:rsidR="00D44EAC" w:rsidRPr="00BF765B" w:rsidRDefault="00D44EAC" w:rsidP="00335F76">
            <w:pPr>
              <w:tabs>
                <w:tab w:val="left" w:pos="449"/>
              </w:tabs>
              <w:jc w:val="left"/>
              <w:rPr>
                <w:kern w:val="22"/>
                <w:szCs w:val="22"/>
              </w:rPr>
            </w:pPr>
          </w:p>
        </w:tc>
        <w:tc>
          <w:tcPr>
            <w:tcW w:w="9810" w:type="dxa"/>
            <w:shd w:val="clear" w:color="auto" w:fill="auto"/>
          </w:tcPr>
          <w:p w14:paraId="58F85BD2" w14:textId="07B8AA2F" w:rsidR="00D44EAC" w:rsidRPr="00E27CFC" w:rsidRDefault="00D44EAC" w:rsidP="00BD2C12">
            <w:pPr>
              <w:numPr>
                <w:ilvl w:val="2"/>
                <w:numId w:val="18"/>
              </w:numPr>
              <w:jc w:val="left"/>
              <w:rPr>
                <w:kern w:val="22"/>
                <w:szCs w:val="22"/>
              </w:rPr>
            </w:pPr>
            <w:r w:rsidRPr="00E27CFC">
              <w:rPr>
                <w:kern w:val="22"/>
                <w:szCs w:val="22"/>
              </w:rPr>
              <w:t xml:space="preserve">Support the collection of national information to measure progress on the sharing of monetary and non-monetary benefits in accordance with internationally agreed methodologies to monitor and report on Target 13 </w:t>
            </w:r>
            <w:r>
              <w:rPr>
                <w:kern w:val="22"/>
                <w:szCs w:val="22"/>
              </w:rPr>
              <w:t xml:space="preserve">and </w:t>
            </w:r>
            <w:r w:rsidRPr="00E27CFC">
              <w:rPr>
                <w:kern w:val="22"/>
                <w:szCs w:val="22"/>
              </w:rPr>
              <w:t>Goal C of the Kunming-Montreal Global Biodiversity Framework</w:t>
            </w:r>
            <w:r w:rsidR="00E772D1">
              <w:rPr>
                <w:kern w:val="22"/>
                <w:szCs w:val="22"/>
              </w:rPr>
              <w:t>,</w:t>
            </w:r>
            <w:r>
              <w:rPr>
                <w:kern w:val="22"/>
                <w:szCs w:val="22"/>
              </w:rPr>
              <w:t xml:space="preserve"> including through the development of information systems</w:t>
            </w:r>
            <w:r w:rsidR="00870AAC">
              <w:rPr>
                <w:kern w:val="22"/>
                <w:szCs w:val="22"/>
              </w:rPr>
              <w:t>;</w:t>
            </w:r>
          </w:p>
          <w:p w14:paraId="4AE774E9" w14:textId="212B8B47" w:rsidR="00D44EAC" w:rsidRPr="00342D7D" w:rsidRDefault="00D44EAC" w:rsidP="00BD2C12">
            <w:pPr>
              <w:numPr>
                <w:ilvl w:val="2"/>
                <w:numId w:val="18"/>
              </w:numPr>
              <w:jc w:val="left"/>
              <w:rPr>
                <w:kern w:val="22"/>
                <w:szCs w:val="22"/>
              </w:rPr>
            </w:pPr>
            <w:r w:rsidRPr="00E27CFC">
              <w:rPr>
                <w:kern w:val="22"/>
                <w:szCs w:val="22"/>
              </w:rPr>
              <w:t xml:space="preserve">Support the preparation of national reports and publish them on the </w:t>
            </w:r>
            <w:r>
              <w:rPr>
                <w:kern w:val="22"/>
                <w:szCs w:val="22"/>
              </w:rPr>
              <w:t>Access and Benefit-sharing</w:t>
            </w:r>
            <w:r w:rsidRPr="00E27CFC">
              <w:rPr>
                <w:kern w:val="22"/>
                <w:szCs w:val="22"/>
              </w:rPr>
              <w:t xml:space="preserve"> Clearing-House</w:t>
            </w:r>
            <w:r w:rsidR="00870AAC">
              <w:rPr>
                <w:kern w:val="22"/>
                <w:szCs w:val="22"/>
              </w:rPr>
              <w:t>;</w:t>
            </w:r>
          </w:p>
          <w:p w14:paraId="2C7CDE85" w14:textId="45C136C4" w:rsidR="00D44EAC" w:rsidRPr="00D35D11" w:rsidRDefault="00D44EAC" w:rsidP="00BD2C12">
            <w:pPr>
              <w:numPr>
                <w:ilvl w:val="2"/>
                <w:numId w:val="18"/>
              </w:numPr>
              <w:jc w:val="left"/>
            </w:pPr>
            <w:r w:rsidRPr="774ED644">
              <w:rPr>
                <w:kern w:val="22"/>
              </w:rPr>
              <w:t>Support the regular</w:t>
            </w:r>
            <w:r w:rsidRPr="00A64710">
              <w:rPr>
                <w:kern w:val="22"/>
                <w:szCs w:val="22"/>
              </w:rPr>
              <w:t xml:space="preserve"> </w:t>
            </w:r>
            <w:r w:rsidRPr="774ED644">
              <w:rPr>
                <w:kern w:val="22"/>
              </w:rPr>
              <w:t>collection and analysis of</w:t>
            </w:r>
            <w:r w:rsidRPr="00A64710">
              <w:rPr>
                <w:kern w:val="22"/>
                <w:szCs w:val="22"/>
              </w:rPr>
              <w:t xml:space="preserve"> </w:t>
            </w:r>
            <w:r w:rsidRPr="774ED644">
              <w:rPr>
                <w:kern w:val="22"/>
              </w:rPr>
              <w:t>national data on the implementation of the Nagoya Protocol to monitor progress, identify challenges and lessons learned</w:t>
            </w:r>
            <w:r w:rsidRPr="00A64710">
              <w:rPr>
                <w:kern w:val="22"/>
                <w:szCs w:val="22"/>
              </w:rPr>
              <w:t xml:space="preserve"> </w:t>
            </w:r>
            <w:r w:rsidR="720146E3" w:rsidRPr="00A64710">
              <w:rPr>
                <w:kern w:val="22"/>
                <w:szCs w:val="22"/>
              </w:rPr>
              <w:t xml:space="preserve">and good practices </w:t>
            </w:r>
            <w:r w:rsidRPr="774ED644">
              <w:rPr>
                <w:kern w:val="22"/>
              </w:rPr>
              <w:t>to advance implementation.</w:t>
            </w:r>
          </w:p>
        </w:tc>
      </w:tr>
    </w:tbl>
    <w:p w14:paraId="11799EC7" w14:textId="77777777" w:rsidR="00D44EAC" w:rsidRDefault="00D44EAC" w:rsidP="00D44EAC"/>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0065"/>
      </w:tblGrid>
      <w:tr w:rsidR="00D44EAC" w:rsidRPr="00372A69" w14:paraId="2AE17D40" w14:textId="77777777" w:rsidTr="005B1DF0">
        <w:trPr>
          <w:jc w:val="center"/>
        </w:trPr>
        <w:tc>
          <w:tcPr>
            <w:tcW w:w="13462" w:type="dxa"/>
            <w:gridSpan w:val="2"/>
          </w:tcPr>
          <w:p w14:paraId="01CCFB0F" w14:textId="77777777" w:rsidR="00D44EAC" w:rsidRDefault="00D44EAC" w:rsidP="00335F76">
            <w:pPr>
              <w:spacing w:before="120" w:after="120"/>
              <w:rPr>
                <w:b/>
                <w:bCs/>
                <w:kern w:val="22"/>
                <w:szCs w:val="22"/>
              </w:rPr>
            </w:pPr>
            <w:r w:rsidRPr="009841A0">
              <w:rPr>
                <w:b/>
                <w:bCs/>
                <w:kern w:val="22"/>
                <w:szCs w:val="22"/>
              </w:rPr>
              <w:t>Outcome area 2: Strengthened capacity to develop, implement and enforce domestic legislative, administrative or policy measures on access and benefit-sharing</w:t>
            </w:r>
          </w:p>
          <w:p w14:paraId="2FC81BDB" w14:textId="5047DB5B" w:rsidR="00D44EAC" w:rsidRPr="00C27DAB" w:rsidRDefault="00FB4BBC" w:rsidP="00335F76">
            <w:pPr>
              <w:spacing w:before="120" w:after="120"/>
              <w:rPr>
                <w:i/>
                <w:iCs/>
                <w:kern w:val="22"/>
              </w:rPr>
            </w:pPr>
            <w:r>
              <w:rPr>
                <w:i/>
                <w:iCs/>
                <w:kern w:val="22"/>
              </w:rPr>
              <w:t>O</w:t>
            </w:r>
            <w:r w:rsidR="00D44EAC" w:rsidRPr="774ED644">
              <w:rPr>
                <w:i/>
                <w:iCs/>
                <w:kern w:val="22"/>
              </w:rPr>
              <w:t xml:space="preserve">utcome area </w:t>
            </w:r>
            <w:r>
              <w:rPr>
                <w:i/>
                <w:iCs/>
                <w:kern w:val="22"/>
              </w:rPr>
              <w:t xml:space="preserve">2 </w:t>
            </w:r>
            <w:r w:rsidR="00D44EAC" w:rsidRPr="774ED644">
              <w:rPr>
                <w:i/>
                <w:iCs/>
                <w:kern w:val="22"/>
              </w:rPr>
              <w:t>aims to</w:t>
            </w:r>
            <w:r>
              <w:rPr>
                <w:i/>
                <w:iCs/>
                <w:kern w:val="22"/>
              </w:rPr>
              <w:t>wards</w:t>
            </w:r>
            <w:r w:rsidR="00D44EAC" w:rsidRPr="774ED644">
              <w:rPr>
                <w:i/>
                <w:iCs/>
                <w:kern w:val="22"/>
              </w:rPr>
              <w:t xml:space="preserve"> strengthen</w:t>
            </w:r>
            <w:r>
              <w:rPr>
                <w:i/>
                <w:iCs/>
                <w:kern w:val="22"/>
              </w:rPr>
              <w:t>ing</w:t>
            </w:r>
            <w:r w:rsidR="00D44EAC" w:rsidRPr="774ED644">
              <w:rPr>
                <w:i/>
                <w:iCs/>
                <w:kern w:val="22"/>
              </w:rPr>
              <w:t xml:space="preserve"> the capacities of Parties to operationalize the Nagoya Protocol at the national level through the development, implementation, revision and enforcement of domestic policy frameworks</w:t>
            </w:r>
            <w:r w:rsidR="00CE77CA">
              <w:rPr>
                <w:i/>
                <w:iCs/>
                <w:kern w:val="22"/>
              </w:rPr>
              <w:t xml:space="preserve"> and</w:t>
            </w:r>
            <w:r w:rsidR="00D44EAC" w:rsidRPr="774ED644">
              <w:rPr>
                <w:i/>
                <w:iCs/>
                <w:kern w:val="22"/>
              </w:rPr>
              <w:t xml:space="preserve"> legislative, administrative or policy measures. Expected outputs relate to measures, institutional arrangements, procedures, permitting systems</w:t>
            </w:r>
            <w:r w:rsidR="2A3F95B1" w:rsidRPr="774ED644">
              <w:rPr>
                <w:i/>
                <w:iCs/>
                <w:kern w:val="22"/>
              </w:rPr>
              <w:t>, checkpoints</w:t>
            </w:r>
            <w:r w:rsidR="00D44EAC" w:rsidRPr="774ED644">
              <w:rPr>
                <w:i/>
                <w:iCs/>
                <w:kern w:val="22"/>
              </w:rPr>
              <w:t xml:space="preserve"> and the Access and Benefit-sharing Clearing-House.</w:t>
            </w:r>
          </w:p>
        </w:tc>
      </w:tr>
      <w:tr w:rsidR="00D44EAC" w:rsidRPr="00372A69" w14:paraId="3A0B33BB" w14:textId="77777777" w:rsidTr="005B1DF0">
        <w:trPr>
          <w:jc w:val="center"/>
        </w:trPr>
        <w:tc>
          <w:tcPr>
            <w:tcW w:w="3397" w:type="dxa"/>
          </w:tcPr>
          <w:p w14:paraId="278EBED1" w14:textId="77777777" w:rsidR="00D44EAC" w:rsidRPr="009841A0" w:rsidRDefault="00D44EAC" w:rsidP="00335F76">
            <w:pPr>
              <w:rPr>
                <w:b/>
                <w:bCs/>
                <w:kern w:val="22"/>
                <w:szCs w:val="22"/>
              </w:rPr>
            </w:pPr>
            <w:r w:rsidRPr="009841A0">
              <w:rPr>
                <w:b/>
                <w:bCs/>
                <w:kern w:val="22"/>
                <w:szCs w:val="22"/>
              </w:rPr>
              <w:t>Outputs</w:t>
            </w:r>
          </w:p>
        </w:tc>
        <w:tc>
          <w:tcPr>
            <w:tcW w:w="10065" w:type="dxa"/>
          </w:tcPr>
          <w:p w14:paraId="2A3B251B" w14:textId="77777777" w:rsidR="00D44EAC" w:rsidRPr="009841A0" w:rsidRDefault="00D44EAC" w:rsidP="00335F76">
            <w:pPr>
              <w:rPr>
                <w:b/>
                <w:bCs/>
                <w:kern w:val="22"/>
                <w:szCs w:val="22"/>
              </w:rPr>
            </w:pPr>
            <w:r w:rsidRPr="009841A0">
              <w:rPr>
                <w:b/>
                <w:bCs/>
                <w:kern w:val="22"/>
                <w:szCs w:val="22"/>
              </w:rPr>
              <w:t>Indicative capacity-building and development activities</w:t>
            </w:r>
          </w:p>
        </w:tc>
      </w:tr>
      <w:tr w:rsidR="00D44EAC" w:rsidRPr="00372A69" w14:paraId="2A5A6A43" w14:textId="77777777" w:rsidTr="005B1DF0">
        <w:trPr>
          <w:jc w:val="center"/>
        </w:trPr>
        <w:tc>
          <w:tcPr>
            <w:tcW w:w="3397" w:type="dxa"/>
          </w:tcPr>
          <w:p w14:paraId="5ACC6C3E" w14:textId="6FB7206D" w:rsidR="00D44EAC" w:rsidRPr="00635069" w:rsidRDefault="00D44EAC" w:rsidP="00335F76">
            <w:pPr>
              <w:tabs>
                <w:tab w:val="left" w:pos="449"/>
              </w:tabs>
              <w:jc w:val="left"/>
              <w:rPr>
                <w:kern w:val="22"/>
                <w:szCs w:val="22"/>
              </w:rPr>
            </w:pPr>
            <w:r w:rsidRPr="008E44FC">
              <w:rPr>
                <w:rStyle w:val="normaltextrun"/>
                <w:color w:val="000000"/>
                <w:szCs w:val="22"/>
                <w:shd w:val="clear" w:color="auto" w:fill="FFFFFF"/>
              </w:rPr>
              <w:t>2</w:t>
            </w:r>
            <w:r w:rsidRPr="005A1FC4">
              <w:rPr>
                <w:rStyle w:val="normaltextrun"/>
                <w:color w:val="000000"/>
                <w:szCs w:val="22"/>
                <w:shd w:val="clear" w:color="auto" w:fill="FFFFFF"/>
              </w:rPr>
              <w:t>.1. A</w:t>
            </w:r>
            <w:r>
              <w:rPr>
                <w:rStyle w:val="normaltextrun"/>
                <w:color w:val="000000"/>
                <w:szCs w:val="22"/>
                <w:shd w:val="clear" w:color="auto" w:fill="FFFFFF"/>
              </w:rPr>
              <w:t xml:space="preserve"> domestic</w:t>
            </w:r>
            <w:r w:rsidRPr="005A1FC4" w:rsidDel="00C41FA9">
              <w:rPr>
                <w:rStyle w:val="normaltextrun"/>
                <w:color w:val="000000"/>
                <w:szCs w:val="22"/>
                <w:shd w:val="clear" w:color="auto" w:fill="FFFFFF"/>
              </w:rPr>
              <w:t xml:space="preserve"> </w:t>
            </w:r>
            <w:r w:rsidRPr="005A1FC4">
              <w:rPr>
                <w:rStyle w:val="normaltextrun"/>
                <w:color w:val="000000"/>
                <w:szCs w:val="22"/>
                <w:shd w:val="clear" w:color="auto" w:fill="FFFFFF"/>
              </w:rPr>
              <w:t xml:space="preserve">policy framework on access and benefit-sharing is in place and </w:t>
            </w:r>
            <w:r w:rsidR="00CE77CA">
              <w:rPr>
                <w:rStyle w:val="normaltextrun"/>
                <w:color w:val="000000"/>
                <w:szCs w:val="22"/>
                <w:shd w:val="clear" w:color="auto" w:fill="FFFFFF"/>
              </w:rPr>
              <w:t>has been</w:t>
            </w:r>
            <w:r w:rsidR="00BF42A5">
              <w:rPr>
                <w:rStyle w:val="normaltextrun"/>
                <w:color w:val="000000"/>
                <w:szCs w:val="22"/>
                <w:shd w:val="clear" w:color="auto" w:fill="FFFFFF"/>
              </w:rPr>
              <w:t xml:space="preserve"> </w:t>
            </w:r>
            <w:r w:rsidRPr="005A1FC4">
              <w:rPr>
                <w:rStyle w:val="normaltextrun"/>
                <w:color w:val="000000"/>
                <w:szCs w:val="22"/>
                <w:shd w:val="clear" w:color="auto" w:fill="FFFFFF"/>
              </w:rPr>
              <w:t>published on the Access and Benefit-sharing Clearing House</w:t>
            </w:r>
            <w:r w:rsidRPr="00635069">
              <w:rPr>
                <w:rStyle w:val="eop"/>
                <w:color w:val="000000"/>
                <w:szCs w:val="22"/>
                <w:shd w:val="clear" w:color="auto" w:fill="FFFFFF"/>
              </w:rPr>
              <w:t> </w:t>
            </w:r>
          </w:p>
        </w:tc>
        <w:tc>
          <w:tcPr>
            <w:tcW w:w="10065" w:type="dxa"/>
          </w:tcPr>
          <w:p w14:paraId="6F616228" w14:textId="330990FD" w:rsidR="00D44EAC" w:rsidRDefault="00D44EAC" w:rsidP="00BD2C12">
            <w:pPr>
              <w:numPr>
                <w:ilvl w:val="2"/>
                <w:numId w:val="14"/>
              </w:numPr>
              <w:jc w:val="left"/>
              <w:rPr>
                <w:kern w:val="22"/>
                <w:szCs w:val="22"/>
              </w:rPr>
            </w:pPr>
            <w:r w:rsidRPr="00635069">
              <w:rPr>
                <w:kern w:val="22"/>
                <w:szCs w:val="22"/>
              </w:rPr>
              <w:t>Support the development of national target</w:t>
            </w:r>
            <w:r>
              <w:rPr>
                <w:kern w:val="22"/>
                <w:szCs w:val="22"/>
              </w:rPr>
              <w:t>s</w:t>
            </w:r>
            <w:r w:rsidRPr="00635069">
              <w:rPr>
                <w:kern w:val="22"/>
                <w:szCs w:val="22"/>
              </w:rPr>
              <w:t xml:space="preserve"> and plans to meet Target 13 and Goal C of the Kunming-Montreal Global Biodiversity Framework, including through the national biodiversity strategy and action plan </w:t>
            </w:r>
            <w:r>
              <w:rPr>
                <w:kern w:val="22"/>
                <w:szCs w:val="22"/>
              </w:rPr>
              <w:t xml:space="preserve">revision </w:t>
            </w:r>
            <w:r w:rsidRPr="00635069">
              <w:rPr>
                <w:kern w:val="22"/>
                <w:szCs w:val="22"/>
              </w:rPr>
              <w:t>process</w:t>
            </w:r>
            <w:r w:rsidR="00870AAC">
              <w:rPr>
                <w:kern w:val="22"/>
                <w:szCs w:val="22"/>
              </w:rPr>
              <w:t>;</w:t>
            </w:r>
          </w:p>
          <w:p w14:paraId="05FF9E5B" w14:textId="5F63E4CA" w:rsidR="00D44EAC" w:rsidRPr="005A1FC4" w:rsidRDefault="00D44EAC" w:rsidP="00BD2C12">
            <w:pPr>
              <w:numPr>
                <w:ilvl w:val="2"/>
                <w:numId w:val="14"/>
              </w:numPr>
              <w:jc w:val="left"/>
            </w:pPr>
            <w:r w:rsidRPr="774ED644">
              <w:rPr>
                <w:kern w:val="22"/>
              </w:rPr>
              <w:t>Take stock of existing policy frameworks relevant to access and benefit-sharing with a view to ensur</w:t>
            </w:r>
            <w:r w:rsidR="00BF42A5">
              <w:rPr>
                <w:kern w:val="22"/>
              </w:rPr>
              <w:t>ing</w:t>
            </w:r>
            <w:r w:rsidRPr="774ED644">
              <w:rPr>
                <w:kern w:val="22"/>
              </w:rPr>
              <w:t xml:space="preserve"> consistency, legal clarity and mutual supportiveness</w:t>
            </w:r>
            <w:r w:rsidR="00870AAC">
              <w:rPr>
                <w:kern w:val="22"/>
                <w:szCs w:val="22"/>
              </w:rPr>
              <w:t>;</w:t>
            </w:r>
          </w:p>
          <w:p w14:paraId="3A6ACC6B" w14:textId="3EE30A3E" w:rsidR="00D44EAC" w:rsidRPr="005A1FC4" w:rsidRDefault="00D44EAC" w:rsidP="00BD2C12">
            <w:pPr>
              <w:pStyle w:val="ListParagraph"/>
              <w:numPr>
                <w:ilvl w:val="2"/>
                <w:numId w:val="14"/>
              </w:numPr>
              <w:jc w:val="left"/>
              <w:rPr>
                <w:kern w:val="22"/>
                <w:szCs w:val="22"/>
              </w:rPr>
            </w:pPr>
            <w:r w:rsidRPr="005A1FC4">
              <w:rPr>
                <w:kern w:val="22"/>
                <w:szCs w:val="22"/>
              </w:rPr>
              <w:t>Provide</w:t>
            </w:r>
            <w:r w:rsidR="00C5094E">
              <w:rPr>
                <w:kern w:val="22"/>
                <w:szCs w:val="22"/>
              </w:rPr>
              <w:t xml:space="preserve"> guidance,</w:t>
            </w:r>
            <w:r w:rsidR="00374E38">
              <w:rPr>
                <w:kern w:val="22"/>
                <w:szCs w:val="22"/>
              </w:rPr>
              <w:t xml:space="preserve"> training </w:t>
            </w:r>
            <w:r w:rsidR="005B3384">
              <w:rPr>
                <w:kern w:val="22"/>
                <w:szCs w:val="22"/>
              </w:rPr>
              <w:t>or</w:t>
            </w:r>
            <w:r w:rsidRPr="005A1FC4">
              <w:rPr>
                <w:kern w:val="22"/>
                <w:szCs w:val="22"/>
              </w:rPr>
              <w:t xml:space="preserve"> technical assistance for the development or revision of an </w:t>
            </w:r>
            <w:r>
              <w:rPr>
                <w:kern w:val="22"/>
                <w:szCs w:val="22"/>
              </w:rPr>
              <w:t>access and benefit-sharing</w:t>
            </w:r>
            <w:r w:rsidRPr="005A1FC4">
              <w:rPr>
                <w:kern w:val="22"/>
                <w:szCs w:val="22"/>
              </w:rPr>
              <w:t xml:space="preserve"> policy framework</w:t>
            </w:r>
            <w:r w:rsidR="00870AAC">
              <w:rPr>
                <w:kern w:val="22"/>
                <w:szCs w:val="22"/>
              </w:rPr>
              <w:t>;</w:t>
            </w:r>
          </w:p>
          <w:p w14:paraId="2E310A07" w14:textId="164D0881" w:rsidR="00D44EAC" w:rsidRPr="00342D7D" w:rsidRDefault="00D44EAC" w:rsidP="00BD2C12">
            <w:pPr>
              <w:numPr>
                <w:ilvl w:val="2"/>
                <w:numId w:val="14"/>
              </w:numPr>
              <w:jc w:val="left"/>
              <w:rPr>
                <w:kern w:val="22"/>
                <w:szCs w:val="22"/>
              </w:rPr>
            </w:pPr>
            <w:r w:rsidRPr="00342D7D">
              <w:rPr>
                <w:kern w:val="22"/>
                <w:szCs w:val="22"/>
              </w:rPr>
              <w:t>Develop</w:t>
            </w:r>
            <w:r w:rsidR="000442A1">
              <w:rPr>
                <w:kern w:val="22"/>
                <w:szCs w:val="22"/>
              </w:rPr>
              <w:t>, disseminate</w:t>
            </w:r>
            <w:r w:rsidRPr="00342D7D">
              <w:rPr>
                <w:kern w:val="22"/>
                <w:szCs w:val="22"/>
              </w:rPr>
              <w:t xml:space="preserve"> and</w:t>
            </w:r>
            <w:r w:rsidR="000442A1">
              <w:rPr>
                <w:kern w:val="22"/>
                <w:szCs w:val="22"/>
              </w:rPr>
              <w:t xml:space="preserve"> promote</w:t>
            </w:r>
            <w:r w:rsidRPr="00342D7D">
              <w:rPr>
                <w:kern w:val="22"/>
                <w:szCs w:val="22"/>
              </w:rPr>
              <w:t xml:space="preserve"> use</w:t>
            </w:r>
            <w:r w:rsidR="000442A1">
              <w:rPr>
                <w:kern w:val="22"/>
                <w:szCs w:val="22"/>
              </w:rPr>
              <w:t xml:space="preserve"> of</w:t>
            </w:r>
            <w:r w:rsidRPr="00342D7D">
              <w:rPr>
                <w:kern w:val="22"/>
                <w:szCs w:val="22"/>
              </w:rPr>
              <w:t xml:space="preserve"> tools (</w:t>
            </w:r>
            <w:r w:rsidR="007B3DDD">
              <w:rPr>
                <w:kern w:val="22"/>
                <w:szCs w:val="22"/>
              </w:rPr>
              <w:t>for example,</w:t>
            </w:r>
            <w:r w:rsidRPr="00342D7D">
              <w:rPr>
                <w:kern w:val="22"/>
                <w:szCs w:val="22"/>
              </w:rPr>
              <w:t xml:space="preserve"> guidelines and case studies) to facilitate the integration of access and benefit-sharing considerations into sectoral and cross-sectoral policies and plans. </w:t>
            </w:r>
          </w:p>
        </w:tc>
      </w:tr>
      <w:tr w:rsidR="00D44EAC" w:rsidRPr="00372A69" w14:paraId="7360DF15" w14:textId="77777777" w:rsidTr="005B1DF0">
        <w:trPr>
          <w:jc w:val="center"/>
        </w:trPr>
        <w:tc>
          <w:tcPr>
            <w:tcW w:w="3397" w:type="dxa"/>
          </w:tcPr>
          <w:p w14:paraId="69AB5D43" w14:textId="244BFEA7" w:rsidR="00D44EAC" w:rsidRPr="00070497" w:rsidRDefault="00D44EAC" w:rsidP="00335F76">
            <w:pPr>
              <w:jc w:val="left"/>
              <w:rPr>
                <w:kern w:val="22"/>
                <w:szCs w:val="22"/>
              </w:rPr>
            </w:pPr>
            <w:r w:rsidRPr="00744DC2">
              <w:rPr>
                <w:rStyle w:val="normaltextrun"/>
                <w:color w:val="000000"/>
                <w:szCs w:val="22"/>
                <w:shd w:val="clear" w:color="auto" w:fill="FFFFFF"/>
              </w:rPr>
              <w:t xml:space="preserve">2.2. </w:t>
            </w:r>
            <w:r>
              <w:rPr>
                <w:rStyle w:val="normaltextrun"/>
                <w:color w:val="000000"/>
                <w:szCs w:val="22"/>
                <w:shd w:val="clear" w:color="auto" w:fill="FFFFFF"/>
              </w:rPr>
              <w:t>L</w:t>
            </w:r>
            <w:r w:rsidRPr="00744DC2">
              <w:rPr>
                <w:rStyle w:val="normaltextrun"/>
                <w:color w:val="000000"/>
                <w:szCs w:val="22"/>
                <w:shd w:val="clear" w:color="auto" w:fill="FFFFFF"/>
              </w:rPr>
              <w:t>egislative, administrative or policy measures on access and benefit-sharing</w:t>
            </w:r>
            <w:r>
              <w:rPr>
                <w:rStyle w:val="normaltextrun"/>
                <w:color w:val="000000"/>
                <w:szCs w:val="22"/>
                <w:shd w:val="clear" w:color="auto" w:fill="FFFFFF"/>
              </w:rPr>
              <w:t xml:space="preserve"> are in place and published</w:t>
            </w:r>
            <w:r w:rsidRPr="00744DC2">
              <w:rPr>
                <w:rStyle w:val="normaltextrun"/>
                <w:color w:val="000000"/>
                <w:szCs w:val="22"/>
                <w:shd w:val="clear" w:color="auto" w:fill="FFFFFF"/>
              </w:rPr>
              <w:t xml:space="preserve"> on the Access and Benefit-sharing Clearing-House </w:t>
            </w:r>
          </w:p>
        </w:tc>
        <w:tc>
          <w:tcPr>
            <w:tcW w:w="10065" w:type="dxa"/>
          </w:tcPr>
          <w:p w14:paraId="6E25B3C5" w14:textId="4B01C805" w:rsidR="00D44EAC" w:rsidRPr="00B17E93" w:rsidRDefault="00D44EAC" w:rsidP="00BD2C12">
            <w:pPr>
              <w:numPr>
                <w:ilvl w:val="2"/>
                <w:numId w:val="15"/>
              </w:numPr>
              <w:jc w:val="left"/>
              <w:rPr>
                <w:kern w:val="22"/>
                <w:szCs w:val="22"/>
              </w:rPr>
            </w:pPr>
            <w:r w:rsidRPr="00B17E93">
              <w:rPr>
                <w:kern w:val="22"/>
                <w:szCs w:val="22"/>
              </w:rPr>
              <w:t>Take stock and</w:t>
            </w:r>
            <w:r>
              <w:rPr>
                <w:kern w:val="22"/>
                <w:szCs w:val="22"/>
              </w:rPr>
              <w:t xml:space="preserve"> support the</w:t>
            </w:r>
            <w:r w:rsidRPr="00B17E93">
              <w:rPr>
                <w:kern w:val="22"/>
                <w:szCs w:val="22"/>
              </w:rPr>
              <w:t xml:space="preserve"> evalu</w:t>
            </w:r>
            <w:r>
              <w:rPr>
                <w:kern w:val="22"/>
                <w:szCs w:val="22"/>
              </w:rPr>
              <w:t>ation</w:t>
            </w:r>
            <w:r w:rsidRPr="00B17E93">
              <w:rPr>
                <w:kern w:val="22"/>
                <w:szCs w:val="22"/>
              </w:rPr>
              <w:t xml:space="preserve"> </w:t>
            </w:r>
            <w:r>
              <w:rPr>
                <w:kern w:val="22"/>
                <w:szCs w:val="22"/>
              </w:rPr>
              <w:t xml:space="preserve">of </w:t>
            </w:r>
            <w:r w:rsidRPr="00B17E93">
              <w:rPr>
                <w:kern w:val="22"/>
                <w:szCs w:val="22"/>
              </w:rPr>
              <w:t>effectiveness</w:t>
            </w:r>
            <w:r>
              <w:rPr>
                <w:kern w:val="22"/>
                <w:szCs w:val="22"/>
              </w:rPr>
              <w:t>, efficiency and completeness</w:t>
            </w:r>
            <w:r w:rsidRPr="00B17E93">
              <w:rPr>
                <w:kern w:val="22"/>
                <w:szCs w:val="22"/>
              </w:rPr>
              <w:t xml:space="preserve"> of existing access and benefit-sharing legislative, administrative or policy measures against the provisions of the Protocol, </w:t>
            </w:r>
            <w:r>
              <w:rPr>
                <w:kern w:val="22"/>
                <w:szCs w:val="22"/>
              </w:rPr>
              <w:t>taking into account</w:t>
            </w:r>
            <w:r w:rsidRPr="001816E1">
              <w:rPr>
                <w:kern w:val="22"/>
                <w:szCs w:val="22"/>
              </w:rPr>
              <w:t xml:space="preserve"> </w:t>
            </w:r>
            <w:r w:rsidRPr="00E27CFC">
              <w:rPr>
                <w:kern w:val="22"/>
                <w:szCs w:val="22"/>
              </w:rPr>
              <w:t>the mutually supportive implementation of relevant international access and benefit-sharing instruments</w:t>
            </w:r>
            <w:r>
              <w:rPr>
                <w:kern w:val="22"/>
                <w:szCs w:val="22"/>
              </w:rPr>
              <w:t>, in consultation with indigenous peoples and local communities and relevant stakeholders, as appropriate</w:t>
            </w:r>
            <w:r w:rsidR="00870AAC">
              <w:rPr>
                <w:kern w:val="22"/>
                <w:szCs w:val="22"/>
              </w:rPr>
              <w:t>;</w:t>
            </w:r>
          </w:p>
          <w:p w14:paraId="376E8401" w14:textId="0BE0F98B" w:rsidR="00D44EAC" w:rsidRPr="00AD482F" w:rsidRDefault="00D44EAC" w:rsidP="00BD2C12">
            <w:pPr>
              <w:numPr>
                <w:ilvl w:val="2"/>
                <w:numId w:val="15"/>
              </w:numPr>
              <w:jc w:val="left"/>
              <w:rPr>
                <w:kern w:val="22"/>
                <w:szCs w:val="22"/>
              </w:rPr>
            </w:pPr>
            <w:r w:rsidRPr="00460FC0">
              <w:rPr>
                <w:kern w:val="22"/>
                <w:szCs w:val="22"/>
              </w:rPr>
              <w:lastRenderedPageBreak/>
              <w:t>Provide</w:t>
            </w:r>
            <w:r w:rsidR="00FF57D5">
              <w:rPr>
                <w:kern w:val="22"/>
                <w:szCs w:val="22"/>
              </w:rPr>
              <w:t xml:space="preserve"> </w:t>
            </w:r>
            <w:r w:rsidR="0069761D">
              <w:rPr>
                <w:kern w:val="22"/>
                <w:szCs w:val="22"/>
              </w:rPr>
              <w:t xml:space="preserve">guidance, </w:t>
            </w:r>
            <w:r w:rsidR="00FF57D5">
              <w:rPr>
                <w:kern w:val="22"/>
                <w:szCs w:val="22"/>
              </w:rPr>
              <w:t xml:space="preserve">training </w:t>
            </w:r>
            <w:r w:rsidR="00065B54">
              <w:rPr>
                <w:kern w:val="22"/>
                <w:szCs w:val="22"/>
              </w:rPr>
              <w:t>or</w:t>
            </w:r>
            <w:r w:rsidRPr="00460FC0">
              <w:rPr>
                <w:kern w:val="22"/>
                <w:szCs w:val="22"/>
              </w:rPr>
              <w:t xml:space="preserve"> technical and legal assistance </w:t>
            </w:r>
            <w:r>
              <w:rPr>
                <w:kern w:val="22"/>
                <w:szCs w:val="22"/>
              </w:rPr>
              <w:t>on</w:t>
            </w:r>
            <w:r w:rsidRPr="00460FC0">
              <w:rPr>
                <w:kern w:val="22"/>
                <w:szCs w:val="22"/>
              </w:rPr>
              <w:t xml:space="preserve"> reviewing, updating or developing domestic measures</w:t>
            </w:r>
            <w:r w:rsidR="00791FC9">
              <w:rPr>
                <w:kern w:val="22"/>
                <w:szCs w:val="22"/>
              </w:rPr>
              <w:t>,</w:t>
            </w:r>
            <w:r>
              <w:rPr>
                <w:kern w:val="22"/>
                <w:szCs w:val="22"/>
              </w:rPr>
              <w:t xml:space="preserve"> taking into account identified gaps</w:t>
            </w:r>
            <w:r w:rsidRPr="00460FC0">
              <w:rPr>
                <w:kern w:val="22"/>
                <w:szCs w:val="22"/>
              </w:rPr>
              <w:t>, including the consideration of</w:t>
            </w:r>
            <w:r>
              <w:rPr>
                <w:kern w:val="22"/>
                <w:szCs w:val="22"/>
              </w:rPr>
              <w:t xml:space="preserve"> establishing</w:t>
            </w:r>
            <w:r w:rsidRPr="00460FC0">
              <w:rPr>
                <w:kern w:val="22"/>
                <w:szCs w:val="22"/>
              </w:rPr>
              <w:t xml:space="preserve"> interim measure</w:t>
            </w:r>
            <w:r>
              <w:rPr>
                <w:kern w:val="22"/>
                <w:szCs w:val="22"/>
              </w:rPr>
              <w:t>s</w:t>
            </w:r>
            <w:r w:rsidR="00870AAC">
              <w:rPr>
                <w:kern w:val="22"/>
                <w:szCs w:val="22"/>
              </w:rPr>
              <w:t>;</w:t>
            </w:r>
          </w:p>
          <w:p w14:paraId="25CAE285" w14:textId="2F582379" w:rsidR="00D44EAC" w:rsidRPr="009841A0" w:rsidRDefault="00D44EAC" w:rsidP="00BD2C12">
            <w:pPr>
              <w:numPr>
                <w:ilvl w:val="2"/>
                <w:numId w:val="15"/>
              </w:numPr>
              <w:jc w:val="left"/>
              <w:rPr>
                <w:kern w:val="22"/>
                <w:szCs w:val="22"/>
              </w:rPr>
            </w:pPr>
            <w:r w:rsidRPr="75787C80">
              <w:rPr>
                <w:kern w:val="22"/>
              </w:rPr>
              <w:t>Provide</w:t>
            </w:r>
            <w:r w:rsidR="0018253B">
              <w:rPr>
                <w:kern w:val="22"/>
                <w:szCs w:val="22"/>
              </w:rPr>
              <w:t xml:space="preserve"> </w:t>
            </w:r>
            <w:r w:rsidR="00C5094E" w:rsidRPr="75787C80">
              <w:rPr>
                <w:kern w:val="22"/>
              </w:rPr>
              <w:t xml:space="preserve">guidance, </w:t>
            </w:r>
            <w:r w:rsidR="0018253B" w:rsidRPr="75787C80">
              <w:rPr>
                <w:kern w:val="22"/>
              </w:rPr>
              <w:t xml:space="preserve">training </w:t>
            </w:r>
            <w:r w:rsidR="005B3384" w:rsidRPr="75787C80">
              <w:rPr>
                <w:kern w:val="22"/>
              </w:rPr>
              <w:t>or</w:t>
            </w:r>
            <w:r w:rsidRPr="75787C80">
              <w:rPr>
                <w:kern w:val="22"/>
              </w:rPr>
              <w:t xml:space="preserve"> technical assistance for establishing</w:t>
            </w:r>
            <w:r w:rsidRPr="00070497">
              <w:rPr>
                <w:kern w:val="22"/>
                <w:szCs w:val="22"/>
              </w:rPr>
              <w:t xml:space="preserve"> </w:t>
            </w:r>
            <w:r w:rsidRPr="75787C80">
              <w:rPr>
                <w:kern w:val="22"/>
              </w:rPr>
              <w:t>and implementing measures related to compliance with domestic legislation or regulatory requirements (</w:t>
            </w:r>
            <w:r w:rsidR="003E3FDB">
              <w:rPr>
                <w:kern w:val="22"/>
              </w:rPr>
              <w:t>A</w:t>
            </w:r>
            <w:r w:rsidR="003051F4">
              <w:rPr>
                <w:kern w:val="22"/>
              </w:rPr>
              <w:t>rticles</w:t>
            </w:r>
            <w:r w:rsidRPr="75787C80">
              <w:rPr>
                <w:kern w:val="22"/>
              </w:rPr>
              <w:t xml:space="preserve"> 15 and 16), monitoring the utilization of genetic resources (</w:t>
            </w:r>
            <w:r w:rsidR="003E3FDB">
              <w:rPr>
                <w:kern w:val="22"/>
              </w:rPr>
              <w:t>A</w:t>
            </w:r>
            <w:r w:rsidR="003051F4">
              <w:rPr>
                <w:kern w:val="22"/>
              </w:rPr>
              <w:t>rticle</w:t>
            </w:r>
            <w:r w:rsidRPr="75787C80">
              <w:rPr>
                <w:kern w:val="22"/>
              </w:rPr>
              <w:t xml:space="preserve"> 17), indigenous peoples and local communities (</w:t>
            </w:r>
            <w:r w:rsidR="003274B5">
              <w:rPr>
                <w:kern w:val="22"/>
              </w:rPr>
              <w:t>A</w:t>
            </w:r>
            <w:r w:rsidR="003051F4">
              <w:rPr>
                <w:kern w:val="22"/>
              </w:rPr>
              <w:t>rticles</w:t>
            </w:r>
            <w:r w:rsidR="005205C5">
              <w:rPr>
                <w:kern w:val="22"/>
              </w:rPr>
              <w:t xml:space="preserve"> 5,</w:t>
            </w:r>
            <w:r w:rsidRPr="75787C80">
              <w:rPr>
                <w:kern w:val="22"/>
              </w:rPr>
              <w:t xml:space="preserve"> 6, 7 and 12) and special considerations (</w:t>
            </w:r>
            <w:r w:rsidR="003E3FDB">
              <w:rPr>
                <w:kern w:val="22"/>
              </w:rPr>
              <w:t>A</w:t>
            </w:r>
            <w:r w:rsidR="003051F4">
              <w:rPr>
                <w:kern w:val="22"/>
              </w:rPr>
              <w:t>rticle</w:t>
            </w:r>
            <w:r w:rsidRPr="75787C80">
              <w:rPr>
                <w:kern w:val="22"/>
              </w:rPr>
              <w:t xml:space="preserve"> 8)</w:t>
            </w:r>
            <w:r>
              <w:rPr>
                <w:kern w:val="22"/>
                <w:szCs w:val="22"/>
              </w:rPr>
              <w:t>.</w:t>
            </w:r>
            <w:r w:rsidRPr="75787C80">
              <w:rPr>
                <w:rStyle w:val="FootnoteReference"/>
                <w:kern w:val="22"/>
              </w:rPr>
              <w:footnoteReference w:id="40"/>
            </w:r>
          </w:p>
        </w:tc>
      </w:tr>
      <w:tr w:rsidR="00D44EAC" w:rsidRPr="00372A69" w14:paraId="1E3E4D14" w14:textId="77777777" w:rsidTr="005B1DF0">
        <w:trPr>
          <w:jc w:val="center"/>
        </w:trPr>
        <w:tc>
          <w:tcPr>
            <w:tcW w:w="3397" w:type="dxa"/>
          </w:tcPr>
          <w:p w14:paraId="665B0F81" w14:textId="77777777" w:rsidR="00D44EAC" w:rsidRPr="00744DC2" w:rsidRDefault="00D44EAC" w:rsidP="00335F76">
            <w:pPr>
              <w:jc w:val="left"/>
              <w:rPr>
                <w:rStyle w:val="normaltextrun"/>
                <w:color w:val="000000"/>
                <w:szCs w:val="22"/>
                <w:shd w:val="clear" w:color="auto" w:fill="FFFFFF"/>
              </w:rPr>
            </w:pPr>
            <w:r w:rsidRPr="00E27CFC">
              <w:rPr>
                <w:rStyle w:val="normaltextrun"/>
                <w:color w:val="000000"/>
                <w:szCs w:val="22"/>
                <w:shd w:val="clear" w:color="auto" w:fill="FFFFFF"/>
              </w:rPr>
              <w:lastRenderedPageBreak/>
              <w:t>2.3</w:t>
            </w:r>
            <w:r>
              <w:rPr>
                <w:rStyle w:val="normaltextrun"/>
                <w:color w:val="000000"/>
                <w:szCs w:val="22"/>
                <w:shd w:val="clear" w:color="auto" w:fill="FFFFFF"/>
              </w:rPr>
              <w:t>.</w:t>
            </w:r>
            <w:r w:rsidRPr="00E27CFC">
              <w:rPr>
                <w:rStyle w:val="normaltextrun"/>
                <w:color w:val="000000"/>
                <w:szCs w:val="22"/>
                <w:shd w:val="clear" w:color="auto" w:fill="FFFFFF"/>
              </w:rPr>
              <w:t xml:space="preserve"> </w:t>
            </w:r>
            <w:r>
              <w:rPr>
                <w:rStyle w:val="normaltextrun"/>
                <w:color w:val="000000"/>
                <w:szCs w:val="22"/>
                <w:shd w:val="clear" w:color="auto" w:fill="FFFFFF"/>
              </w:rPr>
              <w:t>Implementation of the obligations of Parties related to indigenous peoples and local communities is enhanced</w:t>
            </w:r>
          </w:p>
        </w:tc>
        <w:tc>
          <w:tcPr>
            <w:tcW w:w="10065" w:type="dxa"/>
          </w:tcPr>
          <w:p w14:paraId="4E6EB0D6" w14:textId="385D44DB" w:rsidR="00D44EAC" w:rsidRDefault="00D44EAC" w:rsidP="00BD2C12">
            <w:pPr>
              <w:numPr>
                <w:ilvl w:val="2"/>
                <w:numId w:val="41"/>
              </w:numPr>
              <w:jc w:val="left"/>
            </w:pPr>
            <w:r w:rsidRPr="75787C80">
              <w:rPr>
                <w:kern w:val="22"/>
              </w:rPr>
              <w:t>Take stock and analyse how the</w:t>
            </w:r>
            <w:r>
              <w:rPr>
                <w:kern w:val="22"/>
                <w:szCs w:val="22"/>
              </w:rPr>
              <w:t xml:space="preserve"> </w:t>
            </w:r>
            <w:r w:rsidRPr="75787C80">
              <w:rPr>
                <w:kern w:val="22"/>
              </w:rPr>
              <w:t>concept of indigenous peoples and local communities applies at the national and subnational level</w:t>
            </w:r>
            <w:r w:rsidR="007F4D60">
              <w:rPr>
                <w:kern w:val="22"/>
              </w:rPr>
              <w:t>s</w:t>
            </w:r>
            <w:r>
              <w:rPr>
                <w:kern w:val="22"/>
                <w:szCs w:val="22"/>
              </w:rPr>
              <w:t>,</w:t>
            </w:r>
            <w:r w:rsidRPr="75787C80">
              <w:rPr>
                <w:kern w:val="22"/>
              </w:rPr>
              <w:t xml:space="preserve"> clarifying the rights of</w:t>
            </w:r>
            <w:r>
              <w:rPr>
                <w:kern w:val="22"/>
                <w:szCs w:val="22"/>
              </w:rPr>
              <w:t xml:space="preserve"> </w:t>
            </w:r>
            <w:r w:rsidRPr="75787C80">
              <w:rPr>
                <w:kern w:val="22"/>
              </w:rPr>
              <w:t>indigenous peoples and local communities over genetic resources and/or traditional knowledge associated</w:t>
            </w:r>
            <w:r>
              <w:rPr>
                <w:kern w:val="22"/>
                <w:szCs w:val="22"/>
              </w:rPr>
              <w:t xml:space="preserve"> </w:t>
            </w:r>
            <w:r w:rsidRPr="75787C80">
              <w:rPr>
                <w:kern w:val="22"/>
              </w:rPr>
              <w:t>with genetic resources</w:t>
            </w:r>
            <w:r>
              <w:rPr>
                <w:kern w:val="22"/>
                <w:szCs w:val="22"/>
              </w:rPr>
              <w:t>,</w:t>
            </w:r>
            <w:r w:rsidRPr="75787C80">
              <w:rPr>
                <w:kern w:val="22"/>
              </w:rPr>
              <w:t xml:space="preserve"> identifying the different groups of indigenous peoples and local communities</w:t>
            </w:r>
            <w:r>
              <w:rPr>
                <w:kern w:val="22"/>
                <w:szCs w:val="22"/>
              </w:rPr>
              <w:t xml:space="preserve">, </w:t>
            </w:r>
            <w:r w:rsidRPr="75787C80">
              <w:rPr>
                <w:kern w:val="22"/>
              </w:rPr>
              <w:t xml:space="preserve">understanding </w:t>
            </w:r>
            <w:r w:rsidR="007F4D60">
              <w:rPr>
                <w:kern w:val="22"/>
              </w:rPr>
              <w:t>how</w:t>
            </w:r>
            <w:r w:rsidRPr="75787C80">
              <w:rPr>
                <w:kern w:val="22"/>
              </w:rPr>
              <w:t xml:space="preserve"> they are organized and linking traditional knowledge with the holder</w:t>
            </w:r>
            <w:r w:rsidR="00737DC4">
              <w:rPr>
                <w:kern w:val="22"/>
              </w:rPr>
              <w:t>(</w:t>
            </w:r>
            <w:r w:rsidRPr="75787C80">
              <w:rPr>
                <w:kern w:val="22"/>
              </w:rPr>
              <w:t>s</w:t>
            </w:r>
            <w:r w:rsidR="00737DC4">
              <w:rPr>
                <w:kern w:val="22"/>
              </w:rPr>
              <w:t>)</w:t>
            </w:r>
            <w:r w:rsidRPr="75787C80">
              <w:rPr>
                <w:kern w:val="22"/>
              </w:rPr>
              <w:t xml:space="preserve"> of such</w:t>
            </w:r>
            <w:r>
              <w:rPr>
                <w:kern w:val="22"/>
                <w:szCs w:val="22"/>
              </w:rPr>
              <w:t xml:space="preserve"> </w:t>
            </w:r>
            <w:r w:rsidRPr="75787C80">
              <w:rPr>
                <w:kern w:val="22"/>
              </w:rPr>
              <w:t>knowledge</w:t>
            </w:r>
            <w:r w:rsidR="00870AAC">
              <w:rPr>
                <w:kern w:val="22"/>
                <w:szCs w:val="22"/>
              </w:rPr>
              <w:t>;</w:t>
            </w:r>
            <w:r w:rsidRPr="001E4D17">
              <w:rPr>
                <w:vertAlign w:val="superscript"/>
              </w:rPr>
              <w:footnoteReference w:id="41"/>
            </w:r>
            <w:r w:rsidRPr="75787C80">
              <w:rPr>
                <w:kern w:val="22"/>
                <w:vertAlign w:val="superscript"/>
              </w:rPr>
              <w:t xml:space="preserve"> </w:t>
            </w:r>
          </w:p>
          <w:p w14:paraId="0782EDF1" w14:textId="260C2937" w:rsidR="00D44EAC" w:rsidRPr="008476EB" w:rsidRDefault="00D44EAC" w:rsidP="00BD2C12">
            <w:pPr>
              <w:numPr>
                <w:ilvl w:val="2"/>
                <w:numId w:val="41"/>
              </w:numPr>
              <w:jc w:val="left"/>
              <w:rPr>
                <w:kern w:val="22"/>
                <w:szCs w:val="22"/>
              </w:rPr>
            </w:pPr>
            <w:r>
              <w:rPr>
                <w:kern w:val="22"/>
                <w:szCs w:val="22"/>
              </w:rPr>
              <w:t>Provide</w:t>
            </w:r>
            <w:r w:rsidR="00C5094E">
              <w:rPr>
                <w:kern w:val="22"/>
                <w:szCs w:val="22"/>
              </w:rPr>
              <w:t xml:space="preserve"> guidance,</w:t>
            </w:r>
            <w:r>
              <w:rPr>
                <w:kern w:val="22"/>
                <w:szCs w:val="22"/>
              </w:rPr>
              <w:t xml:space="preserve"> training </w:t>
            </w:r>
            <w:r w:rsidR="00C5094E">
              <w:rPr>
                <w:kern w:val="22"/>
                <w:szCs w:val="22"/>
              </w:rPr>
              <w:t xml:space="preserve">or </w:t>
            </w:r>
            <w:r>
              <w:rPr>
                <w:kern w:val="22"/>
                <w:szCs w:val="22"/>
              </w:rPr>
              <w:t>technical assistance</w:t>
            </w:r>
            <w:r w:rsidRPr="008476EB">
              <w:rPr>
                <w:kern w:val="22"/>
                <w:szCs w:val="22"/>
              </w:rPr>
              <w:t xml:space="preserve"> </w:t>
            </w:r>
            <w:r>
              <w:rPr>
                <w:kern w:val="22"/>
                <w:szCs w:val="22"/>
              </w:rPr>
              <w:t>for</w:t>
            </w:r>
            <w:r w:rsidRPr="008476EB">
              <w:rPr>
                <w:kern w:val="22"/>
                <w:szCs w:val="22"/>
              </w:rPr>
              <w:t xml:space="preserve"> the implementation of the provisions of the</w:t>
            </w:r>
            <w:r>
              <w:rPr>
                <w:kern w:val="22"/>
                <w:szCs w:val="22"/>
              </w:rPr>
              <w:t xml:space="preserve"> </w:t>
            </w:r>
            <w:r w:rsidRPr="008476EB">
              <w:rPr>
                <w:kern w:val="22"/>
                <w:szCs w:val="22"/>
              </w:rPr>
              <w:t>Protocol related to indigenous peoples and local communities</w:t>
            </w:r>
            <w:r w:rsidR="00870AAC">
              <w:rPr>
                <w:kern w:val="22"/>
                <w:szCs w:val="22"/>
              </w:rPr>
              <w:t>;</w:t>
            </w:r>
          </w:p>
          <w:p w14:paraId="44EEF51E" w14:textId="5DA69CA2" w:rsidR="00D44EAC" w:rsidRPr="008779E4" w:rsidRDefault="00D44EAC" w:rsidP="00BD2C12">
            <w:pPr>
              <w:numPr>
                <w:ilvl w:val="2"/>
                <w:numId w:val="41"/>
              </w:numPr>
              <w:jc w:val="left"/>
              <w:rPr>
                <w:kern w:val="22"/>
                <w:szCs w:val="22"/>
              </w:rPr>
            </w:pPr>
            <w:r w:rsidRPr="000B0C35">
              <w:rPr>
                <w:kern w:val="22"/>
                <w:szCs w:val="22"/>
              </w:rPr>
              <w:t xml:space="preserve">Support and provide guidance on how to </w:t>
            </w:r>
            <w:r>
              <w:rPr>
                <w:kern w:val="22"/>
                <w:szCs w:val="22"/>
              </w:rPr>
              <w:t>consider</w:t>
            </w:r>
            <w:r w:rsidRPr="000B0C35">
              <w:rPr>
                <w:kern w:val="22"/>
                <w:szCs w:val="22"/>
              </w:rPr>
              <w:t xml:space="preserve"> community protocols, procedures and customary laws in national</w:t>
            </w:r>
            <w:r>
              <w:rPr>
                <w:kern w:val="22"/>
                <w:szCs w:val="22"/>
              </w:rPr>
              <w:t xml:space="preserve"> and subnational</w:t>
            </w:r>
            <w:r w:rsidRPr="000B0C35">
              <w:rPr>
                <w:kern w:val="22"/>
                <w:szCs w:val="22"/>
              </w:rPr>
              <w:t xml:space="preserve"> </w:t>
            </w:r>
            <w:r>
              <w:rPr>
                <w:kern w:val="22"/>
                <w:szCs w:val="22"/>
              </w:rPr>
              <w:t>access and benefit-sharing</w:t>
            </w:r>
            <w:r w:rsidRPr="000B0C35">
              <w:rPr>
                <w:kern w:val="22"/>
                <w:szCs w:val="22"/>
              </w:rPr>
              <w:t xml:space="preserve"> measures and/or implementation.</w:t>
            </w:r>
          </w:p>
        </w:tc>
      </w:tr>
      <w:tr w:rsidR="00D44EAC" w:rsidRPr="00372A69" w14:paraId="3197EB7E" w14:textId="77777777" w:rsidTr="005B1DF0">
        <w:trPr>
          <w:jc w:val="center"/>
        </w:trPr>
        <w:tc>
          <w:tcPr>
            <w:tcW w:w="3397" w:type="dxa"/>
          </w:tcPr>
          <w:p w14:paraId="571FAF30" w14:textId="6D274CE3" w:rsidR="00D44EAC" w:rsidRPr="00717BBE" w:rsidRDefault="00D44EAC" w:rsidP="00335F76">
            <w:pPr>
              <w:tabs>
                <w:tab w:val="left" w:pos="449"/>
              </w:tabs>
              <w:ind w:left="24"/>
              <w:jc w:val="left"/>
              <w:rPr>
                <w:kern w:val="22"/>
                <w:szCs w:val="22"/>
              </w:rPr>
            </w:pPr>
            <w:r w:rsidRPr="0013780D">
              <w:rPr>
                <w:kern w:val="22"/>
                <w:szCs w:val="22"/>
              </w:rPr>
              <w:t>2.</w:t>
            </w:r>
            <w:r>
              <w:rPr>
                <w:kern w:val="22"/>
                <w:szCs w:val="22"/>
              </w:rPr>
              <w:t>4.</w:t>
            </w:r>
            <w:r w:rsidRPr="0013780D">
              <w:rPr>
                <w:kern w:val="22"/>
                <w:szCs w:val="22"/>
              </w:rPr>
              <w:t xml:space="preserve"> Institutional arrangements </w:t>
            </w:r>
            <w:r>
              <w:rPr>
                <w:kern w:val="22"/>
                <w:szCs w:val="22"/>
              </w:rPr>
              <w:t xml:space="preserve">are established </w:t>
            </w:r>
            <w:r w:rsidRPr="0013780D" w:rsidDel="007B6E4C">
              <w:rPr>
                <w:kern w:val="22"/>
                <w:szCs w:val="22"/>
              </w:rPr>
              <w:t xml:space="preserve">and </w:t>
            </w:r>
            <w:r>
              <w:rPr>
                <w:kern w:val="22"/>
                <w:szCs w:val="22"/>
              </w:rPr>
              <w:t>operational and published on the Access and Benefit-sharing Clearing-House</w:t>
            </w:r>
            <w:r w:rsidR="007F4D60">
              <w:rPr>
                <w:kern w:val="22"/>
                <w:szCs w:val="22"/>
              </w:rPr>
              <w:t xml:space="preserve"> </w:t>
            </w:r>
          </w:p>
        </w:tc>
        <w:tc>
          <w:tcPr>
            <w:tcW w:w="10065" w:type="dxa"/>
          </w:tcPr>
          <w:p w14:paraId="7590A3BE" w14:textId="17BD9DAC" w:rsidR="00D44EAC" w:rsidRDefault="00D44EAC" w:rsidP="00BD2C12">
            <w:pPr>
              <w:numPr>
                <w:ilvl w:val="2"/>
                <w:numId w:val="16"/>
              </w:numPr>
              <w:jc w:val="left"/>
              <w:rPr>
                <w:kern w:val="22"/>
                <w:szCs w:val="22"/>
              </w:rPr>
            </w:pPr>
            <w:r>
              <w:rPr>
                <w:kern w:val="22"/>
                <w:szCs w:val="22"/>
              </w:rPr>
              <w:t>Provide guidance</w:t>
            </w:r>
            <w:r w:rsidR="008D3AB0">
              <w:rPr>
                <w:kern w:val="22"/>
                <w:szCs w:val="22"/>
              </w:rPr>
              <w:t>,</w:t>
            </w:r>
            <w:r>
              <w:rPr>
                <w:kern w:val="22"/>
                <w:szCs w:val="22"/>
              </w:rPr>
              <w:t xml:space="preserve"> training</w:t>
            </w:r>
            <w:r w:rsidR="00510FF2">
              <w:rPr>
                <w:kern w:val="22"/>
                <w:szCs w:val="22"/>
              </w:rPr>
              <w:t xml:space="preserve"> </w:t>
            </w:r>
            <w:r w:rsidR="005B3384">
              <w:rPr>
                <w:kern w:val="22"/>
                <w:szCs w:val="22"/>
              </w:rPr>
              <w:t>or</w:t>
            </w:r>
            <w:r w:rsidR="00510FF2">
              <w:rPr>
                <w:kern w:val="22"/>
                <w:szCs w:val="22"/>
              </w:rPr>
              <w:t xml:space="preserve"> technical assistance</w:t>
            </w:r>
            <w:r>
              <w:rPr>
                <w:kern w:val="22"/>
                <w:szCs w:val="22"/>
              </w:rPr>
              <w:t xml:space="preserve"> for designating relevant roles and responsibilities </w:t>
            </w:r>
            <w:r w:rsidR="00EA5792">
              <w:rPr>
                <w:kern w:val="22"/>
                <w:szCs w:val="22"/>
              </w:rPr>
              <w:t>for</w:t>
            </w:r>
            <w:r>
              <w:rPr>
                <w:kern w:val="22"/>
                <w:szCs w:val="22"/>
              </w:rPr>
              <w:t xml:space="preserve"> f</w:t>
            </w:r>
            <w:r w:rsidRPr="001A47C1">
              <w:rPr>
                <w:kern w:val="22"/>
                <w:szCs w:val="22"/>
              </w:rPr>
              <w:t>ulfil</w:t>
            </w:r>
            <w:r w:rsidR="00EA5792">
              <w:rPr>
                <w:kern w:val="22"/>
                <w:szCs w:val="22"/>
              </w:rPr>
              <w:t>ment of</w:t>
            </w:r>
            <w:r w:rsidRPr="001A47C1">
              <w:rPr>
                <w:kern w:val="22"/>
                <w:szCs w:val="22"/>
              </w:rPr>
              <w:t xml:space="preserve"> </w:t>
            </w:r>
            <w:r>
              <w:rPr>
                <w:kern w:val="22"/>
                <w:szCs w:val="22"/>
              </w:rPr>
              <w:t xml:space="preserve">the </w:t>
            </w:r>
            <w:r w:rsidRPr="001A47C1">
              <w:rPr>
                <w:kern w:val="22"/>
                <w:szCs w:val="22"/>
              </w:rPr>
              <w:t>roles of</w:t>
            </w:r>
            <w:r w:rsidRPr="006F2FB5">
              <w:rPr>
                <w:kern w:val="22"/>
                <w:szCs w:val="22"/>
              </w:rPr>
              <w:t xml:space="preserve"> </w:t>
            </w:r>
            <w:r>
              <w:rPr>
                <w:kern w:val="22"/>
                <w:szCs w:val="22"/>
              </w:rPr>
              <w:t xml:space="preserve">access and benefit-sharing </w:t>
            </w:r>
            <w:r w:rsidRPr="006F2FB5">
              <w:rPr>
                <w:kern w:val="22"/>
                <w:szCs w:val="22"/>
              </w:rPr>
              <w:t>national focal points</w:t>
            </w:r>
            <w:r>
              <w:rPr>
                <w:kern w:val="22"/>
                <w:szCs w:val="22"/>
              </w:rPr>
              <w:t>,</w:t>
            </w:r>
            <w:r w:rsidRPr="006F2FB5">
              <w:rPr>
                <w:kern w:val="22"/>
                <w:szCs w:val="22"/>
              </w:rPr>
              <w:t xml:space="preserve"> competent national authoritie</w:t>
            </w:r>
            <w:r>
              <w:rPr>
                <w:kern w:val="22"/>
                <w:szCs w:val="22"/>
              </w:rPr>
              <w:t>s, checkpoints and publishing authorities for the Access and Benefit-sharing Clearing-House</w:t>
            </w:r>
            <w:r w:rsidR="00594F46">
              <w:rPr>
                <w:kern w:val="22"/>
                <w:szCs w:val="22"/>
              </w:rPr>
              <w:t>;</w:t>
            </w:r>
          </w:p>
          <w:p w14:paraId="48E6B206" w14:textId="74ED4660" w:rsidR="00D44EAC" w:rsidRDefault="00D44EAC" w:rsidP="00BD2C12">
            <w:pPr>
              <w:numPr>
                <w:ilvl w:val="2"/>
                <w:numId w:val="16"/>
              </w:numPr>
              <w:jc w:val="left"/>
              <w:rPr>
                <w:kern w:val="22"/>
                <w:szCs w:val="22"/>
              </w:rPr>
            </w:pPr>
            <w:r>
              <w:rPr>
                <w:kern w:val="22"/>
                <w:szCs w:val="22"/>
              </w:rPr>
              <w:t xml:space="preserve">Support the establishment of a unit or units with sufficient </w:t>
            </w:r>
            <w:r w:rsidRPr="00CD31AF" w:rsidDel="007D4EB0">
              <w:rPr>
                <w:kern w:val="22"/>
                <w:szCs w:val="22"/>
              </w:rPr>
              <w:t xml:space="preserve">staff </w:t>
            </w:r>
            <w:r>
              <w:rPr>
                <w:kern w:val="22"/>
                <w:szCs w:val="22"/>
              </w:rPr>
              <w:t xml:space="preserve">and terms of reference </w:t>
            </w:r>
            <w:r w:rsidR="00EA5792">
              <w:rPr>
                <w:kern w:val="22"/>
                <w:szCs w:val="22"/>
              </w:rPr>
              <w:t>for</w:t>
            </w:r>
            <w:r w:rsidRPr="00CD31AF">
              <w:rPr>
                <w:kern w:val="22"/>
                <w:szCs w:val="22"/>
              </w:rPr>
              <w:t xml:space="preserve"> </w:t>
            </w:r>
            <w:r>
              <w:rPr>
                <w:kern w:val="22"/>
                <w:szCs w:val="22"/>
              </w:rPr>
              <w:t>operat</w:t>
            </w:r>
            <w:r w:rsidR="00EA5792">
              <w:rPr>
                <w:kern w:val="22"/>
                <w:szCs w:val="22"/>
              </w:rPr>
              <w:t>ing</w:t>
            </w:r>
            <w:r w:rsidRPr="00CD31AF">
              <w:rPr>
                <w:kern w:val="22"/>
                <w:szCs w:val="22"/>
              </w:rPr>
              <w:t xml:space="preserve"> the national access and benefit-sharing system</w:t>
            </w:r>
            <w:r w:rsidR="00594F46">
              <w:rPr>
                <w:kern w:val="22"/>
                <w:szCs w:val="22"/>
              </w:rPr>
              <w:t>;</w:t>
            </w:r>
          </w:p>
          <w:p w14:paraId="55486FB6" w14:textId="42E93C4D" w:rsidR="00D44EAC" w:rsidRPr="00FC417C" w:rsidRDefault="00D44EAC" w:rsidP="00BD2C12">
            <w:pPr>
              <w:numPr>
                <w:ilvl w:val="2"/>
                <w:numId w:val="16"/>
              </w:numPr>
              <w:jc w:val="left"/>
              <w:rPr>
                <w:kern w:val="22"/>
                <w:szCs w:val="22"/>
              </w:rPr>
            </w:pPr>
            <w:r>
              <w:rPr>
                <w:kern w:val="22"/>
                <w:szCs w:val="22"/>
              </w:rPr>
              <w:t>Provide</w:t>
            </w:r>
            <w:r w:rsidR="00493F13">
              <w:rPr>
                <w:kern w:val="22"/>
                <w:szCs w:val="22"/>
              </w:rPr>
              <w:t xml:space="preserve"> guidance,</w:t>
            </w:r>
            <w:r w:rsidRPr="00CD31AF">
              <w:rPr>
                <w:kern w:val="22"/>
                <w:szCs w:val="22"/>
              </w:rPr>
              <w:t xml:space="preserve"> training </w:t>
            </w:r>
            <w:r w:rsidR="005B3384">
              <w:rPr>
                <w:kern w:val="22"/>
                <w:szCs w:val="22"/>
              </w:rPr>
              <w:t>or</w:t>
            </w:r>
            <w:r w:rsidR="000F0F01">
              <w:rPr>
                <w:kern w:val="22"/>
                <w:szCs w:val="22"/>
              </w:rPr>
              <w:t xml:space="preserve"> technical assistance </w:t>
            </w:r>
            <w:r w:rsidRPr="00CD31AF">
              <w:rPr>
                <w:kern w:val="22"/>
                <w:szCs w:val="22"/>
              </w:rPr>
              <w:t>to</w:t>
            </w:r>
            <w:r>
              <w:rPr>
                <w:kern w:val="22"/>
                <w:szCs w:val="22"/>
              </w:rPr>
              <w:t xml:space="preserve"> relevant </w:t>
            </w:r>
            <w:r w:rsidDel="009A74BA">
              <w:rPr>
                <w:kern w:val="22"/>
                <w:szCs w:val="22"/>
              </w:rPr>
              <w:t xml:space="preserve">staff </w:t>
            </w:r>
            <w:r>
              <w:rPr>
                <w:kern w:val="22"/>
                <w:szCs w:val="22"/>
              </w:rPr>
              <w:t>and plan for how to retain and transfer institutional knowledge</w:t>
            </w:r>
            <w:r w:rsidR="00594F46">
              <w:rPr>
                <w:kern w:val="22"/>
                <w:szCs w:val="22"/>
              </w:rPr>
              <w:t>;</w:t>
            </w:r>
          </w:p>
          <w:p w14:paraId="56F289A9" w14:textId="77777777" w:rsidR="00D44EAC" w:rsidRPr="006610B7" w:rsidRDefault="00D44EAC" w:rsidP="00BD2C12">
            <w:pPr>
              <w:numPr>
                <w:ilvl w:val="2"/>
                <w:numId w:val="16"/>
              </w:numPr>
              <w:jc w:val="left"/>
              <w:rPr>
                <w:kern w:val="22"/>
                <w:szCs w:val="22"/>
              </w:rPr>
            </w:pPr>
            <w:r w:rsidRPr="00717BBE">
              <w:rPr>
                <w:kern w:val="22"/>
                <w:szCs w:val="22"/>
              </w:rPr>
              <w:t xml:space="preserve">Facilitate the establishment and </w:t>
            </w:r>
            <w:r>
              <w:rPr>
                <w:kern w:val="22"/>
                <w:szCs w:val="22"/>
              </w:rPr>
              <w:t>strengthening of</w:t>
            </w:r>
            <w:r w:rsidRPr="00717BBE">
              <w:rPr>
                <w:kern w:val="22"/>
                <w:szCs w:val="22"/>
              </w:rPr>
              <w:t xml:space="preserve"> institutional arrangements and coordination mechanisms for </w:t>
            </w:r>
            <w:r>
              <w:rPr>
                <w:kern w:val="22"/>
                <w:szCs w:val="22"/>
              </w:rPr>
              <w:t>operating the access and benefit-sharing system.</w:t>
            </w:r>
          </w:p>
        </w:tc>
      </w:tr>
      <w:tr w:rsidR="00D44EAC" w:rsidRPr="00372A69" w14:paraId="5C5AE234" w14:textId="77777777" w:rsidTr="005B1DF0">
        <w:trPr>
          <w:jc w:val="center"/>
        </w:trPr>
        <w:tc>
          <w:tcPr>
            <w:tcW w:w="3397" w:type="dxa"/>
          </w:tcPr>
          <w:p w14:paraId="2C32051C" w14:textId="4DB1D8B8" w:rsidR="00D44EAC" w:rsidRPr="00977DF0" w:rsidRDefault="00D44EAC" w:rsidP="00335F76">
            <w:pPr>
              <w:pStyle w:val="ListParagraph"/>
              <w:tabs>
                <w:tab w:val="left" w:pos="449"/>
              </w:tabs>
              <w:ind w:left="24"/>
              <w:jc w:val="left"/>
              <w:rPr>
                <w:kern w:val="22"/>
                <w:szCs w:val="22"/>
              </w:rPr>
            </w:pPr>
            <w:r w:rsidRPr="00977DF0">
              <w:rPr>
                <w:kern w:val="22"/>
                <w:szCs w:val="22"/>
              </w:rPr>
              <w:t>2.</w:t>
            </w:r>
            <w:r>
              <w:rPr>
                <w:kern w:val="22"/>
                <w:szCs w:val="22"/>
              </w:rPr>
              <w:t>5</w:t>
            </w:r>
            <w:r w:rsidRPr="00977DF0">
              <w:rPr>
                <w:kern w:val="22"/>
                <w:szCs w:val="22"/>
              </w:rPr>
              <w:t xml:space="preserve">. Access and benefit-sharing procedures are </w:t>
            </w:r>
            <w:r w:rsidRPr="00977DF0">
              <w:rPr>
                <w:szCs w:val="22"/>
              </w:rPr>
              <w:t xml:space="preserve">operational </w:t>
            </w:r>
            <w:r w:rsidRPr="00977DF0">
              <w:rPr>
                <w:kern w:val="22"/>
                <w:szCs w:val="22"/>
              </w:rPr>
              <w:t>and published on the Access and Benefit-sharing Clearing</w:t>
            </w:r>
            <w:r w:rsidRPr="00977DF0">
              <w:rPr>
                <w:kern w:val="22"/>
                <w:szCs w:val="22"/>
              </w:rPr>
              <w:noBreakHyphen/>
              <w:t>House</w:t>
            </w:r>
            <w:r w:rsidR="007F4D60">
              <w:rPr>
                <w:kern w:val="22"/>
                <w:szCs w:val="22"/>
              </w:rPr>
              <w:t xml:space="preserve"> </w:t>
            </w:r>
          </w:p>
          <w:p w14:paraId="15FACFD4" w14:textId="77777777" w:rsidR="00D44EAC" w:rsidRPr="007D537B" w:rsidRDefault="00D44EAC" w:rsidP="00335F76">
            <w:pPr>
              <w:tabs>
                <w:tab w:val="left" w:pos="449"/>
              </w:tabs>
              <w:jc w:val="left"/>
              <w:rPr>
                <w:kern w:val="22"/>
                <w:szCs w:val="22"/>
              </w:rPr>
            </w:pPr>
          </w:p>
        </w:tc>
        <w:tc>
          <w:tcPr>
            <w:tcW w:w="10065" w:type="dxa"/>
          </w:tcPr>
          <w:p w14:paraId="5203A486" w14:textId="44C65777" w:rsidR="00D44EAC" w:rsidRDefault="00D44EAC" w:rsidP="00BD2C12">
            <w:pPr>
              <w:numPr>
                <w:ilvl w:val="2"/>
                <w:numId w:val="17"/>
              </w:numPr>
              <w:jc w:val="left"/>
            </w:pPr>
            <w:r w:rsidRPr="774ED644">
              <w:rPr>
                <w:kern w:val="22"/>
              </w:rPr>
              <w:t>Support the development or improvement of procedures (enhance clarity</w:t>
            </w:r>
            <w:r w:rsidR="30EA850E" w:rsidRPr="774ED644">
              <w:rPr>
                <w:kern w:val="22"/>
              </w:rPr>
              <w:t>, transparency</w:t>
            </w:r>
            <w:r w:rsidRPr="774ED644">
              <w:rPr>
                <w:kern w:val="22"/>
              </w:rPr>
              <w:t xml:space="preserve"> and user-friendliness), especially through multi-stakeholder consultations (</w:t>
            </w:r>
            <w:r w:rsidR="00E94CBF">
              <w:rPr>
                <w:kern w:val="22"/>
              </w:rPr>
              <w:t>for example, with</w:t>
            </w:r>
            <w:r w:rsidR="00EA6963">
              <w:rPr>
                <w:kern w:val="22"/>
              </w:rPr>
              <w:t xml:space="preserve"> the</w:t>
            </w:r>
            <w:r w:rsidRPr="774ED644">
              <w:rPr>
                <w:kern w:val="22"/>
              </w:rPr>
              <w:t xml:space="preserve"> business and research community) and ensure that procedures are mutually supportive with </w:t>
            </w:r>
            <w:r w:rsidR="00EA6963">
              <w:rPr>
                <w:kern w:val="22"/>
              </w:rPr>
              <w:t xml:space="preserve">respect to </w:t>
            </w:r>
            <w:r w:rsidRPr="774ED644">
              <w:rPr>
                <w:kern w:val="22"/>
              </w:rPr>
              <w:t xml:space="preserve">other international agreements and take into account the special considerations included in </w:t>
            </w:r>
            <w:r w:rsidR="003E3FDB">
              <w:rPr>
                <w:kern w:val="22"/>
              </w:rPr>
              <w:t>A</w:t>
            </w:r>
            <w:r w:rsidRPr="774ED644">
              <w:rPr>
                <w:kern w:val="22"/>
              </w:rPr>
              <w:t>rticle 8</w:t>
            </w:r>
            <w:r w:rsidR="00594F46">
              <w:rPr>
                <w:kern w:val="22"/>
                <w:szCs w:val="22"/>
              </w:rPr>
              <w:t>;</w:t>
            </w:r>
          </w:p>
          <w:p w14:paraId="70CB7E78" w14:textId="4D812BF1" w:rsidR="00D44EAC" w:rsidRPr="00D73DA1" w:rsidRDefault="00D44EAC" w:rsidP="00BD2C12">
            <w:pPr>
              <w:numPr>
                <w:ilvl w:val="2"/>
                <w:numId w:val="17"/>
              </w:numPr>
              <w:jc w:val="left"/>
              <w:rPr>
                <w:kern w:val="22"/>
                <w:szCs w:val="22"/>
              </w:rPr>
            </w:pPr>
            <w:r>
              <w:rPr>
                <w:kern w:val="22"/>
                <w:szCs w:val="22"/>
              </w:rPr>
              <w:t xml:space="preserve">Support the development </w:t>
            </w:r>
            <w:r w:rsidR="00F25E82">
              <w:rPr>
                <w:kern w:val="22"/>
                <w:szCs w:val="22"/>
              </w:rPr>
              <w:t xml:space="preserve">or </w:t>
            </w:r>
            <w:r>
              <w:rPr>
                <w:kern w:val="22"/>
                <w:szCs w:val="22"/>
              </w:rPr>
              <w:t xml:space="preserve">improvement of </w:t>
            </w:r>
            <w:r w:rsidR="00EA6963">
              <w:rPr>
                <w:kern w:val="22"/>
                <w:szCs w:val="22"/>
              </w:rPr>
              <w:t>access and benefit-sharing</w:t>
            </w:r>
            <w:r w:rsidR="000B46FA">
              <w:rPr>
                <w:kern w:val="22"/>
                <w:szCs w:val="22"/>
              </w:rPr>
              <w:t xml:space="preserve"> information systems, such as </w:t>
            </w:r>
            <w:r>
              <w:rPr>
                <w:kern w:val="22"/>
                <w:szCs w:val="22"/>
              </w:rPr>
              <w:t>permitting systems</w:t>
            </w:r>
            <w:r w:rsidR="000B46FA">
              <w:rPr>
                <w:kern w:val="22"/>
                <w:szCs w:val="22"/>
              </w:rPr>
              <w:t>,</w:t>
            </w:r>
            <w:r>
              <w:rPr>
                <w:kern w:val="22"/>
                <w:szCs w:val="22"/>
              </w:rPr>
              <w:t xml:space="preserve"> </w:t>
            </w:r>
            <w:r w:rsidR="0083076A">
              <w:rPr>
                <w:kern w:val="22"/>
                <w:szCs w:val="22"/>
              </w:rPr>
              <w:t xml:space="preserve">including by sharing information on </w:t>
            </w:r>
            <w:r>
              <w:rPr>
                <w:kern w:val="22"/>
                <w:szCs w:val="22"/>
              </w:rPr>
              <w:t>good practice</w:t>
            </w:r>
            <w:r w:rsidR="0083076A">
              <w:rPr>
                <w:kern w:val="22"/>
                <w:szCs w:val="22"/>
              </w:rPr>
              <w:t>s and</w:t>
            </w:r>
            <w:r w:rsidR="00D95AB4">
              <w:rPr>
                <w:kern w:val="22"/>
                <w:szCs w:val="22"/>
              </w:rPr>
              <w:t xml:space="preserve"> information technology</w:t>
            </w:r>
            <w:r w:rsidR="0083076A">
              <w:rPr>
                <w:kern w:val="22"/>
                <w:szCs w:val="22"/>
              </w:rPr>
              <w:t xml:space="preserve"> </w:t>
            </w:r>
            <w:r>
              <w:rPr>
                <w:kern w:val="22"/>
                <w:szCs w:val="22"/>
              </w:rPr>
              <w:t>solutions</w:t>
            </w:r>
            <w:r w:rsidR="00594F46">
              <w:rPr>
                <w:kern w:val="22"/>
                <w:szCs w:val="22"/>
              </w:rPr>
              <w:t>;</w:t>
            </w:r>
          </w:p>
          <w:p w14:paraId="49BFC0F9" w14:textId="32CFDFCA" w:rsidR="00D44EAC" w:rsidRPr="00E95939" w:rsidRDefault="00D44EAC" w:rsidP="00BD2C12">
            <w:pPr>
              <w:numPr>
                <w:ilvl w:val="2"/>
                <w:numId w:val="17"/>
              </w:numPr>
              <w:jc w:val="left"/>
              <w:rPr>
                <w:kern w:val="22"/>
                <w:szCs w:val="22"/>
              </w:rPr>
            </w:pPr>
            <w:r>
              <w:rPr>
                <w:kern w:val="22"/>
                <w:szCs w:val="22"/>
              </w:rPr>
              <w:t>Provide training for staff in the application of the procedures and how to respond to requests from users.</w:t>
            </w:r>
          </w:p>
        </w:tc>
      </w:tr>
      <w:tr w:rsidR="00D44EAC" w:rsidRPr="00372A69" w14:paraId="115C4FD7" w14:textId="77777777" w:rsidTr="005B1DF0">
        <w:trPr>
          <w:jc w:val="center"/>
        </w:trPr>
        <w:tc>
          <w:tcPr>
            <w:tcW w:w="3397" w:type="dxa"/>
          </w:tcPr>
          <w:p w14:paraId="25A4C540" w14:textId="77777777" w:rsidR="00D44EAC" w:rsidRDefault="00D44EAC" w:rsidP="00335F76">
            <w:pPr>
              <w:pStyle w:val="ListParagraph"/>
              <w:tabs>
                <w:tab w:val="left" w:pos="449"/>
              </w:tabs>
              <w:ind w:left="24"/>
              <w:jc w:val="left"/>
              <w:rPr>
                <w:kern w:val="22"/>
                <w:szCs w:val="22"/>
              </w:rPr>
            </w:pPr>
            <w:r>
              <w:rPr>
                <w:kern w:val="22"/>
                <w:szCs w:val="22"/>
              </w:rPr>
              <w:t>2.6</w:t>
            </w:r>
            <w:r w:rsidRPr="00E27CFC">
              <w:rPr>
                <w:kern w:val="22"/>
                <w:szCs w:val="22"/>
              </w:rPr>
              <w:t xml:space="preserve">. Mechanisms to monitor the utilization of genetic resources, </w:t>
            </w:r>
            <w:r w:rsidRPr="00E27CFC">
              <w:rPr>
                <w:kern w:val="22"/>
                <w:szCs w:val="22"/>
              </w:rPr>
              <w:lastRenderedPageBreak/>
              <w:t xml:space="preserve">including through the designation of </w:t>
            </w:r>
            <w:r w:rsidRPr="00E27CFC">
              <w:rPr>
                <w:szCs w:val="22"/>
              </w:rPr>
              <w:t xml:space="preserve">effective </w:t>
            </w:r>
            <w:r w:rsidRPr="00E27CFC">
              <w:rPr>
                <w:kern w:val="22"/>
                <w:szCs w:val="22"/>
              </w:rPr>
              <w:t>checkpoints, are established</w:t>
            </w:r>
          </w:p>
          <w:p w14:paraId="3D2FF25B" w14:textId="77777777" w:rsidR="00D44EAC" w:rsidRPr="007D537B" w:rsidRDefault="00D44EAC" w:rsidP="00335F76">
            <w:pPr>
              <w:tabs>
                <w:tab w:val="left" w:pos="449"/>
              </w:tabs>
              <w:jc w:val="left"/>
              <w:rPr>
                <w:kern w:val="22"/>
                <w:szCs w:val="22"/>
              </w:rPr>
            </w:pPr>
          </w:p>
        </w:tc>
        <w:tc>
          <w:tcPr>
            <w:tcW w:w="10065" w:type="dxa"/>
          </w:tcPr>
          <w:p w14:paraId="7371592F" w14:textId="0DB9B3BC" w:rsidR="00D44EAC" w:rsidRPr="00A8724D" w:rsidRDefault="00D44EAC" w:rsidP="00BD2C12">
            <w:pPr>
              <w:numPr>
                <w:ilvl w:val="2"/>
                <w:numId w:val="34"/>
              </w:numPr>
              <w:jc w:val="left"/>
              <w:rPr>
                <w:kern w:val="22"/>
                <w:szCs w:val="22"/>
              </w:rPr>
            </w:pPr>
            <w:r>
              <w:rPr>
                <w:kern w:val="22"/>
                <w:szCs w:val="22"/>
              </w:rPr>
              <w:lastRenderedPageBreak/>
              <w:t xml:space="preserve">Support </w:t>
            </w:r>
            <w:r w:rsidRPr="00A8724D">
              <w:rPr>
                <w:kern w:val="22"/>
                <w:szCs w:val="22"/>
              </w:rPr>
              <w:t xml:space="preserve">the </w:t>
            </w:r>
            <w:r>
              <w:rPr>
                <w:kern w:val="22"/>
                <w:szCs w:val="22"/>
              </w:rPr>
              <w:t>designation</w:t>
            </w:r>
            <w:r w:rsidRPr="00A8724D">
              <w:rPr>
                <w:kern w:val="22"/>
                <w:szCs w:val="22"/>
              </w:rPr>
              <w:t xml:space="preserve"> of </w:t>
            </w:r>
            <w:r>
              <w:rPr>
                <w:kern w:val="22"/>
                <w:szCs w:val="22"/>
              </w:rPr>
              <w:t xml:space="preserve">effective </w:t>
            </w:r>
            <w:r w:rsidRPr="00A8724D">
              <w:rPr>
                <w:kern w:val="22"/>
                <w:szCs w:val="22"/>
              </w:rPr>
              <w:t xml:space="preserve">checkpoints, including </w:t>
            </w:r>
            <w:r>
              <w:rPr>
                <w:kern w:val="22"/>
                <w:szCs w:val="22"/>
              </w:rPr>
              <w:t xml:space="preserve">through the development of guidelines </w:t>
            </w:r>
            <w:r w:rsidRPr="00A8724D">
              <w:rPr>
                <w:kern w:val="22"/>
                <w:szCs w:val="22"/>
              </w:rPr>
              <w:t>on their roles and functioning</w:t>
            </w:r>
            <w:r w:rsidR="00594F46">
              <w:rPr>
                <w:kern w:val="22"/>
                <w:szCs w:val="22"/>
              </w:rPr>
              <w:t>;</w:t>
            </w:r>
          </w:p>
          <w:p w14:paraId="5E774EE4" w14:textId="05593999" w:rsidR="00D44EAC" w:rsidRPr="00E27CFC" w:rsidRDefault="00D44EAC" w:rsidP="00BD2C12">
            <w:pPr>
              <w:numPr>
                <w:ilvl w:val="2"/>
                <w:numId w:val="34"/>
              </w:numPr>
              <w:jc w:val="left"/>
              <w:rPr>
                <w:kern w:val="22"/>
                <w:szCs w:val="22"/>
              </w:rPr>
            </w:pPr>
            <w:r w:rsidRPr="00E27CFC">
              <w:rPr>
                <w:kern w:val="22"/>
                <w:szCs w:val="22"/>
              </w:rPr>
              <w:lastRenderedPageBreak/>
              <w:t>Develop</w:t>
            </w:r>
            <w:r>
              <w:rPr>
                <w:kern w:val="22"/>
                <w:szCs w:val="22"/>
              </w:rPr>
              <w:t xml:space="preserve"> or improve</w:t>
            </w:r>
            <w:r w:rsidRPr="00E27CFC">
              <w:rPr>
                <w:kern w:val="22"/>
                <w:szCs w:val="22"/>
              </w:rPr>
              <w:t xml:space="preserve"> national systems for the collection of information from users at designated checkpoints, making use of checkpoint communiqués</w:t>
            </w:r>
            <w:r w:rsidR="00594F46">
              <w:rPr>
                <w:kern w:val="22"/>
                <w:szCs w:val="22"/>
              </w:rPr>
              <w:t>;</w:t>
            </w:r>
          </w:p>
          <w:p w14:paraId="221A738C" w14:textId="00E356FD" w:rsidR="00D44EAC" w:rsidRDefault="00D44EAC" w:rsidP="00BD2C12">
            <w:pPr>
              <w:numPr>
                <w:ilvl w:val="2"/>
                <w:numId w:val="34"/>
              </w:numPr>
              <w:jc w:val="left"/>
              <w:rPr>
                <w:kern w:val="22"/>
                <w:szCs w:val="22"/>
              </w:rPr>
            </w:pPr>
            <w:r>
              <w:rPr>
                <w:kern w:val="22"/>
                <w:szCs w:val="22"/>
              </w:rPr>
              <w:t>Provide</w:t>
            </w:r>
            <w:r w:rsidRPr="00A8724D">
              <w:rPr>
                <w:kern w:val="22"/>
                <w:szCs w:val="22"/>
              </w:rPr>
              <w:t xml:space="preserve"> </w:t>
            </w:r>
            <w:r w:rsidR="005C67CA">
              <w:rPr>
                <w:kern w:val="22"/>
                <w:szCs w:val="22"/>
              </w:rPr>
              <w:t xml:space="preserve">guidance, </w:t>
            </w:r>
            <w:r w:rsidRPr="000C7508">
              <w:rPr>
                <w:kern w:val="22"/>
                <w:szCs w:val="22"/>
              </w:rPr>
              <w:t>training</w:t>
            </w:r>
            <w:r w:rsidR="005C67CA">
              <w:rPr>
                <w:kern w:val="22"/>
                <w:szCs w:val="22"/>
              </w:rPr>
              <w:t xml:space="preserve"> or technical assistance</w:t>
            </w:r>
            <w:r w:rsidRPr="000C7508">
              <w:rPr>
                <w:kern w:val="22"/>
                <w:szCs w:val="22"/>
              </w:rPr>
              <w:t xml:space="preserve"> for </w:t>
            </w:r>
            <w:r w:rsidRPr="001E4D17">
              <w:rPr>
                <w:kern w:val="22"/>
                <w:szCs w:val="22"/>
              </w:rPr>
              <w:t>staff responsible for managing checkpoints</w:t>
            </w:r>
            <w:r w:rsidRPr="000C7508">
              <w:rPr>
                <w:kern w:val="22"/>
                <w:szCs w:val="22"/>
              </w:rPr>
              <w:t xml:space="preserve"> on the</w:t>
            </w:r>
            <w:r w:rsidRPr="000D10C0">
              <w:rPr>
                <w:kern w:val="22"/>
                <w:szCs w:val="22"/>
              </w:rPr>
              <w:t xml:space="preserve"> collection of information through the checkpoint communiqué</w:t>
            </w:r>
            <w:r w:rsidR="00594F46">
              <w:rPr>
                <w:kern w:val="22"/>
                <w:szCs w:val="22"/>
              </w:rPr>
              <w:t>;</w:t>
            </w:r>
          </w:p>
          <w:p w14:paraId="6BCF78DB" w14:textId="59911AA5" w:rsidR="00D44EAC" w:rsidRPr="00A6525A" w:rsidRDefault="00D44EAC" w:rsidP="00BD2C12">
            <w:pPr>
              <w:numPr>
                <w:ilvl w:val="2"/>
                <w:numId w:val="34"/>
              </w:numPr>
              <w:jc w:val="left"/>
            </w:pPr>
            <w:r w:rsidRPr="774ED644">
              <w:rPr>
                <w:kern w:val="22"/>
              </w:rPr>
              <w:t xml:space="preserve">Support the </w:t>
            </w:r>
            <w:r w:rsidR="00DD5E7B" w:rsidRPr="774ED644">
              <w:rPr>
                <w:kern w:val="22"/>
              </w:rPr>
              <w:t>development</w:t>
            </w:r>
            <w:r w:rsidRPr="774ED644">
              <w:rPr>
                <w:kern w:val="22"/>
              </w:rPr>
              <w:t xml:space="preserve"> of national information systems and databases to monitor the utilization of genetic resources</w:t>
            </w:r>
            <w:r>
              <w:rPr>
                <w:kern w:val="22"/>
                <w:szCs w:val="22"/>
              </w:rPr>
              <w:t>.</w:t>
            </w:r>
          </w:p>
        </w:tc>
      </w:tr>
      <w:tr w:rsidR="00D44EAC" w:rsidRPr="00372A69" w14:paraId="5F897C45" w14:textId="77777777" w:rsidTr="005B1DF0">
        <w:trPr>
          <w:jc w:val="center"/>
        </w:trPr>
        <w:tc>
          <w:tcPr>
            <w:tcW w:w="3397" w:type="dxa"/>
          </w:tcPr>
          <w:p w14:paraId="1D6F9C56" w14:textId="35289510" w:rsidR="00D44EAC" w:rsidRPr="00E0131B" w:rsidRDefault="00D44EAC" w:rsidP="00335F76">
            <w:pPr>
              <w:pStyle w:val="ListParagraph"/>
              <w:tabs>
                <w:tab w:val="left" w:pos="449"/>
              </w:tabs>
              <w:ind w:left="24"/>
              <w:jc w:val="left"/>
              <w:rPr>
                <w:kern w:val="22"/>
                <w:szCs w:val="22"/>
              </w:rPr>
            </w:pPr>
            <w:r>
              <w:rPr>
                <w:kern w:val="22"/>
                <w:szCs w:val="22"/>
              </w:rPr>
              <w:lastRenderedPageBreak/>
              <w:t>2.7. Compliance with domestic legislation and regulatory requirements on</w:t>
            </w:r>
            <w:r w:rsidR="007861E7">
              <w:rPr>
                <w:kern w:val="22"/>
                <w:szCs w:val="22"/>
              </w:rPr>
              <w:t xml:space="preserve"> access and benefit-sharing</w:t>
            </w:r>
            <w:r w:rsidR="00BD395A">
              <w:rPr>
                <w:kern w:val="22"/>
                <w:szCs w:val="22"/>
              </w:rPr>
              <w:t xml:space="preserve"> </w:t>
            </w:r>
            <w:r>
              <w:rPr>
                <w:kern w:val="22"/>
                <w:szCs w:val="22"/>
              </w:rPr>
              <w:t>is enabled and promoted</w:t>
            </w:r>
          </w:p>
        </w:tc>
        <w:tc>
          <w:tcPr>
            <w:tcW w:w="10065" w:type="dxa"/>
          </w:tcPr>
          <w:p w14:paraId="5DCD4FAE" w14:textId="68682B36" w:rsidR="00D44EAC" w:rsidRPr="007954E0" w:rsidRDefault="00D44EAC" w:rsidP="00BD2C12">
            <w:pPr>
              <w:numPr>
                <w:ilvl w:val="2"/>
                <w:numId w:val="40"/>
              </w:numPr>
              <w:jc w:val="left"/>
              <w:rPr>
                <w:kern w:val="22"/>
                <w:szCs w:val="22"/>
              </w:rPr>
            </w:pPr>
            <w:r>
              <w:rPr>
                <w:kern w:val="22"/>
                <w:szCs w:val="22"/>
              </w:rPr>
              <w:t>Support</w:t>
            </w:r>
            <w:r w:rsidRPr="007954E0">
              <w:rPr>
                <w:kern w:val="22"/>
                <w:szCs w:val="22"/>
              </w:rPr>
              <w:t xml:space="preserve"> awareness-raising</w:t>
            </w:r>
            <w:r>
              <w:rPr>
                <w:kern w:val="22"/>
                <w:szCs w:val="22"/>
              </w:rPr>
              <w:t xml:space="preserve"> and training</w:t>
            </w:r>
            <w:r w:rsidRPr="007954E0">
              <w:rPr>
                <w:kern w:val="22"/>
                <w:szCs w:val="22"/>
              </w:rPr>
              <w:t xml:space="preserve"> activities on compliance with domestic legislation for users of genetic resources</w:t>
            </w:r>
            <w:r>
              <w:rPr>
                <w:kern w:val="22"/>
                <w:szCs w:val="22"/>
              </w:rPr>
              <w:t xml:space="preserve"> and associated traditional knowledge</w:t>
            </w:r>
            <w:r w:rsidR="00594F46">
              <w:rPr>
                <w:kern w:val="22"/>
                <w:szCs w:val="22"/>
              </w:rPr>
              <w:t>;</w:t>
            </w:r>
          </w:p>
          <w:p w14:paraId="2876A825" w14:textId="0D9965A9" w:rsidR="00D44EAC" w:rsidRPr="007954E0" w:rsidRDefault="00D44EAC" w:rsidP="00BD2C12">
            <w:pPr>
              <w:numPr>
                <w:ilvl w:val="2"/>
                <w:numId w:val="40"/>
              </w:numPr>
              <w:jc w:val="left"/>
              <w:rPr>
                <w:kern w:val="22"/>
                <w:szCs w:val="22"/>
              </w:rPr>
            </w:pPr>
            <w:r>
              <w:rPr>
                <w:kern w:val="22"/>
                <w:szCs w:val="22"/>
              </w:rPr>
              <w:t>Support the development</w:t>
            </w:r>
            <w:r w:rsidRPr="007954E0">
              <w:rPr>
                <w:kern w:val="22"/>
                <w:szCs w:val="22"/>
              </w:rPr>
              <w:t xml:space="preserve"> </w:t>
            </w:r>
            <w:r>
              <w:rPr>
                <w:kern w:val="22"/>
                <w:szCs w:val="22"/>
              </w:rPr>
              <w:t>of</w:t>
            </w:r>
            <w:r w:rsidRPr="007954E0">
              <w:rPr>
                <w:kern w:val="22"/>
                <w:szCs w:val="22"/>
              </w:rPr>
              <w:t xml:space="preserve"> procedures and</w:t>
            </w:r>
            <w:r>
              <w:rPr>
                <w:kern w:val="22"/>
                <w:szCs w:val="22"/>
              </w:rPr>
              <w:t xml:space="preserve"> measures</w:t>
            </w:r>
            <w:r w:rsidRPr="007954E0">
              <w:rPr>
                <w:kern w:val="22"/>
                <w:szCs w:val="22"/>
              </w:rPr>
              <w:t xml:space="preserve"> to address non-compliance</w:t>
            </w:r>
            <w:r>
              <w:rPr>
                <w:kern w:val="22"/>
                <w:szCs w:val="22"/>
              </w:rPr>
              <w:t xml:space="preserve"> based on good practices</w:t>
            </w:r>
            <w:r w:rsidR="00594F46">
              <w:rPr>
                <w:kern w:val="22"/>
                <w:szCs w:val="22"/>
              </w:rPr>
              <w:t>;</w:t>
            </w:r>
          </w:p>
          <w:p w14:paraId="6B1D566D" w14:textId="77777777" w:rsidR="00D44EAC" w:rsidRPr="005D0A2E" w:rsidRDefault="00D44EAC" w:rsidP="00BD2C12">
            <w:pPr>
              <w:numPr>
                <w:ilvl w:val="2"/>
                <w:numId w:val="40"/>
              </w:numPr>
              <w:jc w:val="left"/>
              <w:rPr>
                <w:kern w:val="22"/>
                <w:szCs w:val="22"/>
              </w:rPr>
            </w:pPr>
            <w:r>
              <w:rPr>
                <w:kern w:val="22"/>
                <w:szCs w:val="22"/>
              </w:rPr>
              <w:t>Support the</w:t>
            </w:r>
            <w:r w:rsidRPr="007954E0">
              <w:rPr>
                <w:kern w:val="22"/>
                <w:szCs w:val="22"/>
              </w:rPr>
              <w:t xml:space="preserve"> development of mechanisms to </w:t>
            </w:r>
            <w:r>
              <w:rPr>
                <w:kern w:val="22"/>
                <w:szCs w:val="22"/>
              </w:rPr>
              <w:t>enhance</w:t>
            </w:r>
            <w:r w:rsidRPr="007954E0">
              <w:rPr>
                <w:kern w:val="22"/>
                <w:szCs w:val="22"/>
              </w:rPr>
              <w:t xml:space="preserve"> </w:t>
            </w:r>
            <w:r>
              <w:rPr>
                <w:kern w:val="22"/>
                <w:szCs w:val="22"/>
              </w:rPr>
              <w:t xml:space="preserve">cooperation </w:t>
            </w:r>
            <w:r w:rsidRPr="007954E0">
              <w:rPr>
                <w:kern w:val="22"/>
                <w:szCs w:val="22"/>
              </w:rPr>
              <w:t>among government authorities</w:t>
            </w:r>
            <w:r>
              <w:rPr>
                <w:kern w:val="22"/>
                <w:szCs w:val="22"/>
              </w:rPr>
              <w:t xml:space="preserve"> between different countries</w:t>
            </w:r>
            <w:r w:rsidRPr="007954E0">
              <w:rPr>
                <w:kern w:val="22"/>
                <w:szCs w:val="22"/>
              </w:rPr>
              <w:t xml:space="preserve"> in cases of non-compliance</w:t>
            </w:r>
            <w:r>
              <w:rPr>
                <w:kern w:val="22"/>
                <w:szCs w:val="22"/>
              </w:rPr>
              <w:t>.</w:t>
            </w:r>
          </w:p>
        </w:tc>
      </w:tr>
      <w:tr w:rsidR="00D44EAC" w:rsidRPr="00372A69" w14:paraId="74419A79" w14:textId="77777777" w:rsidTr="005B1DF0">
        <w:trPr>
          <w:jc w:val="center"/>
        </w:trPr>
        <w:tc>
          <w:tcPr>
            <w:tcW w:w="3397" w:type="dxa"/>
          </w:tcPr>
          <w:p w14:paraId="387159D4" w14:textId="0C65EFC1" w:rsidR="00D44EAC" w:rsidRPr="00D70418" w:rsidRDefault="00D44EAC" w:rsidP="00335F76">
            <w:pPr>
              <w:pStyle w:val="ListParagraph"/>
              <w:tabs>
                <w:tab w:val="left" w:pos="449"/>
              </w:tabs>
              <w:ind w:left="24"/>
              <w:jc w:val="left"/>
              <w:rPr>
                <w:kern w:val="22"/>
                <w:szCs w:val="22"/>
              </w:rPr>
            </w:pPr>
            <w:r>
              <w:rPr>
                <w:kern w:val="22"/>
                <w:szCs w:val="22"/>
              </w:rPr>
              <w:t>2.8</w:t>
            </w:r>
            <w:r w:rsidRPr="007124FE">
              <w:rPr>
                <w:kern w:val="22"/>
                <w:szCs w:val="22"/>
              </w:rPr>
              <w:t>. Mandatory</w:t>
            </w:r>
            <w:r w:rsidRPr="007124FE">
              <w:rPr>
                <w:szCs w:val="22"/>
              </w:rPr>
              <w:t xml:space="preserve"> and relevant information is made available on the Access and Benefit-sharing Clearing-House </w:t>
            </w:r>
          </w:p>
        </w:tc>
        <w:tc>
          <w:tcPr>
            <w:tcW w:w="10065" w:type="dxa"/>
          </w:tcPr>
          <w:p w14:paraId="6F8FF008" w14:textId="310DC5F0" w:rsidR="00D44EAC" w:rsidRPr="001C07D8" w:rsidRDefault="00D44EAC" w:rsidP="00BD2C12">
            <w:pPr>
              <w:numPr>
                <w:ilvl w:val="2"/>
                <w:numId w:val="33"/>
              </w:numPr>
              <w:jc w:val="left"/>
              <w:rPr>
                <w:kern w:val="22"/>
                <w:szCs w:val="22"/>
              </w:rPr>
            </w:pPr>
            <w:r>
              <w:rPr>
                <w:kern w:val="22"/>
                <w:szCs w:val="22"/>
              </w:rPr>
              <w:t xml:space="preserve">Provide </w:t>
            </w:r>
            <w:r w:rsidRPr="000C7508">
              <w:rPr>
                <w:kern w:val="22"/>
                <w:szCs w:val="22"/>
              </w:rPr>
              <w:t xml:space="preserve">training </w:t>
            </w:r>
            <w:r w:rsidRPr="001E4D17">
              <w:rPr>
                <w:kern w:val="22"/>
                <w:szCs w:val="22"/>
              </w:rPr>
              <w:t>to publishing authorities</w:t>
            </w:r>
            <w:r w:rsidRPr="000C7508">
              <w:rPr>
                <w:kern w:val="22"/>
                <w:szCs w:val="22"/>
              </w:rPr>
              <w:t xml:space="preserve"> on how</w:t>
            </w:r>
            <w:r>
              <w:rPr>
                <w:kern w:val="22"/>
                <w:szCs w:val="22"/>
              </w:rPr>
              <w:t xml:space="preserve"> to publish mandatory information on the Access and Benefit-sharing Clearing House, </w:t>
            </w:r>
            <w:r w:rsidRPr="00F9249C">
              <w:rPr>
                <w:kern w:val="22"/>
                <w:szCs w:val="22"/>
              </w:rPr>
              <w:t xml:space="preserve">in accordance with </w:t>
            </w:r>
            <w:r w:rsidR="00DF21A9">
              <w:rPr>
                <w:kern w:val="22"/>
                <w:szCs w:val="22"/>
              </w:rPr>
              <w:t>A</w:t>
            </w:r>
            <w:r w:rsidRPr="00F9249C">
              <w:rPr>
                <w:kern w:val="22"/>
                <w:szCs w:val="22"/>
              </w:rPr>
              <w:t>rticle 14 of the Protocol</w:t>
            </w:r>
            <w:r w:rsidR="00594F46">
              <w:rPr>
                <w:kern w:val="22"/>
                <w:szCs w:val="22"/>
              </w:rPr>
              <w:t>;</w:t>
            </w:r>
          </w:p>
          <w:p w14:paraId="7FF850D3" w14:textId="098E5688" w:rsidR="00D44EAC" w:rsidRPr="00D22E81" w:rsidRDefault="00D44EAC" w:rsidP="00BD2C12">
            <w:pPr>
              <w:numPr>
                <w:ilvl w:val="2"/>
                <w:numId w:val="33"/>
              </w:numPr>
              <w:jc w:val="left"/>
              <w:rPr>
                <w:kern w:val="22"/>
                <w:szCs w:val="22"/>
              </w:rPr>
            </w:pPr>
            <w:r>
              <w:rPr>
                <w:kern w:val="22"/>
                <w:szCs w:val="22"/>
              </w:rPr>
              <w:t>Foster</w:t>
            </w:r>
            <w:r w:rsidRPr="009841A0">
              <w:rPr>
                <w:kern w:val="22"/>
                <w:szCs w:val="22"/>
              </w:rPr>
              <w:t xml:space="preserve"> interoperability </w:t>
            </w:r>
            <w:r>
              <w:rPr>
                <w:kern w:val="22"/>
                <w:szCs w:val="22"/>
              </w:rPr>
              <w:t xml:space="preserve">of national </w:t>
            </w:r>
            <w:r w:rsidR="000C42E1">
              <w:rPr>
                <w:kern w:val="22"/>
                <w:szCs w:val="22"/>
              </w:rPr>
              <w:t>ac</w:t>
            </w:r>
            <w:r w:rsidR="00907A9F">
              <w:rPr>
                <w:kern w:val="22"/>
                <w:szCs w:val="22"/>
              </w:rPr>
              <w:t>c</w:t>
            </w:r>
            <w:r w:rsidR="000C42E1">
              <w:rPr>
                <w:kern w:val="22"/>
                <w:szCs w:val="22"/>
              </w:rPr>
              <w:t>ess and benefit-sharing</w:t>
            </w:r>
            <w:r>
              <w:rPr>
                <w:kern w:val="22"/>
                <w:szCs w:val="22"/>
              </w:rPr>
              <w:t xml:space="preserve"> information systems with</w:t>
            </w:r>
            <w:r w:rsidRPr="009841A0" w:rsidDel="00617EBD">
              <w:rPr>
                <w:kern w:val="22"/>
                <w:szCs w:val="22"/>
              </w:rPr>
              <w:t xml:space="preserve"> </w:t>
            </w:r>
            <w:r w:rsidRPr="009841A0">
              <w:rPr>
                <w:kern w:val="22"/>
                <w:szCs w:val="22"/>
              </w:rPr>
              <w:t xml:space="preserve">the Access and Benefit-sharing Clearing-House </w:t>
            </w:r>
            <w:r>
              <w:rPr>
                <w:kern w:val="22"/>
                <w:szCs w:val="22"/>
              </w:rPr>
              <w:t>in order to improve efficiency in</w:t>
            </w:r>
            <w:r w:rsidRPr="009841A0">
              <w:rPr>
                <w:kern w:val="22"/>
                <w:szCs w:val="22"/>
              </w:rPr>
              <w:t xml:space="preserve"> the publication and updat</w:t>
            </w:r>
            <w:r>
              <w:rPr>
                <w:kern w:val="22"/>
                <w:szCs w:val="22"/>
              </w:rPr>
              <w:t>e</w:t>
            </w:r>
            <w:r w:rsidRPr="009841A0">
              <w:rPr>
                <w:kern w:val="22"/>
                <w:szCs w:val="22"/>
              </w:rPr>
              <w:t xml:space="preserve"> of information</w:t>
            </w:r>
            <w:r>
              <w:rPr>
                <w:kern w:val="22"/>
                <w:szCs w:val="22"/>
              </w:rPr>
              <w:t xml:space="preserve"> related to permits and checkpoint communiqu</w:t>
            </w:r>
            <w:r w:rsidR="00907A9F">
              <w:rPr>
                <w:kern w:val="22"/>
                <w:szCs w:val="22"/>
              </w:rPr>
              <w:t>é</w:t>
            </w:r>
            <w:r>
              <w:rPr>
                <w:kern w:val="22"/>
                <w:szCs w:val="22"/>
              </w:rPr>
              <w:t>s</w:t>
            </w:r>
            <w:r w:rsidRPr="00D22E81" w:rsidDel="00D22E81">
              <w:rPr>
                <w:kern w:val="22"/>
                <w:szCs w:val="22"/>
              </w:rPr>
              <w:t>.</w:t>
            </w:r>
          </w:p>
        </w:tc>
      </w:tr>
      <w:tr w:rsidR="00D44EAC" w:rsidRPr="00372A69" w14:paraId="4BB3BAC5" w14:textId="77777777" w:rsidTr="005B1DF0">
        <w:trPr>
          <w:jc w:val="center"/>
        </w:trPr>
        <w:tc>
          <w:tcPr>
            <w:tcW w:w="3397" w:type="dxa"/>
          </w:tcPr>
          <w:p w14:paraId="13CFFC7C" w14:textId="77777777" w:rsidR="00D44EAC" w:rsidRPr="00977DF0" w:rsidRDefault="00D44EAC" w:rsidP="00335F76">
            <w:pPr>
              <w:pStyle w:val="ListParagraph"/>
              <w:tabs>
                <w:tab w:val="left" w:pos="449"/>
              </w:tabs>
              <w:ind w:left="24"/>
              <w:jc w:val="left"/>
              <w:rPr>
                <w:kern w:val="22"/>
                <w:szCs w:val="22"/>
              </w:rPr>
            </w:pPr>
            <w:r w:rsidRPr="00977DF0">
              <w:rPr>
                <w:kern w:val="22"/>
                <w:szCs w:val="22"/>
              </w:rPr>
              <w:t>2.</w:t>
            </w:r>
            <w:r>
              <w:rPr>
                <w:kern w:val="22"/>
                <w:szCs w:val="22"/>
              </w:rPr>
              <w:t>9</w:t>
            </w:r>
            <w:r w:rsidRPr="00977DF0">
              <w:rPr>
                <w:kern w:val="22"/>
                <w:szCs w:val="22"/>
              </w:rPr>
              <w:t xml:space="preserve">. Regional </w:t>
            </w:r>
            <w:r>
              <w:rPr>
                <w:kern w:val="22"/>
                <w:szCs w:val="22"/>
              </w:rPr>
              <w:t xml:space="preserve">approaches are </w:t>
            </w:r>
            <w:r w:rsidRPr="00977DF0">
              <w:rPr>
                <w:kern w:val="22"/>
                <w:szCs w:val="22"/>
              </w:rPr>
              <w:t>promoted to support streamlining</w:t>
            </w:r>
            <w:r>
              <w:rPr>
                <w:kern w:val="22"/>
                <w:szCs w:val="22"/>
              </w:rPr>
              <w:t xml:space="preserve">, </w:t>
            </w:r>
            <w:r w:rsidRPr="00977DF0">
              <w:rPr>
                <w:kern w:val="22"/>
                <w:szCs w:val="22"/>
              </w:rPr>
              <w:t>harmonization</w:t>
            </w:r>
            <w:r>
              <w:rPr>
                <w:kern w:val="22"/>
                <w:szCs w:val="22"/>
              </w:rPr>
              <w:t xml:space="preserve"> and transboundary cooperation</w:t>
            </w:r>
          </w:p>
        </w:tc>
        <w:tc>
          <w:tcPr>
            <w:tcW w:w="10065" w:type="dxa"/>
          </w:tcPr>
          <w:p w14:paraId="2D15E382" w14:textId="7751F74A" w:rsidR="00D44EAC" w:rsidRDefault="00D44EAC" w:rsidP="00BD2C12">
            <w:pPr>
              <w:numPr>
                <w:ilvl w:val="2"/>
                <w:numId w:val="19"/>
              </w:numPr>
              <w:jc w:val="left"/>
              <w:rPr>
                <w:kern w:val="22"/>
                <w:szCs w:val="22"/>
              </w:rPr>
            </w:pPr>
            <w:r>
              <w:rPr>
                <w:kern w:val="22"/>
                <w:szCs w:val="22"/>
              </w:rPr>
              <w:t xml:space="preserve">Take stock of successful regional approaches in the implementation of the </w:t>
            </w:r>
            <w:r w:rsidR="00907A9F" w:rsidRPr="774ED644">
              <w:rPr>
                <w:kern w:val="22"/>
              </w:rPr>
              <w:t>N</w:t>
            </w:r>
            <w:r w:rsidR="00907A9F">
              <w:rPr>
                <w:kern w:val="22"/>
              </w:rPr>
              <w:t>a</w:t>
            </w:r>
            <w:r w:rsidR="00907A9F" w:rsidRPr="774ED644">
              <w:rPr>
                <w:kern w:val="22"/>
              </w:rPr>
              <w:t>goya</w:t>
            </w:r>
            <w:r w:rsidR="00907A9F">
              <w:rPr>
                <w:kern w:val="22"/>
                <w:szCs w:val="22"/>
              </w:rPr>
              <w:t xml:space="preserve"> </w:t>
            </w:r>
            <w:r>
              <w:rPr>
                <w:kern w:val="22"/>
                <w:szCs w:val="22"/>
              </w:rPr>
              <w:t>Protocol</w:t>
            </w:r>
            <w:r w:rsidR="00594F46">
              <w:rPr>
                <w:kern w:val="22"/>
                <w:szCs w:val="22"/>
              </w:rPr>
              <w:t>;</w:t>
            </w:r>
          </w:p>
          <w:p w14:paraId="3BC5D07D" w14:textId="349A5B93" w:rsidR="00D44EAC" w:rsidRDefault="00D44EAC" w:rsidP="00BD2C12">
            <w:pPr>
              <w:numPr>
                <w:ilvl w:val="2"/>
                <w:numId w:val="19"/>
              </w:numPr>
              <w:jc w:val="left"/>
            </w:pPr>
            <w:r w:rsidRPr="774ED644">
              <w:rPr>
                <w:kern w:val="22"/>
              </w:rPr>
              <w:t>Support regional approaches in the implementation of the Protocol, including, for example,</w:t>
            </w:r>
            <w:r w:rsidDel="002E32AD">
              <w:rPr>
                <w:kern w:val="22"/>
                <w:szCs w:val="22"/>
              </w:rPr>
              <w:t xml:space="preserve"> </w:t>
            </w:r>
            <w:r w:rsidRPr="774ED644">
              <w:rPr>
                <w:kern w:val="22"/>
              </w:rPr>
              <w:t xml:space="preserve">through the development of regional model legislation, guidelines, procedures, monitoring </w:t>
            </w:r>
            <w:r w:rsidR="006A57C5" w:rsidRPr="774ED644">
              <w:rPr>
                <w:kern w:val="22"/>
              </w:rPr>
              <w:t xml:space="preserve">utilization </w:t>
            </w:r>
            <w:r w:rsidRPr="774ED644">
              <w:rPr>
                <w:kern w:val="22"/>
              </w:rPr>
              <w:t>and information systems and sharing of lessons learned</w:t>
            </w:r>
            <w:r w:rsidR="02143952" w:rsidRPr="774ED644">
              <w:rPr>
                <w:kern w:val="22"/>
              </w:rPr>
              <w:t xml:space="preserve"> and good practice</w:t>
            </w:r>
            <w:r w:rsidR="00594F46">
              <w:rPr>
                <w:kern w:val="22"/>
              </w:rPr>
              <w:t>;</w:t>
            </w:r>
          </w:p>
          <w:p w14:paraId="2EDC1238" w14:textId="54CBC189" w:rsidR="00D44EAC" w:rsidRPr="00042CCC" w:rsidRDefault="00D44EAC" w:rsidP="00BD2C12">
            <w:pPr>
              <w:numPr>
                <w:ilvl w:val="2"/>
                <w:numId w:val="19"/>
              </w:numPr>
              <w:jc w:val="left"/>
            </w:pPr>
            <w:r w:rsidRPr="774ED644">
              <w:rPr>
                <w:kern w:val="22"/>
              </w:rPr>
              <w:t xml:space="preserve">Strengthen and support existing regional organizations </w:t>
            </w:r>
            <w:r w:rsidR="00907A9F">
              <w:rPr>
                <w:kern w:val="22"/>
              </w:rPr>
              <w:t>in</w:t>
            </w:r>
            <w:r w:rsidRPr="774ED644">
              <w:rPr>
                <w:kern w:val="22"/>
              </w:rPr>
              <w:t xml:space="preserve"> facilitating regional approaches to draft</w:t>
            </w:r>
            <w:r w:rsidR="000D109D">
              <w:rPr>
                <w:kern w:val="22"/>
              </w:rPr>
              <w:t>ing</w:t>
            </w:r>
            <w:r w:rsidRPr="774ED644">
              <w:rPr>
                <w:kern w:val="22"/>
              </w:rPr>
              <w:t xml:space="preserve"> model regional legislation and regulations </w:t>
            </w:r>
            <w:r w:rsidR="000D109D">
              <w:rPr>
                <w:kern w:val="22"/>
              </w:rPr>
              <w:t>which</w:t>
            </w:r>
            <w:r w:rsidRPr="774ED644">
              <w:rPr>
                <w:kern w:val="22"/>
              </w:rPr>
              <w:t xml:space="preserve"> can be adapted to national </w:t>
            </w:r>
            <w:r w:rsidR="61C5AA84" w:rsidRPr="774ED644">
              <w:rPr>
                <w:kern w:val="22"/>
              </w:rPr>
              <w:t>circumstances</w:t>
            </w:r>
            <w:r w:rsidRPr="774ED644">
              <w:rPr>
                <w:kern w:val="22"/>
              </w:rPr>
              <w:t>.</w:t>
            </w:r>
          </w:p>
        </w:tc>
      </w:tr>
    </w:tbl>
    <w:p w14:paraId="4910FBE5" w14:textId="77777777" w:rsidR="00D44EAC" w:rsidRDefault="00D44EAC" w:rsidP="00D44EAC"/>
    <w:tbl>
      <w:tblPr>
        <w:tblStyle w:val="TableGrid"/>
        <w:tblW w:w="13608" w:type="dxa"/>
        <w:tblInd w:w="-5" w:type="dxa"/>
        <w:tblLook w:val="04A0" w:firstRow="1" w:lastRow="0" w:firstColumn="1" w:lastColumn="0" w:noHBand="0" w:noVBand="1"/>
      </w:tblPr>
      <w:tblGrid>
        <w:gridCol w:w="3638"/>
        <w:gridCol w:w="9970"/>
      </w:tblGrid>
      <w:tr w:rsidR="00D44EAC" w:rsidRPr="00DD54AB" w14:paraId="268F0F05" w14:textId="77777777" w:rsidTr="005B1DF0">
        <w:tc>
          <w:tcPr>
            <w:tcW w:w="13608" w:type="dxa"/>
            <w:gridSpan w:val="2"/>
          </w:tcPr>
          <w:p w14:paraId="2B9C6259" w14:textId="77777777" w:rsidR="00D44EAC" w:rsidRDefault="00D44EAC" w:rsidP="00335F76">
            <w:pPr>
              <w:spacing w:before="120" w:after="120"/>
              <w:rPr>
                <w:b/>
                <w:bCs/>
                <w:szCs w:val="22"/>
              </w:rPr>
            </w:pPr>
            <w:r w:rsidRPr="009841A0">
              <w:rPr>
                <w:b/>
                <w:bCs/>
                <w:szCs w:val="22"/>
              </w:rPr>
              <w:t xml:space="preserve">Outcome area 3: </w:t>
            </w:r>
            <w:r w:rsidRPr="0049148D">
              <w:rPr>
                <w:b/>
                <w:bCs/>
                <w:szCs w:val="22"/>
              </w:rPr>
              <w:t>Strengthened capacity to negotiate mutually agreed terms</w:t>
            </w:r>
          </w:p>
          <w:p w14:paraId="2975C83A" w14:textId="6B0AF960" w:rsidR="00D44EAC" w:rsidRPr="0049148D" w:rsidRDefault="000D109D" w:rsidP="00335F76">
            <w:pPr>
              <w:spacing w:before="120" w:after="120"/>
              <w:rPr>
                <w:i/>
                <w:iCs/>
                <w:szCs w:val="22"/>
              </w:rPr>
            </w:pPr>
            <w:r>
              <w:rPr>
                <w:i/>
                <w:iCs/>
                <w:szCs w:val="22"/>
              </w:rPr>
              <w:t xml:space="preserve">Outcome </w:t>
            </w:r>
            <w:r w:rsidR="00D44EAC" w:rsidRPr="007176AE">
              <w:rPr>
                <w:i/>
                <w:iCs/>
                <w:szCs w:val="22"/>
              </w:rPr>
              <w:t xml:space="preserve"> area </w:t>
            </w:r>
            <w:r w:rsidR="000E10A1">
              <w:rPr>
                <w:i/>
                <w:iCs/>
                <w:szCs w:val="22"/>
              </w:rPr>
              <w:t xml:space="preserve">3 </w:t>
            </w:r>
            <w:r w:rsidR="00D44EAC">
              <w:rPr>
                <w:i/>
                <w:iCs/>
                <w:szCs w:val="22"/>
              </w:rPr>
              <w:t>a</w:t>
            </w:r>
            <w:r w:rsidR="00D44EAC" w:rsidRPr="007176AE">
              <w:rPr>
                <w:i/>
                <w:iCs/>
                <w:szCs w:val="22"/>
              </w:rPr>
              <w:t>ims to</w:t>
            </w:r>
            <w:r w:rsidR="000E10A1">
              <w:rPr>
                <w:i/>
                <w:iCs/>
                <w:szCs w:val="22"/>
              </w:rPr>
              <w:t>wards</w:t>
            </w:r>
            <w:r w:rsidR="00D44EAC" w:rsidRPr="007176AE">
              <w:rPr>
                <w:i/>
                <w:iCs/>
                <w:szCs w:val="22"/>
              </w:rPr>
              <w:t xml:space="preserve"> strengthen</w:t>
            </w:r>
            <w:r w:rsidR="000E10A1">
              <w:rPr>
                <w:i/>
                <w:iCs/>
                <w:szCs w:val="22"/>
              </w:rPr>
              <w:t>ing</w:t>
            </w:r>
            <w:r w:rsidR="00D44EAC" w:rsidRPr="007176AE">
              <w:rPr>
                <w:i/>
                <w:iCs/>
                <w:szCs w:val="22"/>
              </w:rPr>
              <w:t xml:space="preserve"> the capacities of </w:t>
            </w:r>
            <w:r w:rsidR="00D44EAC">
              <w:rPr>
                <w:i/>
                <w:iCs/>
                <w:szCs w:val="22"/>
              </w:rPr>
              <w:t xml:space="preserve">providers and users of genetic resources and/or traditional knowledge associated with genetic resources to negotiate mutually agreed terms. Expected outputs relate to improved negotiation skills, the development of </w:t>
            </w:r>
            <w:r w:rsidR="000E10A1">
              <w:rPr>
                <w:i/>
                <w:iCs/>
                <w:szCs w:val="22"/>
              </w:rPr>
              <w:t>access and benefit-sharing</w:t>
            </w:r>
            <w:r w:rsidR="00D44EAC">
              <w:rPr>
                <w:i/>
                <w:iCs/>
                <w:szCs w:val="22"/>
              </w:rPr>
              <w:t xml:space="preserve"> agreements and increased skills in monitoring monetary and non-monetary benefits.</w:t>
            </w:r>
          </w:p>
        </w:tc>
      </w:tr>
      <w:tr w:rsidR="00D44EAC" w:rsidRPr="00DD54AB" w14:paraId="2D003107" w14:textId="77777777" w:rsidTr="005B1DF0">
        <w:tc>
          <w:tcPr>
            <w:tcW w:w="3638" w:type="dxa"/>
          </w:tcPr>
          <w:p w14:paraId="59400443" w14:textId="77777777" w:rsidR="00D44EAC" w:rsidRPr="0049148D" w:rsidRDefault="00D44EAC" w:rsidP="00335F76">
            <w:pPr>
              <w:rPr>
                <w:b/>
                <w:bCs/>
                <w:szCs w:val="22"/>
              </w:rPr>
            </w:pPr>
            <w:r w:rsidRPr="0049148D">
              <w:rPr>
                <w:b/>
                <w:bCs/>
                <w:szCs w:val="22"/>
              </w:rPr>
              <w:t>Outputs</w:t>
            </w:r>
          </w:p>
        </w:tc>
        <w:tc>
          <w:tcPr>
            <w:tcW w:w="9970" w:type="dxa"/>
          </w:tcPr>
          <w:p w14:paraId="07F06931" w14:textId="77777777" w:rsidR="00D44EAC" w:rsidRPr="0049148D" w:rsidRDefault="00D44EAC" w:rsidP="00335F76">
            <w:pPr>
              <w:rPr>
                <w:szCs w:val="22"/>
              </w:rPr>
            </w:pPr>
            <w:r w:rsidRPr="0049148D">
              <w:rPr>
                <w:b/>
                <w:bCs/>
                <w:kern w:val="22"/>
                <w:szCs w:val="22"/>
              </w:rPr>
              <w:t>Indicative capacity-building and development activities</w:t>
            </w:r>
          </w:p>
        </w:tc>
      </w:tr>
      <w:tr w:rsidR="00D44EAC" w:rsidRPr="00AB3B24" w14:paraId="0793933A" w14:textId="77777777" w:rsidTr="005B1DF0">
        <w:tc>
          <w:tcPr>
            <w:tcW w:w="3638" w:type="dxa"/>
          </w:tcPr>
          <w:p w14:paraId="7B65A42B" w14:textId="77777777" w:rsidR="00D44EAC" w:rsidRPr="00B36F7A" w:rsidRDefault="00D44EAC" w:rsidP="00335F76">
            <w:pPr>
              <w:rPr>
                <w:szCs w:val="22"/>
              </w:rPr>
            </w:pPr>
            <w:r>
              <w:rPr>
                <w:szCs w:val="22"/>
              </w:rPr>
              <w:t xml:space="preserve">3.1. </w:t>
            </w:r>
            <w:r w:rsidRPr="00B36F7A">
              <w:rPr>
                <w:szCs w:val="22"/>
              </w:rPr>
              <w:t xml:space="preserve">Negotiation </w:t>
            </w:r>
            <w:r>
              <w:rPr>
                <w:szCs w:val="22"/>
              </w:rPr>
              <w:t>skills are improved</w:t>
            </w:r>
          </w:p>
        </w:tc>
        <w:tc>
          <w:tcPr>
            <w:tcW w:w="9970" w:type="dxa"/>
          </w:tcPr>
          <w:p w14:paraId="05580288" w14:textId="1F0DD23C" w:rsidR="00D44EAC" w:rsidRDefault="00D44EAC" w:rsidP="00BD2C12">
            <w:pPr>
              <w:numPr>
                <w:ilvl w:val="2"/>
                <w:numId w:val="20"/>
              </w:numPr>
              <w:jc w:val="left"/>
              <w:rPr>
                <w:kern w:val="22"/>
                <w:szCs w:val="22"/>
              </w:rPr>
            </w:pPr>
            <w:r>
              <w:rPr>
                <w:kern w:val="22"/>
                <w:szCs w:val="22"/>
              </w:rPr>
              <w:t>Provide</w:t>
            </w:r>
            <w:r w:rsidR="00C73D90">
              <w:rPr>
                <w:kern w:val="22"/>
                <w:szCs w:val="22"/>
              </w:rPr>
              <w:t xml:space="preserve"> guidance</w:t>
            </w:r>
            <w:r w:rsidR="008475CF">
              <w:rPr>
                <w:kern w:val="22"/>
                <w:szCs w:val="22"/>
              </w:rPr>
              <w:t xml:space="preserve">, </w:t>
            </w:r>
            <w:r>
              <w:rPr>
                <w:kern w:val="22"/>
                <w:szCs w:val="22"/>
              </w:rPr>
              <w:t xml:space="preserve">training </w:t>
            </w:r>
            <w:r w:rsidR="008475CF">
              <w:rPr>
                <w:kern w:val="22"/>
                <w:szCs w:val="22"/>
              </w:rPr>
              <w:t xml:space="preserve">or technical assistance </w:t>
            </w:r>
            <w:r>
              <w:rPr>
                <w:kern w:val="22"/>
                <w:szCs w:val="22"/>
              </w:rPr>
              <w:t xml:space="preserve">on research and development processes and potential value chains of </w:t>
            </w:r>
            <w:r w:rsidR="000E10A1">
              <w:rPr>
                <w:kern w:val="22"/>
                <w:szCs w:val="22"/>
              </w:rPr>
              <w:t>access and benefit-sharing</w:t>
            </w:r>
            <w:r w:rsidR="001C3373">
              <w:rPr>
                <w:kern w:val="22"/>
                <w:szCs w:val="22"/>
              </w:rPr>
              <w:t>-</w:t>
            </w:r>
            <w:r>
              <w:rPr>
                <w:kern w:val="22"/>
                <w:szCs w:val="22"/>
              </w:rPr>
              <w:t>related products in different sectors and possible trigger points for the sharing of benefits</w:t>
            </w:r>
            <w:r w:rsidR="00594F46">
              <w:rPr>
                <w:kern w:val="22"/>
                <w:szCs w:val="22"/>
              </w:rPr>
              <w:t>;</w:t>
            </w:r>
          </w:p>
          <w:p w14:paraId="1C65C718" w14:textId="70471319" w:rsidR="00D44EAC" w:rsidRPr="00B36F7A" w:rsidRDefault="00D44EAC" w:rsidP="00BD2C12">
            <w:pPr>
              <w:numPr>
                <w:ilvl w:val="2"/>
                <w:numId w:val="20"/>
              </w:numPr>
              <w:jc w:val="left"/>
              <w:rPr>
                <w:kern w:val="22"/>
                <w:szCs w:val="22"/>
              </w:rPr>
            </w:pPr>
            <w:r>
              <w:rPr>
                <w:kern w:val="22"/>
                <w:szCs w:val="22"/>
              </w:rPr>
              <w:t xml:space="preserve">Provide </w:t>
            </w:r>
            <w:r w:rsidR="00F25E82">
              <w:rPr>
                <w:kern w:val="22"/>
                <w:szCs w:val="22"/>
              </w:rPr>
              <w:t>guidance</w:t>
            </w:r>
            <w:r w:rsidR="00C07C3C">
              <w:rPr>
                <w:kern w:val="22"/>
                <w:szCs w:val="22"/>
              </w:rPr>
              <w:t>,</w:t>
            </w:r>
            <w:r w:rsidR="00F25E82">
              <w:rPr>
                <w:kern w:val="22"/>
                <w:szCs w:val="22"/>
              </w:rPr>
              <w:t xml:space="preserve"> </w:t>
            </w:r>
            <w:r>
              <w:rPr>
                <w:kern w:val="22"/>
                <w:szCs w:val="22"/>
              </w:rPr>
              <w:t xml:space="preserve">training </w:t>
            </w:r>
            <w:r w:rsidR="00F25E82">
              <w:rPr>
                <w:kern w:val="22"/>
                <w:szCs w:val="22"/>
              </w:rPr>
              <w:t xml:space="preserve">or technical assistance </w:t>
            </w:r>
            <w:r>
              <w:rPr>
                <w:kern w:val="22"/>
                <w:szCs w:val="22"/>
              </w:rPr>
              <w:t xml:space="preserve">to enhance negotiation skills for </w:t>
            </w:r>
            <w:r w:rsidR="001C3373">
              <w:rPr>
                <w:kern w:val="22"/>
                <w:szCs w:val="22"/>
              </w:rPr>
              <w:t>access and benefit-sharing</w:t>
            </w:r>
            <w:r>
              <w:rPr>
                <w:kern w:val="22"/>
                <w:szCs w:val="22"/>
              </w:rPr>
              <w:t xml:space="preserve"> agreements.</w:t>
            </w:r>
          </w:p>
        </w:tc>
      </w:tr>
      <w:tr w:rsidR="00D44EAC" w:rsidRPr="00DD54AB" w14:paraId="3DC3A3F2" w14:textId="77777777" w:rsidTr="005B1DF0">
        <w:tc>
          <w:tcPr>
            <w:tcW w:w="3638" w:type="dxa"/>
          </w:tcPr>
          <w:p w14:paraId="4383D1B1" w14:textId="77777777" w:rsidR="00D44EAC" w:rsidRPr="0049148D" w:rsidRDefault="00D44EAC" w:rsidP="00335F76">
            <w:pPr>
              <w:tabs>
                <w:tab w:val="left" w:pos="456"/>
              </w:tabs>
              <w:jc w:val="left"/>
              <w:rPr>
                <w:kern w:val="22"/>
                <w:szCs w:val="22"/>
              </w:rPr>
            </w:pPr>
            <w:r w:rsidRPr="0049148D">
              <w:rPr>
                <w:kern w:val="22"/>
                <w:szCs w:val="22"/>
              </w:rPr>
              <w:lastRenderedPageBreak/>
              <w:t>3.</w:t>
            </w:r>
            <w:r>
              <w:rPr>
                <w:kern w:val="22"/>
                <w:szCs w:val="22"/>
              </w:rPr>
              <w:t>2</w:t>
            </w:r>
            <w:r w:rsidRPr="0049148D">
              <w:rPr>
                <w:kern w:val="22"/>
                <w:szCs w:val="22"/>
              </w:rPr>
              <w:t>. Access and benefit-sharing agreements are developed</w:t>
            </w:r>
            <w:r>
              <w:rPr>
                <w:kern w:val="22"/>
                <w:szCs w:val="22"/>
              </w:rPr>
              <w:t xml:space="preserve"> and monitored</w:t>
            </w:r>
          </w:p>
        </w:tc>
        <w:tc>
          <w:tcPr>
            <w:tcW w:w="9970" w:type="dxa"/>
          </w:tcPr>
          <w:p w14:paraId="331040ED" w14:textId="71B494F9" w:rsidR="00D44EAC" w:rsidRPr="009E64D0" w:rsidRDefault="00D44EAC" w:rsidP="00BD2C12">
            <w:pPr>
              <w:numPr>
                <w:ilvl w:val="2"/>
                <w:numId w:val="48"/>
              </w:numPr>
              <w:jc w:val="left"/>
            </w:pPr>
            <w:r w:rsidRPr="774ED644">
              <w:rPr>
                <w:kern w:val="22"/>
              </w:rPr>
              <w:t xml:space="preserve">Take stock of successful access and benefit-sharing agreements </w:t>
            </w:r>
            <w:r w:rsidR="001C3373">
              <w:rPr>
                <w:kern w:val="22"/>
              </w:rPr>
              <w:t>which</w:t>
            </w:r>
            <w:r w:rsidRPr="774ED644">
              <w:rPr>
                <w:kern w:val="22"/>
              </w:rPr>
              <w:t xml:space="preserve"> lead to increased benefit-sharing and use lessons learned </w:t>
            </w:r>
            <w:r w:rsidR="5EF39467" w:rsidRPr="774ED644">
              <w:rPr>
                <w:kern w:val="22"/>
              </w:rPr>
              <w:t xml:space="preserve">and good practices </w:t>
            </w:r>
            <w:r w:rsidRPr="774ED644">
              <w:rPr>
                <w:kern w:val="22"/>
              </w:rPr>
              <w:t>in the design of future agreements</w:t>
            </w:r>
            <w:r w:rsidR="00594F46">
              <w:rPr>
                <w:kern w:val="22"/>
              </w:rPr>
              <w:t>;</w:t>
            </w:r>
          </w:p>
          <w:p w14:paraId="1197A4D5" w14:textId="710325E1" w:rsidR="00D44EAC" w:rsidRPr="009E64D0" w:rsidRDefault="00155E89" w:rsidP="00BD2C12">
            <w:pPr>
              <w:numPr>
                <w:ilvl w:val="2"/>
                <w:numId w:val="48"/>
              </w:numPr>
              <w:jc w:val="left"/>
              <w:rPr>
                <w:kern w:val="22"/>
                <w:szCs w:val="22"/>
              </w:rPr>
            </w:pPr>
            <w:r>
              <w:rPr>
                <w:kern w:val="22"/>
                <w:szCs w:val="22"/>
              </w:rPr>
              <w:t>Revise</w:t>
            </w:r>
            <w:r w:rsidR="00D44EAC" w:rsidRPr="009E64D0">
              <w:rPr>
                <w:kern w:val="22"/>
                <w:szCs w:val="22"/>
              </w:rPr>
              <w:t xml:space="preserve">, </w:t>
            </w:r>
            <w:r w:rsidR="00980088">
              <w:rPr>
                <w:kern w:val="22"/>
                <w:szCs w:val="22"/>
              </w:rPr>
              <w:t xml:space="preserve">as needed, </w:t>
            </w:r>
            <w:r w:rsidR="00D44EAC" w:rsidRPr="009E64D0">
              <w:rPr>
                <w:kern w:val="22"/>
                <w:szCs w:val="22"/>
              </w:rPr>
              <w:t>disseminate and</w:t>
            </w:r>
            <w:r w:rsidR="001734FD">
              <w:rPr>
                <w:kern w:val="22"/>
                <w:szCs w:val="22"/>
              </w:rPr>
              <w:t xml:space="preserve"> promote use</w:t>
            </w:r>
            <w:r w:rsidR="00D44EAC" w:rsidRPr="009E64D0">
              <w:rPr>
                <w:kern w:val="22"/>
                <w:szCs w:val="22"/>
              </w:rPr>
              <w:t xml:space="preserve"> </w:t>
            </w:r>
            <w:r w:rsidR="00980088">
              <w:rPr>
                <w:kern w:val="22"/>
                <w:szCs w:val="22"/>
              </w:rPr>
              <w:t xml:space="preserve">of </w:t>
            </w:r>
            <w:r w:rsidR="00D44EAC">
              <w:rPr>
                <w:kern w:val="22"/>
                <w:szCs w:val="22"/>
              </w:rPr>
              <w:t>existing</w:t>
            </w:r>
            <w:r w:rsidR="00D44EAC" w:rsidRPr="009E64D0">
              <w:rPr>
                <w:kern w:val="22"/>
                <w:szCs w:val="22"/>
              </w:rPr>
              <w:t xml:space="preserve"> training materials on mutually agreed terms based on </w:t>
            </w:r>
            <w:r w:rsidR="00D44EAC">
              <w:rPr>
                <w:kern w:val="22"/>
                <w:szCs w:val="22"/>
              </w:rPr>
              <w:t>good</w:t>
            </w:r>
            <w:r w:rsidR="00D44EAC" w:rsidRPr="009E64D0">
              <w:rPr>
                <w:kern w:val="22"/>
                <w:szCs w:val="22"/>
              </w:rPr>
              <w:t xml:space="preserve"> practices</w:t>
            </w:r>
            <w:r w:rsidR="00594F46">
              <w:rPr>
                <w:kern w:val="22"/>
                <w:szCs w:val="22"/>
              </w:rPr>
              <w:t>;</w:t>
            </w:r>
          </w:p>
          <w:p w14:paraId="019B45F7" w14:textId="421ABA7D" w:rsidR="00D44EAC" w:rsidRDefault="00D44EAC" w:rsidP="00BD2C12">
            <w:pPr>
              <w:numPr>
                <w:ilvl w:val="2"/>
                <w:numId w:val="48"/>
              </w:numPr>
              <w:jc w:val="left"/>
              <w:rPr>
                <w:kern w:val="22"/>
                <w:szCs w:val="22"/>
              </w:rPr>
            </w:pPr>
            <w:r w:rsidRPr="00E27CFC">
              <w:rPr>
                <w:kern w:val="22"/>
                <w:szCs w:val="22"/>
              </w:rPr>
              <w:t>Provide</w:t>
            </w:r>
            <w:r w:rsidR="00FD35F8">
              <w:rPr>
                <w:kern w:val="22"/>
                <w:szCs w:val="22"/>
              </w:rPr>
              <w:t xml:space="preserve"> </w:t>
            </w:r>
            <w:r w:rsidR="00C07C3C">
              <w:rPr>
                <w:kern w:val="22"/>
                <w:szCs w:val="22"/>
              </w:rPr>
              <w:t>guidance,</w:t>
            </w:r>
            <w:r w:rsidRPr="009E64D0">
              <w:rPr>
                <w:kern w:val="22"/>
                <w:szCs w:val="22"/>
              </w:rPr>
              <w:t xml:space="preserve"> training</w:t>
            </w:r>
            <w:r w:rsidRPr="00E27CFC">
              <w:rPr>
                <w:kern w:val="22"/>
                <w:szCs w:val="22"/>
              </w:rPr>
              <w:t xml:space="preserve"> or technical assistance </w:t>
            </w:r>
            <w:r w:rsidRPr="009E64D0">
              <w:rPr>
                <w:kern w:val="22"/>
                <w:szCs w:val="22"/>
              </w:rPr>
              <w:t>on how to develop access and benefit-sharing agreements that lead to increased benefit-sharin</w:t>
            </w:r>
            <w:r w:rsidRPr="00E27CFC">
              <w:rPr>
                <w:kern w:val="22"/>
                <w:szCs w:val="22"/>
              </w:rPr>
              <w:t>g</w:t>
            </w:r>
            <w:r w:rsidR="00594F46">
              <w:rPr>
                <w:kern w:val="22"/>
                <w:szCs w:val="22"/>
              </w:rPr>
              <w:t>;</w:t>
            </w:r>
          </w:p>
          <w:p w14:paraId="3CD7CC41" w14:textId="54E06BCD" w:rsidR="00D44EAC" w:rsidRPr="00DE4451" w:rsidRDefault="00D44EAC" w:rsidP="00BD2C12">
            <w:pPr>
              <w:numPr>
                <w:ilvl w:val="2"/>
                <w:numId w:val="48"/>
              </w:numPr>
              <w:jc w:val="left"/>
              <w:rPr>
                <w:kern w:val="22"/>
                <w:szCs w:val="22"/>
              </w:rPr>
            </w:pPr>
            <w:r>
              <w:rPr>
                <w:kern w:val="22"/>
                <w:szCs w:val="22"/>
              </w:rPr>
              <w:t xml:space="preserve">Provide </w:t>
            </w:r>
            <w:r w:rsidR="00703D8E">
              <w:rPr>
                <w:kern w:val="22"/>
                <w:szCs w:val="22"/>
              </w:rPr>
              <w:t xml:space="preserve">guidance, </w:t>
            </w:r>
            <w:r>
              <w:rPr>
                <w:kern w:val="22"/>
                <w:szCs w:val="22"/>
              </w:rPr>
              <w:t>training</w:t>
            </w:r>
            <w:r w:rsidR="00896BCE">
              <w:rPr>
                <w:kern w:val="22"/>
                <w:szCs w:val="22"/>
              </w:rPr>
              <w:t xml:space="preserve"> </w:t>
            </w:r>
            <w:r>
              <w:rPr>
                <w:kern w:val="22"/>
                <w:szCs w:val="22"/>
              </w:rPr>
              <w:t>or technical assistance on how to monitor monetary and non-monetary benefits.</w:t>
            </w:r>
          </w:p>
        </w:tc>
      </w:tr>
      <w:tr w:rsidR="00D44EAC" w:rsidRPr="00DD54AB" w14:paraId="6F5B460A" w14:textId="77777777" w:rsidTr="005B1DF0">
        <w:tc>
          <w:tcPr>
            <w:tcW w:w="3638" w:type="dxa"/>
          </w:tcPr>
          <w:p w14:paraId="1575410D" w14:textId="77777777" w:rsidR="00D44EAC" w:rsidRPr="0049148D" w:rsidRDefault="00D44EAC" w:rsidP="00335F76">
            <w:pPr>
              <w:tabs>
                <w:tab w:val="left" w:pos="456"/>
              </w:tabs>
              <w:jc w:val="left"/>
              <w:rPr>
                <w:kern w:val="22"/>
                <w:szCs w:val="22"/>
              </w:rPr>
            </w:pPr>
            <w:r w:rsidRPr="0049148D">
              <w:rPr>
                <w:kern w:val="22"/>
                <w:szCs w:val="22"/>
              </w:rPr>
              <w:t>3.</w:t>
            </w:r>
            <w:r>
              <w:rPr>
                <w:kern w:val="22"/>
                <w:szCs w:val="22"/>
              </w:rPr>
              <w:t>3</w:t>
            </w:r>
            <w:r w:rsidRPr="0049148D">
              <w:rPr>
                <w:kern w:val="22"/>
                <w:szCs w:val="22"/>
              </w:rPr>
              <w:t>. Model sectoral and cross-sectoral contractual clauses are developed and used</w:t>
            </w:r>
          </w:p>
        </w:tc>
        <w:tc>
          <w:tcPr>
            <w:tcW w:w="9970" w:type="dxa"/>
          </w:tcPr>
          <w:p w14:paraId="4E4D43CC" w14:textId="30EF040F" w:rsidR="00D44EAC" w:rsidRDefault="00155E89" w:rsidP="00BD2C12">
            <w:pPr>
              <w:numPr>
                <w:ilvl w:val="2"/>
                <w:numId w:val="21"/>
              </w:numPr>
              <w:jc w:val="left"/>
              <w:rPr>
                <w:kern w:val="22"/>
                <w:szCs w:val="22"/>
              </w:rPr>
            </w:pPr>
            <w:r>
              <w:rPr>
                <w:kern w:val="22"/>
                <w:szCs w:val="22"/>
              </w:rPr>
              <w:t>Revise</w:t>
            </w:r>
            <w:r w:rsidR="00C16E3A">
              <w:rPr>
                <w:kern w:val="22"/>
                <w:szCs w:val="22"/>
              </w:rPr>
              <w:t>, as needed,</w:t>
            </w:r>
            <w:r w:rsidR="00AC26C9">
              <w:rPr>
                <w:kern w:val="22"/>
                <w:szCs w:val="22"/>
              </w:rPr>
              <w:t xml:space="preserve"> </w:t>
            </w:r>
            <w:r w:rsidR="00C16E3A">
              <w:rPr>
                <w:kern w:val="22"/>
                <w:szCs w:val="22"/>
              </w:rPr>
              <w:t>disseminate</w:t>
            </w:r>
            <w:r w:rsidR="001734FD">
              <w:rPr>
                <w:kern w:val="22"/>
                <w:szCs w:val="22"/>
              </w:rPr>
              <w:t xml:space="preserve"> and promote use</w:t>
            </w:r>
            <w:r w:rsidR="00C16E3A" w:rsidRPr="00793C16" w:rsidDel="00B36BE1">
              <w:rPr>
                <w:kern w:val="22"/>
                <w:szCs w:val="22"/>
              </w:rPr>
              <w:t xml:space="preserve"> </w:t>
            </w:r>
            <w:r w:rsidR="00DD0FE7">
              <w:rPr>
                <w:kern w:val="22"/>
                <w:szCs w:val="22"/>
              </w:rPr>
              <w:t xml:space="preserve">of </w:t>
            </w:r>
            <w:r w:rsidR="00D44EAC">
              <w:rPr>
                <w:kern w:val="22"/>
                <w:szCs w:val="22"/>
              </w:rPr>
              <w:t>existing model contractual clauses (sectoral and cross-sectoral) and publish the</w:t>
            </w:r>
            <w:r w:rsidR="00DD0FE7">
              <w:rPr>
                <w:kern w:val="22"/>
                <w:szCs w:val="22"/>
              </w:rPr>
              <w:t>m</w:t>
            </w:r>
            <w:r w:rsidR="00D44EAC">
              <w:rPr>
                <w:kern w:val="22"/>
                <w:szCs w:val="22"/>
              </w:rPr>
              <w:t xml:space="preserve"> on the A</w:t>
            </w:r>
            <w:r w:rsidR="00DD0FE7">
              <w:rPr>
                <w:kern w:val="22"/>
                <w:szCs w:val="22"/>
              </w:rPr>
              <w:t>ccess and Benefit-Sharing</w:t>
            </w:r>
            <w:r w:rsidR="00D44EAC">
              <w:rPr>
                <w:kern w:val="22"/>
                <w:szCs w:val="22"/>
              </w:rPr>
              <w:t xml:space="preserve"> Clearing-House</w:t>
            </w:r>
            <w:r w:rsidR="00594F46">
              <w:rPr>
                <w:kern w:val="22"/>
                <w:szCs w:val="22"/>
              </w:rPr>
              <w:t>;</w:t>
            </w:r>
          </w:p>
          <w:p w14:paraId="052ECC2B" w14:textId="48ABF30B" w:rsidR="00D44EAC" w:rsidRPr="004930E9" w:rsidRDefault="00D44EAC" w:rsidP="00BD2C12">
            <w:pPr>
              <w:numPr>
                <w:ilvl w:val="2"/>
                <w:numId w:val="21"/>
              </w:numPr>
              <w:jc w:val="left"/>
              <w:rPr>
                <w:kern w:val="22"/>
                <w:szCs w:val="22"/>
              </w:rPr>
            </w:pPr>
            <w:r>
              <w:rPr>
                <w:kern w:val="22"/>
                <w:szCs w:val="22"/>
              </w:rPr>
              <w:t xml:space="preserve">Provide </w:t>
            </w:r>
            <w:r w:rsidR="00461429">
              <w:rPr>
                <w:kern w:val="22"/>
                <w:szCs w:val="22"/>
              </w:rPr>
              <w:t>gu</w:t>
            </w:r>
            <w:r w:rsidR="00703D8E">
              <w:rPr>
                <w:kern w:val="22"/>
                <w:szCs w:val="22"/>
              </w:rPr>
              <w:t>idance</w:t>
            </w:r>
            <w:r w:rsidR="003C032C">
              <w:rPr>
                <w:kern w:val="22"/>
                <w:szCs w:val="22"/>
              </w:rPr>
              <w:t>,</w:t>
            </w:r>
            <w:r w:rsidR="00703D8E">
              <w:rPr>
                <w:kern w:val="22"/>
                <w:szCs w:val="22"/>
              </w:rPr>
              <w:t xml:space="preserve"> </w:t>
            </w:r>
            <w:r>
              <w:rPr>
                <w:kern w:val="22"/>
                <w:szCs w:val="22"/>
              </w:rPr>
              <w:t>training</w:t>
            </w:r>
            <w:r w:rsidR="00896BCE">
              <w:rPr>
                <w:kern w:val="22"/>
                <w:szCs w:val="22"/>
              </w:rPr>
              <w:t xml:space="preserve"> </w:t>
            </w:r>
            <w:r>
              <w:rPr>
                <w:kern w:val="22"/>
                <w:szCs w:val="22"/>
              </w:rPr>
              <w:t xml:space="preserve">or technical assistance </w:t>
            </w:r>
            <w:r w:rsidRPr="00E35626" w:rsidDel="00B36BE1">
              <w:rPr>
                <w:kern w:val="22"/>
                <w:szCs w:val="22"/>
              </w:rPr>
              <w:t>on</w:t>
            </w:r>
            <w:r w:rsidRPr="00E35626">
              <w:rPr>
                <w:kern w:val="22"/>
                <w:szCs w:val="22"/>
              </w:rPr>
              <w:t xml:space="preserve"> how to use</w:t>
            </w:r>
            <w:r>
              <w:rPr>
                <w:kern w:val="22"/>
                <w:szCs w:val="22"/>
              </w:rPr>
              <w:t xml:space="preserve"> and adapt</w:t>
            </w:r>
            <w:r w:rsidRPr="00E35626">
              <w:rPr>
                <w:kern w:val="22"/>
                <w:szCs w:val="22"/>
              </w:rPr>
              <w:t xml:space="preserve"> model contractual clauses</w:t>
            </w:r>
            <w:r>
              <w:rPr>
                <w:kern w:val="22"/>
                <w:szCs w:val="22"/>
              </w:rPr>
              <w:t xml:space="preserve"> based on good practices</w:t>
            </w:r>
            <w:r w:rsidRPr="004930E9" w:rsidDel="004930E9">
              <w:rPr>
                <w:kern w:val="22"/>
                <w:szCs w:val="22"/>
              </w:rPr>
              <w:t>.</w:t>
            </w:r>
          </w:p>
        </w:tc>
      </w:tr>
    </w:tbl>
    <w:p w14:paraId="1B9AE539" w14:textId="77777777" w:rsidR="00D44EAC" w:rsidRDefault="00D44EAC" w:rsidP="00D44EAC"/>
    <w:tbl>
      <w:tblPr>
        <w:tblStyle w:val="TableGrid"/>
        <w:tblW w:w="13306" w:type="dxa"/>
        <w:tblInd w:w="279" w:type="dxa"/>
        <w:tblLook w:val="04A0" w:firstRow="1" w:lastRow="0" w:firstColumn="1" w:lastColumn="0" w:noHBand="0" w:noVBand="1"/>
      </w:tblPr>
      <w:tblGrid>
        <w:gridCol w:w="3600"/>
        <w:gridCol w:w="9706"/>
      </w:tblGrid>
      <w:tr w:rsidR="00D44EAC" w:rsidRPr="00381E08" w14:paraId="7E1D0975" w14:textId="77777777" w:rsidTr="00840F80">
        <w:tc>
          <w:tcPr>
            <w:tcW w:w="13306" w:type="dxa"/>
            <w:gridSpan w:val="2"/>
          </w:tcPr>
          <w:p w14:paraId="20586B4A" w14:textId="77777777" w:rsidR="00D44EAC" w:rsidRDefault="00D44EAC" w:rsidP="006A3AAC">
            <w:pPr>
              <w:spacing w:before="120" w:after="120"/>
              <w:jc w:val="left"/>
              <w:rPr>
                <w:b/>
                <w:bCs/>
                <w:szCs w:val="22"/>
              </w:rPr>
            </w:pPr>
            <w:r w:rsidRPr="0038080F">
              <w:rPr>
                <w:b/>
                <w:bCs/>
                <w:szCs w:val="22"/>
              </w:rPr>
              <w:t xml:space="preserve">Outcome area 4: </w:t>
            </w:r>
            <w:r w:rsidRPr="00234E84">
              <w:rPr>
                <w:b/>
                <w:bCs/>
                <w:szCs w:val="22"/>
              </w:rPr>
              <w:t>S</w:t>
            </w:r>
            <w:r w:rsidRPr="0038080F">
              <w:rPr>
                <w:b/>
                <w:bCs/>
                <w:szCs w:val="22"/>
              </w:rPr>
              <w:t xml:space="preserve">trengthened capacity of indigenous peoples and local communities to </w:t>
            </w:r>
            <w:r>
              <w:rPr>
                <w:b/>
                <w:bCs/>
                <w:szCs w:val="22"/>
              </w:rPr>
              <w:t xml:space="preserve">participate in </w:t>
            </w:r>
            <w:r w:rsidRPr="0038080F">
              <w:rPr>
                <w:b/>
                <w:bCs/>
                <w:szCs w:val="22"/>
              </w:rPr>
              <w:t>the implementation of the Nagoya Protocol</w:t>
            </w:r>
          </w:p>
          <w:p w14:paraId="7B18B678" w14:textId="70F3DCD8" w:rsidR="00D44EAC" w:rsidRPr="00C27DAB" w:rsidRDefault="00DD0FE7" w:rsidP="00335F76">
            <w:pPr>
              <w:spacing w:before="120" w:after="120"/>
              <w:rPr>
                <w:i/>
                <w:iCs/>
                <w:szCs w:val="22"/>
              </w:rPr>
            </w:pPr>
            <w:r>
              <w:rPr>
                <w:i/>
                <w:iCs/>
                <w:szCs w:val="22"/>
              </w:rPr>
              <w:t>O</w:t>
            </w:r>
            <w:r w:rsidR="00D44EAC">
              <w:rPr>
                <w:i/>
                <w:iCs/>
                <w:szCs w:val="22"/>
              </w:rPr>
              <w:t xml:space="preserve">utcome area </w:t>
            </w:r>
            <w:r>
              <w:rPr>
                <w:i/>
                <w:iCs/>
                <w:szCs w:val="22"/>
              </w:rPr>
              <w:t xml:space="preserve">4 </w:t>
            </w:r>
            <w:r w:rsidR="00D44EAC">
              <w:rPr>
                <w:i/>
                <w:iCs/>
                <w:szCs w:val="22"/>
              </w:rPr>
              <w:t>aims to</w:t>
            </w:r>
            <w:r>
              <w:rPr>
                <w:i/>
                <w:iCs/>
                <w:szCs w:val="22"/>
              </w:rPr>
              <w:t>wards</w:t>
            </w:r>
            <w:r w:rsidR="00D44EAC">
              <w:rPr>
                <w:i/>
                <w:iCs/>
                <w:szCs w:val="22"/>
              </w:rPr>
              <w:t xml:space="preserve"> strengthen</w:t>
            </w:r>
            <w:r>
              <w:rPr>
                <w:i/>
                <w:iCs/>
                <w:szCs w:val="22"/>
              </w:rPr>
              <w:t>ing</w:t>
            </w:r>
            <w:r w:rsidR="00D44EAC">
              <w:rPr>
                <w:i/>
                <w:iCs/>
                <w:szCs w:val="22"/>
              </w:rPr>
              <w:t xml:space="preserve"> the capacities of indigenous peoples and local communities to participate fully and effectively in the implementation of the Nagoya Protocol. Expected outputs relate to, </w:t>
            </w:r>
            <w:r>
              <w:rPr>
                <w:i/>
                <w:iCs/>
                <w:szCs w:val="22"/>
              </w:rPr>
              <w:t>inter alia</w:t>
            </w:r>
            <w:r w:rsidR="00D44EAC">
              <w:rPr>
                <w:i/>
                <w:iCs/>
                <w:szCs w:val="22"/>
              </w:rPr>
              <w:t>, developing community protocols, procedures and customary laws</w:t>
            </w:r>
            <w:r w:rsidR="00DF7793">
              <w:rPr>
                <w:i/>
                <w:iCs/>
                <w:szCs w:val="22"/>
              </w:rPr>
              <w:t>;</w:t>
            </w:r>
            <w:r w:rsidR="00D44EAC">
              <w:rPr>
                <w:i/>
                <w:iCs/>
                <w:szCs w:val="22"/>
              </w:rPr>
              <w:t xml:space="preserve"> m</w:t>
            </w:r>
            <w:r w:rsidR="00D44EAC" w:rsidRPr="00F52DF3">
              <w:rPr>
                <w:i/>
                <w:iCs/>
                <w:szCs w:val="22"/>
              </w:rPr>
              <w:t>inimum requirements for mutually agreed terms</w:t>
            </w:r>
            <w:r w:rsidR="00DF7793">
              <w:rPr>
                <w:i/>
                <w:iCs/>
                <w:szCs w:val="22"/>
              </w:rPr>
              <w:t>;</w:t>
            </w:r>
            <w:r w:rsidR="00D44EAC" w:rsidRPr="00F52DF3">
              <w:rPr>
                <w:i/>
                <w:iCs/>
                <w:szCs w:val="22"/>
              </w:rPr>
              <w:t xml:space="preserve"> and model contractual clauses for benefit</w:t>
            </w:r>
            <w:r w:rsidR="00C40537">
              <w:rPr>
                <w:i/>
                <w:iCs/>
                <w:szCs w:val="22"/>
              </w:rPr>
              <w:t>-</w:t>
            </w:r>
            <w:r w:rsidR="00D44EAC" w:rsidRPr="00F52DF3">
              <w:rPr>
                <w:i/>
                <w:iCs/>
                <w:szCs w:val="22"/>
              </w:rPr>
              <w:t>sharing</w:t>
            </w:r>
            <w:r w:rsidR="00D44EAC">
              <w:rPr>
                <w:i/>
                <w:iCs/>
                <w:szCs w:val="22"/>
              </w:rPr>
              <w:t>.</w:t>
            </w:r>
          </w:p>
        </w:tc>
      </w:tr>
      <w:tr w:rsidR="00D44EAC" w:rsidRPr="00372A69" w14:paraId="7B571A24" w14:textId="77777777" w:rsidTr="00840F80">
        <w:tc>
          <w:tcPr>
            <w:tcW w:w="3600" w:type="dxa"/>
          </w:tcPr>
          <w:p w14:paraId="3B00D50D" w14:textId="77777777" w:rsidR="00D44EAC" w:rsidRPr="008D3F3B" w:rsidRDefault="00D44EAC" w:rsidP="00335F76">
            <w:pPr>
              <w:rPr>
                <w:b/>
                <w:bCs/>
                <w:szCs w:val="22"/>
              </w:rPr>
            </w:pPr>
            <w:r w:rsidRPr="008D3F3B">
              <w:rPr>
                <w:b/>
                <w:bCs/>
                <w:szCs w:val="22"/>
              </w:rPr>
              <w:t>Outputs</w:t>
            </w:r>
          </w:p>
        </w:tc>
        <w:tc>
          <w:tcPr>
            <w:tcW w:w="9706" w:type="dxa"/>
          </w:tcPr>
          <w:p w14:paraId="29FA1DD4" w14:textId="77777777" w:rsidR="00D44EAC" w:rsidRPr="008D3F3B" w:rsidRDefault="00D44EAC" w:rsidP="00335F76">
            <w:pPr>
              <w:rPr>
                <w:szCs w:val="22"/>
              </w:rPr>
            </w:pPr>
            <w:r w:rsidRPr="008D3F3B">
              <w:rPr>
                <w:b/>
                <w:bCs/>
                <w:kern w:val="22"/>
                <w:szCs w:val="22"/>
              </w:rPr>
              <w:t>Indicative capacity-building and development activities</w:t>
            </w:r>
          </w:p>
        </w:tc>
      </w:tr>
      <w:tr w:rsidR="00D44EAC" w:rsidRPr="00372A69" w14:paraId="1FDA2055" w14:textId="77777777" w:rsidTr="00840F80">
        <w:tc>
          <w:tcPr>
            <w:tcW w:w="3600" w:type="dxa"/>
          </w:tcPr>
          <w:p w14:paraId="5792C5E5" w14:textId="46B06862" w:rsidR="00D44EAC" w:rsidRDefault="00D44EAC" w:rsidP="00335F76">
            <w:pPr>
              <w:jc w:val="left"/>
            </w:pPr>
            <w:r w:rsidRPr="774ED644">
              <w:rPr>
                <w:kern w:val="22"/>
              </w:rPr>
              <w:t>4.1</w:t>
            </w:r>
            <w:r w:rsidRPr="008D3F3B">
              <w:rPr>
                <w:kern w:val="22"/>
                <w:szCs w:val="22"/>
              </w:rPr>
              <w:t xml:space="preserve">. </w:t>
            </w:r>
            <w:r w:rsidRPr="774ED644">
              <w:rPr>
                <w:kern w:val="22"/>
              </w:rPr>
              <w:t xml:space="preserve">The full and effective participation of indigenous peoples and local communities, in particular </w:t>
            </w:r>
            <w:r w:rsidR="004466DB">
              <w:rPr>
                <w:kern w:val="22"/>
              </w:rPr>
              <w:t xml:space="preserve">of the </w:t>
            </w:r>
            <w:r w:rsidRPr="774ED644">
              <w:rPr>
                <w:kern w:val="22"/>
              </w:rPr>
              <w:t>women and youth</w:t>
            </w:r>
            <w:r w:rsidRPr="008D3F3B">
              <w:rPr>
                <w:kern w:val="22"/>
                <w:szCs w:val="22"/>
              </w:rPr>
              <w:t xml:space="preserve"> </w:t>
            </w:r>
            <w:r w:rsidRPr="774ED644">
              <w:rPr>
                <w:kern w:val="22"/>
              </w:rPr>
              <w:t xml:space="preserve">among </w:t>
            </w:r>
            <w:r w:rsidR="55D6C866" w:rsidRPr="774ED644">
              <w:rPr>
                <w:kern w:val="22"/>
              </w:rPr>
              <w:t>them</w:t>
            </w:r>
            <w:r>
              <w:rPr>
                <w:kern w:val="22"/>
                <w:szCs w:val="22"/>
              </w:rPr>
              <w:t xml:space="preserve">, </w:t>
            </w:r>
            <w:r w:rsidRPr="774ED644">
              <w:rPr>
                <w:kern w:val="22"/>
              </w:rPr>
              <w:t>in the implementation of the Protocol at all levels has increased.</w:t>
            </w:r>
          </w:p>
          <w:p w14:paraId="34BED4E8" w14:textId="77777777" w:rsidR="00D44EAC" w:rsidRPr="008D3F3B" w:rsidRDefault="00D44EAC" w:rsidP="00335F76">
            <w:pPr>
              <w:jc w:val="left"/>
              <w:rPr>
                <w:kern w:val="22"/>
                <w:szCs w:val="22"/>
              </w:rPr>
            </w:pPr>
          </w:p>
        </w:tc>
        <w:tc>
          <w:tcPr>
            <w:tcW w:w="9706" w:type="dxa"/>
          </w:tcPr>
          <w:p w14:paraId="17FAA5A5" w14:textId="566C3278" w:rsidR="00D44EAC" w:rsidRPr="008D3F3B" w:rsidRDefault="00D44EAC" w:rsidP="00BD2C12">
            <w:pPr>
              <w:numPr>
                <w:ilvl w:val="2"/>
                <w:numId w:val="23"/>
              </w:numPr>
              <w:jc w:val="left"/>
              <w:rPr>
                <w:kern w:val="22"/>
                <w:szCs w:val="22"/>
              </w:rPr>
            </w:pPr>
            <w:r>
              <w:rPr>
                <w:kern w:val="22"/>
                <w:szCs w:val="22"/>
              </w:rPr>
              <w:t>Support</w:t>
            </w:r>
            <w:r w:rsidRPr="008D3F3B" w:rsidDel="00F50C28">
              <w:rPr>
                <w:kern w:val="22"/>
                <w:szCs w:val="22"/>
              </w:rPr>
              <w:t xml:space="preserve"> </w:t>
            </w:r>
            <w:r w:rsidRPr="008D3F3B">
              <w:rPr>
                <w:kern w:val="22"/>
                <w:szCs w:val="22"/>
              </w:rPr>
              <w:t>awareness</w:t>
            </w:r>
            <w:r w:rsidR="004466DB">
              <w:rPr>
                <w:kern w:val="22"/>
                <w:szCs w:val="22"/>
              </w:rPr>
              <w:t>-</w:t>
            </w:r>
            <w:r>
              <w:rPr>
                <w:kern w:val="22"/>
                <w:szCs w:val="22"/>
              </w:rPr>
              <w:t>raising</w:t>
            </w:r>
            <w:r w:rsidRPr="008D3F3B">
              <w:rPr>
                <w:kern w:val="22"/>
                <w:szCs w:val="22"/>
              </w:rPr>
              <w:t xml:space="preserve"> and understanding of access and benefit-sharing issues and the Nagoya Protocol</w:t>
            </w:r>
            <w:r w:rsidR="00594F46">
              <w:rPr>
                <w:kern w:val="22"/>
                <w:szCs w:val="22"/>
              </w:rPr>
              <w:t>;</w:t>
            </w:r>
          </w:p>
          <w:p w14:paraId="05B16ADC" w14:textId="77C6F42B" w:rsidR="00D44EAC" w:rsidRPr="008D3F3B" w:rsidRDefault="00D44EAC" w:rsidP="00BD2C12">
            <w:pPr>
              <w:numPr>
                <w:ilvl w:val="2"/>
                <w:numId w:val="23"/>
              </w:numPr>
              <w:jc w:val="left"/>
              <w:rPr>
                <w:kern w:val="22"/>
                <w:szCs w:val="22"/>
              </w:rPr>
            </w:pPr>
            <w:r>
              <w:rPr>
                <w:kern w:val="22"/>
                <w:szCs w:val="22"/>
              </w:rPr>
              <w:t>Support the development of</w:t>
            </w:r>
            <w:r w:rsidRPr="008D3F3B" w:rsidDel="00F50C28">
              <w:rPr>
                <w:kern w:val="22"/>
                <w:szCs w:val="22"/>
              </w:rPr>
              <w:t xml:space="preserve"> </w:t>
            </w:r>
            <w:r w:rsidRPr="008D3F3B">
              <w:rPr>
                <w:kern w:val="22"/>
                <w:szCs w:val="22"/>
              </w:rPr>
              <w:t xml:space="preserve">approaches </w:t>
            </w:r>
            <w:r>
              <w:rPr>
                <w:kern w:val="22"/>
                <w:szCs w:val="22"/>
              </w:rPr>
              <w:t xml:space="preserve">for addressing </w:t>
            </w:r>
            <w:r w:rsidRPr="008D3F3B">
              <w:rPr>
                <w:kern w:val="22"/>
                <w:szCs w:val="22"/>
              </w:rPr>
              <w:t>the issue of genetic resources and associated traditional knowledge associated with genetic resources shared by more than one indigenous peoples and local communities</w:t>
            </w:r>
            <w:r w:rsidR="00CB7CE4">
              <w:rPr>
                <w:kern w:val="22"/>
                <w:szCs w:val="22"/>
              </w:rPr>
              <w:t>,</w:t>
            </w:r>
            <w:r>
              <w:rPr>
                <w:kern w:val="22"/>
                <w:szCs w:val="22"/>
              </w:rPr>
              <w:t xml:space="preserve"> including for transboundary situations</w:t>
            </w:r>
            <w:r w:rsidR="005C34E9">
              <w:rPr>
                <w:kern w:val="22"/>
                <w:szCs w:val="22"/>
              </w:rPr>
              <w:t>;</w:t>
            </w:r>
          </w:p>
          <w:p w14:paraId="025D2B14" w14:textId="131BDF78" w:rsidR="00D44EAC" w:rsidRPr="002543C2" w:rsidRDefault="00D44EAC" w:rsidP="00BD2C12">
            <w:pPr>
              <w:numPr>
                <w:ilvl w:val="2"/>
                <w:numId w:val="23"/>
              </w:numPr>
              <w:jc w:val="left"/>
              <w:rPr>
                <w:kern w:val="22"/>
                <w:szCs w:val="22"/>
              </w:rPr>
            </w:pPr>
            <w:r w:rsidRPr="002543C2">
              <w:rPr>
                <w:kern w:val="22"/>
                <w:szCs w:val="22"/>
              </w:rPr>
              <w:t>Support for coordination and institution</w:t>
            </w:r>
            <w:r w:rsidR="00815219">
              <w:rPr>
                <w:kern w:val="22"/>
                <w:szCs w:val="22"/>
              </w:rPr>
              <w:t>-</w:t>
            </w:r>
            <w:r w:rsidRPr="002543C2">
              <w:rPr>
                <w:kern w:val="22"/>
                <w:szCs w:val="22"/>
              </w:rPr>
              <w:t>building within and among indigenous peoples and</w:t>
            </w:r>
            <w:r>
              <w:rPr>
                <w:kern w:val="22"/>
                <w:szCs w:val="22"/>
              </w:rPr>
              <w:t xml:space="preserve"> </w:t>
            </w:r>
            <w:r w:rsidRPr="002543C2">
              <w:rPr>
                <w:kern w:val="22"/>
                <w:szCs w:val="22"/>
              </w:rPr>
              <w:t xml:space="preserve">local communities </w:t>
            </w:r>
            <w:r w:rsidR="00154141">
              <w:rPr>
                <w:kern w:val="22"/>
                <w:szCs w:val="22"/>
              </w:rPr>
              <w:t>in</w:t>
            </w:r>
            <w:r w:rsidRPr="002543C2">
              <w:rPr>
                <w:kern w:val="22"/>
                <w:szCs w:val="22"/>
              </w:rPr>
              <w:t xml:space="preserve"> address</w:t>
            </w:r>
            <w:r w:rsidR="00154141">
              <w:rPr>
                <w:kern w:val="22"/>
                <w:szCs w:val="22"/>
              </w:rPr>
              <w:t>ing access and benefit-sharing</w:t>
            </w:r>
            <w:r w:rsidRPr="002543C2">
              <w:rPr>
                <w:kern w:val="22"/>
                <w:szCs w:val="22"/>
              </w:rPr>
              <w:t xml:space="preserve"> issues</w:t>
            </w:r>
            <w:r w:rsidR="005C34E9">
              <w:rPr>
                <w:kern w:val="22"/>
                <w:szCs w:val="22"/>
              </w:rPr>
              <w:t>;</w:t>
            </w:r>
          </w:p>
          <w:p w14:paraId="4B4A57BC" w14:textId="293FA128" w:rsidR="00D44EAC" w:rsidRDefault="00D44EAC" w:rsidP="00BD2C12">
            <w:pPr>
              <w:numPr>
                <w:ilvl w:val="2"/>
                <w:numId w:val="23"/>
              </w:numPr>
              <w:jc w:val="left"/>
              <w:rPr>
                <w:kern w:val="22"/>
                <w:szCs w:val="22"/>
              </w:rPr>
            </w:pPr>
            <w:r>
              <w:rPr>
                <w:kern w:val="22"/>
                <w:szCs w:val="22"/>
              </w:rPr>
              <w:t xml:space="preserve">Provide </w:t>
            </w:r>
            <w:r w:rsidR="0003369F">
              <w:rPr>
                <w:kern w:val="22"/>
                <w:szCs w:val="22"/>
              </w:rPr>
              <w:t xml:space="preserve">guidance and </w:t>
            </w:r>
            <w:r w:rsidRPr="00BF765B">
              <w:rPr>
                <w:kern w:val="22"/>
                <w:szCs w:val="22"/>
              </w:rPr>
              <w:t>training on resource mobilization skills (</w:t>
            </w:r>
            <w:r w:rsidR="00154141">
              <w:rPr>
                <w:kern w:val="22"/>
                <w:szCs w:val="22"/>
              </w:rPr>
              <w:t>for example,</w:t>
            </w:r>
            <w:r w:rsidRPr="00BF765B">
              <w:rPr>
                <w:kern w:val="22"/>
                <w:szCs w:val="22"/>
              </w:rPr>
              <w:t xml:space="preserve"> project development</w:t>
            </w:r>
            <w:r w:rsidR="00154141">
              <w:rPr>
                <w:kern w:val="22"/>
                <w:szCs w:val="22"/>
              </w:rPr>
              <w:t xml:space="preserve"> and</w:t>
            </w:r>
            <w:r w:rsidRPr="00BF765B">
              <w:rPr>
                <w:kern w:val="22"/>
                <w:szCs w:val="22"/>
              </w:rPr>
              <w:t xml:space="preserve"> fundraising)</w:t>
            </w:r>
            <w:r w:rsidR="005C34E9">
              <w:rPr>
                <w:kern w:val="22"/>
                <w:szCs w:val="22"/>
              </w:rPr>
              <w:t>;</w:t>
            </w:r>
          </w:p>
          <w:p w14:paraId="7E14AD59" w14:textId="55CB4FDF" w:rsidR="00D44EAC" w:rsidRPr="005149F7" w:rsidRDefault="00D44EAC" w:rsidP="00BD2C12">
            <w:pPr>
              <w:numPr>
                <w:ilvl w:val="2"/>
                <w:numId w:val="23"/>
              </w:numPr>
              <w:jc w:val="left"/>
              <w:rPr>
                <w:kern w:val="22"/>
                <w:szCs w:val="22"/>
              </w:rPr>
            </w:pPr>
            <w:r>
              <w:rPr>
                <w:kern w:val="22"/>
                <w:szCs w:val="22"/>
              </w:rPr>
              <w:t xml:space="preserve">Provide </w:t>
            </w:r>
            <w:r w:rsidR="00583BA5">
              <w:rPr>
                <w:kern w:val="22"/>
                <w:szCs w:val="22"/>
              </w:rPr>
              <w:t>guidance</w:t>
            </w:r>
            <w:r w:rsidR="007C7773">
              <w:rPr>
                <w:kern w:val="22"/>
                <w:szCs w:val="22"/>
              </w:rPr>
              <w:t xml:space="preserve">, </w:t>
            </w:r>
            <w:r w:rsidRPr="005149F7">
              <w:rPr>
                <w:kern w:val="22"/>
                <w:szCs w:val="22"/>
              </w:rPr>
              <w:t>training</w:t>
            </w:r>
            <w:r w:rsidR="007C7773">
              <w:rPr>
                <w:kern w:val="22"/>
                <w:szCs w:val="22"/>
              </w:rPr>
              <w:t xml:space="preserve"> or technical assistance</w:t>
            </w:r>
            <w:r w:rsidRPr="005149F7">
              <w:rPr>
                <w:kern w:val="22"/>
                <w:szCs w:val="22"/>
              </w:rPr>
              <w:t xml:space="preserve"> on how to engage with Governments</w:t>
            </w:r>
            <w:r>
              <w:rPr>
                <w:kern w:val="22"/>
                <w:szCs w:val="22"/>
              </w:rPr>
              <w:t xml:space="preserve"> and</w:t>
            </w:r>
            <w:r w:rsidRPr="005149F7">
              <w:rPr>
                <w:kern w:val="22"/>
                <w:szCs w:val="22"/>
              </w:rPr>
              <w:t xml:space="preserve"> </w:t>
            </w:r>
            <w:r>
              <w:rPr>
                <w:kern w:val="22"/>
                <w:szCs w:val="22"/>
              </w:rPr>
              <w:t>users of genetic resources</w:t>
            </w:r>
            <w:r w:rsidRPr="005149F7">
              <w:rPr>
                <w:kern w:val="22"/>
                <w:szCs w:val="22"/>
              </w:rPr>
              <w:t xml:space="preserve"> and </w:t>
            </w:r>
            <w:r>
              <w:rPr>
                <w:kern w:val="22"/>
                <w:szCs w:val="22"/>
              </w:rPr>
              <w:t>associated traditional knowledge</w:t>
            </w:r>
            <w:r w:rsidR="005C34E9">
              <w:rPr>
                <w:kern w:val="22"/>
                <w:szCs w:val="22"/>
              </w:rPr>
              <w:t>;</w:t>
            </w:r>
          </w:p>
          <w:p w14:paraId="7A4B2F4E" w14:textId="09163382" w:rsidR="00D44EAC" w:rsidRPr="005149F7" w:rsidRDefault="00D44EAC" w:rsidP="00BD2C12">
            <w:pPr>
              <w:numPr>
                <w:ilvl w:val="2"/>
                <w:numId w:val="23"/>
              </w:numPr>
              <w:jc w:val="left"/>
              <w:rPr>
                <w:kern w:val="22"/>
                <w:szCs w:val="22"/>
              </w:rPr>
            </w:pPr>
            <w:r>
              <w:rPr>
                <w:kern w:val="22"/>
                <w:szCs w:val="22"/>
              </w:rPr>
              <w:t xml:space="preserve">Support for the </w:t>
            </w:r>
            <w:r w:rsidRPr="000B018F">
              <w:rPr>
                <w:kern w:val="22"/>
                <w:szCs w:val="22"/>
              </w:rPr>
              <w:t>full and effective participation of indigenous peoples and local communities</w:t>
            </w:r>
            <w:r>
              <w:rPr>
                <w:kern w:val="22"/>
                <w:szCs w:val="22"/>
              </w:rPr>
              <w:t xml:space="preserve"> in regional and international for</w:t>
            </w:r>
            <w:r w:rsidR="00154141">
              <w:rPr>
                <w:kern w:val="22"/>
                <w:szCs w:val="22"/>
              </w:rPr>
              <w:t>ums</w:t>
            </w:r>
            <w:r>
              <w:rPr>
                <w:kern w:val="22"/>
                <w:szCs w:val="22"/>
              </w:rPr>
              <w:t xml:space="preserve"> related to access and benefit-sharing</w:t>
            </w:r>
            <w:r w:rsidR="005C34E9">
              <w:rPr>
                <w:kern w:val="22"/>
                <w:szCs w:val="22"/>
              </w:rPr>
              <w:t>;</w:t>
            </w:r>
          </w:p>
          <w:p w14:paraId="3162CCD5" w14:textId="7548B1DD" w:rsidR="00D44EAC" w:rsidRDefault="00D44EAC" w:rsidP="00BD2C12">
            <w:pPr>
              <w:numPr>
                <w:ilvl w:val="2"/>
                <w:numId w:val="23"/>
              </w:numPr>
              <w:jc w:val="left"/>
              <w:rPr>
                <w:kern w:val="22"/>
                <w:szCs w:val="22"/>
              </w:rPr>
            </w:pPr>
            <w:r w:rsidRPr="008D3F3B">
              <w:rPr>
                <w:kern w:val="22"/>
                <w:szCs w:val="22"/>
              </w:rPr>
              <w:t xml:space="preserve">Develop, disseminate and promote use of </w:t>
            </w:r>
            <w:r>
              <w:rPr>
                <w:kern w:val="22"/>
                <w:szCs w:val="22"/>
              </w:rPr>
              <w:t xml:space="preserve">culturally appropriate </w:t>
            </w:r>
            <w:r w:rsidRPr="008D3F3B">
              <w:rPr>
                <w:kern w:val="22"/>
                <w:szCs w:val="22"/>
              </w:rPr>
              <w:t>relevant material</w:t>
            </w:r>
            <w:r>
              <w:rPr>
                <w:kern w:val="22"/>
                <w:szCs w:val="22"/>
              </w:rPr>
              <w:t xml:space="preserve">s </w:t>
            </w:r>
            <w:r w:rsidRPr="008D3F3B">
              <w:rPr>
                <w:kern w:val="22"/>
                <w:szCs w:val="22"/>
              </w:rPr>
              <w:t>in local languages, as appropriate</w:t>
            </w:r>
            <w:r w:rsidR="005C34E9">
              <w:rPr>
                <w:kern w:val="22"/>
                <w:szCs w:val="22"/>
              </w:rPr>
              <w:t>;</w:t>
            </w:r>
            <w:r w:rsidRPr="00217407">
              <w:rPr>
                <w:kern w:val="22"/>
                <w:szCs w:val="22"/>
              </w:rPr>
              <w:t xml:space="preserve"> </w:t>
            </w:r>
          </w:p>
          <w:p w14:paraId="3658C6D8" w14:textId="4DF2C0E2" w:rsidR="00D44EAC" w:rsidRPr="00217407" w:rsidRDefault="00D44EAC" w:rsidP="00BD2C12">
            <w:pPr>
              <w:numPr>
                <w:ilvl w:val="2"/>
                <w:numId w:val="23"/>
              </w:numPr>
              <w:jc w:val="left"/>
              <w:rPr>
                <w:kern w:val="22"/>
                <w:szCs w:val="22"/>
              </w:rPr>
            </w:pPr>
            <w:r w:rsidRPr="00217407">
              <w:rPr>
                <w:kern w:val="22"/>
                <w:szCs w:val="22"/>
              </w:rPr>
              <w:t>Support the protection of traditional knowledge associated with genetic resources (</w:t>
            </w:r>
            <w:r w:rsidR="00F675F6">
              <w:rPr>
                <w:kern w:val="22"/>
                <w:szCs w:val="22"/>
              </w:rPr>
              <w:t>for example,</w:t>
            </w:r>
            <w:r w:rsidRPr="00217407">
              <w:rPr>
                <w:kern w:val="22"/>
                <w:szCs w:val="22"/>
              </w:rPr>
              <w:t xml:space="preserve"> through sui generis systems, databases</w:t>
            </w:r>
            <w:r w:rsidR="00F675F6">
              <w:rPr>
                <w:kern w:val="22"/>
                <w:szCs w:val="22"/>
              </w:rPr>
              <w:t xml:space="preserve"> and</w:t>
            </w:r>
            <w:r w:rsidRPr="00217407">
              <w:rPr>
                <w:kern w:val="22"/>
                <w:szCs w:val="22"/>
              </w:rPr>
              <w:t xml:space="preserve"> registries)</w:t>
            </w:r>
            <w:r w:rsidR="005C34E9">
              <w:rPr>
                <w:kern w:val="22"/>
                <w:szCs w:val="22"/>
              </w:rPr>
              <w:t>;</w:t>
            </w:r>
          </w:p>
          <w:p w14:paraId="06D1208B" w14:textId="74DE82CD" w:rsidR="00D44EAC" w:rsidRPr="00122E80" w:rsidRDefault="00D44EAC" w:rsidP="00BD2C12">
            <w:pPr>
              <w:numPr>
                <w:ilvl w:val="2"/>
                <w:numId w:val="23"/>
              </w:numPr>
              <w:jc w:val="left"/>
              <w:rPr>
                <w:kern w:val="22"/>
                <w:szCs w:val="22"/>
              </w:rPr>
            </w:pPr>
            <w:r w:rsidRPr="00E16D5F">
              <w:rPr>
                <w:kern w:val="22"/>
                <w:szCs w:val="22"/>
              </w:rPr>
              <w:lastRenderedPageBreak/>
              <w:t xml:space="preserve">Provide training on </w:t>
            </w:r>
            <w:r w:rsidR="00740576">
              <w:rPr>
                <w:kern w:val="22"/>
                <w:szCs w:val="22"/>
              </w:rPr>
              <w:t xml:space="preserve">how to use </w:t>
            </w:r>
            <w:r w:rsidRPr="00E16D5F">
              <w:rPr>
                <w:kern w:val="22"/>
                <w:szCs w:val="22"/>
              </w:rPr>
              <w:t xml:space="preserve">the </w:t>
            </w:r>
            <w:r w:rsidR="00154141">
              <w:rPr>
                <w:kern w:val="22"/>
                <w:szCs w:val="22"/>
              </w:rPr>
              <w:t xml:space="preserve">Access and </w:t>
            </w:r>
            <w:r w:rsidR="00D003D9">
              <w:rPr>
                <w:kern w:val="22"/>
                <w:szCs w:val="22"/>
              </w:rPr>
              <w:t>B</w:t>
            </w:r>
            <w:r w:rsidR="00154141">
              <w:rPr>
                <w:kern w:val="22"/>
                <w:szCs w:val="22"/>
              </w:rPr>
              <w:t>enefit-</w:t>
            </w:r>
            <w:r w:rsidR="00D003D9">
              <w:rPr>
                <w:kern w:val="22"/>
                <w:szCs w:val="22"/>
              </w:rPr>
              <w:t>s</w:t>
            </w:r>
            <w:r w:rsidR="00154141">
              <w:rPr>
                <w:kern w:val="22"/>
                <w:szCs w:val="22"/>
              </w:rPr>
              <w:t xml:space="preserve">haring </w:t>
            </w:r>
            <w:r w:rsidRPr="00E16D5F">
              <w:rPr>
                <w:kern w:val="22"/>
                <w:szCs w:val="22"/>
              </w:rPr>
              <w:t xml:space="preserve"> Clearing-House</w:t>
            </w:r>
            <w:r>
              <w:rPr>
                <w:kern w:val="22"/>
                <w:szCs w:val="22"/>
              </w:rPr>
              <w:t>.</w:t>
            </w:r>
          </w:p>
        </w:tc>
      </w:tr>
      <w:tr w:rsidR="00D44EAC" w:rsidRPr="00372A69" w14:paraId="3E6C65AD" w14:textId="77777777" w:rsidTr="00840F80">
        <w:tc>
          <w:tcPr>
            <w:tcW w:w="3600" w:type="dxa"/>
          </w:tcPr>
          <w:p w14:paraId="0E171A53" w14:textId="174CF779" w:rsidR="00D44EAC" w:rsidRPr="008D3F3B" w:rsidRDefault="00D44EAC" w:rsidP="00335F76">
            <w:pPr>
              <w:jc w:val="left"/>
              <w:rPr>
                <w:kern w:val="22"/>
                <w:szCs w:val="22"/>
              </w:rPr>
            </w:pPr>
            <w:r w:rsidRPr="008D3F3B">
              <w:rPr>
                <w:kern w:val="22"/>
                <w:szCs w:val="22"/>
              </w:rPr>
              <w:lastRenderedPageBreak/>
              <w:t>4.</w:t>
            </w:r>
            <w:r>
              <w:rPr>
                <w:kern w:val="22"/>
                <w:szCs w:val="22"/>
              </w:rPr>
              <w:t>2.</w:t>
            </w:r>
            <w:r w:rsidRPr="008D3F3B">
              <w:rPr>
                <w:kern w:val="22"/>
                <w:szCs w:val="22"/>
              </w:rPr>
              <w:t xml:space="preserve"> Community protocols</w:t>
            </w:r>
            <w:r>
              <w:rPr>
                <w:kern w:val="22"/>
                <w:szCs w:val="22"/>
              </w:rPr>
              <w:t>,</w:t>
            </w:r>
            <w:r w:rsidRPr="008D3F3B">
              <w:rPr>
                <w:kern w:val="22"/>
                <w:szCs w:val="22"/>
              </w:rPr>
              <w:t xml:space="preserve"> procedures and customary laws are developed and published on the Access and Benefit-sharing Clearing-House </w:t>
            </w:r>
          </w:p>
        </w:tc>
        <w:tc>
          <w:tcPr>
            <w:tcW w:w="9706" w:type="dxa"/>
          </w:tcPr>
          <w:p w14:paraId="27599388" w14:textId="7EBEA050" w:rsidR="00D44EAC" w:rsidRPr="009F4C69" w:rsidRDefault="001C35AD" w:rsidP="00BD2C12">
            <w:pPr>
              <w:numPr>
                <w:ilvl w:val="2"/>
                <w:numId w:val="22"/>
              </w:numPr>
              <w:jc w:val="left"/>
              <w:rPr>
                <w:kern w:val="22"/>
                <w:szCs w:val="22"/>
              </w:rPr>
            </w:pPr>
            <w:r>
              <w:rPr>
                <w:kern w:val="22"/>
                <w:szCs w:val="22"/>
              </w:rPr>
              <w:t>Provide guidance</w:t>
            </w:r>
            <w:r w:rsidR="0052641A">
              <w:rPr>
                <w:kern w:val="22"/>
                <w:szCs w:val="22"/>
              </w:rPr>
              <w:t>,</w:t>
            </w:r>
            <w:r w:rsidRPr="008D3F3B">
              <w:rPr>
                <w:kern w:val="22"/>
                <w:szCs w:val="22"/>
              </w:rPr>
              <w:t xml:space="preserve"> </w:t>
            </w:r>
            <w:r w:rsidR="00D44EAC" w:rsidRPr="008D3F3B">
              <w:rPr>
                <w:kern w:val="22"/>
                <w:szCs w:val="22"/>
              </w:rPr>
              <w:t>training</w:t>
            </w:r>
            <w:r w:rsidR="000B0EBF">
              <w:rPr>
                <w:kern w:val="22"/>
                <w:szCs w:val="22"/>
              </w:rPr>
              <w:t xml:space="preserve"> </w:t>
            </w:r>
            <w:r w:rsidR="0052641A">
              <w:rPr>
                <w:kern w:val="22"/>
                <w:szCs w:val="22"/>
              </w:rPr>
              <w:t>or technical assistance</w:t>
            </w:r>
            <w:r w:rsidR="00D44EAC" w:rsidRPr="008D3F3B">
              <w:rPr>
                <w:kern w:val="22"/>
                <w:szCs w:val="22"/>
              </w:rPr>
              <w:t xml:space="preserve"> on mapping and managing traditional knowledge associated with genetic resources</w:t>
            </w:r>
            <w:r w:rsidR="00D44EAC">
              <w:rPr>
                <w:kern w:val="22"/>
                <w:szCs w:val="22"/>
              </w:rPr>
              <w:t>, as applicable</w:t>
            </w:r>
            <w:r w:rsidR="005C34E9">
              <w:rPr>
                <w:kern w:val="22"/>
                <w:szCs w:val="22"/>
              </w:rPr>
              <w:t>;</w:t>
            </w:r>
          </w:p>
          <w:p w14:paraId="327D96C8" w14:textId="2CC5501D" w:rsidR="00D44EAC" w:rsidRPr="009F4C69" w:rsidRDefault="00D44EAC" w:rsidP="00BD2C12">
            <w:pPr>
              <w:numPr>
                <w:ilvl w:val="2"/>
                <w:numId w:val="22"/>
              </w:numPr>
              <w:jc w:val="left"/>
              <w:rPr>
                <w:kern w:val="22"/>
                <w:szCs w:val="22"/>
              </w:rPr>
            </w:pPr>
            <w:r w:rsidRPr="006C34A1">
              <w:rPr>
                <w:kern w:val="22"/>
                <w:szCs w:val="22"/>
              </w:rPr>
              <w:t xml:space="preserve">Provide </w:t>
            </w:r>
            <w:r w:rsidR="0052641A">
              <w:rPr>
                <w:kern w:val="22"/>
                <w:szCs w:val="22"/>
              </w:rPr>
              <w:t xml:space="preserve">guidance, </w:t>
            </w:r>
            <w:r w:rsidR="0070526B" w:rsidRPr="008D3F3B">
              <w:rPr>
                <w:kern w:val="22"/>
                <w:szCs w:val="22"/>
              </w:rPr>
              <w:t>training</w:t>
            </w:r>
            <w:r w:rsidR="0070526B">
              <w:rPr>
                <w:kern w:val="22"/>
                <w:szCs w:val="22"/>
              </w:rPr>
              <w:t xml:space="preserve"> </w:t>
            </w:r>
            <w:r w:rsidR="0052641A">
              <w:rPr>
                <w:kern w:val="22"/>
                <w:szCs w:val="22"/>
              </w:rPr>
              <w:t>or technical assistance</w:t>
            </w:r>
            <w:r w:rsidR="0070526B" w:rsidRPr="008D3F3B">
              <w:rPr>
                <w:kern w:val="22"/>
                <w:szCs w:val="22"/>
              </w:rPr>
              <w:t xml:space="preserve"> </w:t>
            </w:r>
            <w:r w:rsidRPr="006C34A1">
              <w:rPr>
                <w:kern w:val="22"/>
                <w:szCs w:val="22"/>
              </w:rPr>
              <w:t>on creating governance structure</w:t>
            </w:r>
            <w:r w:rsidR="000F44BC">
              <w:rPr>
                <w:kern w:val="22"/>
                <w:szCs w:val="22"/>
              </w:rPr>
              <w:t>s</w:t>
            </w:r>
            <w:r w:rsidRPr="006C34A1">
              <w:rPr>
                <w:kern w:val="22"/>
                <w:szCs w:val="22"/>
              </w:rPr>
              <w:t xml:space="preserve"> for </w:t>
            </w:r>
            <w:r>
              <w:rPr>
                <w:kern w:val="22"/>
                <w:szCs w:val="22"/>
              </w:rPr>
              <w:t xml:space="preserve">giving access and </w:t>
            </w:r>
            <w:r w:rsidRPr="006C34A1">
              <w:rPr>
                <w:kern w:val="22"/>
                <w:szCs w:val="22"/>
              </w:rPr>
              <w:t>receiving benefits</w:t>
            </w:r>
            <w:r w:rsidR="005C34E9">
              <w:rPr>
                <w:kern w:val="22"/>
                <w:szCs w:val="22"/>
              </w:rPr>
              <w:t>;</w:t>
            </w:r>
          </w:p>
          <w:p w14:paraId="170E5059" w14:textId="2AD33CC8" w:rsidR="00D44EAC" w:rsidRDefault="00D44EAC" w:rsidP="00BD2C12">
            <w:pPr>
              <w:numPr>
                <w:ilvl w:val="2"/>
                <w:numId w:val="22"/>
              </w:numPr>
              <w:jc w:val="left"/>
            </w:pPr>
            <w:r w:rsidRPr="774ED644">
              <w:rPr>
                <w:kern w:val="22"/>
              </w:rPr>
              <w:t xml:space="preserve">Take stock of </w:t>
            </w:r>
            <w:r w:rsidR="3FB38CF3" w:rsidRPr="774ED644">
              <w:rPr>
                <w:kern w:val="22"/>
              </w:rPr>
              <w:t xml:space="preserve">lessons learned and </w:t>
            </w:r>
            <w:r w:rsidRPr="774ED644">
              <w:rPr>
                <w:kern w:val="22"/>
              </w:rPr>
              <w:t>good practices to inform the design or revision of community protocols and procedures</w:t>
            </w:r>
            <w:r w:rsidR="005C34E9">
              <w:rPr>
                <w:kern w:val="22"/>
              </w:rPr>
              <w:t>;</w:t>
            </w:r>
          </w:p>
          <w:p w14:paraId="1B2D2A12" w14:textId="31078BB1" w:rsidR="00D44EAC" w:rsidRPr="008D3F3B" w:rsidRDefault="00D44EAC" w:rsidP="00BD2C12">
            <w:pPr>
              <w:numPr>
                <w:ilvl w:val="2"/>
                <w:numId w:val="22"/>
              </w:numPr>
              <w:jc w:val="left"/>
              <w:rPr>
                <w:kern w:val="22"/>
                <w:szCs w:val="22"/>
              </w:rPr>
            </w:pPr>
            <w:r w:rsidRPr="008D3F3B">
              <w:rPr>
                <w:kern w:val="22"/>
                <w:szCs w:val="22"/>
              </w:rPr>
              <w:t>Develo</w:t>
            </w:r>
            <w:r>
              <w:rPr>
                <w:kern w:val="22"/>
                <w:szCs w:val="22"/>
              </w:rPr>
              <w:t xml:space="preserve">p or </w:t>
            </w:r>
            <w:r w:rsidR="005D68F4">
              <w:rPr>
                <w:kern w:val="22"/>
                <w:szCs w:val="22"/>
              </w:rPr>
              <w:t>revise</w:t>
            </w:r>
            <w:r w:rsidRPr="008D3F3B">
              <w:rPr>
                <w:kern w:val="22"/>
                <w:szCs w:val="22"/>
              </w:rPr>
              <w:t xml:space="preserve">, </w:t>
            </w:r>
            <w:r w:rsidR="001734FD">
              <w:rPr>
                <w:kern w:val="22"/>
                <w:szCs w:val="22"/>
              </w:rPr>
              <w:t xml:space="preserve">as needed, </w:t>
            </w:r>
            <w:r w:rsidRPr="008D3F3B">
              <w:rPr>
                <w:kern w:val="22"/>
                <w:szCs w:val="22"/>
              </w:rPr>
              <w:t>disseminate and promote use of practical guidance</w:t>
            </w:r>
            <w:r w:rsidR="0027446A">
              <w:rPr>
                <w:kern w:val="22"/>
                <w:szCs w:val="22"/>
              </w:rPr>
              <w:t xml:space="preserve"> and tools</w:t>
            </w:r>
            <w:r w:rsidRPr="008D3F3B">
              <w:rPr>
                <w:kern w:val="22"/>
                <w:szCs w:val="22"/>
              </w:rPr>
              <w:t xml:space="preserve"> on </w:t>
            </w:r>
            <w:r>
              <w:rPr>
                <w:kern w:val="22"/>
                <w:szCs w:val="22"/>
              </w:rPr>
              <w:t>relevant</w:t>
            </w:r>
            <w:r w:rsidRPr="008D3F3B">
              <w:rPr>
                <w:kern w:val="22"/>
                <w:szCs w:val="22"/>
              </w:rPr>
              <w:t xml:space="preserve"> community protocols and procedures and customary laws</w:t>
            </w:r>
            <w:r w:rsidR="005C34E9">
              <w:rPr>
                <w:kern w:val="22"/>
                <w:szCs w:val="22"/>
              </w:rPr>
              <w:t>;</w:t>
            </w:r>
            <w:r w:rsidRPr="008D3F3B">
              <w:rPr>
                <w:kern w:val="22"/>
                <w:szCs w:val="22"/>
              </w:rPr>
              <w:t xml:space="preserve"> </w:t>
            </w:r>
          </w:p>
          <w:p w14:paraId="2EB3AFCF" w14:textId="4A3697FF" w:rsidR="00D44EAC" w:rsidRPr="008D3F3B" w:rsidRDefault="00D44EAC" w:rsidP="00BD2C12">
            <w:pPr>
              <w:numPr>
                <w:ilvl w:val="2"/>
                <w:numId w:val="22"/>
              </w:numPr>
              <w:jc w:val="left"/>
              <w:rPr>
                <w:kern w:val="22"/>
                <w:szCs w:val="22"/>
              </w:rPr>
            </w:pPr>
            <w:r>
              <w:rPr>
                <w:kern w:val="22"/>
                <w:szCs w:val="22"/>
              </w:rPr>
              <w:t xml:space="preserve">Support </w:t>
            </w:r>
            <w:r w:rsidRPr="008D3F3B">
              <w:rPr>
                <w:kern w:val="22"/>
                <w:szCs w:val="22"/>
              </w:rPr>
              <w:t>the development of community protocols and procedures</w:t>
            </w:r>
            <w:r w:rsidR="00822692">
              <w:rPr>
                <w:kern w:val="22"/>
                <w:szCs w:val="22"/>
              </w:rPr>
              <w:t xml:space="preserve"> and their publication on the </w:t>
            </w:r>
            <w:r w:rsidR="00F675F6">
              <w:rPr>
                <w:kern w:val="22"/>
                <w:szCs w:val="22"/>
              </w:rPr>
              <w:t xml:space="preserve">Access and Benefit-sharing </w:t>
            </w:r>
            <w:r w:rsidR="00822692">
              <w:rPr>
                <w:kern w:val="22"/>
                <w:szCs w:val="22"/>
              </w:rPr>
              <w:t>Clearing-House</w:t>
            </w:r>
            <w:r w:rsidRPr="008D3F3B">
              <w:rPr>
                <w:kern w:val="22"/>
                <w:szCs w:val="22"/>
              </w:rPr>
              <w:t>.</w:t>
            </w:r>
          </w:p>
        </w:tc>
      </w:tr>
      <w:tr w:rsidR="00D44EAC" w:rsidRPr="00372A69" w14:paraId="2E63C0B3" w14:textId="77777777" w:rsidTr="00840F80">
        <w:tc>
          <w:tcPr>
            <w:tcW w:w="3600" w:type="dxa"/>
          </w:tcPr>
          <w:p w14:paraId="5F8570A4" w14:textId="2B71F093" w:rsidR="00D44EAC" w:rsidRPr="00F610E5" w:rsidRDefault="00D44EAC" w:rsidP="00335F76">
            <w:pPr>
              <w:jc w:val="left"/>
              <w:rPr>
                <w:kern w:val="22"/>
                <w:szCs w:val="22"/>
              </w:rPr>
            </w:pPr>
            <w:r w:rsidRPr="00F610E5">
              <w:rPr>
                <w:kern w:val="22"/>
                <w:szCs w:val="22"/>
              </w:rPr>
              <w:t>4.3.</w:t>
            </w:r>
            <w:r>
              <w:rPr>
                <w:kern w:val="22"/>
                <w:szCs w:val="22"/>
              </w:rPr>
              <w:t xml:space="preserve"> Minimum requirements for mutually agreed terms and</w:t>
            </w:r>
            <w:r w:rsidRPr="00F610E5">
              <w:rPr>
                <w:kern w:val="22"/>
                <w:szCs w:val="22"/>
              </w:rPr>
              <w:t xml:space="preserve"> </w:t>
            </w:r>
            <w:r>
              <w:rPr>
                <w:kern w:val="22"/>
                <w:szCs w:val="22"/>
              </w:rPr>
              <w:t>m</w:t>
            </w:r>
            <w:r w:rsidRPr="00F610E5">
              <w:rPr>
                <w:kern w:val="22"/>
                <w:szCs w:val="22"/>
              </w:rPr>
              <w:t>odel contractual clauses for benefit</w:t>
            </w:r>
            <w:r w:rsidRPr="00F610E5">
              <w:rPr>
                <w:kern w:val="22"/>
                <w:szCs w:val="22"/>
              </w:rPr>
              <w:noBreakHyphen/>
              <w:t xml:space="preserve">sharing are developed </w:t>
            </w:r>
            <w:r w:rsidRPr="00AD0136">
              <w:rPr>
                <w:kern w:val="22"/>
                <w:szCs w:val="22"/>
              </w:rPr>
              <w:t>and published on the Access and Benefit-sharing Clearing-House</w:t>
            </w:r>
            <w:r w:rsidR="00F675F6">
              <w:rPr>
                <w:kern w:val="22"/>
                <w:szCs w:val="22"/>
              </w:rPr>
              <w:t xml:space="preserve"> </w:t>
            </w:r>
          </w:p>
        </w:tc>
        <w:tc>
          <w:tcPr>
            <w:tcW w:w="9706" w:type="dxa"/>
          </w:tcPr>
          <w:p w14:paraId="1D3F38C5" w14:textId="4D26F033" w:rsidR="00D44EAC" w:rsidRDefault="00D44EAC" w:rsidP="00BD2C12">
            <w:pPr>
              <w:numPr>
                <w:ilvl w:val="2"/>
                <w:numId w:val="24"/>
              </w:numPr>
              <w:jc w:val="left"/>
              <w:rPr>
                <w:kern w:val="22"/>
                <w:szCs w:val="22"/>
              </w:rPr>
            </w:pPr>
            <w:r w:rsidRPr="00F610E5">
              <w:rPr>
                <w:kern w:val="22"/>
                <w:szCs w:val="22"/>
              </w:rPr>
              <w:t xml:space="preserve">Develop, disseminate and promote use of practical guidance </w:t>
            </w:r>
            <w:r>
              <w:rPr>
                <w:kern w:val="22"/>
                <w:szCs w:val="22"/>
              </w:rPr>
              <w:t>and</w:t>
            </w:r>
            <w:r w:rsidRPr="00F610E5">
              <w:rPr>
                <w:kern w:val="22"/>
                <w:szCs w:val="22"/>
              </w:rPr>
              <w:t xml:space="preserve"> tools </w:t>
            </w:r>
            <w:r>
              <w:rPr>
                <w:kern w:val="22"/>
                <w:szCs w:val="22"/>
              </w:rPr>
              <w:t xml:space="preserve">on </w:t>
            </w:r>
            <w:r w:rsidRPr="00F610E5">
              <w:rPr>
                <w:kern w:val="22"/>
                <w:szCs w:val="22"/>
              </w:rPr>
              <w:t>free prior informed consent</w:t>
            </w:r>
            <w:r>
              <w:rPr>
                <w:kern w:val="22"/>
                <w:szCs w:val="22"/>
              </w:rPr>
              <w:t xml:space="preserve"> and</w:t>
            </w:r>
            <w:r w:rsidRPr="00F610E5">
              <w:rPr>
                <w:kern w:val="22"/>
                <w:szCs w:val="22"/>
              </w:rPr>
              <w:t xml:space="preserve"> </w:t>
            </w:r>
            <w:r>
              <w:rPr>
                <w:kern w:val="22"/>
                <w:szCs w:val="22"/>
              </w:rPr>
              <w:t>m</w:t>
            </w:r>
            <w:r w:rsidRPr="00F610E5">
              <w:rPr>
                <w:kern w:val="22"/>
                <w:szCs w:val="22"/>
              </w:rPr>
              <w:t>odel contractual clauses</w:t>
            </w:r>
            <w:r w:rsidR="005C34E9">
              <w:rPr>
                <w:kern w:val="22"/>
                <w:szCs w:val="22"/>
              </w:rPr>
              <w:t>;</w:t>
            </w:r>
          </w:p>
          <w:p w14:paraId="1D719457" w14:textId="45A5037C" w:rsidR="00D44EAC" w:rsidRDefault="00D44EAC" w:rsidP="00BD2C12">
            <w:pPr>
              <w:numPr>
                <w:ilvl w:val="2"/>
                <w:numId w:val="24"/>
              </w:numPr>
              <w:jc w:val="left"/>
              <w:rPr>
                <w:kern w:val="22"/>
                <w:szCs w:val="22"/>
              </w:rPr>
            </w:pPr>
            <w:r>
              <w:rPr>
                <w:kern w:val="22"/>
                <w:szCs w:val="22"/>
              </w:rPr>
              <w:t>Support the development of model contractual clauses and minimum requirements for mutually agreed terms</w:t>
            </w:r>
            <w:r w:rsidR="005C34E9">
              <w:rPr>
                <w:kern w:val="22"/>
                <w:szCs w:val="22"/>
              </w:rPr>
              <w:t>;</w:t>
            </w:r>
          </w:p>
          <w:p w14:paraId="29549EFB" w14:textId="6B36B489" w:rsidR="00D44EAC" w:rsidRPr="004E47A9" w:rsidRDefault="00D44EAC" w:rsidP="00BD2C12">
            <w:pPr>
              <w:numPr>
                <w:ilvl w:val="2"/>
                <w:numId w:val="24"/>
              </w:numPr>
              <w:jc w:val="left"/>
              <w:rPr>
                <w:kern w:val="22"/>
                <w:szCs w:val="22"/>
              </w:rPr>
            </w:pPr>
            <w:r>
              <w:rPr>
                <w:kern w:val="22"/>
                <w:szCs w:val="22"/>
              </w:rPr>
              <w:t>Provide</w:t>
            </w:r>
            <w:r w:rsidR="00CD1E93">
              <w:rPr>
                <w:kern w:val="22"/>
                <w:szCs w:val="22"/>
              </w:rPr>
              <w:t xml:space="preserve"> guidance,</w:t>
            </w:r>
            <w:r>
              <w:rPr>
                <w:kern w:val="22"/>
                <w:szCs w:val="22"/>
              </w:rPr>
              <w:t xml:space="preserve"> training</w:t>
            </w:r>
            <w:r w:rsidR="00CD1E93">
              <w:rPr>
                <w:kern w:val="22"/>
                <w:szCs w:val="22"/>
              </w:rPr>
              <w:t xml:space="preserve"> or technical assistance</w:t>
            </w:r>
            <w:r>
              <w:rPr>
                <w:kern w:val="22"/>
                <w:szCs w:val="22"/>
              </w:rPr>
              <w:t xml:space="preserve"> on </w:t>
            </w:r>
            <w:r w:rsidRPr="00F610E5">
              <w:rPr>
                <w:kern w:val="22"/>
                <w:szCs w:val="22"/>
              </w:rPr>
              <w:t xml:space="preserve">free prior informed consent </w:t>
            </w:r>
            <w:r>
              <w:rPr>
                <w:kern w:val="22"/>
                <w:szCs w:val="22"/>
              </w:rPr>
              <w:t>and mutually agreed terms.</w:t>
            </w:r>
          </w:p>
        </w:tc>
      </w:tr>
      <w:tr w:rsidR="00D44EAC" w:rsidRPr="00372A69" w14:paraId="7F3530EC" w14:textId="77777777" w:rsidTr="00840F80">
        <w:tc>
          <w:tcPr>
            <w:tcW w:w="3600" w:type="dxa"/>
          </w:tcPr>
          <w:p w14:paraId="43E471BD" w14:textId="5D3172C5" w:rsidR="00D44EAC" w:rsidRPr="009226E2" w:rsidRDefault="00D44EAC" w:rsidP="00335F76">
            <w:pPr>
              <w:jc w:val="left"/>
              <w:rPr>
                <w:kern w:val="22"/>
                <w:szCs w:val="22"/>
              </w:rPr>
            </w:pPr>
            <w:r w:rsidRPr="009226E2">
              <w:rPr>
                <w:kern w:val="22"/>
                <w:szCs w:val="22"/>
              </w:rPr>
              <w:t>4.4. Equitable, fair and mutually agreed terms are negotiated</w:t>
            </w:r>
            <w:r>
              <w:rPr>
                <w:kern w:val="22"/>
                <w:szCs w:val="22"/>
              </w:rPr>
              <w:t xml:space="preserve"> and benefits shared</w:t>
            </w:r>
          </w:p>
        </w:tc>
        <w:tc>
          <w:tcPr>
            <w:tcW w:w="9706" w:type="dxa"/>
          </w:tcPr>
          <w:p w14:paraId="2DEC29EA" w14:textId="4D0CD864" w:rsidR="00D44EAC" w:rsidRDefault="00D44EAC" w:rsidP="00BD2C12">
            <w:pPr>
              <w:numPr>
                <w:ilvl w:val="2"/>
                <w:numId w:val="46"/>
              </w:numPr>
              <w:jc w:val="left"/>
              <w:rPr>
                <w:kern w:val="22"/>
                <w:szCs w:val="22"/>
              </w:rPr>
            </w:pPr>
            <w:r>
              <w:rPr>
                <w:kern w:val="22"/>
                <w:szCs w:val="22"/>
              </w:rPr>
              <w:t xml:space="preserve">Provide </w:t>
            </w:r>
            <w:r w:rsidR="009F2AF2">
              <w:rPr>
                <w:kern w:val="22"/>
                <w:szCs w:val="22"/>
              </w:rPr>
              <w:t xml:space="preserve">guidance, </w:t>
            </w:r>
            <w:r w:rsidR="0070526B" w:rsidRPr="008D3F3B">
              <w:rPr>
                <w:kern w:val="22"/>
                <w:szCs w:val="22"/>
              </w:rPr>
              <w:t>training</w:t>
            </w:r>
            <w:r w:rsidR="0070526B">
              <w:rPr>
                <w:kern w:val="22"/>
                <w:szCs w:val="22"/>
              </w:rPr>
              <w:t xml:space="preserve"> </w:t>
            </w:r>
            <w:r w:rsidR="0027446A">
              <w:rPr>
                <w:kern w:val="22"/>
                <w:szCs w:val="22"/>
              </w:rPr>
              <w:t xml:space="preserve">or </w:t>
            </w:r>
            <w:r w:rsidR="009F2AF2">
              <w:rPr>
                <w:kern w:val="22"/>
                <w:szCs w:val="22"/>
              </w:rPr>
              <w:t xml:space="preserve">technical assistance </w:t>
            </w:r>
            <w:r w:rsidR="00F675F6">
              <w:rPr>
                <w:kern w:val="22"/>
                <w:szCs w:val="22"/>
              </w:rPr>
              <w:t>for</w:t>
            </w:r>
            <w:r w:rsidRPr="00F610E5">
              <w:rPr>
                <w:kern w:val="22"/>
                <w:szCs w:val="22"/>
              </w:rPr>
              <w:t xml:space="preserve"> assess</w:t>
            </w:r>
            <w:r w:rsidR="00F675F6">
              <w:rPr>
                <w:kern w:val="22"/>
                <w:szCs w:val="22"/>
              </w:rPr>
              <w:t>ing</w:t>
            </w:r>
            <w:r w:rsidRPr="00F610E5">
              <w:rPr>
                <w:kern w:val="22"/>
                <w:szCs w:val="22"/>
              </w:rPr>
              <w:t xml:space="preserve"> and understand</w:t>
            </w:r>
            <w:r w:rsidR="00F675F6">
              <w:rPr>
                <w:kern w:val="22"/>
                <w:szCs w:val="22"/>
              </w:rPr>
              <w:t>ing</w:t>
            </w:r>
            <w:r w:rsidRPr="00F610E5">
              <w:rPr>
                <w:kern w:val="22"/>
                <w:szCs w:val="22"/>
              </w:rPr>
              <w:t xml:space="preserve"> the commercial value of genetic resources and associated traditional knowledge</w:t>
            </w:r>
            <w:r>
              <w:rPr>
                <w:kern w:val="22"/>
                <w:szCs w:val="22"/>
              </w:rPr>
              <w:t xml:space="preserve"> and different uses by different sectors</w:t>
            </w:r>
            <w:r w:rsidR="005C34E9">
              <w:rPr>
                <w:kern w:val="22"/>
                <w:szCs w:val="22"/>
              </w:rPr>
              <w:t>;</w:t>
            </w:r>
          </w:p>
          <w:p w14:paraId="5810D012" w14:textId="392B31AA" w:rsidR="00D44EAC" w:rsidRPr="00E27CFC" w:rsidRDefault="002D187D" w:rsidP="00BD2C12">
            <w:pPr>
              <w:numPr>
                <w:ilvl w:val="2"/>
                <w:numId w:val="46"/>
              </w:numPr>
              <w:jc w:val="left"/>
              <w:rPr>
                <w:kern w:val="22"/>
                <w:szCs w:val="22"/>
              </w:rPr>
            </w:pPr>
            <w:r>
              <w:rPr>
                <w:kern w:val="22"/>
                <w:szCs w:val="22"/>
              </w:rPr>
              <w:t>Provide</w:t>
            </w:r>
            <w:r w:rsidR="0042178C">
              <w:rPr>
                <w:kern w:val="22"/>
                <w:szCs w:val="22"/>
              </w:rPr>
              <w:t xml:space="preserve"> guidance,</w:t>
            </w:r>
            <w:r w:rsidRPr="009226E2">
              <w:rPr>
                <w:kern w:val="22"/>
                <w:szCs w:val="22"/>
              </w:rPr>
              <w:t xml:space="preserve"> </w:t>
            </w:r>
            <w:r w:rsidR="0070526B" w:rsidRPr="008D3F3B">
              <w:rPr>
                <w:kern w:val="22"/>
                <w:szCs w:val="22"/>
              </w:rPr>
              <w:t>training</w:t>
            </w:r>
            <w:r w:rsidR="0070526B">
              <w:rPr>
                <w:kern w:val="22"/>
                <w:szCs w:val="22"/>
              </w:rPr>
              <w:t xml:space="preserve"> </w:t>
            </w:r>
            <w:r w:rsidR="00200C4F">
              <w:rPr>
                <w:kern w:val="22"/>
                <w:szCs w:val="22"/>
              </w:rPr>
              <w:t>or technical assistance</w:t>
            </w:r>
            <w:r w:rsidR="0070526B" w:rsidRPr="008D3F3B">
              <w:rPr>
                <w:kern w:val="22"/>
                <w:szCs w:val="22"/>
              </w:rPr>
              <w:t xml:space="preserve"> </w:t>
            </w:r>
            <w:r w:rsidR="00D44EAC">
              <w:rPr>
                <w:kern w:val="22"/>
                <w:szCs w:val="22"/>
              </w:rPr>
              <w:t xml:space="preserve">on how </w:t>
            </w:r>
            <w:r w:rsidR="00D44EAC" w:rsidRPr="009226E2">
              <w:rPr>
                <w:kern w:val="22"/>
                <w:szCs w:val="22"/>
              </w:rPr>
              <w:t xml:space="preserve">to negotiate </w:t>
            </w:r>
            <w:r w:rsidR="00F03B81">
              <w:rPr>
                <w:kern w:val="22"/>
                <w:szCs w:val="22"/>
              </w:rPr>
              <w:t xml:space="preserve">access and benefit-sharing </w:t>
            </w:r>
            <w:r w:rsidR="00D44EAC">
              <w:rPr>
                <w:kern w:val="22"/>
                <w:szCs w:val="22"/>
              </w:rPr>
              <w:t xml:space="preserve"> agreements</w:t>
            </w:r>
            <w:r w:rsidR="00F03B81">
              <w:rPr>
                <w:kern w:val="22"/>
                <w:szCs w:val="22"/>
              </w:rPr>
              <w:t xml:space="preserve"> which</w:t>
            </w:r>
            <w:r w:rsidR="00D44EAC">
              <w:rPr>
                <w:kern w:val="22"/>
                <w:szCs w:val="22"/>
              </w:rPr>
              <w:t xml:space="preserve"> lead to increased benefit-sharing for indigenous peoples and local communities</w:t>
            </w:r>
            <w:r w:rsidR="005C34E9">
              <w:rPr>
                <w:kern w:val="22"/>
                <w:szCs w:val="22"/>
              </w:rPr>
              <w:t>;</w:t>
            </w:r>
          </w:p>
          <w:p w14:paraId="180B291E" w14:textId="0940220F" w:rsidR="00D44EAC" w:rsidRPr="009226E2" w:rsidRDefault="00D44EAC" w:rsidP="00BD2C12">
            <w:pPr>
              <w:pStyle w:val="ListParagraph"/>
              <w:numPr>
                <w:ilvl w:val="0"/>
                <w:numId w:val="35"/>
              </w:numPr>
              <w:ind w:left="331" w:hanging="331"/>
              <w:jc w:val="left"/>
            </w:pPr>
            <w:r w:rsidRPr="774ED644">
              <w:rPr>
                <w:kern w:val="22"/>
              </w:rPr>
              <w:t xml:space="preserve">Provide </w:t>
            </w:r>
            <w:r w:rsidR="00373BBA" w:rsidRPr="774ED644">
              <w:rPr>
                <w:kern w:val="22"/>
              </w:rPr>
              <w:t>guidance</w:t>
            </w:r>
            <w:r w:rsidR="00DD0135" w:rsidRPr="774ED644">
              <w:rPr>
                <w:kern w:val="22"/>
              </w:rPr>
              <w:t xml:space="preserve">, training or </w:t>
            </w:r>
            <w:r w:rsidRPr="774ED644">
              <w:rPr>
                <w:kern w:val="22"/>
              </w:rPr>
              <w:t>technical assistance</w:t>
            </w:r>
            <w:r w:rsidRPr="00F70CAB">
              <w:rPr>
                <w:kern w:val="22"/>
                <w:szCs w:val="22"/>
              </w:rPr>
              <w:t xml:space="preserve"> </w:t>
            </w:r>
            <w:r w:rsidRPr="774ED644">
              <w:rPr>
                <w:kern w:val="22"/>
              </w:rPr>
              <w:t xml:space="preserve">to implement the terms of the agreement and ensure the sharing </w:t>
            </w:r>
            <w:r w:rsidR="47392EDA" w:rsidRPr="774ED644">
              <w:rPr>
                <w:kern w:val="22"/>
              </w:rPr>
              <w:t>of fair and equitable</w:t>
            </w:r>
            <w:r w:rsidRPr="774ED644">
              <w:rPr>
                <w:kern w:val="22"/>
              </w:rPr>
              <w:t xml:space="preserve"> benefits.</w:t>
            </w:r>
          </w:p>
        </w:tc>
      </w:tr>
    </w:tbl>
    <w:p w14:paraId="36A2C373" w14:textId="77777777" w:rsidR="00D44EAC" w:rsidRDefault="00D44EAC" w:rsidP="00D44EAC"/>
    <w:tbl>
      <w:tblPr>
        <w:tblStyle w:val="TableGrid"/>
        <w:tblW w:w="13306" w:type="dxa"/>
        <w:tblInd w:w="279" w:type="dxa"/>
        <w:tblLook w:val="04A0" w:firstRow="1" w:lastRow="0" w:firstColumn="1" w:lastColumn="0" w:noHBand="0" w:noVBand="1"/>
      </w:tblPr>
      <w:tblGrid>
        <w:gridCol w:w="3600"/>
        <w:gridCol w:w="9706"/>
      </w:tblGrid>
      <w:tr w:rsidR="00D44EAC" w:rsidRPr="00DD54AB" w14:paraId="35994ECB" w14:textId="77777777" w:rsidTr="00840F80">
        <w:tc>
          <w:tcPr>
            <w:tcW w:w="13306" w:type="dxa"/>
            <w:gridSpan w:val="2"/>
          </w:tcPr>
          <w:p w14:paraId="1D30D40B" w14:textId="77777777" w:rsidR="00D44EAC" w:rsidRDefault="00D44EAC" w:rsidP="00335F76">
            <w:pPr>
              <w:spacing w:before="120" w:after="120"/>
              <w:rPr>
                <w:b/>
                <w:bCs/>
                <w:szCs w:val="22"/>
              </w:rPr>
            </w:pPr>
            <w:r w:rsidRPr="009226E2">
              <w:rPr>
                <w:b/>
                <w:bCs/>
                <w:szCs w:val="22"/>
              </w:rPr>
              <w:t>Outcome area 5: Strengthened capacity to undertake endogenous biodiversity-based research and development to add value to genetic resources</w:t>
            </w:r>
          </w:p>
          <w:p w14:paraId="7543657C" w14:textId="491D1330" w:rsidR="00D44EAC" w:rsidRPr="00A750CF" w:rsidRDefault="00F03B81" w:rsidP="00335F76">
            <w:pPr>
              <w:spacing w:before="120" w:after="120"/>
              <w:rPr>
                <w:i/>
                <w:iCs/>
                <w:szCs w:val="22"/>
              </w:rPr>
            </w:pPr>
            <w:r>
              <w:rPr>
                <w:i/>
                <w:iCs/>
                <w:szCs w:val="22"/>
              </w:rPr>
              <w:t>O</w:t>
            </w:r>
            <w:r w:rsidR="00D44EAC">
              <w:rPr>
                <w:i/>
                <w:iCs/>
                <w:szCs w:val="22"/>
              </w:rPr>
              <w:t xml:space="preserve">utcome area </w:t>
            </w:r>
            <w:r>
              <w:rPr>
                <w:i/>
                <w:iCs/>
                <w:szCs w:val="22"/>
              </w:rPr>
              <w:t xml:space="preserve">5 </w:t>
            </w:r>
            <w:r w:rsidR="00D44EAC">
              <w:rPr>
                <w:i/>
                <w:iCs/>
                <w:szCs w:val="22"/>
              </w:rPr>
              <w:t>aims to</w:t>
            </w:r>
            <w:r>
              <w:rPr>
                <w:i/>
                <w:iCs/>
                <w:szCs w:val="22"/>
              </w:rPr>
              <w:t>wards</w:t>
            </w:r>
            <w:r w:rsidR="00D44EAC">
              <w:rPr>
                <w:i/>
                <w:iCs/>
                <w:szCs w:val="22"/>
              </w:rPr>
              <w:t xml:space="preserve"> strengthen</w:t>
            </w:r>
            <w:r>
              <w:rPr>
                <w:i/>
                <w:iCs/>
                <w:szCs w:val="22"/>
              </w:rPr>
              <w:t>ing</w:t>
            </w:r>
            <w:r w:rsidR="00D44EAC">
              <w:rPr>
                <w:i/>
                <w:iCs/>
                <w:szCs w:val="22"/>
              </w:rPr>
              <w:t xml:space="preserve"> the capacities of countries to utilize and add value to their own genetic resources. Expected outputs relate to increased endogenous biodiversity-based research and education as well as development of products arising from the utilization of genetic resources. </w:t>
            </w:r>
          </w:p>
        </w:tc>
      </w:tr>
      <w:tr w:rsidR="00D44EAC" w:rsidRPr="00DD54AB" w14:paraId="6E0FBBDB" w14:textId="77777777" w:rsidTr="00840F80">
        <w:tc>
          <w:tcPr>
            <w:tcW w:w="3600" w:type="dxa"/>
          </w:tcPr>
          <w:p w14:paraId="55708841" w14:textId="77777777" w:rsidR="00D44EAC" w:rsidRPr="00035D46" w:rsidRDefault="00D44EAC" w:rsidP="00335F76">
            <w:pPr>
              <w:rPr>
                <w:b/>
                <w:bCs/>
                <w:szCs w:val="22"/>
              </w:rPr>
            </w:pPr>
            <w:r w:rsidRPr="00035D46">
              <w:rPr>
                <w:b/>
                <w:bCs/>
                <w:szCs w:val="22"/>
              </w:rPr>
              <w:t>Outputs</w:t>
            </w:r>
          </w:p>
        </w:tc>
        <w:tc>
          <w:tcPr>
            <w:tcW w:w="9706" w:type="dxa"/>
          </w:tcPr>
          <w:p w14:paraId="5927FC87" w14:textId="77777777" w:rsidR="00D44EAC" w:rsidRPr="00035D46" w:rsidRDefault="00D44EAC" w:rsidP="005B1DF0">
            <w:pPr>
              <w:keepNext/>
              <w:keepLines/>
              <w:rPr>
                <w:szCs w:val="22"/>
              </w:rPr>
            </w:pPr>
            <w:r w:rsidRPr="00035D46">
              <w:rPr>
                <w:b/>
                <w:bCs/>
                <w:kern w:val="22"/>
                <w:szCs w:val="22"/>
              </w:rPr>
              <w:t>Indicative capacity-building and development activities</w:t>
            </w:r>
          </w:p>
        </w:tc>
      </w:tr>
      <w:tr w:rsidR="00D44EAC" w:rsidRPr="00DD54AB" w14:paraId="3C42FED9" w14:textId="77777777" w:rsidTr="00840F80">
        <w:tc>
          <w:tcPr>
            <w:tcW w:w="3600" w:type="dxa"/>
          </w:tcPr>
          <w:p w14:paraId="6CA6A137" w14:textId="77777777" w:rsidR="00D44EAC" w:rsidRPr="00035D46" w:rsidRDefault="00D44EAC" w:rsidP="00335F76">
            <w:pPr>
              <w:rPr>
                <w:b/>
                <w:bCs/>
                <w:szCs w:val="22"/>
              </w:rPr>
            </w:pPr>
            <w:r w:rsidRPr="00A7093D">
              <w:rPr>
                <w:kern w:val="22"/>
                <w:szCs w:val="22"/>
              </w:rPr>
              <w:t>5.</w:t>
            </w:r>
            <w:r>
              <w:rPr>
                <w:kern w:val="22"/>
                <w:szCs w:val="22"/>
              </w:rPr>
              <w:t>1</w:t>
            </w:r>
            <w:r w:rsidRPr="00A7093D">
              <w:rPr>
                <w:kern w:val="22"/>
                <w:szCs w:val="22"/>
              </w:rPr>
              <w:t>.</w:t>
            </w:r>
            <w:r w:rsidRPr="00A7093D" w:rsidDel="00F7104D">
              <w:rPr>
                <w:kern w:val="22"/>
                <w:szCs w:val="22"/>
              </w:rPr>
              <w:t xml:space="preserve"> </w:t>
            </w:r>
            <w:r w:rsidRPr="00A7093D">
              <w:rPr>
                <w:kern w:val="22"/>
                <w:szCs w:val="22"/>
              </w:rPr>
              <w:t xml:space="preserve">Research </w:t>
            </w:r>
            <w:r>
              <w:rPr>
                <w:kern w:val="22"/>
                <w:szCs w:val="22"/>
              </w:rPr>
              <w:t>opportunities, capacities</w:t>
            </w:r>
            <w:r w:rsidRPr="00A7093D">
              <w:rPr>
                <w:kern w:val="22"/>
                <w:szCs w:val="22"/>
              </w:rPr>
              <w:t xml:space="preserve"> and needs </w:t>
            </w:r>
            <w:r>
              <w:rPr>
                <w:kern w:val="22"/>
                <w:szCs w:val="22"/>
              </w:rPr>
              <w:t>related to genetic resources</w:t>
            </w:r>
            <w:r w:rsidRPr="00A7093D">
              <w:rPr>
                <w:kern w:val="22"/>
                <w:szCs w:val="22"/>
              </w:rPr>
              <w:t xml:space="preserve"> </w:t>
            </w:r>
            <w:r>
              <w:rPr>
                <w:kern w:val="22"/>
                <w:szCs w:val="22"/>
              </w:rPr>
              <w:t xml:space="preserve">are </w:t>
            </w:r>
            <w:r w:rsidRPr="00A7093D">
              <w:rPr>
                <w:kern w:val="22"/>
                <w:szCs w:val="22"/>
              </w:rPr>
              <w:t>identified</w:t>
            </w:r>
          </w:p>
        </w:tc>
        <w:tc>
          <w:tcPr>
            <w:tcW w:w="9706" w:type="dxa"/>
          </w:tcPr>
          <w:p w14:paraId="4F83A11B" w14:textId="4CA94398" w:rsidR="00D44EAC" w:rsidRPr="00316F1C" w:rsidRDefault="00D44EAC" w:rsidP="005B1DF0">
            <w:pPr>
              <w:keepNext/>
              <w:keepLines/>
              <w:numPr>
                <w:ilvl w:val="2"/>
                <w:numId w:val="29"/>
              </w:numPr>
              <w:jc w:val="left"/>
              <w:rPr>
                <w:kern w:val="22"/>
                <w:szCs w:val="22"/>
              </w:rPr>
            </w:pPr>
            <w:r>
              <w:rPr>
                <w:kern w:val="22"/>
                <w:szCs w:val="22"/>
              </w:rPr>
              <w:t xml:space="preserve">Support </w:t>
            </w:r>
            <w:r w:rsidRPr="00BA0F8B">
              <w:rPr>
                <w:kern w:val="22"/>
                <w:szCs w:val="22"/>
              </w:rPr>
              <w:t>assessment</w:t>
            </w:r>
            <w:r>
              <w:rPr>
                <w:kern w:val="22"/>
                <w:szCs w:val="22"/>
              </w:rPr>
              <w:t>s</w:t>
            </w:r>
            <w:r w:rsidRPr="00BA0F8B">
              <w:rPr>
                <w:kern w:val="22"/>
                <w:szCs w:val="22"/>
              </w:rPr>
              <w:t xml:space="preserve"> of genetic resources </w:t>
            </w:r>
            <w:r>
              <w:rPr>
                <w:kern w:val="22"/>
                <w:szCs w:val="22"/>
              </w:rPr>
              <w:t>to identify</w:t>
            </w:r>
            <w:r w:rsidRPr="00BA0F8B">
              <w:rPr>
                <w:kern w:val="22"/>
                <w:szCs w:val="22"/>
              </w:rPr>
              <w:t xml:space="preserve"> </w:t>
            </w:r>
            <w:r>
              <w:rPr>
                <w:kern w:val="22"/>
                <w:szCs w:val="22"/>
              </w:rPr>
              <w:t xml:space="preserve">existing and </w:t>
            </w:r>
            <w:r w:rsidRPr="00BA0F8B">
              <w:rPr>
                <w:kern w:val="22"/>
                <w:szCs w:val="22"/>
              </w:rPr>
              <w:t xml:space="preserve">potential </w:t>
            </w:r>
            <w:r>
              <w:rPr>
                <w:kern w:val="22"/>
                <w:szCs w:val="22"/>
              </w:rPr>
              <w:t xml:space="preserve">non-commercial and </w:t>
            </w:r>
            <w:r w:rsidRPr="00BA0F8B">
              <w:rPr>
                <w:kern w:val="22"/>
                <w:szCs w:val="22"/>
              </w:rPr>
              <w:t>commercial value</w:t>
            </w:r>
            <w:r w:rsidR="005C34E9">
              <w:rPr>
                <w:kern w:val="22"/>
                <w:szCs w:val="22"/>
              </w:rPr>
              <w:t>;</w:t>
            </w:r>
          </w:p>
          <w:p w14:paraId="07C878D5" w14:textId="210B0923" w:rsidR="00D44EAC" w:rsidRDefault="00D44EAC" w:rsidP="005B1DF0">
            <w:pPr>
              <w:pStyle w:val="ListParagraph"/>
              <w:keepNext/>
              <w:keepLines/>
              <w:numPr>
                <w:ilvl w:val="0"/>
                <w:numId w:val="29"/>
              </w:numPr>
              <w:jc w:val="left"/>
              <w:rPr>
                <w:kern w:val="22"/>
                <w:szCs w:val="22"/>
              </w:rPr>
            </w:pPr>
            <w:r>
              <w:rPr>
                <w:kern w:val="22"/>
                <w:szCs w:val="22"/>
              </w:rPr>
              <w:t>Support</w:t>
            </w:r>
            <w:r w:rsidRPr="00A7093D">
              <w:rPr>
                <w:kern w:val="22"/>
                <w:szCs w:val="22"/>
              </w:rPr>
              <w:t xml:space="preserve"> assessment</w:t>
            </w:r>
            <w:r>
              <w:rPr>
                <w:kern w:val="22"/>
                <w:szCs w:val="22"/>
              </w:rPr>
              <w:t>s</w:t>
            </w:r>
            <w:r w:rsidRPr="00A7093D">
              <w:rPr>
                <w:kern w:val="22"/>
                <w:szCs w:val="22"/>
              </w:rPr>
              <w:t xml:space="preserve"> </w:t>
            </w:r>
            <w:r>
              <w:rPr>
                <w:kern w:val="22"/>
                <w:szCs w:val="22"/>
              </w:rPr>
              <w:t>to</w:t>
            </w:r>
            <w:r w:rsidRPr="00A7093D">
              <w:rPr>
                <w:kern w:val="22"/>
                <w:szCs w:val="22"/>
              </w:rPr>
              <w:t xml:space="preserve"> identify </w:t>
            </w:r>
            <w:r>
              <w:rPr>
                <w:kern w:val="22"/>
                <w:szCs w:val="22"/>
              </w:rPr>
              <w:t>existing research capacities,</w:t>
            </w:r>
            <w:r w:rsidRPr="00A7093D">
              <w:rPr>
                <w:kern w:val="22"/>
                <w:szCs w:val="22"/>
              </w:rPr>
              <w:t xml:space="preserve"> priorities</w:t>
            </w:r>
            <w:r>
              <w:rPr>
                <w:kern w:val="22"/>
                <w:szCs w:val="22"/>
              </w:rPr>
              <w:t>, needs</w:t>
            </w:r>
            <w:r w:rsidRPr="00A7093D">
              <w:rPr>
                <w:kern w:val="22"/>
                <w:szCs w:val="22"/>
              </w:rPr>
              <w:t xml:space="preserve"> and gaps</w:t>
            </w:r>
            <w:r w:rsidR="005C34E9">
              <w:rPr>
                <w:kern w:val="22"/>
                <w:szCs w:val="22"/>
              </w:rPr>
              <w:t>;</w:t>
            </w:r>
          </w:p>
          <w:p w14:paraId="30D025B3" w14:textId="77777777" w:rsidR="00D44EAC" w:rsidRPr="001E4D17" w:rsidRDefault="00D44EAC" w:rsidP="005B1DF0">
            <w:pPr>
              <w:pStyle w:val="ListParagraph"/>
              <w:keepNext/>
              <w:keepLines/>
              <w:numPr>
                <w:ilvl w:val="0"/>
                <w:numId w:val="29"/>
              </w:numPr>
              <w:jc w:val="left"/>
              <w:rPr>
                <w:kern w:val="22"/>
                <w:szCs w:val="22"/>
              </w:rPr>
            </w:pPr>
            <w:r w:rsidRPr="001E4D17">
              <w:rPr>
                <w:kern w:val="22"/>
                <w:szCs w:val="22"/>
              </w:rPr>
              <w:t xml:space="preserve">Support the development of strategies </w:t>
            </w:r>
            <w:r>
              <w:rPr>
                <w:kern w:val="22"/>
                <w:szCs w:val="22"/>
              </w:rPr>
              <w:t xml:space="preserve">and solutions </w:t>
            </w:r>
            <w:r w:rsidRPr="001E4D17">
              <w:rPr>
                <w:kern w:val="22"/>
                <w:szCs w:val="22"/>
              </w:rPr>
              <w:t xml:space="preserve">to address the needs and gaps identified in the assessments. </w:t>
            </w:r>
          </w:p>
        </w:tc>
      </w:tr>
      <w:tr w:rsidR="00D44EAC" w:rsidRPr="00DD54AB" w14:paraId="16CA9820" w14:textId="77777777" w:rsidTr="00840F80">
        <w:tc>
          <w:tcPr>
            <w:tcW w:w="3600" w:type="dxa"/>
          </w:tcPr>
          <w:p w14:paraId="713794DC" w14:textId="77777777" w:rsidR="00D44EAC" w:rsidRPr="00035D46" w:rsidRDefault="00D44EAC" w:rsidP="00335F76">
            <w:pPr>
              <w:jc w:val="left"/>
              <w:rPr>
                <w:kern w:val="22"/>
                <w:szCs w:val="22"/>
              </w:rPr>
            </w:pPr>
            <w:r w:rsidRPr="00035D46">
              <w:rPr>
                <w:kern w:val="22"/>
                <w:szCs w:val="22"/>
              </w:rPr>
              <w:lastRenderedPageBreak/>
              <w:t>5.</w:t>
            </w:r>
            <w:r>
              <w:rPr>
                <w:kern w:val="22"/>
                <w:szCs w:val="22"/>
              </w:rPr>
              <w:t>2</w:t>
            </w:r>
            <w:r w:rsidRPr="00035D46">
              <w:rPr>
                <w:kern w:val="22"/>
                <w:szCs w:val="22"/>
              </w:rPr>
              <w:t xml:space="preserve">. </w:t>
            </w:r>
            <w:r>
              <w:rPr>
                <w:kern w:val="22"/>
                <w:szCs w:val="22"/>
              </w:rPr>
              <w:t xml:space="preserve">Policies and/or measures </w:t>
            </w:r>
            <w:r w:rsidRPr="00035D46">
              <w:rPr>
                <w:kern w:val="22"/>
                <w:szCs w:val="22"/>
              </w:rPr>
              <w:t>promot</w:t>
            </w:r>
            <w:r>
              <w:rPr>
                <w:kern w:val="22"/>
                <w:szCs w:val="22"/>
              </w:rPr>
              <w:t>ing</w:t>
            </w:r>
            <w:r w:rsidRPr="00035D46">
              <w:rPr>
                <w:kern w:val="22"/>
                <w:szCs w:val="22"/>
              </w:rPr>
              <w:t xml:space="preserve"> endogenous biodiversity-based research and development</w:t>
            </w:r>
            <w:r>
              <w:rPr>
                <w:kern w:val="22"/>
                <w:szCs w:val="22"/>
              </w:rPr>
              <w:t xml:space="preserve"> are in place</w:t>
            </w:r>
          </w:p>
        </w:tc>
        <w:tc>
          <w:tcPr>
            <w:tcW w:w="9706" w:type="dxa"/>
            <w:tcBorders>
              <w:bottom w:val="single" w:sz="4" w:space="0" w:color="auto"/>
            </w:tcBorders>
          </w:tcPr>
          <w:p w14:paraId="7C56A771" w14:textId="03582E12" w:rsidR="00D44EAC" w:rsidRPr="00035D46" w:rsidRDefault="00D44EAC" w:rsidP="00BD2C12">
            <w:pPr>
              <w:numPr>
                <w:ilvl w:val="2"/>
                <w:numId w:val="25"/>
              </w:numPr>
              <w:jc w:val="left"/>
              <w:rPr>
                <w:kern w:val="22"/>
                <w:szCs w:val="22"/>
              </w:rPr>
            </w:pPr>
            <w:r>
              <w:rPr>
                <w:kern w:val="22"/>
                <w:szCs w:val="22"/>
              </w:rPr>
              <w:t>Take stock of</w:t>
            </w:r>
            <w:r w:rsidRPr="00035D46">
              <w:rPr>
                <w:kern w:val="22"/>
                <w:szCs w:val="22"/>
              </w:rPr>
              <w:t xml:space="preserve"> existing </w:t>
            </w:r>
            <w:r>
              <w:rPr>
                <w:kern w:val="22"/>
                <w:szCs w:val="22"/>
              </w:rPr>
              <w:t>research and development policies and measures and their impact on biodiversity-based research and development</w:t>
            </w:r>
            <w:r w:rsidR="005C34E9">
              <w:rPr>
                <w:kern w:val="22"/>
                <w:szCs w:val="22"/>
              </w:rPr>
              <w:t>;</w:t>
            </w:r>
          </w:p>
          <w:p w14:paraId="23628D11" w14:textId="7B75E1DD" w:rsidR="00D44EAC" w:rsidRPr="00035D46" w:rsidRDefault="00D44EAC" w:rsidP="00BD2C12">
            <w:pPr>
              <w:numPr>
                <w:ilvl w:val="2"/>
                <w:numId w:val="25"/>
              </w:numPr>
              <w:jc w:val="left"/>
              <w:rPr>
                <w:kern w:val="22"/>
                <w:szCs w:val="22"/>
              </w:rPr>
            </w:pPr>
            <w:r w:rsidRPr="00035D46">
              <w:rPr>
                <w:kern w:val="22"/>
                <w:szCs w:val="22"/>
              </w:rPr>
              <w:t>Support</w:t>
            </w:r>
            <w:r>
              <w:rPr>
                <w:kern w:val="22"/>
                <w:szCs w:val="22"/>
              </w:rPr>
              <w:t xml:space="preserve"> the</w:t>
            </w:r>
            <w:r w:rsidRPr="00035D46">
              <w:rPr>
                <w:kern w:val="22"/>
                <w:szCs w:val="22"/>
              </w:rPr>
              <w:t xml:space="preserve"> </w:t>
            </w:r>
            <w:r>
              <w:rPr>
                <w:kern w:val="22"/>
                <w:szCs w:val="22"/>
              </w:rPr>
              <w:t xml:space="preserve">updating or </w:t>
            </w:r>
            <w:r w:rsidRPr="00035D46">
              <w:rPr>
                <w:kern w:val="22"/>
                <w:szCs w:val="22"/>
              </w:rPr>
              <w:t xml:space="preserve">development of </w:t>
            </w:r>
            <w:r>
              <w:rPr>
                <w:kern w:val="22"/>
                <w:szCs w:val="22"/>
              </w:rPr>
              <w:t>policies and measures</w:t>
            </w:r>
            <w:r w:rsidRPr="00035D46">
              <w:rPr>
                <w:kern w:val="22"/>
                <w:szCs w:val="22"/>
              </w:rPr>
              <w:t xml:space="preserve"> promot</w:t>
            </w:r>
            <w:r>
              <w:rPr>
                <w:kern w:val="22"/>
                <w:szCs w:val="22"/>
              </w:rPr>
              <w:t>ing</w:t>
            </w:r>
            <w:r w:rsidRPr="00035D46">
              <w:rPr>
                <w:kern w:val="22"/>
                <w:szCs w:val="22"/>
              </w:rPr>
              <w:t xml:space="preserve"> biodiversity-based research and </w:t>
            </w:r>
            <w:r>
              <w:rPr>
                <w:kern w:val="22"/>
                <w:szCs w:val="22"/>
              </w:rPr>
              <w:t xml:space="preserve">product </w:t>
            </w:r>
            <w:r w:rsidRPr="00035D46">
              <w:rPr>
                <w:kern w:val="22"/>
                <w:szCs w:val="22"/>
              </w:rPr>
              <w:t>development</w:t>
            </w:r>
            <w:r w:rsidR="00F03B81">
              <w:rPr>
                <w:kern w:val="22"/>
                <w:szCs w:val="22"/>
              </w:rPr>
              <w:t>,</w:t>
            </w:r>
            <w:r>
              <w:rPr>
                <w:kern w:val="22"/>
                <w:szCs w:val="22"/>
              </w:rPr>
              <w:t xml:space="preserve"> taking into account identified needs, gaps and priorities, for example</w:t>
            </w:r>
            <w:r w:rsidR="00F03B81">
              <w:rPr>
                <w:kern w:val="22"/>
                <w:szCs w:val="22"/>
              </w:rPr>
              <w:t>,</w:t>
            </w:r>
            <w:r>
              <w:rPr>
                <w:kern w:val="22"/>
                <w:szCs w:val="22"/>
              </w:rPr>
              <w:t xml:space="preserve"> by creating financial incentives (tax credits, subsidies</w:t>
            </w:r>
            <w:r w:rsidR="00F03B81">
              <w:rPr>
                <w:kern w:val="22"/>
                <w:szCs w:val="22"/>
              </w:rPr>
              <w:t xml:space="preserve"> and</w:t>
            </w:r>
            <w:r>
              <w:rPr>
                <w:kern w:val="22"/>
                <w:szCs w:val="22"/>
              </w:rPr>
              <w:t xml:space="preserve"> grants).</w:t>
            </w:r>
          </w:p>
        </w:tc>
      </w:tr>
      <w:tr w:rsidR="00D44EAC" w:rsidRPr="00DD54AB" w14:paraId="72A0272D" w14:textId="77777777" w:rsidTr="00840F80">
        <w:tc>
          <w:tcPr>
            <w:tcW w:w="3600" w:type="dxa"/>
          </w:tcPr>
          <w:p w14:paraId="753ABA05" w14:textId="77777777" w:rsidR="00D44EAC" w:rsidRPr="005C07FD" w:rsidRDefault="00D44EAC" w:rsidP="00335F76">
            <w:pPr>
              <w:jc w:val="left"/>
              <w:rPr>
                <w:kern w:val="22"/>
                <w:szCs w:val="22"/>
              </w:rPr>
            </w:pPr>
            <w:r w:rsidRPr="00A7093D">
              <w:rPr>
                <w:kern w:val="22"/>
                <w:szCs w:val="22"/>
              </w:rPr>
              <w:t>5.3. Research and education capacit</w:t>
            </w:r>
            <w:r>
              <w:rPr>
                <w:kern w:val="22"/>
                <w:szCs w:val="22"/>
              </w:rPr>
              <w:t>ies</w:t>
            </w:r>
            <w:r w:rsidRPr="00A7093D">
              <w:rPr>
                <w:kern w:val="22"/>
                <w:szCs w:val="22"/>
              </w:rPr>
              <w:t xml:space="preserve"> for </w:t>
            </w:r>
            <w:r>
              <w:rPr>
                <w:kern w:val="22"/>
                <w:szCs w:val="22"/>
              </w:rPr>
              <w:t xml:space="preserve">the </w:t>
            </w:r>
            <w:r w:rsidRPr="005C07FD">
              <w:rPr>
                <w:kern w:val="22"/>
                <w:szCs w:val="22"/>
              </w:rPr>
              <w:t xml:space="preserve">utilization of genetic resources </w:t>
            </w:r>
            <w:r>
              <w:rPr>
                <w:kern w:val="22"/>
                <w:szCs w:val="22"/>
              </w:rPr>
              <w:t>are</w:t>
            </w:r>
            <w:r w:rsidRPr="005C07FD">
              <w:rPr>
                <w:kern w:val="22"/>
                <w:szCs w:val="22"/>
              </w:rPr>
              <w:t xml:space="preserve"> in place</w:t>
            </w:r>
          </w:p>
        </w:tc>
        <w:tc>
          <w:tcPr>
            <w:tcW w:w="9706" w:type="dxa"/>
          </w:tcPr>
          <w:p w14:paraId="68FF4D12" w14:textId="7466DBC9" w:rsidR="00D44EAC" w:rsidRDefault="00D44EAC" w:rsidP="00BD2C12">
            <w:pPr>
              <w:numPr>
                <w:ilvl w:val="2"/>
                <w:numId w:val="26"/>
              </w:numPr>
              <w:jc w:val="left"/>
            </w:pPr>
            <w:r w:rsidRPr="774ED644">
              <w:rPr>
                <w:kern w:val="22"/>
              </w:rPr>
              <w:t xml:space="preserve">Develop or strengthen academic programmes related to the utilization of genetic resources, </w:t>
            </w:r>
            <w:r w:rsidR="00B80351">
              <w:rPr>
                <w:kern w:val="22"/>
              </w:rPr>
              <w:t>o</w:t>
            </w:r>
            <w:r w:rsidRPr="774ED644">
              <w:rPr>
                <w:kern w:val="22"/>
              </w:rPr>
              <w:t>mics (genomics, proteomics, transcriptomics and metabolomics) and bioinformatics</w:t>
            </w:r>
            <w:r w:rsidR="005C34E9">
              <w:rPr>
                <w:kern w:val="22"/>
              </w:rPr>
              <w:t>;</w:t>
            </w:r>
          </w:p>
          <w:p w14:paraId="253CA41A" w14:textId="324F833B" w:rsidR="00D44EAC" w:rsidRPr="005C07FD" w:rsidRDefault="00D44EAC" w:rsidP="00BD2C12">
            <w:pPr>
              <w:numPr>
                <w:ilvl w:val="2"/>
                <w:numId w:val="26"/>
              </w:numPr>
              <w:jc w:val="left"/>
            </w:pPr>
            <w:r w:rsidRPr="774ED644">
              <w:rPr>
                <w:kern w:val="22"/>
              </w:rPr>
              <w:t>Provide</w:t>
            </w:r>
            <w:r w:rsidR="00693E3C" w:rsidRPr="774ED644">
              <w:rPr>
                <w:kern w:val="22"/>
              </w:rPr>
              <w:t xml:space="preserve"> guidance</w:t>
            </w:r>
            <w:r w:rsidR="00DD0135" w:rsidRPr="774ED644">
              <w:rPr>
                <w:kern w:val="22"/>
              </w:rPr>
              <w:t>, training or</w:t>
            </w:r>
            <w:r w:rsidR="00693E3C" w:rsidRPr="774ED644">
              <w:rPr>
                <w:kern w:val="22"/>
              </w:rPr>
              <w:t xml:space="preserve"> technical assistance</w:t>
            </w:r>
            <w:r w:rsidRPr="774ED644">
              <w:rPr>
                <w:kern w:val="22"/>
              </w:rPr>
              <w:t xml:space="preserve"> on </w:t>
            </w:r>
            <w:r w:rsidR="05185BC6" w:rsidRPr="774ED644">
              <w:rPr>
                <w:kern w:val="22"/>
              </w:rPr>
              <w:t>the basic</w:t>
            </w:r>
            <w:r w:rsidRPr="774ED644">
              <w:rPr>
                <w:kern w:val="22"/>
              </w:rPr>
              <w:t xml:space="preserve"> facilities needed (physical and institutional infrastructure)</w:t>
            </w:r>
            <w:r w:rsidR="005C34E9">
              <w:rPr>
                <w:kern w:val="22"/>
              </w:rPr>
              <w:t>;</w:t>
            </w:r>
          </w:p>
          <w:p w14:paraId="227036E3" w14:textId="1701B288" w:rsidR="00D44EAC" w:rsidRPr="005C07FD" w:rsidRDefault="00D44EAC" w:rsidP="00BD2C12">
            <w:pPr>
              <w:numPr>
                <w:ilvl w:val="2"/>
                <w:numId w:val="26"/>
              </w:numPr>
              <w:jc w:val="left"/>
              <w:rPr>
                <w:kern w:val="22"/>
                <w:szCs w:val="22"/>
              </w:rPr>
            </w:pPr>
            <w:r w:rsidRPr="005C07FD">
              <w:rPr>
                <w:kern w:val="22"/>
                <w:szCs w:val="22"/>
              </w:rPr>
              <w:t>Facilitate and provide technical assistance for access to</w:t>
            </w:r>
            <w:r w:rsidR="002C4263">
              <w:rPr>
                <w:kern w:val="22"/>
                <w:szCs w:val="22"/>
              </w:rPr>
              <w:t xml:space="preserve"> and</w:t>
            </w:r>
            <w:r w:rsidRPr="005C07FD">
              <w:rPr>
                <w:kern w:val="22"/>
                <w:szCs w:val="22"/>
              </w:rPr>
              <w:t xml:space="preserve"> transfer and development of </w:t>
            </w:r>
            <w:r>
              <w:rPr>
                <w:kern w:val="22"/>
                <w:szCs w:val="22"/>
              </w:rPr>
              <w:t>relevant and appropriate</w:t>
            </w:r>
            <w:r w:rsidRPr="005C07FD">
              <w:rPr>
                <w:kern w:val="22"/>
                <w:szCs w:val="22"/>
              </w:rPr>
              <w:t xml:space="preserve"> technology</w:t>
            </w:r>
            <w:r>
              <w:rPr>
                <w:kern w:val="22"/>
                <w:szCs w:val="22"/>
              </w:rPr>
              <w:t xml:space="preserve"> to address the needs, priorities and gaps identified in the assessments</w:t>
            </w:r>
            <w:r w:rsidR="005C34E9">
              <w:rPr>
                <w:kern w:val="22"/>
                <w:szCs w:val="22"/>
              </w:rPr>
              <w:t>;</w:t>
            </w:r>
          </w:p>
          <w:p w14:paraId="45F67A35" w14:textId="3FB29BC8" w:rsidR="00D44EAC" w:rsidRPr="005C07FD" w:rsidRDefault="00D44EAC" w:rsidP="00BD2C12">
            <w:pPr>
              <w:numPr>
                <w:ilvl w:val="2"/>
                <w:numId w:val="26"/>
              </w:numPr>
              <w:jc w:val="left"/>
              <w:rPr>
                <w:kern w:val="22"/>
                <w:szCs w:val="22"/>
              </w:rPr>
            </w:pPr>
            <w:r>
              <w:rPr>
                <w:kern w:val="22"/>
                <w:szCs w:val="22"/>
              </w:rPr>
              <w:t>Support the</w:t>
            </w:r>
            <w:r w:rsidRPr="005C07FD">
              <w:rPr>
                <w:kern w:val="22"/>
                <w:szCs w:val="22"/>
              </w:rPr>
              <w:t xml:space="preserve"> establish</w:t>
            </w:r>
            <w:r>
              <w:rPr>
                <w:kern w:val="22"/>
                <w:szCs w:val="22"/>
              </w:rPr>
              <w:t>ment or improvement of</w:t>
            </w:r>
            <w:r w:rsidRPr="005C07FD">
              <w:rPr>
                <w:kern w:val="22"/>
                <w:szCs w:val="22"/>
              </w:rPr>
              <w:t xml:space="preserve"> research facilities and networks</w:t>
            </w:r>
            <w:r>
              <w:rPr>
                <w:kern w:val="22"/>
                <w:szCs w:val="22"/>
              </w:rPr>
              <w:t>, in particular</w:t>
            </w:r>
            <w:r w:rsidRPr="005C07FD">
              <w:rPr>
                <w:kern w:val="22"/>
                <w:szCs w:val="22"/>
              </w:rPr>
              <w:t xml:space="preserve"> in developing countries</w:t>
            </w:r>
            <w:r>
              <w:rPr>
                <w:kern w:val="22"/>
                <w:szCs w:val="22"/>
              </w:rPr>
              <w:t xml:space="preserve"> and countries with economies in transition</w:t>
            </w:r>
            <w:r w:rsidR="005C34E9">
              <w:rPr>
                <w:kern w:val="22"/>
                <w:szCs w:val="22"/>
              </w:rPr>
              <w:t>;</w:t>
            </w:r>
          </w:p>
          <w:p w14:paraId="1BBB11A2" w14:textId="77777777" w:rsidR="00D44EAC" w:rsidRPr="005C07FD" w:rsidRDefault="00D44EAC" w:rsidP="00BD2C12">
            <w:pPr>
              <w:numPr>
                <w:ilvl w:val="2"/>
                <w:numId w:val="26"/>
              </w:numPr>
              <w:jc w:val="left"/>
              <w:rPr>
                <w:kern w:val="22"/>
                <w:szCs w:val="22"/>
              </w:rPr>
            </w:pPr>
            <w:r>
              <w:rPr>
                <w:kern w:val="22"/>
                <w:szCs w:val="22"/>
              </w:rPr>
              <w:t>S</w:t>
            </w:r>
            <w:r w:rsidRPr="005C07FD">
              <w:rPr>
                <w:kern w:val="22"/>
                <w:szCs w:val="22"/>
              </w:rPr>
              <w:t xml:space="preserve">upport </w:t>
            </w:r>
            <w:r>
              <w:rPr>
                <w:kern w:val="22"/>
                <w:szCs w:val="22"/>
              </w:rPr>
              <w:t>the</w:t>
            </w:r>
            <w:r w:rsidRPr="005C07FD">
              <w:rPr>
                <w:kern w:val="22"/>
                <w:szCs w:val="22"/>
              </w:rPr>
              <w:t xml:space="preserve"> establish</w:t>
            </w:r>
            <w:r>
              <w:rPr>
                <w:kern w:val="22"/>
                <w:szCs w:val="22"/>
              </w:rPr>
              <w:t>ment of</w:t>
            </w:r>
            <w:r w:rsidRPr="005C07FD">
              <w:rPr>
                <w:kern w:val="22"/>
                <w:szCs w:val="22"/>
              </w:rPr>
              <w:t xml:space="preserve"> joint research and scientific cooperation and multilateral networking among public-private research institutions, academia, indigenous peoples and local communities</w:t>
            </w:r>
            <w:r>
              <w:rPr>
                <w:kern w:val="22"/>
                <w:szCs w:val="22"/>
              </w:rPr>
              <w:t>,</w:t>
            </w:r>
            <w:r w:rsidRPr="005C07FD">
              <w:rPr>
                <w:kern w:val="22"/>
                <w:szCs w:val="22"/>
              </w:rPr>
              <w:t xml:space="preserve"> </w:t>
            </w:r>
            <w:r>
              <w:rPr>
                <w:kern w:val="22"/>
                <w:szCs w:val="22"/>
              </w:rPr>
              <w:t>business and civil society</w:t>
            </w:r>
            <w:r w:rsidRPr="005C07FD">
              <w:rPr>
                <w:kern w:val="22"/>
                <w:szCs w:val="22"/>
              </w:rPr>
              <w:t>.</w:t>
            </w:r>
          </w:p>
        </w:tc>
      </w:tr>
      <w:tr w:rsidR="00D44EAC" w:rsidRPr="00DD54AB" w14:paraId="4D6C94A8" w14:textId="77777777" w:rsidTr="00840F80">
        <w:tc>
          <w:tcPr>
            <w:tcW w:w="3600" w:type="dxa"/>
            <w:shd w:val="clear" w:color="auto" w:fill="auto"/>
          </w:tcPr>
          <w:p w14:paraId="050BD373" w14:textId="372AB79D" w:rsidR="00D44EAC" w:rsidRPr="00BA0F8B" w:rsidRDefault="00D44EAC" w:rsidP="00335F76">
            <w:pPr>
              <w:jc w:val="left"/>
              <w:rPr>
                <w:kern w:val="22"/>
                <w:szCs w:val="22"/>
              </w:rPr>
            </w:pPr>
            <w:r w:rsidRPr="00BA0F8B">
              <w:rPr>
                <w:kern w:val="22"/>
                <w:szCs w:val="22"/>
              </w:rPr>
              <w:t>5.4. Research and development related to</w:t>
            </w:r>
            <w:r>
              <w:rPr>
                <w:kern w:val="22"/>
                <w:szCs w:val="22"/>
              </w:rPr>
              <w:t xml:space="preserve"> </w:t>
            </w:r>
            <w:r w:rsidRPr="00BA0F8B">
              <w:rPr>
                <w:kern w:val="22"/>
                <w:szCs w:val="22"/>
              </w:rPr>
              <w:t xml:space="preserve">utilization </w:t>
            </w:r>
            <w:r>
              <w:rPr>
                <w:kern w:val="22"/>
                <w:szCs w:val="22"/>
              </w:rPr>
              <w:t xml:space="preserve">of </w:t>
            </w:r>
            <w:r w:rsidRPr="00BA0F8B">
              <w:rPr>
                <w:kern w:val="22"/>
                <w:szCs w:val="22"/>
              </w:rPr>
              <w:t xml:space="preserve">genetic resources </w:t>
            </w:r>
            <w:r w:rsidR="00F03B81">
              <w:rPr>
                <w:kern w:val="22"/>
                <w:szCs w:val="22"/>
              </w:rPr>
              <w:t>are</w:t>
            </w:r>
            <w:r>
              <w:rPr>
                <w:kern w:val="22"/>
                <w:szCs w:val="22"/>
              </w:rPr>
              <w:t xml:space="preserve"> promoted</w:t>
            </w:r>
          </w:p>
        </w:tc>
        <w:tc>
          <w:tcPr>
            <w:tcW w:w="9706" w:type="dxa"/>
            <w:shd w:val="clear" w:color="auto" w:fill="auto"/>
          </w:tcPr>
          <w:p w14:paraId="31BB9E0C" w14:textId="2D61284A" w:rsidR="00D44EAC" w:rsidRPr="000A2613" w:rsidRDefault="00D44EAC" w:rsidP="00BD2C12">
            <w:pPr>
              <w:numPr>
                <w:ilvl w:val="2"/>
                <w:numId w:val="27"/>
              </w:numPr>
              <w:jc w:val="left"/>
              <w:rPr>
                <w:kern w:val="22"/>
                <w:szCs w:val="22"/>
              </w:rPr>
            </w:pPr>
            <w:r w:rsidRPr="000A2613">
              <w:rPr>
                <w:kern w:val="22"/>
                <w:szCs w:val="22"/>
              </w:rPr>
              <w:t>Establish national and international grant schemes to support domestic research and development of genetic resources</w:t>
            </w:r>
            <w:r w:rsidR="005C34E9">
              <w:rPr>
                <w:kern w:val="22"/>
                <w:szCs w:val="22"/>
              </w:rPr>
              <w:t>;</w:t>
            </w:r>
          </w:p>
          <w:p w14:paraId="05AAFFD7" w14:textId="2731B248" w:rsidR="00D44EAC" w:rsidRPr="000A2613" w:rsidRDefault="00D44EAC" w:rsidP="00BD2C12">
            <w:pPr>
              <w:numPr>
                <w:ilvl w:val="2"/>
                <w:numId w:val="27"/>
              </w:numPr>
              <w:jc w:val="left"/>
              <w:rPr>
                <w:kern w:val="22"/>
                <w:szCs w:val="22"/>
              </w:rPr>
            </w:pPr>
            <w:r>
              <w:rPr>
                <w:kern w:val="22"/>
                <w:szCs w:val="22"/>
              </w:rPr>
              <w:t>Provide</w:t>
            </w:r>
            <w:r w:rsidR="00401C10">
              <w:rPr>
                <w:kern w:val="22"/>
                <w:szCs w:val="22"/>
              </w:rPr>
              <w:t xml:space="preserve"> guidance,</w:t>
            </w:r>
            <w:r w:rsidRPr="00BA0F8B">
              <w:rPr>
                <w:kern w:val="22"/>
                <w:szCs w:val="22"/>
              </w:rPr>
              <w:t xml:space="preserve"> training</w:t>
            </w:r>
            <w:r w:rsidR="00401C10">
              <w:rPr>
                <w:kern w:val="22"/>
                <w:szCs w:val="22"/>
              </w:rPr>
              <w:t xml:space="preserve"> or technical assistance</w:t>
            </w:r>
            <w:r w:rsidRPr="00BA0F8B">
              <w:rPr>
                <w:kern w:val="22"/>
                <w:szCs w:val="22"/>
              </w:rPr>
              <w:t xml:space="preserve"> for various sectors on </w:t>
            </w:r>
            <w:r>
              <w:rPr>
                <w:kern w:val="22"/>
                <w:szCs w:val="22"/>
              </w:rPr>
              <w:t>research and development</w:t>
            </w:r>
            <w:r w:rsidRPr="00BA0F8B">
              <w:rPr>
                <w:kern w:val="22"/>
                <w:szCs w:val="22"/>
              </w:rPr>
              <w:t xml:space="preserve"> models in relation to </w:t>
            </w:r>
            <w:r w:rsidRPr="000A2613">
              <w:rPr>
                <w:kern w:val="22"/>
                <w:szCs w:val="22"/>
              </w:rPr>
              <w:t>the utilization of genetic resources</w:t>
            </w:r>
            <w:r w:rsidR="005C34E9">
              <w:rPr>
                <w:kern w:val="22"/>
                <w:szCs w:val="22"/>
              </w:rPr>
              <w:t>;</w:t>
            </w:r>
          </w:p>
          <w:p w14:paraId="0C25878B" w14:textId="64984840" w:rsidR="00D44EAC" w:rsidRPr="00BA0F8B" w:rsidRDefault="00D44EAC" w:rsidP="00BD2C12">
            <w:pPr>
              <w:numPr>
                <w:ilvl w:val="2"/>
                <w:numId w:val="27"/>
              </w:numPr>
              <w:jc w:val="left"/>
              <w:rPr>
                <w:kern w:val="22"/>
                <w:szCs w:val="22"/>
              </w:rPr>
            </w:pPr>
            <w:r w:rsidRPr="00BA0F8B">
              <w:rPr>
                <w:kern w:val="22"/>
                <w:szCs w:val="22"/>
              </w:rPr>
              <w:t>Develop, disseminate and promote use of</w:t>
            </w:r>
            <w:r>
              <w:rPr>
                <w:kern w:val="22"/>
                <w:szCs w:val="22"/>
              </w:rPr>
              <w:t xml:space="preserve"> relevant</w:t>
            </w:r>
            <w:r w:rsidRPr="00BA0F8B">
              <w:rPr>
                <w:kern w:val="22"/>
                <w:szCs w:val="22"/>
              </w:rPr>
              <w:t xml:space="preserve"> training material</w:t>
            </w:r>
            <w:r w:rsidR="005C34E9">
              <w:rPr>
                <w:kern w:val="22"/>
                <w:szCs w:val="22"/>
              </w:rPr>
              <w:t>;</w:t>
            </w:r>
          </w:p>
          <w:p w14:paraId="16CD87F6" w14:textId="596B53DC" w:rsidR="00D44EAC" w:rsidRDefault="00D44EAC" w:rsidP="00BD2C12">
            <w:pPr>
              <w:numPr>
                <w:ilvl w:val="2"/>
                <w:numId w:val="27"/>
              </w:numPr>
              <w:jc w:val="left"/>
              <w:rPr>
                <w:kern w:val="22"/>
                <w:szCs w:val="22"/>
              </w:rPr>
            </w:pPr>
            <w:r w:rsidRPr="00BA0F8B">
              <w:rPr>
                <w:kern w:val="22"/>
                <w:szCs w:val="22"/>
              </w:rPr>
              <w:t xml:space="preserve">Increase effective access to international databases and </w:t>
            </w:r>
            <w:r w:rsidRPr="00B45877">
              <w:rPr>
                <w:kern w:val="22"/>
                <w:szCs w:val="22"/>
              </w:rPr>
              <w:t>enable</w:t>
            </w:r>
            <w:r>
              <w:rPr>
                <w:kern w:val="22"/>
                <w:szCs w:val="22"/>
              </w:rPr>
              <w:t xml:space="preserve"> </w:t>
            </w:r>
            <w:r w:rsidRPr="00BA0F8B">
              <w:rPr>
                <w:kern w:val="22"/>
                <w:szCs w:val="22"/>
              </w:rPr>
              <w:t>their use by researchers in developing countries</w:t>
            </w:r>
            <w:r>
              <w:rPr>
                <w:kern w:val="22"/>
                <w:szCs w:val="22"/>
              </w:rPr>
              <w:t xml:space="preserve"> and countries with economies in transition</w:t>
            </w:r>
            <w:r w:rsidR="005C34E9">
              <w:rPr>
                <w:kern w:val="22"/>
                <w:szCs w:val="22"/>
              </w:rPr>
              <w:t>;</w:t>
            </w:r>
          </w:p>
          <w:p w14:paraId="65E59F23" w14:textId="16AB574E" w:rsidR="00D44EAC" w:rsidRDefault="00D44EAC" w:rsidP="00BD2C12">
            <w:pPr>
              <w:numPr>
                <w:ilvl w:val="2"/>
                <w:numId w:val="27"/>
              </w:numPr>
              <w:jc w:val="left"/>
              <w:rPr>
                <w:kern w:val="22"/>
                <w:szCs w:val="22"/>
              </w:rPr>
            </w:pPr>
            <w:r w:rsidRPr="00BA0F8B">
              <w:rPr>
                <w:kern w:val="22"/>
                <w:szCs w:val="22"/>
              </w:rPr>
              <w:t>Foster</w:t>
            </w:r>
            <w:r>
              <w:rPr>
                <w:kern w:val="22"/>
                <w:szCs w:val="22"/>
              </w:rPr>
              <w:t xml:space="preserve"> and strengthen</w:t>
            </w:r>
            <w:r w:rsidRPr="00BA0F8B">
              <w:rPr>
                <w:kern w:val="22"/>
                <w:szCs w:val="22"/>
              </w:rPr>
              <w:t xml:space="preserve"> research partnerships between user and provider countries</w:t>
            </w:r>
            <w:r w:rsidR="005C34E9">
              <w:rPr>
                <w:kern w:val="22"/>
                <w:szCs w:val="22"/>
              </w:rPr>
              <w:t>;</w:t>
            </w:r>
          </w:p>
          <w:p w14:paraId="3516F974" w14:textId="6BBE4668" w:rsidR="00D44EAC" w:rsidRPr="00520820" w:rsidRDefault="00D44EAC" w:rsidP="00BD2C12">
            <w:pPr>
              <w:numPr>
                <w:ilvl w:val="2"/>
                <w:numId w:val="27"/>
              </w:numPr>
              <w:jc w:val="left"/>
              <w:rPr>
                <w:kern w:val="22"/>
                <w:szCs w:val="22"/>
              </w:rPr>
            </w:pPr>
            <w:r>
              <w:rPr>
                <w:kern w:val="22"/>
                <w:szCs w:val="22"/>
              </w:rPr>
              <w:t>Provide</w:t>
            </w:r>
            <w:r w:rsidR="00401C10">
              <w:rPr>
                <w:kern w:val="22"/>
                <w:szCs w:val="22"/>
              </w:rPr>
              <w:t xml:space="preserve"> guidance</w:t>
            </w:r>
            <w:r w:rsidR="00667BD3">
              <w:rPr>
                <w:kern w:val="22"/>
                <w:szCs w:val="22"/>
              </w:rPr>
              <w:t>,</w:t>
            </w:r>
            <w:r w:rsidR="0038507D">
              <w:rPr>
                <w:kern w:val="22"/>
                <w:szCs w:val="22"/>
              </w:rPr>
              <w:t xml:space="preserve"> </w:t>
            </w:r>
            <w:r>
              <w:rPr>
                <w:kern w:val="22"/>
                <w:szCs w:val="22"/>
              </w:rPr>
              <w:t>training</w:t>
            </w:r>
            <w:r w:rsidR="00667BD3">
              <w:rPr>
                <w:kern w:val="22"/>
                <w:szCs w:val="22"/>
              </w:rPr>
              <w:t xml:space="preserve"> or technical assistance</w:t>
            </w:r>
            <w:r>
              <w:rPr>
                <w:kern w:val="22"/>
                <w:szCs w:val="22"/>
              </w:rPr>
              <w:t xml:space="preserve"> on intellectual property rights related to the research.</w:t>
            </w:r>
          </w:p>
        </w:tc>
      </w:tr>
      <w:tr w:rsidR="00D44EAC" w:rsidRPr="00DD54AB" w14:paraId="218C5A4E" w14:textId="77777777" w:rsidTr="00840F80">
        <w:tc>
          <w:tcPr>
            <w:tcW w:w="3600" w:type="dxa"/>
            <w:shd w:val="clear" w:color="auto" w:fill="auto"/>
          </w:tcPr>
          <w:p w14:paraId="598FCFBD" w14:textId="77777777" w:rsidR="00D44EAC" w:rsidRPr="00BA0F8B" w:rsidRDefault="00D44EAC" w:rsidP="00335F76">
            <w:pPr>
              <w:jc w:val="left"/>
              <w:rPr>
                <w:kern w:val="22"/>
                <w:szCs w:val="22"/>
              </w:rPr>
            </w:pPr>
            <w:r w:rsidRPr="00BA0F8B">
              <w:rPr>
                <w:szCs w:val="22"/>
              </w:rPr>
              <w:t>5.</w:t>
            </w:r>
            <w:r>
              <w:rPr>
                <w:szCs w:val="22"/>
              </w:rPr>
              <w:t>5</w:t>
            </w:r>
            <w:r w:rsidRPr="00BA0F8B">
              <w:rPr>
                <w:szCs w:val="22"/>
              </w:rPr>
              <w:t xml:space="preserve"> </w:t>
            </w:r>
            <w:r>
              <w:rPr>
                <w:szCs w:val="22"/>
              </w:rPr>
              <w:t>Development of commercial products arising from the utilization of genetic resources</w:t>
            </w:r>
            <w:r w:rsidRPr="00BA0F8B">
              <w:rPr>
                <w:szCs w:val="22"/>
              </w:rPr>
              <w:t xml:space="preserve"> </w:t>
            </w:r>
            <w:r>
              <w:rPr>
                <w:szCs w:val="22"/>
              </w:rPr>
              <w:t>is supported</w:t>
            </w:r>
          </w:p>
        </w:tc>
        <w:tc>
          <w:tcPr>
            <w:tcW w:w="9706" w:type="dxa"/>
            <w:shd w:val="clear" w:color="auto" w:fill="auto"/>
          </w:tcPr>
          <w:p w14:paraId="7D217646" w14:textId="7CD2E251" w:rsidR="00D44EAC" w:rsidRDefault="00D44EAC" w:rsidP="00BD2C12">
            <w:pPr>
              <w:numPr>
                <w:ilvl w:val="2"/>
                <w:numId w:val="28"/>
              </w:numPr>
              <w:jc w:val="left"/>
              <w:rPr>
                <w:kern w:val="22"/>
                <w:szCs w:val="22"/>
              </w:rPr>
            </w:pPr>
            <w:r>
              <w:rPr>
                <w:kern w:val="22"/>
                <w:szCs w:val="22"/>
              </w:rPr>
              <w:t xml:space="preserve">Provide </w:t>
            </w:r>
            <w:r w:rsidR="0038507D">
              <w:rPr>
                <w:kern w:val="22"/>
                <w:szCs w:val="22"/>
              </w:rPr>
              <w:t xml:space="preserve">guidance, </w:t>
            </w:r>
            <w:r w:rsidR="00680553" w:rsidRPr="008D3F3B">
              <w:rPr>
                <w:kern w:val="22"/>
                <w:szCs w:val="22"/>
              </w:rPr>
              <w:t>training</w:t>
            </w:r>
            <w:r w:rsidR="00680553">
              <w:rPr>
                <w:kern w:val="22"/>
                <w:szCs w:val="22"/>
              </w:rPr>
              <w:t xml:space="preserve"> </w:t>
            </w:r>
            <w:r w:rsidR="0038507D">
              <w:rPr>
                <w:kern w:val="22"/>
                <w:szCs w:val="22"/>
              </w:rPr>
              <w:t xml:space="preserve">or technical assistance </w:t>
            </w:r>
            <w:r>
              <w:rPr>
                <w:kern w:val="22"/>
                <w:szCs w:val="22"/>
              </w:rPr>
              <w:t>on issues related to access to markets and commercialization of products from the utilization of genetic resources</w:t>
            </w:r>
            <w:r w:rsidRPr="00BA0F8B">
              <w:rPr>
                <w:kern w:val="22"/>
                <w:szCs w:val="22"/>
              </w:rPr>
              <w:t xml:space="preserve">, indicating </w:t>
            </w:r>
            <w:r>
              <w:rPr>
                <w:kern w:val="22"/>
                <w:szCs w:val="22"/>
              </w:rPr>
              <w:t xml:space="preserve">costs and </w:t>
            </w:r>
            <w:r w:rsidRPr="00BA0F8B">
              <w:rPr>
                <w:kern w:val="22"/>
                <w:szCs w:val="22"/>
              </w:rPr>
              <w:t xml:space="preserve">potential </w:t>
            </w:r>
            <w:r>
              <w:rPr>
                <w:kern w:val="22"/>
                <w:szCs w:val="22"/>
              </w:rPr>
              <w:t xml:space="preserve">commercial and non-commercial </w:t>
            </w:r>
            <w:r w:rsidRPr="00BA0F8B">
              <w:rPr>
                <w:kern w:val="22"/>
                <w:szCs w:val="22"/>
              </w:rPr>
              <w:t>benefits along the value chain and the time</w:t>
            </w:r>
            <w:r>
              <w:rPr>
                <w:kern w:val="22"/>
                <w:szCs w:val="22"/>
              </w:rPr>
              <w:t>lines</w:t>
            </w:r>
            <w:r w:rsidRPr="00BA0F8B">
              <w:rPr>
                <w:kern w:val="22"/>
                <w:szCs w:val="22"/>
              </w:rPr>
              <w:t xml:space="preserve"> </w:t>
            </w:r>
            <w:r w:rsidR="002C4263">
              <w:rPr>
                <w:kern w:val="22"/>
                <w:szCs w:val="22"/>
              </w:rPr>
              <w:t>for</w:t>
            </w:r>
            <w:r w:rsidRPr="00BA0F8B">
              <w:rPr>
                <w:kern w:val="22"/>
                <w:szCs w:val="22"/>
              </w:rPr>
              <w:t xml:space="preserve"> the generation of benefits</w:t>
            </w:r>
            <w:r w:rsidR="005C34E9">
              <w:rPr>
                <w:kern w:val="22"/>
                <w:szCs w:val="22"/>
              </w:rPr>
              <w:t>;</w:t>
            </w:r>
          </w:p>
          <w:p w14:paraId="07C35BDC" w14:textId="414126ED" w:rsidR="00D44EAC" w:rsidRDefault="00D44EAC" w:rsidP="00BD2C12">
            <w:pPr>
              <w:numPr>
                <w:ilvl w:val="2"/>
                <w:numId w:val="28"/>
              </w:numPr>
              <w:jc w:val="left"/>
              <w:rPr>
                <w:kern w:val="22"/>
                <w:szCs w:val="22"/>
              </w:rPr>
            </w:pPr>
            <w:r w:rsidRPr="00BA0F8B">
              <w:rPr>
                <w:kern w:val="22"/>
                <w:szCs w:val="22"/>
              </w:rPr>
              <w:t>Provid</w:t>
            </w:r>
            <w:r>
              <w:rPr>
                <w:kern w:val="22"/>
                <w:szCs w:val="22"/>
              </w:rPr>
              <w:t>e</w:t>
            </w:r>
            <w:r w:rsidR="0038507D">
              <w:rPr>
                <w:kern w:val="22"/>
                <w:szCs w:val="22"/>
              </w:rPr>
              <w:t xml:space="preserve"> guidance</w:t>
            </w:r>
            <w:r w:rsidR="006245C1">
              <w:rPr>
                <w:kern w:val="22"/>
                <w:szCs w:val="22"/>
              </w:rPr>
              <w:t>,</w:t>
            </w:r>
            <w:r w:rsidRPr="00BA0F8B">
              <w:rPr>
                <w:kern w:val="22"/>
                <w:szCs w:val="22"/>
              </w:rPr>
              <w:t xml:space="preserve"> </w:t>
            </w:r>
            <w:r w:rsidR="00680553" w:rsidRPr="008D3F3B">
              <w:rPr>
                <w:kern w:val="22"/>
                <w:szCs w:val="22"/>
              </w:rPr>
              <w:t>training</w:t>
            </w:r>
            <w:r w:rsidR="00680553">
              <w:rPr>
                <w:kern w:val="22"/>
                <w:szCs w:val="22"/>
              </w:rPr>
              <w:t xml:space="preserve"> </w:t>
            </w:r>
            <w:r w:rsidR="006245C1">
              <w:rPr>
                <w:kern w:val="22"/>
                <w:szCs w:val="22"/>
              </w:rPr>
              <w:t xml:space="preserve">or technical assistance </w:t>
            </w:r>
            <w:r w:rsidRPr="00BA0F8B">
              <w:rPr>
                <w:kern w:val="22"/>
                <w:szCs w:val="22"/>
              </w:rPr>
              <w:t xml:space="preserve">on </w:t>
            </w:r>
            <w:r>
              <w:rPr>
                <w:kern w:val="22"/>
                <w:szCs w:val="22"/>
              </w:rPr>
              <w:t xml:space="preserve">a sustainable </w:t>
            </w:r>
            <w:r w:rsidRPr="00BA0F8B">
              <w:rPr>
                <w:kern w:val="22"/>
                <w:szCs w:val="22"/>
              </w:rPr>
              <w:t>bioeconomy, biodiversity supply chain</w:t>
            </w:r>
            <w:r w:rsidR="008C609E">
              <w:rPr>
                <w:kern w:val="22"/>
                <w:szCs w:val="22"/>
              </w:rPr>
              <w:t>s</w:t>
            </w:r>
            <w:r w:rsidRPr="00BA0F8B">
              <w:rPr>
                <w:kern w:val="22"/>
                <w:szCs w:val="22"/>
              </w:rPr>
              <w:t>, value chain</w:t>
            </w:r>
            <w:r w:rsidR="008C609E">
              <w:rPr>
                <w:kern w:val="22"/>
                <w:szCs w:val="22"/>
              </w:rPr>
              <w:t>s</w:t>
            </w:r>
            <w:r w:rsidRPr="00BA0F8B">
              <w:rPr>
                <w:kern w:val="22"/>
                <w:szCs w:val="22"/>
              </w:rPr>
              <w:t xml:space="preserve">, </w:t>
            </w:r>
            <w:r>
              <w:rPr>
                <w:kern w:val="22"/>
                <w:szCs w:val="22"/>
              </w:rPr>
              <w:t xml:space="preserve">value addition, </w:t>
            </w:r>
            <w:r w:rsidRPr="00BA0F8B">
              <w:rPr>
                <w:kern w:val="22"/>
                <w:szCs w:val="22"/>
              </w:rPr>
              <w:t>certification schemes, branding, traceability and commercialization of products</w:t>
            </w:r>
            <w:r w:rsidR="005C34E9">
              <w:rPr>
                <w:kern w:val="22"/>
                <w:szCs w:val="22"/>
              </w:rPr>
              <w:t>;</w:t>
            </w:r>
          </w:p>
          <w:p w14:paraId="6CA7C748" w14:textId="77DDD8AE" w:rsidR="00D44EAC" w:rsidRDefault="00D44EAC" w:rsidP="00BD2C12">
            <w:pPr>
              <w:numPr>
                <w:ilvl w:val="2"/>
                <w:numId w:val="28"/>
              </w:numPr>
              <w:jc w:val="left"/>
              <w:rPr>
                <w:kern w:val="22"/>
                <w:szCs w:val="22"/>
              </w:rPr>
            </w:pPr>
            <w:r>
              <w:rPr>
                <w:kern w:val="22"/>
                <w:szCs w:val="22"/>
              </w:rPr>
              <w:t>Support small and medium</w:t>
            </w:r>
            <w:r w:rsidR="0017333A">
              <w:rPr>
                <w:kern w:val="22"/>
                <w:szCs w:val="22"/>
              </w:rPr>
              <w:t>-sized</w:t>
            </w:r>
            <w:r>
              <w:rPr>
                <w:kern w:val="22"/>
                <w:szCs w:val="22"/>
              </w:rPr>
              <w:t xml:space="preserve"> enterprise</w:t>
            </w:r>
            <w:r w:rsidR="0017333A">
              <w:rPr>
                <w:kern w:val="22"/>
                <w:szCs w:val="22"/>
              </w:rPr>
              <w:t>s</w:t>
            </w:r>
            <w:r>
              <w:rPr>
                <w:kern w:val="22"/>
                <w:szCs w:val="22"/>
              </w:rPr>
              <w:t xml:space="preserve"> in the development of biodiversity-based products</w:t>
            </w:r>
            <w:r w:rsidR="005C34E9">
              <w:rPr>
                <w:kern w:val="22"/>
                <w:szCs w:val="22"/>
              </w:rPr>
              <w:t>;</w:t>
            </w:r>
          </w:p>
          <w:p w14:paraId="7B95167B" w14:textId="77777777" w:rsidR="00D44EAC" w:rsidRPr="00CF38DE" w:rsidRDefault="00D44EAC" w:rsidP="00BD2C12">
            <w:pPr>
              <w:numPr>
                <w:ilvl w:val="2"/>
                <w:numId w:val="28"/>
              </w:numPr>
              <w:jc w:val="left"/>
              <w:rPr>
                <w:kern w:val="22"/>
                <w:szCs w:val="22"/>
              </w:rPr>
            </w:pPr>
            <w:r>
              <w:rPr>
                <w:kern w:val="22"/>
                <w:szCs w:val="22"/>
              </w:rPr>
              <w:t>Support public-private partnerships for research and development and commercialization of products from the utilization of genetic resources.</w:t>
            </w:r>
          </w:p>
        </w:tc>
      </w:tr>
    </w:tbl>
    <w:p w14:paraId="20713249" w14:textId="77777777" w:rsidR="00D44EAC" w:rsidRPr="00BA0F8B" w:rsidRDefault="00D44EAC" w:rsidP="00D44EAC">
      <w:pPr>
        <w:jc w:val="left"/>
        <w:rPr>
          <w:szCs w:val="22"/>
        </w:rPr>
      </w:pPr>
    </w:p>
    <w:tbl>
      <w:tblPr>
        <w:tblStyle w:val="TableGrid"/>
        <w:tblW w:w="13306" w:type="dxa"/>
        <w:tblInd w:w="279" w:type="dxa"/>
        <w:tblLook w:val="04A0" w:firstRow="1" w:lastRow="0" w:firstColumn="1" w:lastColumn="0" w:noHBand="0" w:noVBand="1"/>
      </w:tblPr>
      <w:tblGrid>
        <w:gridCol w:w="3496"/>
        <w:gridCol w:w="9810"/>
      </w:tblGrid>
      <w:tr w:rsidR="00D44EAC" w:rsidRPr="00EE1252" w14:paraId="712435B6" w14:textId="77777777" w:rsidTr="00840F80">
        <w:tc>
          <w:tcPr>
            <w:tcW w:w="13306" w:type="dxa"/>
            <w:gridSpan w:val="2"/>
          </w:tcPr>
          <w:p w14:paraId="31A2ED17" w14:textId="5E9C2D4C" w:rsidR="00D44EAC" w:rsidRPr="00EE1252" w:rsidRDefault="00D44EAC" w:rsidP="00335F76">
            <w:pPr>
              <w:spacing w:before="120" w:after="120"/>
              <w:rPr>
                <w:i/>
                <w:iCs/>
              </w:rPr>
            </w:pPr>
            <w:r w:rsidRPr="774ED644">
              <w:rPr>
                <w:b/>
                <w:bCs/>
              </w:rPr>
              <w:lastRenderedPageBreak/>
              <w:t xml:space="preserve">Outcome area 6: Strengthened capacity to foster inclusive whole-of-government and whole-of-society </w:t>
            </w:r>
            <w:r w:rsidR="007B535A">
              <w:rPr>
                <w:b/>
                <w:bCs/>
              </w:rPr>
              <w:t xml:space="preserve">approaches </w:t>
            </w:r>
            <w:r w:rsidRPr="774ED644">
              <w:rPr>
                <w:b/>
                <w:bCs/>
              </w:rPr>
              <w:t>for the implementation of the Protocol</w:t>
            </w:r>
          </w:p>
          <w:p w14:paraId="526E6BA3" w14:textId="6AAA3D13" w:rsidR="00D44EAC" w:rsidRPr="00EE1252" w:rsidRDefault="002C4263" w:rsidP="00335F76">
            <w:pPr>
              <w:spacing w:after="120"/>
              <w:jc w:val="left"/>
              <w:rPr>
                <w:i/>
                <w:iCs/>
                <w:szCs w:val="22"/>
              </w:rPr>
            </w:pPr>
            <w:r>
              <w:rPr>
                <w:i/>
                <w:iCs/>
                <w:szCs w:val="22"/>
              </w:rPr>
              <w:t>O</w:t>
            </w:r>
            <w:r w:rsidR="00D44EAC" w:rsidRPr="00EE1252">
              <w:rPr>
                <w:i/>
                <w:iCs/>
                <w:szCs w:val="22"/>
              </w:rPr>
              <w:t xml:space="preserve">utcome area </w:t>
            </w:r>
            <w:r>
              <w:rPr>
                <w:i/>
                <w:iCs/>
                <w:szCs w:val="22"/>
              </w:rPr>
              <w:t xml:space="preserve">6 </w:t>
            </w:r>
            <w:r w:rsidR="00D44EAC">
              <w:rPr>
                <w:i/>
                <w:iCs/>
                <w:szCs w:val="22"/>
              </w:rPr>
              <w:t>covers a range of</w:t>
            </w:r>
            <w:r w:rsidR="00D44EAC" w:rsidRPr="00EE1252">
              <w:rPr>
                <w:i/>
                <w:iCs/>
                <w:szCs w:val="22"/>
              </w:rPr>
              <w:t xml:space="preserve"> cross-cutting issues</w:t>
            </w:r>
            <w:r w:rsidR="00D44EAC">
              <w:rPr>
                <w:i/>
                <w:iCs/>
                <w:szCs w:val="22"/>
              </w:rPr>
              <w:t xml:space="preserve"> of importance for the implementation of the Protocol and </w:t>
            </w:r>
            <w:r w:rsidR="00D44EAC" w:rsidRPr="00EE1252">
              <w:rPr>
                <w:i/>
                <w:iCs/>
                <w:szCs w:val="22"/>
              </w:rPr>
              <w:t xml:space="preserve">aims </w:t>
            </w:r>
            <w:r w:rsidR="00D44EAC">
              <w:rPr>
                <w:i/>
                <w:iCs/>
                <w:szCs w:val="22"/>
              </w:rPr>
              <w:t>to</w:t>
            </w:r>
            <w:r>
              <w:rPr>
                <w:i/>
                <w:iCs/>
                <w:szCs w:val="22"/>
              </w:rPr>
              <w:t>wards</w:t>
            </w:r>
            <w:r w:rsidR="00D44EAC" w:rsidRPr="00EE1252">
              <w:rPr>
                <w:i/>
                <w:iCs/>
                <w:szCs w:val="22"/>
              </w:rPr>
              <w:t xml:space="preserve"> strengthen</w:t>
            </w:r>
            <w:r>
              <w:rPr>
                <w:i/>
                <w:iCs/>
                <w:szCs w:val="22"/>
              </w:rPr>
              <w:t>ing</w:t>
            </w:r>
            <w:r w:rsidR="00D44EAC" w:rsidRPr="00EE1252">
              <w:rPr>
                <w:i/>
                <w:iCs/>
                <w:szCs w:val="22"/>
              </w:rPr>
              <w:t xml:space="preserve"> capacities</w:t>
            </w:r>
            <w:r>
              <w:rPr>
                <w:i/>
                <w:iCs/>
                <w:szCs w:val="22"/>
              </w:rPr>
              <w:t>,</w:t>
            </w:r>
            <w:r w:rsidR="00D44EAC" w:rsidRPr="00EE1252">
              <w:rPr>
                <w:i/>
                <w:iCs/>
                <w:szCs w:val="22"/>
              </w:rPr>
              <w:t xml:space="preserve"> including</w:t>
            </w:r>
            <w:r w:rsidR="00D44EAC">
              <w:rPr>
                <w:i/>
                <w:iCs/>
                <w:szCs w:val="22"/>
              </w:rPr>
              <w:t xml:space="preserve"> </w:t>
            </w:r>
            <w:r w:rsidR="00D44EAC" w:rsidRPr="00EE1252">
              <w:rPr>
                <w:i/>
                <w:iCs/>
                <w:szCs w:val="22"/>
              </w:rPr>
              <w:t>strategic communication, multi-stakeholder engagement</w:t>
            </w:r>
            <w:r>
              <w:rPr>
                <w:i/>
                <w:iCs/>
                <w:szCs w:val="22"/>
              </w:rPr>
              <w:t xml:space="preserve"> and</w:t>
            </w:r>
            <w:r w:rsidR="00D44EAC" w:rsidRPr="00EE1252">
              <w:rPr>
                <w:i/>
                <w:iCs/>
                <w:szCs w:val="22"/>
              </w:rPr>
              <w:t xml:space="preserve"> gender</w:t>
            </w:r>
            <w:r>
              <w:rPr>
                <w:i/>
                <w:iCs/>
                <w:szCs w:val="22"/>
              </w:rPr>
              <w:t>-</w:t>
            </w:r>
            <w:r w:rsidR="00A56DDE">
              <w:rPr>
                <w:i/>
                <w:iCs/>
                <w:szCs w:val="22"/>
              </w:rPr>
              <w:t>responsive</w:t>
            </w:r>
            <w:r w:rsidR="00D44EAC" w:rsidRPr="00EE1252">
              <w:rPr>
                <w:i/>
                <w:iCs/>
                <w:szCs w:val="22"/>
              </w:rPr>
              <w:t xml:space="preserve"> and youth</w:t>
            </w:r>
            <w:r w:rsidR="00A56DDE">
              <w:rPr>
                <w:i/>
                <w:iCs/>
                <w:szCs w:val="22"/>
              </w:rPr>
              <w:t xml:space="preserve"> </w:t>
            </w:r>
            <w:r w:rsidR="00D44EAC" w:rsidRPr="00EE1252">
              <w:rPr>
                <w:i/>
                <w:iCs/>
                <w:szCs w:val="22"/>
              </w:rPr>
              <w:t>responsive approaches</w:t>
            </w:r>
            <w:r>
              <w:rPr>
                <w:i/>
                <w:iCs/>
                <w:szCs w:val="22"/>
              </w:rPr>
              <w:t>,</w:t>
            </w:r>
            <w:r w:rsidR="00D44EAC" w:rsidRPr="00EE1252">
              <w:rPr>
                <w:i/>
                <w:iCs/>
                <w:szCs w:val="22"/>
              </w:rPr>
              <w:t xml:space="preserve"> as well as the capacity of users to comply with the obligations of the Protocol</w:t>
            </w:r>
            <w:r w:rsidR="00D44EAC" w:rsidRPr="00EE1252" w:rsidDel="00CA2736">
              <w:rPr>
                <w:i/>
                <w:iCs/>
                <w:szCs w:val="22"/>
              </w:rPr>
              <w:t>.</w:t>
            </w:r>
            <w:r w:rsidR="00D44EAC">
              <w:rPr>
                <w:i/>
                <w:iCs/>
                <w:szCs w:val="22"/>
              </w:rPr>
              <w:t xml:space="preserve"> Expected outputs relate to</w:t>
            </w:r>
            <w:r>
              <w:rPr>
                <w:i/>
                <w:iCs/>
                <w:szCs w:val="22"/>
              </w:rPr>
              <w:t>, inter alia,</w:t>
            </w:r>
            <w:r w:rsidR="00D44EAC">
              <w:rPr>
                <w:i/>
                <w:iCs/>
                <w:szCs w:val="22"/>
              </w:rPr>
              <w:t xml:space="preserve"> increased knowledge on strategic communication and awareness-raising, multi-stakeholder engagement, women’s and youth’</w:t>
            </w:r>
            <w:r w:rsidR="00E307D8">
              <w:rPr>
                <w:i/>
                <w:iCs/>
                <w:szCs w:val="22"/>
              </w:rPr>
              <w:t>s</w:t>
            </w:r>
            <w:r w:rsidR="00D44EAC">
              <w:rPr>
                <w:i/>
                <w:iCs/>
                <w:szCs w:val="22"/>
              </w:rPr>
              <w:t xml:space="preserve"> participation and awareness of users on how to comply with the Nagoya Protocol.</w:t>
            </w:r>
          </w:p>
        </w:tc>
      </w:tr>
      <w:tr w:rsidR="00D44EAC" w:rsidRPr="00DD54AB" w14:paraId="00774420" w14:textId="77777777" w:rsidTr="00840F80">
        <w:tc>
          <w:tcPr>
            <w:tcW w:w="3496" w:type="dxa"/>
          </w:tcPr>
          <w:p w14:paraId="152D7DBB" w14:textId="77777777" w:rsidR="00D44EAC" w:rsidRPr="009A23E1" w:rsidRDefault="00D44EAC" w:rsidP="00335F76">
            <w:pPr>
              <w:rPr>
                <w:rFonts w:asciiTheme="majorBidi" w:hAnsiTheme="majorBidi" w:cstheme="majorBidi"/>
                <w:b/>
                <w:bCs/>
                <w:szCs w:val="22"/>
              </w:rPr>
            </w:pPr>
            <w:r w:rsidRPr="009A23E1">
              <w:rPr>
                <w:rFonts w:asciiTheme="majorBidi" w:hAnsiTheme="majorBidi" w:cstheme="majorBidi"/>
                <w:b/>
                <w:bCs/>
                <w:szCs w:val="22"/>
              </w:rPr>
              <w:t>Outputs</w:t>
            </w:r>
          </w:p>
        </w:tc>
        <w:tc>
          <w:tcPr>
            <w:tcW w:w="9810" w:type="dxa"/>
          </w:tcPr>
          <w:p w14:paraId="0D3D3718" w14:textId="77777777" w:rsidR="00D44EAC" w:rsidRPr="009A23E1" w:rsidRDefault="00D44EAC" w:rsidP="00335F76">
            <w:pPr>
              <w:rPr>
                <w:rFonts w:asciiTheme="majorBidi" w:hAnsiTheme="majorBidi" w:cstheme="majorBidi"/>
                <w:szCs w:val="22"/>
              </w:rPr>
            </w:pPr>
            <w:r w:rsidRPr="009A23E1">
              <w:rPr>
                <w:rFonts w:asciiTheme="majorBidi" w:hAnsiTheme="majorBidi" w:cstheme="majorBidi"/>
                <w:b/>
                <w:bCs/>
                <w:kern w:val="22"/>
                <w:szCs w:val="22"/>
              </w:rPr>
              <w:t>Indicative capacity-building and development activities</w:t>
            </w:r>
          </w:p>
        </w:tc>
      </w:tr>
      <w:tr w:rsidR="00D44EAC" w:rsidRPr="00DD54AB" w14:paraId="3BE11506" w14:textId="77777777" w:rsidTr="00840F80">
        <w:tc>
          <w:tcPr>
            <w:tcW w:w="3496" w:type="dxa"/>
          </w:tcPr>
          <w:p w14:paraId="7A7D4023" w14:textId="1FF5E230" w:rsidR="00D44EAC" w:rsidRPr="00B105E8" w:rsidRDefault="00D44EAC" w:rsidP="00335F76">
            <w:pPr>
              <w:jc w:val="left"/>
              <w:rPr>
                <w:rFonts w:asciiTheme="majorBidi" w:hAnsiTheme="majorBidi" w:cstheme="majorBidi"/>
                <w:szCs w:val="22"/>
              </w:rPr>
            </w:pPr>
            <w:r w:rsidRPr="00B105E8">
              <w:rPr>
                <w:rFonts w:asciiTheme="majorBidi" w:hAnsiTheme="majorBidi" w:cstheme="majorBidi"/>
                <w:szCs w:val="22"/>
              </w:rPr>
              <w:t>6.</w:t>
            </w:r>
            <w:r>
              <w:rPr>
                <w:rFonts w:asciiTheme="majorBidi" w:hAnsiTheme="majorBidi" w:cstheme="majorBidi"/>
                <w:szCs w:val="22"/>
              </w:rPr>
              <w:t>1.</w:t>
            </w:r>
            <w:r w:rsidRPr="00B105E8">
              <w:rPr>
                <w:rFonts w:asciiTheme="majorBidi" w:hAnsiTheme="majorBidi" w:cstheme="majorBidi"/>
                <w:szCs w:val="22"/>
              </w:rPr>
              <w:t xml:space="preserve"> </w:t>
            </w:r>
            <w:r>
              <w:rPr>
                <w:rFonts w:asciiTheme="majorBidi" w:hAnsiTheme="majorBidi" w:cstheme="majorBidi"/>
                <w:szCs w:val="22"/>
              </w:rPr>
              <w:t>Knowledge on how to use s</w:t>
            </w:r>
            <w:r w:rsidRPr="00B105E8">
              <w:rPr>
                <w:rFonts w:asciiTheme="majorBidi" w:hAnsiTheme="majorBidi" w:cstheme="majorBidi"/>
                <w:szCs w:val="22"/>
              </w:rPr>
              <w:t xml:space="preserve">trategic communication and </w:t>
            </w:r>
            <w:r>
              <w:rPr>
                <w:rFonts w:asciiTheme="majorBidi" w:hAnsiTheme="majorBidi" w:cstheme="majorBidi"/>
                <w:szCs w:val="22"/>
              </w:rPr>
              <w:t>raise awareness of</w:t>
            </w:r>
            <w:r w:rsidRPr="00B105E8">
              <w:rPr>
                <w:rFonts w:asciiTheme="majorBidi" w:hAnsiTheme="majorBidi" w:cstheme="majorBidi"/>
                <w:szCs w:val="22"/>
              </w:rPr>
              <w:t xml:space="preserve"> the importance of genetic resources, associated traditional knowledge and related access and benefit</w:t>
            </w:r>
            <w:r w:rsidR="00CF047E">
              <w:rPr>
                <w:rFonts w:asciiTheme="majorBidi" w:hAnsiTheme="majorBidi" w:cstheme="majorBidi"/>
                <w:szCs w:val="22"/>
              </w:rPr>
              <w:t>-</w:t>
            </w:r>
            <w:r w:rsidRPr="00B105E8">
              <w:rPr>
                <w:rFonts w:asciiTheme="majorBidi" w:hAnsiTheme="majorBidi" w:cstheme="majorBidi"/>
                <w:szCs w:val="22"/>
              </w:rPr>
              <w:t xml:space="preserve">sharing issues </w:t>
            </w:r>
            <w:r>
              <w:rPr>
                <w:rFonts w:asciiTheme="majorBidi" w:hAnsiTheme="majorBidi" w:cstheme="majorBidi"/>
                <w:szCs w:val="22"/>
              </w:rPr>
              <w:t xml:space="preserve">has increased </w:t>
            </w:r>
          </w:p>
        </w:tc>
        <w:tc>
          <w:tcPr>
            <w:tcW w:w="9810" w:type="dxa"/>
          </w:tcPr>
          <w:p w14:paraId="3212679E" w14:textId="2582EDA7" w:rsidR="00D44EAC" w:rsidRPr="006D0905" w:rsidRDefault="00D44EAC" w:rsidP="00BD2C12">
            <w:pPr>
              <w:numPr>
                <w:ilvl w:val="2"/>
                <w:numId w:val="37"/>
              </w:numPr>
              <w:jc w:val="left"/>
            </w:pPr>
            <w:r w:rsidRPr="000C0093">
              <w:rPr>
                <w:kern w:val="22"/>
              </w:rPr>
              <w:t>Develop</w:t>
            </w:r>
            <w:r w:rsidR="00C30D82" w:rsidRPr="000C0093">
              <w:rPr>
                <w:kern w:val="22"/>
              </w:rPr>
              <w:t xml:space="preserve"> </w:t>
            </w:r>
            <w:r w:rsidRPr="000C0093">
              <w:rPr>
                <w:kern w:val="22"/>
              </w:rPr>
              <w:t xml:space="preserve">or </w:t>
            </w:r>
            <w:r w:rsidR="00183A69" w:rsidRPr="000C0093">
              <w:rPr>
                <w:kern w:val="22"/>
              </w:rPr>
              <w:t>revise</w:t>
            </w:r>
            <w:r w:rsidR="006245C1" w:rsidRPr="000C0093">
              <w:rPr>
                <w:kern w:val="22"/>
                <w:szCs w:val="22"/>
              </w:rPr>
              <w:t>,</w:t>
            </w:r>
            <w:r w:rsidR="00335F76" w:rsidRPr="000C0093">
              <w:rPr>
                <w:kern w:val="22"/>
              </w:rPr>
              <w:t xml:space="preserve"> as needed</w:t>
            </w:r>
            <w:r w:rsidR="006245C1" w:rsidRPr="000C0093">
              <w:rPr>
                <w:kern w:val="22"/>
                <w:szCs w:val="22"/>
              </w:rPr>
              <w:t>,</w:t>
            </w:r>
            <w:r w:rsidRPr="000C0093">
              <w:rPr>
                <w:kern w:val="22"/>
                <w:szCs w:val="22"/>
              </w:rPr>
              <w:t xml:space="preserve"> </w:t>
            </w:r>
            <w:r w:rsidRPr="000C0093">
              <w:rPr>
                <w:kern w:val="22"/>
              </w:rPr>
              <w:t xml:space="preserve">disseminate </w:t>
            </w:r>
            <w:r w:rsidR="00667BD3" w:rsidRPr="000C0093">
              <w:rPr>
                <w:kern w:val="22"/>
              </w:rPr>
              <w:t xml:space="preserve">and promote </w:t>
            </w:r>
            <w:r w:rsidR="00250AD6" w:rsidRPr="000C0093">
              <w:rPr>
                <w:kern w:val="22"/>
              </w:rPr>
              <w:t xml:space="preserve">the </w:t>
            </w:r>
            <w:r w:rsidR="00667BD3" w:rsidRPr="000C0093">
              <w:rPr>
                <w:kern w:val="22"/>
              </w:rPr>
              <w:t xml:space="preserve">use of </w:t>
            </w:r>
            <w:r w:rsidRPr="000C0093">
              <w:rPr>
                <w:kern w:val="22"/>
              </w:rPr>
              <w:t>strategic and culturally appropriate communication and awareness</w:t>
            </w:r>
            <w:r w:rsidR="000F7391">
              <w:rPr>
                <w:kern w:val="22"/>
              </w:rPr>
              <w:t>-</w:t>
            </w:r>
            <w:r w:rsidRPr="000C0093">
              <w:rPr>
                <w:kern w:val="22"/>
              </w:rPr>
              <w:t>raising materials</w:t>
            </w:r>
            <w:r>
              <w:t xml:space="preserve"> </w:t>
            </w:r>
            <w:r w:rsidR="6F952E46">
              <w:t>for journalists and other media and communication experts</w:t>
            </w:r>
            <w:r w:rsidR="00F00921">
              <w:t xml:space="preserve"> </w:t>
            </w:r>
            <w:r w:rsidRPr="000C0093">
              <w:rPr>
                <w:kern w:val="22"/>
              </w:rPr>
              <w:t>on the importance of genetic resources and associated traditional knowledge</w:t>
            </w:r>
            <w:r w:rsidRPr="000C0093">
              <w:rPr>
                <w:kern w:val="22"/>
                <w:szCs w:val="22"/>
              </w:rPr>
              <w:t xml:space="preserve"> </w:t>
            </w:r>
            <w:r w:rsidRPr="000C0093">
              <w:rPr>
                <w:kern w:val="22"/>
              </w:rPr>
              <w:t xml:space="preserve">and the development of awareness-raising strategies adapted to various audiences, including government officials, indigenous peoples and local communities, </w:t>
            </w:r>
            <w:r w:rsidR="000F7391">
              <w:rPr>
                <w:kern w:val="22"/>
              </w:rPr>
              <w:t xml:space="preserve">the </w:t>
            </w:r>
            <w:r w:rsidRPr="000C0093">
              <w:rPr>
                <w:kern w:val="22"/>
              </w:rPr>
              <w:t xml:space="preserve">research community, </w:t>
            </w:r>
            <w:r w:rsidR="000F7391">
              <w:rPr>
                <w:kern w:val="22"/>
              </w:rPr>
              <w:t xml:space="preserve">the </w:t>
            </w:r>
            <w:r w:rsidRPr="000C0093">
              <w:rPr>
                <w:kern w:val="22"/>
              </w:rPr>
              <w:t>business sector</w:t>
            </w:r>
            <w:r w:rsidRPr="000C0093">
              <w:rPr>
                <w:kern w:val="22"/>
                <w:szCs w:val="22"/>
              </w:rPr>
              <w:t xml:space="preserve">, </w:t>
            </w:r>
            <w:r w:rsidRPr="000C0093">
              <w:rPr>
                <w:kern w:val="22"/>
              </w:rPr>
              <w:t>civil society, women</w:t>
            </w:r>
            <w:r w:rsidR="000F7391">
              <w:rPr>
                <w:kern w:val="22"/>
              </w:rPr>
              <w:t xml:space="preserve"> and</w:t>
            </w:r>
            <w:r w:rsidRPr="000C0093">
              <w:rPr>
                <w:kern w:val="22"/>
              </w:rPr>
              <w:t xml:space="preserve"> youth</w:t>
            </w:r>
            <w:r w:rsidR="005C34E9">
              <w:t>;</w:t>
            </w:r>
          </w:p>
          <w:p w14:paraId="071DE2CE" w14:textId="2AE3E7C0" w:rsidR="00D44EAC" w:rsidRDefault="00D44EAC" w:rsidP="00BD2C12">
            <w:pPr>
              <w:numPr>
                <w:ilvl w:val="2"/>
                <w:numId w:val="37"/>
              </w:numPr>
              <w:jc w:val="left"/>
            </w:pPr>
            <w:r w:rsidRPr="774ED644">
              <w:rPr>
                <w:kern w:val="22"/>
              </w:rPr>
              <w:t>Develop</w:t>
            </w:r>
            <w:r w:rsidR="00385996">
              <w:rPr>
                <w:kern w:val="22"/>
              </w:rPr>
              <w:t xml:space="preserve"> </w:t>
            </w:r>
            <w:r w:rsidRPr="774ED644">
              <w:rPr>
                <w:kern w:val="22"/>
              </w:rPr>
              <w:t xml:space="preserve">or </w:t>
            </w:r>
            <w:r w:rsidR="00183A69">
              <w:rPr>
                <w:kern w:val="22"/>
              </w:rPr>
              <w:t>revise</w:t>
            </w:r>
            <w:r w:rsidR="006245C1">
              <w:rPr>
                <w:kern w:val="22"/>
                <w:szCs w:val="22"/>
              </w:rPr>
              <w:t xml:space="preserve">, </w:t>
            </w:r>
            <w:r w:rsidR="00335F76" w:rsidRPr="774ED644">
              <w:rPr>
                <w:kern w:val="22"/>
              </w:rPr>
              <w:t>as needed</w:t>
            </w:r>
            <w:r w:rsidR="006245C1">
              <w:rPr>
                <w:kern w:val="22"/>
                <w:szCs w:val="22"/>
              </w:rPr>
              <w:t>,</w:t>
            </w:r>
            <w:r w:rsidR="002817FD" w:rsidRPr="774ED644">
              <w:rPr>
                <w:kern w:val="22"/>
              </w:rPr>
              <w:t xml:space="preserve"> disseminate and promote use of </w:t>
            </w:r>
            <w:r w:rsidRPr="774ED644">
              <w:rPr>
                <w:kern w:val="22"/>
              </w:rPr>
              <w:t>training materials</w:t>
            </w:r>
            <w:r w:rsidR="002817FD" w:rsidRPr="774ED644">
              <w:rPr>
                <w:kern w:val="22"/>
              </w:rPr>
              <w:t xml:space="preserve">, practical guidance and </w:t>
            </w:r>
            <w:r w:rsidRPr="774ED644">
              <w:rPr>
                <w:kern w:val="22"/>
              </w:rPr>
              <w:t>tools to ensure th</w:t>
            </w:r>
            <w:r w:rsidR="000F7391">
              <w:rPr>
                <w:kern w:val="22"/>
              </w:rPr>
              <w:t>at the</w:t>
            </w:r>
            <w:r w:rsidRPr="774ED644">
              <w:rPr>
                <w:kern w:val="22"/>
              </w:rPr>
              <w:t xml:space="preserve"> training meets the needs of the relevant target group</w:t>
            </w:r>
            <w:r w:rsidR="005C34E9">
              <w:rPr>
                <w:kern w:val="22"/>
              </w:rPr>
              <w:t>;</w:t>
            </w:r>
          </w:p>
          <w:p w14:paraId="2092BA7A" w14:textId="3CE67D24" w:rsidR="00D44EAC" w:rsidRPr="006D0905" w:rsidRDefault="00D44EAC" w:rsidP="00BD2C12">
            <w:pPr>
              <w:numPr>
                <w:ilvl w:val="2"/>
                <w:numId w:val="37"/>
              </w:numPr>
              <w:jc w:val="left"/>
              <w:rPr>
                <w:kern w:val="22"/>
                <w:szCs w:val="22"/>
              </w:rPr>
            </w:pPr>
            <w:r w:rsidRPr="75787C80">
              <w:rPr>
                <w:kern w:val="22"/>
              </w:rPr>
              <w:t>Provide training</w:t>
            </w:r>
            <w:r w:rsidR="00343A5E" w:rsidRPr="75787C80">
              <w:rPr>
                <w:kern w:val="22"/>
              </w:rPr>
              <w:t xml:space="preserve"> or technical </w:t>
            </w:r>
            <w:r w:rsidR="005C3686" w:rsidRPr="75787C80">
              <w:rPr>
                <w:kern w:val="22"/>
              </w:rPr>
              <w:t>assistance</w:t>
            </w:r>
            <w:r w:rsidRPr="75787C80">
              <w:rPr>
                <w:kern w:val="22"/>
              </w:rPr>
              <w:t xml:space="preserve"> on strategic communication and the development of awareness-raising strategies using existing materials</w:t>
            </w:r>
            <w:r w:rsidR="005C34E9">
              <w:rPr>
                <w:kern w:val="22"/>
              </w:rPr>
              <w:t>;</w:t>
            </w:r>
            <w:r w:rsidRPr="75787C80">
              <w:rPr>
                <w:rStyle w:val="FootnoteReference"/>
                <w:kern w:val="22"/>
              </w:rPr>
              <w:footnoteReference w:id="42"/>
            </w:r>
          </w:p>
          <w:p w14:paraId="3808924B" w14:textId="6CD665DB" w:rsidR="00D44EAC" w:rsidRPr="00E13989" w:rsidRDefault="00D44EAC" w:rsidP="00BD2C12">
            <w:pPr>
              <w:numPr>
                <w:ilvl w:val="2"/>
                <w:numId w:val="37"/>
              </w:numPr>
              <w:jc w:val="left"/>
              <w:rPr>
                <w:kern w:val="22"/>
                <w:szCs w:val="22"/>
              </w:rPr>
            </w:pPr>
            <w:r w:rsidRPr="774ED644">
              <w:rPr>
                <w:kern w:val="22"/>
              </w:rPr>
              <w:t>Publish relevant</w:t>
            </w:r>
            <w:r w:rsidRPr="006D0905">
              <w:rPr>
                <w:kern w:val="22"/>
                <w:szCs w:val="22"/>
              </w:rPr>
              <w:t xml:space="preserve"> </w:t>
            </w:r>
            <w:r w:rsidRPr="774ED644">
              <w:rPr>
                <w:kern w:val="22"/>
              </w:rPr>
              <w:t>strategic communication and awareness</w:t>
            </w:r>
            <w:r w:rsidR="000F7391">
              <w:rPr>
                <w:kern w:val="22"/>
              </w:rPr>
              <w:t>-</w:t>
            </w:r>
            <w:r w:rsidRPr="774ED644">
              <w:rPr>
                <w:kern w:val="22"/>
              </w:rPr>
              <w:t>raising materials and share examples of their use on the</w:t>
            </w:r>
            <w:r w:rsidRPr="006D0905">
              <w:rPr>
                <w:kern w:val="22"/>
                <w:szCs w:val="22"/>
              </w:rPr>
              <w:t xml:space="preserve"> </w:t>
            </w:r>
            <w:r w:rsidRPr="774ED644">
              <w:rPr>
                <w:kern w:val="22"/>
              </w:rPr>
              <w:t>Access and Benefit-sharing Clearing-House.</w:t>
            </w:r>
          </w:p>
        </w:tc>
      </w:tr>
      <w:tr w:rsidR="00D44EAC" w:rsidRPr="00DD54AB" w14:paraId="2BB7AA70" w14:textId="77777777" w:rsidTr="00840F80">
        <w:tc>
          <w:tcPr>
            <w:tcW w:w="3496" w:type="dxa"/>
            <w:shd w:val="clear" w:color="auto" w:fill="auto"/>
          </w:tcPr>
          <w:p w14:paraId="44F04F7C" w14:textId="4CFBA876" w:rsidR="00D44EAC" w:rsidRPr="00B105E8" w:rsidRDefault="00D44EAC" w:rsidP="00335F76">
            <w:pPr>
              <w:jc w:val="left"/>
              <w:rPr>
                <w:rFonts w:asciiTheme="majorBidi" w:hAnsiTheme="majorBidi" w:cstheme="majorBidi"/>
                <w:szCs w:val="22"/>
              </w:rPr>
            </w:pPr>
            <w:r w:rsidRPr="00B105E8">
              <w:rPr>
                <w:rFonts w:asciiTheme="majorBidi" w:hAnsiTheme="majorBidi" w:cstheme="majorBidi"/>
                <w:szCs w:val="22"/>
              </w:rPr>
              <w:t>6.</w:t>
            </w:r>
            <w:r>
              <w:rPr>
                <w:rFonts w:asciiTheme="majorBidi" w:hAnsiTheme="majorBidi" w:cstheme="majorBidi"/>
                <w:szCs w:val="22"/>
              </w:rPr>
              <w:t>2.</w:t>
            </w:r>
            <w:r w:rsidRPr="00B105E8">
              <w:rPr>
                <w:rFonts w:asciiTheme="majorBidi" w:hAnsiTheme="majorBidi" w:cstheme="majorBidi"/>
                <w:szCs w:val="22"/>
              </w:rPr>
              <w:t xml:space="preserve"> </w:t>
            </w:r>
            <w:r>
              <w:rPr>
                <w:rFonts w:asciiTheme="majorBidi" w:hAnsiTheme="majorBidi" w:cstheme="majorBidi"/>
                <w:szCs w:val="22"/>
              </w:rPr>
              <w:t>Knowledge on how to conduct multi</w:t>
            </w:r>
            <w:r w:rsidR="000F7391">
              <w:rPr>
                <w:rFonts w:asciiTheme="majorBidi" w:hAnsiTheme="majorBidi" w:cstheme="majorBidi"/>
                <w:szCs w:val="22"/>
              </w:rPr>
              <w:t>-</w:t>
            </w:r>
            <w:r>
              <w:rPr>
                <w:rFonts w:asciiTheme="majorBidi" w:hAnsiTheme="majorBidi" w:cstheme="majorBidi"/>
                <w:szCs w:val="22"/>
              </w:rPr>
              <w:t>stakeholder engagement processes has increased</w:t>
            </w:r>
          </w:p>
        </w:tc>
        <w:tc>
          <w:tcPr>
            <w:tcW w:w="9810" w:type="dxa"/>
            <w:shd w:val="clear" w:color="auto" w:fill="auto"/>
          </w:tcPr>
          <w:p w14:paraId="52262CC0" w14:textId="3BAEC4C1" w:rsidR="00D44EAC" w:rsidRPr="00F77C9C" w:rsidRDefault="00D44EAC" w:rsidP="00BD2C12">
            <w:pPr>
              <w:numPr>
                <w:ilvl w:val="2"/>
                <w:numId w:val="36"/>
              </w:numPr>
              <w:jc w:val="left"/>
            </w:pPr>
            <w:r w:rsidRPr="774ED644">
              <w:rPr>
                <w:kern w:val="22"/>
              </w:rPr>
              <w:t>Develop</w:t>
            </w:r>
            <w:r w:rsidR="00385996">
              <w:rPr>
                <w:kern w:val="22"/>
              </w:rPr>
              <w:t xml:space="preserve"> </w:t>
            </w:r>
            <w:r w:rsidRPr="774ED644">
              <w:rPr>
                <w:kern w:val="22"/>
              </w:rPr>
              <w:t xml:space="preserve">or </w:t>
            </w:r>
            <w:r w:rsidR="00183A69">
              <w:rPr>
                <w:kern w:val="22"/>
              </w:rPr>
              <w:t>revise</w:t>
            </w:r>
            <w:r w:rsidRPr="774ED644">
              <w:rPr>
                <w:kern w:val="22"/>
              </w:rPr>
              <w:t>,</w:t>
            </w:r>
            <w:r w:rsidR="00EC0B0F" w:rsidRPr="774ED644">
              <w:rPr>
                <w:kern w:val="22"/>
              </w:rPr>
              <w:t xml:space="preserve"> as needed, </w:t>
            </w:r>
            <w:r w:rsidRPr="774ED644">
              <w:rPr>
                <w:kern w:val="22"/>
              </w:rPr>
              <w:t xml:space="preserve">disseminate and </w:t>
            </w:r>
            <w:r w:rsidR="005C3686" w:rsidRPr="774ED644">
              <w:rPr>
                <w:kern w:val="22"/>
              </w:rPr>
              <w:t>promote</w:t>
            </w:r>
            <w:r w:rsidRPr="774ED644">
              <w:rPr>
                <w:kern w:val="22"/>
              </w:rPr>
              <w:t xml:space="preserve"> </w:t>
            </w:r>
            <w:r w:rsidR="495A412C" w:rsidRPr="774ED644">
              <w:rPr>
                <w:kern w:val="22"/>
              </w:rPr>
              <w:t xml:space="preserve">the </w:t>
            </w:r>
            <w:r w:rsidRPr="774ED644">
              <w:rPr>
                <w:kern w:val="22"/>
              </w:rPr>
              <w:t xml:space="preserve">use of </w:t>
            </w:r>
            <w:r w:rsidR="001D58B3" w:rsidRPr="774ED644">
              <w:rPr>
                <w:kern w:val="22"/>
              </w:rPr>
              <w:t xml:space="preserve">practical </w:t>
            </w:r>
            <w:r w:rsidRPr="774ED644">
              <w:rPr>
                <w:kern w:val="22"/>
              </w:rPr>
              <w:t xml:space="preserve">guidance </w:t>
            </w:r>
            <w:r w:rsidR="001D58B3" w:rsidRPr="774ED644">
              <w:rPr>
                <w:kern w:val="22"/>
              </w:rPr>
              <w:t>and tools</w:t>
            </w:r>
            <w:r w:rsidRPr="774ED644">
              <w:rPr>
                <w:kern w:val="22"/>
              </w:rPr>
              <w:t xml:space="preserve"> on the integration of multi-stakeholder engagement processes</w:t>
            </w:r>
            <w:r w:rsidR="00AE6519">
              <w:rPr>
                <w:kern w:val="22"/>
              </w:rPr>
              <w:t>,</w:t>
            </w:r>
            <w:r w:rsidRPr="774ED644">
              <w:rPr>
                <w:kern w:val="22"/>
              </w:rPr>
              <w:t xml:space="preserve"> as we</w:t>
            </w:r>
            <w:r w:rsidR="00AE6519">
              <w:rPr>
                <w:kern w:val="22"/>
              </w:rPr>
              <w:t>ll</w:t>
            </w:r>
            <w:r w:rsidRPr="774ED644">
              <w:rPr>
                <w:kern w:val="22"/>
              </w:rPr>
              <w:t xml:space="preserve"> a</w:t>
            </w:r>
            <w:r w:rsidR="49053C9D" w:rsidRPr="774ED644">
              <w:rPr>
                <w:kern w:val="22"/>
              </w:rPr>
              <w:t>s</w:t>
            </w:r>
            <w:r w:rsidRPr="774ED644">
              <w:rPr>
                <w:kern w:val="22"/>
              </w:rPr>
              <w:t xml:space="preserve"> </w:t>
            </w:r>
            <w:r w:rsidR="7A3D45A3" w:rsidRPr="774ED644">
              <w:rPr>
                <w:kern w:val="22"/>
              </w:rPr>
              <w:t xml:space="preserve">practical </w:t>
            </w:r>
            <w:r w:rsidRPr="774ED644">
              <w:rPr>
                <w:kern w:val="22"/>
              </w:rPr>
              <w:t>whole-of-government and whole-of-society approaches</w:t>
            </w:r>
            <w:r w:rsidRPr="00F77C9C">
              <w:rPr>
                <w:kern w:val="22"/>
                <w:szCs w:val="22"/>
              </w:rPr>
              <w:t xml:space="preserve"> </w:t>
            </w:r>
            <w:r w:rsidRPr="774ED644">
              <w:rPr>
                <w:kern w:val="22"/>
              </w:rPr>
              <w:t>in the implementation of the Protocol</w:t>
            </w:r>
            <w:r w:rsidR="005C34E9">
              <w:rPr>
                <w:kern w:val="22"/>
              </w:rPr>
              <w:t>;</w:t>
            </w:r>
          </w:p>
          <w:p w14:paraId="1D8FA063" w14:textId="5C2EED74" w:rsidR="00D44EAC" w:rsidRDefault="00D44EAC" w:rsidP="00BD2C12">
            <w:pPr>
              <w:numPr>
                <w:ilvl w:val="2"/>
                <w:numId w:val="36"/>
              </w:numPr>
              <w:jc w:val="left"/>
              <w:rPr>
                <w:kern w:val="22"/>
                <w:szCs w:val="22"/>
              </w:rPr>
            </w:pPr>
            <w:r w:rsidRPr="00F77C9C">
              <w:rPr>
                <w:kern w:val="22"/>
                <w:szCs w:val="22"/>
              </w:rPr>
              <w:t xml:space="preserve">Provide </w:t>
            </w:r>
            <w:r w:rsidR="00EC0B0F">
              <w:rPr>
                <w:kern w:val="22"/>
                <w:szCs w:val="22"/>
              </w:rPr>
              <w:t>guidance</w:t>
            </w:r>
            <w:r w:rsidR="005F0ABB">
              <w:rPr>
                <w:kern w:val="22"/>
                <w:szCs w:val="22"/>
              </w:rPr>
              <w:t xml:space="preserve">, </w:t>
            </w:r>
            <w:r w:rsidRPr="00F77C9C">
              <w:rPr>
                <w:kern w:val="22"/>
                <w:szCs w:val="22"/>
              </w:rPr>
              <w:t>training</w:t>
            </w:r>
            <w:r w:rsidR="005F0ABB">
              <w:rPr>
                <w:kern w:val="22"/>
                <w:szCs w:val="22"/>
              </w:rPr>
              <w:t xml:space="preserve"> or technical assistance</w:t>
            </w:r>
            <w:r w:rsidRPr="00F77C9C">
              <w:rPr>
                <w:kern w:val="22"/>
                <w:szCs w:val="22"/>
              </w:rPr>
              <w:t xml:space="preserve"> on how to conduct intercultural dialogues including indigenous peoples and local communities, Parties and </w:t>
            </w:r>
            <w:r w:rsidR="0079496A">
              <w:rPr>
                <w:kern w:val="22"/>
                <w:szCs w:val="22"/>
              </w:rPr>
              <w:t>G</w:t>
            </w:r>
            <w:r w:rsidRPr="00F77C9C">
              <w:rPr>
                <w:kern w:val="22"/>
                <w:szCs w:val="22"/>
              </w:rPr>
              <w:t xml:space="preserve">overnments, women, </w:t>
            </w:r>
            <w:r>
              <w:rPr>
                <w:kern w:val="22"/>
                <w:szCs w:val="22"/>
              </w:rPr>
              <w:t>youth</w:t>
            </w:r>
            <w:r w:rsidRPr="00F77C9C">
              <w:rPr>
                <w:kern w:val="22"/>
                <w:szCs w:val="22"/>
              </w:rPr>
              <w:t xml:space="preserve">, the business sector and </w:t>
            </w:r>
            <w:r w:rsidR="00AE6519">
              <w:rPr>
                <w:kern w:val="22"/>
                <w:szCs w:val="22"/>
              </w:rPr>
              <w:t xml:space="preserve">the </w:t>
            </w:r>
            <w:r w:rsidRPr="00F77C9C">
              <w:rPr>
                <w:kern w:val="22"/>
                <w:szCs w:val="22"/>
              </w:rPr>
              <w:t>research community</w:t>
            </w:r>
            <w:r w:rsidR="005C34E9">
              <w:rPr>
                <w:kern w:val="22"/>
                <w:szCs w:val="22"/>
              </w:rPr>
              <w:t>;</w:t>
            </w:r>
          </w:p>
          <w:p w14:paraId="2A08B941" w14:textId="4519858C" w:rsidR="00D44EAC" w:rsidRPr="003F6BDB" w:rsidRDefault="00D44EAC" w:rsidP="00BD2C12">
            <w:pPr>
              <w:numPr>
                <w:ilvl w:val="2"/>
                <w:numId w:val="36"/>
              </w:numPr>
              <w:jc w:val="left"/>
              <w:rPr>
                <w:kern w:val="22"/>
                <w:szCs w:val="22"/>
              </w:rPr>
            </w:pPr>
            <w:r>
              <w:rPr>
                <w:kern w:val="22"/>
                <w:szCs w:val="22"/>
              </w:rPr>
              <w:t xml:space="preserve">Provide </w:t>
            </w:r>
            <w:r w:rsidR="005F0ABB">
              <w:rPr>
                <w:kern w:val="22"/>
                <w:szCs w:val="22"/>
              </w:rPr>
              <w:t xml:space="preserve">guidance, </w:t>
            </w:r>
            <w:r>
              <w:rPr>
                <w:kern w:val="22"/>
                <w:szCs w:val="22"/>
              </w:rPr>
              <w:t>training</w:t>
            </w:r>
            <w:r w:rsidR="005F0ABB">
              <w:rPr>
                <w:kern w:val="22"/>
                <w:szCs w:val="22"/>
              </w:rPr>
              <w:t xml:space="preserve"> or technical assistance</w:t>
            </w:r>
            <w:r>
              <w:rPr>
                <w:kern w:val="22"/>
                <w:szCs w:val="22"/>
              </w:rPr>
              <w:t xml:space="preserve"> on whole-of-government and whole-of-society approaches relevant for multistakeholder engagement processes useful for the implementation of the Protocol.</w:t>
            </w:r>
          </w:p>
        </w:tc>
      </w:tr>
      <w:tr w:rsidR="00D44EAC" w:rsidRPr="00DD54AB" w14:paraId="2BE6F3E1" w14:textId="77777777" w:rsidTr="00840F80">
        <w:tc>
          <w:tcPr>
            <w:tcW w:w="3496" w:type="dxa"/>
            <w:shd w:val="clear" w:color="auto" w:fill="auto"/>
          </w:tcPr>
          <w:p w14:paraId="40124A87" w14:textId="59272CF2" w:rsidR="00D44EAC" w:rsidRPr="00B105E8" w:rsidRDefault="00D44EAC" w:rsidP="00335F76">
            <w:pPr>
              <w:jc w:val="left"/>
              <w:rPr>
                <w:rFonts w:asciiTheme="majorBidi" w:hAnsiTheme="majorBidi" w:cstheme="majorBidi"/>
                <w:kern w:val="22"/>
                <w:szCs w:val="22"/>
              </w:rPr>
            </w:pPr>
            <w:r w:rsidRPr="00B105E8">
              <w:rPr>
                <w:rFonts w:asciiTheme="majorBidi" w:hAnsiTheme="majorBidi" w:cstheme="majorBidi"/>
                <w:szCs w:val="22"/>
              </w:rPr>
              <w:t>6.</w:t>
            </w:r>
            <w:r>
              <w:rPr>
                <w:rFonts w:asciiTheme="majorBidi" w:hAnsiTheme="majorBidi" w:cstheme="majorBidi"/>
                <w:szCs w:val="22"/>
              </w:rPr>
              <w:t>3.</w:t>
            </w:r>
            <w:r w:rsidRPr="00B105E8">
              <w:rPr>
                <w:rFonts w:asciiTheme="majorBidi" w:hAnsiTheme="majorBidi" w:cstheme="majorBidi"/>
                <w:szCs w:val="22"/>
              </w:rPr>
              <w:t xml:space="preserve"> </w:t>
            </w:r>
            <w:r>
              <w:rPr>
                <w:rFonts w:asciiTheme="majorBidi" w:hAnsiTheme="majorBidi" w:cstheme="majorBidi"/>
                <w:szCs w:val="22"/>
              </w:rPr>
              <w:t>W</w:t>
            </w:r>
            <w:r w:rsidRPr="00B105E8">
              <w:rPr>
                <w:rFonts w:asciiTheme="majorBidi" w:hAnsiTheme="majorBidi" w:cstheme="majorBidi"/>
                <w:szCs w:val="22"/>
              </w:rPr>
              <w:t>omen</w:t>
            </w:r>
            <w:r>
              <w:rPr>
                <w:rFonts w:asciiTheme="majorBidi" w:hAnsiTheme="majorBidi" w:cstheme="majorBidi"/>
                <w:szCs w:val="22"/>
              </w:rPr>
              <w:t>’</w:t>
            </w:r>
            <w:r w:rsidRPr="00B105E8">
              <w:rPr>
                <w:rFonts w:asciiTheme="majorBidi" w:hAnsiTheme="majorBidi" w:cstheme="majorBidi"/>
                <w:szCs w:val="22"/>
              </w:rPr>
              <w:t>s</w:t>
            </w:r>
            <w:r w:rsidRPr="00B105E8" w:rsidDel="00CC377E">
              <w:rPr>
                <w:rFonts w:asciiTheme="majorBidi" w:hAnsiTheme="majorBidi" w:cstheme="majorBidi"/>
                <w:szCs w:val="22"/>
              </w:rPr>
              <w:t xml:space="preserve"> </w:t>
            </w:r>
            <w:r>
              <w:rPr>
                <w:rFonts w:asciiTheme="majorBidi" w:hAnsiTheme="majorBidi" w:cstheme="majorBidi"/>
                <w:szCs w:val="22"/>
              </w:rPr>
              <w:t>and youth</w:t>
            </w:r>
            <w:r w:rsidR="00F24165">
              <w:rPr>
                <w:rFonts w:asciiTheme="majorBidi" w:hAnsiTheme="majorBidi" w:cstheme="majorBidi"/>
                <w:szCs w:val="22"/>
              </w:rPr>
              <w:t>’s</w:t>
            </w:r>
            <w:r>
              <w:rPr>
                <w:rFonts w:asciiTheme="majorBidi" w:hAnsiTheme="majorBidi" w:cstheme="majorBidi"/>
                <w:szCs w:val="22"/>
              </w:rPr>
              <w:t xml:space="preserve"> </w:t>
            </w:r>
            <w:r w:rsidRPr="00B105E8">
              <w:rPr>
                <w:rFonts w:asciiTheme="majorBidi" w:hAnsiTheme="majorBidi" w:cstheme="majorBidi"/>
                <w:szCs w:val="22"/>
              </w:rPr>
              <w:t xml:space="preserve">participation </w:t>
            </w:r>
            <w:r>
              <w:rPr>
                <w:rFonts w:asciiTheme="majorBidi" w:hAnsiTheme="majorBidi" w:cstheme="majorBidi"/>
                <w:szCs w:val="22"/>
              </w:rPr>
              <w:t>in the</w:t>
            </w:r>
            <w:r w:rsidRPr="00B105E8">
              <w:rPr>
                <w:rFonts w:asciiTheme="majorBidi" w:hAnsiTheme="majorBidi" w:cstheme="majorBidi"/>
                <w:szCs w:val="22"/>
              </w:rPr>
              <w:t xml:space="preserve"> implementation</w:t>
            </w:r>
            <w:r>
              <w:rPr>
                <w:rFonts w:asciiTheme="majorBidi" w:hAnsiTheme="majorBidi" w:cstheme="majorBidi"/>
                <w:szCs w:val="22"/>
              </w:rPr>
              <w:t xml:space="preserve"> of the Protocol has increased at all levels</w:t>
            </w:r>
          </w:p>
        </w:tc>
        <w:tc>
          <w:tcPr>
            <w:tcW w:w="9810" w:type="dxa"/>
            <w:shd w:val="clear" w:color="auto" w:fill="auto"/>
          </w:tcPr>
          <w:p w14:paraId="18C1ED98" w14:textId="2F709BEF" w:rsidR="00D44EAC" w:rsidRDefault="00D44EAC" w:rsidP="00BD2C12">
            <w:pPr>
              <w:numPr>
                <w:ilvl w:val="2"/>
                <w:numId w:val="45"/>
              </w:numPr>
              <w:jc w:val="left"/>
              <w:rPr>
                <w:kern w:val="22"/>
                <w:szCs w:val="22"/>
              </w:rPr>
            </w:pPr>
            <w:r>
              <w:rPr>
                <w:kern w:val="22"/>
                <w:szCs w:val="22"/>
              </w:rPr>
              <w:t>Take stock</w:t>
            </w:r>
            <w:r w:rsidDel="00CC3C6B">
              <w:rPr>
                <w:kern w:val="22"/>
                <w:szCs w:val="22"/>
              </w:rPr>
              <w:t xml:space="preserve"> </w:t>
            </w:r>
            <w:r>
              <w:rPr>
                <w:kern w:val="22"/>
                <w:szCs w:val="22"/>
              </w:rPr>
              <w:t>on the level of participation of women, men and youth in the implementation of the Nagoya Protocol and identify gaps</w:t>
            </w:r>
            <w:r w:rsidR="005C34E9">
              <w:rPr>
                <w:kern w:val="22"/>
                <w:szCs w:val="22"/>
              </w:rPr>
              <w:t>;</w:t>
            </w:r>
          </w:p>
          <w:p w14:paraId="62C49DCF" w14:textId="3A513359" w:rsidR="00D44EAC" w:rsidRPr="000643D7" w:rsidRDefault="00D44EAC" w:rsidP="00BD2C12">
            <w:pPr>
              <w:numPr>
                <w:ilvl w:val="2"/>
                <w:numId w:val="45"/>
              </w:numPr>
              <w:jc w:val="left"/>
              <w:rPr>
                <w:kern w:val="22"/>
                <w:szCs w:val="22"/>
              </w:rPr>
            </w:pPr>
            <w:r>
              <w:rPr>
                <w:kern w:val="22"/>
                <w:szCs w:val="22"/>
              </w:rPr>
              <w:t xml:space="preserve">Support the </w:t>
            </w:r>
            <w:r w:rsidRPr="00675BBC">
              <w:rPr>
                <w:kern w:val="22"/>
                <w:szCs w:val="22"/>
              </w:rPr>
              <w:t xml:space="preserve">informed and effective </w:t>
            </w:r>
            <w:r>
              <w:rPr>
                <w:kern w:val="22"/>
                <w:szCs w:val="22"/>
              </w:rPr>
              <w:t xml:space="preserve">participation </w:t>
            </w:r>
            <w:r w:rsidRPr="00A764CC">
              <w:rPr>
                <w:kern w:val="22"/>
                <w:szCs w:val="22"/>
              </w:rPr>
              <w:t xml:space="preserve">of </w:t>
            </w:r>
            <w:r>
              <w:rPr>
                <w:kern w:val="22"/>
                <w:szCs w:val="22"/>
              </w:rPr>
              <w:t xml:space="preserve">youth and </w:t>
            </w:r>
            <w:r w:rsidRPr="00A764CC">
              <w:rPr>
                <w:kern w:val="22"/>
                <w:szCs w:val="22"/>
              </w:rPr>
              <w:t>women</w:t>
            </w:r>
            <w:r w:rsidR="00666B69">
              <w:rPr>
                <w:kern w:val="22"/>
                <w:szCs w:val="22"/>
              </w:rPr>
              <w:t>’</w:t>
            </w:r>
            <w:r w:rsidRPr="00A764CC">
              <w:rPr>
                <w:kern w:val="22"/>
                <w:szCs w:val="22"/>
              </w:rPr>
              <w:t xml:space="preserve">s organizations, networks and gender experts </w:t>
            </w:r>
            <w:r>
              <w:rPr>
                <w:kern w:val="22"/>
                <w:szCs w:val="22"/>
              </w:rPr>
              <w:t>i</w:t>
            </w:r>
            <w:r w:rsidRPr="00A764CC">
              <w:rPr>
                <w:kern w:val="22"/>
                <w:szCs w:val="22"/>
              </w:rPr>
              <w:t xml:space="preserve">n the </w:t>
            </w:r>
            <w:r>
              <w:rPr>
                <w:kern w:val="22"/>
                <w:szCs w:val="22"/>
              </w:rPr>
              <w:t>implementation of the Protocol at all levels.</w:t>
            </w:r>
          </w:p>
        </w:tc>
      </w:tr>
      <w:tr w:rsidR="00D44EAC" w:rsidRPr="00DD54AB" w14:paraId="28290614" w14:textId="77777777" w:rsidTr="00840F80">
        <w:tc>
          <w:tcPr>
            <w:tcW w:w="3496" w:type="dxa"/>
            <w:shd w:val="clear" w:color="auto" w:fill="auto"/>
          </w:tcPr>
          <w:p w14:paraId="5626C4DF" w14:textId="61E19A18" w:rsidR="00D44EAC" w:rsidRPr="00B105E8" w:rsidRDefault="00D44EAC" w:rsidP="00335F76">
            <w:pPr>
              <w:jc w:val="left"/>
              <w:rPr>
                <w:rFonts w:asciiTheme="majorBidi" w:hAnsiTheme="majorBidi" w:cstheme="majorBidi"/>
                <w:szCs w:val="22"/>
              </w:rPr>
            </w:pPr>
            <w:r>
              <w:rPr>
                <w:rFonts w:asciiTheme="majorBidi" w:hAnsiTheme="majorBidi" w:cstheme="majorBidi"/>
                <w:szCs w:val="22"/>
              </w:rPr>
              <w:lastRenderedPageBreak/>
              <w:t xml:space="preserve">6.4. Knowledge and awareness of users of genetic resources and/or associated traditional knowledge </w:t>
            </w:r>
            <w:r w:rsidR="00BB26DF">
              <w:rPr>
                <w:rFonts w:asciiTheme="majorBidi" w:hAnsiTheme="majorBidi" w:cstheme="majorBidi"/>
                <w:szCs w:val="22"/>
              </w:rPr>
              <w:t>on</w:t>
            </w:r>
            <w:r>
              <w:rPr>
                <w:rFonts w:asciiTheme="majorBidi" w:hAnsiTheme="majorBidi" w:cstheme="majorBidi"/>
                <w:szCs w:val="22"/>
              </w:rPr>
              <w:t xml:space="preserve"> access and benefit-sharing obligations under the Nagoya Protocol ha</w:t>
            </w:r>
            <w:r w:rsidR="00CF77D4">
              <w:rPr>
                <w:rFonts w:asciiTheme="majorBidi" w:hAnsiTheme="majorBidi" w:cstheme="majorBidi"/>
                <w:szCs w:val="22"/>
              </w:rPr>
              <w:t>ve</w:t>
            </w:r>
            <w:r>
              <w:rPr>
                <w:rFonts w:asciiTheme="majorBidi" w:hAnsiTheme="majorBidi" w:cstheme="majorBidi"/>
                <w:szCs w:val="22"/>
              </w:rPr>
              <w:t xml:space="preserve"> increased</w:t>
            </w:r>
          </w:p>
        </w:tc>
        <w:tc>
          <w:tcPr>
            <w:tcW w:w="9810" w:type="dxa"/>
            <w:shd w:val="clear" w:color="auto" w:fill="auto"/>
          </w:tcPr>
          <w:p w14:paraId="285B7974" w14:textId="4B6D6B18" w:rsidR="00D44EAC" w:rsidRDefault="00D44EAC" w:rsidP="00BD2C12">
            <w:pPr>
              <w:numPr>
                <w:ilvl w:val="2"/>
                <w:numId w:val="47"/>
              </w:numPr>
              <w:jc w:val="left"/>
            </w:pPr>
            <w:r w:rsidRPr="774ED644">
              <w:rPr>
                <w:kern w:val="22"/>
              </w:rPr>
              <w:t>Develop</w:t>
            </w:r>
            <w:r w:rsidR="005F0ABB" w:rsidRPr="774ED644">
              <w:rPr>
                <w:kern w:val="22"/>
              </w:rPr>
              <w:t xml:space="preserve"> or</w:t>
            </w:r>
            <w:r w:rsidRPr="774ED644">
              <w:rPr>
                <w:kern w:val="22"/>
              </w:rPr>
              <w:t xml:space="preserve"> </w:t>
            </w:r>
            <w:r w:rsidR="00183A69">
              <w:rPr>
                <w:kern w:val="22"/>
              </w:rPr>
              <w:t>revise</w:t>
            </w:r>
            <w:r w:rsidR="005F0ABB" w:rsidRPr="774ED644">
              <w:rPr>
                <w:kern w:val="22"/>
              </w:rPr>
              <w:t>, as needed,</w:t>
            </w:r>
            <w:r w:rsidRPr="774ED644">
              <w:rPr>
                <w:kern w:val="22"/>
              </w:rPr>
              <w:t xml:space="preserve"> codes of conduct, guidelines and good practices and/or standards in relation to access and benefit-sharing for different types of users and sectors and publish them in the Access and Benefit-sharing Clearing-House</w:t>
            </w:r>
            <w:r w:rsidR="005C34E9">
              <w:rPr>
                <w:kern w:val="22"/>
              </w:rPr>
              <w:t>;</w:t>
            </w:r>
          </w:p>
          <w:p w14:paraId="584F13D5" w14:textId="2E044706" w:rsidR="00D44EAC" w:rsidRPr="002D4332" w:rsidRDefault="00D44EAC" w:rsidP="00BD2C12">
            <w:pPr>
              <w:numPr>
                <w:ilvl w:val="2"/>
                <w:numId w:val="47"/>
              </w:numPr>
              <w:jc w:val="left"/>
            </w:pPr>
            <w:r w:rsidRPr="774ED644">
              <w:rPr>
                <w:kern w:val="22"/>
              </w:rPr>
              <w:t>Develop</w:t>
            </w:r>
            <w:r w:rsidR="005F0ABB" w:rsidRPr="774ED644">
              <w:rPr>
                <w:kern w:val="22"/>
              </w:rPr>
              <w:t xml:space="preserve"> or</w:t>
            </w:r>
            <w:r w:rsidRPr="774ED644">
              <w:rPr>
                <w:kern w:val="22"/>
              </w:rPr>
              <w:t xml:space="preserve"> </w:t>
            </w:r>
            <w:r w:rsidR="00183A69">
              <w:rPr>
                <w:kern w:val="22"/>
              </w:rPr>
              <w:t>revise</w:t>
            </w:r>
            <w:r w:rsidR="005F0ABB" w:rsidRPr="774ED644">
              <w:rPr>
                <w:kern w:val="22"/>
              </w:rPr>
              <w:t>, as needed,</w:t>
            </w:r>
            <w:r w:rsidRPr="774ED644">
              <w:rPr>
                <w:kern w:val="22"/>
              </w:rPr>
              <w:t xml:space="preserve"> and disseminate </w:t>
            </w:r>
            <w:r w:rsidR="006E2E49" w:rsidRPr="774ED644">
              <w:rPr>
                <w:kern w:val="22"/>
              </w:rPr>
              <w:t>training materials, practical guidance and tools</w:t>
            </w:r>
            <w:r w:rsidRPr="774ED644">
              <w:rPr>
                <w:kern w:val="22"/>
              </w:rPr>
              <w:t xml:space="preserve"> for different types of users on how to comply with access and benefit-sharing rules and procedures and community protocols, including with the support of business associations and academic institutions</w:t>
            </w:r>
            <w:r w:rsidR="005C34E9">
              <w:rPr>
                <w:kern w:val="22"/>
              </w:rPr>
              <w:t>;</w:t>
            </w:r>
          </w:p>
          <w:p w14:paraId="6CB8B129" w14:textId="3FB26663" w:rsidR="00D44EAC" w:rsidRDefault="00D44EAC" w:rsidP="00BD2C12">
            <w:pPr>
              <w:numPr>
                <w:ilvl w:val="2"/>
                <w:numId w:val="47"/>
              </w:numPr>
              <w:jc w:val="left"/>
              <w:rPr>
                <w:kern w:val="22"/>
                <w:szCs w:val="22"/>
              </w:rPr>
            </w:pPr>
            <w:r>
              <w:rPr>
                <w:kern w:val="22"/>
                <w:szCs w:val="22"/>
              </w:rPr>
              <w:t>Provide training and awareness</w:t>
            </w:r>
            <w:r w:rsidR="00515E06">
              <w:rPr>
                <w:kern w:val="22"/>
                <w:szCs w:val="22"/>
              </w:rPr>
              <w:t>-</w:t>
            </w:r>
            <w:r>
              <w:rPr>
                <w:kern w:val="22"/>
                <w:szCs w:val="22"/>
              </w:rPr>
              <w:t>raising to support compliance with the Nagoya Protocol and national legislation and procedures</w:t>
            </w:r>
            <w:r w:rsidR="005C34E9">
              <w:rPr>
                <w:kern w:val="22"/>
                <w:szCs w:val="22"/>
              </w:rPr>
              <w:t>;</w:t>
            </w:r>
          </w:p>
          <w:p w14:paraId="0471697C" w14:textId="3A0EC8AB" w:rsidR="00D44EAC" w:rsidRDefault="00D44EAC" w:rsidP="00BD2C12">
            <w:pPr>
              <w:numPr>
                <w:ilvl w:val="2"/>
                <w:numId w:val="47"/>
              </w:numPr>
              <w:jc w:val="left"/>
              <w:rPr>
                <w:kern w:val="22"/>
                <w:szCs w:val="22"/>
              </w:rPr>
            </w:pPr>
            <w:r>
              <w:rPr>
                <w:kern w:val="22"/>
                <w:szCs w:val="22"/>
              </w:rPr>
              <w:t>Provide training and awareness</w:t>
            </w:r>
            <w:r w:rsidR="00515E06">
              <w:rPr>
                <w:kern w:val="22"/>
                <w:szCs w:val="22"/>
              </w:rPr>
              <w:t>-</w:t>
            </w:r>
            <w:r>
              <w:rPr>
                <w:kern w:val="22"/>
                <w:szCs w:val="22"/>
              </w:rPr>
              <w:t>raising to support compliance with community protocols and customary laws and procedures of indigenous peoples and local communities</w:t>
            </w:r>
            <w:r w:rsidR="005C34E9">
              <w:rPr>
                <w:kern w:val="22"/>
                <w:szCs w:val="22"/>
              </w:rPr>
              <w:t>;</w:t>
            </w:r>
          </w:p>
          <w:p w14:paraId="0DE869A1" w14:textId="02EB0B49" w:rsidR="00D44EAC" w:rsidRPr="00814E98" w:rsidRDefault="00D44EAC" w:rsidP="00BD2C12">
            <w:pPr>
              <w:numPr>
                <w:ilvl w:val="2"/>
                <w:numId w:val="47"/>
              </w:numPr>
              <w:jc w:val="left"/>
              <w:rPr>
                <w:kern w:val="22"/>
                <w:szCs w:val="22"/>
              </w:rPr>
            </w:pPr>
            <w:r>
              <w:rPr>
                <w:kern w:val="22"/>
                <w:szCs w:val="22"/>
              </w:rPr>
              <w:t>Provide training on the use of the Access and Benefit-sharing Clearing-House.</w:t>
            </w:r>
          </w:p>
        </w:tc>
      </w:tr>
      <w:tr w:rsidR="00D44EAC" w:rsidRPr="00DD54AB" w14:paraId="0EE9924E" w14:textId="77777777" w:rsidTr="00840F80">
        <w:tc>
          <w:tcPr>
            <w:tcW w:w="3496" w:type="dxa"/>
            <w:shd w:val="clear" w:color="auto" w:fill="auto"/>
          </w:tcPr>
          <w:p w14:paraId="48DAF6C5" w14:textId="661CA3C3" w:rsidR="00D44EAC" w:rsidRPr="00B105E8" w:rsidRDefault="00D44EAC" w:rsidP="00335F76">
            <w:pPr>
              <w:jc w:val="left"/>
              <w:rPr>
                <w:rFonts w:asciiTheme="majorBidi" w:hAnsiTheme="majorBidi" w:cstheme="majorBidi"/>
                <w:szCs w:val="22"/>
              </w:rPr>
            </w:pPr>
            <w:r>
              <w:rPr>
                <w:rFonts w:asciiTheme="majorBidi" w:hAnsiTheme="majorBidi" w:cstheme="majorBidi"/>
                <w:szCs w:val="22"/>
              </w:rPr>
              <w:t>6.5. Lessons learned, experiences and good practices in the implementation of the Protocol or related to capacity-building and development to supports its implementation are shared with relevant target groups and published on the A</w:t>
            </w:r>
            <w:r w:rsidR="00F24165">
              <w:rPr>
                <w:rFonts w:asciiTheme="majorBidi" w:hAnsiTheme="majorBidi" w:cstheme="majorBidi"/>
                <w:szCs w:val="22"/>
              </w:rPr>
              <w:t>c</w:t>
            </w:r>
            <w:r w:rsidR="00321927">
              <w:rPr>
                <w:rFonts w:asciiTheme="majorBidi" w:hAnsiTheme="majorBidi" w:cstheme="majorBidi"/>
                <w:szCs w:val="22"/>
              </w:rPr>
              <w:t>c</w:t>
            </w:r>
            <w:r w:rsidR="00F24165">
              <w:rPr>
                <w:rFonts w:asciiTheme="majorBidi" w:hAnsiTheme="majorBidi" w:cstheme="majorBidi"/>
                <w:szCs w:val="22"/>
              </w:rPr>
              <w:t xml:space="preserve">ess and Benefit-sharing </w:t>
            </w:r>
            <w:r>
              <w:rPr>
                <w:rFonts w:asciiTheme="majorBidi" w:hAnsiTheme="majorBidi" w:cstheme="majorBidi"/>
                <w:szCs w:val="22"/>
              </w:rPr>
              <w:t>Clearing-House</w:t>
            </w:r>
            <w:r w:rsidR="00F24165">
              <w:rPr>
                <w:rFonts w:asciiTheme="majorBidi" w:hAnsiTheme="majorBidi" w:cstheme="majorBidi"/>
                <w:szCs w:val="22"/>
              </w:rPr>
              <w:t xml:space="preserve"> </w:t>
            </w:r>
          </w:p>
        </w:tc>
        <w:tc>
          <w:tcPr>
            <w:tcW w:w="9810" w:type="dxa"/>
            <w:shd w:val="clear" w:color="auto" w:fill="auto"/>
          </w:tcPr>
          <w:p w14:paraId="1339C4AD" w14:textId="73C34E06" w:rsidR="00D44EAC" w:rsidRDefault="00D44EAC" w:rsidP="00BD2C12">
            <w:pPr>
              <w:numPr>
                <w:ilvl w:val="2"/>
                <w:numId w:val="39"/>
              </w:numPr>
              <w:jc w:val="left"/>
              <w:rPr>
                <w:kern w:val="22"/>
                <w:szCs w:val="22"/>
              </w:rPr>
            </w:pPr>
            <w:r w:rsidRPr="009841A0">
              <w:rPr>
                <w:kern w:val="22"/>
                <w:szCs w:val="22"/>
              </w:rPr>
              <w:t xml:space="preserve">Facilitate the sharing of </w:t>
            </w:r>
            <w:r w:rsidRPr="00521838">
              <w:rPr>
                <w:kern w:val="22"/>
                <w:szCs w:val="22"/>
              </w:rPr>
              <w:t>knowledge and expertise</w:t>
            </w:r>
            <w:r>
              <w:rPr>
                <w:kern w:val="22"/>
                <w:szCs w:val="22"/>
              </w:rPr>
              <w:t>,</w:t>
            </w:r>
            <w:r w:rsidRPr="00521838">
              <w:rPr>
                <w:kern w:val="22"/>
                <w:szCs w:val="22"/>
              </w:rPr>
              <w:t xml:space="preserve"> </w:t>
            </w:r>
            <w:r w:rsidRPr="009841A0">
              <w:rPr>
                <w:kern w:val="22"/>
                <w:szCs w:val="22"/>
              </w:rPr>
              <w:t xml:space="preserve">good practices and </w:t>
            </w:r>
            <w:r w:rsidRPr="001306B3">
              <w:rPr>
                <w:kern w:val="22"/>
                <w:szCs w:val="22"/>
              </w:rPr>
              <w:t>peer-to-peer learning</w:t>
            </w:r>
            <w:r w:rsidRPr="009841A0" w:rsidDel="000B2A22">
              <w:rPr>
                <w:kern w:val="22"/>
                <w:szCs w:val="22"/>
              </w:rPr>
              <w:t xml:space="preserve"> </w:t>
            </w:r>
            <w:r>
              <w:rPr>
                <w:kern w:val="22"/>
                <w:szCs w:val="22"/>
              </w:rPr>
              <w:t xml:space="preserve">as well as relevant guidance and training materials through </w:t>
            </w:r>
            <w:r w:rsidRPr="001306B3">
              <w:rPr>
                <w:kern w:val="22"/>
                <w:szCs w:val="22"/>
              </w:rPr>
              <w:t>regional for</w:t>
            </w:r>
            <w:r w:rsidR="00AE3C02">
              <w:rPr>
                <w:kern w:val="22"/>
                <w:szCs w:val="22"/>
              </w:rPr>
              <w:t>ums</w:t>
            </w:r>
            <w:r>
              <w:rPr>
                <w:kern w:val="22"/>
                <w:szCs w:val="22"/>
              </w:rPr>
              <w:t>, exchange programmes</w:t>
            </w:r>
            <w:r w:rsidRPr="001306B3">
              <w:rPr>
                <w:kern w:val="22"/>
                <w:szCs w:val="22"/>
              </w:rPr>
              <w:t xml:space="preserve"> and support networks </w:t>
            </w:r>
            <w:r>
              <w:rPr>
                <w:kern w:val="22"/>
                <w:szCs w:val="22"/>
              </w:rPr>
              <w:t>and learning communities</w:t>
            </w:r>
            <w:r w:rsidR="005C34E9">
              <w:rPr>
                <w:kern w:val="22"/>
                <w:szCs w:val="22"/>
              </w:rPr>
              <w:t>;</w:t>
            </w:r>
            <w:r>
              <w:rPr>
                <w:kern w:val="22"/>
                <w:szCs w:val="22"/>
              </w:rPr>
              <w:t xml:space="preserve"> </w:t>
            </w:r>
          </w:p>
          <w:p w14:paraId="2A3AE3E9" w14:textId="4C41C7C2" w:rsidR="00D44EAC" w:rsidRDefault="00D44EAC" w:rsidP="00BD2C12">
            <w:pPr>
              <w:numPr>
                <w:ilvl w:val="2"/>
                <w:numId w:val="39"/>
              </w:numPr>
              <w:jc w:val="left"/>
              <w:rPr>
                <w:kern w:val="22"/>
                <w:szCs w:val="22"/>
              </w:rPr>
            </w:pPr>
            <w:r>
              <w:rPr>
                <w:kern w:val="22"/>
                <w:szCs w:val="22"/>
              </w:rPr>
              <w:t xml:space="preserve">Support the development or </w:t>
            </w:r>
            <w:r w:rsidR="00D3587E">
              <w:rPr>
                <w:kern w:val="22"/>
                <w:szCs w:val="22"/>
              </w:rPr>
              <w:t>improvement</w:t>
            </w:r>
            <w:r>
              <w:rPr>
                <w:kern w:val="22"/>
                <w:szCs w:val="22"/>
              </w:rPr>
              <w:t xml:space="preserve"> of relevant guidance and tools and </w:t>
            </w:r>
            <w:r w:rsidR="00B3674E">
              <w:rPr>
                <w:kern w:val="22"/>
                <w:szCs w:val="22"/>
              </w:rPr>
              <w:t>their</w:t>
            </w:r>
            <w:r>
              <w:rPr>
                <w:kern w:val="22"/>
                <w:szCs w:val="22"/>
              </w:rPr>
              <w:t xml:space="preserve"> publication on the Clearing-House</w:t>
            </w:r>
            <w:r w:rsidR="005C34E9">
              <w:rPr>
                <w:kern w:val="22"/>
                <w:szCs w:val="22"/>
              </w:rPr>
              <w:t>;</w:t>
            </w:r>
          </w:p>
          <w:p w14:paraId="30462AED" w14:textId="77DC2331" w:rsidR="00D44EAC" w:rsidRPr="00CC3C6B" w:rsidRDefault="00D44EAC" w:rsidP="00BD2C12">
            <w:pPr>
              <w:numPr>
                <w:ilvl w:val="2"/>
                <w:numId w:val="39"/>
              </w:numPr>
              <w:jc w:val="left"/>
              <w:rPr>
                <w:kern w:val="22"/>
                <w:szCs w:val="22"/>
              </w:rPr>
            </w:pPr>
            <w:r w:rsidRPr="008E6AE4">
              <w:rPr>
                <w:kern w:val="22"/>
                <w:szCs w:val="22"/>
              </w:rPr>
              <w:t>Share lessons learned, experience and good practices related to capacity</w:t>
            </w:r>
            <w:r>
              <w:rPr>
                <w:kern w:val="22"/>
                <w:szCs w:val="22"/>
              </w:rPr>
              <w:t>-</w:t>
            </w:r>
            <w:r w:rsidRPr="008E6AE4">
              <w:rPr>
                <w:kern w:val="22"/>
                <w:szCs w:val="22"/>
              </w:rPr>
              <w:t xml:space="preserve">building and development on the </w:t>
            </w:r>
            <w:r w:rsidR="00DE71E4">
              <w:rPr>
                <w:kern w:val="22"/>
                <w:szCs w:val="22"/>
              </w:rPr>
              <w:t>Access and Benefit-sharing</w:t>
            </w:r>
            <w:r w:rsidRPr="008E6AE4">
              <w:rPr>
                <w:kern w:val="22"/>
                <w:szCs w:val="22"/>
              </w:rPr>
              <w:t xml:space="preserve"> Clearing</w:t>
            </w:r>
            <w:r w:rsidR="00DE71E4">
              <w:rPr>
                <w:kern w:val="22"/>
                <w:szCs w:val="22"/>
              </w:rPr>
              <w:t>-</w:t>
            </w:r>
            <w:r w:rsidRPr="008E6AE4">
              <w:rPr>
                <w:kern w:val="22"/>
                <w:szCs w:val="22"/>
              </w:rPr>
              <w:t>House</w:t>
            </w:r>
            <w:r>
              <w:rPr>
                <w:kern w:val="22"/>
                <w:szCs w:val="22"/>
              </w:rPr>
              <w:t>.</w:t>
            </w:r>
          </w:p>
        </w:tc>
      </w:tr>
      <w:tr w:rsidR="00D44EAC" w:rsidRPr="00DD54AB" w14:paraId="0C10547B" w14:textId="77777777" w:rsidTr="00840F80">
        <w:tc>
          <w:tcPr>
            <w:tcW w:w="3496" w:type="dxa"/>
          </w:tcPr>
          <w:p w14:paraId="319E6366" w14:textId="533F1838" w:rsidR="00D44EAC" w:rsidRPr="00B105E8" w:rsidRDefault="00D44EAC" w:rsidP="00335F76">
            <w:pPr>
              <w:jc w:val="left"/>
              <w:rPr>
                <w:rFonts w:asciiTheme="majorBidi" w:hAnsiTheme="majorBidi" w:cstheme="majorBidi"/>
                <w:szCs w:val="22"/>
              </w:rPr>
            </w:pPr>
            <w:r w:rsidRPr="00B105E8">
              <w:rPr>
                <w:rFonts w:asciiTheme="majorBidi" w:hAnsiTheme="majorBidi" w:cstheme="majorBidi"/>
                <w:szCs w:val="22"/>
              </w:rPr>
              <w:t>6.</w:t>
            </w:r>
            <w:r>
              <w:rPr>
                <w:rFonts w:asciiTheme="majorBidi" w:hAnsiTheme="majorBidi" w:cstheme="majorBidi"/>
                <w:szCs w:val="22"/>
              </w:rPr>
              <w:t>6.</w:t>
            </w:r>
            <w:r w:rsidRPr="00B105E8">
              <w:rPr>
                <w:rFonts w:asciiTheme="majorBidi" w:hAnsiTheme="majorBidi" w:cstheme="majorBidi"/>
                <w:szCs w:val="22"/>
              </w:rPr>
              <w:t xml:space="preserve"> A</w:t>
            </w:r>
            <w:r w:rsidR="00AC40AA">
              <w:rPr>
                <w:rFonts w:asciiTheme="majorBidi" w:hAnsiTheme="majorBidi" w:cstheme="majorBidi"/>
                <w:szCs w:val="22"/>
              </w:rPr>
              <w:t xml:space="preserve">ccess and </w:t>
            </w:r>
            <w:r w:rsidR="007A4A90">
              <w:rPr>
                <w:rFonts w:asciiTheme="majorBidi" w:hAnsiTheme="majorBidi" w:cstheme="majorBidi"/>
                <w:szCs w:val="22"/>
              </w:rPr>
              <w:t>benefit-sharing</w:t>
            </w:r>
            <w:r w:rsidRPr="00B105E8">
              <w:rPr>
                <w:rFonts w:asciiTheme="majorBidi" w:hAnsiTheme="majorBidi" w:cstheme="majorBidi"/>
                <w:szCs w:val="22"/>
              </w:rPr>
              <w:t xml:space="preserve"> capacity-building and development </w:t>
            </w:r>
            <w:r>
              <w:rPr>
                <w:rFonts w:asciiTheme="majorBidi" w:hAnsiTheme="majorBidi" w:cstheme="majorBidi"/>
                <w:szCs w:val="22"/>
              </w:rPr>
              <w:t>initiatives</w:t>
            </w:r>
            <w:r w:rsidRPr="00B105E8">
              <w:rPr>
                <w:rFonts w:asciiTheme="majorBidi" w:hAnsiTheme="majorBidi" w:cstheme="majorBidi"/>
                <w:szCs w:val="22"/>
              </w:rPr>
              <w:t xml:space="preserve"> are gender</w:t>
            </w:r>
            <w:r w:rsidR="007A4A90">
              <w:rPr>
                <w:rFonts w:asciiTheme="majorBidi" w:hAnsiTheme="majorBidi" w:cstheme="majorBidi"/>
                <w:szCs w:val="22"/>
              </w:rPr>
              <w:t>-</w:t>
            </w:r>
            <w:r w:rsidR="00DA695A">
              <w:rPr>
                <w:rFonts w:asciiTheme="majorBidi" w:hAnsiTheme="majorBidi" w:cstheme="majorBidi"/>
                <w:szCs w:val="22"/>
              </w:rPr>
              <w:t>responsive</w:t>
            </w:r>
            <w:r>
              <w:rPr>
                <w:rFonts w:asciiTheme="majorBidi" w:hAnsiTheme="majorBidi" w:cstheme="majorBidi"/>
                <w:szCs w:val="22"/>
              </w:rPr>
              <w:t xml:space="preserve"> and youth </w:t>
            </w:r>
            <w:r w:rsidRPr="00B105E8">
              <w:rPr>
                <w:rFonts w:asciiTheme="majorBidi" w:hAnsiTheme="majorBidi" w:cstheme="majorBidi"/>
                <w:szCs w:val="22"/>
              </w:rPr>
              <w:t>responsive</w:t>
            </w:r>
          </w:p>
        </w:tc>
        <w:tc>
          <w:tcPr>
            <w:tcW w:w="9810" w:type="dxa"/>
          </w:tcPr>
          <w:p w14:paraId="24580836" w14:textId="7447E66B" w:rsidR="00D44EAC" w:rsidRDefault="00D44EAC" w:rsidP="00BD2C12">
            <w:pPr>
              <w:numPr>
                <w:ilvl w:val="2"/>
                <w:numId w:val="44"/>
              </w:numPr>
              <w:jc w:val="left"/>
              <w:rPr>
                <w:kern w:val="22"/>
                <w:szCs w:val="22"/>
              </w:rPr>
            </w:pPr>
            <w:r w:rsidRPr="0009775D">
              <w:rPr>
                <w:kern w:val="22"/>
                <w:szCs w:val="22"/>
              </w:rPr>
              <w:t>Raise awareness on</w:t>
            </w:r>
            <w:r>
              <w:rPr>
                <w:kern w:val="22"/>
                <w:szCs w:val="22"/>
              </w:rPr>
              <w:t xml:space="preserve"> the</w:t>
            </w:r>
            <w:r w:rsidRPr="0009775D">
              <w:rPr>
                <w:kern w:val="22"/>
                <w:szCs w:val="22"/>
              </w:rPr>
              <w:t xml:space="preserve"> Gender Plan of Action</w:t>
            </w:r>
            <w:r w:rsidR="005F2891">
              <w:rPr>
                <w:kern w:val="22"/>
                <w:szCs w:val="22"/>
              </w:rPr>
              <w:t>,</w:t>
            </w:r>
            <w:r w:rsidRPr="0009775D">
              <w:rPr>
                <w:kern w:val="22"/>
                <w:szCs w:val="22"/>
              </w:rPr>
              <w:t xml:space="preserve"> contained</w:t>
            </w:r>
            <w:r>
              <w:rPr>
                <w:kern w:val="22"/>
                <w:szCs w:val="22"/>
              </w:rPr>
              <w:t xml:space="preserve"> in the </w:t>
            </w:r>
            <w:r w:rsidR="009A404F">
              <w:rPr>
                <w:kern w:val="22"/>
                <w:szCs w:val="22"/>
              </w:rPr>
              <w:t>a</w:t>
            </w:r>
            <w:r>
              <w:rPr>
                <w:kern w:val="22"/>
                <w:szCs w:val="22"/>
              </w:rPr>
              <w:t xml:space="preserve">nnex </w:t>
            </w:r>
            <w:r w:rsidR="001D75E8">
              <w:rPr>
                <w:kern w:val="22"/>
                <w:szCs w:val="22"/>
              </w:rPr>
              <w:t>to</w:t>
            </w:r>
            <w:r>
              <w:rPr>
                <w:kern w:val="22"/>
                <w:szCs w:val="22"/>
              </w:rPr>
              <w:t xml:space="preserve"> decision 15/11</w:t>
            </w:r>
            <w:r w:rsidR="005F2891">
              <w:rPr>
                <w:kern w:val="22"/>
                <w:szCs w:val="22"/>
              </w:rPr>
              <w:t>,</w:t>
            </w:r>
            <w:r>
              <w:rPr>
                <w:kern w:val="22"/>
                <w:szCs w:val="22"/>
              </w:rPr>
              <w:t xml:space="preserve"> as </w:t>
            </w:r>
            <w:r w:rsidR="00ED4456">
              <w:rPr>
                <w:kern w:val="22"/>
                <w:szCs w:val="22"/>
              </w:rPr>
              <w:t xml:space="preserve">a </w:t>
            </w:r>
            <w:r>
              <w:rPr>
                <w:kern w:val="22"/>
                <w:szCs w:val="22"/>
              </w:rPr>
              <w:t>resource for the design of capacity-building and development activities</w:t>
            </w:r>
            <w:r w:rsidR="005C34E9">
              <w:rPr>
                <w:kern w:val="22"/>
                <w:szCs w:val="22"/>
              </w:rPr>
              <w:t>;</w:t>
            </w:r>
          </w:p>
          <w:p w14:paraId="603FD662" w14:textId="6B284792" w:rsidR="00D44EAC" w:rsidRPr="00D76C15" w:rsidRDefault="00D44EAC" w:rsidP="00BD2C12">
            <w:pPr>
              <w:numPr>
                <w:ilvl w:val="2"/>
                <w:numId w:val="44"/>
              </w:numPr>
              <w:jc w:val="left"/>
              <w:rPr>
                <w:kern w:val="22"/>
                <w:szCs w:val="22"/>
              </w:rPr>
            </w:pPr>
            <w:r w:rsidRPr="00675BBC">
              <w:rPr>
                <w:kern w:val="22"/>
                <w:szCs w:val="22"/>
              </w:rPr>
              <w:t>Develop</w:t>
            </w:r>
            <w:r w:rsidR="00C72B98">
              <w:rPr>
                <w:kern w:val="22"/>
                <w:szCs w:val="22"/>
              </w:rPr>
              <w:t xml:space="preserve"> or update, as needed,</w:t>
            </w:r>
            <w:r w:rsidR="00C72B98" w:rsidRPr="00675BBC">
              <w:rPr>
                <w:kern w:val="22"/>
                <w:szCs w:val="22"/>
              </w:rPr>
              <w:t xml:space="preserve"> </w:t>
            </w:r>
            <w:r w:rsidR="00165BC7">
              <w:rPr>
                <w:kern w:val="22"/>
                <w:szCs w:val="22"/>
              </w:rPr>
              <w:t>disseminate</w:t>
            </w:r>
            <w:r>
              <w:rPr>
                <w:kern w:val="22"/>
                <w:szCs w:val="22"/>
              </w:rPr>
              <w:t xml:space="preserve"> </w:t>
            </w:r>
            <w:r w:rsidR="00C22103">
              <w:rPr>
                <w:kern w:val="22"/>
                <w:szCs w:val="22"/>
              </w:rPr>
              <w:t>and promote use of practical</w:t>
            </w:r>
            <w:r>
              <w:rPr>
                <w:kern w:val="22"/>
                <w:szCs w:val="22"/>
              </w:rPr>
              <w:t xml:space="preserve"> guidance</w:t>
            </w:r>
            <w:r w:rsidR="00C22103">
              <w:rPr>
                <w:kern w:val="22"/>
                <w:szCs w:val="22"/>
              </w:rPr>
              <w:t xml:space="preserve"> and tools</w:t>
            </w:r>
            <w:r>
              <w:rPr>
                <w:kern w:val="22"/>
                <w:szCs w:val="22"/>
              </w:rPr>
              <w:t xml:space="preserve"> </w:t>
            </w:r>
            <w:r w:rsidRPr="00675BBC">
              <w:rPr>
                <w:kern w:val="22"/>
                <w:szCs w:val="22"/>
              </w:rPr>
              <w:t>to mainstream gender</w:t>
            </w:r>
            <w:r w:rsidR="007435E1">
              <w:rPr>
                <w:kern w:val="22"/>
                <w:szCs w:val="22"/>
              </w:rPr>
              <w:t>-responsive</w:t>
            </w:r>
            <w:r>
              <w:rPr>
                <w:kern w:val="22"/>
                <w:szCs w:val="22"/>
              </w:rPr>
              <w:t xml:space="preserve"> and youth responsive approaches</w:t>
            </w:r>
            <w:r w:rsidRPr="00675BBC">
              <w:rPr>
                <w:kern w:val="22"/>
                <w:szCs w:val="22"/>
              </w:rPr>
              <w:t xml:space="preserve"> in access and benefit-sharing</w:t>
            </w:r>
            <w:r>
              <w:rPr>
                <w:kern w:val="22"/>
                <w:szCs w:val="22"/>
              </w:rPr>
              <w:t xml:space="preserve"> capacity-building and development initiatives.</w:t>
            </w:r>
          </w:p>
        </w:tc>
      </w:tr>
      <w:tr w:rsidR="00D44EAC" w:rsidRPr="00DD54AB" w14:paraId="36506C17" w14:textId="77777777" w:rsidTr="00840F80">
        <w:tc>
          <w:tcPr>
            <w:tcW w:w="3496" w:type="dxa"/>
            <w:shd w:val="clear" w:color="auto" w:fill="auto"/>
          </w:tcPr>
          <w:p w14:paraId="6985B538" w14:textId="3690FB47" w:rsidR="00D44EAC" w:rsidRPr="00B105E8" w:rsidRDefault="00D44EAC" w:rsidP="00335F76">
            <w:pPr>
              <w:jc w:val="left"/>
              <w:rPr>
                <w:rFonts w:asciiTheme="majorBidi" w:hAnsiTheme="majorBidi" w:cstheme="majorBidi"/>
                <w:szCs w:val="22"/>
              </w:rPr>
            </w:pPr>
            <w:r>
              <w:rPr>
                <w:rFonts w:asciiTheme="majorBidi" w:hAnsiTheme="majorBidi" w:cstheme="majorBidi"/>
                <w:szCs w:val="22"/>
              </w:rPr>
              <w:t xml:space="preserve">6.7. Access and benefit-sharing </w:t>
            </w:r>
            <w:r w:rsidR="009B313F">
              <w:rPr>
                <w:rFonts w:asciiTheme="majorBidi" w:hAnsiTheme="majorBidi" w:cstheme="majorBidi"/>
                <w:szCs w:val="22"/>
              </w:rPr>
              <w:t>are</w:t>
            </w:r>
            <w:r>
              <w:rPr>
                <w:rFonts w:asciiTheme="majorBidi" w:hAnsiTheme="majorBidi" w:cstheme="majorBidi"/>
                <w:szCs w:val="22"/>
              </w:rPr>
              <w:t xml:space="preserve"> integrated into relevant post-secondary school and university curricula</w:t>
            </w:r>
          </w:p>
        </w:tc>
        <w:tc>
          <w:tcPr>
            <w:tcW w:w="9810" w:type="dxa"/>
            <w:shd w:val="clear" w:color="auto" w:fill="auto"/>
          </w:tcPr>
          <w:p w14:paraId="49860A92" w14:textId="7304B1F3" w:rsidR="00D44EAC" w:rsidRPr="00706E95" w:rsidRDefault="00D44EAC" w:rsidP="00840F80">
            <w:pPr>
              <w:pStyle w:val="ListParagraph"/>
              <w:numPr>
                <w:ilvl w:val="0"/>
                <w:numId w:val="43"/>
              </w:numPr>
              <w:ind w:left="345"/>
              <w:jc w:val="left"/>
              <w:rPr>
                <w:kern w:val="22"/>
                <w:szCs w:val="22"/>
              </w:rPr>
            </w:pPr>
            <w:r w:rsidRPr="00E27CFC">
              <w:rPr>
                <w:kern w:val="22"/>
                <w:szCs w:val="22"/>
              </w:rPr>
              <w:t>Develop and facilitate access and benefit-sharing programmes</w:t>
            </w:r>
            <w:r>
              <w:rPr>
                <w:kern w:val="22"/>
                <w:szCs w:val="22"/>
              </w:rPr>
              <w:t xml:space="preserve"> and</w:t>
            </w:r>
            <w:r w:rsidRPr="00E27CFC">
              <w:rPr>
                <w:kern w:val="22"/>
                <w:szCs w:val="22"/>
              </w:rPr>
              <w:t xml:space="preserve"> courses or integrate </w:t>
            </w:r>
            <w:r w:rsidR="009B313F">
              <w:rPr>
                <w:kern w:val="22"/>
                <w:szCs w:val="22"/>
              </w:rPr>
              <w:t xml:space="preserve">access and benefit-sharing </w:t>
            </w:r>
            <w:r w:rsidRPr="00E27CFC">
              <w:rPr>
                <w:kern w:val="22"/>
                <w:szCs w:val="22"/>
              </w:rPr>
              <w:t xml:space="preserve">issues into </w:t>
            </w:r>
            <w:r>
              <w:rPr>
                <w:kern w:val="22"/>
                <w:szCs w:val="22"/>
              </w:rPr>
              <w:t xml:space="preserve">relevant </w:t>
            </w:r>
            <w:r w:rsidRPr="00E27CFC">
              <w:rPr>
                <w:kern w:val="22"/>
                <w:szCs w:val="22"/>
              </w:rPr>
              <w:t xml:space="preserve">post-secondary school curricula, universities, and other formal and informal education programmes. </w:t>
            </w:r>
          </w:p>
        </w:tc>
      </w:tr>
    </w:tbl>
    <w:p w14:paraId="464F7B28" w14:textId="77777777" w:rsidR="00D44EAC" w:rsidRDefault="00D44EAC" w:rsidP="00D44EAC">
      <w:pPr>
        <w:jc w:val="center"/>
      </w:pPr>
    </w:p>
    <w:p w14:paraId="72348E56" w14:textId="77777777" w:rsidR="00D44EAC" w:rsidRPr="00C9161D" w:rsidRDefault="00D44EAC" w:rsidP="00D44EAC">
      <w:pPr>
        <w:jc w:val="center"/>
      </w:pPr>
      <w:r>
        <w:t>____________</w:t>
      </w:r>
    </w:p>
    <w:sectPr w:rsidR="00D44EAC" w:rsidRPr="00C9161D" w:rsidSect="00DE7A84">
      <w:footnotePr>
        <w:numRestart w:val="eachSect"/>
      </w:footnotePr>
      <w:pgSz w:w="15840" w:h="12240" w:orient="landscape"/>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5EC8A" w14:textId="77777777" w:rsidR="00DE7A84" w:rsidRDefault="00DE7A84" w:rsidP="00A96B21">
      <w:r>
        <w:separator/>
      </w:r>
    </w:p>
  </w:endnote>
  <w:endnote w:type="continuationSeparator" w:id="0">
    <w:p w14:paraId="42DCC3D9" w14:textId="77777777" w:rsidR="00DE7A84" w:rsidRDefault="00DE7A84" w:rsidP="00A96B21">
      <w:r>
        <w:continuationSeparator/>
      </w:r>
    </w:p>
  </w:endnote>
  <w:endnote w:type="continuationNotice" w:id="1">
    <w:p w14:paraId="2D5AEABF" w14:textId="77777777" w:rsidR="00DE7A84" w:rsidRDefault="00DE7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Univers">
    <w:charset w:val="00"/>
    <w:family w:val="swiss"/>
    <w:pitch w:val="variable"/>
    <w:sig w:usb0="80000287" w:usb1="00000000" w:usb2="00000000" w:usb3="00000000" w:csb0="0000000F" w:csb1="00000000"/>
  </w:font>
  <w:font w:name="Times New Roman Bold">
    <w:altName w:val="Times New Roman"/>
    <w:panose1 w:val="02020803070505020304"/>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Lucida Grande">
    <w:altName w:val="Segoe UI"/>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937B" w14:textId="05198AC4" w:rsidR="007533C5" w:rsidRDefault="00000000" w:rsidP="005F6D8C">
    <w:pPr>
      <w:pStyle w:val="Footer"/>
    </w:pPr>
    <w:sdt>
      <w:sdtPr>
        <w:id w:val="1280531004"/>
        <w:docPartObj>
          <w:docPartGallery w:val="Page Numbers (Top of Page)"/>
          <w:docPartUnique/>
        </w:docPartObj>
      </w:sdtPr>
      <w:sdtContent>
        <w:r w:rsidR="007533C5" w:rsidRPr="002B559C">
          <w:rPr>
            <w:sz w:val="20"/>
            <w:szCs w:val="20"/>
          </w:rPr>
          <w:fldChar w:fldCharType="begin"/>
        </w:r>
        <w:r w:rsidR="007533C5" w:rsidRPr="002B559C">
          <w:rPr>
            <w:sz w:val="20"/>
            <w:szCs w:val="20"/>
          </w:rPr>
          <w:instrText xml:space="preserve"> PAGE </w:instrText>
        </w:r>
        <w:r w:rsidR="007533C5" w:rsidRPr="002B559C">
          <w:rPr>
            <w:sz w:val="20"/>
            <w:szCs w:val="20"/>
          </w:rPr>
          <w:fldChar w:fldCharType="separate"/>
        </w:r>
        <w:r w:rsidR="007533C5">
          <w:rPr>
            <w:sz w:val="20"/>
            <w:szCs w:val="20"/>
          </w:rPr>
          <w:t>2</w:t>
        </w:r>
        <w:r w:rsidR="007533C5" w:rsidRPr="002B559C">
          <w:rPr>
            <w:sz w:val="20"/>
            <w:szCs w:val="20"/>
          </w:rPr>
          <w:fldChar w:fldCharType="end"/>
        </w:r>
        <w:r w:rsidR="007533C5" w:rsidRPr="002B559C">
          <w:rPr>
            <w:sz w:val="20"/>
            <w:szCs w:val="20"/>
          </w:rPr>
          <w:t>/</w:t>
        </w:r>
        <w:r w:rsidR="007533C5" w:rsidRPr="002B559C">
          <w:rPr>
            <w:sz w:val="20"/>
            <w:szCs w:val="20"/>
          </w:rPr>
          <w:fldChar w:fldCharType="begin"/>
        </w:r>
        <w:r w:rsidR="007533C5" w:rsidRPr="002B559C">
          <w:rPr>
            <w:sz w:val="20"/>
            <w:szCs w:val="20"/>
          </w:rPr>
          <w:instrText xml:space="preserve"> NUMPAGES  </w:instrText>
        </w:r>
        <w:r w:rsidR="007533C5" w:rsidRPr="002B559C">
          <w:rPr>
            <w:sz w:val="20"/>
            <w:szCs w:val="20"/>
          </w:rPr>
          <w:fldChar w:fldCharType="separate"/>
        </w:r>
        <w:r w:rsidR="007533C5">
          <w:rPr>
            <w:sz w:val="20"/>
            <w:szCs w:val="20"/>
          </w:rPr>
          <w:t>14</w:t>
        </w:r>
        <w:r w:rsidR="007533C5" w:rsidRPr="002B559C">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DF0A" w14:textId="77777777" w:rsidR="007533C5" w:rsidRDefault="00000000" w:rsidP="00821A56">
    <w:pPr>
      <w:pStyle w:val="Footer"/>
      <w:jc w:val="right"/>
    </w:pPr>
    <w:sdt>
      <w:sdtPr>
        <w:id w:val="401424127"/>
        <w:docPartObj>
          <w:docPartGallery w:val="Page Numbers (Top of Page)"/>
          <w:docPartUnique/>
        </w:docPartObj>
      </w:sdtPr>
      <w:sdtContent>
        <w:r w:rsidR="007533C5" w:rsidRPr="002B559C">
          <w:rPr>
            <w:sz w:val="20"/>
            <w:szCs w:val="20"/>
          </w:rPr>
          <w:fldChar w:fldCharType="begin"/>
        </w:r>
        <w:r w:rsidR="007533C5" w:rsidRPr="002B559C">
          <w:rPr>
            <w:sz w:val="20"/>
            <w:szCs w:val="20"/>
          </w:rPr>
          <w:instrText xml:space="preserve"> PAGE </w:instrText>
        </w:r>
        <w:r w:rsidR="007533C5" w:rsidRPr="002B559C">
          <w:rPr>
            <w:sz w:val="20"/>
            <w:szCs w:val="20"/>
          </w:rPr>
          <w:fldChar w:fldCharType="separate"/>
        </w:r>
        <w:r w:rsidR="007533C5">
          <w:rPr>
            <w:sz w:val="20"/>
            <w:szCs w:val="20"/>
          </w:rPr>
          <w:t>3</w:t>
        </w:r>
        <w:r w:rsidR="007533C5" w:rsidRPr="002B559C">
          <w:rPr>
            <w:sz w:val="20"/>
            <w:szCs w:val="20"/>
          </w:rPr>
          <w:fldChar w:fldCharType="end"/>
        </w:r>
        <w:r w:rsidR="007533C5" w:rsidRPr="002B559C">
          <w:rPr>
            <w:sz w:val="20"/>
            <w:szCs w:val="20"/>
          </w:rPr>
          <w:t>/</w:t>
        </w:r>
        <w:r w:rsidR="007533C5" w:rsidRPr="002B559C">
          <w:rPr>
            <w:sz w:val="20"/>
            <w:szCs w:val="20"/>
          </w:rPr>
          <w:fldChar w:fldCharType="begin"/>
        </w:r>
        <w:r w:rsidR="007533C5" w:rsidRPr="002B559C">
          <w:rPr>
            <w:sz w:val="20"/>
            <w:szCs w:val="20"/>
          </w:rPr>
          <w:instrText xml:space="preserve"> NUMPAGES  </w:instrText>
        </w:r>
        <w:r w:rsidR="007533C5" w:rsidRPr="002B559C">
          <w:rPr>
            <w:sz w:val="20"/>
            <w:szCs w:val="20"/>
          </w:rPr>
          <w:fldChar w:fldCharType="separate"/>
        </w:r>
        <w:r w:rsidR="007533C5">
          <w:rPr>
            <w:sz w:val="20"/>
            <w:szCs w:val="20"/>
          </w:rPr>
          <w:t>14</w:t>
        </w:r>
        <w:r w:rsidR="007533C5" w:rsidRPr="002B559C">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E7BA3" w14:textId="77777777" w:rsidR="00DE7A84" w:rsidRDefault="00DE7A84" w:rsidP="00A96B21">
      <w:r>
        <w:separator/>
      </w:r>
    </w:p>
  </w:footnote>
  <w:footnote w:type="continuationSeparator" w:id="0">
    <w:p w14:paraId="27300DDD" w14:textId="77777777" w:rsidR="00DE7A84" w:rsidRDefault="00DE7A84" w:rsidP="00A96B21">
      <w:r>
        <w:continuationSeparator/>
      </w:r>
    </w:p>
  </w:footnote>
  <w:footnote w:type="continuationNotice" w:id="1">
    <w:p w14:paraId="3A39403A" w14:textId="77777777" w:rsidR="00DE7A84" w:rsidRDefault="00DE7A84"/>
  </w:footnote>
  <w:footnote w:id="2">
    <w:p w14:paraId="7AA209FB" w14:textId="77777777" w:rsidR="007533C5" w:rsidRPr="00AF5844" w:rsidRDefault="007533C5" w:rsidP="00D71FFB">
      <w:pPr>
        <w:pStyle w:val="Footnote"/>
      </w:pPr>
      <w:r>
        <w:rPr>
          <w:rStyle w:val="FootnoteReference"/>
        </w:rPr>
        <w:t>*</w:t>
      </w:r>
      <w:r>
        <w:t xml:space="preserve"> </w:t>
      </w:r>
      <w:r w:rsidRPr="00AF5844">
        <w:t>CBD/SBI/4/1.</w:t>
      </w:r>
    </w:p>
  </w:footnote>
  <w:footnote w:id="3">
    <w:p w14:paraId="13F67049" w14:textId="0FFA39B4" w:rsidR="007533C5" w:rsidRPr="00137187" w:rsidRDefault="007533C5">
      <w:pPr>
        <w:pStyle w:val="FootnoteText"/>
        <w:rPr>
          <w:sz w:val="18"/>
          <w:szCs w:val="18"/>
          <w:lang w:val="en-US"/>
        </w:rPr>
      </w:pPr>
      <w:r w:rsidRPr="00137187">
        <w:rPr>
          <w:rStyle w:val="FootnoteReference"/>
          <w:sz w:val="18"/>
          <w:szCs w:val="18"/>
        </w:rPr>
        <w:footnoteRef/>
      </w:r>
      <w:r w:rsidRPr="00137187">
        <w:rPr>
          <w:sz w:val="18"/>
          <w:szCs w:val="18"/>
        </w:rPr>
        <w:t xml:space="preserve"> </w:t>
      </w:r>
      <w:r w:rsidRPr="00137187">
        <w:rPr>
          <w:sz w:val="18"/>
          <w:szCs w:val="18"/>
          <w:lang w:val="en-US"/>
        </w:rPr>
        <w:t>The strategic framework for capacity-building and development to support the effective implementation of the Nagoya Protocol is contained in annex I of decision NP-1/8.</w:t>
      </w:r>
    </w:p>
  </w:footnote>
  <w:footnote w:id="4">
    <w:p w14:paraId="0933DFAA" w14:textId="53F788D0" w:rsidR="007533C5" w:rsidRPr="00137187" w:rsidRDefault="007533C5">
      <w:pPr>
        <w:pStyle w:val="FootnoteText"/>
        <w:rPr>
          <w:sz w:val="18"/>
          <w:szCs w:val="18"/>
          <w:lang w:val="en-US"/>
        </w:rPr>
      </w:pPr>
      <w:r w:rsidRPr="00137187">
        <w:rPr>
          <w:rStyle w:val="FootnoteReference"/>
          <w:sz w:val="18"/>
          <w:szCs w:val="18"/>
        </w:rPr>
        <w:footnoteRef/>
      </w:r>
      <w:r w:rsidRPr="00137187">
        <w:rPr>
          <w:sz w:val="18"/>
          <w:szCs w:val="18"/>
        </w:rPr>
        <w:t xml:space="preserve"> </w:t>
      </w:r>
      <w:r w:rsidRPr="00137187">
        <w:rPr>
          <w:sz w:val="18"/>
          <w:szCs w:val="18"/>
          <w:lang w:val="en-US"/>
        </w:rPr>
        <w:t xml:space="preserve">Decision </w:t>
      </w:r>
      <w:hyperlink r:id="rId1" w:history="1">
        <w:r w:rsidRPr="00137187">
          <w:rPr>
            <w:rStyle w:val="Hyperlink"/>
            <w:sz w:val="18"/>
            <w:szCs w:val="18"/>
            <w:lang w:val="en-US"/>
          </w:rPr>
          <w:t>15/4</w:t>
        </w:r>
      </w:hyperlink>
      <w:r w:rsidR="00812B6C">
        <w:rPr>
          <w:rStyle w:val="Hyperlink"/>
          <w:sz w:val="18"/>
          <w:szCs w:val="18"/>
          <w:lang w:val="en-US"/>
        </w:rPr>
        <w:t>, annex</w:t>
      </w:r>
      <w:r w:rsidRPr="00137187">
        <w:rPr>
          <w:rStyle w:val="Hyperlink"/>
          <w:sz w:val="18"/>
          <w:szCs w:val="18"/>
          <w:lang w:val="en-US"/>
        </w:rPr>
        <w:t>.</w:t>
      </w:r>
    </w:p>
  </w:footnote>
  <w:footnote w:id="5">
    <w:p w14:paraId="0B962F75" w14:textId="5D376E9C" w:rsidR="007533C5" w:rsidRPr="00B65BFB" w:rsidRDefault="007533C5">
      <w:pPr>
        <w:pStyle w:val="FootnoteText"/>
        <w:rPr>
          <w:lang w:val="en-US"/>
        </w:rPr>
      </w:pPr>
      <w:r w:rsidRPr="00137187">
        <w:rPr>
          <w:rStyle w:val="FootnoteReference"/>
          <w:sz w:val="18"/>
          <w:szCs w:val="18"/>
        </w:rPr>
        <w:footnoteRef/>
      </w:r>
      <w:r w:rsidRPr="00137187">
        <w:rPr>
          <w:sz w:val="18"/>
          <w:szCs w:val="18"/>
        </w:rPr>
        <w:t xml:space="preserve"> </w:t>
      </w:r>
      <w:r w:rsidRPr="00137187">
        <w:rPr>
          <w:sz w:val="18"/>
          <w:szCs w:val="18"/>
          <w:lang w:val="en-US"/>
        </w:rPr>
        <w:t xml:space="preserve">Decision </w:t>
      </w:r>
      <w:hyperlink r:id="rId2" w:history="1">
        <w:r w:rsidRPr="00137187">
          <w:rPr>
            <w:rStyle w:val="Hyperlink"/>
            <w:sz w:val="18"/>
            <w:szCs w:val="18"/>
            <w:lang w:val="en-US"/>
          </w:rPr>
          <w:t>15/8</w:t>
        </w:r>
      </w:hyperlink>
      <w:r w:rsidRPr="00137187">
        <w:rPr>
          <w:sz w:val="18"/>
          <w:szCs w:val="18"/>
          <w:lang w:val="en-US"/>
        </w:rPr>
        <w:t>, annex I.</w:t>
      </w:r>
    </w:p>
  </w:footnote>
  <w:footnote w:id="6">
    <w:p w14:paraId="2895D755" w14:textId="4A5718CD" w:rsidR="00E44B28" w:rsidRPr="00AA7DB8" w:rsidRDefault="00E44B28">
      <w:pPr>
        <w:pStyle w:val="FootnoteText"/>
        <w:rPr>
          <w:lang w:val="en-US"/>
        </w:rPr>
      </w:pPr>
      <w:r>
        <w:rPr>
          <w:rStyle w:val="FootnoteReference"/>
        </w:rPr>
        <w:footnoteRef/>
      </w:r>
      <w:r>
        <w:t xml:space="preserve"> </w:t>
      </w:r>
      <w:r w:rsidRPr="00C1322B">
        <w:rPr>
          <w:lang w:val="en-US"/>
        </w:rPr>
        <w:t>The meeting documentation is a</w:t>
      </w:r>
      <w:r>
        <w:rPr>
          <w:lang w:val="en-US"/>
        </w:rPr>
        <w:t xml:space="preserve">vailable at </w:t>
      </w:r>
      <w:hyperlink r:id="rId3" w:history="1">
        <w:r w:rsidRPr="005011C3">
          <w:rPr>
            <w:rStyle w:val="Hyperlink"/>
            <w:lang w:val="en-US"/>
          </w:rPr>
          <w:t>www.cbd.int/meetings/NP-CB-IAC-2023-01</w:t>
        </w:r>
      </w:hyperlink>
      <w:r>
        <w:rPr>
          <w:lang w:val="en-US"/>
        </w:rPr>
        <w:t>.</w:t>
      </w:r>
    </w:p>
  </w:footnote>
  <w:footnote w:id="7">
    <w:p w14:paraId="1DB25676" w14:textId="0E247CAE" w:rsidR="007533C5" w:rsidRPr="00393A2E" w:rsidRDefault="007533C5">
      <w:pPr>
        <w:pStyle w:val="FootnoteText"/>
      </w:pPr>
      <w:r>
        <w:rPr>
          <w:rStyle w:val="FootnoteReference"/>
        </w:rPr>
        <w:footnoteRef/>
      </w:r>
      <w:r>
        <w:t xml:space="preserve"> </w:t>
      </w:r>
      <w:r>
        <w:rPr>
          <w:lang w:val="en-US"/>
        </w:rPr>
        <w:t>The webinar</w:t>
      </w:r>
      <w:r w:rsidR="00E37FB5">
        <w:rPr>
          <w:lang w:val="en-US"/>
        </w:rPr>
        <w:t xml:space="preserve">, </w:t>
      </w:r>
      <w:r w:rsidR="00EF511C">
        <w:rPr>
          <w:lang w:val="en-US"/>
        </w:rPr>
        <w:t>convened for the presentation of</w:t>
      </w:r>
      <w:r w:rsidRPr="00393A2E">
        <w:rPr>
          <w:lang w:val="en-US"/>
        </w:rPr>
        <w:t xml:space="preserve"> relevant background information</w:t>
      </w:r>
      <w:r w:rsidR="00EF511C">
        <w:rPr>
          <w:lang w:val="en-US"/>
        </w:rPr>
        <w:t>,</w:t>
      </w:r>
      <w:r>
        <w:rPr>
          <w:lang w:val="en-US"/>
        </w:rPr>
        <w:t xml:space="preserve"> took place on 9 May 2023</w:t>
      </w:r>
      <w:r w:rsidR="00253E39">
        <w:rPr>
          <w:lang w:val="en-US"/>
        </w:rPr>
        <w:t>.</w:t>
      </w:r>
      <w:r>
        <w:rPr>
          <w:lang w:val="en-US"/>
        </w:rPr>
        <w:t xml:space="preserve"> </w:t>
      </w:r>
      <w:r w:rsidR="00253E39">
        <w:rPr>
          <w:lang w:val="en-US"/>
        </w:rPr>
        <w:t>T</w:t>
      </w:r>
      <w:r>
        <w:rPr>
          <w:lang w:val="en-US"/>
        </w:rPr>
        <w:t>wo online forums were convened</w:t>
      </w:r>
      <w:r w:rsidR="006F37D2">
        <w:rPr>
          <w:lang w:val="en-US"/>
        </w:rPr>
        <w:t xml:space="preserve"> in 2023</w:t>
      </w:r>
      <w:r w:rsidR="006E4804">
        <w:rPr>
          <w:lang w:val="en-US"/>
        </w:rPr>
        <w:t>,</w:t>
      </w:r>
      <w:r>
        <w:rPr>
          <w:lang w:val="en-US"/>
        </w:rPr>
        <w:t xml:space="preserve"> from 10 to 22 May and from 1 to 31 October</w:t>
      </w:r>
      <w:r w:rsidR="00BB4D9C">
        <w:rPr>
          <w:lang w:val="en-US"/>
        </w:rPr>
        <w:t>,</w:t>
      </w:r>
      <w:r>
        <w:rPr>
          <w:lang w:val="en-US"/>
        </w:rPr>
        <w:t xml:space="preserve"> on the Access and Benefit-sharing Clearing-House </w:t>
      </w:r>
      <w:r w:rsidR="00E41ABD">
        <w:rPr>
          <w:lang w:val="en-US"/>
        </w:rPr>
        <w:t xml:space="preserve">for the purpose of </w:t>
      </w:r>
      <w:r>
        <w:rPr>
          <w:lang w:val="en-US"/>
        </w:rPr>
        <w:t>collect</w:t>
      </w:r>
      <w:r w:rsidR="00E41ABD">
        <w:rPr>
          <w:lang w:val="en-US"/>
        </w:rPr>
        <w:t>ing</w:t>
      </w:r>
      <w:r>
        <w:rPr>
          <w:lang w:val="en-US"/>
        </w:rPr>
        <w:t xml:space="preserve"> comments and feedback on the draft </w:t>
      </w:r>
      <w:r w:rsidR="002660B7">
        <w:rPr>
          <w:lang w:val="en-US"/>
        </w:rPr>
        <w:t>a</w:t>
      </w:r>
      <w:r>
        <w:rPr>
          <w:lang w:val="en-US"/>
        </w:rPr>
        <w:t xml:space="preserve">ction </w:t>
      </w:r>
      <w:r w:rsidR="002660B7">
        <w:rPr>
          <w:lang w:val="en-US"/>
        </w:rPr>
        <w:t>p</w:t>
      </w:r>
      <w:r>
        <w:rPr>
          <w:lang w:val="en-US"/>
        </w:rPr>
        <w:t>lan.</w:t>
      </w:r>
    </w:p>
  </w:footnote>
  <w:footnote w:id="8">
    <w:p w14:paraId="158E499D" w14:textId="6E30391C" w:rsidR="00096E25" w:rsidRPr="00AA7DB8" w:rsidRDefault="00096E25">
      <w:pPr>
        <w:pStyle w:val="FootnoteText"/>
        <w:rPr>
          <w:lang w:val="en-US"/>
        </w:rPr>
      </w:pPr>
      <w:r>
        <w:rPr>
          <w:rStyle w:val="FootnoteReference"/>
        </w:rPr>
        <w:footnoteRef/>
      </w:r>
      <w:r>
        <w:t xml:space="preserve"> D</w:t>
      </w:r>
      <w:r w:rsidRPr="00096E25">
        <w:t>ocument CBD/NP/CB-IAC/2023/1/2</w:t>
      </w:r>
      <w:r>
        <w:t>.</w:t>
      </w:r>
    </w:p>
  </w:footnote>
  <w:footnote w:id="9">
    <w:p w14:paraId="53A85A39" w14:textId="6988C333" w:rsidR="007533C5" w:rsidRPr="00987D5F" w:rsidRDefault="007533C5">
      <w:pPr>
        <w:pStyle w:val="FootnoteText"/>
        <w:rPr>
          <w:lang w:val="fr-FR"/>
        </w:rPr>
      </w:pPr>
      <w:r>
        <w:rPr>
          <w:rStyle w:val="FootnoteReference"/>
        </w:rPr>
        <w:footnoteRef/>
      </w:r>
      <w:r w:rsidRPr="00987D5F">
        <w:rPr>
          <w:lang w:val="fr-FR"/>
        </w:rPr>
        <w:t xml:space="preserve"> </w:t>
      </w:r>
      <w:r>
        <w:rPr>
          <w:lang w:val="fr-FR"/>
        </w:rPr>
        <w:t>D</w:t>
      </w:r>
      <w:r w:rsidRPr="00987D5F">
        <w:rPr>
          <w:lang w:val="fr-FR"/>
        </w:rPr>
        <w:t>ocument</w:t>
      </w:r>
      <w:r>
        <w:rPr>
          <w:lang w:val="fr-FR"/>
        </w:rPr>
        <w:t xml:space="preserve"> </w:t>
      </w:r>
      <w:hyperlink r:id="rId4" w:history="1">
        <w:r w:rsidRPr="00B026F3">
          <w:rPr>
            <w:rStyle w:val="Hyperlink"/>
            <w:lang w:val="fr-FR"/>
          </w:rPr>
          <w:t>CBD/NP/CB</w:t>
        </w:r>
        <w:r w:rsidR="007E54D8">
          <w:rPr>
            <w:rStyle w:val="Hyperlink"/>
            <w:lang w:val="fr-FR"/>
          </w:rPr>
          <w:t>-</w:t>
        </w:r>
        <w:r w:rsidRPr="00B026F3">
          <w:rPr>
            <w:rStyle w:val="Hyperlink"/>
            <w:lang w:val="fr-FR"/>
          </w:rPr>
          <w:t>IAC/2023/1/3</w:t>
        </w:r>
      </w:hyperlink>
      <w:r>
        <w:rPr>
          <w:lang w:val="fr-FR"/>
        </w:rPr>
        <w:t>.</w:t>
      </w:r>
    </w:p>
  </w:footnote>
  <w:footnote w:id="10">
    <w:p w14:paraId="6313C72D" w14:textId="3EB5663A" w:rsidR="007533C5" w:rsidRPr="00C80EFB" w:rsidRDefault="007533C5">
      <w:pPr>
        <w:pStyle w:val="FootnoteText"/>
        <w:rPr>
          <w:lang w:val="en-US"/>
        </w:rPr>
      </w:pPr>
      <w:r>
        <w:rPr>
          <w:rStyle w:val="FootnoteReference"/>
        </w:rPr>
        <w:footnoteRef/>
      </w:r>
      <w:r w:rsidRPr="00C80EFB">
        <w:rPr>
          <w:lang w:val="en-US"/>
        </w:rPr>
        <w:t xml:space="preserve"> The evaluation of the stra</w:t>
      </w:r>
      <w:r>
        <w:rPr>
          <w:lang w:val="en-US"/>
        </w:rPr>
        <w:t xml:space="preserve">tegic framework for capacity-building and development to support the effective implementation </w:t>
      </w:r>
      <w:r w:rsidR="00E510DA">
        <w:rPr>
          <w:lang w:val="en-US"/>
        </w:rPr>
        <w:t xml:space="preserve">of the Nagoya Protocol </w:t>
      </w:r>
      <w:r>
        <w:rPr>
          <w:lang w:val="en-US"/>
        </w:rPr>
        <w:t xml:space="preserve">is contained in document </w:t>
      </w:r>
      <w:hyperlink r:id="rId5" w:history="1">
        <w:r w:rsidRPr="00135DC5">
          <w:rPr>
            <w:rStyle w:val="Hyperlink"/>
            <w:lang w:val="en-US"/>
          </w:rPr>
          <w:t>CBD/SBI/3/16</w:t>
        </w:r>
      </w:hyperlink>
      <w:r>
        <w:rPr>
          <w:lang w:val="en-US"/>
        </w:rPr>
        <w:t xml:space="preserve">. The full evaluation report </w:t>
      </w:r>
      <w:r w:rsidR="00005651">
        <w:rPr>
          <w:lang w:val="en-US"/>
        </w:rPr>
        <w:t>has been</w:t>
      </w:r>
      <w:r>
        <w:rPr>
          <w:lang w:val="en-US"/>
        </w:rPr>
        <w:t xml:space="preserve"> made available as d</w:t>
      </w:r>
      <w:r w:rsidRPr="00C80EFB">
        <w:rPr>
          <w:lang w:val="en-US"/>
        </w:rPr>
        <w:t xml:space="preserve">ocument </w:t>
      </w:r>
      <w:hyperlink r:id="rId6" w:history="1">
        <w:r w:rsidRPr="00C80EFB">
          <w:rPr>
            <w:rStyle w:val="Hyperlink"/>
            <w:lang w:val="en-US"/>
          </w:rPr>
          <w:t>CBD/SBI/3/INF/1</w:t>
        </w:r>
      </w:hyperlink>
      <w:r w:rsidRPr="00C80EFB">
        <w:rPr>
          <w:lang w:val="en-US"/>
        </w:rPr>
        <w:t>.</w:t>
      </w:r>
    </w:p>
  </w:footnote>
  <w:footnote w:id="11">
    <w:p w14:paraId="50A564B9" w14:textId="501F8BB9" w:rsidR="007533C5" w:rsidRPr="00137187" w:rsidRDefault="007533C5">
      <w:pPr>
        <w:pStyle w:val="FootnoteText"/>
        <w:rPr>
          <w:sz w:val="18"/>
          <w:szCs w:val="18"/>
          <w:lang w:val="en-US"/>
        </w:rPr>
      </w:pPr>
      <w:r>
        <w:rPr>
          <w:rStyle w:val="FootnoteReference"/>
        </w:rPr>
        <w:footnoteRef/>
      </w:r>
      <w:r>
        <w:t xml:space="preserve"> </w:t>
      </w:r>
      <w:r w:rsidRPr="00137187">
        <w:rPr>
          <w:sz w:val="18"/>
          <w:szCs w:val="18"/>
        </w:rPr>
        <w:t xml:space="preserve">Information on the targets is available at </w:t>
      </w:r>
      <w:hyperlink r:id="rId7" w:history="1">
        <w:r w:rsidRPr="00137187">
          <w:rPr>
            <w:rStyle w:val="Hyperlink"/>
            <w:sz w:val="18"/>
            <w:szCs w:val="18"/>
          </w:rPr>
          <w:t>www.cbd.int/gbf/targets/</w:t>
        </w:r>
      </w:hyperlink>
      <w:r w:rsidR="00566686">
        <w:rPr>
          <w:rStyle w:val="Hyperlink"/>
          <w:sz w:val="18"/>
          <w:szCs w:val="18"/>
        </w:rPr>
        <w:t>.</w:t>
      </w:r>
    </w:p>
  </w:footnote>
  <w:footnote w:id="12">
    <w:p w14:paraId="1460FF13" w14:textId="4475063D" w:rsidR="007533C5" w:rsidRPr="00137187" w:rsidRDefault="007533C5" w:rsidP="00EE2593">
      <w:pPr>
        <w:pStyle w:val="FootnoteText"/>
        <w:rPr>
          <w:sz w:val="18"/>
          <w:szCs w:val="18"/>
          <w:lang w:val="en-US"/>
        </w:rPr>
      </w:pPr>
      <w:r w:rsidRPr="00137187">
        <w:rPr>
          <w:rStyle w:val="FootnoteReference"/>
          <w:sz w:val="18"/>
          <w:szCs w:val="18"/>
        </w:rPr>
        <w:footnoteRef/>
      </w:r>
      <w:r w:rsidRPr="00137187">
        <w:rPr>
          <w:sz w:val="18"/>
          <w:szCs w:val="18"/>
        </w:rPr>
        <w:t xml:space="preserve"> Target 15.6 of the </w:t>
      </w:r>
      <w:r w:rsidR="009D4E15">
        <w:rPr>
          <w:sz w:val="18"/>
          <w:szCs w:val="18"/>
        </w:rPr>
        <w:t xml:space="preserve">Sustainable Development Goals, as </w:t>
      </w:r>
      <w:r w:rsidR="00C85026">
        <w:rPr>
          <w:sz w:val="18"/>
          <w:szCs w:val="18"/>
        </w:rPr>
        <w:t xml:space="preserve">set out in the </w:t>
      </w:r>
      <w:r w:rsidRPr="00137187">
        <w:rPr>
          <w:sz w:val="18"/>
          <w:szCs w:val="18"/>
        </w:rPr>
        <w:t>2030 Agenda for Sustainable Development</w:t>
      </w:r>
      <w:r w:rsidR="00C85026">
        <w:rPr>
          <w:sz w:val="18"/>
          <w:szCs w:val="18"/>
        </w:rPr>
        <w:t>,</w:t>
      </w:r>
      <w:r w:rsidRPr="00137187">
        <w:rPr>
          <w:sz w:val="18"/>
          <w:szCs w:val="18"/>
        </w:rPr>
        <w:t xml:space="preserve"> is</w:t>
      </w:r>
      <w:r w:rsidR="00A17EF2">
        <w:rPr>
          <w:sz w:val="18"/>
          <w:szCs w:val="18"/>
        </w:rPr>
        <w:t>:</w:t>
      </w:r>
      <w:r w:rsidRPr="00137187">
        <w:rPr>
          <w:sz w:val="18"/>
          <w:szCs w:val="18"/>
        </w:rPr>
        <w:t xml:space="preserve"> “Promote fair and equitable sharing of the benefits arising from the utilization of genetic resources and promote appropriate access to such resources, as internationally agreed.”</w:t>
      </w:r>
    </w:p>
  </w:footnote>
  <w:footnote w:id="13">
    <w:p w14:paraId="608D0D63" w14:textId="45D51C77" w:rsidR="007533C5" w:rsidRPr="00EF420D" w:rsidRDefault="007533C5" w:rsidP="0055035B">
      <w:pPr>
        <w:pStyle w:val="FootnoteText"/>
        <w:jc w:val="left"/>
        <w:rPr>
          <w:lang w:val="en-US"/>
        </w:rPr>
      </w:pPr>
      <w:r w:rsidRPr="00137187">
        <w:rPr>
          <w:rStyle w:val="FootnoteReference"/>
          <w:sz w:val="18"/>
          <w:szCs w:val="18"/>
        </w:rPr>
        <w:footnoteRef/>
      </w:r>
      <w:r w:rsidRPr="00137187">
        <w:rPr>
          <w:sz w:val="18"/>
          <w:szCs w:val="18"/>
        </w:rPr>
        <w:t xml:space="preserve"> A theory of change is a comprehensive description and illustration of how and why a desired change is expected to </w:t>
      </w:r>
      <w:r w:rsidR="002B7F94">
        <w:rPr>
          <w:sz w:val="18"/>
          <w:szCs w:val="18"/>
        </w:rPr>
        <w:t>occur</w:t>
      </w:r>
      <w:r w:rsidRPr="00137187">
        <w:rPr>
          <w:sz w:val="18"/>
          <w:szCs w:val="18"/>
        </w:rPr>
        <w:t xml:space="preserve"> in a particular context (see United Nations Development Group, “Theory of change</w:t>
      </w:r>
      <w:r w:rsidR="005D225D">
        <w:rPr>
          <w:sz w:val="18"/>
          <w:szCs w:val="18"/>
        </w:rPr>
        <w:t>:</w:t>
      </w:r>
      <w:r w:rsidRPr="00137187">
        <w:rPr>
          <w:sz w:val="18"/>
          <w:szCs w:val="18"/>
        </w:rPr>
        <w:t xml:space="preserve"> </w:t>
      </w:r>
      <w:r w:rsidR="005D225D">
        <w:rPr>
          <w:sz w:val="18"/>
          <w:szCs w:val="18"/>
        </w:rPr>
        <w:t>UNDAF (</w:t>
      </w:r>
      <w:r w:rsidRPr="00137187">
        <w:rPr>
          <w:sz w:val="18"/>
          <w:szCs w:val="18"/>
        </w:rPr>
        <w:t>United Nations Development Assistance Framework</w:t>
      </w:r>
      <w:r w:rsidR="005D225D">
        <w:rPr>
          <w:sz w:val="18"/>
          <w:szCs w:val="18"/>
        </w:rPr>
        <w:t>)</w:t>
      </w:r>
      <w:r w:rsidRPr="00137187">
        <w:rPr>
          <w:sz w:val="18"/>
          <w:szCs w:val="18"/>
        </w:rPr>
        <w:t xml:space="preserve"> companion guidance</w:t>
      </w:r>
      <w:r w:rsidR="00236985">
        <w:rPr>
          <w:sz w:val="18"/>
          <w:szCs w:val="18"/>
        </w:rPr>
        <w:t>”</w:t>
      </w:r>
      <w:r w:rsidRPr="00137187">
        <w:rPr>
          <w:sz w:val="18"/>
          <w:szCs w:val="18"/>
        </w:rPr>
        <w:t xml:space="preserve">, available at </w:t>
      </w:r>
      <w:hyperlink r:id="rId8" w:history="1">
        <w:r w:rsidRPr="00137187">
          <w:rPr>
            <w:rStyle w:val="Hyperlink"/>
            <w:sz w:val="18"/>
            <w:szCs w:val="18"/>
          </w:rPr>
          <w:t>https://unsdg.un.org/sites/default/files/UNDG-UNDAF-Companion-Pieces-7-Theory-of-Change.pdf</w:t>
        </w:r>
      </w:hyperlink>
      <w:r w:rsidRPr="00137187">
        <w:rPr>
          <w:sz w:val="18"/>
          <w:szCs w:val="18"/>
        </w:rPr>
        <w:t>).</w:t>
      </w:r>
    </w:p>
  </w:footnote>
  <w:footnote w:id="14">
    <w:p w14:paraId="7382AF39" w14:textId="1BB1D2FB" w:rsidR="007533C5" w:rsidRPr="00137187" w:rsidRDefault="007533C5">
      <w:pPr>
        <w:pStyle w:val="FootnoteText"/>
        <w:rPr>
          <w:sz w:val="18"/>
          <w:szCs w:val="18"/>
          <w:lang w:val="es-ES"/>
        </w:rPr>
      </w:pPr>
      <w:r>
        <w:rPr>
          <w:rStyle w:val="FootnoteReference"/>
        </w:rPr>
        <w:footnoteRef/>
      </w:r>
      <w:r w:rsidRPr="00A338DF">
        <w:rPr>
          <w:lang w:val="es-ES"/>
        </w:rPr>
        <w:t xml:space="preserve"> </w:t>
      </w:r>
      <w:r w:rsidR="00C97557">
        <w:rPr>
          <w:lang w:val="es-ES"/>
        </w:rPr>
        <w:t xml:space="preserve">See </w:t>
      </w:r>
      <w:r w:rsidR="00C97557">
        <w:rPr>
          <w:sz w:val="18"/>
          <w:szCs w:val="18"/>
          <w:lang w:val="es-ES"/>
        </w:rPr>
        <w:t>d</w:t>
      </w:r>
      <w:r w:rsidRPr="00137187">
        <w:rPr>
          <w:sz w:val="18"/>
          <w:szCs w:val="18"/>
          <w:lang w:val="es-ES"/>
        </w:rPr>
        <w:t>ecision 15/8.</w:t>
      </w:r>
    </w:p>
  </w:footnote>
  <w:footnote w:id="15">
    <w:p w14:paraId="0F3416F0" w14:textId="5914218D" w:rsidR="007533C5" w:rsidRPr="00A338DF" w:rsidRDefault="007533C5">
      <w:pPr>
        <w:pStyle w:val="FootnoteText"/>
        <w:rPr>
          <w:lang w:val="es-ES"/>
        </w:rPr>
      </w:pPr>
      <w:r w:rsidRPr="00137187">
        <w:rPr>
          <w:rStyle w:val="FootnoteReference"/>
          <w:sz w:val="18"/>
          <w:szCs w:val="18"/>
        </w:rPr>
        <w:footnoteRef/>
      </w:r>
      <w:r w:rsidRPr="00137187">
        <w:rPr>
          <w:sz w:val="18"/>
          <w:szCs w:val="18"/>
          <w:lang w:val="es-ES"/>
        </w:rPr>
        <w:t xml:space="preserve"> Decision NP-1/9.</w:t>
      </w:r>
    </w:p>
  </w:footnote>
  <w:footnote w:id="16">
    <w:p w14:paraId="742D0A1C" w14:textId="46EC46AC" w:rsidR="00547C23" w:rsidRPr="006D3892" w:rsidRDefault="00547C23">
      <w:pPr>
        <w:pStyle w:val="FootnoteText"/>
        <w:rPr>
          <w:sz w:val="18"/>
          <w:szCs w:val="18"/>
          <w:lang w:val="en-US"/>
        </w:rPr>
      </w:pPr>
      <w:r w:rsidRPr="006D3892">
        <w:rPr>
          <w:rStyle w:val="FootnoteReference"/>
          <w:sz w:val="18"/>
          <w:szCs w:val="18"/>
        </w:rPr>
        <w:footnoteRef/>
      </w:r>
      <w:r w:rsidRPr="006D3892">
        <w:rPr>
          <w:sz w:val="18"/>
          <w:szCs w:val="18"/>
        </w:rPr>
        <w:t xml:space="preserve"> Decision</w:t>
      </w:r>
      <w:r w:rsidR="00127DA3" w:rsidRPr="006D3892">
        <w:rPr>
          <w:sz w:val="18"/>
          <w:szCs w:val="18"/>
        </w:rPr>
        <w:t xml:space="preserve"> 15/7, annex I.</w:t>
      </w:r>
    </w:p>
  </w:footnote>
  <w:footnote w:id="17">
    <w:p w14:paraId="4AC61D17" w14:textId="77777777" w:rsidR="007533C5" w:rsidRPr="00137187" w:rsidRDefault="007533C5" w:rsidP="008142AC">
      <w:pPr>
        <w:pStyle w:val="FootnoteText"/>
        <w:rPr>
          <w:sz w:val="18"/>
          <w:szCs w:val="18"/>
          <w:lang w:val="es-ES"/>
        </w:rPr>
      </w:pPr>
      <w:r w:rsidRPr="006D3892">
        <w:rPr>
          <w:rStyle w:val="FootnoteReference"/>
          <w:sz w:val="18"/>
          <w:szCs w:val="18"/>
        </w:rPr>
        <w:footnoteRef/>
      </w:r>
      <w:r w:rsidRPr="006D3892">
        <w:rPr>
          <w:sz w:val="18"/>
          <w:szCs w:val="18"/>
          <w:lang w:val="es-ES"/>
        </w:rPr>
        <w:t xml:space="preserve"> Decision 15/7, para. 43.</w:t>
      </w:r>
    </w:p>
  </w:footnote>
  <w:footnote w:id="18">
    <w:p w14:paraId="4A5AB710" w14:textId="69158A19" w:rsidR="007533C5" w:rsidRPr="00A338DF" w:rsidRDefault="007533C5">
      <w:pPr>
        <w:pStyle w:val="FootnoteText"/>
        <w:rPr>
          <w:lang w:val="es-ES"/>
        </w:rPr>
      </w:pPr>
      <w:r w:rsidRPr="00137187">
        <w:rPr>
          <w:rStyle w:val="FootnoteReference"/>
          <w:sz w:val="18"/>
          <w:szCs w:val="18"/>
        </w:rPr>
        <w:footnoteRef/>
      </w:r>
      <w:r w:rsidRPr="00137187">
        <w:rPr>
          <w:sz w:val="18"/>
          <w:szCs w:val="18"/>
          <w:lang w:val="es-ES"/>
        </w:rPr>
        <w:t xml:space="preserve"> Decision 15/6, para. 6.</w:t>
      </w:r>
    </w:p>
  </w:footnote>
  <w:footnote w:id="19">
    <w:p w14:paraId="4603C2B8" w14:textId="620F058D" w:rsidR="007533C5" w:rsidRPr="00A338DF" w:rsidRDefault="007533C5" w:rsidP="00753A60">
      <w:pPr>
        <w:pStyle w:val="FootnoteText"/>
        <w:rPr>
          <w:lang w:val="es-ES"/>
        </w:rPr>
      </w:pPr>
      <w:r>
        <w:rPr>
          <w:rStyle w:val="FootnoteReference"/>
        </w:rPr>
        <w:footnoteRef/>
      </w:r>
      <w:r w:rsidRPr="00A338DF">
        <w:rPr>
          <w:lang w:val="es-ES"/>
        </w:rPr>
        <w:t xml:space="preserve"> </w:t>
      </w:r>
      <w:hyperlink r:id="rId9" w:history="1">
        <w:r w:rsidRPr="00A338DF">
          <w:rPr>
            <w:rStyle w:val="Hyperlink"/>
            <w:snapToGrid w:val="0"/>
            <w:kern w:val="18"/>
            <w:szCs w:val="22"/>
            <w:lang w:val="es-ES"/>
          </w:rPr>
          <w:t>CBD/NP/CB-IAC/2023/1/3</w:t>
        </w:r>
      </w:hyperlink>
      <w:r w:rsidRPr="00A338DF">
        <w:rPr>
          <w:snapToGrid w:val="0"/>
          <w:kern w:val="18"/>
          <w:szCs w:val="22"/>
          <w:lang w:val="es-ES"/>
        </w:rPr>
        <w:t>, para. 69.</w:t>
      </w:r>
    </w:p>
  </w:footnote>
  <w:footnote w:id="20">
    <w:p w14:paraId="75CFE03A" w14:textId="7554CF5B" w:rsidR="007533C5" w:rsidRPr="00A338DF" w:rsidRDefault="007533C5" w:rsidP="00392D6D">
      <w:pPr>
        <w:pStyle w:val="FootnoteText"/>
        <w:rPr>
          <w:lang w:val="fr-FR"/>
        </w:rPr>
      </w:pPr>
      <w:r>
        <w:rPr>
          <w:rStyle w:val="FootnoteReference"/>
        </w:rPr>
        <w:footnoteRef/>
      </w:r>
      <w:r w:rsidRPr="00A338DF">
        <w:rPr>
          <w:lang w:val="fr-FR"/>
        </w:rPr>
        <w:t xml:space="preserve"> </w:t>
      </w:r>
      <w:hyperlink r:id="rId10" w:history="1">
        <w:r w:rsidRPr="00137187">
          <w:rPr>
            <w:rStyle w:val="Hyperlink"/>
            <w:sz w:val="18"/>
            <w:szCs w:val="18"/>
            <w:lang w:val="fr-FR"/>
          </w:rPr>
          <w:t>CBD/NP/CB-IAC/2023/1/3</w:t>
        </w:r>
      </w:hyperlink>
      <w:r w:rsidRPr="00137187">
        <w:rPr>
          <w:sz w:val="18"/>
          <w:szCs w:val="18"/>
          <w:lang w:val="fr-FR"/>
        </w:rPr>
        <w:t>.</w:t>
      </w:r>
    </w:p>
  </w:footnote>
  <w:footnote w:id="21">
    <w:p w14:paraId="19A859DB" w14:textId="0FF7A12E" w:rsidR="007533C5" w:rsidRPr="00137187" w:rsidRDefault="007533C5">
      <w:pPr>
        <w:pStyle w:val="FootnoteText"/>
        <w:rPr>
          <w:sz w:val="18"/>
          <w:szCs w:val="18"/>
          <w:lang w:val="en-US"/>
        </w:rPr>
      </w:pPr>
      <w:r>
        <w:rPr>
          <w:rStyle w:val="FootnoteReference"/>
        </w:rPr>
        <w:footnoteRef/>
      </w:r>
      <w:r w:rsidRPr="00A338DF">
        <w:rPr>
          <w:lang w:val="en-US"/>
        </w:rPr>
        <w:t xml:space="preserve"> </w:t>
      </w:r>
      <w:r w:rsidRPr="00137187">
        <w:rPr>
          <w:sz w:val="18"/>
          <w:szCs w:val="18"/>
          <w:lang w:val="en-US"/>
        </w:rPr>
        <w:t xml:space="preserve">The </w:t>
      </w:r>
      <w:hyperlink r:id="rId11" w:history="1">
        <w:r w:rsidRPr="00137187">
          <w:rPr>
            <w:rStyle w:val="Hyperlink"/>
            <w:sz w:val="18"/>
            <w:szCs w:val="18"/>
            <w:lang w:val="en-US"/>
          </w:rPr>
          <w:t>CEPA Toolkit</w:t>
        </w:r>
      </w:hyperlink>
      <w:r w:rsidRPr="00137187">
        <w:rPr>
          <w:sz w:val="18"/>
          <w:szCs w:val="18"/>
          <w:lang w:val="en-US"/>
        </w:rPr>
        <w:t xml:space="preserve"> is available in the </w:t>
      </w:r>
      <w:r w:rsidR="002161D6">
        <w:rPr>
          <w:sz w:val="18"/>
          <w:szCs w:val="18"/>
          <w:lang w:val="en-US"/>
        </w:rPr>
        <w:t xml:space="preserve">six </w:t>
      </w:r>
      <w:r w:rsidRPr="00137187">
        <w:rPr>
          <w:sz w:val="18"/>
          <w:szCs w:val="18"/>
          <w:lang w:val="en-US"/>
        </w:rPr>
        <w:t xml:space="preserve"> </w:t>
      </w:r>
      <w:r w:rsidR="002161D6">
        <w:rPr>
          <w:sz w:val="18"/>
          <w:szCs w:val="18"/>
          <w:lang w:val="en-US"/>
        </w:rPr>
        <w:t xml:space="preserve">official </w:t>
      </w:r>
      <w:r w:rsidRPr="00137187">
        <w:rPr>
          <w:sz w:val="18"/>
          <w:szCs w:val="18"/>
          <w:lang w:val="en-US"/>
        </w:rPr>
        <w:t>languages</w:t>
      </w:r>
      <w:r w:rsidR="002161D6">
        <w:rPr>
          <w:sz w:val="18"/>
          <w:szCs w:val="18"/>
          <w:lang w:val="en-US"/>
        </w:rPr>
        <w:t xml:space="preserve"> of the United Nations</w:t>
      </w:r>
      <w:r w:rsidRPr="00137187">
        <w:rPr>
          <w:sz w:val="18"/>
          <w:szCs w:val="18"/>
          <w:lang w:val="en-US"/>
        </w:rPr>
        <w:t>.</w:t>
      </w:r>
    </w:p>
  </w:footnote>
  <w:footnote w:id="22">
    <w:p w14:paraId="08B4159C" w14:textId="6E9B1C43" w:rsidR="007533C5" w:rsidRPr="00AA5A01" w:rsidRDefault="007533C5">
      <w:pPr>
        <w:pStyle w:val="FootnoteText"/>
        <w:rPr>
          <w:lang w:val="en-US"/>
        </w:rPr>
      </w:pPr>
      <w:r w:rsidRPr="00137187">
        <w:rPr>
          <w:rStyle w:val="FootnoteReference"/>
          <w:sz w:val="18"/>
          <w:szCs w:val="18"/>
        </w:rPr>
        <w:footnoteRef/>
      </w:r>
      <w:r w:rsidRPr="00137187">
        <w:rPr>
          <w:sz w:val="18"/>
          <w:szCs w:val="18"/>
        </w:rPr>
        <w:t xml:space="preserve"> </w:t>
      </w:r>
      <w:r w:rsidRPr="00137187">
        <w:rPr>
          <w:sz w:val="18"/>
          <w:szCs w:val="18"/>
          <w:lang w:val="en-US"/>
        </w:rPr>
        <w:t xml:space="preserve">Such as </w:t>
      </w:r>
      <w:r w:rsidR="00145D15">
        <w:rPr>
          <w:sz w:val="18"/>
          <w:szCs w:val="18"/>
          <w:lang w:val="en-US"/>
        </w:rPr>
        <w:t xml:space="preserve">the guidance material </w:t>
      </w:r>
      <w:r w:rsidRPr="00137187">
        <w:rPr>
          <w:sz w:val="18"/>
          <w:szCs w:val="18"/>
          <w:lang w:val="en-US"/>
        </w:rPr>
        <w:t>included in information document CBD/SBI/4/INF/</w:t>
      </w:r>
      <w:r w:rsidR="00996EF8" w:rsidRPr="00137187">
        <w:rPr>
          <w:sz w:val="18"/>
          <w:szCs w:val="18"/>
          <w:lang w:val="en-US"/>
        </w:rPr>
        <w:t>3</w:t>
      </w:r>
      <w:r w:rsidRPr="00137187">
        <w:rPr>
          <w:sz w:val="18"/>
          <w:szCs w:val="18"/>
          <w:lang w:val="en-US"/>
        </w:rPr>
        <w:t>.</w:t>
      </w:r>
    </w:p>
  </w:footnote>
  <w:footnote w:id="23">
    <w:p w14:paraId="65456D28" w14:textId="5770BD0D" w:rsidR="007533C5" w:rsidRPr="00D3020E" w:rsidRDefault="007533C5" w:rsidP="00D44EAC">
      <w:pPr>
        <w:pStyle w:val="FootnoteText"/>
      </w:pPr>
      <w:r>
        <w:rPr>
          <w:rStyle w:val="FootnoteReference"/>
        </w:rPr>
        <w:footnoteRef/>
      </w:r>
      <w:r>
        <w:t xml:space="preserve"> The long-term strategic framework for capacity-building and development </w:t>
      </w:r>
      <w:r w:rsidR="00DD31D3">
        <w:t xml:space="preserve">will be referred to </w:t>
      </w:r>
      <w:r>
        <w:t>here</w:t>
      </w:r>
      <w:r w:rsidR="00DD31D3">
        <w:t>in</w:t>
      </w:r>
      <w:r>
        <w:t xml:space="preserve">after as </w:t>
      </w:r>
      <w:r w:rsidR="00DD31D3">
        <w:t xml:space="preserve">the </w:t>
      </w:r>
      <w:r>
        <w:t>long-term framework.</w:t>
      </w:r>
    </w:p>
  </w:footnote>
  <w:footnote w:id="24">
    <w:p w14:paraId="3379715F" w14:textId="7D5A0BAC" w:rsidR="007533C5" w:rsidRPr="00420289" w:rsidRDefault="007533C5" w:rsidP="00D44EAC">
      <w:pPr>
        <w:pStyle w:val="FootnoteText"/>
      </w:pPr>
      <w:r>
        <w:rPr>
          <w:rStyle w:val="FootnoteReference"/>
        </w:rPr>
        <w:footnoteRef/>
      </w:r>
      <w:r>
        <w:t xml:space="preserve"> The </w:t>
      </w:r>
      <w:r w:rsidR="00B2499C">
        <w:t>c</w:t>
      </w:r>
      <w:r w:rsidRPr="003E44F5">
        <w:t xml:space="preserve">apacity-building and </w:t>
      </w:r>
      <w:r w:rsidR="00B2499C">
        <w:t>d</w:t>
      </w:r>
      <w:r w:rsidRPr="003E44F5">
        <w:t xml:space="preserve">evelopment </w:t>
      </w:r>
      <w:r w:rsidR="00B2499C">
        <w:t>a</w:t>
      </w:r>
      <w:r w:rsidRPr="003E44F5">
        <w:t xml:space="preserve">ction </w:t>
      </w:r>
      <w:r w:rsidR="00B2499C">
        <w:t>p</w:t>
      </w:r>
      <w:r w:rsidRPr="003E44F5">
        <w:t>lan for the Nagoya Protocol</w:t>
      </w:r>
      <w:r>
        <w:t xml:space="preserve"> will be referred to</w:t>
      </w:r>
      <w:r w:rsidR="005B0958">
        <w:t xml:space="preserve"> hereinafter</w:t>
      </w:r>
      <w:r>
        <w:t xml:space="preserve"> as </w:t>
      </w:r>
      <w:r w:rsidR="005B0958">
        <w:t>the a</w:t>
      </w:r>
      <w:r>
        <w:t xml:space="preserve">ction </w:t>
      </w:r>
      <w:r w:rsidR="005B0958">
        <w:t>p</w:t>
      </w:r>
      <w:r>
        <w:t>lan.</w:t>
      </w:r>
    </w:p>
  </w:footnote>
  <w:footnote w:id="25">
    <w:p w14:paraId="59C2B376" w14:textId="0A18FA19" w:rsidR="007533C5" w:rsidRPr="007B0661" w:rsidRDefault="007533C5" w:rsidP="00D44EAC">
      <w:pPr>
        <w:pStyle w:val="FootnoteText"/>
      </w:pPr>
      <w:r>
        <w:rPr>
          <w:rStyle w:val="FootnoteReference"/>
        </w:rPr>
        <w:footnoteRef/>
      </w:r>
      <w:r>
        <w:t xml:space="preserve"> </w:t>
      </w:r>
      <w:r w:rsidRPr="007B1C4E">
        <w:t xml:space="preserve">Other targets with direct links to the </w:t>
      </w:r>
      <w:r w:rsidR="001E1EC3">
        <w:t>a</w:t>
      </w:r>
      <w:r w:rsidRPr="007B1C4E">
        <w:t xml:space="preserve">ction </w:t>
      </w:r>
      <w:r w:rsidR="001E1EC3">
        <w:t>p</w:t>
      </w:r>
      <w:r w:rsidRPr="007B1C4E">
        <w:t>lan are Targets 15</w:t>
      </w:r>
      <w:r w:rsidR="008C0C52">
        <w:t xml:space="preserve"> and </w:t>
      </w:r>
      <w:r w:rsidRPr="007B1C4E">
        <w:t>19</w:t>
      </w:r>
      <w:r w:rsidR="008C0C52">
        <w:t xml:space="preserve"> to </w:t>
      </w:r>
      <w:r w:rsidRPr="007B1C4E">
        <w:t>23</w:t>
      </w:r>
      <w:r>
        <w:t>.</w:t>
      </w:r>
      <w:r w:rsidRPr="00BD0C02">
        <w:t xml:space="preserve"> </w:t>
      </w:r>
      <w:r>
        <w:t xml:space="preserve">Information on  Goal </w:t>
      </w:r>
      <w:r w:rsidR="00747AAB">
        <w:t xml:space="preserve">C </w:t>
      </w:r>
      <w:r>
        <w:t>and the Targets is available at</w:t>
      </w:r>
      <w:hyperlink r:id="rId12" w:history="1">
        <w:r w:rsidR="00747AAB" w:rsidRPr="00747AAB">
          <w:rPr>
            <w:rStyle w:val="Hyperlink"/>
          </w:rPr>
          <w:t>www.cbd.int/gbf/goals/</w:t>
        </w:r>
      </w:hyperlink>
      <w:r>
        <w:t xml:space="preserve"> and </w:t>
      </w:r>
      <w:r w:rsidRPr="00B25ED9">
        <w:t>www.cbd.int/gbf/targets/</w:t>
      </w:r>
      <w:r>
        <w:t>.</w:t>
      </w:r>
    </w:p>
  </w:footnote>
  <w:footnote w:id="26">
    <w:p w14:paraId="1D6BAA75" w14:textId="7B3F460E" w:rsidR="007533C5" w:rsidRPr="00E27CFC" w:rsidRDefault="007533C5" w:rsidP="00D44EAC">
      <w:pPr>
        <w:pStyle w:val="FootnoteText"/>
        <w:rPr>
          <w:lang w:val="en-US"/>
        </w:rPr>
      </w:pPr>
      <w:r>
        <w:rPr>
          <w:rStyle w:val="FootnoteReference"/>
        </w:rPr>
        <w:footnoteRef/>
      </w:r>
      <w:r>
        <w:t xml:space="preserve"> </w:t>
      </w:r>
      <w:r w:rsidRPr="008B5FC9">
        <w:t xml:space="preserve">Target 15.6 </w:t>
      </w:r>
      <w:r>
        <w:t>of the 2030 Agenda for Sustainable Development is</w:t>
      </w:r>
      <w:r w:rsidR="006071E5">
        <w:t>:</w:t>
      </w:r>
      <w:r w:rsidRPr="008B5FC9">
        <w:t xml:space="preserve"> “Promote fair and equitable sharing of the benefits arising from the utilization of genetic resources and promote appropriate access to such resources, as internationally agreed</w:t>
      </w:r>
      <w:r w:rsidR="008E70AD">
        <w:t>.</w:t>
      </w:r>
      <w:r w:rsidRPr="008B5FC9">
        <w:t>”</w:t>
      </w:r>
    </w:p>
  </w:footnote>
  <w:footnote w:id="27">
    <w:p w14:paraId="46771642" w14:textId="23D24E31" w:rsidR="007533C5" w:rsidRPr="00733F12" w:rsidRDefault="007533C5" w:rsidP="00D44EAC">
      <w:pPr>
        <w:pStyle w:val="FootnoteText"/>
        <w:rPr>
          <w:sz w:val="18"/>
          <w:szCs w:val="18"/>
          <w:lang w:val="en-US"/>
        </w:rPr>
      </w:pPr>
      <w:r w:rsidRPr="00733F12">
        <w:rPr>
          <w:rStyle w:val="FootnoteReference"/>
          <w:sz w:val="18"/>
          <w:szCs w:val="18"/>
        </w:rPr>
        <w:footnoteRef/>
      </w:r>
      <w:r w:rsidRPr="00733F12">
        <w:rPr>
          <w:sz w:val="18"/>
          <w:szCs w:val="18"/>
        </w:rPr>
        <w:t xml:space="preserve"> The target audience also includes subnational Governments</w:t>
      </w:r>
      <w:r w:rsidR="006B36E1">
        <w:rPr>
          <w:sz w:val="18"/>
          <w:szCs w:val="18"/>
        </w:rPr>
        <w:t xml:space="preserve"> and</w:t>
      </w:r>
      <w:r w:rsidRPr="00733F12">
        <w:rPr>
          <w:sz w:val="18"/>
          <w:szCs w:val="18"/>
        </w:rPr>
        <w:t xml:space="preserve"> relevant line ministries</w:t>
      </w:r>
      <w:r w:rsidR="006B36E1">
        <w:rPr>
          <w:sz w:val="18"/>
          <w:szCs w:val="18"/>
        </w:rPr>
        <w:t>,</w:t>
      </w:r>
      <w:r w:rsidRPr="00733F12">
        <w:rPr>
          <w:sz w:val="18"/>
          <w:szCs w:val="18"/>
        </w:rPr>
        <w:t xml:space="preserve"> as part of “Governments”; organization</w:t>
      </w:r>
      <w:r w:rsidR="00E448EE">
        <w:rPr>
          <w:sz w:val="18"/>
          <w:szCs w:val="18"/>
        </w:rPr>
        <w:t>s</w:t>
      </w:r>
      <w:r w:rsidRPr="00733F12">
        <w:rPr>
          <w:sz w:val="18"/>
          <w:szCs w:val="18"/>
        </w:rPr>
        <w:t xml:space="preserve"> and institutions of indigenous peoples and local communities</w:t>
      </w:r>
      <w:r w:rsidR="006B36E1">
        <w:rPr>
          <w:sz w:val="18"/>
          <w:szCs w:val="18"/>
        </w:rPr>
        <w:t>,</w:t>
      </w:r>
      <w:r w:rsidRPr="00733F12">
        <w:rPr>
          <w:sz w:val="18"/>
          <w:szCs w:val="18"/>
        </w:rPr>
        <w:t xml:space="preserve"> as part of “indigenous peoples and local communities”; ex</w:t>
      </w:r>
      <w:r w:rsidR="00A95C00">
        <w:rPr>
          <w:sz w:val="18"/>
          <w:szCs w:val="18"/>
        </w:rPr>
        <w:t xml:space="preserve"> </w:t>
      </w:r>
      <w:r w:rsidRPr="00733F12">
        <w:rPr>
          <w:sz w:val="18"/>
          <w:szCs w:val="18"/>
        </w:rPr>
        <w:t>situ collections, databases, databanks and universities</w:t>
      </w:r>
      <w:r w:rsidR="006B36E1">
        <w:rPr>
          <w:sz w:val="18"/>
          <w:szCs w:val="18"/>
        </w:rPr>
        <w:t>,</w:t>
      </w:r>
      <w:r w:rsidRPr="00733F12">
        <w:rPr>
          <w:sz w:val="18"/>
          <w:szCs w:val="18"/>
        </w:rPr>
        <w:t xml:space="preserve"> as part of the “research community”; </w:t>
      </w:r>
      <w:r w:rsidR="006B36E1">
        <w:rPr>
          <w:sz w:val="18"/>
          <w:szCs w:val="18"/>
        </w:rPr>
        <w:t xml:space="preserve">and </w:t>
      </w:r>
      <w:r w:rsidRPr="00733F12">
        <w:rPr>
          <w:sz w:val="18"/>
          <w:szCs w:val="18"/>
        </w:rPr>
        <w:t xml:space="preserve">businesses of all sizes with activities relevant to </w:t>
      </w:r>
      <w:r w:rsidR="00A95C00">
        <w:rPr>
          <w:sz w:val="18"/>
          <w:szCs w:val="18"/>
        </w:rPr>
        <w:t>access and benefit-sharing</w:t>
      </w:r>
      <w:r w:rsidRPr="00733F12">
        <w:rPr>
          <w:sz w:val="18"/>
          <w:szCs w:val="18"/>
        </w:rPr>
        <w:t xml:space="preserve"> and the finance sector</w:t>
      </w:r>
      <w:r w:rsidR="007A2C8F">
        <w:rPr>
          <w:sz w:val="18"/>
          <w:szCs w:val="18"/>
        </w:rPr>
        <w:t>,</w:t>
      </w:r>
      <w:r w:rsidRPr="00733F12">
        <w:rPr>
          <w:sz w:val="18"/>
          <w:szCs w:val="18"/>
        </w:rPr>
        <w:t xml:space="preserve"> as part of </w:t>
      </w:r>
      <w:r w:rsidR="005F564D">
        <w:rPr>
          <w:sz w:val="18"/>
          <w:szCs w:val="18"/>
        </w:rPr>
        <w:t xml:space="preserve">the </w:t>
      </w:r>
      <w:r w:rsidRPr="00733F12">
        <w:rPr>
          <w:sz w:val="18"/>
          <w:szCs w:val="18"/>
        </w:rPr>
        <w:t>“business sector”</w:t>
      </w:r>
      <w:r w:rsidR="006B36E1">
        <w:rPr>
          <w:sz w:val="18"/>
          <w:szCs w:val="18"/>
        </w:rPr>
        <w:t>,</w:t>
      </w:r>
      <w:r w:rsidRPr="00733F12">
        <w:rPr>
          <w:sz w:val="18"/>
          <w:szCs w:val="18"/>
        </w:rPr>
        <w:t xml:space="preserve"> as well as the general public, funding agencies, journal publishers, journalists and the media.</w:t>
      </w:r>
    </w:p>
  </w:footnote>
  <w:footnote w:id="28">
    <w:p w14:paraId="17D670F6" w14:textId="392D4071" w:rsidR="00C513BF" w:rsidRPr="00733F12" w:rsidRDefault="00C513BF">
      <w:pPr>
        <w:pStyle w:val="FootnoteText"/>
        <w:rPr>
          <w:sz w:val="18"/>
          <w:szCs w:val="18"/>
          <w:lang w:val="en-US"/>
        </w:rPr>
      </w:pPr>
      <w:r w:rsidRPr="00733F12">
        <w:rPr>
          <w:rStyle w:val="FootnoteReference"/>
          <w:sz w:val="18"/>
          <w:szCs w:val="18"/>
        </w:rPr>
        <w:footnoteRef/>
      </w:r>
      <w:r w:rsidRPr="00733F12">
        <w:rPr>
          <w:sz w:val="18"/>
          <w:szCs w:val="18"/>
        </w:rPr>
        <w:t xml:space="preserve"> An overview of general examples of some of the contributions that different actors can make is available in information document CBD/SBI/4/INF/</w:t>
      </w:r>
      <w:r w:rsidR="00733F12" w:rsidRPr="00733F12">
        <w:rPr>
          <w:sz w:val="18"/>
          <w:szCs w:val="18"/>
        </w:rPr>
        <w:t>3</w:t>
      </w:r>
      <w:r w:rsidRPr="00733F12">
        <w:rPr>
          <w:sz w:val="18"/>
          <w:szCs w:val="18"/>
        </w:rPr>
        <w:t>.</w:t>
      </w:r>
    </w:p>
  </w:footnote>
  <w:footnote w:id="29">
    <w:p w14:paraId="619DADF4" w14:textId="040F4BEE" w:rsidR="007533C5" w:rsidRPr="00733F12" w:rsidRDefault="007533C5" w:rsidP="00D44EAC">
      <w:pPr>
        <w:pStyle w:val="FootnoteText"/>
        <w:rPr>
          <w:sz w:val="18"/>
          <w:szCs w:val="18"/>
          <w:lang w:val="en-US"/>
        </w:rPr>
      </w:pPr>
      <w:r w:rsidRPr="00733F12">
        <w:rPr>
          <w:rStyle w:val="FootnoteReference"/>
          <w:sz w:val="18"/>
          <w:szCs w:val="18"/>
        </w:rPr>
        <w:footnoteRef/>
      </w:r>
      <w:r w:rsidRPr="00733F12">
        <w:rPr>
          <w:sz w:val="18"/>
          <w:szCs w:val="18"/>
        </w:rPr>
        <w:t xml:space="preserve"> </w:t>
      </w:r>
      <w:r w:rsidRPr="00733F12">
        <w:rPr>
          <w:sz w:val="18"/>
          <w:szCs w:val="18"/>
          <w:lang w:val="en-US"/>
        </w:rPr>
        <w:t>These includ</w:t>
      </w:r>
      <w:r w:rsidR="002657DC">
        <w:rPr>
          <w:sz w:val="18"/>
          <w:szCs w:val="18"/>
          <w:lang w:val="en-US"/>
        </w:rPr>
        <w:t>e</w:t>
      </w:r>
      <w:r w:rsidRPr="00733F12">
        <w:rPr>
          <w:sz w:val="18"/>
          <w:szCs w:val="18"/>
          <w:lang w:val="en-US"/>
        </w:rPr>
        <w:t xml:space="preserve"> activities, projects, programmes or plans and other types of “stand</w:t>
      </w:r>
      <w:r w:rsidR="002657DC">
        <w:rPr>
          <w:sz w:val="18"/>
          <w:szCs w:val="18"/>
          <w:lang w:val="en-US"/>
        </w:rPr>
        <w:t>-</w:t>
      </w:r>
      <w:r w:rsidRPr="00733F12">
        <w:rPr>
          <w:sz w:val="18"/>
          <w:szCs w:val="18"/>
          <w:lang w:val="en-US"/>
        </w:rPr>
        <w:t>alone” interventions</w:t>
      </w:r>
      <w:r w:rsidR="002657DC">
        <w:rPr>
          <w:sz w:val="18"/>
          <w:szCs w:val="18"/>
          <w:lang w:val="en-US"/>
        </w:rPr>
        <w:t>,</w:t>
      </w:r>
      <w:r w:rsidRPr="00733F12">
        <w:rPr>
          <w:sz w:val="18"/>
          <w:szCs w:val="18"/>
          <w:lang w:val="en-US"/>
        </w:rPr>
        <w:t xml:space="preserve"> such as workshops.</w:t>
      </w:r>
    </w:p>
  </w:footnote>
  <w:footnote w:id="30">
    <w:p w14:paraId="723BDAA6" w14:textId="01754119" w:rsidR="007533C5" w:rsidRPr="00F35B84" w:rsidRDefault="007533C5" w:rsidP="00DD4AAC">
      <w:pPr>
        <w:pStyle w:val="FootnoteText"/>
        <w:rPr>
          <w:lang w:val="en-US"/>
        </w:rPr>
      </w:pPr>
      <w:r w:rsidRPr="00733F12">
        <w:rPr>
          <w:rStyle w:val="FootnoteReference"/>
          <w:sz w:val="18"/>
          <w:szCs w:val="18"/>
        </w:rPr>
        <w:footnoteRef/>
      </w:r>
      <w:r w:rsidRPr="00733F12">
        <w:rPr>
          <w:sz w:val="18"/>
          <w:szCs w:val="18"/>
        </w:rPr>
        <w:t xml:space="preserve"> </w:t>
      </w:r>
      <w:r w:rsidRPr="00733F12">
        <w:rPr>
          <w:kern w:val="22"/>
          <w:sz w:val="18"/>
          <w:szCs w:val="18"/>
        </w:rPr>
        <w:t xml:space="preserve">The outcome areas are based on the key areas identified for capacity-building and development in </w:t>
      </w:r>
      <w:r w:rsidR="003274B5">
        <w:rPr>
          <w:kern w:val="22"/>
          <w:sz w:val="18"/>
          <w:szCs w:val="18"/>
        </w:rPr>
        <w:t>A</w:t>
      </w:r>
      <w:r w:rsidRPr="00733F12">
        <w:rPr>
          <w:kern w:val="22"/>
          <w:sz w:val="18"/>
          <w:szCs w:val="18"/>
        </w:rPr>
        <w:t>rticle 22 (4) of the Nagoya Protocol</w:t>
      </w:r>
      <w:r w:rsidR="002657DC">
        <w:rPr>
          <w:kern w:val="22"/>
          <w:sz w:val="18"/>
          <w:szCs w:val="18"/>
        </w:rPr>
        <w:t>;</w:t>
      </w:r>
      <w:r w:rsidRPr="00733F12">
        <w:rPr>
          <w:kern w:val="22"/>
          <w:sz w:val="18"/>
          <w:szCs w:val="18"/>
        </w:rPr>
        <w:t xml:space="preserve"> however</w:t>
      </w:r>
      <w:r w:rsidR="002657DC">
        <w:rPr>
          <w:kern w:val="22"/>
          <w:sz w:val="18"/>
          <w:szCs w:val="18"/>
        </w:rPr>
        <w:t>,</w:t>
      </w:r>
      <w:r w:rsidRPr="00733F12">
        <w:rPr>
          <w:kern w:val="22"/>
          <w:sz w:val="18"/>
          <w:szCs w:val="18"/>
        </w:rPr>
        <w:t xml:space="preserve"> </w:t>
      </w:r>
      <w:r w:rsidR="00FE2B71">
        <w:rPr>
          <w:kern w:val="22"/>
          <w:sz w:val="18"/>
          <w:szCs w:val="18"/>
        </w:rPr>
        <w:t xml:space="preserve">an </w:t>
      </w:r>
      <w:r w:rsidRPr="00733F12">
        <w:rPr>
          <w:kern w:val="22"/>
          <w:sz w:val="18"/>
          <w:szCs w:val="18"/>
        </w:rPr>
        <w:t>outcome area 6 has been added to cover different cross-cutting issues which are important for the implementation of the Protocol and ha</w:t>
      </w:r>
      <w:r w:rsidR="002657DC">
        <w:rPr>
          <w:kern w:val="22"/>
          <w:sz w:val="18"/>
          <w:szCs w:val="18"/>
        </w:rPr>
        <w:t>ve</w:t>
      </w:r>
      <w:r w:rsidRPr="00733F12">
        <w:rPr>
          <w:kern w:val="22"/>
          <w:sz w:val="18"/>
          <w:szCs w:val="18"/>
        </w:rPr>
        <w:t xml:space="preserve"> so far not been addressed </w:t>
      </w:r>
      <w:r w:rsidR="002657DC">
        <w:rPr>
          <w:kern w:val="22"/>
          <w:sz w:val="18"/>
          <w:szCs w:val="18"/>
        </w:rPr>
        <w:t>in</w:t>
      </w:r>
      <w:r w:rsidRPr="00733F12">
        <w:rPr>
          <w:kern w:val="22"/>
          <w:sz w:val="18"/>
          <w:szCs w:val="18"/>
        </w:rPr>
        <w:t xml:space="preserve"> any of the key areas. Such cross-cutting capacities underpin success in the other outcome areas and contribute to the implementation of, for example, </w:t>
      </w:r>
      <w:r w:rsidR="003274B5">
        <w:rPr>
          <w:kern w:val="22"/>
          <w:sz w:val="18"/>
          <w:szCs w:val="18"/>
        </w:rPr>
        <w:t>A</w:t>
      </w:r>
      <w:r w:rsidRPr="00733F12">
        <w:rPr>
          <w:kern w:val="22"/>
          <w:sz w:val="18"/>
          <w:szCs w:val="18"/>
        </w:rPr>
        <w:t>rticle 21 of the Protocol</w:t>
      </w:r>
      <w:r w:rsidR="00C06711">
        <w:rPr>
          <w:kern w:val="22"/>
          <w:sz w:val="18"/>
          <w:szCs w:val="18"/>
        </w:rPr>
        <w:t xml:space="preserve"> and</w:t>
      </w:r>
      <w:r w:rsidRPr="00733F12">
        <w:rPr>
          <w:kern w:val="22"/>
          <w:sz w:val="18"/>
          <w:szCs w:val="18"/>
        </w:rPr>
        <w:t xml:space="preserve"> the Gender Plan of Action (</w:t>
      </w:r>
      <w:r w:rsidRPr="00733F12">
        <w:rPr>
          <w:sz w:val="18"/>
          <w:szCs w:val="18"/>
        </w:rPr>
        <w:t xml:space="preserve">decision </w:t>
      </w:r>
      <w:hyperlink r:id="rId13" w:history="1">
        <w:r w:rsidRPr="00733F12">
          <w:rPr>
            <w:rStyle w:val="Hyperlink"/>
            <w:sz w:val="18"/>
            <w:szCs w:val="18"/>
          </w:rPr>
          <w:t>15/11</w:t>
        </w:r>
      </w:hyperlink>
      <w:r w:rsidRPr="00733F12">
        <w:rPr>
          <w:rStyle w:val="Hyperlink"/>
          <w:sz w:val="18"/>
          <w:szCs w:val="18"/>
        </w:rPr>
        <w:t>, annex).</w:t>
      </w:r>
    </w:p>
  </w:footnote>
  <w:footnote w:id="31">
    <w:p w14:paraId="301A392C" w14:textId="554D761E" w:rsidR="007533C5" w:rsidRPr="00733F12" w:rsidRDefault="007533C5" w:rsidP="00D44EAC">
      <w:pPr>
        <w:pStyle w:val="FootnoteText"/>
        <w:rPr>
          <w:sz w:val="18"/>
          <w:szCs w:val="18"/>
        </w:rPr>
      </w:pPr>
      <w:r w:rsidRPr="00733F12">
        <w:rPr>
          <w:rStyle w:val="FootnoteReference"/>
          <w:sz w:val="18"/>
          <w:szCs w:val="18"/>
        </w:rPr>
        <w:footnoteRef/>
      </w:r>
      <w:r w:rsidRPr="00733F12">
        <w:rPr>
          <w:sz w:val="18"/>
          <w:szCs w:val="18"/>
        </w:rPr>
        <w:t xml:space="preserve"> Decision 15/8, </w:t>
      </w:r>
      <w:r w:rsidR="005C1322">
        <w:rPr>
          <w:sz w:val="18"/>
          <w:szCs w:val="18"/>
        </w:rPr>
        <w:t xml:space="preserve">annex I, </w:t>
      </w:r>
      <w:r w:rsidRPr="00733F12">
        <w:rPr>
          <w:sz w:val="18"/>
          <w:szCs w:val="18"/>
        </w:rPr>
        <w:t>para. 3</w:t>
      </w:r>
      <w:r w:rsidR="00C06711">
        <w:rPr>
          <w:sz w:val="18"/>
          <w:szCs w:val="18"/>
        </w:rPr>
        <w:t>.</w:t>
      </w:r>
    </w:p>
  </w:footnote>
  <w:footnote w:id="32">
    <w:p w14:paraId="79101822" w14:textId="1570CD79" w:rsidR="007533C5" w:rsidRPr="00733F12" w:rsidRDefault="007533C5" w:rsidP="00D44EAC">
      <w:pPr>
        <w:pStyle w:val="FootnoteText"/>
        <w:rPr>
          <w:sz w:val="18"/>
          <w:szCs w:val="18"/>
        </w:rPr>
      </w:pPr>
      <w:r w:rsidRPr="00733F12">
        <w:rPr>
          <w:rStyle w:val="FootnoteReference"/>
          <w:sz w:val="18"/>
          <w:szCs w:val="18"/>
        </w:rPr>
        <w:footnoteRef/>
      </w:r>
      <w:r w:rsidRPr="00733F12">
        <w:rPr>
          <w:sz w:val="18"/>
          <w:szCs w:val="18"/>
        </w:rPr>
        <w:t xml:space="preserve"> The enabling environment level encompasses the broad system and set of conditions needed </w:t>
      </w:r>
      <w:r w:rsidR="00B91FB3">
        <w:rPr>
          <w:sz w:val="18"/>
          <w:szCs w:val="18"/>
        </w:rPr>
        <w:t xml:space="preserve">in order </w:t>
      </w:r>
      <w:r w:rsidRPr="00733F12">
        <w:rPr>
          <w:sz w:val="18"/>
          <w:szCs w:val="18"/>
        </w:rPr>
        <w:t>for organizations and individuals to function in pursuit of their goals. These may be policies, laws, agreements, conventions, protocols or social norms. The organizational level covers internal structures, processes and procedures</w:t>
      </w:r>
      <w:r w:rsidR="00B91FB3">
        <w:rPr>
          <w:sz w:val="18"/>
          <w:szCs w:val="18"/>
        </w:rPr>
        <w:t xml:space="preserve"> and </w:t>
      </w:r>
      <w:r w:rsidRPr="00733F12">
        <w:rPr>
          <w:sz w:val="18"/>
          <w:szCs w:val="18"/>
        </w:rPr>
        <w:t xml:space="preserve"> includes leadership, management systems, frameworks and other elements that influence the ability of any institution to operate and fulfil its mission. The individual level  </w:t>
      </w:r>
      <w:r w:rsidR="000D0312">
        <w:rPr>
          <w:sz w:val="18"/>
          <w:szCs w:val="18"/>
        </w:rPr>
        <w:t>encompasses</w:t>
      </w:r>
      <w:r w:rsidRPr="00733F12">
        <w:rPr>
          <w:sz w:val="18"/>
          <w:szCs w:val="18"/>
        </w:rPr>
        <w:t xml:space="preserve"> the knowledge, skills, expertise, attitude</w:t>
      </w:r>
      <w:r w:rsidR="000D0312">
        <w:rPr>
          <w:sz w:val="18"/>
          <w:szCs w:val="18"/>
        </w:rPr>
        <w:t>s</w:t>
      </w:r>
      <w:r w:rsidRPr="00733F12">
        <w:rPr>
          <w:sz w:val="18"/>
          <w:szCs w:val="18"/>
        </w:rPr>
        <w:t xml:space="preserve">, competencies and experience of the people within organizations or communities that enable them to </w:t>
      </w:r>
      <w:r w:rsidR="00976AFB">
        <w:rPr>
          <w:sz w:val="18"/>
          <w:szCs w:val="18"/>
        </w:rPr>
        <w:t>perform</w:t>
      </w:r>
      <w:r w:rsidRPr="00733F12">
        <w:rPr>
          <w:sz w:val="18"/>
          <w:szCs w:val="18"/>
        </w:rPr>
        <w:t xml:space="preserve"> their work effectively. </w:t>
      </w:r>
    </w:p>
  </w:footnote>
  <w:footnote w:id="33">
    <w:p w14:paraId="797AD7AB" w14:textId="20B6AE1E" w:rsidR="007533C5" w:rsidRPr="00733F12" w:rsidRDefault="007533C5" w:rsidP="00D44EAC">
      <w:pPr>
        <w:pStyle w:val="FootnoteText"/>
        <w:rPr>
          <w:sz w:val="18"/>
          <w:szCs w:val="18"/>
        </w:rPr>
      </w:pPr>
      <w:r w:rsidRPr="00733F12">
        <w:rPr>
          <w:rStyle w:val="FootnoteReference"/>
          <w:sz w:val="18"/>
          <w:szCs w:val="18"/>
        </w:rPr>
        <w:footnoteRef/>
      </w:r>
      <w:r w:rsidRPr="00733F12">
        <w:rPr>
          <w:sz w:val="18"/>
          <w:szCs w:val="18"/>
        </w:rPr>
        <w:t xml:space="preserve"> Technical capacities include specialized knowledge, know-how, skills and organizational structures and systems, which are tangible or visible. Functional capacities are the intangible characteristics, values, behaviours, skills and competencies at all levels that allow functioning, adaptation and development within societies and systems. See </w:t>
      </w:r>
      <w:r w:rsidR="00976AFB">
        <w:rPr>
          <w:sz w:val="18"/>
          <w:szCs w:val="18"/>
        </w:rPr>
        <w:t xml:space="preserve">document </w:t>
      </w:r>
      <w:r w:rsidRPr="00733F12">
        <w:rPr>
          <w:sz w:val="18"/>
          <w:szCs w:val="18"/>
        </w:rPr>
        <w:t>CBD/SBI/3/7/Add.1 for additional information</w:t>
      </w:r>
      <w:r w:rsidR="00976AFB">
        <w:rPr>
          <w:sz w:val="18"/>
          <w:szCs w:val="18"/>
        </w:rPr>
        <w:t xml:space="preserve"> in this regard</w:t>
      </w:r>
      <w:r w:rsidRPr="00733F12">
        <w:rPr>
          <w:sz w:val="18"/>
          <w:szCs w:val="18"/>
        </w:rPr>
        <w:t>.</w:t>
      </w:r>
    </w:p>
  </w:footnote>
  <w:footnote w:id="34">
    <w:p w14:paraId="43419E16" w14:textId="238767FC" w:rsidR="00C513BF" w:rsidRPr="00733F12" w:rsidRDefault="00C513BF">
      <w:pPr>
        <w:pStyle w:val="FootnoteText"/>
        <w:rPr>
          <w:sz w:val="18"/>
          <w:szCs w:val="18"/>
          <w:lang w:val="en-US"/>
        </w:rPr>
      </w:pPr>
      <w:r w:rsidRPr="00733F12">
        <w:rPr>
          <w:rStyle w:val="FootnoteReference"/>
          <w:sz w:val="18"/>
          <w:szCs w:val="18"/>
        </w:rPr>
        <w:footnoteRef/>
      </w:r>
      <w:r w:rsidRPr="00733F12">
        <w:rPr>
          <w:sz w:val="18"/>
          <w:szCs w:val="18"/>
        </w:rPr>
        <w:t xml:space="preserve"> A results chain based on this theory of change</w:t>
      </w:r>
      <w:r w:rsidR="00976AFB">
        <w:rPr>
          <w:sz w:val="18"/>
          <w:szCs w:val="18"/>
        </w:rPr>
        <w:t xml:space="preserve"> and</w:t>
      </w:r>
      <w:r w:rsidRPr="00733F12">
        <w:rPr>
          <w:sz w:val="18"/>
          <w:szCs w:val="18"/>
        </w:rPr>
        <w:t xml:space="preserve"> showing the causal linkage</w:t>
      </w:r>
      <w:r w:rsidR="00976AFB">
        <w:rPr>
          <w:sz w:val="18"/>
          <w:szCs w:val="18"/>
        </w:rPr>
        <w:t>s among</w:t>
      </w:r>
      <w:r w:rsidRPr="00733F12">
        <w:rPr>
          <w:sz w:val="18"/>
          <w:szCs w:val="18"/>
        </w:rPr>
        <w:t xml:space="preserve"> inputs, activities, outputs, outcomes and impact is available in information document CBD/SBI/4/INF/</w:t>
      </w:r>
      <w:r w:rsidR="00733F12" w:rsidRPr="00733F12">
        <w:rPr>
          <w:sz w:val="18"/>
          <w:szCs w:val="18"/>
        </w:rPr>
        <w:t>3.</w:t>
      </w:r>
    </w:p>
  </w:footnote>
  <w:footnote w:id="35">
    <w:p w14:paraId="78B0BD1E" w14:textId="77777777" w:rsidR="007533C5" w:rsidRPr="00E929E9" w:rsidRDefault="007533C5" w:rsidP="00D44EAC">
      <w:pPr>
        <w:pStyle w:val="FootnoteText"/>
        <w:rPr>
          <w:szCs w:val="18"/>
          <w:lang w:val="en-US"/>
        </w:rPr>
      </w:pPr>
      <w:r w:rsidRPr="00733F12">
        <w:rPr>
          <w:rStyle w:val="FootnoteReference"/>
          <w:sz w:val="18"/>
          <w:szCs w:val="18"/>
        </w:rPr>
        <w:footnoteRef/>
      </w:r>
      <w:r w:rsidRPr="00733F12">
        <w:rPr>
          <w:sz w:val="18"/>
          <w:szCs w:val="18"/>
        </w:rPr>
        <w:t xml:space="preserve"> </w:t>
      </w:r>
      <w:r w:rsidRPr="00733F12">
        <w:rPr>
          <w:sz w:val="18"/>
          <w:szCs w:val="18"/>
          <w:lang w:val="en-US"/>
        </w:rPr>
        <w:t>Adapted from the long-term strategic framework for capacity-building and development (decision 15/8, annex I).</w:t>
      </w:r>
    </w:p>
  </w:footnote>
  <w:footnote w:id="36">
    <w:p w14:paraId="2F542DCC" w14:textId="77777777" w:rsidR="007533C5" w:rsidRPr="000D0F3D" w:rsidRDefault="007533C5" w:rsidP="00D44EAC">
      <w:pPr>
        <w:pStyle w:val="FootnoteText"/>
        <w:rPr>
          <w:sz w:val="18"/>
          <w:szCs w:val="18"/>
          <w:lang w:val="en-US"/>
        </w:rPr>
      </w:pPr>
      <w:r w:rsidRPr="000D0F3D">
        <w:rPr>
          <w:rStyle w:val="FootnoteReference"/>
          <w:sz w:val="18"/>
          <w:szCs w:val="18"/>
        </w:rPr>
        <w:footnoteRef/>
      </w:r>
      <w:r w:rsidRPr="000D0F3D">
        <w:rPr>
          <w:sz w:val="18"/>
          <w:szCs w:val="18"/>
        </w:rPr>
        <w:t xml:space="preserve"> </w:t>
      </w:r>
      <w:r w:rsidRPr="000D0F3D">
        <w:rPr>
          <w:rFonts w:asciiTheme="majorBidi" w:hAnsiTheme="majorBidi" w:cstheme="majorBidi"/>
          <w:sz w:val="18"/>
          <w:szCs w:val="18"/>
        </w:rPr>
        <w:t xml:space="preserve">In line with the guidance provided in the long-term framework, regional and subregional support networks or centres of excellence can be established to provide, upon request, capacity-building and development and facilitate technical and scientific cooperation. Such support centres not only foster cooperation, collaboration and synergy but also contribute to building individual and organizational expertise, skill and know-how on access and benefit-sharing at the regional and subregional levels. </w:t>
      </w:r>
    </w:p>
  </w:footnote>
  <w:footnote w:id="37">
    <w:p w14:paraId="4B6DB55D" w14:textId="1CACFDE6" w:rsidR="007533C5" w:rsidRPr="000D0F3D" w:rsidRDefault="007533C5" w:rsidP="00D44EAC">
      <w:pPr>
        <w:pStyle w:val="FootnoteText"/>
        <w:rPr>
          <w:sz w:val="18"/>
          <w:szCs w:val="18"/>
          <w:lang w:val="en-US"/>
        </w:rPr>
      </w:pPr>
      <w:r w:rsidRPr="000D0F3D">
        <w:rPr>
          <w:rStyle w:val="FootnoteReference"/>
          <w:sz w:val="18"/>
          <w:szCs w:val="18"/>
        </w:rPr>
        <w:footnoteRef/>
      </w:r>
      <w:r w:rsidRPr="000D0F3D">
        <w:rPr>
          <w:sz w:val="18"/>
          <w:szCs w:val="18"/>
        </w:rPr>
        <w:t xml:space="preserve"> </w:t>
      </w:r>
      <w:r w:rsidR="004C742F">
        <w:rPr>
          <w:sz w:val="18"/>
          <w:szCs w:val="18"/>
        </w:rPr>
        <w:t>D</w:t>
      </w:r>
      <w:r w:rsidRPr="000D0F3D">
        <w:rPr>
          <w:sz w:val="18"/>
          <w:szCs w:val="18"/>
        </w:rPr>
        <w:t>ecision 15/8, annex II.</w:t>
      </w:r>
    </w:p>
  </w:footnote>
  <w:footnote w:id="38">
    <w:p w14:paraId="4AD38AD9" w14:textId="7B3C50E8" w:rsidR="007533C5" w:rsidRPr="00E929E9" w:rsidRDefault="007533C5" w:rsidP="00D44EAC">
      <w:pPr>
        <w:pStyle w:val="FootnoteText"/>
        <w:rPr>
          <w:szCs w:val="18"/>
          <w:lang w:val="en-US"/>
        </w:rPr>
      </w:pPr>
      <w:r w:rsidRPr="000D0F3D">
        <w:rPr>
          <w:rStyle w:val="FootnoteReference"/>
          <w:sz w:val="18"/>
          <w:szCs w:val="18"/>
        </w:rPr>
        <w:footnoteRef/>
      </w:r>
      <w:r w:rsidRPr="000D0F3D">
        <w:rPr>
          <w:sz w:val="18"/>
          <w:szCs w:val="18"/>
        </w:rPr>
        <w:t xml:space="preserve"> </w:t>
      </w:r>
      <w:r w:rsidR="00573059">
        <w:rPr>
          <w:sz w:val="18"/>
          <w:szCs w:val="18"/>
        </w:rPr>
        <w:t>D</w:t>
      </w:r>
      <w:r w:rsidRPr="000D0F3D">
        <w:rPr>
          <w:sz w:val="18"/>
          <w:szCs w:val="18"/>
        </w:rPr>
        <w:t>ecision 15/8, para. 1</w:t>
      </w:r>
      <w:r w:rsidR="00941433">
        <w:rPr>
          <w:sz w:val="18"/>
          <w:szCs w:val="18"/>
        </w:rPr>
        <w:t>6</w:t>
      </w:r>
      <w:r w:rsidRPr="000D0F3D">
        <w:rPr>
          <w:sz w:val="18"/>
          <w:szCs w:val="18"/>
        </w:rPr>
        <w:t xml:space="preserve"> (g).</w:t>
      </w:r>
    </w:p>
  </w:footnote>
  <w:footnote w:id="39">
    <w:p w14:paraId="30828D69" w14:textId="0DE234DE" w:rsidR="007533C5" w:rsidRPr="00E929E9" w:rsidRDefault="007533C5" w:rsidP="00137187">
      <w:pPr>
        <w:pStyle w:val="FootnoteText"/>
        <w:jc w:val="left"/>
        <w:rPr>
          <w:szCs w:val="18"/>
        </w:rPr>
      </w:pPr>
      <w:r w:rsidRPr="00774503">
        <w:rPr>
          <w:rStyle w:val="FootnoteReference"/>
          <w:sz w:val="18"/>
          <w:szCs w:val="18"/>
        </w:rPr>
        <w:footnoteRef/>
      </w:r>
      <w:r w:rsidRPr="00E929E9">
        <w:rPr>
          <w:szCs w:val="18"/>
        </w:rPr>
        <w:t xml:space="preserve"> </w:t>
      </w:r>
      <w:r w:rsidRPr="00137187">
        <w:rPr>
          <w:sz w:val="18"/>
          <w:szCs w:val="18"/>
        </w:rPr>
        <w:t>Results are changes in a state or condition that derive from a cause-and-effect relationship. Outcomes represent changes that can be attributed to the completion of outputs. Outputs are direct products or services stemming from the activities of an organization, programme or initiative. Activities are actions taken or work performed through which inputs are mobilized to produce outputs</w:t>
      </w:r>
      <w:r w:rsidR="00AE2DC7">
        <w:rPr>
          <w:sz w:val="18"/>
          <w:szCs w:val="18"/>
        </w:rPr>
        <w:t>.</w:t>
      </w:r>
      <w:r w:rsidRPr="00137187">
        <w:rPr>
          <w:sz w:val="18"/>
          <w:szCs w:val="18"/>
        </w:rPr>
        <w:t xml:space="preserve"> </w:t>
      </w:r>
      <w:r w:rsidR="00CE7812">
        <w:rPr>
          <w:sz w:val="18"/>
          <w:szCs w:val="18"/>
        </w:rPr>
        <w:t>S</w:t>
      </w:r>
      <w:r w:rsidRPr="00137187">
        <w:rPr>
          <w:sz w:val="18"/>
          <w:szCs w:val="18"/>
        </w:rPr>
        <w:t>ee United Nations</w:t>
      </w:r>
      <w:r w:rsidR="00CE7812">
        <w:rPr>
          <w:sz w:val="18"/>
          <w:szCs w:val="18"/>
        </w:rPr>
        <w:t xml:space="preserve"> Development Group</w:t>
      </w:r>
      <w:r w:rsidRPr="00137187">
        <w:rPr>
          <w:sz w:val="18"/>
          <w:szCs w:val="18"/>
        </w:rPr>
        <w:t xml:space="preserve">, </w:t>
      </w:r>
      <w:r w:rsidRPr="00137187">
        <w:rPr>
          <w:i/>
          <w:iCs/>
          <w:sz w:val="18"/>
          <w:szCs w:val="18"/>
        </w:rPr>
        <w:t>Results-based Management Handbook</w:t>
      </w:r>
      <w:r w:rsidR="00156187">
        <w:rPr>
          <w:i/>
          <w:iCs/>
          <w:sz w:val="18"/>
          <w:szCs w:val="18"/>
        </w:rPr>
        <w:t>:</w:t>
      </w:r>
      <w:r w:rsidRPr="00137187">
        <w:rPr>
          <w:sz w:val="18"/>
          <w:szCs w:val="18"/>
        </w:rPr>
        <w:t xml:space="preserve"> </w:t>
      </w:r>
      <w:r w:rsidR="00156187" w:rsidRPr="00AA7DB8">
        <w:rPr>
          <w:i/>
          <w:iCs/>
          <w:sz w:val="18"/>
          <w:szCs w:val="18"/>
        </w:rPr>
        <w:t xml:space="preserve">Harmonizing RBM </w:t>
      </w:r>
      <w:r w:rsidR="00156187">
        <w:rPr>
          <w:i/>
          <w:iCs/>
          <w:sz w:val="18"/>
          <w:szCs w:val="18"/>
        </w:rPr>
        <w:t>C</w:t>
      </w:r>
      <w:r w:rsidR="00156187" w:rsidRPr="00AA7DB8">
        <w:rPr>
          <w:i/>
          <w:iCs/>
          <w:sz w:val="18"/>
          <w:szCs w:val="18"/>
        </w:rPr>
        <w:t xml:space="preserve">oncepts and </w:t>
      </w:r>
      <w:r w:rsidR="00156187">
        <w:rPr>
          <w:i/>
          <w:iCs/>
          <w:sz w:val="18"/>
          <w:szCs w:val="18"/>
        </w:rPr>
        <w:t>A</w:t>
      </w:r>
      <w:r w:rsidR="00156187" w:rsidRPr="00AA7DB8">
        <w:rPr>
          <w:i/>
          <w:iCs/>
          <w:sz w:val="18"/>
          <w:szCs w:val="18"/>
        </w:rPr>
        <w:t xml:space="preserve">pproaches for </w:t>
      </w:r>
      <w:r w:rsidR="00156187">
        <w:rPr>
          <w:i/>
          <w:iCs/>
          <w:sz w:val="18"/>
          <w:szCs w:val="18"/>
        </w:rPr>
        <w:t>I</w:t>
      </w:r>
      <w:r w:rsidR="00156187" w:rsidRPr="00AA7DB8">
        <w:rPr>
          <w:i/>
          <w:iCs/>
          <w:sz w:val="18"/>
          <w:szCs w:val="18"/>
        </w:rPr>
        <w:t xml:space="preserve">mproved </w:t>
      </w:r>
      <w:r w:rsidR="00156187">
        <w:rPr>
          <w:i/>
          <w:iCs/>
          <w:sz w:val="18"/>
          <w:szCs w:val="18"/>
        </w:rPr>
        <w:t>D</w:t>
      </w:r>
      <w:r w:rsidR="00156187" w:rsidRPr="00AA7DB8">
        <w:rPr>
          <w:i/>
          <w:iCs/>
          <w:sz w:val="18"/>
          <w:szCs w:val="18"/>
        </w:rPr>
        <w:t xml:space="preserve">evelopment </w:t>
      </w:r>
      <w:r w:rsidR="00156187">
        <w:rPr>
          <w:i/>
          <w:iCs/>
          <w:sz w:val="18"/>
          <w:szCs w:val="18"/>
        </w:rPr>
        <w:t>R</w:t>
      </w:r>
      <w:r w:rsidR="00156187" w:rsidRPr="00AA7DB8">
        <w:rPr>
          <w:i/>
          <w:iCs/>
          <w:sz w:val="18"/>
          <w:szCs w:val="18"/>
        </w:rPr>
        <w:t xml:space="preserve">esults at </w:t>
      </w:r>
      <w:r w:rsidR="00156187">
        <w:rPr>
          <w:i/>
          <w:iCs/>
          <w:sz w:val="18"/>
          <w:szCs w:val="18"/>
        </w:rPr>
        <w:t>C</w:t>
      </w:r>
      <w:r w:rsidR="00156187" w:rsidRPr="00AA7DB8">
        <w:rPr>
          <w:i/>
          <w:iCs/>
          <w:sz w:val="18"/>
          <w:szCs w:val="18"/>
        </w:rPr>
        <w:t xml:space="preserve">ountry </w:t>
      </w:r>
      <w:r w:rsidR="00156187">
        <w:rPr>
          <w:i/>
          <w:iCs/>
          <w:sz w:val="18"/>
          <w:szCs w:val="18"/>
        </w:rPr>
        <w:t>L</w:t>
      </w:r>
      <w:r w:rsidR="00156187" w:rsidRPr="00AA7DB8">
        <w:rPr>
          <w:i/>
          <w:iCs/>
          <w:sz w:val="18"/>
          <w:szCs w:val="18"/>
        </w:rPr>
        <w:t>evel</w:t>
      </w:r>
      <w:r w:rsidR="00156187" w:rsidRPr="00137187">
        <w:rPr>
          <w:sz w:val="18"/>
          <w:szCs w:val="18"/>
        </w:rPr>
        <w:t xml:space="preserve"> </w:t>
      </w:r>
      <w:r w:rsidRPr="00137187">
        <w:rPr>
          <w:sz w:val="18"/>
          <w:szCs w:val="18"/>
        </w:rPr>
        <w:t>(</w:t>
      </w:r>
      <w:r w:rsidR="00CE7812">
        <w:rPr>
          <w:sz w:val="18"/>
          <w:szCs w:val="18"/>
        </w:rPr>
        <w:t xml:space="preserve">October </w:t>
      </w:r>
      <w:r w:rsidRPr="00137187">
        <w:rPr>
          <w:sz w:val="18"/>
          <w:szCs w:val="18"/>
        </w:rPr>
        <w:t>2011), available at https://unsdg.un.org/resources/unsdg-results-based-management-handbook.</w:t>
      </w:r>
      <w:r w:rsidR="00156187" w:rsidRPr="00156187">
        <w:rPr>
          <w:sz w:val="22"/>
          <w:szCs w:val="24"/>
        </w:rPr>
        <w:t xml:space="preserve"> </w:t>
      </w:r>
    </w:p>
  </w:footnote>
  <w:footnote w:id="40">
    <w:p w14:paraId="1B77C22C" w14:textId="3A12D5C2" w:rsidR="007533C5" w:rsidRPr="00840F80" w:rsidRDefault="007533C5" w:rsidP="00D44EAC">
      <w:pPr>
        <w:pStyle w:val="FootnoteText"/>
        <w:rPr>
          <w:sz w:val="18"/>
          <w:szCs w:val="18"/>
          <w:lang w:val="en-CA"/>
        </w:rPr>
      </w:pPr>
      <w:r w:rsidRPr="00C67EDE">
        <w:rPr>
          <w:rStyle w:val="FootnoteReference"/>
        </w:rPr>
        <w:footnoteRef/>
      </w:r>
      <w:r w:rsidRPr="00C67EDE">
        <w:t xml:space="preserve"> </w:t>
      </w:r>
      <w:r w:rsidRPr="00840F80">
        <w:rPr>
          <w:sz w:val="18"/>
          <w:szCs w:val="18"/>
        </w:rPr>
        <w:t xml:space="preserve">Decision NP-3/1 on </w:t>
      </w:r>
      <w:r w:rsidR="00230D5F">
        <w:rPr>
          <w:sz w:val="18"/>
          <w:szCs w:val="18"/>
        </w:rPr>
        <w:t>a</w:t>
      </w:r>
      <w:r w:rsidRPr="00840F80">
        <w:rPr>
          <w:sz w:val="18"/>
          <w:szCs w:val="18"/>
        </w:rPr>
        <w:t>ssessment and review of the effectiveness of the Protocol, para</w:t>
      </w:r>
      <w:r w:rsidR="00220EFF">
        <w:rPr>
          <w:sz w:val="18"/>
          <w:szCs w:val="18"/>
        </w:rPr>
        <w:t>.</w:t>
      </w:r>
      <w:r w:rsidRPr="00840F80">
        <w:rPr>
          <w:sz w:val="18"/>
          <w:szCs w:val="18"/>
        </w:rPr>
        <w:t xml:space="preserve"> 5.</w:t>
      </w:r>
    </w:p>
  </w:footnote>
  <w:footnote w:id="41">
    <w:p w14:paraId="5C60E155" w14:textId="6A89BE5C" w:rsidR="007533C5" w:rsidRPr="00E27CFC" w:rsidRDefault="007533C5" w:rsidP="00D44EAC">
      <w:pPr>
        <w:pStyle w:val="FootnoteText"/>
        <w:rPr>
          <w:lang w:val="en-CA"/>
        </w:rPr>
      </w:pPr>
      <w:r w:rsidRPr="00840F80">
        <w:rPr>
          <w:rStyle w:val="FootnoteReference"/>
          <w:sz w:val="18"/>
          <w:szCs w:val="18"/>
        </w:rPr>
        <w:footnoteRef/>
      </w:r>
      <w:r w:rsidRPr="00840F80">
        <w:rPr>
          <w:sz w:val="18"/>
          <w:szCs w:val="18"/>
        </w:rPr>
        <w:t xml:space="preserve"> Decision NP-3/1, </w:t>
      </w:r>
      <w:r w:rsidR="00840F80">
        <w:rPr>
          <w:sz w:val="18"/>
          <w:szCs w:val="18"/>
          <w:lang w:val="en-CA"/>
        </w:rPr>
        <w:t>a</w:t>
      </w:r>
      <w:r w:rsidRPr="00840F80">
        <w:rPr>
          <w:sz w:val="18"/>
          <w:szCs w:val="18"/>
          <w:lang w:val="en-CA"/>
        </w:rPr>
        <w:t xml:space="preserve">nnex </w:t>
      </w:r>
      <w:r w:rsidR="00840F80">
        <w:rPr>
          <w:sz w:val="18"/>
          <w:szCs w:val="18"/>
          <w:lang w:val="en-CA"/>
        </w:rPr>
        <w:t>I</w:t>
      </w:r>
      <w:r w:rsidRPr="00840F80">
        <w:rPr>
          <w:sz w:val="18"/>
          <w:szCs w:val="18"/>
          <w:lang w:val="en-CA"/>
        </w:rPr>
        <w:t>, para. 10.</w:t>
      </w:r>
    </w:p>
  </w:footnote>
  <w:footnote w:id="42">
    <w:p w14:paraId="0BB1616F" w14:textId="19A5D94C" w:rsidR="007533C5" w:rsidRPr="00F11493" w:rsidRDefault="007533C5" w:rsidP="00D44EAC">
      <w:pPr>
        <w:pStyle w:val="FootnoteText"/>
        <w:rPr>
          <w:lang w:val="en-US"/>
        </w:rPr>
      </w:pPr>
      <w:r>
        <w:rPr>
          <w:rStyle w:val="FootnoteReference"/>
        </w:rPr>
        <w:footnoteRef/>
      </w:r>
      <w:r>
        <w:t xml:space="preserve"> </w:t>
      </w:r>
      <w:r w:rsidRPr="00840F80">
        <w:rPr>
          <w:sz w:val="18"/>
          <w:szCs w:val="18"/>
        </w:rPr>
        <w:t>For example</w:t>
      </w:r>
      <w:r w:rsidR="00E307D8">
        <w:rPr>
          <w:sz w:val="18"/>
          <w:szCs w:val="18"/>
        </w:rPr>
        <w:t>,</w:t>
      </w:r>
      <w:r w:rsidRPr="00840F80">
        <w:rPr>
          <w:sz w:val="18"/>
          <w:szCs w:val="18"/>
        </w:rPr>
        <w:t xml:space="preserve"> the </w:t>
      </w:r>
      <w:r w:rsidR="00E307D8" w:rsidRPr="00E307D8">
        <w:rPr>
          <w:i/>
          <w:iCs/>
          <w:sz w:val="18"/>
          <w:szCs w:val="18"/>
        </w:rPr>
        <w:t>CEPA Toolkit, Including Considerations for Access and Benefit-sharing</w:t>
      </w:r>
      <w:r w:rsidR="00E307D8">
        <w:rPr>
          <w:sz w:val="18"/>
          <w:szCs w:val="18"/>
        </w:rPr>
        <w:t>,</w:t>
      </w:r>
      <w:r w:rsidR="00E307D8" w:rsidRPr="00E307D8">
        <w:rPr>
          <w:sz w:val="18"/>
          <w:szCs w:val="18"/>
          <w:lang w:val="en-US"/>
        </w:rPr>
        <w:t xml:space="preserve"> </w:t>
      </w:r>
      <w:r w:rsidRPr="00840F80">
        <w:rPr>
          <w:sz w:val="18"/>
          <w:szCs w:val="18"/>
          <w:lang w:val="en-US"/>
        </w:rPr>
        <w:t>developed by the Secretariat.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5A062" w14:textId="03757078" w:rsidR="007533C5" w:rsidRPr="002A6AFB" w:rsidRDefault="007533C5" w:rsidP="002A6AFB">
    <w:pPr>
      <w:pStyle w:val="Header"/>
      <w:pBdr>
        <w:bottom w:val="single" w:sz="4" w:space="1" w:color="auto"/>
      </w:pBdr>
      <w:spacing w:after="240"/>
      <w:jc w:val="left"/>
      <w:rPr>
        <w:sz w:val="20"/>
        <w:szCs w:val="20"/>
        <w:lang w:val="fr-FR"/>
      </w:rPr>
    </w:pPr>
    <w:r>
      <w:rPr>
        <w:sz w:val="20"/>
        <w:szCs w:val="20"/>
        <w:lang w:val="fr-FR"/>
      </w:rPr>
      <w:t>CBD/SBI/4/8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4579" w14:textId="08AFADCD" w:rsidR="007533C5" w:rsidRDefault="007533C5" w:rsidP="00EA734F">
    <w:pPr>
      <w:pStyle w:val="Header"/>
      <w:pBdr>
        <w:bottom w:val="single" w:sz="4" w:space="1" w:color="auto"/>
      </w:pBdr>
      <w:spacing w:after="240"/>
      <w:jc w:val="right"/>
      <w:rPr>
        <w:sz w:val="20"/>
        <w:szCs w:val="20"/>
        <w:lang w:val="fr-FR"/>
      </w:rPr>
    </w:pPr>
    <w:r>
      <w:rPr>
        <w:sz w:val="20"/>
        <w:szCs w:val="20"/>
        <w:lang w:val="fr-FR"/>
      </w:rPr>
      <w:t>CBD/SBI/4/8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543"/>
    <w:multiLevelType w:val="multilevel"/>
    <w:tmpl w:val="5B76396A"/>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167131"/>
    <w:multiLevelType w:val="hybridMultilevel"/>
    <w:tmpl w:val="CB0A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0049B"/>
    <w:multiLevelType w:val="multilevel"/>
    <w:tmpl w:val="5B76396A"/>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9EE1B68"/>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A477A51"/>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EFB5F2A"/>
    <w:multiLevelType w:val="multilevel"/>
    <w:tmpl w:val="5B76396A"/>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5701F31"/>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5E350E2"/>
    <w:multiLevelType w:val="hybridMultilevel"/>
    <w:tmpl w:val="1D602DCA"/>
    <w:lvl w:ilvl="0" w:tplc="DF42636C">
      <w:start w:val="1"/>
      <w:numFmt w:val="lowerLetter"/>
      <w:lvlText w:val="(%1)"/>
      <w:lvlJc w:val="left"/>
      <w:pPr>
        <w:ind w:left="1080" w:hanging="72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3F3D0F"/>
    <w:multiLevelType w:val="hybridMultilevel"/>
    <w:tmpl w:val="715C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A32C1"/>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5DF23EE"/>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70069FC"/>
    <w:multiLevelType w:val="hybridMultilevel"/>
    <w:tmpl w:val="7158B992"/>
    <w:lvl w:ilvl="0" w:tplc="DF42636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200C4"/>
    <w:multiLevelType w:val="hybridMultilevel"/>
    <w:tmpl w:val="051C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91BAA"/>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E633CBB"/>
    <w:multiLevelType w:val="multilevel"/>
    <w:tmpl w:val="767AB620"/>
    <w:lvl w:ilvl="0">
      <w:start w:val="1"/>
      <w:numFmt w:val="lowerLetter"/>
      <w:lvlText w:val="(%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1B1086C"/>
    <w:multiLevelType w:val="multilevel"/>
    <w:tmpl w:val="5B76396A"/>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2FA58FC"/>
    <w:multiLevelType w:val="multilevel"/>
    <w:tmpl w:val="5B76396A"/>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4AA1B43"/>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6CB4E55"/>
    <w:multiLevelType w:val="hybridMultilevel"/>
    <w:tmpl w:val="96A0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420917AC"/>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2951FDC"/>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3FC5EE2"/>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47E52EA"/>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A0E3AAA"/>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A126B55"/>
    <w:multiLevelType w:val="hybridMultilevel"/>
    <w:tmpl w:val="D1CE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5A23EF"/>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BFE1A02"/>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E456473"/>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4F054BCE"/>
    <w:multiLevelType w:val="hybridMultilevel"/>
    <w:tmpl w:val="C18C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F3737B"/>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69E3577"/>
    <w:multiLevelType w:val="multilevel"/>
    <w:tmpl w:val="5B76396A"/>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6B5276B"/>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869068D"/>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9AB4B81"/>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5C3235FA"/>
    <w:multiLevelType w:val="hybridMultilevel"/>
    <w:tmpl w:val="077C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0D1EA8"/>
    <w:multiLevelType w:val="hybridMultilevel"/>
    <w:tmpl w:val="951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385F65"/>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2261586"/>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6620A7F"/>
    <w:multiLevelType w:val="hybridMultilevel"/>
    <w:tmpl w:val="B64058B6"/>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B70991"/>
    <w:multiLevelType w:val="hybridMultilevel"/>
    <w:tmpl w:val="221E5D8A"/>
    <w:lvl w:ilvl="0" w:tplc="1EF4DB82">
      <w:start w:val="1"/>
      <w:numFmt w:val="decimal"/>
      <w:pStyle w:val="Para1"/>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4" w15:restartNumberingAfterBreak="0">
    <w:nsid w:val="692C19F0"/>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6B706BC5"/>
    <w:multiLevelType w:val="multilevel"/>
    <w:tmpl w:val="6AEC7F0A"/>
    <w:lvl w:ilvl="0">
      <w:start w:val="1"/>
      <w:numFmt w:val="upperRoman"/>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907586"/>
    <w:multiLevelType w:val="hybridMultilevel"/>
    <w:tmpl w:val="2362E574"/>
    <w:lvl w:ilvl="0" w:tplc="DF42636C">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8" w15:restartNumberingAfterBreak="0">
    <w:nsid w:val="71BE495A"/>
    <w:multiLevelType w:val="multilevel"/>
    <w:tmpl w:val="5B76396A"/>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720D33E0"/>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7366525D"/>
    <w:multiLevelType w:val="hybridMultilevel"/>
    <w:tmpl w:val="EACEA31A"/>
    <w:lvl w:ilvl="0" w:tplc="2F58BDCC">
      <w:start w:val="1"/>
      <w:numFmt w:val="decimal"/>
      <w:lvlText w:val="%1."/>
      <w:lvlJc w:val="left"/>
      <w:pPr>
        <w:ind w:left="1080" w:hanging="72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A13768C"/>
    <w:multiLevelType w:val="hybridMultilevel"/>
    <w:tmpl w:val="E0DE5D3A"/>
    <w:lvl w:ilvl="0" w:tplc="FEBC01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7D1A22EC"/>
    <w:multiLevelType w:val="multilevel"/>
    <w:tmpl w:val="459E2B2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71047960">
    <w:abstractNumId w:val="24"/>
  </w:num>
  <w:num w:numId="2" w16cid:durableId="1426457190">
    <w:abstractNumId w:val="43"/>
  </w:num>
  <w:num w:numId="3" w16cid:durableId="1144355025">
    <w:abstractNumId w:val="36"/>
  </w:num>
  <w:num w:numId="4" w16cid:durableId="731806993">
    <w:abstractNumId w:val="53"/>
  </w:num>
  <w:num w:numId="5" w16cid:durableId="433523956">
    <w:abstractNumId w:val="12"/>
  </w:num>
  <w:num w:numId="6" w16cid:durableId="283390768">
    <w:abstractNumId w:val="25"/>
  </w:num>
  <w:num w:numId="7" w16cid:durableId="672534296">
    <w:abstractNumId w:val="46"/>
  </w:num>
  <w:num w:numId="8" w16cid:durableId="744954760">
    <w:abstractNumId w:val="52"/>
  </w:num>
  <w:num w:numId="9" w16cid:durableId="16279842">
    <w:abstractNumId w:val="19"/>
  </w:num>
  <w:num w:numId="10" w16cid:durableId="1721980248">
    <w:abstractNumId w:val="45"/>
  </w:num>
  <w:num w:numId="11" w16cid:durableId="1874920830">
    <w:abstractNumId w:val="50"/>
  </w:num>
  <w:num w:numId="12" w16cid:durableId="1025835835">
    <w:abstractNumId w:val="47"/>
  </w:num>
  <w:num w:numId="13" w16cid:durableId="172427234">
    <w:abstractNumId w:val="51"/>
  </w:num>
  <w:num w:numId="14" w16cid:durableId="1479297034">
    <w:abstractNumId w:val="34"/>
  </w:num>
  <w:num w:numId="15" w16cid:durableId="623534849">
    <w:abstractNumId w:val="32"/>
  </w:num>
  <w:num w:numId="16" w16cid:durableId="313609742">
    <w:abstractNumId w:val="6"/>
  </w:num>
  <w:num w:numId="17" w16cid:durableId="51127667">
    <w:abstractNumId w:val="37"/>
  </w:num>
  <w:num w:numId="18" w16cid:durableId="1194028456">
    <w:abstractNumId w:val="9"/>
  </w:num>
  <w:num w:numId="19" w16cid:durableId="274026045">
    <w:abstractNumId w:val="23"/>
  </w:num>
  <w:num w:numId="20" w16cid:durableId="1590458505">
    <w:abstractNumId w:val="41"/>
  </w:num>
  <w:num w:numId="21" w16cid:durableId="1030228093">
    <w:abstractNumId w:val="17"/>
  </w:num>
  <w:num w:numId="22" w16cid:durableId="1833713346">
    <w:abstractNumId w:val="28"/>
  </w:num>
  <w:num w:numId="23" w16cid:durableId="837624146">
    <w:abstractNumId w:val="49"/>
  </w:num>
  <w:num w:numId="24" w16cid:durableId="1459228712">
    <w:abstractNumId w:val="13"/>
  </w:num>
  <w:num w:numId="25" w16cid:durableId="506939953">
    <w:abstractNumId w:val="3"/>
  </w:num>
  <w:num w:numId="26" w16cid:durableId="865602700">
    <w:abstractNumId w:val="21"/>
  </w:num>
  <w:num w:numId="27" w16cid:durableId="2025285194">
    <w:abstractNumId w:val="10"/>
  </w:num>
  <w:num w:numId="28" w16cid:durableId="2021928065">
    <w:abstractNumId w:val="26"/>
  </w:num>
  <w:num w:numId="29" w16cid:durableId="231042268">
    <w:abstractNumId w:val="14"/>
  </w:num>
  <w:num w:numId="30" w16cid:durableId="792284621">
    <w:abstractNumId w:val="33"/>
  </w:num>
  <w:num w:numId="31" w16cid:durableId="1440762175">
    <w:abstractNumId w:val="48"/>
  </w:num>
  <w:num w:numId="32" w16cid:durableId="2021465253">
    <w:abstractNumId w:val="15"/>
  </w:num>
  <w:num w:numId="33" w16cid:durableId="1174998722">
    <w:abstractNumId w:val="16"/>
  </w:num>
  <w:num w:numId="34" w16cid:durableId="1578593572">
    <w:abstractNumId w:val="2"/>
  </w:num>
  <w:num w:numId="35" w16cid:durableId="1078285067">
    <w:abstractNumId w:val="11"/>
  </w:num>
  <w:num w:numId="36" w16cid:durableId="1673139022">
    <w:abstractNumId w:val="40"/>
  </w:num>
  <w:num w:numId="37" w16cid:durableId="1718092145">
    <w:abstractNumId w:val="4"/>
  </w:num>
  <w:num w:numId="38" w16cid:durableId="148206805">
    <w:abstractNumId w:val="5"/>
  </w:num>
  <w:num w:numId="39" w16cid:durableId="1732079042">
    <w:abstractNumId w:val="29"/>
  </w:num>
  <w:num w:numId="40" w16cid:durableId="580524922">
    <w:abstractNumId w:val="0"/>
  </w:num>
  <w:num w:numId="41" w16cid:durableId="1477531408">
    <w:abstractNumId w:val="54"/>
  </w:num>
  <w:num w:numId="42" w16cid:durableId="881870473">
    <w:abstractNumId w:val="7"/>
  </w:num>
  <w:num w:numId="43" w16cid:durableId="1932658920">
    <w:abstractNumId w:val="42"/>
  </w:num>
  <w:num w:numId="44" w16cid:durableId="71052579">
    <w:abstractNumId w:val="20"/>
  </w:num>
  <w:num w:numId="45" w16cid:durableId="1285817971">
    <w:abstractNumId w:val="35"/>
  </w:num>
  <w:num w:numId="46" w16cid:durableId="656029548">
    <w:abstractNumId w:val="44"/>
  </w:num>
  <w:num w:numId="47" w16cid:durableId="1278755994">
    <w:abstractNumId w:val="30"/>
  </w:num>
  <w:num w:numId="48" w16cid:durableId="1377584208">
    <w:abstractNumId w:val="22"/>
  </w:num>
  <w:num w:numId="49" w16cid:durableId="1092966960">
    <w:abstractNumId w:val="38"/>
  </w:num>
  <w:num w:numId="50" w16cid:durableId="444423354">
    <w:abstractNumId w:val="18"/>
  </w:num>
  <w:num w:numId="51" w16cid:durableId="2115592687">
    <w:abstractNumId w:val="1"/>
  </w:num>
  <w:num w:numId="52" w16cid:durableId="1172835920">
    <w:abstractNumId w:val="8"/>
  </w:num>
  <w:num w:numId="53" w16cid:durableId="1264652989">
    <w:abstractNumId w:val="39"/>
  </w:num>
  <w:num w:numId="54" w16cid:durableId="1629362393">
    <w:abstractNumId w:val="27"/>
  </w:num>
  <w:num w:numId="55" w16cid:durableId="1985693379">
    <w:abstractNumId w:val="31"/>
  </w:num>
  <w:num w:numId="56" w16cid:durableId="1405377818">
    <w:abstractNumId w:val="43"/>
  </w:num>
  <w:num w:numId="57" w16cid:durableId="298649993">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0E"/>
    <w:rsid w:val="000024F3"/>
    <w:rsid w:val="00002EA0"/>
    <w:rsid w:val="000031AD"/>
    <w:rsid w:val="000036DD"/>
    <w:rsid w:val="00003DDE"/>
    <w:rsid w:val="00005651"/>
    <w:rsid w:val="0000597F"/>
    <w:rsid w:val="000062B7"/>
    <w:rsid w:val="000066E5"/>
    <w:rsid w:val="00007088"/>
    <w:rsid w:val="00007D56"/>
    <w:rsid w:val="000119EF"/>
    <w:rsid w:val="00012FAD"/>
    <w:rsid w:val="000135BD"/>
    <w:rsid w:val="0001390B"/>
    <w:rsid w:val="00014F6B"/>
    <w:rsid w:val="00020CB0"/>
    <w:rsid w:val="00021186"/>
    <w:rsid w:val="00021470"/>
    <w:rsid w:val="00022813"/>
    <w:rsid w:val="00023006"/>
    <w:rsid w:val="000230EA"/>
    <w:rsid w:val="000235AC"/>
    <w:rsid w:val="000238A1"/>
    <w:rsid w:val="0002428C"/>
    <w:rsid w:val="00026D10"/>
    <w:rsid w:val="00027217"/>
    <w:rsid w:val="00027406"/>
    <w:rsid w:val="00031FE2"/>
    <w:rsid w:val="000321C6"/>
    <w:rsid w:val="00032774"/>
    <w:rsid w:val="00032CD6"/>
    <w:rsid w:val="0003369F"/>
    <w:rsid w:val="0003399A"/>
    <w:rsid w:val="00033C32"/>
    <w:rsid w:val="00033C88"/>
    <w:rsid w:val="00033F73"/>
    <w:rsid w:val="00033FFD"/>
    <w:rsid w:val="00035B9E"/>
    <w:rsid w:val="00036651"/>
    <w:rsid w:val="000369FD"/>
    <w:rsid w:val="00040598"/>
    <w:rsid w:val="00040AB8"/>
    <w:rsid w:val="00041BC0"/>
    <w:rsid w:val="0004325B"/>
    <w:rsid w:val="000442A1"/>
    <w:rsid w:val="000453C0"/>
    <w:rsid w:val="000470A4"/>
    <w:rsid w:val="00047E0E"/>
    <w:rsid w:val="00050475"/>
    <w:rsid w:val="000508E5"/>
    <w:rsid w:val="00050A74"/>
    <w:rsid w:val="00053CDF"/>
    <w:rsid w:val="00053FEA"/>
    <w:rsid w:val="00054587"/>
    <w:rsid w:val="00054B02"/>
    <w:rsid w:val="000559BA"/>
    <w:rsid w:val="00055B0D"/>
    <w:rsid w:val="00055BD1"/>
    <w:rsid w:val="00056600"/>
    <w:rsid w:val="00056EE0"/>
    <w:rsid w:val="000572A7"/>
    <w:rsid w:val="000577F1"/>
    <w:rsid w:val="000579E8"/>
    <w:rsid w:val="00057AA4"/>
    <w:rsid w:val="00057F8B"/>
    <w:rsid w:val="00060230"/>
    <w:rsid w:val="00060EE0"/>
    <w:rsid w:val="00060F2C"/>
    <w:rsid w:val="00061380"/>
    <w:rsid w:val="00063D42"/>
    <w:rsid w:val="00064BB9"/>
    <w:rsid w:val="00065B54"/>
    <w:rsid w:val="00065D60"/>
    <w:rsid w:val="000665C1"/>
    <w:rsid w:val="00066DF5"/>
    <w:rsid w:val="000678B0"/>
    <w:rsid w:val="00067C17"/>
    <w:rsid w:val="0007022A"/>
    <w:rsid w:val="000723CB"/>
    <w:rsid w:val="00075705"/>
    <w:rsid w:val="000757BB"/>
    <w:rsid w:val="00075C09"/>
    <w:rsid w:val="000764C2"/>
    <w:rsid w:val="0007780C"/>
    <w:rsid w:val="0008090C"/>
    <w:rsid w:val="00082B28"/>
    <w:rsid w:val="00083866"/>
    <w:rsid w:val="00083EF0"/>
    <w:rsid w:val="000857E7"/>
    <w:rsid w:val="0008680F"/>
    <w:rsid w:val="00087717"/>
    <w:rsid w:val="00092C57"/>
    <w:rsid w:val="00093017"/>
    <w:rsid w:val="00094AEC"/>
    <w:rsid w:val="00095259"/>
    <w:rsid w:val="000952B1"/>
    <w:rsid w:val="0009541D"/>
    <w:rsid w:val="00095BCC"/>
    <w:rsid w:val="00096013"/>
    <w:rsid w:val="00096CE8"/>
    <w:rsid w:val="00096E25"/>
    <w:rsid w:val="0009706E"/>
    <w:rsid w:val="00097B1E"/>
    <w:rsid w:val="00097C10"/>
    <w:rsid w:val="00097E10"/>
    <w:rsid w:val="000A2CB2"/>
    <w:rsid w:val="000A2D19"/>
    <w:rsid w:val="000A2E14"/>
    <w:rsid w:val="000A3655"/>
    <w:rsid w:val="000A38C5"/>
    <w:rsid w:val="000A3CBC"/>
    <w:rsid w:val="000A45CB"/>
    <w:rsid w:val="000A672D"/>
    <w:rsid w:val="000B0CEE"/>
    <w:rsid w:val="000B0EBF"/>
    <w:rsid w:val="000B0F7F"/>
    <w:rsid w:val="000B1CD5"/>
    <w:rsid w:val="000B2C96"/>
    <w:rsid w:val="000B3D8D"/>
    <w:rsid w:val="000B3EB1"/>
    <w:rsid w:val="000B412D"/>
    <w:rsid w:val="000B46FA"/>
    <w:rsid w:val="000B52AD"/>
    <w:rsid w:val="000C0093"/>
    <w:rsid w:val="000C0942"/>
    <w:rsid w:val="000C18C7"/>
    <w:rsid w:val="000C18F9"/>
    <w:rsid w:val="000C2024"/>
    <w:rsid w:val="000C274F"/>
    <w:rsid w:val="000C3B70"/>
    <w:rsid w:val="000C42E1"/>
    <w:rsid w:val="000C511D"/>
    <w:rsid w:val="000C5A5B"/>
    <w:rsid w:val="000C7174"/>
    <w:rsid w:val="000D0312"/>
    <w:rsid w:val="000D0F3D"/>
    <w:rsid w:val="000D109D"/>
    <w:rsid w:val="000D1A48"/>
    <w:rsid w:val="000D2595"/>
    <w:rsid w:val="000D2B41"/>
    <w:rsid w:val="000D314B"/>
    <w:rsid w:val="000D3CC0"/>
    <w:rsid w:val="000D4048"/>
    <w:rsid w:val="000D47C4"/>
    <w:rsid w:val="000D4C62"/>
    <w:rsid w:val="000D4D58"/>
    <w:rsid w:val="000D5282"/>
    <w:rsid w:val="000D52C1"/>
    <w:rsid w:val="000D532B"/>
    <w:rsid w:val="000D57D6"/>
    <w:rsid w:val="000D57F0"/>
    <w:rsid w:val="000D5E2C"/>
    <w:rsid w:val="000D5EFF"/>
    <w:rsid w:val="000E10A1"/>
    <w:rsid w:val="000E1FA2"/>
    <w:rsid w:val="000E26AC"/>
    <w:rsid w:val="000E27FE"/>
    <w:rsid w:val="000E299C"/>
    <w:rsid w:val="000E2EBC"/>
    <w:rsid w:val="000E2FDF"/>
    <w:rsid w:val="000E49EB"/>
    <w:rsid w:val="000E4E98"/>
    <w:rsid w:val="000E4E9B"/>
    <w:rsid w:val="000E527A"/>
    <w:rsid w:val="000E5B5B"/>
    <w:rsid w:val="000E6921"/>
    <w:rsid w:val="000E756C"/>
    <w:rsid w:val="000F0489"/>
    <w:rsid w:val="000F0F01"/>
    <w:rsid w:val="000F1565"/>
    <w:rsid w:val="000F2BC8"/>
    <w:rsid w:val="000F3F3F"/>
    <w:rsid w:val="000F44BC"/>
    <w:rsid w:val="000F47E3"/>
    <w:rsid w:val="000F505E"/>
    <w:rsid w:val="000F5231"/>
    <w:rsid w:val="000F5D0A"/>
    <w:rsid w:val="000F6248"/>
    <w:rsid w:val="000F6479"/>
    <w:rsid w:val="000F7198"/>
    <w:rsid w:val="000F7391"/>
    <w:rsid w:val="000F7FF1"/>
    <w:rsid w:val="00100E07"/>
    <w:rsid w:val="0010127A"/>
    <w:rsid w:val="00101AD9"/>
    <w:rsid w:val="00101EAD"/>
    <w:rsid w:val="0010239A"/>
    <w:rsid w:val="001029F6"/>
    <w:rsid w:val="00104B27"/>
    <w:rsid w:val="0010537E"/>
    <w:rsid w:val="00105E08"/>
    <w:rsid w:val="0010646B"/>
    <w:rsid w:val="00107416"/>
    <w:rsid w:val="0010771A"/>
    <w:rsid w:val="00111079"/>
    <w:rsid w:val="0011158B"/>
    <w:rsid w:val="00111A12"/>
    <w:rsid w:val="00113822"/>
    <w:rsid w:val="001159E3"/>
    <w:rsid w:val="001165B4"/>
    <w:rsid w:val="00117E7C"/>
    <w:rsid w:val="00120038"/>
    <w:rsid w:val="001201CD"/>
    <w:rsid w:val="00120225"/>
    <w:rsid w:val="00120841"/>
    <w:rsid w:val="001222A8"/>
    <w:rsid w:val="001223BE"/>
    <w:rsid w:val="00122764"/>
    <w:rsid w:val="00122A6E"/>
    <w:rsid w:val="001239A7"/>
    <w:rsid w:val="00123C65"/>
    <w:rsid w:val="00124610"/>
    <w:rsid w:val="001249C0"/>
    <w:rsid w:val="00125FC0"/>
    <w:rsid w:val="001264EA"/>
    <w:rsid w:val="001269B7"/>
    <w:rsid w:val="00126B3B"/>
    <w:rsid w:val="00126FA8"/>
    <w:rsid w:val="00127DA3"/>
    <w:rsid w:val="00130B9F"/>
    <w:rsid w:val="00130E32"/>
    <w:rsid w:val="0013225F"/>
    <w:rsid w:val="00132581"/>
    <w:rsid w:val="00133A9C"/>
    <w:rsid w:val="001343DF"/>
    <w:rsid w:val="00134BC6"/>
    <w:rsid w:val="0013513C"/>
    <w:rsid w:val="00135DC5"/>
    <w:rsid w:val="00137187"/>
    <w:rsid w:val="00140075"/>
    <w:rsid w:val="001404FF"/>
    <w:rsid w:val="0014158A"/>
    <w:rsid w:val="00142683"/>
    <w:rsid w:val="001426A6"/>
    <w:rsid w:val="00143471"/>
    <w:rsid w:val="00144299"/>
    <w:rsid w:val="001444D7"/>
    <w:rsid w:val="00145CF6"/>
    <w:rsid w:val="00145D15"/>
    <w:rsid w:val="00146794"/>
    <w:rsid w:val="001511A8"/>
    <w:rsid w:val="00152052"/>
    <w:rsid w:val="00153289"/>
    <w:rsid w:val="001536B9"/>
    <w:rsid w:val="00154141"/>
    <w:rsid w:val="00154C70"/>
    <w:rsid w:val="0015565C"/>
    <w:rsid w:val="0015573C"/>
    <w:rsid w:val="00155C22"/>
    <w:rsid w:val="00155E89"/>
    <w:rsid w:val="00156187"/>
    <w:rsid w:val="0015622C"/>
    <w:rsid w:val="001563CE"/>
    <w:rsid w:val="00156B46"/>
    <w:rsid w:val="00157274"/>
    <w:rsid w:val="0015792A"/>
    <w:rsid w:val="00157FCF"/>
    <w:rsid w:val="00160132"/>
    <w:rsid w:val="00160301"/>
    <w:rsid w:val="0016157D"/>
    <w:rsid w:val="0016162D"/>
    <w:rsid w:val="00161ED4"/>
    <w:rsid w:val="00162964"/>
    <w:rsid w:val="001645BB"/>
    <w:rsid w:val="00164C64"/>
    <w:rsid w:val="00164E46"/>
    <w:rsid w:val="00164E4D"/>
    <w:rsid w:val="00164FC2"/>
    <w:rsid w:val="001655ED"/>
    <w:rsid w:val="00165979"/>
    <w:rsid w:val="00165BC7"/>
    <w:rsid w:val="00167884"/>
    <w:rsid w:val="00167C50"/>
    <w:rsid w:val="00170B23"/>
    <w:rsid w:val="00170F37"/>
    <w:rsid w:val="00171187"/>
    <w:rsid w:val="0017143F"/>
    <w:rsid w:val="00171640"/>
    <w:rsid w:val="00171A94"/>
    <w:rsid w:val="0017235A"/>
    <w:rsid w:val="00172D5C"/>
    <w:rsid w:val="001730CD"/>
    <w:rsid w:val="001730E9"/>
    <w:rsid w:val="0017333A"/>
    <w:rsid w:val="001734FD"/>
    <w:rsid w:val="00173546"/>
    <w:rsid w:val="0017410B"/>
    <w:rsid w:val="001745A0"/>
    <w:rsid w:val="00177182"/>
    <w:rsid w:val="001779CC"/>
    <w:rsid w:val="001800EF"/>
    <w:rsid w:val="00180324"/>
    <w:rsid w:val="00181092"/>
    <w:rsid w:val="00181930"/>
    <w:rsid w:val="0018253B"/>
    <w:rsid w:val="00182A3D"/>
    <w:rsid w:val="00182F15"/>
    <w:rsid w:val="00182FA4"/>
    <w:rsid w:val="00183A69"/>
    <w:rsid w:val="00183BD9"/>
    <w:rsid w:val="00184909"/>
    <w:rsid w:val="00184A8E"/>
    <w:rsid w:val="00186A91"/>
    <w:rsid w:val="0018719D"/>
    <w:rsid w:val="001921EB"/>
    <w:rsid w:val="00193070"/>
    <w:rsid w:val="00193260"/>
    <w:rsid w:val="00193867"/>
    <w:rsid w:val="00193C22"/>
    <w:rsid w:val="00194312"/>
    <w:rsid w:val="0019468C"/>
    <w:rsid w:val="00194C32"/>
    <w:rsid w:val="001953ED"/>
    <w:rsid w:val="00195C85"/>
    <w:rsid w:val="001967AE"/>
    <w:rsid w:val="00196FFE"/>
    <w:rsid w:val="0019755B"/>
    <w:rsid w:val="001A1221"/>
    <w:rsid w:val="001A20B5"/>
    <w:rsid w:val="001A2CC5"/>
    <w:rsid w:val="001A329B"/>
    <w:rsid w:val="001A34D4"/>
    <w:rsid w:val="001A4615"/>
    <w:rsid w:val="001A5C0B"/>
    <w:rsid w:val="001A5DD6"/>
    <w:rsid w:val="001B211A"/>
    <w:rsid w:val="001B23C9"/>
    <w:rsid w:val="001B2B79"/>
    <w:rsid w:val="001B5BAC"/>
    <w:rsid w:val="001B68D5"/>
    <w:rsid w:val="001B79BE"/>
    <w:rsid w:val="001B7E64"/>
    <w:rsid w:val="001C0842"/>
    <w:rsid w:val="001C1553"/>
    <w:rsid w:val="001C177D"/>
    <w:rsid w:val="001C3373"/>
    <w:rsid w:val="001C35AD"/>
    <w:rsid w:val="001C3A65"/>
    <w:rsid w:val="001C3FCF"/>
    <w:rsid w:val="001C44EE"/>
    <w:rsid w:val="001C50DC"/>
    <w:rsid w:val="001C556F"/>
    <w:rsid w:val="001C5A0A"/>
    <w:rsid w:val="001C638D"/>
    <w:rsid w:val="001D10AF"/>
    <w:rsid w:val="001D1A9B"/>
    <w:rsid w:val="001D2A49"/>
    <w:rsid w:val="001D32E8"/>
    <w:rsid w:val="001D4E12"/>
    <w:rsid w:val="001D57C2"/>
    <w:rsid w:val="001D58B3"/>
    <w:rsid w:val="001D5C14"/>
    <w:rsid w:val="001D6E82"/>
    <w:rsid w:val="001D7501"/>
    <w:rsid w:val="001D75E8"/>
    <w:rsid w:val="001D7AD1"/>
    <w:rsid w:val="001D7EDF"/>
    <w:rsid w:val="001E1164"/>
    <w:rsid w:val="001E1EC3"/>
    <w:rsid w:val="001E1EF3"/>
    <w:rsid w:val="001E2B82"/>
    <w:rsid w:val="001E2E86"/>
    <w:rsid w:val="001E477B"/>
    <w:rsid w:val="001E4A46"/>
    <w:rsid w:val="001E4A6F"/>
    <w:rsid w:val="001E5CA7"/>
    <w:rsid w:val="001E681E"/>
    <w:rsid w:val="001E6FED"/>
    <w:rsid w:val="001F0052"/>
    <w:rsid w:val="001F0B89"/>
    <w:rsid w:val="001F3171"/>
    <w:rsid w:val="001F3856"/>
    <w:rsid w:val="001F3D1C"/>
    <w:rsid w:val="001F4ABB"/>
    <w:rsid w:val="001F5840"/>
    <w:rsid w:val="001F68C6"/>
    <w:rsid w:val="001F7A80"/>
    <w:rsid w:val="001F7AFA"/>
    <w:rsid w:val="00200300"/>
    <w:rsid w:val="0020056C"/>
    <w:rsid w:val="00200C4F"/>
    <w:rsid w:val="002013A8"/>
    <w:rsid w:val="0020313A"/>
    <w:rsid w:val="0020387C"/>
    <w:rsid w:val="00203914"/>
    <w:rsid w:val="00203D4C"/>
    <w:rsid w:val="002041D4"/>
    <w:rsid w:val="002044F7"/>
    <w:rsid w:val="002045E3"/>
    <w:rsid w:val="00204E34"/>
    <w:rsid w:val="00205272"/>
    <w:rsid w:val="00207AE4"/>
    <w:rsid w:val="002109AC"/>
    <w:rsid w:val="00210C53"/>
    <w:rsid w:val="002114C8"/>
    <w:rsid w:val="002130DB"/>
    <w:rsid w:val="00213263"/>
    <w:rsid w:val="00213F5D"/>
    <w:rsid w:val="002140D1"/>
    <w:rsid w:val="0021566A"/>
    <w:rsid w:val="0021587C"/>
    <w:rsid w:val="00216000"/>
    <w:rsid w:val="002161D6"/>
    <w:rsid w:val="0021701C"/>
    <w:rsid w:val="002175FB"/>
    <w:rsid w:val="00217D74"/>
    <w:rsid w:val="00220245"/>
    <w:rsid w:val="00220702"/>
    <w:rsid w:val="00220AE5"/>
    <w:rsid w:val="00220EFF"/>
    <w:rsid w:val="002214A5"/>
    <w:rsid w:val="002217E4"/>
    <w:rsid w:val="0022283D"/>
    <w:rsid w:val="0022415A"/>
    <w:rsid w:val="002241E7"/>
    <w:rsid w:val="00225272"/>
    <w:rsid w:val="00226EF6"/>
    <w:rsid w:val="002272A1"/>
    <w:rsid w:val="00230D5F"/>
    <w:rsid w:val="00232320"/>
    <w:rsid w:val="0023275D"/>
    <w:rsid w:val="00233660"/>
    <w:rsid w:val="00234073"/>
    <w:rsid w:val="00234307"/>
    <w:rsid w:val="00236985"/>
    <w:rsid w:val="002377AF"/>
    <w:rsid w:val="00237E3F"/>
    <w:rsid w:val="002409C6"/>
    <w:rsid w:val="00241395"/>
    <w:rsid w:val="0024379F"/>
    <w:rsid w:val="00244E25"/>
    <w:rsid w:val="002453F5"/>
    <w:rsid w:val="00246BFC"/>
    <w:rsid w:val="0024778B"/>
    <w:rsid w:val="00250467"/>
    <w:rsid w:val="002504DB"/>
    <w:rsid w:val="00250AD6"/>
    <w:rsid w:val="0025127B"/>
    <w:rsid w:val="00251A5E"/>
    <w:rsid w:val="00251C2F"/>
    <w:rsid w:val="00251F3F"/>
    <w:rsid w:val="00253E39"/>
    <w:rsid w:val="00254746"/>
    <w:rsid w:val="0025484C"/>
    <w:rsid w:val="0025537A"/>
    <w:rsid w:val="002558C4"/>
    <w:rsid w:val="002575D1"/>
    <w:rsid w:val="00257D34"/>
    <w:rsid w:val="00260011"/>
    <w:rsid w:val="00261689"/>
    <w:rsid w:val="00262F7D"/>
    <w:rsid w:val="002653D9"/>
    <w:rsid w:val="00265693"/>
    <w:rsid w:val="002657DC"/>
    <w:rsid w:val="00265CB2"/>
    <w:rsid w:val="002660B7"/>
    <w:rsid w:val="00267051"/>
    <w:rsid w:val="002678CD"/>
    <w:rsid w:val="00270BDA"/>
    <w:rsid w:val="00270D63"/>
    <w:rsid w:val="00270F27"/>
    <w:rsid w:val="00271180"/>
    <w:rsid w:val="002711FF"/>
    <w:rsid w:val="00271DEF"/>
    <w:rsid w:val="002728D3"/>
    <w:rsid w:val="00272A75"/>
    <w:rsid w:val="00272DAF"/>
    <w:rsid w:val="00273043"/>
    <w:rsid w:val="002737CF"/>
    <w:rsid w:val="0027393F"/>
    <w:rsid w:val="0027446A"/>
    <w:rsid w:val="002749C3"/>
    <w:rsid w:val="00274A3B"/>
    <w:rsid w:val="0027628A"/>
    <w:rsid w:val="002770EC"/>
    <w:rsid w:val="0027735C"/>
    <w:rsid w:val="002817FD"/>
    <w:rsid w:val="0028217A"/>
    <w:rsid w:val="002824B9"/>
    <w:rsid w:val="002837E6"/>
    <w:rsid w:val="00285361"/>
    <w:rsid w:val="00285A6F"/>
    <w:rsid w:val="002872D3"/>
    <w:rsid w:val="002875C7"/>
    <w:rsid w:val="00287A5E"/>
    <w:rsid w:val="0029052E"/>
    <w:rsid w:val="002907A0"/>
    <w:rsid w:val="00290A16"/>
    <w:rsid w:val="00290B9D"/>
    <w:rsid w:val="00292ACD"/>
    <w:rsid w:val="00293043"/>
    <w:rsid w:val="002934FA"/>
    <w:rsid w:val="00293550"/>
    <w:rsid w:val="00293B2B"/>
    <w:rsid w:val="00294002"/>
    <w:rsid w:val="00294E9C"/>
    <w:rsid w:val="00294EE6"/>
    <w:rsid w:val="00294EFA"/>
    <w:rsid w:val="00296098"/>
    <w:rsid w:val="002A0E23"/>
    <w:rsid w:val="002A164F"/>
    <w:rsid w:val="002A2482"/>
    <w:rsid w:val="002A26C2"/>
    <w:rsid w:val="002A2DBC"/>
    <w:rsid w:val="002A3FD3"/>
    <w:rsid w:val="002A6AFB"/>
    <w:rsid w:val="002A74FB"/>
    <w:rsid w:val="002B00CA"/>
    <w:rsid w:val="002B0589"/>
    <w:rsid w:val="002B1D5E"/>
    <w:rsid w:val="002B2B78"/>
    <w:rsid w:val="002B4F24"/>
    <w:rsid w:val="002B52ED"/>
    <w:rsid w:val="002B559C"/>
    <w:rsid w:val="002B56FB"/>
    <w:rsid w:val="002B5D70"/>
    <w:rsid w:val="002B6D25"/>
    <w:rsid w:val="002B73EF"/>
    <w:rsid w:val="002B7540"/>
    <w:rsid w:val="002B7F88"/>
    <w:rsid w:val="002B7F94"/>
    <w:rsid w:val="002C02D6"/>
    <w:rsid w:val="002C02FD"/>
    <w:rsid w:val="002C121E"/>
    <w:rsid w:val="002C1EA0"/>
    <w:rsid w:val="002C2E9B"/>
    <w:rsid w:val="002C31C4"/>
    <w:rsid w:val="002C41D8"/>
    <w:rsid w:val="002C4263"/>
    <w:rsid w:val="002C525C"/>
    <w:rsid w:val="002C52D2"/>
    <w:rsid w:val="002C5358"/>
    <w:rsid w:val="002C53E2"/>
    <w:rsid w:val="002C55D1"/>
    <w:rsid w:val="002C60D7"/>
    <w:rsid w:val="002C6511"/>
    <w:rsid w:val="002C65E7"/>
    <w:rsid w:val="002C6A0C"/>
    <w:rsid w:val="002C737C"/>
    <w:rsid w:val="002D187D"/>
    <w:rsid w:val="002D2454"/>
    <w:rsid w:val="002D2BE9"/>
    <w:rsid w:val="002D3FCB"/>
    <w:rsid w:val="002D42D2"/>
    <w:rsid w:val="002D6F91"/>
    <w:rsid w:val="002D727C"/>
    <w:rsid w:val="002D756A"/>
    <w:rsid w:val="002E040C"/>
    <w:rsid w:val="002E0495"/>
    <w:rsid w:val="002E0FE6"/>
    <w:rsid w:val="002E1828"/>
    <w:rsid w:val="002E3634"/>
    <w:rsid w:val="002E46CC"/>
    <w:rsid w:val="002E488D"/>
    <w:rsid w:val="002E4A5C"/>
    <w:rsid w:val="002E59FD"/>
    <w:rsid w:val="002E6F16"/>
    <w:rsid w:val="002E73DF"/>
    <w:rsid w:val="002E742B"/>
    <w:rsid w:val="002E793E"/>
    <w:rsid w:val="002F0069"/>
    <w:rsid w:val="002F2638"/>
    <w:rsid w:val="002F2717"/>
    <w:rsid w:val="002F2AE8"/>
    <w:rsid w:val="002F3522"/>
    <w:rsid w:val="002F37B8"/>
    <w:rsid w:val="002F385A"/>
    <w:rsid w:val="002F3B47"/>
    <w:rsid w:val="002F6668"/>
    <w:rsid w:val="002F6A6A"/>
    <w:rsid w:val="002F6F8D"/>
    <w:rsid w:val="002F72BA"/>
    <w:rsid w:val="002F79CB"/>
    <w:rsid w:val="003001ED"/>
    <w:rsid w:val="003006AB"/>
    <w:rsid w:val="00300E49"/>
    <w:rsid w:val="0030130B"/>
    <w:rsid w:val="00302618"/>
    <w:rsid w:val="00302624"/>
    <w:rsid w:val="003034D9"/>
    <w:rsid w:val="003035C0"/>
    <w:rsid w:val="00304A3C"/>
    <w:rsid w:val="003051F4"/>
    <w:rsid w:val="00305AD6"/>
    <w:rsid w:val="00307E3E"/>
    <w:rsid w:val="003101BC"/>
    <w:rsid w:val="00310608"/>
    <w:rsid w:val="003108B8"/>
    <w:rsid w:val="00310EE5"/>
    <w:rsid w:val="00311F38"/>
    <w:rsid w:val="003127C0"/>
    <w:rsid w:val="003140A3"/>
    <w:rsid w:val="0031434D"/>
    <w:rsid w:val="00314861"/>
    <w:rsid w:val="00315105"/>
    <w:rsid w:val="00315F89"/>
    <w:rsid w:val="00317284"/>
    <w:rsid w:val="0031733C"/>
    <w:rsid w:val="00317D68"/>
    <w:rsid w:val="00320E62"/>
    <w:rsid w:val="0032100C"/>
    <w:rsid w:val="00321927"/>
    <w:rsid w:val="00321DC8"/>
    <w:rsid w:val="00323891"/>
    <w:rsid w:val="00323F22"/>
    <w:rsid w:val="00324242"/>
    <w:rsid w:val="003256AB"/>
    <w:rsid w:val="003257F1"/>
    <w:rsid w:val="003266A0"/>
    <w:rsid w:val="003273DB"/>
    <w:rsid w:val="0032744E"/>
    <w:rsid w:val="003274B5"/>
    <w:rsid w:val="003279D9"/>
    <w:rsid w:val="00327DA2"/>
    <w:rsid w:val="0033035F"/>
    <w:rsid w:val="0033053E"/>
    <w:rsid w:val="00330AE8"/>
    <w:rsid w:val="0033235E"/>
    <w:rsid w:val="00332CC5"/>
    <w:rsid w:val="00332EC6"/>
    <w:rsid w:val="0033429E"/>
    <w:rsid w:val="00335101"/>
    <w:rsid w:val="00335752"/>
    <w:rsid w:val="00335F76"/>
    <w:rsid w:val="00336312"/>
    <w:rsid w:val="00336406"/>
    <w:rsid w:val="0033691F"/>
    <w:rsid w:val="00336B8D"/>
    <w:rsid w:val="00337E1C"/>
    <w:rsid w:val="00337E67"/>
    <w:rsid w:val="0034089C"/>
    <w:rsid w:val="00343A5E"/>
    <w:rsid w:val="00344070"/>
    <w:rsid w:val="00345027"/>
    <w:rsid w:val="0034526F"/>
    <w:rsid w:val="0034715A"/>
    <w:rsid w:val="00347286"/>
    <w:rsid w:val="003476A9"/>
    <w:rsid w:val="003500F5"/>
    <w:rsid w:val="0035270F"/>
    <w:rsid w:val="0035321B"/>
    <w:rsid w:val="00353395"/>
    <w:rsid w:val="003542C7"/>
    <w:rsid w:val="00354488"/>
    <w:rsid w:val="0035517C"/>
    <w:rsid w:val="00355A71"/>
    <w:rsid w:val="003565F8"/>
    <w:rsid w:val="00356B38"/>
    <w:rsid w:val="00357523"/>
    <w:rsid w:val="00357696"/>
    <w:rsid w:val="00357D70"/>
    <w:rsid w:val="0036108C"/>
    <w:rsid w:val="00361681"/>
    <w:rsid w:val="00362260"/>
    <w:rsid w:val="003625BC"/>
    <w:rsid w:val="003625D8"/>
    <w:rsid w:val="0036333D"/>
    <w:rsid w:val="003643ED"/>
    <w:rsid w:val="00365818"/>
    <w:rsid w:val="00366B17"/>
    <w:rsid w:val="0037009E"/>
    <w:rsid w:val="0037123C"/>
    <w:rsid w:val="00372182"/>
    <w:rsid w:val="0037299F"/>
    <w:rsid w:val="00372D22"/>
    <w:rsid w:val="0037316F"/>
    <w:rsid w:val="00373BBA"/>
    <w:rsid w:val="00374766"/>
    <w:rsid w:val="00374E38"/>
    <w:rsid w:val="00375007"/>
    <w:rsid w:val="00375FBC"/>
    <w:rsid w:val="00376298"/>
    <w:rsid w:val="003764DC"/>
    <w:rsid w:val="00376714"/>
    <w:rsid w:val="00376A5C"/>
    <w:rsid w:val="00376BBB"/>
    <w:rsid w:val="00377736"/>
    <w:rsid w:val="00377B0B"/>
    <w:rsid w:val="00380BD7"/>
    <w:rsid w:val="00381411"/>
    <w:rsid w:val="00381F48"/>
    <w:rsid w:val="00382460"/>
    <w:rsid w:val="00382581"/>
    <w:rsid w:val="0038507D"/>
    <w:rsid w:val="00385996"/>
    <w:rsid w:val="00385B7B"/>
    <w:rsid w:val="00385F14"/>
    <w:rsid w:val="0038624E"/>
    <w:rsid w:val="00386B44"/>
    <w:rsid w:val="00386EA6"/>
    <w:rsid w:val="0038712B"/>
    <w:rsid w:val="003872DE"/>
    <w:rsid w:val="0038736C"/>
    <w:rsid w:val="00387FD3"/>
    <w:rsid w:val="00387FD9"/>
    <w:rsid w:val="00390007"/>
    <w:rsid w:val="003906C5"/>
    <w:rsid w:val="003907B7"/>
    <w:rsid w:val="00390B0E"/>
    <w:rsid w:val="00391C98"/>
    <w:rsid w:val="00392D6D"/>
    <w:rsid w:val="00393223"/>
    <w:rsid w:val="00393A2E"/>
    <w:rsid w:val="00394E00"/>
    <w:rsid w:val="00395D2B"/>
    <w:rsid w:val="00395FD0"/>
    <w:rsid w:val="00396F82"/>
    <w:rsid w:val="003A0099"/>
    <w:rsid w:val="003A0246"/>
    <w:rsid w:val="003A043F"/>
    <w:rsid w:val="003A1917"/>
    <w:rsid w:val="003A1D47"/>
    <w:rsid w:val="003A1D77"/>
    <w:rsid w:val="003A29DE"/>
    <w:rsid w:val="003A3B61"/>
    <w:rsid w:val="003A4C85"/>
    <w:rsid w:val="003A6696"/>
    <w:rsid w:val="003A6D7B"/>
    <w:rsid w:val="003A7331"/>
    <w:rsid w:val="003B05D9"/>
    <w:rsid w:val="003B0719"/>
    <w:rsid w:val="003B0CC4"/>
    <w:rsid w:val="003B1CA7"/>
    <w:rsid w:val="003B2020"/>
    <w:rsid w:val="003B2F9A"/>
    <w:rsid w:val="003B4546"/>
    <w:rsid w:val="003B5672"/>
    <w:rsid w:val="003B7960"/>
    <w:rsid w:val="003B79F0"/>
    <w:rsid w:val="003B7A61"/>
    <w:rsid w:val="003B7DE1"/>
    <w:rsid w:val="003C032C"/>
    <w:rsid w:val="003C0B9B"/>
    <w:rsid w:val="003C197C"/>
    <w:rsid w:val="003C2A05"/>
    <w:rsid w:val="003C358C"/>
    <w:rsid w:val="003C41D0"/>
    <w:rsid w:val="003C62B6"/>
    <w:rsid w:val="003C6564"/>
    <w:rsid w:val="003C6C49"/>
    <w:rsid w:val="003C6F10"/>
    <w:rsid w:val="003C7466"/>
    <w:rsid w:val="003D08F2"/>
    <w:rsid w:val="003D0F7A"/>
    <w:rsid w:val="003D0FD7"/>
    <w:rsid w:val="003D1096"/>
    <w:rsid w:val="003D1F76"/>
    <w:rsid w:val="003D2867"/>
    <w:rsid w:val="003D4B67"/>
    <w:rsid w:val="003D63DA"/>
    <w:rsid w:val="003D75CD"/>
    <w:rsid w:val="003D7AF6"/>
    <w:rsid w:val="003D7ECC"/>
    <w:rsid w:val="003E0A26"/>
    <w:rsid w:val="003E1EAD"/>
    <w:rsid w:val="003E354B"/>
    <w:rsid w:val="003E3FDB"/>
    <w:rsid w:val="003E5E5F"/>
    <w:rsid w:val="003E63A4"/>
    <w:rsid w:val="003E6F1C"/>
    <w:rsid w:val="003F0CEB"/>
    <w:rsid w:val="003F16D3"/>
    <w:rsid w:val="003F1940"/>
    <w:rsid w:val="003F4DA4"/>
    <w:rsid w:val="003F56A0"/>
    <w:rsid w:val="003F6B0B"/>
    <w:rsid w:val="003F73DB"/>
    <w:rsid w:val="003F7C77"/>
    <w:rsid w:val="003F7FB1"/>
    <w:rsid w:val="004006B7"/>
    <w:rsid w:val="00401C10"/>
    <w:rsid w:val="00401CCE"/>
    <w:rsid w:val="00404B84"/>
    <w:rsid w:val="00405C39"/>
    <w:rsid w:val="0040650D"/>
    <w:rsid w:val="00407758"/>
    <w:rsid w:val="00407D37"/>
    <w:rsid w:val="004105C8"/>
    <w:rsid w:val="00410871"/>
    <w:rsid w:val="00410F15"/>
    <w:rsid w:val="00410F53"/>
    <w:rsid w:val="00412D2F"/>
    <w:rsid w:val="00413767"/>
    <w:rsid w:val="0041454D"/>
    <w:rsid w:val="00414AAD"/>
    <w:rsid w:val="0042091C"/>
    <w:rsid w:val="00420D1D"/>
    <w:rsid w:val="0042178C"/>
    <w:rsid w:val="00421959"/>
    <w:rsid w:val="00422B83"/>
    <w:rsid w:val="0042492D"/>
    <w:rsid w:val="0042538C"/>
    <w:rsid w:val="0042574D"/>
    <w:rsid w:val="00426F46"/>
    <w:rsid w:val="00427518"/>
    <w:rsid w:val="004306C6"/>
    <w:rsid w:val="00430B6B"/>
    <w:rsid w:val="00430F18"/>
    <w:rsid w:val="004313B7"/>
    <w:rsid w:val="0043372B"/>
    <w:rsid w:val="004339C0"/>
    <w:rsid w:val="004341FC"/>
    <w:rsid w:val="0043530E"/>
    <w:rsid w:val="00435C5D"/>
    <w:rsid w:val="00435FAB"/>
    <w:rsid w:val="0043626B"/>
    <w:rsid w:val="004373EF"/>
    <w:rsid w:val="00437E24"/>
    <w:rsid w:val="00440DC2"/>
    <w:rsid w:val="00441498"/>
    <w:rsid w:val="00441C0A"/>
    <w:rsid w:val="00441EC2"/>
    <w:rsid w:val="00442BE1"/>
    <w:rsid w:val="004435B7"/>
    <w:rsid w:val="00444CEA"/>
    <w:rsid w:val="00445F14"/>
    <w:rsid w:val="00446377"/>
    <w:rsid w:val="004466DB"/>
    <w:rsid w:val="004509A0"/>
    <w:rsid w:val="00451BC4"/>
    <w:rsid w:val="00451C49"/>
    <w:rsid w:val="004521C0"/>
    <w:rsid w:val="004540E5"/>
    <w:rsid w:val="00456A25"/>
    <w:rsid w:val="00456DD0"/>
    <w:rsid w:val="00456E02"/>
    <w:rsid w:val="00460E06"/>
    <w:rsid w:val="00461179"/>
    <w:rsid w:val="004611F8"/>
    <w:rsid w:val="00461429"/>
    <w:rsid w:val="004620FD"/>
    <w:rsid w:val="00462419"/>
    <w:rsid w:val="00465D74"/>
    <w:rsid w:val="004665EB"/>
    <w:rsid w:val="004678E2"/>
    <w:rsid w:val="004701EE"/>
    <w:rsid w:val="004705B9"/>
    <w:rsid w:val="00471531"/>
    <w:rsid w:val="00471868"/>
    <w:rsid w:val="0047332B"/>
    <w:rsid w:val="00474DA1"/>
    <w:rsid w:val="0047582C"/>
    <w:rsid w:val="00475932"/>
    <w:rsid w:val="004760FA"/>
    <w:rsid w:val="00476B37"/>
    <w:rsid w:val="00480272"/>
    <w:rsid w:val="00480A8D"/>
    <w:rsid w:val="00481070"/>
    <w:rsid w:val="004816B4"/>
    <w:rsid w:val="00481994"/>
    <w:rsid w:val="00482179"/>
    <w:rsid w:val="004826C3"/>
    <w:rsid w:val="00483353"/>
    <w:rsid w:val="00483438"/>
    <w:rsid w:val="004850C1"/>
    <w:rsid w:val="00485137"/>
    <w:rsid w:val="0048566A"/>
    <w:rsid w:val="004857EA"/>
    <w:rsid w:val="004858DE"/>
    <w:rsid w:val="00485E71"/>
    <w:rsid w:val="00485EF1"/>
    <w:rsid w:val="00486046"/>
    <w:rsid w:val="00486D7B"/>
    <w:rsid w:val="00487307"/>
    <w:rsid w:val="00490848"/>
    <w:rsid w:val="004908E5"/>
    <w:rsid w:val="00490C90"/>
    <w:rsid w:val="0049149E"/>
    <w:rsid w:val="00491583"/>
    <w:rsid w:val="0049163C"/>
    <w:rsid w:val="00491C6B"/>
    <w:rsid w:val="00491CD7"/>
    <w:rsid w:val="0049236D"/>
    <w:rsid w:val="004928A4"/>
    <w:rsid w:val="00492AAD"/>
    <w:rsid w:val="00493F13"/>
    <w:rsid w:val="00493F67"/>
    <w:rsid w:val="00494311"/>
    <w:rsid w:val="004950F0"/>
    <w:rsid w:val="0049545D"/>
    <w:rsid w:val="0049548D"/>
    <w:rsid w:val="00495708"/>
    <w:rsid w:val="00495EE7"/>
    <w:rsid w:val="00497084"/>
    <w:rsid w:val="00497C6E"/>
    <w:rsid w:val="0049C90D"/>
    <w:rsid w:val="004A064E"/>
    <w:rsid w:val="004A13D1"/>
    <w:rsid w:val="004A214F"/>
    <w:rsid w:val="004A22E7"/>
    <w:rsid w:val="004A2A2D"/>
    <w:rsid w:val="004A2BE5"/>
    <w:rsid w:val="004A2D4C"/>
    <w:rsid w:val="004A3929"/>
    <w:rsid w:val="004A4B4B"/>
    <w:rsid w:val="004A64AA"/>
    <w:rsid w:val="004A6EA1"/>
    <w:rsid w:val="004A7CAB"/>
    <w:rsid w:val="004B0215"/>
    <w:rsid w:val="004B0755"/>
    <w:rsid w:val="004B10E3"/>
    <w:rsid w:val="004B1BD0"/>
    <w:rsid w:val="004B2372"/>
    <w:rsid w:val="004B26EE"/>
    <w:rsid w:val="004B350A"/>
    <w:rsid w:val="004B40C7"/>
    <w:rsid w:val="004B4D2E"/>
    <w:rsid w:val="004B5944"/>
    <w:rsid w:val="004B5974"/>
    <w:rsid w:val="004B5E3C"/>
    <w:rsid w:val="004B6096"/>
    <w:rsid w:val="004B7784"/>
    <w:rsid w:val="004B79AC"/>
    <w:rsid w:val="004B7CA1"/>
    <w:rsid w:val="004C0617"/>
    <w:rsid w:val="004C10F0"/>
    <w:rsid w:val="004C21F5"/>
    <w:rsid w:val="004C22C5"/>
    <w:rsid w:val="004C26BE"/>
    <w:rsid w:val="004C3122"/>
    <w:rsid w:val="004C32BD"/>
    <w:rsid w:val="004C5631"/>
    <w:rsid w:val="004C659D"/>
    <w:rsid w:val="004C669D"/>
    <w:rsid w:val="004C6A87"/>
    <w:rsid w:val="004C6E94"/>
    <w:rsid w:val="004C7141"/>
    <w:rsid w:val="004C742F"/>
    <w:rsid w:val="004C7C0D"/>
    <w:rsid w:val="004D07A7"/>
    <w:rsid w:val="004D0DB7"/>
    <w:rsid w:val="004D185D"/>
    <w:rsid w:val="004D1A18"/>
    <w:rsid w:val="004D29BC"/>
    <w:rsid w:val="004D2B87"/>
    <w:rsid w:val="004D2D85"/>
    <w:rsid w:val="004D427F"/>
    <w:rsid w:val="004D42CB"/>
    <w:rsid w:val="004D496B"/>
    <w:rsid w:val="004D6FFC"/>
    <w:rsid w:val="004D7067"/>
    <w:rsid w:val="004E0357"/>
    <w:rsid w:val="004E04B6"/>
    <w:rsid w:val="004E17DF"/>
    <w:rsid w:val="004E19B0"/>
    <w:rsid w:val="004E44A3"/>
    <w:rsid w:val="004E5BBE"/>
    <w:rsid w:val="004F02E2"/>
    <w:rsid w:val="004F0B1D"/>
    <w:rsid w:val="004F190D"/>
    <w:rsid w:val="004F2401"/>
    <w:rsid w:val="004F2642"/>
    <w:rsid w:val="004F348F"/>
    <w:rsid w:val="004F48E1"/>
    <w:rsid w:val="004F5092"/>
    <w:rsid w:val="004F5976"/>
    <w:rsid w:val="004F5A6B"/>
    <w:rsid w:val="004F5B6A"/>
    <w:rsid w:val="004F5DB5"/>
    <w:rsid w:val="004F5E2F"/>
    <w:rsid w:val="004F5F7F"/>
    <w:rsid w:val="004F65EB"/>
    <w:rsid w:val="004F7057"/>
    <w:rsid w:val="004F75F1"/>
    <w:rsid w:val="0050038F"/>
    <w:rsid w:val="005003F8"/>
    <w:rsid w:val="005011C3"/>
    <w:rsid w:val="00501E38"/>
    <w:rsid w:val="00503590"/>
    <w:rsid w:val="00503776"/>
    <w:rsid w:val="00504492"/>
    <w:rsid w:val="0050589B"/>
    <w:rsid w:val="005102E7"/>
    <w:rsid w:val="00510B10"/>
    <w:rsid w:val="00510FF2"/>
    <w:rsid w:val="005119DF"/>
    <w:rsid w:val="00512312"/>
    <w:rsid w:val="00513E3C"/>
    <w:rsid w:val="005149B1"/>
    <w:rsid w:val="00515493"/>
    <w:rsid w:val="00515E06"/>
    <w:rsid w:val="00517B7F"/>
    <w:rsid w:val="005205C5"/>
    <w:rsid w:val="00520759"/>
    <w:rsid w:val="005212CA"/>
    <w:rsid w:val="00522364"/>
    <w:rsid w:val="00522D42"/>
    <w:rsid w:val="00524575"/>
    <w:rsid w:val="0052461A"/>
    <w:rsid w:val="005258EC"/>
    <w:rsid w:val="0052641A"/>
    <w:rsid w:val="00530809"/>
    <w:rsid w:val="00532D83"/>
    <w:rsid w:val="00537248"/>
    <w:rsid w:val="00537F5F"/>
    <w:rsid w:val="00541490"/>
    <w:rsid w:val="0054151A"/>
    <w:rsid w:val="00541D3E"/>
    <w:rsid w:val="00541F54"/>
    <w:rsid w:val="00542D00"/>
    <w:rsid w:val="005450A5"/>
    <w:rsid w:val="00545133"/>
    <w:rsid w:val="00545162"/>
    <w:rsid w:val="005451BC"/>
    <w:rsid w:val="005458AF"/>
    <w:rsid w:val="005460FB"/>
    <w:rsid w:val="00546FCB"/>
    <w:rsid w:val="0054720F"/>
    <w:rsid w:val="00547C23"/>
    <w:rsid w:val="005501AB"/>
    <w:rsid w:val="0055035B"/>
    <w:rsid w:val="00551749"/>
    <w:rsid w:val="0055370E"/>
    <w:rsid w:val="00553E12"/>
    <w:rsid w:val="005540E2"/>
    <w:rsid w:val="00554ADB"/>
    <w:rsid w:val="00556468"/>
    <w:rsid w:val="00556DD4"/>
    <w:rsid w:val="00556EEA"/>
    <w:rsid w:val="005574ED"/>
    <w:rsid w:val="005579ED"/>
    <w:rsid w:val="00557D5A"/>
    <w:rsid w:val="00560C2E"/>
    <w:rsid w:val="005616E1"/>
    <w:rsid w:val="00561CBC"/>
    <w:rsid w:val="00561DA9"/>
    <w:rsid w:val="00561EEC"/>
    <w:rsid w:val="00561EED"/>
    <w:rsid w:val="005633AB"/>
    <w:rsid w:val="00565897"/>
    <w:rsid w:val="00565CAB"/>
    <w:rsid w:val="00566686"/>
    <w:rsid w:val="0057173F"/>
    <w:rsid w:val="00573059"/>
    <w:rsid w:val="005731FA"/>
    <w:rsid w:val="00573696"/>
    <w:rsid w:val="00573A1E"/>
    <w:rsid w:val="00573D59"/>
    <w:rsid w:val="005745F3"/>
    <w:rsid w:val="00574B69"/>
    <w:rsid w:val="0057766A"/>
    <w:rsid w:val="00580B4E"/>
    <w:rsid w:val="005821F5"/>
    <w:rsid w:val="0058347F"/>
    <w:rsid w:val="005834D6"/>
    <w:rsid w:val="005835F8"/>
    <w:rsid w:val="00583B94"/>
    <w:rsid w:val="00583BA5"/>
    <w:rsid w:val="00584067"/>
    <w:rsid w:val="00584681"/>
    <w:rsid w:val="00586A74"/>
    <w:rsid w:val="00586A99"/>
    <w:rsid w:val="00587889"/>
    <w:rsid w:val="00590959"/>
    <w:rsid w:val="00593A6E"/>
    <w:rsid w:val="00594F46"/>
    <w:rsid w:val="00595402"/>
    <w:rsid w:val="00596656"/>
    <w:rsid w:val="00596896"/>
    <w:rsid w:val="00596C2E"/>
    <w:rsid w:val="005A01F1"/>
    <w:rsid w:val="005A1259"/>
    <w:rsid w:val="005A206E"/>
    <w:rsid w:val="005A4238"/>
    <w:rsid w:val="005A495F"/>
    <w:rsid w:val="005A49F3"/>
    <w:rsid w:val="005A5052"/>
    <w:rsid w:val="005A68A4"/>
    <w:rsid w:val="005B0368"/>
    <w:rsid w:val="005B0958"/>
    <w:rsid w:val="005B1DF0"/>
    <w:rsid w:val="005B1F2F"/>
    <w:rsid w:val="005B24A7"/>
    <w:rsid w:val="005B2524"/>
    <w:rsid w:val="005B2601"/>
    <w:rsid w:val="005B2807"/>
    <w:rsid w:val="005B285C"/>
    <w:rsid w:val="005B286F"/>
    <w:rsid w:val="005B3384"/>
    <w:rsid w:val="005B3907"/>
    <w:rsid w:val="005B3FC0"/>
    <w:rsid w:val="005B4388"/>
    <w:rsid w:val="005B472F"/>
    <w:rsid w:val="005B4A6F"/>
    <w:rsid w:val="005B55B9"/>
    <w:rsid w:val="005B562D"/>
    <w:rsid w:val="005B5FFF"/>
    <w:rsid w:val="005B6224"/>
    <w:rsid w:val="005B6F96"/>
    <w:rsid w:val="005B7ED3"/>
    <w:rsid w:val="005B7F93"/>
    <w:rsid w:val="005C1322"/>
    <w:rsid w:val="005C13C3"/>
    <w:rsid w:val="005C2109"/>
    <w:rsid w:val="005C34E9"/>
    <w:rsid w:val="005C3686"/>
    <w:rsid w:val="005C4BBF"/>
    <w:rsid w:val="005C4D3C"/>
    <w:rsid w:val="005C4D70"/>
    <w:rsid w:val="005C67CA"/>
    <w:rsid w:val="005C6AF0"/>
    <w:rsid w:val="005C7B52"/>
    <w:rsid w:val="005D0979"/>
    <w:rsid w:val="005D0BDE"/>
    <w:rsid w:val="005D0D73"/>
    <w:rsid w:val="005D10AA"/>
    <w:rsid w:val="005D19A4"/>
    <w:rsid w:val="005D225D"/>
    <w:rsid w:val="005D2F4B"/>
    <w:rsid w:val="005D320A"/>
    <w:rsid w:val="005D37F9"/>
    <w:rsid w:val="005D3E8B"/>
    <w:rsid w:val="005D3F38"/>
    <w:rsid w:val="005D4CD1"/>
    <w:rsid w:val="005D5476"/>
    <w:rsid w:val="005D561D"/>
    <w:rsid w:val="005D5D67"/>
    <w:rsid w:val="005D6274"/>
    <w:rsid w:val="005D68F4"/>
    <w:rsid w:val="005D6B85"/>
    <w:rsid w:val="005E13E0"/>
    <w:rsid w:val="005E1CEE"/>
    <w:rsid w:val="005E22E1"/>
    <w:rsid w:val="005E2605"/>
    <w:rsid w:val="005E32AE"/>
    <w:rsid w:val="005E3404"/>
    <w:rsid w:val="005E3961"/>
    <w:rsid w:val="005E3FC1"/>
    <w:rsid w:val="005E4F96"/>
    <w:rsid w:val="005E5DD8"/>
    <w:rsid w:val="005E6B86"/>
    <w:rsid w:val="005E7330"/>
    <w:rsid w:val="005E764C"/>
    <w:rsid w:val="005F08B6"/>
    <w:rsid w:val="005F0ABB"/>
    <w:rsid w:val="005F0C65"/>
    <w:rsid w:val="005F1E9B"/>
    <w:rsid w:val="005F1FB9"/>
    <w:rsid w:val="005F2891"/>
    <w:rsid w:val="005F39BA"/>
    <w:rsid w:val="005F45BB"/>
    <w:rsid w:val="005F4B5F"/>
    <w:rsid w:val="005F4E0F"/>
    <w:rsid w:val="005F564D"/>
    <w:rsid w:val="005F6D8C"/>
    <w:rsid w:val="005F7839"/>
    <w:rsid w:val="005F7C67"/>
    <w:rsid w:val="00600A6B"/>
    <w:rsid w:val="00601910"/>
    <w:rsid w:val="00601C47"/>
    <w:rsid w:val="00601CA5"/>
    <w:rsid w:val="00603265"/>
    <w:rsid w:val="006043DB"/>
    <w:rsid w:val="00604922"/>
    <w:rsid w:val="006071E5"/>
    <w:rsid w:val="00610896"/>
    <w:rsid w:val="0061183E"/>
    <w:rsid w:val="00611FF6"/>
    <w:rsid w:val="00616463"/>
    <w:rsid w:val="00616A6A"/>
    <w:rsid w:val="00616F98"/>
    <w:rsid w:val="006173EF"/>
    <w:rsid w:val="00617DD0"/>
    <w:rsid w:val="00620CB0"/>
    <w:rsid w:val="0062279C"/>
    <w:rsid w:val="00623116"/>
    <w:rsid w:val="00623241"/>
    <w:rsid w:val="006240FD"/>
    <w:rsid w:val="0062412A"/>
    <w:rsid w:val="006245C1"/>
    <w:rsid w:val="00624891"/>
    <w:rsid w:val="00624904"/>
    <w:rsid w:val="00625B46"/>
    <w:rsid w:val="00625B9F"/>
    <w:rsid w:val="00626942"/>
    <w:rsid w:val="00626C71"/>
    <w:rsid w:val="00627DD0"/>
    <w:rsid w:val="00630164"/>
    <w:rsid w:val="00630EF4"/>
    <w:rsid w:val="0063170E"/>
    <w:rsid w:val="00631AB5"/>
    <w:rsid w:val="006329AC"/>
    <w:rsid w:val="00632FEF"/>
    <w:rsid w:val="0063477C"/>
    <w:rsid w:val="006365CA"/>
    <w:rsid w:val="00636C0C"/>
    <w:rsid w:val="0064044A"/>
    <w:rsid w:val="0064119D"/>
    <w:rsid w:val="00642400"/>
    <w:rsid w:val="00642770"/>
    <w:rsid w:val="0064326A"/>
    <w:rsid w:val="00643513"/>
    <w:rsid w:val="00643BA5"/>
    <w:rsid w:val="00643EDD"/>
    <w:rsid w:val="00643F5E"/>
    <w:rsid w:val="00644877"/>
    <w:rsid w:val="00645FA1"/>
    <w:rsid w:val="00645FEC"/>
    <w:rsid w:val="0064632E"/>
    <w:rsid w:val="00646984"/>
    <w:rsid w:val="00647C3B"/>
    <w:rsid w:val="00653185"/>
    <w:rsid w:val="006535F5"/>
    <w:rsid w:val="00654AA9"/>
    <w:rsid w:val="00654DA6"/>
    <w:rsid w:val="00655161"/>
    <w:rsid w:val="0065528E"/>
    <w:rsid w:val="00655DF6"/>
    <w:rsid w:val="00655E40"/>
    <w:rsid w:val="00655E71"/>
    <w:rsid w:val="00656744"/>
    <w:rsid w:val="00656E31"/>
    <w:rsid w:val="00657C44"/>
    <w:rsid w:val="00657ED6"/>
    <w:rsid w:val="006601C5"/>
    <w:rsid w:val="00660FE2"/>
    <w:rsid w:val="00661FA8"/>
    <w:rsid w:val="0066234D"/>
    <w:rsid w:val="00662D64"/>
    <w:rsid w:val="00663B26"/>
    <w:rsid w:val="006644BE"/>
    <w:rsid w:val="00666B69"/>
    <w:rsid w:val="00666C13"/>
    <w:rsid w:val="00667BD3"/>
    <w:rsid w:val="00667DB0"/>
    <w:rsid w:val="00670BD1"/>
    <w:rsid w:val="006717A4"/>
    <w:rsid w:val="00671894"/>
    <w:rsid w:val="00671C18"/>
    <w:rsid w:val="00672859"/>
    <w:rsid w:val="006742D5"/>
    <w:rsid w:val="0067480D"/>
    <w:rsid w:val="0067574A"/>
    <w:rsid w:val="006771F5"/>
    <w:rsid w:val="00677C64"/>
    <w:rsid w:val="00677E50"/>
    <w:rsid w:val="00677F62"/>
    <w:rsid w:val="00680553"/>
    <w:rsid w:val="00681498"/>
    <w:rsid w:val="006828DC"/>
    <w:rsid w:val="00684463"/>
    <w:rsid w:val="00684723"/>
    <w:rsid w:val="00684888"/>
    <w:rsid w:val="00684990"/>
    <w:rsid w:val="00684B64"/>
    <w:rsid w:val="006852A3"/>
    <w:rsid w:val="00686C5C"/>
    <w:rsid w:val="006901E4"/>
    <w:rsid w:val="006904A2"/>
    <w:rsid w:val="0069085B"/>
    <w:rsid w:val="006929CA"/>
    <w:rsid w:val="006929FA"/>
    <w:rsid w:val="00693E3C"/>
    <w:rsid w:val="00694424"/>
    <w:rsid w:val="00694D61"/>
    <w:rsid w:val="0069569A"/>
    <w:rsid w:val="00695BA3"/>
    <w:rsid w:val="00696733"/>
    <w:rsid w:val="0069761D"/>
    <w:rsid w:val="00697ABC"/>
    <w:rsid w:val="006A11C4"/>
    <w:rsid w:val="006A16F3"/>
    <w:rsid w:val="006A3181"/>
    <w:rsid w:val="006A3AAC"/>
    <w:rsid w:val="006A492B"/>
    <w:rsid w:val="006A57C5"/>
    <w:rsid w:val="006A5CE3"/>
    <w:rsid w:val="006B04AC"/>
    <w:rsid w:val="006B12E9"/>
    <w:rsid w:val="006B1A25"/>
    <w:rsid w:val="006B293D"/>
    <w:rsid w:val="006B36E1"/>
    <w:rsid w:val="006B48A3"/>
    <w:rsid w:val="006B5379"/>
    <w:rsid w:val="006B70A2"/>
    <w:rsid w:val="006C19C4"/>
    <w:rsid w:val="006C2EA8"/>
    <w:rsid w:val="006C3017"/>
    <w:rsid w:val="006C5682"/>
    <w:rsid w:val="006C5EE4"/>
    <w:rsid w:val="006C600E"/>
    <w:rsid w:val="006C6904"/>
    <w:rsid w:val="006C6B6A"/>
    <w:rsid w:val="006D018A"/>
    <w:rsid w:val="006D31A9"/>
    <w:rsid w:val="006D3210"/>
    <w:rsid w:val="006D3892"/>
    <w:rsid w:val="006D3BC2"/>
    <w:rsid w:val="006D3F7F"/>
    <w:rsid w:val="006D52D8"/>
    <w:rsid w:val="006D563A"/>
    <w:rsid w:val="006D5747"/>
    <w:rsid w:val="006D66CE"/>
    <w:rsid w:val="006D6FC2"/>
    <w:rsid w:val="006E115C"/>
    <w:rsid w:val="006E23B3"/>
    <w:rsid w:val="006E2A40"/>
    <w:rsid w:val="006E2E49"/>
    <w:rsid w:val="006E3E7D"/>
    <w:rsid w:val="006E3F0D"/>
    <w:rsid w:val="006E4804"/>
    <w:rsid w:val="006E5092"/>
    <w:rsid w:val="006E6272"/>
    <w:rsid w:val="006E68EC"/>
    <w:rsid w:val="006E6C5A"/>
    <w:rsid w:val="006F02EF"/>
    <w:rsid w:val="006F0687"/>
    <w:rsid w:val="006F0914"/>
    <w:rsid w:val="006F093D"/>
    <w:rsid w:val="006F1D19"/>
    <w:rsid w:val="006F317B"/>
    <w:rsid w:val="006F37D2"/>
    <w:rsid w:val="006F3AAC"/>
    <w:rsid w:val="006F3E6D"/>
    <w:rsid w:val="006F4134"/>
    <w:rsid w:val="006F43DB"/>
    <w:rsid w:val="006F4F94"/>
    <w:rsid w:val="006F522E"/>
    <w:rsid w:val="006F6FE7"/>
    <w:rsid w:val="006F733C"/>
    <w:rsid w:val="006F7A7B"/>
    <w:rsid w:val="0070035B"/>
    <w:rsid w:val="00700EA0"/>
    <w:rsid w:val="0070195E"/>
    <w:rsid w:val="00703C93"/>
    <w:rsid w:val="00703D8E"/>
    <w:rsid w:val="00704627"/>
    <w:rsid w:val="00704B57"/>
    <w:rsid w:val="0070526B"/>
    <w:rsid w:val="00706252"/>
    <w:rsid w:val="007068B6"/>
    <w:rsid w:val="00710712"/>
    <w:rsid w:val="00710FD2"/>
    <w:rsid w:val="007119C4"/>
    <w:rsid w:val="00711AEC"/>
    <w:rsid w:val="0071221D"/>
    <w:rsid w:val="00712235"/>
    <w:rsid w:val="00712597"/>
    <w:rsid w:val="00714CC6"/>
    <w:rsid w:val="007155E5"/>
    <w:rsid w:val="00715DE6"/>
    <w:rsid w:val="00715FAE"/>
    <w:rsid w:val="007172BB"/>
    <w:rsid w:val="00720010"/>
    <w:rsid w:val="00720737"/>
    <w:rsid w:val="00720AF6"/>
    <w:rsid w:val="007210B5"/>
    <w:rsid w:val="00722214"/>
    <w:rsid w:val="00722345"/>
    <w:rsid w:val="00722450"/>
    <w:rsid w:val="00722926"/>
    <w:rsid w:val="00722AD9"/>
    <w:rsid w:val="007239C8"/>
    <w:rsid w:val="00724660"/>
    <w:rsid w:val="00724AE0"/>
    <w:rsid w:val="0072522C"/>
    <w:rsid w:val="00725801"/>
    <w:rsid w:val="007266C7"/>
    <w:rsid w:val="00726AA5"/>
    <w:rsid w:val="00726C9F"/>
    <w:rsid w:val="00727098"/>
    <w:rsid w:val="00727161"/>
    <w:rsid w:val="00727690"/>
    <w:rsid w:val="007279B8"/>
    <w:rsid w:val="007301E0"/>
    <w:rsid w:val="00730221"/>
    <w:rsid w:val="007306A7"/>
    <w:rsid w:val="00730AB0"/>
    <w:rsid w:val="00730C79"/>
    <w:rsid w:val="00730ECB"/>
    <w:rsid w:val="00731116"/>
    <w:rsid w:val="007311AD"/>
    <w:rsid w:val="0073149B"/>
    <w:rsid w:val="0073186E"/>
    <w:rsid w:val="00732D25"/>
    <w:rsid w:val="007331B0"/>
    <w:rsid w:val="00733F12"/>
    <w:rsid w:val="007345B1"/>
    <w:rsid w:val="00734782"/>
    <w:rsid w:val="00734897"/>
    <w:rsid w:val="00735612"/>
    <w:rsid w:val="007357CB"/>
    <w:rsid w:val="00736E94"/>
    <w:rsid w:val="00737725"/>
    <w:rsid w:val="00737DC4"/>
    <w:rsid w:val="00737DE3"/>
    <w:rsid w:val="00737ECA"/>
    <w:rsid w:val="00740576"/>
    <w:rsid w:val="007410DC"/>
    <w:rsid w:val="00742943"/>
    <w:rsid w:val="00742D13"/>
    <w:rsid w:val="00742DCB"/>
    <w:rsid w:val="00742F7A"/>
    <w:rsid w:val="00743181"/>
    <w:rsid w:val="007435E1"/>
    <w:rsid w:val="00743D66"/>
    <w:rsid w:val="00747AAB"/>
    <w:rsid w:val="007503DC"/>
    <w:rsid w:val="00750D42"/>
    <w:rsid w:val="007533C5"/>
    <w:rsid w:val="00753A60"/>
    <w:rsid w:val="00753DF7"/>
    <w:rsid w:val="00754341"/>
    <w:rsid w:val="007547C8"/>
    <w:rsid w:val="00754DDA"/>
    <w:rsid w:val="00754E80"/>
    <w:rsid w:val="00755895"/>
    <w:rsid w:val="007562BD"/>
    <w:rsid w:val="00757405"/>
    <w:rsid w:val="007578A0"/>
    <w:rsid w:val="00760CEC"/>
    <w:rsid w:val="00763803"/>
    <w:rsid w:val="00764DEA"/>
    <w:rsid w:val="00764F58"/>
    <w:rsid w:val="007651F3"/>
    <w:rsid w:val="007653D1"/>
    <w:rsid w:val="007656D4"/>
    <w:rsid w:val="00765CA5"/>
    <w:rsid w:val="00765F6A"/>
    <w:rsid w:val="00765FBC"/>
    <w:rsid w:val="00766958"/>
    <w:rsid w:val="00767924"/>
    <w:rsid w:val="00767E8D"/>
    <w:rsid w:val="00767F73"/>
    <w:rsid w:val="00770931"/>
    <w:rsid w:val="00770EAE"/>
    <w:rsid w:val="00771972"/>
    <w:rsid w:val="00771D54"/>
    <w:rsid w:val="007723F8"/>
    <w:rsid w:val="0077252F"/>
    <w:rsid w:val="00772B4D"/>
    <w:rsid w:val="00773BCE"/>
    <w:rsid w:val="00776727"/>
    <w:rsid w:val="00777197"/>
    <w:rsid w:val="007772C3"/>
    <w:rsid w:val="007779DA"/>
    <w:rsid w:val="00780017"/>
    <w:rsid w:val="0078024B"/>
    <w:rsid w:val="00780E4D"/>
    <w:rsid w:val="0078101E"/>
    <w:rsid w:val="00782A98"/>
    <w:rsid w:val="00783E67"/>
    <w:rsid w:val="00784911"/>
    <w:rsid w:val="00784C16"/>
    <w:rsid w:val="00785C88"/>
    <w:rsid w:val="007861E7"/>
    <w:rsid w:val="00786319"/>
    <w:rsid w:val="00787835"/>
    <w:rsid w:val="00790597"/>
    <w:rsid w:val="00790614"/>
    <w:rsid w:val="00790AA7"/>
    <w:rsid w:val="0079146D"/>
    <w:rsid w:val="00791FC9"/>
    <w:rsid w:val="0079340A"/>
    <w:rsid w:val="00793520"/>
    <w:rsid w:val="00793A35"/>
    <w:rsid w:val="00793CEB"/>
    <w:rsid w:val="0079496A"/>
    <w:rsid w:val="00794CC6"/>
    <w:rsid w:val="007957EC"/>
    <w:rsid w:val="0079791B"/>
    <w:rsid w:val="007A151A"/>
    <w:rsid w:val="007A2AF3"/>
    <w:rsid w:val="007A2C8F"/>
    <w:rsid w:val="007A31EC"/>
    <w:rsid w:val="007A3EA2"/>
    <w:rsid w:val="007A4033"/>
    <w:rsid w:val="007A4A90"/>
    <w:rsid w:val="007A5052"/>
    <w:rsid w:val="007A650D"/>
    <w:rsid w:val="007B1482"/>
    <w:rsid w:val="007B1520"/>
    <w:rsid w:val="007B1826"/>
    <w:rsid w:val="007B1FF7"/>
    <w:rsid w:val="007B2331"/>
    <w:rsid w:val="007B29DC"/>
    <w:rsid w:val="007B2A51"/>
    <w:rsid w:val="007B334B"/>
    <w:rsid w:val="007B3401"/>
    <w:rsid w:val="007B3DDD"/>
    <w:rsid w:val="007B4316"/>
    <w:rsid w:val="007B535A"/>
    <w:rsid w:val="007B5561"/>
    <w:rsid w:val="007B658A"/>
    <w:rsid w:val="007B7F8E"/>
    <w:rsid w:val="007C1A10"/>
    <w:rsid w:val="007C288D"/>
    <w:rsid w:val="007C3C87"/>
    <w:rsid w:val="007C5233"/>
    <w:rsid w:val="007C54D1"/>
    <w:rsid w:val="007C5A1C"/>
    <w:rsid w:val="007C66BA"/>
    <w:rsid w:val="007C7773"/>
    <w:rsid w:val="007C77BC"/>
    <w:rsid w:val="007D050D"/>
    <w:rsid w:val="007D1470"/>
    <w:rsid w:val="007D2A90"/>
    <w:rsid w:val="007D2BE1"/>
    <w:rsid w:val="007D325C"/>
    <w:rsid w:val="007D34A9"/>
    <w:rsid w:val="007D401C"/>
    <w:rsid w:val="007D43D7"/>
    <w:rsid w:val="007D45FB"/>
    <w:rsid w:val="007D4BC2"/>
    <w:rsid w:val="007D540B"/>
    <w:rsid w:val="007D63ED"/>
    <w:rsid w:val="007D7938"/>
    <w:rsid w:val="007D79F5"/>
    <w:rsid w:val="007D7A15"/>
    <w:rsid w:val="007E28EE"/>
    <w:rsid w:val="007E3798"/>
    <w:rsid w:val="007E505C"/>
    <w:rsid w:val="007E54D8"/>
    <w:rsid w:val="007E5CD3"/>
    <w:rsid w:val="007E5E25"/>
    <w:rsid w:val="007E6026"/>
    <w:rsid w:val="007E60AE"/>
    <w:rsid w:val="007E7240"/>
    <w:rsid w:val="007E7BA8"/>
    <w:rsid w:val="007F112C"/>
    <w:rsid w:val="007F233E"/>
    <w:rsid w:val="007F3C62"/>
    <w:rsid w:val="007F4D60"/>
    <w:rsid w:val="007F565B"/>
    <w:rsid w:val="007F65FF"/>
    <w:rsid w:val="0080088C"/>
    <w:rsid w:val="00801440"/>
    <w:rsid w:val="0080181C"/>
    <w:rsid w:val="0080208E"/>
    <w:rsid w:val="00802E8F"/>
    <w:rsid w:val="00804A8B"/>
    <w:rsid w:val="00806851"/>
    <w:rsid w:val="00810993"/>
    <w:rsid w:val="00812A60"/>
    <w:rsid w:val="00812B6C"/>
    <w:rsid w:val="0081378F"/>
    <w:rsid w:val="008138EE"/>
    <w:rsid w:val="008142AC"/>
    <w:rsid w:val="00815092"/>
    <w:rsid w:val="00815219"/>
    <w:rsid w:val="008157B1"/>
    <w:rsid w:val="008160CE"/>
    <w:rsid w:val="008168B9"/>
    <w:rsid w:val="00816CC4"/>
    <w:rsid w:val="00817883"/>
    <w:rsid w:val="00821A56"/>
    <w:rsid w:val="00822692"/>
    <w:rsid w:val="00823196"/>
    <w:rsid w:val="00823291"/>
    <w:rsid w:val="00823FA0"/>
    <w:rsid w:val="00824CA9"/>
    <w:rsid w:val="00825429"/>
    <w:rsid w:val="0082554A"/>
    <w:rsid w:val="00825721"/>
    <w:rsid w:val="0082605E"/>
    <w:rsid w:val="00826478"/>
    <w:rsid w:val="0083076A"/>
    <w:rsid w:val="008309D8"/>
    <w:rsid w:val="00831D30"/>
    <w:rsid w:val="008331A6"/>
    <w:rsid w:val="00833F22"/>
    <w:rsid w:val="00833F48"/>
    <w:rsid w:val="00834388"/>
    <w:rsid w:val="0083606B"/>
    <w:rsid w:val="00837319"/>
    <w:rsid w:val="008375B8"/>
    <w:rsid w:val="0084055A"/>
    <w:rsid w:val="00840BA8"/>
    <w:rsid w:val="00840F80"/>
    <w:rsid w:val="0084103B"/>
    <w:rsid w:val="00841E81"/>
    <w:rsid w:val="00842E03"/>
    <w:rsid w:val="00845A81"/>
    <w:rsid w:val="008475CF"/>
    <w:rsid w:val="008506E1"/>
    <w:rsid w:val="00853CF5"/>
    <w:rsid w:val="0085425F"/>
    <w:rsid w:val="00855EDD"/>
    <w:rsid w:val="00857CED"/>
    <w:rsid w:val="008600B8"/>
    <w:rsid w:val="008600FD"/>
    <w:rsid w:val="008618BB"/>
    <w:rsid w:val="00862259"/>
    <w:rsid w:val="00862261"/>
    <w:rsid w:val="00862D20"/>
    <w:rsid w:val="0086303A"/>
    <w:rsid w:val="00863436"/>
    <w:rsid w:val="0086422B"/>
    <w:rsid w:val="008647F0"/>
    <w:rsid w:val="008652DB"/>
    <w:rsid w:val="0086607E"/>
    <w:rsid w:val="00866C10"/>
    <w:rsid w:val="00866CE6"/>
    <w:rsid w:val="0087083B"/>
    <w:rsid w:val="00870AAC"/>
    <w:rsid w:val="0087205A"/>
    <w:rsid w:val="0087228D"/>
    <w:rsid w:val="00872531"/>
    <w:rsid w:val="00874541"/>
    <w:rsid w:val="00875EAD"/>
    <w:rsid w:val="008763B8"/>
    <w:rsid w:val="0087724A"/>
    <w:rsid w:val="00877707"/>
    <w:rsid w:val="00877D74"/>
    <w:rsid w:val="00880835"/>
    <w:rsid w:val="00880C12"/>
    <w:rsid w:val="00880F25"/>
    <w:rsid w:val="00881868"/>
    <w:rsid w:val="00882D3C"/>
    <w:rsid w:val="008832A7"/>
    <w:rsid w:val="008840F6"/>
    <w:rsid w:val="00884700"/>
    <w:rsid w:val="008852E5"/>
    <w:rsid w:val="00886E9B"/>
    <w:rsid w:val="00887DB2"/>
    <w:rsid w:val="008909F5"/>
    <w:rsid w:val="0089102D"/>
    <w:rsid w:val="008917BD"/>
    <w:rsid w:val="0089252C"/>
    <w:rsid w:val="0089489D"/>
    <w:rsid w:val="00895420"/>
    <w:rsid w:val="00896670"/>
    <w:rsid w:val="008966B3"/>
    <w:rsid w:val="00896BCE"/>
    <w:rsid w:val="008A00E5"/>
    <w:rsid w:val="008A0233"/>
    <w:rsid w:val="008A0618"/>
    <w:rsid w:val="008A1713"/>
    <w:rsid w:val="008A2666"/>
    <w:rsid w:val="008A4068"/>
    <w:rsid w:val="008A4357"/>
    <w:rsid w:val="008A4847"/>
    <w:rsid w:val="008A4F67"/>
    <w:rsid w:val="008A56A0"/>
    <w:rsid w:val="008A5997"/>
    <w:rsid w:val="008B0668"/>
    <w:rsid w:val="008B0944"/>
    <w:rsid w:val="008B0B60"/>
    <w:rsid w:val="008B328A"/>
    <w:rsid w:val="008B3394"/>
    <w:rsid w:val="008B4773"/>
    <w:rsid w:val="008B4E06"/>
    <w:rsid w:val="008B5770"/>
    <w:rsid w:val="008B617A"/>
    <w:rsid w:val="008B6A46"/>
    <w:rsid w:val="008B6A7B"/>
    <w:rsid w:val="008B6B15"/>
    <w:rsid w:val="008B6E3B"/>
    <w:rsid w:val="008B75B3"/>
    <w:rsid w:val="008B7F6E"/>
    <w:rsid w:val="008C0A3A"/>
    <w:rsid w:val="008C0C52"/>
    <w:rsid w:val="008C0FD6"/>
    <w:rsid w:val="008C1710"/>
    <w:rsid w:val="008C2068"/>
    <w:rsid w:val="008C26E8"/>
    <w:rsid w:val="008C3417"/>
    <w:rsid w:val="008C3A69"/>
    <w:rsid w:val="008C42A0"/>
    <w:rsid w:val="008C447C"/>
    <w:rsid w:val="008C4596"/>
    <w:rsid w:val="008C538B"/>
    <w:rsid w:val="008C5FCC"/>
    <w:rsid w:val="008C609E"/>
    <w:rsid w:val="008C621E"/>
    <w:rsid w:val="008C6999"/>
    <w:rsid w:val="008C721A"/>
    <w:rsid w:val="008C7E4A"/>
    <w:rsid w:val="008D0A5D"/>
    <w:rsid w:val="008D0B82"/>
    <w:rsid w:val="008D0BEF"/>
    <w:rsid w:val="008D0D2D"/>
    <w:rsid w:val="008D1BFA"/>
    <w:rsid w:val="008D21FA"/>
    <w:rsid w:val="008D2E9F"/>
    <w:rsid w:val="008D363E"/>
    <w:rsid w:val="008D3AB0"/>
    <w:rsid w:val="008D475C"/>
    <w:rsid w:val="008D6EEF"/>
    <w:rsid w:val="008D7E97"/>
    <w:rsid w:val="008D7EA5"/>
    <w:rsid w:val="008E0234"/>
    <w:rsid w:val="008E0581"/>
    <w:rsid w:val="008E1C5D"/>
    <w:rsid w:val="008E1C69"/>
    <w:rsid w:val="008E1E4D"/>
    <w:rsid w:val="008E2110"/>
    <w:rsid w:val="008E21BE"/>
    <w:rsid w:val="008E4179"/>
    <w:rsid w:val="008E480E"/>
    <w:rsid w:val="008E59C2"/>
    <w:rsid w:val="008E67FF"/>
    <w:rsid w:val="008E699B"/>
    <w:rsid w:val="008E69E2"/>
    <w:rsid w:val="008E70AD"/>
    <w:rsid w:val="008E74F6"/>
    <w:rsid w:val="008E7651"/>
    <w:rsid w:val="008F042E"/>
    <w:rsid w:val="008F08D3"/>
    <w:rsid w:val="008F0C20"/>
    <w:rsid w:val="008F1F15"/>
    <w:rsid w:val="008F203D"/>
    <w:rsid w:val="008F2333"/>
    <w:rsid w:val="008F2409"/>
    <w:rsid w:val="008F3830"/>
    <w:rsid w:val="008F4C5F"/>
    <w:rsid w:val="008F4F62"/>
    <w:rsid w:val="008F5870"/>
    <w:rsid w:val="008F5A1D"/>
    <w:rsid w:val="008F5C46"/>
    <w:rsid w:val="008F6F7E"/>
    <w:rsid w:val="008F6FA6"/>
    <w:rsid w:val="00901277"/>
    <w:rsid w:val="00901F68"/>
    <w:rsid w:val="009058F2"/>
    <w:rsid w:val="00905EC9"/>
    <w:rsid w:val="00907A9F"/>
    <w:rsid w:val="009113A6"/>
    <w:rsid w:val="009117C5"/>
    <w:rsid w:val="00912A44"/>
    <w:rsid w:val="00912C9A"/>
    <w:rsid w:val="00913B0E"/>
    <w:rsid w:val="00913BF1"/>
    <w:rsid w:val="009144BE"/>
    <w:rsid w:val="009156AF"/>
    <w:rsid w:val="009165F6"/>
    <w:rsid w:val="009203E9"/>
    <w:rsid w:val="00920B81"/>
    <w:rsid w:val="00920DEC"/>
    <w:rsid w:val="00921F1B"/>
    <w:rsid w:val="0092346F"/>
    <w:rsid w:val="00923D7A"/>
    <w:rsid w:val="009240E9"/>
    <w:rsid w:val="00924B16"/>
    <w:rsid w:val="00924B1E"/>
    <w:rsid w:val="0092573F"/>
    <w:rsid w:val="00925CA8"/>
    <w:rsid w:val="009263F3"/>
    <w:rsid w:val="009279B5"/>
    <w:rsid w:val="00932B65"/>
    <w:rsid w:val="00933211"/>
    <w:rsid w:val="00934F46"/>
    <w:rsid w:val="00935461"/>
    <w:rsid w:val="00941433"/>
    <w:rsid w:val="00941EDE"/>
    <w:rsid w:val="0094221D"/>
    <w:rsid w:val="009428F1"/>
    <w:rsid w:val="00942C67"/>
    <w:rsid w:val="0094365D"/>
    <w:rsid w:val="00943FBD"/>
    <w:rsid w:val="0094569E"/>
    <w:rsid w:val="009459E3"/>
    <w:rsid w:val="009513B9"/>
    <w:rsid w:val="009521C6"/>
    <w:rsid w:val="009524FA"/>
    <w:rsid w:val="00952888"/>
    <w:rsid w:val="0095341E"/>
    <w:rsid w:val="00953C34"/>
    <w:rsid w:val="00954250"/>
    <w:rsid w:val="00954499"/>
    <w:rsid w:val="0095460A"/>
    <w:rsid w:val="00954631"/>
    <w:rsid w:val="009546B4"/>
    <w:rsid w:val="00955917"/>
    <w:rsid w:val="00956EB7"/>
    <w:rsid w:val="00960E02"/>
    <w:rsid w:val="0096112C"/>
    <w:rsid w:val="00961BE0"/>
    <w:rsid w:val="00962AA9"/>
    <w:rsid w:val="0096376B"/>
    <w:rsid w:val="009638E1"/>
    <w:rsid w:val="00964374"/>
    <w:rsid w:val="0096670C"/>
    <w:rsid w:val="0096744D"/>
    <w:rsid w:val="0096772D"/>
    <w:rsid w:val="00967756"/>
    <w:rsid w:val="0097051D"/>
    <w:rsid w:val="00971339"/>
    <w:rsid w:val="00972341"/>
    <w:rsid w:val="0097256E"/>
    <w:rsid w:val="00972B78"/>
    <w:rsid w:val="009742B3"/>
    <w:rsid w:val="00975026"/>
    <w:rsid w:val="00975B37"/>
    <w:rsid w:val="00975F34"/>
    <w:rsid w:val="00976AFB"/>
    <w:rsid w:val="00976D14"/>
    <w:rsid w:val="00977431"/>
    <w:rsid w:val="00977DAE"/>
    <w:rsid w:val="0098000F"/>
    <w:rsid w:val="00980088"/>
    <w:rsid w:val="009800B7"/>
    <w:rsid w:val="00980E49"/>
    <w:rsid w:val="0098353A"/>
    <w:rsid w:val="0098368D"/>
    <w:rsid w:val="00983A01"/>
    <w:rsid w:val="00985963"/>
    <w:rsid w:val="00985BC0"/>
    <w:rsid w:val="00985E55"/>
    <w:rsid w:val="00985F6F"/>
    <w:rsid w:val="00987D5F"/>
    <w:rsid w:val="009900FD"/>
    <w:rsid w:val="00991D6F"/>
    <w:rsid w:val="0099443F"/>
    <w:rsid w:val="00994530"/>
    <w:rsid w:val="0099567B"/>
    <w:rsid w:val="00995B9C"/>
    <w:rsid w:val="00995DDC"/>
    <w:rsid w:val="00996EF8"/>
    <w:rsid w:val="009A046A"/>
    <w:rsid w:val="009A17F3"/>
    <w:rsid w:val="009A188F"/>
    <w:rsid w:val="009A1C2C"/>
    <w:rsid w:val="009A26AB"/>
    <w:rsid w:val="009A2BBA"/>
    <w:rsid w:val="009A371B"/>
    <w:rsid w:val="009A3849"/>
    <w:rsid w:val="009A404F"/>
    <w:rsid w:val="009A5262"/>
    <w:rsid w:val="009A6033"/>
    <w:rsid w:val="009A6144"/>
    <w:rsid w:val="009A7F2E"/>
    <w:rsid w:val="009B00DD"/>
    <w:rsid w:val="009B0838"/>
    <w:rsid w:val="009B0D92"/>
    <w:rsid w:val="009B106D"/>
    <w:rsid w:val="009B313F"/>
    <w:rsid w:val="009B3799"/>
    <w:rsid w:val="009B528E"/>
    <w:rsid w:val="009B5EF5"/>
    <w:rsid w:val="009B78E4"/>
    <w:rsid w:val="009C07F1"/>
    <w:rsid w:val="009C0E23"/>
    <w:rsid w:val="009C1114"/>
    <w:rsid w:val="009C1B4B"/>
    <w:rsid w:val="009C2247"/>
    <w:rsid w:val="009C311A"/>
    <w:rsid w:val="009C312A"/>
    <w:rsid w:val="009C3F07"/>
    <w:rsid w:val="009C4A32"/>
    <w:rsid w:val="009C5BA8"/>
    <w:rsid w:val="009C5ECB"/>
    <w:rsid w:val="009C6A16"/>
    <w:rsid w:val="009C7F51"/>
    <w:rsid w:val="009D2502"/>
    <w:rsid w:val="009D2D96"/>
    <w:rsid w:val="009D4E15"/>
    <w:rsid w:val="009D5BA0"/>
    <w:rsid w:val="009D5CCD"/>
    <w:rsid w:val="009D65DB"/>
    <w:rsid w:val="009D6EE8"/>
    <w:rsid w:val="009E0B24"/>
    <w:rsid w:val="009E120F"/>
    <w:rsid w:val="009E16F5"/>
    <w:rsid w:val="009E1913"/>
    <w:rsid w:val="009E294B"/>
    <w:rsid w:val="009E29BC"/>
    <w:rsid w:val="009E3C2B"/>
    <w:rsid w:val="009E48D1"/>
    <w:rsid w:val="009E4D6C"/>
    <w:rsid w:val="009E5476"/>
    <w:rsid w:val="009E5715"/>
    <w:rsid w:val="009E5845"/>
    <w:rsid w:val="009E60D0"/>
    <w:rsid w:val="009E649A"/>
    <w:rsid w:val="009E66F5"/>
    <w:rsid w:val="009E678D"/>
    <w:rsid w:val="009E7621"/>
    <w:rsid w:val="009F0DCC"/>
    <w:rsid w:val="009F270C"/>
    <w:rsid w:val="009F290C"/>
    <w:rsid w:val="009F2AF2"/>
    <w:rsid w:val="009F30D7"/>
    <w:rsid w:val="009F3838"/>
    <w:rsid w:val="009F5B07"/>
    <w:rsid w:val="009F6404"/>
    <w:rsid w:val="009F6D3D"/>
    <w:rsid w:val="009F6E06"/>
    <w:rsid w:val="009F7163"/>
    <w:rsid w:val="009F7BFF"/>
    <w:rsid w:val="00A02944"/>
    <w:rsid w:val="00A039FC"/>
    <w:rsid w:val="00A0493F"/>
    <w:rsid w:val="00A04C85"/>
    <w:rsid w:val="00A0579C"/>
    <w:rsid w:val="00A06C15"/>
    <w:rsid w:val="00A10CD6"/>
    <w:rsid w:val="00A11070"/>
    <w:rsid w:val="00A11842"/>
    <w:rsid w:val="00A12284"/>
    <w:rsid w:val="00A12411"/>
    <w:rsid w:val="00A12B8F"/>
    <w:rsid w:val="00A14F6E"/>
    <w:rsid w:val="00A16699"/>
    <w:rsid w:val="00A1669F"/>
    <w:rsid w:val="00A1774F"/>
    <w:rsid w:val="00A17EF2"/>
    <w:rsid w:val="00A208E7"/>
    <w:rsid w:val="00A2147C"/>
    <w:rsid w:val="00A22BF5"/>
    <w:rsid w:val="00A232EA"/>
    <w:rsid w:val="00A23508"/>
    <w:rsid w:val="00A23513"/>
    <w:rsid w:val="00A23CC7"/>
    <w:rsid w:val="00A23F10"/>
    <w:rsid w:val="00A30AD4"/>
    <w:rsid w:val="00A30C51"/>
    <w:rsid w:val="00A30DD2"/>
    <w:rsid w:val="00A31250"/>
    <w:rsid w:val="00A32BFD"/>
    <w:rsid w:val="00A338DF"/>
    <w:rsid w:val="00A33A26"/>
    <w:rsid w:val="00A34762"/>
    <w:rsid w:val="00A34778"/>
    <w:rsid w:val="00A3481A"/>
    <w:rsid w:val="00A348DA"/>
    <w:rsid w:val="00A354C5"/>
    <w:rsid w:val="00A35730"/>
    <w:rsid w:val="00A35BF1"/>
    <w:rsid w:val="00A36A5B"/>
    <w:rsid w:val="00A36AA3"/>
    <w:rsid w:val="00A40B43"/>
    <w:rsid w:val="00A40BAB"/>
    <w:rsid w:val="00A432D2"/>
    <w:rsid w:val="00A43EF8"/>
    <w:rsid w:val="00A44B9F"/>
    <w:rsid w:val="00A45248"/>
    <w:rsid w:val="00A46A88"/>
    <w:rsid w:val="00A46EE7"/>
    <w:rsid w:val="00A46EFB"/>
    <w:rsid w:val="00A50AF3"/>
    <w:rsid w:val="00A50FBA"/>
    <w:rsid w:val="00A52C11"/>
    <w:rsid w:val="00A52EB8"/>
    <w:rsid w:val="00A52F53"/>
    <w:rsid w:val="00A530A0"/>
    <w:rsid w:val="00A531B1"/>
    <w:rsid w:val="00A54180"/>
    <w:rsid w:val="00A541C4"/>
    <w:rsid w:val="00A54341"/>
    <w:rsid w:val="00A5475F"/>
    <w:rsid w:val="00A54FA0"/>
    <w:rsid w:val="00A55E15"/>
    <w:rsid w:val="00A55E5B"/>
    <w:rsid w:val="00A55F26"/>
    <w:rsid w:val="00A562B8"/>
    <w:rsid w:val="00A56DDE"/>
    <w:rsid w:val="00A57B7C"/>
    <w:rsid w:val="00A600D3"/>
    <w:rsid w:val="00A60D47"/>
    <w:rsid w:val="00A6126E"/>
    <w:rsid w:val="00A612F4"/>
    <w:rsid w:val="00A61A6B"/>
    <w:rsid w:val="00A623C9"/>
    <w:rsid w:val="00A62DCB"/>
    <w:rsid w:val="00A66A1B"/>
    <w:rsid w:val="00A66D05"/>
    <w:rsid w:val="00A66E7A"/>
    <w:rsid w:val="00A6742F"/>
    <w:rsid w:val="00A7053E"/>
    <w:rsid w:val="00A708E3"/>
    <w:rsid w:val="00A717E5"/>
    <w:rsid w:val="00A7193C"/>
    <w:rsid w:val="00A71A55"/>
    <w:rsid w:val="00A71AD9"/>
    <w:rsid w:val="00A7466E"/>
    <w:rsid w:val="00A74F89"/>
    <w:rsid w:val="00A76968"/>
    <w:rsid w:val="00A774EF"/>
    <w:rsid w:val="00A806EC"/>
    <w:rsid w:val="00A80FB4"/>
    <w:rsid w:val="00A825B9"/>
    <w:rsid w:val="00A82D5E"/>
    <w:rsid w:val="00A8381E"/>
    <w:rsid w:val="00A84289"/>
    <w:rsid w:val="00A858ED"/>
    <w:rsid w:val="00A86E6C"/>
    <w:rsid w:val="00A871E3"/>
    <w:rsid w:val="00A8739F"/>
    <w:rsid w:val="00A879DC"/>
    <w:rsid w:val="00A87A16"/>
    <w:rsid w:val="00A908B3"/>
    <w:rsid w:val="00A90AA0"/>
    <w:rsid w:val="00A90AB3"/>
    <w:rsid w:val="00A94817"/>
    <w:rsid w:val="00A953FC"/>
    <w:rsid w:val="00A95ADF"/>
    <w:rsid w:val="00A95C00"/>
    <w:rsid w:val="00A96B21"/>
    <w:rsid w:val="00A97117"/>
    <w:rsid w:val="00AA01E9"/>
    <w:rsid w:val="00AA0A13"/>
    <w:rsid w:val="00AA0C85"/>
    <w:rsid w:val="00AA0D42"/>
    <w:rsid w:val="00AA1367"/>
    <w:rsid w:val="00AA1F8D"/>
    <w:rsid w:val="00AA26BC"/>
    <w:rsid w:val="00AA28A2"/>
    <w:rsid w:val="00AA2C61"/>
    <w:rsid w:val="00AA2DD3"/>
    <w:rsid w:val="00AA5A01"/>
    <w:rsid w:val="00AA5BF2"/>
    <w:rsid w:val="00AA6256"/>
    <w:rsid w:val="00AA62D2"/>
    <w:rsid w:val="00AA7955"/>
    <w:rsid w:val="00AA7DB8"/>
    <w:rsid w:val="00AB0B29"/>
    <w:rsid w:val="00AB1A92"/>
    <w:rsid w:val="00AB26B0"/>
    <w:rsid w:val="00AB26D0"/>
    <w:rsid w:val="00AB27FF"/>
    <w:rsid w:val="00AB3BBE"/>
    <w:rsid w:val="00AB5BB9"/>
    <w:rsid w:val="00AB65F5"/>
    <w:rsid w:val="00AB67B4"/>
    <w:rsid w:val="00AC0211"/>
    <w:rsid w:val="00AC0AEB"/>
    <w:rsid w:val="00AC1235"/>
    <w:rsid w:val="00AC1ECA"/>
    <w:rsid w:val="00AC26C9"/>
    <w:rsid w:val="00AC40AA"/>
    <w:rsid w:val="00AC53D3"/>
    <w:rsid w:val="00AC54C0"/>
    <w:rsid w:val="00AC589B"/>
    <w:rsid w:val="00AC6323"/>
    <w:rsid w:val="00AC665D"/>
    <w:rsid w:val="00AC6E22"/>
    <w:rsid w:val="00AD10AF"/>
    <w:rsid w:val="00AD144E"/>
    <w:rsid w:val="00AD1590"/>
    <w:rsid w:val="00AD15A8"/>
    <w:rsid w:val="00AD1DE9"/>
    <w:rsid w:val="00AD20C6"/>
    <w:rsid w:val="00AD319A"/>
    <w:rsid w:val="00AD354E"/>
    <w:rsid w:val="00AD3B26"/>
    <w:rsid w:val="00AD4574"/>
    <w:rsid w:val="00AD4D9C"/>
    <w:rsid w:val="00AD5944"/>
    <w:rsid w:val="00AD6ECD"/>
    <w:rsid w:val="00AD7431"/>
    <w:rsid w:val="00AE0984"/>
    <w:rsid w:val="00AE1009"/>
    <w:rsid w:val="00AE173F"/>
    <w:rsid w:val="00AE1A95"/>
    <w:rsid w:val="00AE2457"/>
    <w:rsid w:val="00AE272D"/>
    <w:rsid w:val="00AE2C75"/>
    <w:rsid w:val="00AE2DC7"/>
    <w:rsid w:val="00AE39FC"/>
    <w:rsid w:val="00AE3C02"/>
    <w:rsid w:val="00AE3E26"/>
    <w:rsid w:val="00AE414C"/>
    <w:rsid w:val="00AE4A94"/>
    <w:rsid w:val="00AE4F3E"/>
    <w:rsid w:val="00AE524D"/>
    <w:rsid w:val="00AE6519"/>
    <w:rsid w:val="00AE65C1"/>
    <w:rsid w:val="00AE7F4A"/>
    <w:rsid w:val="00AF0286"/>
    <w:rsid w:val="00AF29CA"/>
    <w:rsid w:val="00AF30D4"/>
    <w:rsid w:val="00AF5844"/>
    <w:rsid w:val="00B00D58"/>
    <w:rsid w:val="00B02640"/>
    <w:rsid w:val="00B026F3"/>
    <w:rsid w:val="00B03F71"/>
    <w:rsid w:val="00B04025"/>
    <w:rsid w:val="00B053F5"/>
    <w:rsid w:val="00B053F6"/>
    <w:rsid w:val="00B0561F"/>
    <w:rsid w:val="00B06FF2"/>
    <w:rsid w:val="00B074A1"/>
    <w:rsid w:val="00B07EA1"/>
    <w:rsid w:val="00B1089E"/>
    <w:rsid w:val="00B10C86"/>
    <w:rsid w:val="00B15954"/>
    <w:rsid w:val="00B16C41"/>
    <w:rsid w:val="00B16D91"/>
    <w:rsid w:val="00B17719"/>
    <w:rsid w:val="00B20CC7"/>
    <w:rsid w:val="00B20DD7"/>
    <w:rsid w:val="00B21C50"/>
    <w:rsid w:val="00B21F44"/>
    <w:rsid w:val="00B225A7"/>
    <w:rsid w:val="00B22D5B"/>
    <w:rsid w:val="00B22DC9"/>
    <w:rsid w:val="00B22E82"/>
    <w:rsid w:val="00B23AD7"/>
    <w:rsid w:val="00B2499C"/>
    <w:rsid w:val="00B24E56"/>
    <w:rsid w:val="00B25B3E"/>
    <w:rsid w:val="00B25B81"/>
    <w:rsid w:val="00B30A78"/>
    <w:rsid w:val="00B32004"/>
    <w:rsid w:val="00B320AC"/>
    <w:rsid w:val="00B323E2"/>
    <w:rsid w:val="00B33392"/>
    <w:rsid w:val="00B35165"/>
    <w:rsid w:val="00B354F4"/>
    <w:rsid w:val="00B3674E"/>
    <w:rsid w:val="00B36E3B"/>
    <w:rsid w:val="00B36EA9"/>
    <w:rsid w:val="00B36EAD"/>
    <w:rsid w:val="00B40043"/>
    <w:rsid w:val="00B4192B"/>
    <w:rsid w:val="00B4244F"/>
    <w:rsid w:val="00B42C45"/>
    <w:rsid w:val="00B443BD"/>
    <w:rsid w:val="00B445DB"/>
    <w:rsid w:val="00B44742"/>
    <w:rsid w:val="00B4519E"/>
    <w:rsid w:val="00B459BE"/>
    <w:rsid w:val="00B4654F"/>
    <w:rsid w:val="00B466A3"/>
    <w:rsid w:val="00B46A6A"/>
    <w:rsid w:val="00B47798"/>
    <w:rsid w:val="00B518DE"/>
    <w:rsid w:val="00B5221E"/>
    <w:rsid w:val="00B526AF"/>
    <w:rsid w:val="00B5286E"/>
    <w:rsid w:val="00B53866"/>
    <w:rsid w:val="00B53FFC"/>
    <w:rsid w:val="00B542F9"/>
    <w:rsid w:val="00B556B3"/>
    <w:rsid w:val="00B55A82"/>
    <w:rsid w:val="00B55B96"/>
    <w:rsid w:val="00B5650E"/>
    <w:rsid w:val="00B567B3"/>
    <w:rsid w:val="00B57684"/>
    <w:rsid w:val="00B60AA7"/>
    <w:rsid w:val="00B62316"/>
    <w:rsid w:val="00B6253E"/>
    <w:rsid w:val="00B62867"/>
    <w:rsid w:val="00B62FB4"/>
    <w:rsid w:val="00B6337B"/>
    <w:rsid w:val="00B63BA0"/>
    <w:rsid w:val="00B63FA2"/>
    <w:rsid w:val="00B644AA"/>
    <w:rsid w:val="00B64912"/>
    <w:rsid w:val="00B64CF6"/>
    <w:rsid w:val="00B65BFB"/>
    <w:rsid w:val="00B6608B"/>
    <w:rsid w:val="00B7179B"/>
    <w:rsid w:val="00B725DB"/>
    <w:rsid w:val="00B733FC"/>
    <w:rsid w:val="00B7379E"/>
    <w:rsid w:val="00B740D5"/>
    <w:rsid w:val="00B74F23"/>
    <w:rsid w:val="00B74F9B"/>
    <w:rsid w:val="00B754FE"/>
    <w:rsid w:val="00B75601"/>
    <w:rsid w:val="00B76BB9"/>
    <w:rsid w:val="00B80351"/>
    <w:rsid w:val="00B806E2"/>
    <w:rsid w:val="00B80702"/>
    <w:rsid w:val="00B80A4B"/>
    <w:rsid w:val="00B80E3B"/>
    <w:rsid w:val="00B81272"/>
    <w:rsid w:val="00B82124"/>
    <w:rsid w:val="00B83A9C"/>
    <w:rsid w:val="00B843D7"/>
    <w:rsid w:val="00B84E9F"/>
    <w:rsid w:val="00B9021F"/>
    <w:rsid w:val="00B905C5"/>
    <w:rsid w:val="00B9061E"/>
    <w:rsid w:val="00B90E0D"/>
    <w:rsid w:val="00B91B0F"/>
    <w:rsid w:val="00B91FB3"/>
    <w:rsid w:val="00B93482"/>
    <w:rsid w:val="00B93999"/>
    <w:rsid w:val="00B94321"/>
    <w:rsid w:val="00B94A16"/>
    <w:rsid w:val="00B95D8E"/>
    <w:rsid w:val="00B96F2E"/>
    <w:rsid w:val="00B96FB2"/>
    <w:rsid w:val="00B97358"/>
    <w:rsid w:val="00B97B0A"/>
    <w:rsid w:val="00BA0312"/>
    <w:rsid w:val="00BA0943"/>
    <w:rsid w:val="00BA09AC"/>
    <w:rsid w:val="00BA0F2F"/>
    <w:rsid w:val="00BA1448"/>
    <w:rsid w:val="00BA3174"/>
    <w:rsid w:val="00BA3E3C"/>
    <w:rsid w:val="00BA4A53"/>
    <w:rsid w:val="00BA53A3"/>
    <w:rsid w:val="00BA6F18"/>
    <w:rsid w:val="00BA7014"/>
    <w:rsid w:val="00BA7DB1"/>
    <w:rsid w:val="00BB016B"/>
    <w:rsid w:val="00BB05D3"/>
    <w:rsid w:val="00BB06ED"/>
    <w:rsid w:val="00BB0D32"/>
    <w:rsid w:val="00BB0D9A"/>
    <w:rsid w:val="00BB0E6E"/>
    <w:rsid w:val="00BB11F7"/>
    <w:rsid w:val="00BB16EB"/>
    <w:rsid w:val="00BB26DF"/>
    <w:rsid w:val="00BB2A65"/>
    <w:rsid w:val="00BB3F5A"/>
    <w:rsid w:val="00BB4877"/>
    <w:rsid w:val="00BB4D9C"/>
    <w:rsid w:val="00BB64E1"/>
    <w:rsid w:val="00BB65F1"/>
    <w:rsid w:val="00BB7F3B"/>
    <w:rsid w:val="00BC09A6"/>
    <w:rsid w:val="00BC0EC4"/>
    <w:rsid w:val="00BC2CAE"/>
    <w:rsid w:val="00BC2D40"/>
    <w:rsid w:val="00BC2EE7"/>
    <w:rsid w:val="00BC36F8"/>
    <w:rsid w:val="00BC418C"/>
    <w:rsid w:val="00BC4A7C"/>
    <w:rsid w:val="00BC4BF3"/>
    <w:rsid w:val="00BC55A1"/>
    <w:rsid w:val="00BC59FB"/>
    <w:rsid w:val="00BC703C"/>
    <w:rsid w:val="00BD17C2"/>
    <w:rsid w:val="00BD191D"/>
    <w:rsid w:val="00BD1DB6"/>
    <w:rsid w:val="00BD2C12"/>
    <w:rsid w:val="00BD2D2A"/>
    <w:rsid w:val="00BD395A"/>
    <w:rsid w:val="00BD4753"/>
    <w:rsid w:val="00BD6E16"/>
    <w:rsid w:val="00BD7315"/>
    <w:rsid w:val="00BD73F8"/>
    <w:rsid w:val="00BD77C6"/>
    <w:rsid w:val="00BD7A96"/>
    <w:rsid w:val="00BE1907"/>
    <w:rsid w:val="00BE1C77"/>
    <w:rsid w:val="00BE1FB5"/>
    <w:rsid w:val="00BE2353"/>
    <w:rsid w:val="00BE2528"/>
    <w:rsid w:val="00BE2813"/>
    <w:rsid w:val="00BE2987"/>
    <w:rsid w:val="00BE4424"/>
    <w:rsid w:val="00BE7976"/>
    <w:rsid w:val="00BE79D5"/>
    <w:rsid w:val="00BF0305"/>
    <w:rsid w:val="00BF076A"/>
    <w:rsid w:val="00BF1100"/>
    <w:rsid w:val="00BF2362"/>
    <w:rsid w:val="00BF24C9"/>
    <w:rsid w:val="00BF26F3"/>
    <w:rsid w:val="00BF27C4"/>
    <w:rsid w:val="00BF32C1"/>
    <w:rsid w:val="00BF42A5"/>
    <w:rsid w:val="00BF4B95"/>
    <w:rsid w:val="00BF6481"/>
    <w:rsid w:val="00BF6728"/>
    <w:rsid w:val="00BF7DD2"/>
    <w:rsid w:val="00C00107"/>
    <w:rsid w:val="00C002A3"/>
    <w:rsid w:val="00C010D8"/>
    <w:rsid w:val="00C01563"/>
    <w:rsid w:val="00C017FE"/>
    <w:rsid w:val="00C02353"/>
    <w:rsid w:val="00C02A6E"/>
    <w:rsid w:val="00C03292"/>
    <w:rsid w:val="00C04B6A"/>
    <w:rsid w:val="00C06711"/>
    <w:rsid w:val="00C07C3C"/>
    <w:rsid w:val="00C10FE3"/>
    <w:rsid w:val="00C1120D"/>
    <w:rsid w:val="00C1286F"/>
    <w:rsid w:val="00C12F0B"/>
    <w:rsid w:val="00C13D9E"/>
    <w:rsid w:val="00C15010"/>
    <w:rsid w:val="00C154D3"/>
    <w:rsid w:val="00C1621E"/>
    <w:rsid w:val="00C16548"/>
    <w:rsid w:val="00C16A9D"/>
    <w:rsid w:val="00C16E3A"/>
    <w:rsid w:val="00C172DE"/>
    <w:rsid w:val="00C17CD9"/>
    <w:rsid w:val="00C2126E"/>
    <w:rsid w:val="00C22103"/>
    <w:rsid w:val="00C2286A"/>
    <w:rsid w:val="00C22DFF"/>
    <w:rsid w:val="00C2354A"/>
    <w:rsid w:val="00C2527E"/>
    <w:rsid w:val="00C253F8"/>
    <w:rsid w:val="00C2558F"/>
    <w:rsid w:val="00C25B5D"/>
    <w:rsid w:val="00C26630"/>
    <w:rsid w:val="00C306DF"/>
    <w:rsid w:val="00C30D6C"/>
    <w:rsid w:val="00C30D82"/>
    <w:rsid w:val="00C315DB"/>
    <w:rsid w:val="00C32545"/>
    <w:rsid w:val="00C32590"/>
    <w:rsid w:val="00C32F82"/>
    <w:rsid w:val="00C3758B"/>
    <w:rsid w:val="00C403B4"/>
    <w:rsid w:val="00C4048D"/>
    <w:rsid w:val="00C404E0"/>
    <w:rsid w:val="00C40537"/>
    <w:rsid w:val="00C416BA"/>
    <w:rsid w:val="00C416D3"/>
    <w:rsid w:val="00C417F6"/>
    <w:rsid w:val="00C43ABF"/>
    <w:rsid w:val="00C459D6"/>
    <w:rsid w:val="00C45ADF"/>
    <w:rsid w:val="00C46DD8"/>
    <w:rsid w:val="00C46FC8"/>
    <w:rsid w:val="00C5021B"/>
    <w:rsid w:val="00C5094E"/>
    <w:rsid w:val="00C50CA2"/>
    <w:rsid w:val="00C51268"/>
    <w:rsid w:val="00C513BF"/>
    <w:rsid w:val="00C52CF5"/>
    <w:rsid w:val="00C53186"/>
    <w:rsid w:val="00C5759E"/>
    <w:rsid w:val="00C57908"/>
    <w:rsid w:val="00C607B6"/>
    <w:rsid w:val="00C6189F"/>
    <w:rsid w:val="00C62DA5"/>
    <w:rsid w:val="00C63F38"/>
    <w:rsid w:val="00C6596A"/>
    <w:rsid w:val="00C6743F"/>
    <w:rsid w:val="00C67551"/>
    <w:rsid w:val="00C679E9"/>
    <w:rsid w:val="00C70F8A"/>
    <w:rsid w:val="00C71356"/>
    <w:rsid w:val="00C720D6"/>
    <w:rsid w:val="00C72B98"/>
    <w:rsid w:val="00C73621"/>
    <w:rsid w:val="00C73D3F"/>
    <w:rsid w:val="00C73D90"/>
    <w:rsid w:val="00C74C8C"/>
    <w:rsid w:val="00C74D09"/>
    <w:rsid w:val="00C74EDC"/>
    <w:rsid w:val="00C76AFE"/>
    <w:rsid w:val="00C77F71"/>
    <w:rsid w:val="00C77FD5"/>
    <w:rsid w:val="00C80395"/>
    <w:rsid w:val="00C80EFB"/>
    <w:rsid w:val="00C81BEB"/>
    <w:rsid w:val="00C82634"/>
    <w:rsid w:val="00C83AD1"/>
    <w:rsid w:val="00C83AD8"/>
    <w:rsid w:val="00C849DF"/>
    <w:rsid w:val="00C84CC4"/>
    <w:rsid w:val="00C85026"/>
    <w:rsid w:val="00C854AF"/>
    <w:rsid w:val="00C855C9"/>
    <w:rsid w:val="00C908FA"/>
    <w:rsid w:val="00C912F0"/>
    <w:rsid w:val="00C91786"/>
    <w:rsid w:val="00C919F7"/>
    <w:rsid w:val="00C92440"/>
    <w:rsid w:val="00C93F4E"/>
    <w:rsid w:val="00C94582"/>
    <w:rsid w:val="00C95289"/>
    <w:rsid w:val="00C9533C"/>
    <w:rsid w:val="00C95A4F"/>
    <w:rsid w:val="00C95AF1"/>
    <w:rsid w:val="00C95BBF"/>
    <w:rsid w:val="00C97557"/>
    <w:rsid w:val="00CA0C3D"/>
    <w:rsid w:val="00CA2967"/>
    <w:rsid w:val="00CA2C2C"/>
    <w:rsid w:val="00CA39B3"/>
    <w:rsid w:val="00CA4095"/>
    <w:rsid w:val="00CA677C"/>
    <w:rsid w:val="00CA6C5E"/>
    <w:rsid w:val="00CA7052"/>
    <w:rsid w:val="00CA7EBF"/>
    <w:rsid w:val="00CB2824"/>
    <w:rsid w:val="00CB3437"/>
    <w:rsid w:val="00CB3ECA"/>
    <w:rsid w:val="00CB47DB"/>
    <w:rsid w:val="00CB56E3"/>
    <w:rsid w:val="00CB5712"/>
    <w:rsid w:val="00CB604B"/>
    <w:rsid w:val="00CB7081"/>
    <w:rsid w:val="00CB784E"/>
    <w:rsid w:val="00CB7CE4"/>
    <w:rsid w:val="00CC0099"/>
    <w:rsid w:val="00CC1586"/>
    <w:rsid w:val="00CC1B0F"/>
    <w:rsid w:val="00CC27C2"/>
    <w:rsid w:val="00CC40DD"/>
    <w:rsid w:val="00CC51EE"/>
    <w:rsid w:val="00CC525A"/>
    <w:rsid w:val="00CC60FD"/>
    <w:rsid w:val="00CC6DF2"/>
    <w:rsid w:val="00CC78BC"/>
    <w:rsid w:val="00CD1CEE"/>
    <w:rsid w:val="00CD1E93"/>
    <w:rsid w:val="00CD2E9D"/>
    <w:rsid w:val="00CD3E7F"/>
    <w:rsid w:val="00CE01B1"/>
    <w:rsid w:val="00CE1971"/>
    <w:rsid w:val="00CE1F84"/>
    <w:rsid w:val="00CE2E4B"/>
    <w:rsid w:val="00CE302F"/>
    <w:rsid w:val="00CE42D7"/>
    <w:rsid w:val="00CE44D5"/>
    <w:rsid w:val="00CE47F5"/>
    <w:rsid w:val="00CE50AA"/>
    <w:rsid w:val="00CE532C"/>
    <w:rsid w:val="00CE53EE"/>
    <w:rsid w:val="00CE65E9"/>
    <w:rsid w:val="00CE6C10"/>
    <w:rsid w:val="00CE77CA"/>
    <w:rsid w:val="00CE7812"/>
    <w:rsid w:val="00CE7AD6"/>
    <w:rsid w:val="00CF0450"/>
    <w:rsid w:val="00CF047E"/>
    <w:rsid w:val="00CF0E7F"/>
    <w:rsid w:val="00CF0E96"/>
    <w:rsid w:val="00CF1294"/>
    <w:rsid w:val="00CF1318"/>
    <w:rsid w:val="00CF19CC"/>
    <w:rsid w:val="00CF2AA1"/>
    <w:rsid w:val="00CF3D67"/>
    <w:rsid w:val="00CF4536"/>
    <w:rsid w:val="00CF545E"/>
    <w:rsid w:val="00CF6C51"/>
    <w:rsid w:val="00CF70AB"/>
    <w:rsid w:val="00CF77D4"/>
    <w:rsid w:val="00D00343"/>
    <w:rsid w:val="00D003D9"/>
    <w:rsid w:val="00D003E2"/>
    <w:rsid w:val="00D00513"/>
    <w:rsid w:val="00D00E89"/>
    <w:rsid w:val="00D014F7"/>
    <w:rsid w:val="00D027E5"/>
    <w:rsid w:val="00D02F2A"/>
    <w:rsid w:val="00D071CB"/>
    <w:rsid w:val="00D079FF"/>
    <w:rsid w:val="00D102B1"/>
    <w:rsid w:val="00D10734"/>
    <w:rsid w:val="00D11774"/>
    <w:rsid w:val="00D120E3"/>
    <w:rsid w:val="00D12CB9"/>
    <w:rsid w:val="00D14B1F"/>
    <w:rsid w:val="00D153BE"/>
    <w:rsid w:val="00D1693C"/>
    <w:rsid w:val="00D175EC"/>
    <w:rsid w:val="00D2006F"/>
    <w:rsid w:val="00D21350"/>
    <w:rsid w:val="00D2197C"/>
    <w:rsid w:val="00D22365"/>
    <w:rsid w:val="00D22AB1"/>
    <w:rsid w:val="00D22AFC"/>
    <w:rsid w:val="00D236AD"/>
    <w:rsid w:val="00D23A60"/>
    <w:rsid w:val="00D23CC6"/>
    <w:rsid w:val="00D242F4"/>
    <w:rsid w:val="00D24409"/>
    <w:rsid w:val="00D26385"/>
    <w:rsid w:val="00D263AF"/>
    <w:rsid w:val="00D26882"/>
    <w:rsid w:val="00D2689E"/>
    <w:rsid w:val="00D26983"/>
    <w:rsid w:val="00D27D7B"/>
    <w:rsid w:val="00D27E11"/>
    <w:rsid w:val="00D3059B"/>
    <w:rsid w:val="00D30E09"/>
    <w:rsid w:val="00D3137B"/>
    <w:rsid w:val="00D32462"/>
    <w:rsid w:val="00D32B7F"/>
    <w:rsid w:val="00D33C26"/>
    <w:rsid w:val="00D34CDD"/>
    <w:rsid w:val="00D3587E"/>
    <w:rsid w:val="00D36B08"/>
    <w:rsid w:val="00D36EAB"/>
    <w:rsid w:val="00D411AF"/>
    <w:rsid w:val="00D41910"/>
    <w:rsid w:val="00D434F4"/>
    <w:rsid w:val="00D43E5C"/>
    <w:rsid w:val="00D44EAC"/>
    <w:rsid w:val="00D44FBB"/>
    <w:rsid w:val="00D461FC"/>
    <w:rsid w:val="00D465BD"/>
    <w:rsid w:val="00D46FB4"/>
    <w:rsid w:val="00D47627"/>
    <w:rsid w:val="00D50797"/>
    <w:rsid w:val="00D5269C"/>
    <w:rsid w:val="00D528DA"/>
    <w:rsid w:val="00D53156"/>
    <w:rsid w:val="00D5354D"/>
    <w:rsid w:val="00D54303"/>
    <w:rsid w:val="00D545D5"/>
    <w:rsid w:val="00D54EBA"/>
    <w:rsid w:val="00D55CBF"/>
    <w:rsid w:val="00D55FBF"/>
    <w:rsid w:val="00D561CB"/>
    <w:rsid w:val="00D563A9"/>
    <w:rsid w:val="00D5653F"/>
    <w:rsid w:val="00D565D9"/>
    <w:rsid w:val="00D56BFA"/>
    <w:rsid w:val="00D60046"/>
    <w:rsid w:val="00D61B2A"/>
    <w:rsid w:val="00D62B17"/>
    <w:rsid w:val="00D62D71"/>
    <w:rsid w:val="00D6368F"/>
    <w:rsid w:val="00D64700"/>
    <w:rsid w:val="00D64F8A"/>
    <w:rsid w:val="00D65F97"/>
    <w:rsid w:val="00D6652A"/>
    <w:rsid w:val="00D718B8"/>
    <w:rsid w:val="00D71FFB"/>
    <w:rsid w:val="00D72763"/>
    <w:rsid w:val="00D7353F"/>
    <w:rsid w:val="00D73E45"/>
    <w:rsid w:val="00D75199"/>
    <w:rsid w:val="00D75DC9"/>
    <w:rsid w:val="00D8176D"/>
    <w:rsid w:val="00D81866"/>
    <w:rsid w:val="00D818EE"/>
    <w:rsid w:val="00D819F7"/>
    <w:rsid w:val="00D83559"/>
    <w:rsid w:val="00D83746"/>
    <w:rsid w:val="00D83A0D"/>
    <w:rsid w:val="00D86CE2"/>
    <w:rsid w:val="00D86DA5"/>
    <w:rsid w:val="00D9134B"/>
    <w:rsid w:val="00D91791"/>
    <w:rsid w:val="00D91B82"/>
    <w:rsid w:val="00D91DC7"/>
    <w:rsid w:val="00D91F9A"/>
    <w:rsid w:val="00D920A1"/>
    <w:rsid w:val="00D922C4"/>
    <w:rsid w:val="00D923DA"/>
    <w:rsid w:val="00D937AA"/>
    <w:rsid w:val="00D94BCE"/>
    <w:rsid w:val="00D94C1D"/>
    <w:rsid w:val="00D95AB4"/>
    <w:rsid w:val="00D977B5"/>
    <w:rsid w:val="00D97986"/>
    <w:rsid w:val="00DA1074"/>
    <w:rsid w:val="00DA191E"/>
    <w:rsid w:val="00DA2A03"/>
    <w:rsid w:val="00DA3826"/>
    <w:rsid w:val="00DA3A69"/>
    <w:rsid w:val="00DA47D5"/>
    <w:rsid w:val="00DA4D56"/>
    <w:rsid w:val="00DA6676"/>
    <w:rsid w:val="00DA695A"/>
    <w:rsid w:val="00DA7128"/>
    <w:rsid w:val="00DA785C"/>
    <w:rsid w:val="00DA795C"/>
    <w:rsid w:val="00DA79E0"/>
    <w:rsid w:val="00DA7CC6"/>
    <w:rsid w:val="00DB0645"/>
    <w:rsid w:val="00DB0A52"/>
    <w:rsid w:val="00DB0B69"/>
    <w:rsid w:val="00DB1C15"/>
    <w:rsid w:val="00DB1E0E"/>
    <w:rsid w:val="00DB20E5"/>
    <w:rsid w:val="00DB330D"/>
    <w:rsid w:val="00DB4E0A"/>
    <w:rsid w:val="00DB5924"/>
    <w:rsid w:val="00DB7129"/>
    <w:rsid w:val="00DB7295"/>
    <w:rsid w:val="00DC02D3"/>
    <w:rsid w:val="00DC0914"/>
    <w:rsid w:val="00DC2E21"/>
    <w:rsid w:val="00DC35C2"/>
    <w:rsid w:val="00DC59F8"/>
    <w:rsid w:val="00DD0135"/>
    <w:rsid w:val="00DD0FE7"/>
    <w:rsid w:val="00DD1651"/>
    <w:rsid w:val="00DD30CD"/>
    <w:rsid w:val="00DD31D3"/>
    <w:rsid w:val="00DD4460"/>
    <w:rsid w:val="00DD496F"/>
    <w:rsid w:val="00DD4AAC"/>
    <w:rsid w:val="00DD5193"/>
    <w:rsid w:val="00DD53A2"/>
    <w:rsid w:val="00DD5D4A"/>
    <w:rsid w:val="00DD5E7B"/>
    <w:rsid w:val="00DD61CB"/>
    <w:rsid w:val="00DD64EA"/>
    <w:rsid w:val="00DD6C2E"/>
    <w:rsid w:val="00DD6CAC"/>
    <w:rsid w:val="00DD7348"/>
    <w:rsid w:val="00DD7790"/>
    <w:rsid w:val="00DE0678"/>
    <w:rsid w:val="00DE19FD"/>
    <w:rsid w:val="00DE1F0C"/>
    <w:rsid w:val="00DE2425"/>
    <w:rsid w:val="00DE417C"/>
    <w:rsid w:val="00DE56B2"/>
    <w:rsid w:val="00DE59FB"/>
    <w:rsid w:val="00DE71E4"/>
    <w:rsid w:val="00DE73D7"/>
    <w:rsid w:val="00DE7A84"/>
    <w:rsid w:val="00DF1187"/>
    <w:rsid w:val="00DF181A"/>
    <w:rsid w:val="00DF1F90"/>
    <w:rsid w:val="00DF2164"/>
    <w:rsid w:val="00DF21A9"/>
    <w:rsid w:val="00DF428B"/>
    <w:rsid w:val="00DF4531"/>
    <w:rsid w:val="00DF585F"/>
    <w:rsid w:val="00DF6A51"/>
    <w:rsid w:val="00DF7793"/>
    <w:rsid w:val="00DF78AD"/>
    <w:rsid w:val="00DF7F6A"/>
    <w:rsid w:val="00E03761"/>
    <w:rsid w:val="00E05241"/>
    <w:rsid w:val="00E06650"/>
    <w:rsid w:val="00E0673C"/>
    <w:rsid w:val="00E06FE2"/>
    <w:rsid w:val="00E07049"/>
    <w:rsid w:val="00E0738B"/>
    <w:rsid w:val="00E10F57"/>
    <w:rsid w:val="00E1152D"/>
    <w:rsid w:val="00E12BB5"/>
    <w:rsid w:val="00E12CA9"/>
    <w:rsid w:val="00E14042"/>
    <w:rsid w:val="00E144CA"/>
    <w:rsid w:val="00E14A58"/>
    <w:rsid w:val="00E15421"/>
    <w:rsid w:val="00E156FB"/>
    <w:rsid w:val="00E1597C"/>
    <w:rsid w:val="00E15EBD"/>
    <w:rsid w:val="00E16292"/>
    <w:rsid w:val="00E16B2A"/>
    <w:rsid w:val="00E17793"/>
    <w:rsid w:val="00E17F9A"/>
    <w:rsid w:val="00E20005"/>
    <w:rsid w:val="00E20930"/>
    <w:rsid w:val="00E210E3"/>
    <w:rsid w:val="00E21A55"/>
    <w:rsid w:val="00E24303"/>
    <w:rsid w:val="00E24693"/>
    <w:rsid w:val="00E2469B"/>
    <w:rsid w:val="00E248B3"/>
    <w:rsid w:val="00E2596B"/>
    <w:rsid w:val="00E268DA"/>
    <w:rsid w:val="00E268E2"/>
    <w:rsid w:val="00E306F8"/>
    <w:rsid w:val="00E307D8"/>
    <w:rsid w:val="00E317A3"/>
    <w:rsid w:val="00E31C46"/>
    <w:rsid w:val="00E32654"/>
    <w:rsid w:val="00E32D40"/>
    <w:rsid w:val="00E331B0"/>
    <w:rsid w:val="00E3324C"/>
    <w:rsid w:val="00E33CBD"/>
    <w:rsid w:val="00E3707E"/>
    <w:rsid w:val="00E3739E"/>
    <w:rsid w:val="00E37C39"/>
    <w:rsid w:val="00E37F71"/>
    <w:rsid w:val="00E37FB5"/>
    <w:rsid w:val="00E402DF"/>
    <w:rsid w:val="00E41746"/>
    <w:rsid w:val="00E41ABD"/>
    <w:rsid w:val="00E42826"/>
    <w:rsid w:val="00E42882"/>
    <w:rsid w:val="00E448EE"/>
    <w:rsid w:val="00E44B28"/>
    <w:rsid w:val="00E450DA"/>
    <w:rsid w:val="00E45475"/>
    <w:rsid w:val="00E46F91"/>
    <w:rsid w:val="00E4753C"/>
    <w:rsid w:val="00E47E10"/>
    <w:rsid w:val="00E50F1C"/>
    <w:rsid w:val="00E510DA"/>
    <w:rsid w:val="00E5145F"/>
    <w:rsid w:val="00E5176F"/>
    <w:rsid w:val="00E530A1"/>
    <w:rsid w:val="00E533D1"/>
    <w:rsid w:val="00E53B1C"/>
    <w:rsid w:val="00E555BE"/>
    <w:rsid w:val="00E5680D"/>
    <w:rsid w:val="00E56DB0"/>
    <w:rsid w:val="00E577B1"/>
    <w:rsid w:val="00E6235F"/>
    <w:rsid w:val="00E626AB"/>
    <w:rsid w:val="00E62B3D"/>
    <w:rsid w:val="00E62C89"/>
    <w:rsid w:val="00E6376F"/>
    <w:rsid w:val="00E65531"/>
    <w:rsid w:val="00E66614"/>
    <w:rsid w:val="00E66A55"/>
    <w:rsid w:val="00E66F57"/>
    <w:rsid w:val="00E705DE"/>
    <w:rsid w:val="00E7067C"/>
    <w:rsid w:val="00E707E5"/>
    <w:rsid w:val="00E70ACC"/>
    <w:rsid w:val="00E70C08"/>
    <w:rsid w:val="00E72F01"/>
    <w:rsid w:val="00E73ECC"/>
    <w:rsid w:val="00E740B4"/>
    <w:rsid w:val="00E742C2"/>
    <w:rsid w:val="00E74BA7"/>
    <w:rsid w:val="00E757DE"/>
    <w:rsid w:val="00E772D1"/>
    <w:rsid w:val="00E8005A"/>
    <w:rsid w:val="00E8118B"/>
    <w:rsid w:val="00E8260C"/>
    <w:rsid w:val="00E82920"/>
    <w:rsid w:val="00E82F31"/>
    <w:rsid w:val="00E83FCF"/>
    <w:rsid w:val="00E84157"/>
    <w:rsid w:val="00E845B1"/>
    <w:rsid w:val="00E84CC9"/>
    <w:rsid w:val="00E8593B"/>
    <w:rsid w:val="00E86912"/>
    <w:rsid w:val="00E86BA4"/>
    <w:rsid w:val="00E90E54"/>
    <w:rsid w:val="00E91339"/>
    <w:rsid w:val="00E92440"/>
    <w:rsid w:val="00E926E7"/>
    <w:rsid w:val="00E92908"/>
    <w:rsid w:val="00E92BEF"/>
    <w:rsid w:val="00E93CCB"/>
    <w:rsid w:val="00E940F1"/>
    <w:rsid w:val="00E9489C"/>
    <w:rsid w:val="00E94CBF"/>
    <w:rsid w:val="00E94DA8"/>
    <w:rsid w:val="00E950B4"/>
    <w:rsid w:val="00E95751"/>
    <w:rsid w:val="00E9632A"/>
    <w:rsid w:val="00E976AB"/>
    <w:rsid w:val="00EA0FBE"/>
    <w:rsid w:val="00EA2EC7"/>
    <w:rsid w:val="00EA2FD9"/>
    <w:rsid w:val="00EA31EF"/>
    <w:rsid w:val="00EA32A5"/>
    <w:rsid w:val="00EA335B"/>
    <w:rsid w:val="00EA5052"/>
    <w:rsid w:val="00EA5792"/>
    <w:rsid w:val="00EA5D49"/>
    <w:rsid w:val="00EA5DC8"/>
    <w:rsid w:val="00EA5FA0"/>
    <w:rsid w:val="00EA5FDA"/>
    <w:rsid w:val="00EA65DF"/>
    <w:rsid w:val="00EA67FC"/>
    <w:rsid w:val="00EA6963"/>
    <w:rsid w:val="00EA6A1B"/>
    <w:rsid w:val="00EA734F"/>
    <w:rsid w:val="00EA7DC0"/>
    <w:rsid w:val="00EB0A54"/>
    <w:rsid w:val="00EB155E"/>
    <w:rsid w:val="00EB181A"/>
    <w:rsid w:val="00EB211A"/>
    <w:rsid w:val="00EB4C12"/>
    <w:rsid w:val="00EB51CD"/>
    <w:rsid w:val="00EB5BB4"/>
    <w:rsid w:val="00EB60DC"/>
    <w:rsid w:val="00EB7DBA"/>
    <w:rsid w:val="00EC0B0F"/>
    <w:rsid w:val="00EC18B9"/>
    <w:rsid w:val="00EC1A97"/>
    <w:rsid w:val="00EC1D36"/>
    <w:rsid w:val="00EC3753"/>
    <w:rsid w:val="00EC3FFF"/>
    <w:rsid w:val="00EC4DB9"/>
    <w:rsid w:val="00EC52E5"/>
    <w:rsid w:val="00EC6209"/>
    <w:rsid w:val="00EC62FB"/>
    <w:rsid w:val="00EC67F7"/>
    <w:rsid w:val="00EC7CB7"/>
    <w:rsid w:val="00ED0FB2"/>
    <w:rsid w:val="00ED2454"/>
    <w:rsid w:val="00ED37BD"/>
    <w:rsid w:val="00ED3849"/>
    <w:rsid w:val="00ED4456"/>
    <w:rsid w:val="00ED4D00"/>
    <w:rsid w:val="00ED63BB"/>
    <w:rsid w:val="00ED6824"/>
    <w:rsid w:val="00ED6AFD"/>
    <w:rsid w:val="00ED7164"/>
    <w:rsid w:val="00ED71BE"/>
    <w:rsid w:val="00ED7EEF"/>
    <w:rsid w:val="00EE022E"/>
    <w:rsid w:val="00EE0DEF"/>
    <w:rsid w:val="00EE13C2"/>
    <w:rsid w:val="00EE1B7E"/>
    <w:rsid w:val="00EE2593"/>
    <w:rsid w:val="00EE3AAB"/>
    <w:rsid w:val="00EE55C9"/>
    <w:rsid w:val="00EE5AF9"/>
    <w:rsid w:val="00EE6665"/>
    <w:rsid w:val="00EE772E"/>
    <w:rsid w:val="00EE7803"/>
    <w:rsid w:val="00EE7935"/>
    <w:rsid w:val="00EE7C13"/>
    <w:rsid w:val="00EF111D"/>
    <w:rsid w:val="00EF14CB"/>
    <w:rsid w:val="00EF301A"/>
    <w:rsid w:val="00EF420D"/>
    <w:rsid w:val="00EF4C0C"/>
    <w:rsid w:val="00EF4F24"/>
    <w:rsid w:val="00EF511C"/>
    <w:rsid w:val="00EF59B8"/>
    <w:rsid w:val="00EF603B"/>
    <w:rsid w:val="00EF6314"/>
    <w:rsid w:val="00EF6BEC"/>
    <w:rsid w:val="00EF7B07"/>
    <w:rsid w:val="00EF7E55"/>
    <w:rsid w:val="00F00698"/>
    <w:rsid w:val="00F00921"/>
    <w:rsid w:val="00F016D7"/>
    <w:rsid w:val="00F03393"/>
    <w:rsid w:val="00F03B81"/>
    <w:rsid w:val="00F042C3"/>
    <w:rsid w:val="00F063B8"/>
    <w:rsid w:val="00F06473"/>
    <w:rsid w:val="00F06C7E"/>
    <w:rsid w:val="00F07143"/>
    <w:rsid w:val="00F11772"/>
    <w:rsid w:val="00F118F1"/>
    <w:rsid w:val="00F13028"/>
    <w:rsid w:val="00F14595"/>
    <w:rsid w:val="00F14870"/>
    <w:rsid w:val="00F14B92"/>
    <w:rsid w:val="00F159EA"/>
    <w:rsid w:val="00F173F0"/>
    <w:rsid w:val="00F17578"/>
    <w:rsid w:val="00F179BE"/>
    <w:rsid w:val="00F20984"/>
    <w:rsid w:val="00F20C6F"/>
    <w:rsid w:val="00F218FC"/>
    <w:rsid w:val="00F24165"/>
    <w:rsid w:val="00F2461F"/>
    <w:rsid w:val="00F25678"/>
    <w:rsid w:val="00F258FB"/>
    <w:rsid w:val="00F25C0E"/>
    <w:rsid w:val="00F25E82"/>
    <w:rsid w:val="00F26A91"/>
    <w:rsid w:val="00F273D4"/>
    <w:rsid w:val="00F274F1"/>
    <w:rsid w:val="00F27710"/>
    <w:rsid w:val="00F30411"/>
    <w:rsid w:val="00F3078D"/>
    <w:rsid w:val="00F315B4"/>
    <w:rsid w:val="00F3164A"/>
    <w:rsid w:val="00F316B5"/>
    <w:rsid w:val="00F31846"/>
    <w:rsid w:val="00F31A6C"/>
    <w:rsid w:val="00F32673"/>
    <w:rsid w:val="00F33083"/>
    <w:rsid w:val="00F3371E"/>
    <w:rsid w:val="00F33E02"/>
    <w:rsid w:val="00F34DEB"/>
    <w:rsid w:val="00F3508D"/>
    <w:rsid w:val="00F40D77"/>
    <w:rsid w:val="00F4127E"/>
    <w:rsid w:val="00F414D2"/>
    <w:rsid w:val="00F42451"/>
    <w:rsid w:val="00F43C3A"/>
    <w:rsid w:val="00F4401E"/>
    <w:rsid w:val="00F443FB"/>
    <w:rsid w:val="00F46400"/>
    <w:rsid w:val="00F47328"/>
    <w:rsid w:val="00F503BB"/>
    <w:rsid w:val="00F50C05"/>
    <w:rsid w:val="00F537B6"/>
    <w:rsid w:val="00F54888"/>
    <w:rsid w:val="00F54C1C"/>
    <w:rsid w:val="00F54C3A"/>
    <w:rsid w:val="00F54DBF"/>
    <w:rsid w:val="00F56B02"/>
    <w:rsid w:val="00F57293"/>
    <w:rsid w:val="00F5734E"/>
    <w:rsid w:val="00F60028"/>
    <w:rsid w:val="00F60CE4"/>
    <w:rsid w:val="00F6423F"/>
    <w:rsid w:val="00F64B1E"/>
    <w:rsid w:val="00F65983"/>
    <w:rsid w:val="00F65FD0"/>
    <w:rsid w:val="00F67312"/>
    <w:rsid w:val="00F6745C"/>
    <w:rsid w:val="00F675F6"/>
    <w:rsid w:val="00F67696"/>
    <w:rsid w:val="00F67942"/>
    <w:rsid w:val="00F7146B"/>
    <w:rsid w:val="00F71818"/>
    <w:rsid w:val="00F71B7C"/>
    <w:rsid w:val="00F725E1"/>
    <w:rsid w:val="00F72E2C"/>
    <w:rsid w:val="00F73803"/>
    <w:rsid w:val="00F751E0"/>
    <w:rsid w:val="00F75430"/>
    <w:rsid w:val="00F75F90"/>
    <w:rsid w:val="00F76220"/>
    <w:rsid w:val="00F77EA8"/>
    <w:rsid w:val="00F80C50"/>
    <w:rsid w:val="00F82639"/>
    <w:rsid w:val="00F82C52"/>
    <w:rsid w:val="00F83B2B"/>
    <w:rsid w:val="00F84063"/>
    <w:rsid w:val="00F852EC"/>
    <w:rsid w:val="00F85B10"/>
    <w:rsid w:val="00F90B0B"/>
    <w:rsid w:val="00F90E05"/>
    <w:rsid w:val="00F91720"/>
    <w:rsid w:val="00F91B24"/>
    <w:rsid w:val="00F92555"/>
    <w:rsid w:val="00F94C57"/>
    <w:rsid w:val="00F968D7"/>
    <w:rsid w:val="00F97266"/>
    <w:rsid w:val="00FA18C9"/>
    <w:rsid w:val="00FA1B49"/>
    <w:rsid w:val="00FA474A"/>
    <w:rsid w:val="00FA6C7D"/>
    <w:rsid w:val="00FA7511"/>
    <w:rsid w:val="00FB1122"/>
    <w:rsid w:val="00FB20D3"/>
    <w:rsid w:val="00FB234E"/>
    <w:rsid w:val="00FB35E9"/>
    <w:rsid w:val="00FB489B"/>
    <w:rsid w:val="00FB4BBC"/>
    <w:rsid w:val="00FB6F55"/>
    <w:rsid w:val="00FB7F85"/>
    <w:rsid w:val="00FC04AD"/>
    <w:rsid w:val="00FC0840"/>
    <w:rsid w:val="00FC0B19"/>
    <w:rsid w:val="00FC0F0A"/>
    <w:rsid w:val="00FC1780"/>
    <w:rsid w:val="00FC1FB2"/>
    <w:rsid w:val="00FC3F15"/>
    <w:rsid w:val="00FC5913"/>
    <w:rsid w:val="00FD002A"/>
    <w:rsid w:val="00FD0CE5"/>
    <w:rsid w:val="00FD0DA4"/>
    <w:rsid w:val="00FD0EDC"/>
    <w:rsid w:val="00FD0FAA"/>
    <w:rsid w:val="00FD127F"/>
    <w:rsid w:val="00FD1969"/>
    <w:rsid w:val="00FD23ED"/>
    <w:rsid w:val="00FD359F"/>
    <w:rsid w:val="00FD35F8"/>
    <w:rsid w:val="00FD3712"/>
    <w:rsid w:val="00FD3A75"/>
    <w:rsid w:val="00FD4513"/>
    <w:rsid w:val="00FD470C"/>
    <w:rsid w:val="00FD4C66"/>
    <w:rsid w:val="00FD4DD2"/>
    <w:rsid w:val="00FD5E9E"/>
    <w:rsid w:val="00FD61E5"/>
    <w:rsid w:val="00FD694A"/>
    <w:rsid w:val="00FD7EBD"/>
    <w:rsid w:val="00FE1747"/>
    <w:rsid w:val="00FE1754"/>
    <w:rsid w:val="00FE1CA0"/>
    <w:rsid w:val="00FE2B71"/>
    <w:rsid w:val="00FE3606"/>
    <w:rsid w:val="00FE7290"/>
    <w:rsid w:val="00FF0294"/>
    <w:rsid w:val="00FF0F99"/>
    <w:rsid w:val="00FF13F6"/>
    <w:rsid w:val="00FF237F"/>
    <w:rsid w:val="00FF2B8A"/>
    <w:rsid w:val="00FF2BAD"/>
    <w:rsid w:val="00FF2E8D"/>
    <w:rsid w:val="00FF39E1"/>
    <w:rsid w:val="00FF3EDD"/>
    <w:rsid w:val="00FF452D"/>
    <w:rsid w:val="00FF50EB"/>
    <w:rsid w:val="00FF57D5"/>
    <w:rsid w:val="00FF5C29"/>
    <w:rsid w:val="00FF74C8"/>
    <w:rsid w:val="00FF7BFD"/>
    <w:rsid w:val="00FF7C16"/>
    <w:rsid w:val="00FF7F29"/>
    <w:rsid w:val="0102389D"/>
    <w:rsid w:val="013B998B"/>
    <w:rsid w:val="02143952"/>
    <w:rsid w:val="0256412C"/>
    <w:rsid w:val="029E08FE"/>
    <w:rsid w:val="02E07037"/>
    <w:rsid w:val="05185BC6"/>
    <w:rsid w:val="05C243DA"/>
    <w:rsid w:val="063A6CED"/>
    <w:rsid w:val="06CB4B37"/>
    <w:rsid w:val="07C9DCC4"/>
    <w:rsid w:val="08307A1C"/>
    <w:rsid w:val="0848D341"/>
    <w:rsid w:val="08831925"/>
    <w:rsid w:val="08B5F55F"/>
    <w:rsid w:val="0A194EE3"/>
    <w:rsid w:val="0AFB4916"/>
    <w:rsid w:val="0B06BAD3"/>
    <w:rsid w:val="0CA2268D"/>
    <w:rsid w:val="0DE75316"/>
    <w:rsid w:val="0F1BE897"/>
    <w:rsid w:val="0FB1C8AB"/>
    <w:rsid w:val="0FEAD024"/>
    <w:rsid w:val="11289A73"/>
    <w:rsid w:val="1338FA3F"/>
    <w:rsid w:val="14E25550"/>
    <w:rsid w:val="15D99611"/>
    <w:rsid w:val="16A69B9F"/>
    <w:rsid w:val="17294C0D"/>
    <w:rsid w:val="177E65CA"/>
    <w:rsid w:val="17A907E6"/>
    <w:rsid w:val="19196BE2"/>
    <w:rsid w:val="1A59703F"/>
    <w:rsid w:val="1AEAD30B"/>
    <w:rsid w:val="1C015EF7"/>
    <w:rsid w:val="1C10D461"/>
    <w:rsid w:val="1C2E6F85"/>
    <w:rsid w:val="1C59C5BB"/>
    <w:rsid w:val="1D410945"/>
    <w:rsid w:val="2101044E"/>
    <w:rsid w:val="213E9034"/>
    <w:rsid w:val="216C41D5"/>
    <w:rsid w:val="22433B66"/>
    <w:rsid w:val="22765473"/>
    <w:rsid w:val="22BEF18C"/>
    <w:rsid w:val="2320C553"/>
    <w:rsid w:val="24C74C2A"/>
    <w:rsid w:val="2568CC70"/>
    <w:rsid w:val="258DDC6C"/>
    <w:rsid w:val="269C9BA8"/>
    <w:rsid w:val="274A2645"/>
    <w:rsid w:val="27D48BB4"/>
    <w:rsid w:val="287E1D4E"/>
    <w:rsid w:val="28CEECF3"/>
    <w:rsid w:val="2A3F95B1"/>
    <w:rsid w:val="2BBDEC2A"/>
    <w:rsid w:val="2D8FFB0F"/>
    <w:rsid w:val="2DAB01F0"/>
    <w:rsid w:val="2DB91D45"/>
    <w:rsid w:val="2E317A03"/>
    <w:rsid w:val="2F2EA502"/>
    <w:rsid w:val="301B75AE"/>
    <w:rsid w:val="30C4BCA4"/>
    <w:rsid w:val="30EA850E"/>
    <w:rsid w:val="31CB6BDE"/>
    <w:rsid w:val="3298EDB7"/>
    <w:rsid w:val="33A87DED"/>
    <w:rsid w:val="33ADAE43"/>
    <w:rsid w:val="33F0167F"/>
    <w:rsid w:val="36459A84"/>
    <w:rsid w:val="36EA64ED"/>
    <w:rsid w:val="3728C772"/>
    <w:rsid w:val="37C147F6"/>
    <w:rsid w:val="381F3C1D"/>
    <w:rsid w:val="391675B5"/>
    <w:rsid w:val="3918A50F"/>
    <w:rsid w:val="399F17FD"/>
    <w:rsid w:val="39ABFCB6"/>
    <w:rsid w:val="3AC1C618"/>
    <w:rsid w:val="3B4A79DA"/>
    <w:rsid w:val="3B7BDB15"/>
    <w:rsid w:val="3CC8CC54"/>
    <w:rsid w:val="3E7E0567"/>
    <w:rsid w:val="3FB38CF3"/>
    <w:rsid w:val="41475477"/>
    <w:rsid w:val="43542A92"/>
    <w:rsid w:val="43C64F0A"/>
    <w:rsid w:val="43FB5DB8"/>
    <w:rsid w:val="442E084D"/>
    <w:rsid w:val="44EFFAF3"/>
    <w:rsid w:val="45571260"/>
    <w:rsid w:val="456552D6"/>
    <w:rsid w:val="461B6572"/>
    <w:rsid w:val="463C3CFD"/>
    <w:rsid w:val="464F8B39"/>
    <w:rsid w:val="467A9DCE"/>
    <w:rsid w:val="471A7907"/>
    <w:rsid w:val="47392EDA"/>
    <w:rsid w:val="48279BB5"/>
    <w:rsid w:val="49053C9D"/>
    <w:rsid w:val="4924F792"/>
    <w:rsid w:val="495A412C"/>
    <w:rsid w:val="49645380"/>
    <w:rsid w:val="49E29358"/>
    <w:rsid w:val="4B3EF2B6"/>
    <w:rsid w:val="4C115F59"/>
    <w:rsid w:val="4CE74B97"/>
    <w:rsid w:val="4D01AEC8"/>
    <w:rsid w:val="4FE420A9"/>
    <w:rsid w:val="50A87465"/>
    <w:rsid w:val="5126D5D7"/>
    <w:rsid w:val="5157F658"/>
    <w:rsid w:val="518CD15B"/>
    <w:rsid w:val="51B3CB53"/>
    <w:rsid w:val="51C1B04D"/>
    <w:rsid w:val="52CC1623"/>
    <w:rsid w:val="53574AA8"/>
    <w:rsid w:val="53E11361"/>
    <w:rsid w:val="53FBB38F"/>
    <w:rsid w:val="54084EC8"/>
    <w:rsid w:val="5537184E"/>
    <w:rsid w:val="55C089D8"/>
    <w:rsid w:val="55D6C866"/>
    <w:rsid w:val="5603B6E5"/>
    <w:rsid w:val="56638997"/>
    <w:rsid w:val="57335451"/>
    <w:rsid w:val="57AB2660"/>
    <w:rsid w:val="5856FFF8"/>
    <w:rsid w:val="5875282F"/>
    <w:rsid w:val="58FC3D5B"/>
    <w:rsid w:val="592E1C2B"/>
    <w:rsid w:val="593B57A7"/>
    <w:rsid w:val="5A2BDBC2"/>
    <w:rsid w:val="5AB1439D"/>
    <w:rsid w:val="5B6B2D1A"/>
    <w:rsid w:val="5C45EDD9"/>
    <w:rsid w:val="5CC78986"/>
    <w:rsid w:val="5CCBB866"/>
    <w:rsid w:val="5E33DE1A"/>
    <w:rsid w:val="5E997BDF"/>
    <w:rsid w:val="5EE6CE77"/>
    <w:rsid w:val="5EEC74E6"/>
    <w:rsid w:val="5EF39467"/>
    <w:rsid w:val="5F132FFB"/>
    <w:rsid w:val="5F1940EE"/>
    <w:rsid w:val="5FE60B25"/>
    <w:rsid w:val="6005A9FF"/>
    <w:rsid w:val="610C1598"/>
    <w:rsid w:val="613C8249"/>
    <w:rsid w:val="61C5AA84"/>
    <w:rsid w:val="623A1BD4"/>
    <w:rsid w:val="62A1878E"/>
    <w:rsid w:val="63D57E19"/>
    <w:rsid w:val="65ACBB98"/>
    <w:rsid w:val="662EAFD5"/>
    <w:rsid w:val="6659724F"/>
    <w:rsid w:val="67F2AA3D"/>
    <w:rsid w:val="68C5EEC5"/>
    <w:rsid w:val="693B6AAB"/>
    <w:rsid w:val="69950774"/>
    <w:rsid w:val="6B258E5F"/>
    <w:rsid w:val="6B30A3F3"/>
    <w:rsid w:val="6C044003"/>
    <w:rsid w:val="6C4FD075"/>
    <w:rsid w:val="6E12CFCA"/>
    <w:rsid w:val="6F952E46"/>
    <w:rsid w:val="6FAEA02B"/>
    <w:rsid w:val="709FB8B5"/>
    <w:rsid w:val="70AA98A5"/>
    <w:rsid w:val="714A708C"/>
    <w:rsid w:val="720146E3"/>
    <w:rsid w:val="721AB408"/>
    <w:rsid w:val="73C3D604"/>
    <w:rsid w:val="73FBC66B"/>
    <w:rsid w:val="74EFEE53"/>
    <w:rsid w:val="75787C80"/>
    <w:rsid w:val="7634B7BF"/>
    <w:rsid w:val="774ED644"/>
    <w:rsid w:val="77A623F0"/>
    <w:rsid w:val="77E64053"/>
    <w:rsid w:val="781D3AA4"/>
    <w:rsid w:val="79AF2461"/>
    <w:rsid w:val="7A3D45A3"/>
    <w:rsid w:val="7B1DE115"/>
    <w:rsid w:val="7B7DF571"/>
    <w:rsid w:val="7BA6285E"/>
    <w:rsid w:val="7BAB16E4"/>
    <w:rsid w:val="7C049DD7"/>
    <w:rsid w:val="7C7CE6D9"/>
    <w:rsid w:val="7CB9B176"/>
    <w:rsid w:val="7D4D7568"/>
    <w:rsid w:val="7D665D03"/>
    <w:rsid w:val="7E500B48"/>
    <w:rsid w:val="7E5581D7"/>
    <w:rsid w:val="7FD5F3D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15306"/>
  <w15:chartTrackingRefBased/>
  <w15:docId w15:val="{DC96F21D-7F22-4B56-8585-177D793B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EA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nhideWhenUsed/>
    <w:qFormat/>
    <w:rsid w:val="007C77BC"/>
    <w:pPr>
      <w:keepNext/>
      <w:keepLines/>
      <w:numPr>
        <w:numId w:val="3"/>
      </w:numPr>
      <w:spacing w:before="120" w:after="120"/>
      <w:outlineLvl w:val="2"/>
    </w:pPr>
    <w:rPr>
      <w:rFonts w:eastAsiaTheme="majorEastAsia"/>
      <w:b/>
      <w:bCs/>
      <w:szCs w:val="22"/>
    </w:rPr>
  </w:style>
  <w:style w:type="paragraph" w:styleId="Heading4">
    <w:name w:val="heading 4"/>
    <w:basedOn w:val="Normal"/>
    <w:next w:val="Normal"/>
    <w:link w:val="Heading4Char"/>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nhideWhenUsed/>
    <w:qFormat/>
    <w:rsid w:val="00310608"/>
    <w:pPr>
      <w:keepNext/>
      <w:spacing w:before="120" w:after="120"/>
      <w:ind w:left="567" w:hanging="567"/>
      <w:outlineLvl w:val="4"/>
    </w:pPr>
    <w:rPr>
      <w:rFonts w:eastAsiaTheme="majorEastAsia"/>
      <w:i/>
      <w:iCs/>
    </w:rPr>
  </w:style>
  <w:style w:type="paragraph" w:styleId="Heading6">
    <w:name w:val="heading 6"/>
    <w:basedOn w:val="Normal"/>
    <w:next w:val="Normal"/>
    <w:link w:val="Heading6Char"/>
    <w:qFormat/>
    <w:rsid w:val="00D44EAC"/>
    <w:pPr>
      <w:keepNext/>
      <w:spacing w:after="240" w:line="240" w:lineRule="exact"/>
      <w:ind w:left="720"/>
      <w:outlineLvl w:val="5"/>
    </w:pPr>
    <w:rPr>
      <w:u w:val="single"/>
    </w:rPr>
  </w:style>
  <w:style w:type="paragraph" w:styleId="Heading7">
    <w:name w:val="heading 7"/>
    <w:basedOn w:val="Normal"/>
    <w:next w:val="Normal"/>
    <w:link w:val="Heading7Char"/>
    <w:rsid w:val="00D44EAC"/>
    <w:pPr>
      <w:keepNext/>
      <w:jc w:val="right"/>
      <w:outlineLvl w:val="6"/>
    </w:pPr>
    <w:rPr>
      <w:rFonts w:ascii="Univers" w:hAnsi="Univers"/>
      <w:b/>
      <w:sz w:val="28"/>
    </w:rPr>
  </w:style>
  <w:style w:type="paragraph" w:styleId="Heading8">
    <w:name w:val="heading 8"/>
    <w:basedOn w:val="Normal"/>
    <w:next w:val="Normal"/>
    <w:link w:val="Heading8Char"/>
    <w:qFormat/>
    <w:rsid w:val="00D44EAC"/>
    <w:pPr>
      <w:keepNext/>
      <w:jc w:val="right"/>
      <w:outlineLvl w:val="7"/>
    </w:pPr>
    <w:rPr>
      <w:rFonts w:ascii="Univers" w:hAnsi="Univers"/>
      <w:b/>
      <w:sz w:val="32"/>
    </w:rPr>
  </w:style>
  <w:style w:type="paragraph" w:styleId="Heading9">
    <w:name w:val="heading 9"/>
    <w:basedOn w:val="Normal"/>
    <w:next w:val="Normal"/>
    <w:link w:val="Heading9Char"/>
    <w:rsid w:val="00D44EAC"/>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unhideWhenUsed/>
    <w:qFormat/>
    <w:rsid w:val="00A96B21"/>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480A8D"/>
    <w:pPr>
      <w:numPr>
        <w:numId w:val="2"/>
      </w:numPr>
      <w:tabs>
        <w:tab w:val="left" w:pos="1134"/>
      </w:tabs>
      <w:spacing w:before="120" w:after="120"/>
    </w:pPr>
    <w:rPr>
      <w:lang w:val="en-CA"/>
    </w:rPr>
  </w:style>
  <w:style w:type="character" w:customStyle="1" w:styleId="Heading2Char">
    <w:name w:val="Heading 2 Char"/>
    <w:basedOn w:val="DefaultParagraphFont"/>
    <w:link w:val="Heading2"/>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3E0A26"/>
    <w:p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0">
    <w:name w:val="Para 3"/>
    <w:basedOn w:val="Normal"/>
    <w:qFormat/>
    <w:rsid w:val="002B00CA"/>
    <w:pPr>
      <w:numPr>
        <w:numId w:val="4"/>
      </w:numPr>
      <w:tabs>
        <w:tab w:val="left" w:pos="1701"/>
      </w:tabs>
      <w:spacing w:before="120" w:after="120"/>
      <w:ind w:left="1134" w:firstLine="0"/>
    </w:pPr>
  </w:style>
  <w:style w:type="character" w:customStyle="1" w:styleId="Heading4Char">
    <w:name w:val="Heading 4 Char"/>
    <w:basedOn w:val="DefaultParagraphFont"/>
    <w:link w:val="Heading4"/>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paragraph" w:styleId="ListParagraph">
    <w:name w:val="List Paragraph"/>
    <w:basedOn w:val="Normal"/>
    <w:link w:val="ListParagraphChar"/>
    <w:uiPriority w:val="34"/>
    <w:qFormat/>
    <w:rsid w:val="00734897"/>
    <w:pPr>
      <w:ind w:left="720"/>
      <w:contextualSpacing/>
    </w:pPr>
  </w:style>
  <w:style w:type="character" w:styleId="Hyperlink">
    <w:name w:val="Hyperlink"/>
    <w:basedOn w:val="DefaultParagraphFont"/>
    <w:unhideWhenUsed/>
    <w:rsid w:val="003A0246"/>
    <w:rPr>
      <w:color w:val="0563C1" w:themeColor="hyperlink"/>
      <w:u w:val="single"/>
    </w:rPr>
  </w:style>
  <w:style w:type="character" w:styleId="UnresolvedMention">
    <w:name w:val="Unresolved Mention"/>
    <w:basedOn w:val="DefaultParagraphFont"/>
    <w:uiPriority w:val="99"/>
    <w:semiHidden/>
    <w:unhideWhenUsed/>
    <w:rsid w:val="003A0246"/>
    <w:rPr>
      <w:color w:val="605E5C"/>
      <w:shd w:val="clear" w:color="auto" w:fill="E1DFDD"/>
    </w:rPr>
  </w:style>
  <w:style w:type="character" w:styleId="FollowedHyperlink">
    <w:name w:val="FollowedHyperlink"/>
    <w:basedOn w:val="DefaultParagraphFont"/>
    <w:unhideWhenUsed/>
    <w:rsid w:val="008A00E5"/>
    <w:rPr>
      <w:color w:val="954F72" w:themeColor="followedHyperlink"/>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021186"/>
    <w:pPr>
      <w:spacing w:after="160" w:line="240" w:lineRule="exact"/>
      <w:jc w:val="left"/>
    </w:pPr>
    <w:rPr>
      <w:rFonts w:asciiTheme="minorHAnsi" w:eastAsiaTheme="minorHAnsi" w:hAnsiTheme="minorHAnsi" w:cstheme="minorBidi"/>
      <w:kern w:val="2"/>
      <w:szCs w:val="22"/>
      <w:vertAlign w:val="superscript"/>
      <w:lang w:val="en-CA"/>
      <w14:ligatures w14:val="standardContextual"/>
    </w:rPr>
  </w:style>
  <w:style w:type="paragraph" w:styleId="Revision">
    <w:name w:val="Revision"/>
    <w:hidden/>
    <w:uiPriority w:val="99"/>
    <w:semiHidden/>
    <w:rsid w:val="00AE414C"/>
    <w:pPr>
      <w:spacing w:after="0" w:line="240" w:lineRule="auto"/>
    </w:pPr>
    <w:rPr>
      <w:rFonts w:ascii="Times New Roman" w:eastAsia="Times New Roman" w:hAnsi="Times New Roman" w:cs="Times New Roman"/>
      <w:kern w:val="0"/>
      <w:szCs w:val="24"/>
      <w:lang w:val="en-GB"/>
      <w14:ligatures w14:val="none"/>
    </w:rPr>
  </w:style>
  <w:style w:type="character" w:customStyle="1" w:styleId="Heading6Char">
    <w:name w:val="Heading 6 Char"/>
    <w:basedOn w:val="DefaultParagraphFont"/>
    <w:link w:val="Heading6"/>
    <w:rsid w:val="00D44EAC"/>
    <w:rPr>
      <w:rFonts w:ascii="Times New Roman" w:eastAsia="Times New Roman" w:hAnsi="Times New Roman" w:cs="Times New Roman"/>
      <w:kern w:val="0"/>
      <w:szCs w:val="24"/>
      <w:u w:val="single"/>
      <w:lang w:val="en-GB"/>
      <w14:ligatures w14:val="none"/>
    </w:rPr>
  </w:style>
  <w:style w:type="character" w:customStyle="1" w:styleId="Heading7Char">
    <w:name w:val="Heading 7 Char"/>
    <w:basedOn w:val="DefaultParagraphFont"/>
    <w:link w:val="Heading7"/>
    <w:rsid w:val="00D44EAC"/>
    <w:rPr>
      <w:rFonts w:ascii="Univers" w:eastAsia="Times New Roman" w:hAnsi="Univers" w:cs="Times New Roman"/>
      <w:b/>
      <w:kern w:val="0"/>
      <w:sz w:val="28"/>
      <w:szCs w:val="24"/>
      <w:lang w:val="en-GB"/>
      <w14:ligatures w14:val="none"/>
    </w:rPr>
  </w:style>
  <w:style w:type="character" w:customStyle="1" w:styleId="Heading8Char">
    <w:name w:val="Heading 8 Char"/>
    <w:basedOn w:val="DefaultParagraphFont"/>
    <w:link w:val="Heading8"/>
    <w:rsid w:val="00D44EAC"/>
    <w:rPr>
      <w:rFonts w:ascii="Univers" w:eastAsia="Times New Roman" w:hAnsi="Univers" w:cs="Times New Roman"/>
      <w:b/>
      <w:kern w:val="0"/>
      <w:sz w:val="32"/>
      <w:szCs w:val="24"/>
      <w:lang w:val="en-GB"/>
      <w14:ligatures w14:val="none"/>
    </w:rPr>
  </w:style>
  <w:style w:type="character" w:customStyle="1" w:styleId="Heading9Char">
    <w:name w:val="Heading 9 Char"/>
    <w:basedOn w:val="DefaultParagraphFont"/>
    <w:link w:val="Heading9"/>
    <w:rsid w:val="00D44EAC"/>
    <w:rPr>
      <w:rFonts w:ascii="Times New Roman" w:eastAsia="Times New Roman" w:hAnsi="Times New Roman" w:cs="Times New Roman"/>
      <w:i/>
      <w:iCs/>
      <w:kern w:val="0"/>
      <w:szCs w:val="24"/>
      <w:lang w:val="en-GB"/>
      <w14:ligatures w14:val="none"/>
    </w:rPr>
  </w:style>
  <w:style w:type="paragraph" w:styleId="BalloonText">
    <w:name w:val="Balloon Text"/>
    <w:basedOn w:val="Normal"/>
    <w:link w:val="BalloonTextChar"/>
    <w:uiPriority w:val="99"/>
    <w:semiHidden/>
    <w:unhideWhenUsed/>
    <w:rsid w:val="00D44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EAC"/>
    <w:rPr>
      <w:rFonts w:ascii="Lucida Grande" w:eastAsia="Times New Roman" w:hAnsi="Lucida Grande" w:cs="Lucida Grande"/>
      <w:kern w:val="0"/>
      <w:sz w:val="18"/>
      <w:szCs w:val="18"/>
      <w:lang w:val="en-GB"/>
      <w14:ligatures w14:val="none"/>
    </w:rPr>
  </w:style>
  <w:style w:type="paragraph" w:customStyle="1" w:styleId="meetingname">
    <w:name w:val="meeting name"/>
    <w:basedOn w:val="Normal"/>
    <w:qFormat/>
    <w:rsid w:val="00D44EAC"/>
    <w:pPr>
      <w:ind w:left="142" w:right="4218" w:hanging="142"/>
    </w:pPr>
    <w:rPr>
      <w:caps/>
      <w:szCs w:val="22"/>
    </w:rPr>
  </w:style>
  <w:style w:type="paragraph" w:styleId="BodyTextIndent">
    <w:name w:val="Body Text Indent"/>
    <w:basedOn w:val="Normal"/>
    <w:link w:val="BodyTextIndentChar"/>
    <w:rsid w:val="00D44EAC"/>
    <w:pPr>
      <w:spacing w:before="120" w:after="120"/>
      <w:ind w:left="1440" w:hanging="720"/>
      <w:jc w:val="left"/>
    </w:pPr>
  </w:style>
  <w:style w:type="character" w:customStyle="1" w:styleId="BodyTextIndentChar">
    <w:name w:val="Body Text Indent Char"/>
    <w:basedOn w:val="DefaultParagraphFont"/>
    <w:link w:val="BodyTextIndent"/>
    <w:rsid w:val="00D44EAC"/>
    <w:rPr>
      <w:rFonts w:ascii="Times New Roman" w:eastAsia="Times New Roman" w:hAnsi="Times New Roman" w:cs="Times New Roman"/>
      <w:kern w:val="0"/>
      <w:szCs w:val="24"/>
      <w:lang w:val="en-GB"/>
      <w14:ligatures w14:val="none"/>
    </w:rPr>
  </w:style>
  <w:style w:type="character" w:styleId="EndnoteReference">
    <w:name w:val="endnote reference"/>
    <w:semiHidden/>
    <w:rsid w:val="00D44EAC"/>
    <w:rPr>
      <w:vertAlign w:val="superscript"/>
    </w:rPr>
  </w:style>
  <w:style w:type="paragraph" w:styleId="EndnoteText">
    <w:name w:val="endnote text"/>
    <w:basedOn w:val="Normal"/>
    <w:link w:val="EndnoteTextChar"/>
    <w:semiHidden/>
    <w:rsid w:val="00D44EAC"/>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D44EAC"/>
    <w:rPr>
      <w:rFonts w:ascii="Courier New" w:eastAsia="Times New Roman" w:hAnsi="Courier New" w:cs="Times New Roman"/>
      <w:kern w:val="0"/>
      <w:szCs w:val="24"/>
      <w:lang w:val="en-GB"/>
      <w14:ligatures w14:val="none"/>
    </w:rPr>
  </w:style>
  <w:style w:type="paragraph" w:customStyle="1" w:styleId="HEADING">
    <w:name w:val="HEADING"/>
    <w:basedOn w:val="Normal"/>
    <w:rsid w:val="00D44EAC"/>
    <w:pPr>
      <w:keepNext/>
      <w:spacing w:before="240" w:after="120"/>
      <w:jc w:val="center"/>
    </w:pPr>
    <w:rPr>
      <w:b/>
      <w:bCs/>
      <w:caps/>
    </w:rPr>
  </w:style>
  <w:style w:type="paragraph" w:customStyle="1" w:styleId="HEADINGNOTFORTOC">
    <w:name w:val="HEADING (NOT FOR TOC)"/>
    <w:basedOn w:val="Heading1"/>
    <w:next w:val="Heading2"/>
    <w:rsid w:val="00722450"/>
    <w:pPr>
      <w:keepLines w:val="0"/>
      <w:numPr>
        <w:numId w:val="0"/>
      </w:numPr>
      <w:tabs>
        <w:tab w:val="left" w:pos="720"/>
      </w:tabs>
      <w:jc w:val="center"/>
    </w:pPr>
    <w:rPr>
      <w:rFonts w:eastAsia="Times New Roman" w:cs="Times New Roman"/>
      <w:bCs w:val="0"/>
      <w:caps/>
      <w:kern w:val="0"/>
      <w:sz w:val="22"/>
      <w:szCs w:val="24"/>
      <w:lang w:val="en-GB"/>
      <w14:ligatures w14:val="none"/>
    </w:rPr>
  </w:style>
  <w:style w:type="paragraph" w:customStyle="1" w:styleId="Heading1longmultiline">
    <w:name w:val="Heading 1 (long multiline)"/>
    <w:basedOn w:val="Heading1"/>
    <w:rsid w:val="00722450"/>
    <w:pPr>
      <w:keepLines w:val="0"/>
      <w:numPr>
        <w:numId w:val="0"/>
      </w:numPr>
      <w:tabs>
        <w:tab w:val="left" w:pos="720"/>
      </w:tabs>
      <w:ind w:left="1843" w:hanging="1134"/>
    </w:pPr>
    <w:rPr>
      <w:rFonts w:eastAsia="Times New Roman" w:cs="Times New Roman"/>
      <w:bCs w:val="0"/>
      <w:caps/>
      <w:kern w:val="0"/>
      <w:sz w:val="22"/>
      <w:szCs w:val="24"/>
      <w:lang w:val="en-GB"/>
      <w14:ligatures w14:val="none"/>
    </w:rPr>
  </w:style>
  <w:style w:type="paragraph" w:customStyle="1" w:styleId="Heading1multiline">
    <w:name w:val="Heading 1 (multiline)"/>
    <w:basedOn w:val="Heading1"/>
    <w:rsid w:val="00722450"/>
    <w:pPr>
      <w:keepLines w:val="0"/>
      <w:numPr>
        <w:numId w:val="0"/>
      </w:numPr>
      <w:tabs>
        <w:tab w:val="left" w:pos="720"/>
      </w:tabs>
      <w:ind w:left="1843" w:right="996" w:hanging="567"/>
    </w:pPr>
    <w:rPr>
      <w:rFonts w:eastAsia="Times New Roman" w:cs="Times New Roman"/>
      <w:bCs w:val="0"/>
      <w:caps/>
      <w:kern w:val="0"/>
      <w:sz w:val="22"/>
      <w:szCs w:val="24"/>
      <w:lang w:val="en-GB"/>
      <w14:ligatures w14:val="none"/>
    </w:rPr>
  </w:style>
  <w:style w:type="paragraph" w:customStyle="1" w:styleId="Heading2multiline">
    <w:name w:val="Heading 2 (multiline)"/>
    <w:basedOn w:val="Heading1"/>
    <w:next w:val="Normal"/>
    <w:rsid w:val="00722450"/>
    <w:pPr>
      <w:keepLines w:val="0"/>
      <w:numPr>
        <w:numId w:val="0"/>
      </w:numPr>
      <w:tabs>
        <w:tab w:val="left" w:pos="720"/>
      </w:tabs>
      <w:spacing w:before="120"/>
      <w:ind w:left="1843" w:right="998" w:hanging="567"/>
    </w:pPr>
    <w:rPr>
      <w:rFonts w:eastAsia="Times New Roman" w:cs="Times New Roman"/>
      <w:bCs w:val="0"/>
      <w:i/>
      <w:iCs/>
      <w:kern w:val="0"/>
      <w:sz w:val="22"/>
      <w:szCs w:val="24"/>
      <w:lang w:val="en-GB"/>
      <w14:ligatures w14:val="none"/>
    </w:rPr>
  </w:style>
  <w:style w:type="paragraph" w:customStyle="1" w:styleId="Heading2longmultiline">
    <w:name w:val="Heading 2 (long multiline)"/>
    <w:basedOn w:val="Heading2multiline"/>
    <w:rsid w:val="00D44EAC"/>
    <w:pPr>
      <w:ind w:left="2127" w:hanging="1276"/>
    </w:pPr>
  </w:style>
  <w:style w:type="paragraph" w:customStyle="1" w:styleId="heading2notforTOC">
    <w:name w:val="heading 2 not for TOC"/>
    <w:basedOn w:val="Heading3"/>
    <w:rsid w:val="00722450"/>
    <w:pPr>
      <w:keepLines w:val="0"/>
      <w:numPr>
        <w:numId w:val="0"/>
      </w:numPr>
      <w:tabs>
        <w:tab w:val="left" w:pos="567"/>
      </w:tabs>
      <w:jc w:val="center"/>
    </w:pPr>
    <w:rPr>
      <w:rFonts w:eastAsia="Times New Roman"/>
      <w:b w:val="0"/>
      <w:bCs w:val="0"/>
      <w:i/>
      <w:iCs/>
      <w:szCs w:val="24"/>
    </w:rPr>
  </w:style>
  <w:style w:type="paragraph" w:customStyle="1" w:styleId="Heading3multiline">
    <w:name w:val="Heading 3 (multiline)"/>
    <w:basedOn w:val="Heading3"/>
    <w:next w:val="Normal"/>
    <w:rsid w:val="00722450"/>
    <w:pPr>
      <w:keepLines w:val="0"/>
      <w:numPr>
        <w:numId w:val="0"/>
      </w:numPr>
      <w:tabs>
        <w:tab w:val="left" w:pos="567"/>
      </w:tabs>
      <w:ind w:left="1418" w:hanging="425"/>
      <w:jc w:val="left"/>
    </w:pPr>
    <w:rPr>
      <w:rFonts w:eastAsia="Times New Roman"/>
      <w:b w:val="0"/>
      <w:bCs w:val="0"/>
      <w:i/>
      <w:iCs/>
      <w:szCs w:val="24"/>
    </w:rPr>
  </w:style>
  <w:style w:type="paragraph" w:customStyle="1" w:styleId="Heading4indent">
    <w:name w:val="Heading 4 indent"/>
    <w:basedOn w:val="Heading4"/>
    <w:rsid w:val="00D44EAC"/>
    <w:pPr>
      <w:ind w:left="720" w:firstLine="0"/>
      <w:outlineLvl w:val="9"/>
    </w:pPr>
    <w:rPr>
      <w:rFonts w:eastAsia="Arial Unicode MS" w:cs="Arial"/>
      <w:i/>
    </w:rPr>
  </w:style>
  <w:style w:type="character" w:styleId="PageNumber">
    <w:name w:val="page number"/>
    <w:rsid w:val="00D44EAC"/>
    <w:rPr>
      <w:rFonts w:ascii="Times New Roman" w:hAnsi="Times New Roman"/>
      <w:sz w:val="22"/>
    </w:rPr>
  </w:style>
  <w:style w:type="paragraph" w:customStyle="1" w:styleId="Para10">
    <w:name w:val="Para1"/>
    <w:basedOn w:val="Normal"/>
    <w:link w:val="Para1Char"/>
    <w:qFormat/>
    <w:rsid w:val="00D44EAC"/>
    <w:pPr>
      <w:spacing w:before="120" w:after="120"/>
    </w:pPr>
    <w:rPr>
      <w:snapToGrid w:val="0"/>
      <w:szCs w:val="18"/>
    </w:rPr>
  </w:style>
  <w:style w:type="paragraph" w:customStyle="1" w:styleId="Para20">
    <w:name w:val="Para2"/>
    <w:basedOn w:val="Para10"/>
    <w:rsid w:val="00D44EAC"/>
    <w:pPr>
      <w:autoSpaceDE w:val="0"/>
      <w:autoSpaceDN w:val="0"/>
    </w:pPr>
  </w:style>
  <w:style w:type="paragraph" w:customStyle="1" w:styleId="Para3">
    <w:name w:val="Para3"/>
    <w:basedOn w:val="Normal"/>
    <w:rsid w:val="00D44EAC"/>
    <w:pPr>
      <w:numPr>
        <w:ilvl w:val="3"/>
        <w:numId w:val="6"/>
      </w:numPr>
      <w:tabs>
        <w:tab w:val="left" w:pos="1980"/>
      </w:tabs>
      <w:spacing w:before="80" w:after="80"/>
    </w:pPr>
    <w:rPr>
      <w:szCs w:val="20"/>
    </w:rPr>
  </w:style>
  <w:style w:type="paragraph" w:customStyle="1" w:styleId="para4">
    <w:name w:val="para4"/>
    <w:basedOn w:val="Normal"/>
    <w:rsid w:val="00D44EAC"/>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D44EAC"/>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D44EAC"/>
    <w:pPr>
      <w:spacing w:before="120" w:after="120"/>
      <w:ind w:left="720" w:right="720"/>
    </w:pPr>
    <w:rPr>
      <w:bCs/>
    </w:rPr>
  </w:style>
  <w:style w:type="paragraph" w:customStyle="1" w:styleId="recommendationheader">
    <w:name w:val="recommendation header"/>
    <w:basedOn w:val="Heading2"/>
    <w:qFormat/>
    <w:rsid w:val="00D44EAC"/>
    <w:pPr>
      <w:keepLines w:val="0"/>
      <w:tabs>
        <w:tab w:val="left" w:pos="720"/>
      </w:tabs>
      <w:ind w:left="0" w:firstLine="0"/>
      <w:jc w:val="center"/>
    </w:pPr>
    <w:rPr>
      <w:rFonts w:eastAsia="Times New Roman" w:cs="Times New Roman"/>
      <w:bCs/>
      <w:iCs/>
      <w:sz w:val="22"/>
      <w:szCs w:val="24"/>
    </w:rPr>
  </w:style>
  <w:style w:type="paragraph" w:customStyle="1" w:styleId="recommendationheaderlong">
    <w:name w:val="recommendation header long"/>
    <w:basedOn w:val="Heading2longmultiline"/>
    <w:qFormat/>
    <w:rsid w:val="00D44EAC"/>
  </w:style>
  <w:style w:type="paragraph" w:customStyle="1" w:styleId="reference">
    <w:name w:val="reference"/>
    <w:basedOn w:val="Heading9"/>
    <w:qFormat/>
    <w:rsid w:val="00D44EAC"/>
    <w:rPr>
      <w:i w:val="0"/>
      <w:sz w:val="18"/>
    </w:rPr>
  </w:style>
  <w:style w:type="character" w:customStyle="1" w:styleId="StyleFootnoteReferenceNounderline">
    <w:name w:val="Style Footnote Reference + No underline"/>
    <w:rsid w:val="00D44EAC"/>
    <w:rPr>
      <w:sz w:val="18"/>
      <w:u w:val="none"/>
      <w:vertAlign w:val="baseline"/>
    </w:rPr>
  </w:style>
  <w:style w:type="paragraph" w:customStyle="1" w:styleId="tabletitle">
    <w:name w:val="table title"/>
    <w:basedOn w:val="Heading2"/>
    <w:qFormat/>
    <w:rsid w:val="00D44EAC"/>
    <w:pPr>
      <w:keepLines w:val="0"/>
      <w:tabs>
        <w:tab w:val="left" w:pos="720"/>
      </w:tabs>
      <w:ind w:left="0" w:firstLine="0"/>
      <w:jc w:val="left"/>
      <w:outlineLvl w:val="9"/>
    </w:pPr>
    <w:rPr>
      <w:rFonts w:eastAsia="Times New Roman" w:cs="Times New Roman"/>
      <w:bCs/>
      <w:i/>
      <w:iCs/>
      <w:sz w:val="22"/>
      <w:szCs w:val="24"/>
    </w:rPr>
  </w:style>
  <w:style w:type="paragraph" w:styleId="TOAHeading">
    <w:name w:val="toa heading"/>
    <w:basedOn w:val="Normal"/>
    <w:next w:val="Normal"/>
    <w:semiHidden/>
    <w:rsid w:val="00D44EAC"/>
    <w:pPr>
      <w:spacing w:before="120"/>
    </w:pPr>
    <w:rPr>
      <w:rFonts w:cs="Arial"/>
      <w:b/>
      <w:bCs/>
      <w:sz w:val="24"/>
    </w:rPr>
  </w:style>
  <w:style w:type="paragraph" w:styleId="TOC1">
    <w:name w:val="toc 1"/>
    <w:basedOn w:val="Normal"/>
    <w:next w:val="Normal"/>
    <w:autoRedefine/>
    <w:semiHidden/>
    <w:rsid w:val="00D44EAC"/>
    <w:pPr>
      <w:ind w:left="720" w:hanging="720"/>
    </w:pPr>
    <w:rPr>
      <w:caps/>
    </w:rPr>
  </w:style>
  <w:style w:type="paragraph" w:styleId="TOC2">
    <w:name w:val="toc 2"/>
    <w:basedOn w:val="Normal"/>
    <w:next w:val="Normal"/>
    <w:autoRedefine/>
    <w:semiHidden/>
    <w:rsid w:val="00D44EAC"/>
    <w:pPr>
      <w:tabs>
        <w:tab w:val="right" w:leader="dot" w:pos="9356"/>
      </w:tabs>
      <w:ind w:left="1440" w:hanging="720"/>
    </w:pPr>
    <w:rPr>
      <w:noProof/>
      <w:szCs w:val="22"/>
    </w:rPr>
  </w:style>
  <w:style w:type="paragraph" w:styleId="TOC3">
    <w:name w:val="toc 3"/>
    <w:basedOn w:val="Normal"/>
    <w:next w:val="Normal"/>
    <w:autoRedefine/>
    <w:semiHidden/>
    <w:rsid w:val="00D44EAC"/>
    <w:pPr>
      <w:ind w:left="2160" w:hanging="720"/>
    </w:pPr>
  </w:style>
  <w:style w:type="paragraph" w:styleId="TOC4">
    <w:name w:val="toc 4"/>
    <w:basedOn w:val="Normal"/>
    <w:next w:val="Normal"/>
    <w:autoRedefine/>
    <w:semiHidden/>
    <w:rsid w:val="00D44EAC"/>
    <w:pPr>
      <w:spacing w:before="120" w:after="120"/>
      <w:ind w:left="660"/>
      <w:jc w:val="left"/>
    </w:pPr>
  </w:style>
  <w:style w:type="paragraph" w:styleId="TOC5">
    <w:name w:val="toc 5"/>
    <w:basedOn w:val="Normal"/>
    <w:next w:val="Normal"/>
    <w:autoRedefine/>
    <w:semiHidden/>
    <w:rsid w:val="00D44EAC"/>
    <w:pPr>
      <w:spacing w:before="120" w:after="120"/>
      <w:ind w:left="880"/>
      <w:jc w:val="left"/>
    </w:pPr>
  </w:style>
  <w:style w:type="paragraph" w:styleId="TOC6">
    <w:name w:val="toc 6"/>
    <w:basedOn w:val="Normal"/>
    <w:next w:val="Normal"/>
    <w:autoRedefine/>
    <w:semiHidden/>
    <w:rsid w:val="00D44EAC"/>
    <w:pPr>
      <w:spacing w:before="120" w:after="120"/>
      <w:ind w:left="1100"/>
      <w:jc w:val="left"/>
    </w:pPr>
  </w:style>
  <w:style w:type="paragraph" w:styleId="TOC7">
    <w:name w:val="toc 7"/>
    <w:basedOn w:val="Normal"/>
    <w:next w:val="Normal"/>
    <w:autoRedefine/>
    <w:semiHidden/>
    <w:rsid w:val="00D44EAC"/>
    <w:pPr>
      <w:spacing w:before="120" w:after="120"/>
      <w:ind w:left="1320"/>
      <w:jc w:val="left"/>
    </w:pPr>
  </w:style>
  <w:style w:type="paragraph" w:styleId="TOC8">
    <w:name w:val="toc 8"/>
    <w:basedOn w:val="Normal"/>
    <w:next w:val="Normal"/>
    <w:autoRedefine/>
    <w:semiHidden/>
    <w:rsid w:val="00D44EAC"/>
    <w:pPr>
      <w:spacing w:before="120" w:after="120"/>
      <w:ind w:left="1540"/>
      <w:jc w:val="left"/>
    </w:pPr>
  </w:style>
  <w:style w:type="paragraph" w:styleId="TOC9">
    <w:name w:val="toc 9"/>
    <w:basedOn w:val="Normal"/>
    <w:next w:val="Normal"/>
    <w:autoRedefine/>
    <w:semiHidden/>
    <w:rsid w:val="00D44EAC"/>
    <w:pPr>
      <w:spacing w:before="120" w:after="120"/>
      <w:ind w:left="1760"/>
      <w:jc w:val="left"/>
    </w:pPr>
  </w:style>
  <w:style w:type="character" w:customStyle="1" w:styleId="Para1Char">
    <w:name w:val="Para1 Char"/>
    <w:link w:val="Para10"/>
    <w:qFormat/>
    <w:locked/>
    <w:rsid w:val="00D44EAC"/>
    <w:rPr>
      <w:rFonts w:ascii="Times New Roman" w:eastAsia="Times New Roman" w:hAnsi="Times New Roman" w:cs="Times New Roman"/>
      <w:snapToGrid w:val="0"/>
      <w:kern w:val="0"/>
      <w:szCs w:val="18"/>
      <w:lang w:val="en-GB"/>
      <w14:ligatures w14:val="none"/>
    </w:rPr>
  </w:style>
  <w:style w:type="paragraph" w:customStyle="1" w:styleId="CBD-Doc-Type">
    <w:name w:val="CBD-Doc-Type"/>
    <w:basedOn w:val="Normal"/>
    <w:rsid w:val="00D44EAC"/>
    <w:pPr>
      <w:keepLines/>
      <w:spacing w:before="240" w:after="120"/>
    </w:pPr>
    <w:rPr>
      <w:rFonts w:cs="Angsana New"/>
      <w:b/>
      <w:i/>
      <w:sz w:val="24"/>
    </w:rPr>
  </w:style>
  <w:style w:type="paragraph" w:customStyle="1" w:styleId="CBD-Doc">
    <w:name w:val="CBD-Doc"/>
    <w:basedOn w:val="Normal"/>
    <w:rsid w:val="00722450"/>
    <w:pPr>
      <w:keepLines/>
      <w:numPr>
        <w:numId w:val="7"/>
      </w:numPr>
      <w:spacing w:after="120"/>
    </w:pPr>
    <w:rPr>
      <w:rFonts w:cs="Angsana New"/>
    </w:rPr>
  </w:style>
  <w:style w:type="paragraph" w:styleId="Caption">
    <w:name w:val="caption"/>
    <w:basedOn w:val="Normal"/>
    <w:next w:val="Normal"/>
    <w:uiPriority w:val="35"/>
    <w:unhideWhenUsed/>
    <w:qFormat/>
    <w:rsid w:val="00D44EAC"/>
    <w:pPr>
      <w:keepNext/>
      <w:keepLines/>
      <w:spacing w:after="200"/>
    </w:pPr>
    <w:rPr>
      <w:b/>
      <w:iCs/>
      <w:szCs w:val="18"/>
    </w:rPr>
  </w:style>
  <w:style w:type="paragraph" w:customStyle="1" w:styleId="Style1">
    <w:name w:val="Style1"/>
    <w:basedOn w:val="Heading2"/>
    <w:qFormat/>
    <w:rsid w:val="00D44EAC"/>
    <w:pPr>
      <w:keepLines w:val="0"/>
      <w:tabs>
        <w:tab w:val="left" w:pos="720"/>
      </w:tabs>
      <w:ind w:left="0" w:firstLine="0"/>
      <w:jc w:val="center"/>
    </w:pPr>
    <w:rPr>
      <w:rFonts w:eastAsia="Times New Roman" w:cs="Times New Roman"/>
      <w:bCs/>
      <w:i/>
      <w:iCs/>
      <w:sz w:val="22"/>
      <w:szCs w:val="24"/>
    </w:rPr>
  </w:style>
  <w:style w:type="paragraph" w:customStyle="1" w:styleId="CBD-Para">
    <w:name w:val="CBD-Para"/>
    <w:basedOn w:val="Normal"/>
    <w:link w:val="CBD-ParaCharChar"/>
    <w:uiPriority w:val="99"/>
    <w:rsid w:val="00722450"/>
    <w:pPr>
      <w:keepLines/>
      <w:numPr>
        <w:numId w:val="9"/>
      </w:numPr>
      <w:spacing w:before="120" w:after="120"/>
    </w:pPr>
    <w:rPr>
      <w:szCs w:val="22"/>
      <w:lang w:val="en-US"/>
    </w:rPr>
  </w:style>
  <w:style w:type="character" w:customStyle="1" w:styleId="CBD-ParaCharChar">
    <w:name w:val="CBD-Para Char Char"/>
    <w:link w:val="CBD-Para"/>
    <w:uiPriority w:val="99"/>
    <w:locked/>
    <w:rsid w:val="00D44EAC"/>
    <w:rPr>
      <w:rFonts w:ascii="Times New Roman" w:eastAsia="Times New Roman" w:hAnsi="Times New Roman" w:cs="Times New Roman"/>
      <w:kern w:val="0"/>
      <w:lang w:val="en-US"/>
      <w14:ligatures w14:val="none"/>
    </w:rPr>
  </w:style>
  <w:style w:type="character" w:customStyle="1" w:styleId="Link">
    <w:name w:val="Link"/>
    <w:rsid w:val="00D44EAC"/>
    <w:rPr>
      <w:color w:val="0000FF"/>
      <w:sz w:val="18"/>
      <w:szCs w:val="18"/>
      <w:u w:val="single" w:color="0000FF"/>
    </w:rPr>
  </w:style>
  <w:style w:type="character" w:customStyle="1" w:styleId="ListParagraphChar">
    <w:name w:val="List Paragraph Char"/>
    <w:basedOn w:val="DefaultParagraphFont"/>
    <w:link w:val="ListParagraph"/>
    <w:uiPriority w:val="34"/>
    <w:qFormat/>
    <w:rsid w:val="00D44EAC"/>
    <w:rPr>
      <w:rFonts w:ascii="Times New Roman" w:eastAsia="Times New Roman" w:hAnsi="Times New Roman" w:cs="Times New Roman"/>
      <w:kern w:val="0"/>
      <w:szCs w:val="24"/>
      <w:lang w:val="en-GB"/>
      <w14:ligatures w14:val="none"/>
    </w:rPr>
  </w:style>
  <w:style w:type="character" w:customStyle="1" w:styleId="normaltextrun">
    <w:name w:val="normaltextrun"/>
    <w:basedOn w:val="DefaultParagraphFont"/>
    <w:rsid w:val="00D44EAC"/>
  </w:style>
  <w:style w:type="character" w:customStyle="1" w:styleId="eop">
    <w:name w:val="eop"/>
    <w:basedOn w:val="DefaultParagraphFont"/>
    <w:rsid w:val="00D44EAC"/>
  </w:style>
  <w:style w:type="paragraph" w:customStyle="1" w:styleId="paragraph">
    <w:name w:val="paragraph"/>
    <w:basedOn w:val="Normal"/>
    <w:rsid w:val="00D44EAC"/>
    <w:pPr>
      <w:spacing w:before="100" w:beforeAutospacing="1" w:after="100" w:afterAutospacing="1"/>
      <w:jc w:val="left"/>
    </w:pPr>
    <w:rPr>
      <w:sz w:val="24"/>
      <w:lang w:val="en-US" w:eastAsia="zh-CN"/>
    </w:rPr>
  </w:style>
  <w:style w:type="character" w:styleId="Mention">
    <w:name w:val="Mention"/>
    <w:basedOn w:val="DefaultParagraphFont"/>
    <w:uiPriority w:val="99"/>
    <w:unhideWhenUsed/>
    <w:rsid w:val="000D47C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35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bd.int/decisions/cop?m=cop-15" TargetMode="External"/><Relationship Id="rId26" Type="http://schemas.openxmlformats.org/officeDocument/2006/relationships/hyperlink" Target="https://www.cbd.int/abs/text/articles?sec=abs-21" TargetMode="External"/><Relationship Id="rId21" Type="http://schemas.openxmlformats.org/officeDocument/2006/relationships/hyperlink" Target="https://www.cbd.int/decisions/np-mop?m=np-mop-04" TargetMode="External"/><Relationship Id="rId34" Type="http://schemas.openxmlformats.org/officeDocument/2006/relationships/hyperlink" Target="https://www.cbd.int/abs/text/articles/?sec=abs-22"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abs/text/articles/?sec=abs-21" TargetMode="External"/><Relationship Id="rId25" Type="http://schemas.openxmlformats.org/officeDocument/2006/relationships/hyperlink" Target="https://www.cbd.int/decisions/cop?m=cop-15"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conferences/2021-2022/cop-15/documents" TargetMode="External"/><Relationship Id="rId20" Type="http://schemas.openxmlformats.org/officeDocument/2006/relationships/hyperlink" Target="https://www.cbd.int/conferences/2021-2022/cop-15/documents" TargetMode="External"/><Relationship Id="rId29" Type="http://schemas.openxmlformats.org/officeDocument/2006/relationships/hyperlink" Target="https://www.cbd.int/conferences/2021-2022/cop-15/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ecisions/np-mop?m=np-mop-04" TargetMode="External"/><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bd.int/decisions/np-mop?m=np-mop-03" TargetMode="External"/><Relationship Id="rId23" Type="http://schemas.openxmlformats.org/officeDocument/2006/relationships/hyperlink" Target="https://www.cbd.int/abs/text/articles?sec=abs-25" TargetMode="External"/><Relationship Id="rId28" Type="http://schemas.openxmlformats.org/officeDocument/2006/relationships/hyperlink" Target="https://www.cbd.int/conferences/2021-2022/cop-15/document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bd.int/meetings/COP-15-Resumed"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ecisions/np-mop/?m=np-mop-04" TargetMode="External"/><Relationship Id="rId22" Type="http://schemas.openxmlformats.org/officeDocument/2006/relationships/hyperlink" Target="https://www.cbd.int/conferences/2021-2022/np-mop-04/documents" TargetMode="External"/><Relationship Id="rId27" Type="http://schemas.openxmlformats.org/officeDocument/2006/relationships/hyperlink" Target="https://www.cbd.int/abs/text/articles?sec=abs-22" TargetMode="External"/><Relationship Id="rId30" Type="http://schemas.openxmlformats.org/officeDocument/2006/relationships/header" Target="header1.xml"/><Relationship Id="rId35" Type="http://schemas.openxmlformats.org/officeDocument/2006/relationships/hyperlink" Target="https://www.cbd.int/abs/text/articles/?sec=abs-21"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unsdg.un.org/sites/default/files/UNDG-UNDAF-Companion-Pieces-7-Theory-of-Change.pdf" TargetMode="External"/><Relationship Id="rId13" Type="http://schemas.openxmlformats.org/officeDocument/2006/relationships/hyperlink" Target="https://www.cbd.int/doc/decisions/cop-15/cop-15-dec-11-en.pdf" TargetMode="External"/><Relationship Id="rId3" Type="http://schemas.openxmlformats.org/officeDocument/2006/relationships/hyperlink" Target="http://www.cbd.int/meetings/NP-CB-IAC-2023-01" TargetMode="External"/><Relationship Id="rId7" Type="http://schemas.openxmlformats.org/officeDocument/2006/relationships/hyperlink" Target="https://www.cbd.int/gbf/targets/" TargetMode="External"/><Relationship Id="rId12" Type="http://schemas.openxmlformats.org/officeDocument/2006/relationships/hyperlink" Target="file:///C:\Users\veronique.lefebvre\AppData\Local\Microsoft\Windows\INetCache\Content.Outlook\EO4ITRC9\www.cbd.int\gbf\goals\" TargetMode="External"/><Relationship Id="rId2" Type="http://schemas.openxmlformats.org/officeDocument/2006/relationships/hyperlink" Target="https://www.cbd.int/decisions/cop/?m=cop-15" TargetMode="External"/><Relationship Id="rId1" Type="http://schemas.openxmlformats.org/officeDocument/2006/relationships/hyperlink" Target="https://www.cbd.int/decisions/cop/?m=cop-15" TargetMode="External"/><Relationship Id="rId6" Type="http://schemas.openxmlformats.org/officeDocument/2006/relationships/hyperlink" Target="https://www.cbd.int/doc/c/ab42/b18d/d37f17f12c7172b5be4dd581/sbi-03-inf-01-en.pdf" TargetMode="External"/><Relationship Id="rId11" Type="http://schemas.openxmlformats.org/officeDocument/2006/relationships/hyperlink" Target="https://absch.cbd.int/en/database/resource/16B113CB-CC86-0008-4D4B-4B29E846B83C?_gl=1*1i3za3z*_ga*MjA3Nzk3NDU0LjE2NjI0NzA1MzQ.*_ga_7S1TPRE7F5*MTcwNjgwOTkxMC4zNTUuMS4xNzA2ODA5OTIzLjQ3LjAuMA" TargetMode="External"/><Relationship Id="rId5" Type="http://schemas.openxmlformats.org/officeDocument/2006/relationships/hyperlink" Target="https://www.cbd.int/meetings/SBI-03" TargetMode="External"/><Relationship Id="rId10" Type="http://schemas.openxmlformats.org/officeDocument/2006/relationships/hyperlink" Target="https://www.cbd.int/doc/c/a7a7/6ebc/536551d1d60d1efa5cce7750/np-cbiac-2023-01-03-en.pdf" TargetMode="External"/><Relationship Id="rId4" Type="http://schemas.openxmlformats.org/officeDocument/2006/relationships/hyperlink" Target="https://www.cbd.int/doc/c/a9bd/8d0a/32072f4ac5eed6f7a52f5293/np-cbiac-2023-01-03-en.pdf" TargetMode="External"/><Relationship Id="rId9" Type="http://schemas.openxmlformats.org/officeDocument/2006/relationships/hyperlink" Target="https://www.cbd.int/doc/c/a7a7/6ebc/536551d1d60d1efa5cce7750/np-cbiac-2023-01-03-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ina.kipper\Downloads\template-sbi-04%20(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1BE74D5FF14C56B1E32B0FAAAD66AA"/>
        <w:category>
          <w:name w:val="General"/>
          <w:gallery w:val="placeholder"/>
        </w:category>
        <w:types>
          <w:type w:val="bbPlcHdr"/>
        </w:types>
        <w:behaviors>
          <w:behavior w:val="content"/>
        </w:behaviors>
        <w:guid w:val="{B5502484-E68D-4537-9F15-26D37E81069B}"/>
      </w:docPartPr>
      <w:docPartBody>
        <w:p w:rsidR="002A78BA" w:rsidRDefault="00DE19FD">
          <w:pPr>
            <w:pStyle w:val="CC1BE74D5FF14C56B1E32B0FAAAD66AA"/>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Univers">
    <w:charset w:val="00"/>
    <w:family w:val="swiss"/>
    <w:pitch w:val="variable"/>
    <w:sig w:usb0="80000287" w:usb1="00000000" w:usb2="00000000" w:usb3="00000000" w:csb0="0000000F" w:csb1="00000000"/>
  </w:font>
  <w:font w:name="Times New Roman Bold">
    <w:altName w:val="Times New Roman"/>
    <w:panose1 w:val="02020803070505020304"/>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Lucida Grande">
    <w:altName w:val="Segoe UI"/>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29"/>
    <w:rsid w:val="00171B76"/>
    <w:rsid w:val="001934DD"/>
    <w:rsid w:val="00294E79"/>
    <w:rsid w:val="002A78BA"/>
    <w:rsid w:val="003A4637"/>
    <w:rsid w:val="0055433F"/>
    <w:rsid w:val="006B4482"/>
    <w:rsid w:val="00750CD8"/>
    <w:rsid w:val="00765084"/>
    <w:rsid w:val="007C5BAA"/>
    <w:rsid w:val="008A356A"/>
    <w:rsid w:val="008A7E29"/>
    <w:rsid w:val="00AA699F"/>
    <w:rsid w:val="00B42BDD"/>
    <w:rsid w:val="00DE19FD"/>
    <w:rsid w:val="00DF5D51"/>
    <w:rsid w:val="00EA6785"/>
    <w:rsid w:val="00FE0B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C1BE74D5FF14C56B1E32B0FAAAD66AA">
    <w:name w:val="CC1BE74D5FF14C56B1E32B0FAAAD6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SharedWithUsers xmlns="13ad741f-c0db-4e29-b5a6-03b4a1bc18ba">
      <UserInfo>
        <DisplayName>Beatriz Gomez Castro</DisplayName>
        <AccountId>16</AccountId>
        <AccountType/>
      </UserInfo>
      <UserInfo>
        <DisplayName>Regina Kipper</DisplayName>
        <AccountId>427</AccountId>
        <AccountType/>
      </UserInfo>
      <UserInfo>
        <DisplayName>Taukondjo Shikongo</DisplayName>
        <AccountId>30</AccountId>
        <AccountType/>
      </UserInfo>
      <UserInfo>
        <DisplayName>Matthew Dias</DisplayName>
        <AccountId>13</AccountId>
        <AccountType/>
      </UserInfo>
      <UserInfo>
        <DisplayName>Alexandra Coelho</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6DEB30E9-0A5D-4821-B4A7-B4B6C009B45F}">
  <ds:schemaRefs>
    <ds:schemaRef ds:uri="http://schemas.microsoft.com/office/2006/metadata/properties"/>
    <ds:schemaRef ds:uri="http://schemas.microsoft.com/office/infopath/2007/PartnerControls"/>
    <ds:schemaRef ds:uri="985ec44e-1bab-4c0b-9df0-6ba128686fc9"/>
    <ds:schemaRef ds:uri="358298e0-1b7e-4ebe-8695-94439b74f0d1"/>
    <ds:schemaRef ds:uri="13ad741f-c0db-4e29-b5a6-03b4a1bc18ba"/>
  </ds:schemaRefs>
</ds:datastoreItem>
</file>

<file path=customXml/itemProps3.xml><?xml version="1.0" encoding="utf-8"?>
<ds:datastoreItem xmlns:ds="http://schemas.openxmlformats.org/officeDocument/2006/customXml" ds:itemID="{0A6A2E42-E1C4-4779-B53A-779CCC893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EB84D-81CF-42E3-8BAF-328DDDF1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template-sbi-04 (2).dotm</Template>
  <TotalTime>43</TotalTime>
  <Pages>22</Pages>
  <Words>9784</Words>
  <Characters>55771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Draft Capacity-building and Development Action Plan for the Nagoya Protocol</vt:lpstr>
    </vt:vector>
  </TitlesOfParts>
  <Company/>
  <LinksUpToDate>false</LinksUpToDate>
  <CharactersWithSpaces>65425</CharactersWithSpaces>
  <SharedDoc>false</SharedDoc>
  <HLinks>
    <vt:vector size="198" baseType="variant">
      <vt:variant>
        <vt:i4>1376327</vt:i4>
      </vt:variant>
      <vt:variant>
        <vt:i4>54</vt:i4>
      </vt:variant>
      <vt:variant>
        <vt:i4>0</vt:i4>
      </vt:variant>
      <vt:variant>
        <vt:i4>5</vt:i4>
      </vt:variant>
      <vt:variant>
        <vt:lpwstr>https://www.cbd.int/abs/text/articles/?sec=abs-21</vt:lpwstr>
      </vt:variant>
      <vt:variant>
        <vt:lpwstr/>
      </vt:variant>
      <vt:variant>
        <vt:i4>1376327</vt:i4>
      </vt:variant>
      <vt:variant>
        <vt:i4>51</vt:i4>
      </vt:variant>
      <vt:variant>
        <vt:i4>0</vt:i4>
      </vt:variant>
      <vt:variant>
        <vt:i4>5</vt:i4>
      </vt:variant>
      <vt:variant>
        <vt:lpwstr>https://www.cbd.int/abs/text/articles/?sec=abs-22</vt:lpwstr>
      </vt:variant>
      <vt:variant>
        <vt:lpwstr/>
      </vt:variant>
      <vt:variant>
        <vt:i4>3407982</vt:i4>
      </vt:variant>
      <vt:variant>
        <vt:i4>48</vt:i4>
      </vt:variant>
      <vt:variant>
        <vt:i4>0</vt:i4>
      </vt:variant>
      <vt:variant>
        <vt:i4>5</vt:i4>
      </vt:variant>
      <vt:variant>
        <vt:lpwstr>https://www.cbd.int/conferences/2021-2022/cop-15/documents</vt:lpwstr>
      </vt:variant>
      <vt:variant>
        <vt:lpwstr/>
      </vt:variant>
      <vt:variant>
        <vt:i4>3407982</vt:i4>
      </vt:variant>
      <vt:variant>
        <vt:i4>45</vt:i4>
      </vt:variant>
      <vt:variant>
        <vt:i4>0</vt:i4>
      </vt:variant>
      <vt:variant>
        <vt:i4>5</vt:i4>
      </vt:variant>
      <vt:variant>
        <vt:lpwstr>https://www.cbd.int/conferences/2021-2022/cop-15/documents</vt:lpwstr>
      </vt:variant>
      <vt:variant>
        <vt:lpwstr/>
      </vt:variant>
      <vt:variant>
        <vt:i4>1048671</vt:i4>
      </vt:variant>
      <vt:variant>
        <vt:i4>42</vt:i4>
      </vt:variant>
      <vt:variant>
        <vt:i4>0</vt:i4>
      </vt:variant>
      <vt:variant>
        <vt:i4>5</vt:i4>
      </vt:variant>
      <vt:variant>
        <vt:lpwstr>https://www.cbd.int/abs/text/articles?sec=abs-22</vt:lpwstr>
      </vt:variant>
      <vt:variant>
        <vt:lpwstr/>
      </vt:variant>
      <vt:variant>
        <vt:i4>1245279</vt:i4>
      </vt:variant>
      <vt:variant>
        <vt:i4>39</vt:i4>
      </vt:variant>
      <vt:variant>
        <vt:i4>0</vt:i4>
      </vt:variant>
      <vt:variant>
        <vt:i4>5</vt:i4>
      </vt:variant>
      <vt:variant>
        <vt:lpwstr>https://www.cbd.int/abs/text/articles?sec=abs-21</vt:lpwstr>
      </vt:variant>
      <vt:variant>
        <vt:lpwstr/>
      </vt:variant>
      <vt:variant>
        <vt:i4>8061038</vt:i4>
      </vt:variant>
      <vt:variant>
        <vt:i4>36</vt:i4>
      </vt:variant>
      <vt:variant>
        <vt:i4>0</vt:i4>
      </vt:variant>
      <vt:variant>
        <vt:i4>5</vt:i4>
      </vt:variant>
      <vt:variant>
        <vt:lpwstr>https://www.cbd.int/decisions/cop?m=cop-15</vt:lpwstr>
      </vt:variant>
      <vt:variant>
        <vt:lpwstr/>
      </vt:variant>
      <vt:variant>
        <vt:i4>5505089</vt:i4>
      </vt:variant>
      <vt:variant>
        <vt:i4>33</vt:i4>
      </vt:variant>
      <vt:variant>
        <vt:i4>0</vt:i4>
      </vt:variant>
      <vt:variant>
        <vt:i4>5</vt:i4>
      </vt:variant>
      <vt:variant>
        <vt:lpwstr>https://www.cbd.int/decisions/np-mop?m=np-mop-04</vt:lpwstr>
      </vt:variant>
      <vt:variant>
        <vt:lpwstr/>
      </vt:variant>
      <vt:variant>
        <vt:i4>1507423</vt:i4>
      </vt:variant>
      <vt:variant>
        <vt:i4>30</vt:i4>
      </vt:variant>
      <vt:variant>
        <vt:i4>0</vt:i4>
      </vt:variant>
      <vt:variant>
        <vt:i4>5</vt:i4>
      </vt:variant>
      <vt:variant>
        <vt:lpwstr>https://www.cbd.int/abs/text/articles?sec=abs-25</vt:lpwstr>
      </vt:variant>
      <vt:variant>
        <vt:lpwstr/>
      </vt:variant>
      <vt:variant>
        <vt:i4>5046361</vt:i4>
      </vt:variant>
      <vt:variant>
        <vt:i4>26</vt:i4>
      </vt:variant>
      <vt:variant>
        <vt:i4>0</vt:i4>
      </vt:variant>
      <vt:variant>
        <vt:i4>5</vt:i4>
      </vt:variant>
      <vt:variant>
        <vt:lpwstr>https://www.cbd.int/conferences/2021-2022/np-mop-04/documents</vt:lpwstr>
      </vt:variant>
      <vt:variant>
        <vt:lpwstr/>
      </vt:variant>
      <vt:variant>
        <vt:i4>5505089</vt:i4>
      </vt:variant>
      <vt:variant>
        <vt:i4>24</vt:i4>
      </vt:variant>
      <vt:variant>
        <vt:i4>0</vt:i4>
      </vt:variant>
      <vt:variant>
        <vt:i4>5</vt:i4>
      </vt:variant>
      <vt:variant>
        <vt:lpwstr>https://www.cbd.int/decisions/np-mop?m=np-mop-04</vt:lpwstr>
      </vt:variant>
      <vt:variant>
        <vt:lpwstr/>
      </vt:variant>
      <vt:variant>
        <vt:i4>3407982</vt:i4>
      </vt:variant>
      <vt:variant>
        <vt:i4>19</vt:i4>
      </vt:variant>
      <vt:variant>
        <vt:i4>0</vt:i4>
      </vt:variant>
      <vt:variant>
        <vt:i4>5</vt:i4>
      </vt:variant>
      <vt:variant>
        <vt:lpwstr>https://www.cbd.int/conferences/2021-2022/cop-15/documents</vt:lpwstr>
      </vt:variant>
      <vt:variant>
        <vt:lpwstr/>
      </vt:variant>
      <vt:variant>
        <vt:i4>3342440</vt:i4>
      </vt:variant>
      <vt:variant>
        <vt:i4>17</vt:i4>
      </vt:variant>
      <vt:variant>
        <vt:i4>0</vt:i4>
      </vt:variant>
      <vt:variant>
        <vt:i4>5</vt:i4>
      </vt:variant>
      <vt:variant>
        <vt:lpwstr>https://www.cbd.int/meetings/COP-15-Resumed</vt:lpwstr>
      </vt:variant>
      <vt:variant>
        <vt:lpwstr/>
      </vt:variant>
      <vt:variant>
        <vt:i4>8061038</vt:i4>
      </vt:variant>
      <vt:variant>
        <vt:i4>15</vt:i4>
      </vt:variant>
      <vt:variant>
        <vt:i4>0</vt:i4>
      </vt:variant>
      <vt:variant>
        <vt:i4>5</vt:i4>
      </vt:variant>
      <vt:variant>
        <vt:lpwstr>https://www.cbd.int/decisions/cop?m=cop-15</vt:lpwstr>
      </vt:variant>
      <vt:variant>
        <vt:lpwstr/>
      </vt:variant>
      <vt:variant>
        <vt:i4>3866736</vt:i4>
      </vt:variant>
      <vt:variant>
        <vt:i4>12</vt:i4>
      </vt:variant>
      <vt:variant>
        <vt:i4>0</vt:i4>
      </vt:variant>
      <vt:variant>
        <vt:i4>5</vt:i4>
      </vt:variant>
      <vt:variant>
        <vt:lpwstr>https://absch.cbd.int/en/database/resource/16B113CB-CC86-0008-4D4B-4B29E846B83C?_gl=1*1i3za3z*_ga*MjA3Nzk3NDU0LjE2NjI0NzA1MzQ.*_ga_7S1TPRE7F5*MTcwNjgwOTkxMC4zNTUuMS4xNzA2ODA5OTIzLjQ3LjAuMA</vt:lpwstr>
      </vt:variant>
      <vt:variant>
        <vt:lpwstr/>
      </vt:variant>
      <vt:variant>
        <vt:i4>1376327</vt:i4>
      </vt:variant>
      <vt:variant>
        <vt:i4>9</vt:i4>
      </vt:variant>
      <vt:variant>
        <vt:i4>0</vt:i4>
      </vt:variant>
      <vt:variant>
        <vt:i4>5</vt:i4>
      </vt:variant>
      <vt:variant>
        <vt:lpwstr>https://www.cbd.int/abs/text/articles/?sec=abs-21</vt:lpwstr>
      </vt:variant>
      <vt:variant>
        <vt:lpwstr/>
      </vt:variant>
      <vt:variant>
        <vt:i4>3407982</vt:i4>
      </vt:variant>
      <vt:variant>
        <vt:i4>6</vt:i4>
      </vt:variant>
      <vt:variant>
        <vt:i4>0</vt:i4>
      </vt:variant>
      <vt:variant>
        <vt:i4>5</vt:i4>
      </vt:variant>
      <vt:variant>
        <vt:lpwstr>https://www.cbd.int/conferences/2021-2022/cop-15/documents</vt:lpwstr>
      </vt:variant>
      <vt:variant>
        <vt:lpwstr/>
      </vt:variant>
      <vt:variant>
        <vt:i4>5439553</vt:i4>
      </vt:variant>
      <vt:variant>
        <vt:i4>3</vt:i4>
      </vt:variant>
      <vt:variant>
        <vt:i4>0</vt:i4>
      </vt:variant>
      <vt:variant>
        <vt:i4>5</vt:i4>
      </vt:variant>
      <vt:variant>
        <vt:lpwstr>https://www.cbd.int/decisions/np-mop?m=np-mop-03</vt:lpwstr>
      </vt:variant>
      <vt:variant>
        <vt:lpwstr/>
      </vt:variant>
      <vt:variant>
        <vt:i4>5439581</vt:i4>
      </vt:variant>
      <vt:variant>
        <vt:i4>0</vt:i4>
      </vt:variant>
      <vt:variant>
        <vt:i4>0</vt:i4>
      </vt:variant>
      <vt:variant>
        <vt:i4>5</vt:i4>
      </vt:variant>
      <vt:variant>
        <vt:lpwstr>https://www.cbd.int/decisions/np-mop/?m=np-mop-04</vt:lpwstr>
      </vt:variant>
      <vt:variant>
        <vt:lpwstr/>
      </vt:variant>
      <vt:variant>
        <vt:i4>3866736</vt:i4>
      </vt:variant>
      <vt:variant>
        <vt:i4>39</vt:i4>
      </vt:variant>
      <vt:variant>
        <vt:i4>0</vt:i4>
      </vt:variant>
      <vt:variant>
        <vt:i4>5</vt:i4>
      </vt:variant>
      <vt:variant>
        <vt:lpwstr>https://absch.cbd.int/en/database/resource/16B113CB-CC86-0008-4D4B-4B29E846B83C?_gl=1*1i3za3z*_ga*MjA3Nzk3NDU0LjE2NjI0NzA1MzQ.*_ga_7S1TPRE7F5*MTcwNjgwOTkxMC4zNTUuMS4xNzA2ODA5OTIzLjQ3LjAuMA</vt:lpwstr>
      </vt:variant>
      <vt:variant>
        <vt:lpwstr/>
      </vt:variant>
      <vt:variant>
        <vt:i4>983114</vt:i4>
      </vt:variant>
      <vt:variant>
        <vt:i4>36</vt:i4>
      </vt:variant>
      <vt:variant>
        <vt:i4>0</vt:i4>
      </vt:variant>
      <vt:variant>
        <vt:i4>5</vt:i4>
      </vt:variant>
      <vt:variant>
        <vt:lpwstr>https://www.cbd.int/doc/decisions/cop-15/cop-15-dec-11-en.pdf</vt:lpwstr>
      </vt:variant>
      <vt:variant>
        <vt:lpwstr/>
      </vt:variant>
      <vt:variant>
        <vt:i4>2359342</vt:i4>
      </vt:variant>
      <vt:variant>
        <vt:i4>33</vt:i4>
      </vt:variant>
      <vt:variant>
        <vt:i4>0</vt:i4>
      </vt:variant>
      <vt:variant>
        <vt:i4>5</vt:i4>
      </vt:variant>
      <vt:variant>
        <vt:lpwstr>https://www.cbd.int/gbf/goals/</vt:lpwstr>
      </vt:variant>
      <vt:variant>
        <vt:lpwstr/>
      </vt:variant>
      <vt:variant>
        <vt:i4>3866736</vt:i4>
      </vt:variant>
      <vt:variant>
        <vt:i4>30</vt:i4>
      </vt:variant>
      <vt:variant>
        <vt:i4>0</vt:i4>
      </vt:variant>
      <vt:variant>
        <vt:i4>5</vt:i4>
      </vt:variant>
      <vt:variant>
        <vt:lpwstr>https://absch.cbd.int/en/database/resource/16B113CB-CC86-0008-4D4B-4B29E846B83C?_gl=1*1i3za3z*_ga*MjA3Nzk3NDU0LjE2NjI0NzA1MzQ.*_ga_7S1TPRE7F5*MTcwNjgwOTkxMC4zNTUuMS4xNzA2ODA5OTIzLjQ3LjAuMA</vt:lpwstr>
      </vt:variant>
      <vt:variant>
        <vt:lpwstr/>
      </vt:variant>
      <vt:variant>
        <vt:i4>7274555</vt:i4>
      </vt:variant>
      <vt:variant>
        <vt:i4>27</vt:i4>
      </vt:variant>
      <vt:variant>
        <vt:i4>0</vt:i4>
      </vt:variant>
      <vt:variant>
        <vt:i4>5</vt:i4>
      </vt:variant>
      <vt:variant>
        <vt:lpwstr>https://www.cbd.int/doc/c/a7a7/6ebc/536551d1d60d1efa5cce7750/np-cbiac-2023-01-03-en.pdf</vt:lpwstr>
      </vt:variant>
      <vt:variant>
        <vt:lpwstr/>
      </vt:variant>
      <vt:variant>
        <vt:i4>7274555</vt:i4>
      </vt:variant>
      <vt:variant>
        <vt:i4>24</vt:i4>
      </vt:variant>
      <vt:variant>
        <vt:i4>0</vt:i4>
      </vt:variant>
      <vt:variant>
        <vt:i4>5</vt:i4>
      </vt:variant>
      <vt:variant>
        <vt:lpwstr>https://www.cbd.int/doc/c/a7a7/6ebc/536551d1d60d1efa5cce7750/np-cbiac-2023-01-03-en.pdf</vt:lpwstr>
      </vt:variant>
      <vt:variant>
        <vt:lpwstr/>
      </vt:variant>
      <vt:variant>
        <vt:i4>3735593</vt:i4>
      </vt:variant>
      <vt:variant>
        <vt:i4>21</vt:i4>
      </vt:variant>
      <vt:variant>
        <vt:i4>0</vt:i4>
      </vt:variant>
      <vt:variant>
        <vt:i4>5</vt:i4>
      </vt:variant>
      <vt:variant>
        <vt:lpwstr>https://unsdg.un.org/sites/default/files/UNDG-UNDAF-Companion-Pieces-7-Theory-of-Change.pdf</vt:lpwstr>
      </vt:variant>
      <vt:variant>
        <vt:lpwstr/>
      </vt:variant>
      <vt:variant>
        <vt:i4>5570635</vt:i4>
      </vt:variant>
      <vt:variant>
        <vt:i4>18</vt:i4>
      </vt:variant>
      <vt:variant>
        <vt:i4>0</vt:i4>
      </vt:variant>
      <vt:variant>
        <vt:i4>5</vt:i4>
      </vt:variant>
      <vt:variant>
        <vt:lpwstr>https://www.cbd.int/gbf/targets/</vt:lpwstr>
      </vt:variant>
      <vt:variant>
        <vt:lpwstr/>
      </vt:variant>
      <vt:variant>
        <vt:i4>5636112</vt:i4>
      </vt:variant>
      <vt:variant>
        <vt:i4>15</vt:i4>
      </vt:variant>
      <vt:variant>
        <vt:i4>0</vt:i4>
      </vt:variant>
      <vt:variant>
        <vt:i4>5</vt:i4>
      </vt:variant>
      <vt:variant>
        <vt:lpwstr>https://www.cbd.int/doc/c/ab42/b18d/d37f17f12c7172b5be4dd581/sbi-03-inf-01-en.pdf</vt:lpwstr>
      </vt:variant>
      <vt:variant>
        <vt:lpwstr/>
      </vt:variant>
      <vt:variant>
        <vt:i4>6488124</vt:i4>
      </vt:variant>
      <vt:variant>
        <vt:i4>12</vt:i4>
      </vt:variant>
      <vt:variant>
        <vt:i4>0</vt:i4>
      </vt:variant>
      <vt:variant>
        <vt:i4>5</vt:i4>
      </vt:variant>
      <vt:variant>
        <vt:lpwstr>https://www.cbd.int/meetings/SBI-03</vt:lpwstr>
      </vt:variant>
      <vt:variant>
        <vt:lpwstr/>
      </vt:variant>
      <vt:variant>
        <vt:i4>4063328</vt:i4>
      </vt:variant>
      <vt:variant>
        <vt:i4>9</vt:i4>
      </vt:variant>
      <vt:variant>
        <vt:i4>0</vt:i4>
      </vt:variant>
      <vt:variant>
        <vt:i4>5</vt:i4>
      </vt:variant>
      <vt:variant>
        <vt:lpwstr>https://www.cbd.int/doc/c/a9bd/8d0a/32072f4ac5eed6f7a52f5293/np-cbiac-2023-01-03-en.pdf</vt:lpwstr>
      </vt:variant>
      <vt:variant>
        <vt:lpwstr/>
      </vt:variant>
      <vt:variant>
        <vt:i4>5832791</vt:i4>
      </vt:variant>
      <vt:variant>
        <vt:i4>6</vt:i4>
      </vt:variant>
      <vt:variant>
        <vt:i4>0</vt:i4>
      </vt:variant>
      <vt:variant>
        <vt:i4>5</vt:i4>
      </vt:variant>
      <vt:variant>
        <vt:lpwstr>http://www.cbd.int/meetings/NP-CB-IAC-2023-01</vt:lpwstr>
      </vt:variant>
      <vt:variant>
        <vt:lpwstr/>
      </vt:variant>
      <vt:variant>
        <vt:i4>7209057</vt:i4>
      </vt:variant>
      <vt:variant>
        <vt:i4>3</vt:i4>
      </vt:variant>
      <vt:variant>
        <vt:i4>0</vt:i4>
      </vt:variant>
      <vt:variant>
        <vt:i4>5</vt:i4>
      </vt:variant>
      <vt:variant>
        <vt:lpwstr>https://www.cbd.int/decisions/cop/?m=cop-15</vt:lpwstr>
      </vt:variant>
      <vt:variant>
        <vt:lpwstr/>
      </vt:variant>
      <vt:variant>
        <vt:i4>7209057</vt:i4>
      </vt:variant>
      <vt:variant>
        <vt:i4>0</vt:i4>
      </vt:variant>
      <vt:variant>
        <vt:i4>0</vt:i4>
      </vt:variant>
      <vt:variant>
        <vt:i4>5</vt:i4>
      </vt:variant>
      <vt:variant>
        <vt:lpwstr>https://www.cbd.int/decisions/cop/?m=cop-15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capacity-building and development action plan for the Nagoya Protocol</dc:title>
  <dc:subject>CBD/SBI/4/xx</dc:subject>
  <dc:creator>regina.kipper</dc:creator>
  <cp:keywords/>
  <dc:description/>
  <cp:lastModifiedBy>Veronique Lefebvre</cp:lastModifiedBy>
  <cp:revision>19</cp:revision>
  <cp:lastPrinted>2024-03-15T15:22:00Z</cp:lastPrinted>
  <dcterms:created xsi:type="dcterms:W3CDTF">2024-04-08T15:16:00Z</dcterms:created>
  <dcterms:modified xsi:type="dcterms:W3CDTF">2024-04-19T20:59:00Z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