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5" w:type="dxa"/>
        <w:tblInd w:w="-34" w:type="dxa"/>
        <w:tblLook w:val="04A0" w:firstRow="1" w:lastRow="0" w:firstColumn="1" w:lastColumn="0" w:noHBand="0" w:noVBand="1"/>
      </w:tblPr>
      <w:tblGrid>
        <w:gridCol w:w="993"/>
        <w:gridCol w:w="4923"/>
        <w:gridCol w:w="3749"/>
      </w:tblGrid>
      <w:tr w:rsidR="006802DE" w:rsidRPr="00891479" w14:paraId="4929D2C8" w14:textId="77777777" w:rsidTr="00B358B9">
        <w:trPr>
          <w:trHeight w:val="709"/>
        </w:trPr>
        <w:tc>
          <w:tcPr>
            <w:tcW w:w="993" w:type="dxa"/>
            <w:tcBorders>
              <w:top w:val="nil"/>
              <w:left w:val="nil"/>
              <w:bottom w:val="single" w:sz="12" w:space="0" w:color="auto"/>
              <w:right w:val="nil"/>
            </w:tcBorders>
            <w:shd w:val="clear" w:color="auto" w:fill="auto"/>
            <w:hideMark/>
          </w:tcPr>
          <w:p w14:paraId="678174DA" w14:textId="78789E52" w:rsidR="006802DE" w:rsidRPr="00B358B9" w:rsidRDefault="00AF3FD7" w:rsidP="00B358B9">
            <w:pPr>
              <w:suppressLineNumbers/>
              <w:suppressAutoHyphens/>
              <w:kinsoku w:val="0"/>
              <w:overflowPunct w:val="0"/>
              <w:autoSpaceDE w:val="0"/>
              <w:autoSpaceDN w:val="0"/>
              <w:adjustRightInd w:val="0"/>
              <w:snapToGrid w:val="0"/>
              <w:rPr>
                <w:rFonts w:ascii="Cambria" w:eastAsia="Malgun Gothic" w:hAnsi="Cambria"/>
                <w:snapToGrid w:val="0"/>
                <w:kern w:val="22"/>
              </w:rPr>
            </w:pPr>
            <w:bookmarkStart w:id="0" w:name="_Hlk508792820"/>
            <w:bookmarkStart w:id="1" w:name="_GoBack"/>
            <w:bookmarkEnd w:id="1"/>
            <w:r w:rsidRPr="00B358B9">
              <w:rPr>
                <w:rFonts w:ascii="Cambria" w:eastAsia="Malgun Gothic" w:hAnsi="Cambria"/>
                <w:noProof/>
                <w:snapToGrid w:val="0"/>
                <w:kern w:val="22"/>
                <w:lang w:eastAsia="zh-CN"/>
              </w:rPr>
              <w:drawing>
                <wp:inline distT="0" distB="0" distL="0" distR="0" wp14:anchorId="717BFAD9" wp14:editId="190FD247">
                  <wp:extent cx="485775" cy="390525"/>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p>
        </w:tc>
        <w:tc>
          <w:tcPr>
            <w:tcW w:w="4923" w:type="dxa"/>
            <w:tcBorders>
              <w:top w:val="nil"/>
              <w:left w:val="nil"/>
              <w:bottom w:val="single" w:sz="12" w:space="0" w:color="auto"/>
              <w:right w:val="nil"/>
            </w:tcBorders>
            <w:shd w:val="clear" w:color="auto" w:fill="auto"/>
            <w:hideMark/>
          </w:tcPr>
          <w:p w14:paraId="6C6CB386" w14:textId="465E9B03" w:rsidR="006802DE" w:rsidRPr="00891479" w:rsidRDefault="00AF3FD7" w:rsidP="00B358B9">
            <w:pPr>
              <w:suppressLineNumbers/>
              <w:tabs>
                <w:tab w:val="left" w:pos="325"/>
              </w:tabs>
              <w:suppressAutoHyphens/>
              <w:kinsoku w:val="0"/>
              <w:overflowPunct w:val="0"/>
              <w:autoSpaceDE w:val="0"/>
              <w:autoSpaceDN w:val="0"/>
              <w:adjustRightInd w:val="0"/>
              <w:snapToGrid w:val="0"/>
              <w:rPr>
                <w:rFonts w:ascii="Cambria" w:eastAsia="Malgun Gothic" w:hAnsi="Cambria"/>
                <w:snapToGrid w:val="0"/>
                <w:kern w:val="22"/>
              </w:rPr>
            </w:pPr>
            <w:r w:rsidRPr="00B358B9">
              <w:rPr>
                <w:rFonts w:ascii="Cambria" w:eastAsia="Malgun Gothic" w:hAnsi="Cambria"/>
                <w:noProof/>
                <w:snapToGrid w:val="0"/>
                <w:kern w:val="22"/>
                <w:lang w:eastAsia="zh-CN"/>
              </w:rPr>
              <w:drawing>
                <wp:inline distT="0" distB="0" distL="0" distR="0" wp14:anchorId="640DE84A" wp14:editId="038CC9F1">
                  <wp:extent cx="352425" cy="390525"/>
                  <wp:effectExtent l="0" t="0" r="0" b="0"/>
                  <wp:docPr id="4"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90525"/>
                          </a:xfrm>
                          <a:prstGeom prst="rect">
                            <a:avLst/>
                          </a:prstGeom>
                          <a:noFill/>
                          <a:ln>
                            <a:noFill/>
                          </a:ln>
                        </pic:spPr>
                      </pic:pic>
                    </a:graphicData>
                  </a:graphic>
                </wp:inline>
              </w:drawing>
            </w:r>
          </w:p>
        </w:tc>
        <w:tc>
          <w:tcPr>
            <w:tcW w:w="3749" w:type="dxa"/>
            <w:tcBorders>
              <w:top w:val="nil"/>
              <w:left w:val="nil"/>
              <w:bottom w:val="single" w:sz="12" w:space="0" w:color="auto"/>
              <w:right w:val="nil"/>
            </w:tcBorders>
            <w:shd w:val="clear" w:color="auto" w:fill="auto"/>
            <w:hideMark/>
          </w:tcPr>
          <w:p w14:paraId="212FFDD7" w14:textId="77777777" w:rsidR="006802DE" w:rsidRPr="00891479" w:rsidRDefault="006802DE" w:rsidP="00B358B9">
            <w:pPr>
              <w:suppressLineNumbers/>
              <w:suppressAutoHyphens/>
              <w:kinsoku w:val="0"/>
              <w:overflowPunct w:val="0"/>
              <w:autoSpaceDE w:val="0"/>
              <w:autoSpaceDN w:val="0"/>
              <w:adjustRightInd w:val="0"/>
              <w:snapToGrid w:val="0"/>
              <w:jc w:val="right"/>
              <w:rPr>
                <w:rFonts w:ascii="Arial" w:eastAsia="Malgun Gothic" w:hAnsi="Arial" w:cs="Arial"/>
                <w:b/>
                <w:snapToGrid w:val="0"/>
                <w:kern w:val="22"/>
                <w:sz w:val="32"/>
                <w:szCs w:val="32"/>
              </w:rPr>
            </w:pPr>
            <w:r w:rsidRPr="00891479">
              <w:rPr>
                <w:rFonts w:ascii="Arial" w:eastAsia="Malgun Gothic" w:hAnsi="Arial" w:cs="Arial"/>
                <w:b/>
                <w:snapToGrid w:val="0"/>
                <w:kern w:val="22"/>
                <w:sz w:val="32"/>
                <w:szCs w:val="32"/>
              </w:rPr>
              <w:t>CBD</w:t>
            </w:r>
          </w:p>
        </w:tc>
      </w:tr>
    </w:tbl>
    <w:p w14:paraId="64882CE7" w14:textId="77777777" w:rsidR="006802DE" w:rsidRPr="00891479" w:rsidRDefault="006802DE" w:rsidP="00B358B9">
      <w:pPr>
        <w:suppressLineNumbers/>
        <w:suppressAutoHyphens/>
        <w:kinsoku w:val="0"/>
        <w:overflowPunct w:val="0"/>
        <w:autoSpaceDE w:val="0"/>
        <w:autoSpaceDN w:val="0"/>
        <w:adjustRightInd w:val="0"/>
        <w:snapToGrid w:val="0"/>
        <w:rPr>
          <w:rFonts w:eastAsia="Malgun Gothic"/>
          <w:snapToGrid w:val="0"/>
          <w:vanish/>
          <w:kern w:val="22"/>
        </w:rPr>
      </w:pPr>
    </w:p>
    <w:tbl>
      <w:tblPr>
        <w:tblW w:w="0" w:type="auto"/>
        <w:tblBorders>
          <w:bottom w:val="single" w:sz="36" w:space="0" w:color="000000"/>
        </w:tblBorders>
        <w:tblLayout w:type="fixed"/>
        <w:tblLook w:val="04A0" w:firstRow="1" w:lastRow="0" w:firstColumn="1" w:lastColumn="0" w:noHBand="0" w:noVBand="1"/>
      </w:tblPr>
      <w:tblGrid>
        <w:gridCol w:w="5718"/>
        <w:gridCol w:w="3858"/>
      </w:tblGrid>
      <w:tr w:rsidR="006802DE" w:rsidRPr="00891479" w14:paraId="08D8AC46" w14:textId="77777777" w:rsidTr="00B358B9">
        <w:trPr>
          <w:cantSplit/>
          <w:trHeight w:val="1693"/>
        </w:trPr>
        <w:tc>
          <w:tcPr>
            <w:tcW w:w="5718" w:type="dxa"/>
            <w:tcBorders>
              <w:top w:val="nil"/>
              <w:left w:val="nil"/>
              <w:bottom w:val="single" w:sz="36" w:space="0" w:color="000000"/>
              <w:right w:val="nil"/>
            </w:tcBorders>
            <w:hideMark/>
          </w:tcPr>
          <w:p w14:paraId="572F897C" w14:textId="366D993B" w:rsidR="006802DE" w:rsidRPr="00B358B9" w:rsidRDefault="00AF3FD7" w:rsidP="00B358B9">
            <w:pPr>
              <w:suppressLineNumbers/>
              <w:suppressAutoHyphens/>
              <w:kinsoku w:val="0"/>
              <w:overflowPunct w:val="0"/>
              <w:autoSpaceDE w:val="0"/>
              <w:autoSpaceDN w:val="0"/>
              <w:adjustRightInd w:val="0"/>
              <w:snapToGrid w:val="0"/>
              <w:ind w:right="1962"/>
              <w:jc w:val="right"/>
              <w:rPr>
                <w:rFonts w:eastAsia="Malgun Gothic"/>
                <w:snapToGrid w:val="0"/>
                <w:kern w:val="22"/>
              </w:rPr>
            </w:pPr>
            <w:r w:rsidRPr="00B358B9">
              <w:rPr>
                <w:rFonts w:eastAsia="Malgun Gothic"/>
                <w:noProof/>
                <w:snapToGrid w:val="0"/>
                <w:kern w:val="22"/>
                <w:szCs w:val="22"/>
                <w:lang w:eastAsia="zh-CN"/>
              </w:rPr>
              <w:drawing>
                <wp:inline distT="0" distB="0" distL="0" distR="0" wp14:anchorId="6CB3771C" wp14:editId="223A599E">
                  <wp:extent cx="2838450" cy="1076325"/>
                  <wp:effectExtent l="0" t="0" r="0" b="0"/>
                  <wp:docPr id="6" name="Picture 6"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3858" w:type="dxa"/>
            <w:tcBorders>
              <w:top w:val="nil"/>
              <w:left w:val="nil"/>
              <w:bottom w:val="single" w:sz="36" w:space="0" w:color="000000"/>
              <w:right w:val="nil"/>
            </w:tcBorders>
            <w:noWrap/>
          </w:tcPr>
          <w:p w14:paraId="55BA45A5" w14:textId="77777777" w:rsidR="006802DE" w:rsidRPr="00891479" w:rsidRDefault="006802DE" w:rsidP="00B358B9">
            <w:pPr>
              <w:suppressLineNumbers/>
              <w:suppressAutoHyphens/>
              <w:kinsoku w:val="0"/>
              <w:overflowPunct w:val="0"/>
              <w:autoSpaceDE w:val="0"/>
              <w:autoSpaceDN w:val="0"/>
              <w:adjustRightInd w:val="0"/>
              <w:snapToGrid w:val="0"/>
              <w:ind w:left="1380"/>
              <w:rPr>
                <w:rFonts w:eastAsia="Malgun Gothic"/>
                <w:snapToGrid w:val="0"/>
                <w:kern w:val="22"/>
                <w:szCs w:val="22"/>
              </w:rPr>
            </w:pPr>
            <w:r w:rsidRPr="00891479">
              <w:rPr>
                <w:rFonts w:eastAsia="Malgun Gothic"/>
                <w:snapToGrid w:val="0"/>
                <w:kern w:val="22"/>
                <w:szCs w:val="22"/>
              </w:rPr>
              <w:t>Distr.</w:t>
            </w:r>
          </w:p>
          <w:p w14:paraId="660E9E7C" w14:textId="77777777" w:rsidR="006802DE" w:rsidRPr="00891479" w:rsidRDefault="006802DE" w:rsidP="00B358B9">
            <w:pPr>
              <w:suppressLineNumbers/>
              <w:suppressAutoHyphens/>
              <w:kinsoku w:val="0"/>
              <w:overflowPunct w:val="0"/>
              <w:autoSpaceDE w:val="0"/>
              <w:autoSpaceDN w:val="0"/>
              <w:adjustRightInd w:val="0"/>
              <w:snapToGrid w:val="0"/>
              <w:ind w:left="1380"/>
              <w:rPr>
                <w:rFonts w:eastAsia="Malgun Gothic"/>
                <w:snapToGrid w:val="0"/>
                <w:kern w:val="22"/>
                <w:szCs w:val="22"/>
              </w:rPr>
            </w:pPr>
            <w:r w:rsidRPr="00891479">
              <w:rPr>
                <w:rFonts w:eastAsia="Malgun Gothic"/>
                <w:snapToGrid w:val="0"/>
                <w:kern w:val="22"/>
                <w:szCs w:val="22"/>
              </w:rPr>
              <w:t>GENERAL</w:t>
            </w:r>
          </w:p>
          <w:p w14:paraId="59E2E931" w14:textId="77777777" w:rsidR="006802DE" w:rsidRPr="00891479" w:rsidRDefault="006802DE" w:rsidP="00B358B9">
            <w:pPr>
              <w:suppressLineNumbers/>
              <w:suppressAutoHyphens/>
              <w:kinsoku w:val="0"/>
              <w:overflowPunct w:val="0"/>
              <w:autoSpaceDE w:val="0"/>
              <w:autoSpaceDN w:val="0"/>
              <w:adjustRightInd w:val="0"/>
              <w:snapToGrid w:val="0"/>
              <w:ind w:left="1380"/>
              <w:rPr>
                <w:rFonts w:eastAsia="Malgun Gothic"/>
                <w:snapToGrid w:val="0"/>
                <w:kern w:val="22"/>
                <w:szCs w:val="22"/>
              </w:rPr>
            </w:pPr>
          </w:p>
          <w:sdt>
            <w:sdtPr>
              <w:rPr>
                <w:rFonts w:eastAsia="Malgun Gothic"/>
                <w:snapToGrid w:val="0"/>
                <w:kern w:val="22"/>
                <w:szCs w:val="22"/>
                <w:lang w:eastAsia="ko-KR"/>
              </w:rPr>
              <w:alias w:val="Subject"/>
              <w:tag w:val=""/>
              <w:id w:val="-764765362"/>
              <w:placeholder>
                <w:docPart w:val="494E0E4C936A4EC18D4ABD3E52F8D96B"/>
              </w:placeholder>
              <w:dataBinding w:prefixMappings="xmlns:ns0='http://purl.org/dc/elements/1.1/' xmlns:ns1='http://schemas.openxmlformats.org/package/2006/metadata/core-properties' " w:xpath="/ns1:coreProperties[1]/ns0:subject[1]" w:storeItemID="{6C3C8BC8-F283-45AE-878A-BAB7291924A1}"/>
              <w:text/>
            </w:sdtPr>
            <w:sdtEndPr/>
            <w:sdtContent>
              <w:p w14:paraId="7118D716" w14:textId="15948FDC" w:rsidR="006802DE" w:rsidRPr="00891479" w:rsidRDefault="00500857" w:rsidP="00B358B9">
                <w:pPr>
                  <w:suppressLineNumbers/>
                  <w:suppressAutoHyphens/>
                  <w:kinsoku w:val="0"/>
                  <w:overflowPunct w:val="0"/>
                  <w:autoSpaceDE w:val="0"/>
                  <w:autoSpaceDN w:val="0"/>
                  <w:adjustRightInd w:val="0"/>
                  <w:snapToGrid w:val="0"/>
                  <w:ind w:left="1380"/>
                  <w:jc w:val="left"/>
                  <w:rPr>
                    <w:rFonts w:eastAsia="MS Mincho"/>
                    <w:snapToGrid w:val="0"/>
                    <w:kern w:val="22"/>
                    <w:szCs w:val="22"/>
                  </w:rPr>
                </w:pPr>
                <w:r w:rsidRPr="00891479">
                  <w:rPr>
                    <w:rFonts w:eastAsia="Malgun Gothic"/>
                    <w:snapToGrid w:val="0"/>
                    <w:kern w:val="22"/>
                    <w:szCs w:val="22"/>
                    <w:lang w:eastAsia="ko-KR"/>
                  </w:rPr>
                  <w:t>CBD/SBI/2/20</w:t>
                </w:r>
              </w:p>
            </w:sdtContent>
          </w:sdt>
          <w:p w14:paraId="66CEA2FB" w14:textId="13858E6F" w:rsidR="006802DE" w:rsidRPr="00891479" w:rsidRDefault="00500857" w:rsidP="00B358B9">
            <w:pPr>
              <w:suppressLineNumbers/>
              <w:suppressAutoHyphens/>
              <w:kinsoku w:val="0"/>
              <w:overflowPunct w:val="0"/>
              <w:autoSpaceDE w:val="0"/>
              <w:autoSpaceDN w:val="0"/>
              <w:adjustRightInd w:val="0"/>
              <w:snapToGrid w:val="0"/>
              <w:ind w:left="1380"/>
              <w:rPr>
                <w:rFonts w:eastAsia="Malgun Gothic"/>
                <w:snapToGrid w:val="0"/>
                <w:kern w:val="22"/>
                <w:szCs w:val="22"/>
              </w:rPr>
            </w:pPr>
            <w:r w:rsidRPr="00891479">
              <w:rPr>
                <w:rFonts w:eastAsia="Malgun Gothic"/>
                <w:snapToGrid w:val="0"/>
                <w:kern w:val="22"/>
                <w:szCs w:val="22"/>
              </w:rPr>
              <w:t>3</w:t>
            </w:r>
            <w:r w:rsidR="006802DE" w:rsidRPr="00891479">
              <w:rPr>
                <w:rFonts w:eastAsia="Malgun Gothic"/>
                <w:snapToGrid w:val="0"/>
                <w:kern w:val="22"/>
                <w:szCs w:val="22"/>
              </w:rPr>
              <w:t xml:space="preserve"> </w:t>
            </w:r>
            <w:r w:rsidRPr="00891479">
              <w:rPr>
                <w:rFonts w:eastAsia="Malgun Gothic"/>
                <w:snapToGrid w:val="0"/>
                <w:kern w:val="22"/>
                <w:szCs w:val="22"/>
              </w:rPr>
              <w:t>April</w:t>
            </w:r>
            <w:r w:rsidR="006802DE" w:rsidRPr="00891479">
              <w:rPr>
                <w:rFonts w:eastAsia="Malgun Gothic"/>
                <w:snapToGrid w:val="0"/>
                <w:kern w:val="22"/>
                <w:szCs w:val="22"/>
              </w:rPr>
              <w:t xml:space="preserve"> 2018</w:t>
            </w:r>
          </w:p>
          <w:p w14:paraId="204F6E06" w14:textId="77777777" w:rsidR="006802DE" w:rsidRPr="00891479" w:rsidRDefault="006802DE" w:rsidP="00B358B9">
            <w:pPr>
              <w:suppressLineNumbers/>
              <w:suppressAutoHyphens/>
              <w:kinsoku w:val="0"/>
              <w:overflowPunct w:val="0"/>
              <w:autoSpaceDE w:val="0"/>
              <w:autoSpaceDN w:val="0"/>
              <w:adjustRightInd w:val="0"/>
              <w:snapToGrid w:val="0"/>
              <w:ind w:left="1380"/>
              <w:rPr>
                <w:rFonts w:eastAsia="Malgun Gothic"/>
                <w:snapToGrid w:val="0"/>
                <w:kern w:val="22"/>
                <w:szCs w:val="22"/>
              </w:rPr>
            </w:pPr>
          </w:p>
          <w:p w14:paraId="223C92CE" w14:textId="77777777" w:rsidR="006802DE" w:rsidRPr="00891479" w:rsidRDefault="006802DE" w:rsidP="00B358B9">
            <w:pPr>
              <w:suppressLineNumbers/>
              <w:suppressAutoHyphens/>
              <w:kinsoku w:val="0"/>
              <w:overflowPunct w:val="0"/>
              <w:autoSpaceDE w:val="0"/>
              <w:autoSpaceDN w:val="0"/>
              <w:adjustRightInd w:val="0"/>
              <w:snapToGrid w:val="0"/>
              <w:ind w:left="1380"/>
              <w:rPr>
                <w:rFonts w:eastAsia="Malgun Gothic"/>
                <w:snapToGrid w:val="0"/>
                <w:kern w:val="22"/>
                <w:szCs w:val="22"/>
              </w:rPr>
            </w:pPr>
            <w:r w:rsidRPr="00891479">
              <w:rPr>
                <w:rFonts w:eastAsia="Malgun Gothic"/>
                <w:snapToGrid w:val="0"/>
                <w:kern w:val="22"/>
                <w:szCs w:val="22"/>
              </w:rPr>
              <w:t>ORIGINAL: ENGLISH</w:t>
            </w:r>
          </w:p>
        </w:tc>
      </w:tr>
    </w:tbl>
    <w:p w14:paraId="7B55BF2F" w14:textId="45A195D7" w:rsidR="006802DE" w:rsidRPr="00891479" w:rsidRDefault="006802DE" w:rsidP="00B358B9">
      <w:pPr>
        <w:suppressLineNumbers/>
        <w:suppressAutoHyphens/>
        <w:kinsoku w:val="0"/>
        <w:overflowPunct w:val="0"/>
        <w:autoSpaceDE w:val="0"/>
        <w:autoSpaceDN w:val="0"/>
        <w:adjustRightInd w:val="0"/>
        <w:snapToGrid w:val="0"/>
        <w:ind w:left="170" w:right="4348" w:hanging="170"/>
        <w:jc w:val="left"/>
        <w:rPr>
          <w:snapToGrid w:val="0"/>
          <w:color w:val="000000"/>
          <w:kern w:val="22"/>
          <w:szCs w:val="22"/>
        </w:rPr>
      </w:pPr>
      <w:bookmarkStart w:id="2" w:name="_Hlk412100843"/>
      <w:r w:rsidRPr="00B358B9">
        <w:rPr>
          <w:bCs/>
          <w:snapToGrid w:val="0"/>
          <w:color w:val="333333"/>
          <w:kern w:val="22"/>
          <w:szCs w:val="22"/>
          <w:lang w:eastAsia="en-GB"/>
        </w:rPr>
        <w:t>SUBSIDIARY BODY</w:t>
      </w:r>
      <w:r w:rsidRPr="00B358B9">
        <w:rPr>
          <w:snapToGrid w:val="0"/>
          <w:color w:val="333333"/>
          <w:kern w:val="22"/>
          <w:szCs w:val="22"/>
        </w:rPr>
        <w:t xml:space="preserve"> ON </w:t>
      </w:r>
      <w:r w:rsidRPr="00B358B9">
        <w:rPr>
          <w:bCs/>
          <w:snapToGrid w:val="0"/>
          <w:color w:val="333333"/>
          <w:kern w:val="22"/>
          <w:szCs w:val="22"/>
          <w:lang w:eastAsia="en-GB"/>
        </w:rPr>
        <w:t>IMPLEMENTATION</w:t>
      </w:r>
    </w:p>
    <w:p w14:paraId="23947266" w14:textId="62FE24A2" w:rsidR="006802DE" w:rsidRPr="00891479" w:rsidRDefault="006802DE" w:rsidP="00B358B9">
      <w:pPr>
        <w:suppressLineNumbers/>
        <w:suppressAutoHyphens/>
        <w:kinsoku w:val="0"/>
        <w:overflowPunct w:val="0"/>
        <w:autoSpaceDE w:val="0"/>
        <w:autoSpaceDN w:val="0"/>
        <w:adjustRightInd w:val="0"/>
        <w:snapToGrid w:val="0"/>
        <w:ind w:left="170" w:right="4740" w:hanging="170"/>
        <w:jc w:val="left"/>
        <w:rPr>
          <w:rFonts w:eastAsia="Malgun Gothic"/>
          <w:snapToGrid w:val="0"/>
          <w:color w:val="000000"/>
          <w:kern w:val="22"/>
          <w:szCs w:val="22"/>
        </w:rPr>
      </w:pPr>
      <w:r w:rsidRPr="00891479">
        <w:rPr>
          <w:rFonts w:eastAsia="Malgun Gothic"/>
          <w:snapToGrid w:val="0"/>
          <w:color w:val="000000"/>
          <w:kern w:val="22"/>
          <w:szCs w:val="22"/>
        </w:rPr>
        <w:t>Second meeting</w:t>
      </w:r>
    </w:p>
    <w:p w14:paraId="10F58481" w14:textId="4AD03849" w:rsidR="006802DE" w:rsidRPr="00891479" w:rsidRDefault="006802DE" w:rsidP="00B358B9">
      <w:pPr>
        <w:suppressLineNumbers/>
        <w:suppressAutoHyphens/>
        <w:kinsoku w:val="0"/>
        <w:overflowPunct w:val="0"/>
        <w:autoSpaceDE w:val="0"/>
        <w:autoSpaceDN w:val="0"/>
        <w:adjustRightInd w:val="0"/>
        <w:snapToGrid w:val="0"/>
        <w:ind w:left="170" w:right="3119" w:hanging="170"/>
        <w:jc w:val="left"/>
        <w:rPr>
          <w:rFonts w:eastAsia="Malgun Gothic"/>
          <w:snapToGrid w:val="0"/>
          <w:color w:val="000000"/>
          <w:kern w:val="22"/>
          <w:szCs w:val="22"/>
        </w:rPr>
      </w:pPr>
      <w:r w:rsidRPr="00891479">
        <w:rPr>
          <w:rFonts w:eastAsia="Malgun Gothic"/>
          <w:snapToGrid w:val="0"/>
          <w:color w:val="000000"/>
          <w:kern w:val="22"/>
          <w:szCs w:val="22"/>
        </w:rPr>
        <w:t>Montreal, Canada, 9-13 July 2018</w:t>
      </w:r>
    </w:p>
    <w:p w14:paraId="35E90D59" w14:textId="310C35C4" w:rsidR="006802DE" w:rsidRPr="00891479" w:rsidRDefault="006802DE" w:rsidP="00B358B9">
      <w:pPr>
        <w:suppressLineNumbers/>
        <w:suppressAutoHyphens/>
        <w:kinsoku w:val="0"/>
        <w:overflowPunct w:val="0"/>
        <w:autoSpaceDE w:val="0"/>
        <w:autoSpaceDN w:val="0"/>
        <w:adjustRightInd w:val="0"/>
        <w:snapToGrid w:val="0"/>
        <w:ind w:left="170" w:right="3119" w:hanging="170"/>
        <w:jc w:val="left"/>
        <w:rPr>
          <w:rFonts w:eastAsia="Malgun Gothic"/>
          <w:snapToGrid w:val="0"/>
          <w:color w:val="000000"/>
          <w:kern w:val="22"/>
          <w:szCs w:val="22"/>
        </w:rPr>
      </w:pPr>
      <w:r w:rsidRPr="00891479">
        <w:rPr>
          <w:rFonts w:eastAsia="Malgun Gothic"/>
          <w:snapToGrid w:val="0"/>
          <w:color w:val="000000"/>
          <w:kern w:val="22"/>
          <w:szCs w:val="22"/>
        </w:rPr>
        <w:t>Item 8 of the provisional agenda</w:t>
      </w:r>
      <w:r w:rsidRPr="00891479">
        <w:rPr>
          <w:rStyle w:val="FootnoteReference"/>
          <w:rFonts w:eastAsia="Malgun Gothic"/>
          <w:snapToGrid w:val="0"/>
          <w:color w:val="000000"/>
          <w:kern w:val="22"/>
          <w:szCs w:val="22"/>
        </w:rPr>
        <w:footnoteReference w:customMarkFollows="1" w:id="2"/>
        <w:t>*</w:t>
      </w:r>
      <w:bookmarkEnd w:id="2"/>
    </w:p>
    <w:bookmarkEnd w:id="0"/>
    <w:p w14:paraId="48B1E9EC" w14:textId="6D98CE3D" w:rsidR="005E4DD1" w:rsidRPr="00B358B9" w:rsidRDefault="008A65F4" w:rsidP="00B358B9">
      <w:pPr>
        <w:pStyle w:val="HEADINGNOTFORTOC"/>
        <w:suppressLineNumbers/>
        <w:tabs>
          <w:tab w:val="clear" w:pos="720"/>
        </w:tabs>
        <w:suppressAutoHyphens/>
        <w:kinsoku w:val="0"/>
        <w:overflowPunct w:val="0"/>
        <w:autoSpaceDE w:val="0"/>
        <w:autoSpaceDN w:val="0"/>
        <w:adjustRightInd w:val="0"/>
        <w:snapToGrid w:val="0"/>
        <w:spacing w:before="120"/>
        <w:rPr>
          <w:snapToGrid w:val="0"/>
          <w:color w:val="000000"/>
          <w:kern w:val="22"/>
          <w:szCs w:val="22"/>
          <w:lang w:val="en-GB"/>
        </w:rPr>
      </w:pPr>
      <w:sdt>
        <w:sdtPr>
          <w:rPr>
            <w:snapToGrid w:val="0"/>
            <w:color w:val="000000"/>
            <w:kern w:val="22"/>
            <w:szCs w:val="22"/>
            <w:lang w:val="en-GB"/>
          </w:rPr>
          <w:alias w:val="Title"/>
          <w:tag w:val=""/>
          <w:id w:val="1361857654"/>
          <w:placeholder>
            <w:docPart w:val="1C54B2F02ADC418294646D58D88CB34C"/>
          </w:placeholder>
          <w:dataBinding w:prefixMappings="xmlns:ns0='http://purl.org/dc/elements/1.1/' xmlns:ns1='http://schemas.openxmlformats.org/package/2006/metadata/core-properties' " w:xpath="/ns1:coreProperties[1]/ns0:title[1]" w:storeItemID="{6C3C8BC8-F283-45AE-878A-BAB7291924A1}"/>
          <w:text/>
        </w:sdtPr>
        <w:sdtEndPr/>
        <w:sdtContent>
          <w:r w:rsidR="00500857" w:rsidRPr="00B358B9">
            <w:rPr>
              <w:snapToGrid w:val="0"/>
              <w:color w:val="000000"/>
              <w:kern w:val="22"/>
              <w:szCs w:val="22"/>
              <w:lang w:val="en-GB"/>
            </w:rPr>
            <w:t>Taking the voluntary guidelines on safeguards in biodiversity financing mechanisms into account when selecting, designing an</w:t>
          </w:r>
          <w:r w:rsidR="002E600E" w:rsidRPr="00B358B9">
            <w:rPr>
              <w:snapToGrid w:val="0"/>
              <w:color w:val="000000"/>
              <w:kern w:val="22"/>
              <w:szCs w:val="22"/>
              <w:lang w:val="en-GB"/>
            </w:rPr>
            <w:t>d </w:t>
          </w:r>
          <w:r w:rsidR="00500857" w:rsidRPr="00B358B9">
            <w:rPr>
              <w:snapToGrid w:val="0"/>
              <w:color w:val="000000"/>
              <w:kern w:val="22"/>
              <w:szCs w:val="22"/>
              <w:lang w:val="en-GB"/>
            </w:rPr>
            <w:t>implementing biodiversity financing mechanisms and whe</w:t>
          </w:r>
          <w:r w:rsidR="002E600E" w:rsidRPr="00B358B9">
            <w:rPr>
              <w:snapToGrid w:val="0"/>
              <w:color w:val="000000"/>
              <w:kern w:val="22"/>
              <w:szCs w:val="22"/>
              <w:lang w:val="en-GB"/>
            </w:rPr>
            <w:t>n </w:t>
          </w:r>
          <w:r w:rsidR="00500857" w:rsidRPr="00B358B9">
            <w:rPr>
              <w:snapToGrid w:val="0"/>
              <w:color w:val="000000"/>
              <w:kern w:val="22"/>
              <w:szCs w:val="22"/>
              <w:lang w:val="en-GB"/>
            </w:rPr>
            <w:t>developing instrument-specific safeguards</w:t>
          </w:r>
        </w:sdtContent>
      </w:sdt>
    </w:p>
    <w:p w14:paraId="6C67CD5C" w14:textId="77777777" w:rsidR="00736BC2" w:rsidRPr="00B358B9" w:rsidRDefault="00736BC2" w:rsidP="00B358B9">
      <w:pPr>
        <w:pStyle w:val="heading2notforTOC"/>
        <w:suppressLineNumbers/>
        <w:tabs>
          <w:tab w:val="clear" w:pos="567"/>
        </w:tabs>
        <w:suppressAutoHyphens/>
        <w:kinsoku w:val="0"/>
        <w:overflowPunct w:val="0"/>
        <w:autoSpaceDE w:val="0"/>
        <w:autoSpaceDN w:val="0"/>
        <w:adjustRightInd w:val="0"/>
        <w:snapToGrid w:val="0"/>
        <w:spacing w:before="0"/>
        <w:rPr>
          <w:snapToGrid w:val="0"/>
          <w:kern w:val="22"/>
          <w:szCs w:val="22"/>
        </w:rPr>
      </w:pPr>
      <w:r w:rsidRPr="00B358B9">
        <w:rPr>
          <w:snapToGrid w:val="0"/>
          <w:kern w:val="22"/>
          <w:szCs w:val="22"/>
        </w:rPr>
        <w:t>Note by the Executive Secretary</w:t>
      </w:r>
    </w:p>
    <w:p w14:paraId="653E3F53" w14:textId="77777777" w:rsidR="00736BC2" w:rsidRPr="00B358B9" w:rsidRDefault="009E60E3" w:rsidP="00B358B9">
      <w:pPr>
        <w:pStyle w:val="Heading1"/>
        <w:suppressLineNumbers/>
        <w:tabs>
          <w:tab w:val="clear" w:pos="720"/>
        </w:tabs>
        <w:suppressAutoHyphens/>
        <w:kinsoku w:val="0"/>
        <w:overflowPunct w:val="0"/>
        <w:autoSpaceDE w:val="0"/>
        <w:autoSpaceDN w:val="0"/>
        <w:adjustRightInd w:val="0"/>
        <w:snapToGrid w:val="0"/>
        <w:spacing w:before="0"/>
        <w:rPr>
          <w:snapToGrid w:val="0"/>
          <w:kern w:val="22"/>
          <w:szCs w:val="22"/>
          <w:lang w:val="en-GB"/>
        </w:rPr>
      </w:pPr>
      <w:r w:rsidRPr="00B358B9">
        <w:rPr>
          <w:snapToGrid w:val="0"/>
          <w:kern w:val="22"/>
          <w:szCs w:val="22"/>
          <w:lang w:val="en-GB"/>
        </w:rPr>
        <w:t>INTRODUCTION</w:t>
      </w:r>
    </w:p>
    <w:p w14:paraId="1DF106A4" w14:textId="4AE6AF73" w:rsidR="000C57A3" w:rsidRPr="00B358B9" w:rsidRDefault="00015717"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u w:val="single"/>
        </w:rPr>
      </w:pPr>
      <w:r w:rsidRPr="00B358B9">
        <w:rPr>
          <w:kern w:val="22"/>
          <w:szCs w:val="22"/>
        </w:rPr>
        <w:t xml:space="preserve">At its </w:t>
      </w:r>
      <w:r w:rsidR="0007252D" w:rsidRPr="00B358B9">
        <w:rPr>
          <w:kern w:val="22"/>
          <w:szCs w:val="22"/>
        </w:rPr>
        <w:t>twelfth</w:t>
      </w:r>
      <w:r w:rsidR="00647547" w:rsidRPr="00B358B9">
        <w:rPr>
          <w:kern w:val="22"/>
          <w:szCs w:val="22"/>
        </w:rPr>
        <w:t xml:space="preserve"> </w:t>
      </w:r>
      <w:r w:rsidRPr="00B358B9">
        <w:rPr>
          <w:kern w:val="22"/>
          <w:szCs w:val="22"/>
        </w:rPr>
        <w:t xml:space="preserve">meeting, the Conference of the Parties </w:t>
      </w:r>
      <w:r w:rsidR="00D2406D" w:rsidRPr="00B358B9">
        <w:rPr>
          <w:kern w:val="22"/>
          <w:szCs w:val="22"/>
        </w:rPr>
        <w:t xml:space="preserve">adopted </w:t>
      </w:r>
      <w:r w:rsidR="004F4E17" w:rsidRPr="00B358B9">
        <w:rPr>
          <w:kern w:val="22"/>
          <w:szCs w:val="22"/>
        </w:rPr>
        <w:t>v</w:t>
      </w:r>
      <w:r w:rsidR="00D2406D" w:rsidRPr="00B358B9">
        <w:rPr>
          <w:kern w:val="22"/>
          <w:szCs w:val="22"/>
        </w:rPr>
        <w:t xml:space="preserve">oluntary </w:t>
      </w:r>
      <w:r w:rsidR="004F4E17" w:rsidRPr="00B358B9">
        <w:rPr>
          <w:kern w:val="22"/>
          <w:szCs w:val="22"/>
        </w:rPr>
        <w:t>g</w:t>
      </w:r>
      <w:r w:rsidR="00D2406D" w:rsidRPr="00B358B9">
        <w:rPr>
          <w:kern w:val="22"/>
          <w:szCs w:val="22"/>
        </w:rPr>
        <w:t>uidelines on safeguards in biodiversity financing mechanisms</w:t>
      </w:r>
      <w:r w:rsidR="004B0029" w:rsidRPr="00B358B9">
        <w:rPr>
          <w:kern w:val="22"/>
          <w:szCs w:val="22"/>
        </w:rPr>
        <w:t xml:space="preserve"> </w:t>
      </w:r>
      <w:r w:rsidR="00161127" w:rsidRPr="00B358B9">
        <w:rPr>
          <w:kern w:val="22"/>
          <w:szCs w:val="22"/>
        </w:rPr>
        <w:t>(</w:t>
      </w:r>
      <w:hyperlink r:id="rId11" w:history="1">
        <w:r w:rsidR="000B2687" w:rsidRPr="00B358B9">
          <w:rPr>
            <w:rStyle w:val="Hyperlink"/>
            <w:kern w:val="22"/>
            <w:sz w:val="22"/>
            <w:szCs w:val="22"/>
          </w:rPr>
          <w:t>d</w:t>
        </w:r>
        <w:r w:rsidR="004B0029" w:rsidRPr="00B358B9">
          <w:rPr>
            <w:rStyle w:val="Hyperlink"/>
            <w:kern w:val="22"/>
            <w:sz w:val="22"/>
            <w:szCs w:val="22"/>
          </w:rPr>
          <w:t>ecision</w:t>
        </w:r>
        <w:r w:rsidR="004F4E17" w:rsidRPr="00B358B9">
          <w:rPr>
            <w:rStyle w:val="Hyperlink"/>
            <w:kern w:val="22"/>
            <w:sz w:val="22"/>
            <w:szCs w:val="22"/>
          </w:rPr>
          <w:t> </w:t>
        </w:r>
        <w:r w:rsidR="004B0029" w:rsidRPr="00B358B9">
          <w:rPr>
            <w:rStyle w:val="Hyperlink"/>
            <w:kern w:val="22"/>
            <w:sz w:val="22"/>
            <w:szCs w:val="22"/>
          </w:rPr>
          <w:t>XII/3</w:t>
        </w:r>
      </w:hyperlink>
      <w:r w:rsidR="004B0029" w:rsidRPr="00B358B9">
        <w:rPr>
          <w:kern w:val="22"/>
          <w:szCs w:val="22"/>
        </w:rPr>
        <w:t>, annex</w:t>
      </w:r>
      <w:r w:rsidR="004F4E17" w:rsidRPr="00B358B9">
        <w:rPr>
          <w:kern w:val="22"/>
          <w:szCs w:val="22"/>
        </w:rPr>
        <w:t> </w:t>
      </w:r>
      <w:r w:rsidR="004B0029" w:rsidRPr="00B358B9">
        <w:rPr>
          <w:kern w:val="22"/>
          <w:szCs w:val="22"/>
        </w:rPr>
        <w:t>III</w:t>
      </w:r>
      <w:r w:rsidR="00161127" w:rsidRPr="00B358B9">
        <w:rPr>
          <w:kern w:val="22"/>
          <w:szCs w:val="22"/>
        </w:rPr>
        <w:t>)</w:t>
      </w:r>
      <w:r w:rsidR="00D2406D" w:rsidRPr="00B358B9">
        <w:rPr>
          <w:kern w:val="22"/>
          <w:szCs w:val="22"/>
        </w:rPr>
        <w:t xml:space="preserve">. </w:t>
      </w:r>
      <w:bookmarkStart w:id="3" w:name="_Hlk498607541"/>
      <w:r w:rsidR="00D2406D" w:rsidRPr="00B358B9">
        <w:rPr>
          <w:kern w:val="22"/>
          <w:szCs w:val="22"/>
        </w:rPr>
        <w:t>The guidelines indicate, inter alia, that the potential effects of biodiversity financing mechanisms on indigenous and local communities</w:t>
      </w:r>
      <w:r w:rsidR="00D23C07" w:rsidRPr="00B358B9">
        <w:rPr>
          <w:kern w:val="22"/>
          <w:szCs w:val="22"/>
        </w:rPr>
        <w:t>’</w:t>
      </w:r>
      <w:r w:rsidR="00D2406D" w:rsidRPr="00B358B9">
        <w:rPr>
          <w:kern w:val="22"/>
          <w:szCs w:val="22"/>
        </w:rPr>
        <w:t xml:space="preserve"> rights and livelihoods need to be addressed effectively, in accordance with national legislation, and that particular attention needs to be given to the impacts on, and contribution of, indigenous </w:t>
      </w:r>
      <w:r w:rsidR="00D23C07" w:rsidRPr="00B358B9">
        <w:rPr>
          <w:kern w:val="22"/>
          <w:szCs w:val="22"/>
        </w:rPr>
        <w:t xml:space="preserve">peoples </w:t>
      </w:r>
      <w:r w:rsidR="00D2406D" w:rsidRPr="00B358B9">
        <w:rPr>
          <w:kern w:val="22"/>
          <w:szCs w:val="22"/>
        </w:rPr>
        <w:t>and local communities as well as women</w:t>
      </w:r>
      <w:r w:rsidR="009C25A7" w:rsidRPr="00B358B9">
        <w:rPr>
          <w:kern w:val="22"/>
          <w:szCs w:val="22"/>
        </w:rPr>
        <w:t xml:space="preserve">, </w:t>
      </w:r>
      <w:r w:rsidR="009C25A7" w:rsidRPr="00891479">
        <w:rPr>
          <w:kern w:val="22"/>
          <w:szCs w:val="22"/>
        </w:rPr>
        <w:t>and to their effective participation in the selection, design, and implementation of biodiversity financing mechanisms</w:t>
      </w:r>
      <w:bookmarkEnd w:id="3"/>
      <w:r w:rsidR="00D2406D" w:rsidRPr="00B358B9">
        <w:rPr>
          <w:kern w:val="22"/>
          <w:szCs w:val="22"/>
        </w:rPr>
        <w:t>.</w:t>
      </w:r>
    </w:p>
    <w:p w14:paraId="2C2FA92F" w14:textId="0EE59B82" w:rsidR="000958A1" w:rsidRPr="00B358B9" w:rsidRDefault="00E35CF5"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MS Mincho"/>
          <w:kern w:val="22"/>
          <w:szCs w:val="22"/>
        </w:rPr>
      </w:pPr>
      <w:r w:rsidRPr="00B358B9">
        <w:rPr>
          <w:rFonts w:eastAsia="MS Mincho"/>
          <w:kern w:val="22"/>
          <w:szCs w:val="22"/>
        </w:rPr>
        <w:t>A</w:t>
      </w:r>
      <w:r w:rsidR="00396F33" w:rsidRPr="00B358B9">
        <w:rPr>
          <w:rFonts w:eastAsia="MS Mincho"/>
          <w:kern w:val="22"/>
          <w:szCs w:val="22"/>
        </w:rPr>
        <w:t xml:space="preserve">t its thirteenth meeting, </w:t>
      </w:r>
      <w:r w:rsidR="009C25A7" w:rsidRPr="00B358B9">
        <w:rPr>
          <w:rFonts w:eastAsia="MS Mincho"/>
          <w:kern w:val="22"/>
          <w:szCs w:val="22"/>
        </w:rPr>
        <w:t>the Conference of the Parties</w:t>
      </w:r>
      <w:r w:rsidR="002024E6" w:rsidRPr="00B358B9">
        <w:rPr>
          <w:rFonts w:eastAsia="MS Mincho"/>
          <w:kern w:val="22"/>
          <w:szCs w:val="22"/>
        </w:rPr>
        <w:t xml:space="preserve"> </w:t>
      </w:r>
      <w:r w:rsidR="00161127" w:rsidRPr="00B358B9">
        <w:rPr>
          <w:rFonts w:eastAsia="MS Mincho"/>
          <w:kern w:val="22"/>
          <w:szCs w:val="22"/>
        </w:rPr>
        <w:t>(</w:t>
      </w:r>
      <w:hyperlink r:id="rId12" w:history="1">
        <w:r w:rsidR="002024E6" w:rsidRPr="00B358B9">
          <w:rPr>
            <w:rStyle w:val="Hyperlink"/>
            <w:rFonts w:eastAsia="MS Mincho"/>
            <w:kern w:val="22"/>
            <w:sz w:val="22"/>
            <w:szCs w:val="22"/>
          </w:rPr>
          <w:t>decision XIII/20</w:t>
        </w:r>
      </w:hyperlink>
      <w:r w:rsidR="00D23C07" w:rsidRPr="00B358B9">
        <w:rPr>
          <w:rFonts w:eastAsia="MS Mincho"/>
          <w:kern w:val="22"/>
          <w:szCs w:val="22"/>
        </w:rPr>
        <w:t>, para. 26</w:t>
      </w:r>
      <w:r w:rsidR="00161127" w:rsidRPr="00B358B9">
        <w:rPr>
          <w:rFonts w:eastAsia="MS Mincho"/>
          <w:kern w:val="22"/>
          <w:szCs w:val="22"/>
        </w:rPr>
        <w:t>)</w:t>
      </w:r>
      <w:r w:rsidR="002024E6" w:rsidRPr="00B358B9">
        <w:rPr>
          <w:rFonts w:eastAsia="MS Mincho"/>
          <w:kern w:val="22"/>
          <w:szCs w:val="22"/>
        </w:rPr>
        <w:t xml:space="preserve"> </w:t>
      </w:r>
      <w:r w:rsidR="009C25A7" w:rsidRPr="00B358B9">
        <w:rPr>
          <w:rFonts w:eastAsia="MS Mincho"/>
          <w:kern w:val="22"/>
          <w:szCs w:val="22"/>
        </w:rPr>
        <w:t>request</w:t>
      </w:r>
      <w:r w:rsidR="009658EA" w:rsidRPr="00B358B9">
        <w:rPr>
          <w:rFonts w:eastAsia="MS Mincho"/>
          <w:kern w:val="22"/>
          <w:szCs w:val="22"/>
        </w:rPr>
        <w:t>ed</w:t>
      </w:r>
      <w:r w:rsidR="009C25A7" w:rsidRPr="00B358B9">
        <w:rPr>
          <w:rFonts w:eastAsia="MS Mincho"/>
          <w:kern w:val="22"/>
          <w:szCs w:val="22"/>
        </w:rPr>
        <w:t xml:space="preserve"> the Executive Secretary to compile and </w:t>
      </w:r>
      <w:r w:rsidR="00D6739E" w:rsidRPr="00B358B9">
        <w:rPr>
          <w:rFonts w:eastAsia="MS Mincho"/>
          <w:kern w:val="22"/>
          <w:szCs w:val="22"/>
        </w:rPr>
        <w:t>analyse</w:t>
      </w:r>
      <w:r w:rsidR="009C25A7" w:rsidRPr="00B358B9">
        <w:rPr>
          <w:rFonts w:eastAsia="MS Mincho"/>
          <w:kern w:val="22"/>
          <w:szCs w:val="22"/>
        </w:rPr>
        <w:t xml:space="preserve"> information, including good practices or lessons learned, on how</w:t>
      </w:r>
      <w:r w:rsidR="00161127" w:rsidRPr="00B358B9" w:rsidDel="00161127">
        <w:rPr>
          <w:rFonts w:eastAsia="MS Mincho"/>
          <w:kern w:val="22"/>
          <w:szCs w:val="22"/>
        </w:rPr>
        <w:t xml:space="preserve"> </w:t>
      </w:r>
      <w:r w:rsidR="00306912" w:rsidRPr="00B358B9">
        <w:rPr>
          <w:rFonts w:eastAsia="MS Mincho"/>
          <w:kern w:val="22"/>
          <w:szCs w:val="22"/>
        </w:rPr>
        <w:t>P</w:t>
      </w:r>
      <w:r w:rsidR="009C25A7" w:rsidRPr="00B358B9">
        <w:rPr>
          <w:rFonts w:eastAsia="MS Mincho"/>
          <w:kern w:val="22"/>
          <w:szCs w:val="22"/>
        </w:rPr>
        <w:t xml:space="preserve">arties, other Governments, international organizations, business organizations and other stakeholders take the voluntary guidelines into account when selecting, designing and implementing biodiversity financing mechanisms, and when developing instrument-specific safeguards for </w:t>
      </w:r>
      <w:r w:rsidR="005A54FC" w:rsidRPr="00B358B9">
        <w:rPr>
          <w:rFonts w:eastAsia="MS Mincho"/>
          <w:kern w:val="22"/>
          <w:szCs w:val="22"/>
        </w:rPr>
        <w:t>indigenous peoples and local communities</w:t>
      </w:r>
      <w:r w:rsidR="00161127" w:rsidRPr="00B358B9">
        <w:rPr>
          <w:rFonts w:eastAsia="MS Mincho"/>
          <w:kern w:val="22"/>
          <w:szCs w:val="22"/>
        </w:rPr>
        <w:t>, in accordance with decision XII/3</w:t>
      </w:r>
      <w:r w:rsidR="00253FBE" w:rsidRPr="00B358B9">
        <w:rPr>
          <w:rFonts w:eastAsia="MS Mincho"/>
          <w:kern w:val="22"/>
          <w:szCs w:val="22"/>
        </w:rPr>
        <w:t>, paragraph 16</w:t>
      </w:r>
      <w:r w:rsidR="004A32D6" w:rsidRPr="00B358B9">
        <w:rPr>
          <w:rFonts w:eastAsia="MS Mincho"/>
          <w:kern w:val="22"/>
          <w:szCs w:val="22"/>
        </w:rPr>
        <w:t xml:space="preserve">. </w:t>
      </w:r>
      <w:r w:rsidR="002024E6" w:rsidRPr="00B358B9">
        <w:rPr>
          <w:rFonts w:eastAsia="MS Mincho"/>
          <w:kern w:val="22"/>
          <w:szCs w:val="22"/>
        </w:rPr>
        <w:t>I</w:t>
      </w:r>
      <w:r w:rsidR="009F6AC9" w:rsidRPr="00B358B9">
        <w:rPr>
          <w:rFonts w:eastAsia="MS Mincho"/>
          <w:kern w:val="22"/>
          <w:szCs w:val="22"/>
        </w:rPr>
        <w:t>t also requested the Executive Secretary</w:t>
      </w:r>
      <w:r w:rsidR="007824B4" w:rsidRPr="00B358B9">
        <w:rPr>
          <w:rFonts w:eastAsia="MS Mincho"/>
          <w:kern w:val="22"/>
          <w:szCs w:val="22"/>
        </w:rPr>
        <w:t xml:space="preserve">, through paragraph 27 of </w:t>
      </w:r>
      <w:r w:rsidR="000B2687" w:rsidRPr="00B358B9">
        <w:rPr>
          <w:rFonts w:eastAsia="MS Mincho"/>
          <w:kern w:val="22"/>
          <w:szCs w:val="22"/>
        </w:rPr>
        <w:t>d</w:t>
      </w:r>
      <w:r w:rsidR="007824B4" w:rsidRPr="00B358B9">
        <w:rPr>
          <w:rFonts w:eastAsia="MS Mincho"/>
          <w:kern w:val="22"/>
          <w:szCs w:val="22"/>
        </w:rPr>
        <w:t>ecision XIII/20</w:t>
      </w:r>
      <w:r w:rsidR="001401B6" w:rsidRPr="00B358B9">
        <w:rPr>
          <w:rFonts w:eastAsia="MS Mincho"/>
          <w:kern w:val="22"/>
          <w:szCs w:val="22"/>
        </w:rPr>
        <w:t xml:space="preserve">, </w:t>
      </w:r>
      <w:r w:rsidR="009F6AC9" w:rsidRPr="00B358B9">
        <w:rPr>
          <w:rFonts w:eastAsia="MS Mincho"/>
          <w:kern w:val="22"/>
          <w:szCs w:val="22"/>
        </w:rPr>
        <w:t>to make this information available to the Ad Hoc Open-ended Working Group on Article 8(j) and Related Provisions at its tenth meeting</w:t>
      </w:r>
      <w:r w:rsidR="009F6AC9" w:rsidRPr="00B358B9">
        <w:rPr>
          <w:kern w:val="22"/>
          <w:szCs w:val="22"/>
        </w:rPr>
        <w:t xml:space="preserve"> </w:t>
      </w:r>
      <w:r w:rsidR="009F6AC9" w:rsidRPr="00B358B9">
        <w:rPr>
          <w:rFonts w:eastAsia="MS Mincho"/>
          <w:kern w:val="22"/>
          <w:szCs w:val="22"/>
        </w:rPr>
        <w:t xml:space="preserve">with a view to developing recommendations, for consideration by </w:t>
      </w:r>
      <w:bookmarkStart w:id="4" w:name="_Hlk508792709"/>
      <w:r w:rsidR="009F6AC9" w:rsidRPr="00B358B9">
        <w:rPr>
          <w:rFonts w:eastAsia="MS Mincho"/>
          <w:kern w:val="22"/>
          <w:szCs w:val="22"/>
        </w:rPr>
        <w:t xml:space="preserve">the Subsidiary Body on Implementation </w:t>
      </w:r>
      <w:bookmarkEnd w:id="4"/>
      <w:r w:rsidR="009F6AC9" w:rsidRPr="00B358B9">
        <w:rPr>
          <w:rFonts w:eastAsia="MS Mincho"/>
          <w:kern w:val="22"/>
          <w:szCs w:val="22"/>
        </w:rPr>
        <w:t>at its second meeting, on how the application of safeguards can ensure that the potential effects of biodiversity financing mechanisms on the social and economic rights and livelihoods of indigenous peoples and local communities are addressed effectively</w:t>
      </w:r>
      <w:r w:rsidR="002024E6" w:rsidRPr="00B358B9">
        <w:rPr>
          <w:rFonts w:eastAsia="MS Mincho"/>
          <w:kern w:val="22"/>
          <w:szCs w:val="22"/>
        </w:rPr>
        <w:t>.</w:t>
      </w:r>
    </w:p>
    <w:p w14:paraId="3B7A29B2" w14:textId="326DF374" w:rsidR="002478F2" w:rsidRPr="00891479" w:rsidRDefault="00C602AB" w:rsidP="00B358B9">
      <w:pPr>
        <w:pStyle w:val="Para1"/>
        <w:numPr>
          <w:ilvl w:val="0"/>
          <w:numId w:val="110"/>
        </w:numPr>
        <w:suppressLineNumbers/>
        <w:suppressAutoHyphens/>
        <w:kinsoku w:val="0"/>
        <w:overflowPunct w:val="0"/>
        <w:autoSpaceDE w:val="0"/>
        <w:autoSpaceDN w:val="0"/>
        <w:adjustRightInd w:val="0"/>
        <w:snapToGrid w:val="0"/>
        <w:ind w:left="0" w:firstLine="0"/>
        <w:rPr>
          <w:iCs/>
          <w:kern w:val="22"/>
          <w:szCs w:val="22"/>
        </w:rPr>
      </w:pPr>
      <w:r w:rsidRPr="00B358B9">
        <w:rPr>
          <w:rFonts w:eastAsia="MS Mincho"/>
          <w:kern w:val="22"/>
          <w:szCs w:val="22"/>
        </w:rPr>
        <w:t>T</w:t>
      </w:r>
      <w:r w:rsidR="003D54AF" w:rsidRPr="00891479">
        <w:rPr>
          <w:rFonts w:eastAsia="MS Mincho"/>
          <w:kern w:val="22"/>
          <w:szCs w:val="22"/>
        </w:rPr>
        <w:t xml:space="preserve">o assist the Working Group in </w:t>
      </w:r>
      <w:r w:rsidR="00C110A1" w:rsidRPr="00891479">
        <w:rPr>
          <w:rFonts w:eastAsia="MS Mincho"/>
          <w:kern w:val="22"/>
          <w:szCs w:val="22"/>
        </w:rPr>
        <w:t>its</w:t>
      </w:r>
      <w:r w:rsidR="003D54AF" w:rsidRPr="00891479">
        <w:rPr>
          <w:rFonts w:eastAsia="MS Mincho"/>
          <w:kern w:val="22"/>
          <w:szCs w:val="22"/>
        </w:rPr>
        <w:t xml:space="preserve"> task, </w:t>
      </w:r>
      <w:r w:rsidR="00E97C34" w:rsidRPr="00891479">
        <w:rPr>
          <w:rFonts w:eastAsia="MS Mincho"/>
          <w:kern w:val="22"/>
          <w:szCs w:val="22"/>
        </w:rPr>
        <w:t xml:space="preserve">the Executive Secretary prepared </w:t>
      </w:r>
      <w:r w:rsidR="00BF6A66">
        <w:rPr>
          <w:rFonts w:eastAsia="MS Mincho"/>
          <w:kern w:val="22"/>
          <w:szCs w:val="22"/>
        </w:rPr>
        <w:t>a document</w:t>
      </w:r>
      <w:r w:rsidR="000C57A3" w:rsidRPr="00891479">
        <w:rPr>
          <w:rFonts w:eastAsia="MS Mincho"/>
          <w:kern w:val="22"/>
          <w:szCs w:val="22"/>
        </w:rPr>
        <w:t xml:space="preserve"> on</w:t>
      </w:r>
      <w:r w:rsidR="000C57A3" w:rsidRPr="00891479">
        <w:rPr>
          <w:rFonts w:eastAsia="Malgun Gothic"/>
          <w:kern w:val="22"/>
          <w:szCs w:val="22"/>
          <w:lang w:eastAsia="ko-KR"/>
        </w:rPr>
        <w:t xml:space="preserve"> </w:t>
      </w:r>
      <w:r w:rsidR="000C57A3" w:rsidRPr="00B358B9">
        <w:rPr>
          <w:kern w:val="22"/>
          <w:szCs w:val="22"/>
        </w:rPr>
        <w:t>t</w:t>
      </w:r>
      <w:r w:rsidR="00E97C34" w:rsidRPr="00B358B9">
        <w:rPr>
          <w:kern w:val="22"/>
          <w:szCs w:val="22"/>
        </w:rPr>
        <w:t>aking the voluntary guidelines on safeguards in biodiversity financing mechanisms into account when selecting, designing and implementing biodiversity financing mechanisms and when developing instrument</w:t>
      </w:r>
      <w:r w:rsidR="00E97C34" w:rsidRPr="00B358B9">
        <w:rPr>
          <w:kern w:val="22"/>
          <w:szCs w:val="22"/>
        </w:rPr>
        <w:noBreakHyphen/>
        <w:t>specific safeguards</w:t>
      </w:r>
      <w:r w:rsidR="000C57A3" w:rsidRPr="00891479">
        <w:rPr>
          <w:rFonts w:eastAsia="Malgun Gothic"/>
          <w:kern w:val="22"/>
          <w:szCs w:val="22"/>
          <w:lang w:eastAsia="ko-KR"/>
        </w:rPr>
        <w:t xml:space="preserve"> (CBD/WG8J/10/6)</w:t>
      </w:r>
      <w:r w:rsidR="00E97C34" w:rsidRPr="00B358B9">
        <w:rPr>
          <w:kern w:val="22"/>
          <w:szCs w:val="22"/>
        </w:rPr>
        <w:t>. The Working Group consider</w:t>
      </w:r>
      <w:r w:rsidR="005E510D" w:rsidRPr="00B358B9">
        <w:rPr>
          <w:kern w:val="22"/>
          <w:szCs w:val="22"/>
        </w:rPr>
        <w:t>ed</w:t>
      </w:r>
      <w:r w:rsidR="00E97C34" w:rsidRPr="00B358B9">
        <w:rPr>
          <w:kern w:val="22"/>
          <w:szCs w:val="22"/>
        </w:rPr>
        <w:t xml:space="preserve"> </w:t>
      </w:r>
      <w:r w:rsidR="00E97C34" w:rsidRPr="00891479">
        <w:rPr>
          <w:rFonts w:eastAsia="Malgun Gothic"/>
          <w:kern w:val="22"/>
          <w:szCs w:val="22"/>
          <w:lang w:eastAsia="ko-KR"/>
        </w:rPr>
        <w:t>the document</w:t>
      </w:r>
      <w:r w:rsidR="00ED49FB" w:rsidRPr="00891479">
        <w:rPr>
          <w:rFonts w:eastAsia="Malgun Gothic"/>
          <w:kern w:val="22"/>
          <w:szCs w:val="22"/>
          <w:lang w:eastAsia="ko-KR"/>
        </w:rPr>
        <w:t xml:space="preserve"> at its tenth meeting</w:t>
      </w:r>
      <w:r w:rsidR="00E97C34" w:rsidRPr="00891479">
        <w:rPr>
          <w:rFonts w:eastAsia="Malgun Gothic"/>
          <w:kern w:val="22"/>
          <w:szCs w:val="22"/>
          <w:lang w:eastAsia="ko-KR"/>
        </w:rPr>
        <w:t xml:space="preserve"> and</w:t>
      </w:r>
      <w:r w:rsidR="00964EF7">
        <w:rPr>
          <w:rFonts w:eastAsia="Malgun Gothic"/>
          <w:kern w:val="22"/>
          <w:szCs w:val="22"/>
          <w:lang w:eastAsia="ko-KR"/>
        </w:rPr>
        <w:t>,</w:t>
      </w:r>
      <w:r w:rsidR="00E97C34" w:rsidRPr="00891479">
        <w:rPr>
          <w:rFonts w:eastAsia="Malgun Gothic"/>
          <w:kern w:val="22"/>
          <w:szCs w:val="22"/>
          <w:lang w:eastAsia="ko-KR"/>
        </w:rPr>
        <w:t xml:space="preserve"> in recommendation </w:t>
      </w:r>
      <w:hyperlink r:id="rId13" w:history="1">
        <w:r w:rsidR="00E97C34" w:rsidRPr="00891479">
          <w:rPr>
            <w:rStyle w:val="Hyperlink"/>
            <w:rFonts w:eastAsia="Malgun Gothic"/>
            <w:kern w:val="22"/>
            <w:sz w:val="22"/>
            <w:szCs w:val="22"/>
            <w:lang w:eastAsia="ko-KR"/>
          </w:rPr>
          <w:t>10/4</w:t>
        </w:r>
      </w:hyperlink>
      <w:r w:rsidR="00E97C34" w:rsidRPr="00891479">
        <w:rPr>
          <w:rFonts w:eastAsia="Malgun Gothic"/>
          <w:kern w:val="22"/>
          <w:szCs w:val="22"/>
          <w:lang w:eastAsia="ko-KR"/>
        </w:rPr>
        <w:t xml:space="preserve">, </w:t>
      </w:r>
      <w:r w:rsidR="005E510D" w:rsidRPr="00891479">
        <w:rPr>
          <w:iCs/>
          <w:kern w:val="22"/>
          <w:szCs w:val="22"/>
        </w:rPr>
        <w:t>invite</w:t>
      </w:r>
      <w:r w:rsidR="00C22084" w:rsidRPr="00891479">
        <w:rPr>
          <w:iCs/>
          <w:kern w:val="22"/>
          <w:szCs w:val="22"/>
        </w:rPr>
        <w:t>d</w:t>
      </w:r>
      <w:r w:rsidR="005E510D" w:rsidRPr="00891479">
        <w:rPr>
          <w:i/>
          <w:iCs/>
          <w:kern w:val="22"/>
          <w:szCs w:val="22"/>
        </w:rPr>
        <w:t xml:space="preserve"> </w:t>
      </w:r>
      <w:r w:rsidR="005E510D" w:rsidRPr="00891479">
        <w:rPr>
          <w:iCs/>
          <w:kern w:val="22"/>
          <w:szCs w:val="22"/>
        </w:rPr>
        <w:t xml:space="preserve">Parties, other Governments, stakeholders, and indigenous peoples and local communities to submit </w:t>
      </w:r>
      <w:r w:rsidR="00964EF7">
        <w:rPr>
          <w:iCs/>
          <w:kern w:val="22"/>
          <w:szCs w:val="22"/>
        </w:rPr>
        <w:t xml:space="preserve">their </w:t>
      </w:r>
      <w:r w:rsidR="005E510D" w:rsidRPr="00891479">
        <w:rPr>
          <w:iCs/>
          <w:kern w:val="22"/>
          <w:szCs w:val="22"/>
        </w:rPr>
        <w:t xml:space="preserve">views </w:t>
      </w:r>
      <w:r w:rsidR="00964EF7">
        <w:rPr>
          <w:iCs/>
          <w:kern w:val="22"/>
          <w:szCs w:val="22"/>
        </w:rPr>
        <w:t xml:space="preserve">thereon </w:t>
      </w:r>
      <w:r w:rsidR="005E510D" w:rsidRPr="00891479">
        <w:rPr>
          <w:iCs/>
          <w:kern w:val="22"/>
          <w:szCs w:val="22"/>
        </w:rPr>
        <w:t>to the Executive Secretary</w:t>
      </w:r>
      <w:r w:rsidR="00F30392" w:rsidRPr="00891479">
        <w:rPr>
          <w:iCs/>
          <w:kern w:val="22"/>
          <w:szCs w:val="22"/>
        </w:rPr>
        <w:t>.</w:t>
      </w:r>
      <w:r w:rsidR="005E510D" w:rsidRPr="00891479">
        <w:rPr>
          <w:rStyle w:val="FootnoteReference"/>
          <w:iCs/>
          <w:kern w:val="22"/>
          <w:szCs w:val="22"/>
        </w:rPr>
        <w:footnoteReference w:id="3"/>
      </w:r>
      <w:r w:rsidR="00F30392" w:rsidRPr="00891479">
        <w:rPr>
          <w:iCs/>
          <w:kern w:val="22"/>
          <w:szCs w:val="22"/>
        </w:rPr>
        <w:t xml:space="preserve"> </w:t>
      </w:r>
      <w:r w:rsidR="00F30392" w:rsidRPr="00891479">
        <w:rPr>
          <w:iCs/>
          <w:kern w:val="22"/>
          <w:szCs w:val="22"/>
        </w:rPr>
        <w:lastRenderedPageBreak/>
        <w:t xml:space="preserve">The </w:t>
      </w:r>
      <w:r w:rsidR="00386E8D">
        <w:rPr>
          <w:iCs/>
          <w:kern w:val="22"/>
          <w:szCs w:val="22"/>
        </w:rPr>
        <w:t>Working Group</w:t>
      </w:r>
      <w:r w:rsidR="00F30392" w:rsidRPr="00891479">
        <w:rPr>
          <w:iCs/>
          <w:kern w:val="22"/>
          <w:szCs w:val="22"/>
        </w:rPr>
        <w:t xml:space="preserve"> also </w:t>
      </w:r>
      <w:r w:rsidR="00E97C34" w:rsidRPr="00891479">
        <w:rPr>
          <w:iCs/>
          <w:kern w:val="22"/>
          <w:szCs w:val="22"/>
        </w:rPr>
        <w:t>request</w:t>
      </w:r>
      <w:r w:rsidR="00C22084" w:rsidRPr="00891479">
        <w:rPr>
          <w:iCs/>
          <w:kern w:val="22"/>
          <w:szCs w:val="22"/>
        </w:rPr>
        <w:t>ed</w:t>
      </w:r>
      <w:r w:rsidR="00E97C34" w:rsidRPr="00891479">
        <w:rPr>
          <w:iCs/>
          <w:kern w:val="22"/>
          <w:szCs w:val="22"/>
        </w:rPr>
        <w:t xml:space="preserve"> the Executive Secretary to compile the submissions received and </w:t>
      </w:r>
      <w:r w:rsidR="000C57A3" w:rsidRPr="00891479">
        <w:rPr>
          <w:iCs/>
          <w:kern w:val="22"/>
          <w:szCs w:val="22"/>
        </w:rPr>
        <w:t xml:space="preserve">to </w:t>
      </w:r>
      <w:r w:rsidR="00E97C34" w:rsidRPr="00891479">
        <w:rPr>
          <w:iCs/>
          <w:kern w:val="22"/>
          <w:szCs w:val="22"/>
        </w:rPr>
        <w:t>make them available through the clearing-house mechanism of the Convention and to revise the documents</w:t>
      </w:r>
      <w:r w:rsidR="00E97C34" w:rsidRPr="00891479">
        <w:rPr>
          <w:rStyle w:val="FootnoteReference"/>
          <w:iCs/>
          <w:kern w:val="22"/>
          <w:szCs w:val="22"/>
        </w:rPr>
        <w:footnoteReference w:id="4"/>
      </w:r>
      <w:r w:rsidR="00E97C34" w:rsidRPr="00891479">
        <w:rPr>
          <w:iCs/>
          <w:kern w:val="22"/>
          <w:szCs w:val="22"/>
        </w:rPr>
        <w:t xml:space="preserve"> and the draft recommendations therein on the basis of the submissions received and the views of indigenous peoples and local communities as already expressed at the tenth meeting of the Working Group and </w:t>
      </w:r>
      <w:r w:rsidR="00A43CD5">
        <w:rPr>
          <w:iCs/>
          <w:kern w:val="22"/>
          <w:szCs w:val="22"/>
        </w:rPr>
        <w:t>contained</w:t>
      </w:r>
      <w:r w:rsidR="00E97C34" w:rsidRPr="00891479">
        <w:rPr>
          <w:iCs/>
          <w:kern w:val="22"/>
          <w:szCs w:val="22"/>
        </w:rPr>
        <w:t xml:space="preserve"> in the annex to recommendation</w:t>
      </w:r>
      <w:r w:rsidR="005E510D" w:rsidRPr="00891479">
        <w:rPr>
          <w:iCs/>
          <w:kern w:val="22"/>
          <w:szCs w:val="22"/>
        </w:rPr>
        <w:t xml:space="preserve"> 10/4</w:t>
      </w:r>
      <w:r w:rsidR="00F30392" w:rsidRPr="00891479">
        <w:rPr>
          <w:iCs/>
          <w:kern w:val="22"/>
          <w:szCs w:val="22"/>
        </w:rPr>
        <w:t>.</w:t>
      </w:r>
    </w:p>
    <w:p w14:paraId="589E5F4A" w14:textId="5A68831F" w:rsidR="00F97D93" w:rsidRPr="00891479" w:rsidRDefault="00F30392" w:rsidP="00B358B9">
      <w:pPr>
        <w:pStyle w:val="Para1"/>
        <w:numPr>
          <w:ilvl w:val="0"/>
          <w:numId w:val="110"/>
        </w:numPr>
        <w:suppressLineNumbers/>
        <w:suppressAutoHyphens/>
        <w:kinsoku w:val="0"/>
        <w:overflowPunct w:val="0"/>
        <w:autoSpaceDE w:val="0"/>
        <w:autoSpaceDN w:val="0"/>
        <w:adjustRightInd w:val="0"/>
        <w:snapToGrid w:val="0"/>
        <w:ind w:left="0" w:firstLine="0"/>
        <w:rPr>
          <w:iCs/>
          <w:kern w:val="22"/>
          <w:szCs w:val="22"/>
        </w:rPr>
      </w:pPr>
      <w:r w:rsidRPr="00891479">
        <w:rPr>
          <w:iCs/>
          <w:kern w:val="22"/>
          <w:szCs w:val="22"/>
        </w:rPr>
        <w:t>As requested</w:t>
      </w:r>
      <w:r w:rsidR="000958A1" w:rsidRPr="00891479">
        <w:rPr>
          <w:iCs/>
          <w:kern w:val="22"/>
          <w:szCs w:val="22"/>
        </w:rPr>
        <w:t>,</w:t>
      </w:r>
      <w:r w:rsidRPr="00891479">
        <w:rPr>
          <w:iCs/>
          <w:kern w:val="22"/>
          <w:szCs w:val="22"/>
        </w:rPr>
        <w:t xml:space="preserve"> the Executive Secretary </w:t>
      </w:r>
      <w:r w:rsidR="00613373" w:rsidRPr="00891479">
        <w:rPr>
          <w:iCs/>
          <w:kern w:val="22"/>
          <w:szCs w:val="22"/>
        </w:rPr>
        <w:t xml:space="preserve">invited </w:t>
      </w:r>
      <w:r w:rsidRPr="00891479">
        <w:rPr>
          <w:iCs/>
          <w:kern w:val="22"/>
          <w:szCs w:val="22"/>
        </w:rPr>
        <w:t xml:space="preserve">views </w:t>
      </w:r>
      <w:r w:rsidR="003235C0">
        <w:rPr>
          <w:iCs/>
          <w:kern w:val="22"/>
          <w:szCs w:val="22"/>
        </w:rPr>
        <w:t>via</w:t>
      </w:r>
      <w:r w:rsidRPr="00891479">
        <w:rPr>
          <w:iCs/>
          <w:kern w:val="22"/>
          <w:szCs w:val="22"/>
        </w:rPr>
        <w:t xml:space="preserve"> </w:t>
      </w:r>
      <w:r w:rsidR="00500857" w:rsidRPr="00891479">
        <w:rPr>
          <w:iCs/>
          <w:kern w:val="22"/>
          <w:szCs w:val="22"/>
        </w:rPr>
        <w:t xml:space="preserve">a </w:t>
      </w:r>
      <w:r w:rsidRPr="00891479">
        <w:rPr>
          <w:iCs/>
          <w:kern w:val="22"/>
          <w:szCs w:val="22"/>
        </w:rPr>
        <w:t xml:space="preserve">notification </w:t>
      </w:r>
      <w:r w:rsidR="00613373" w:rsidRPr="00891479">
        <w:rPr>
          <w:iCs/>
          <w:kern w:val="22"/>
          <w:szCs w:val="22"/>
        </w:rPr>
        <w:t>dated 15 January 2018,</w:t>
      </w:r>
      <w:r w:rsidR="00500857" w:rsidRPr="00891479">
        <w:rPr>
          <w:rStyle w:val="FootnoteReference"/>
          <w:iCs/>
          <w:kern w:val="22"/>
          <w:szCs w:val="22"/>
        </w:rPr>
        <w:footnoteReference w:id="5"/>
      </w:r>
      <w:r w:rsidR="00613373" w:rsidRPr="00891479">
        <w:rPr>
          <w:iCs/>
          <w:kern w:val="22"/>
          <w:szCs w:val="22"/>
        </w:rPr>
        <w:t xml:space="preserve"> </w:t>
      </w:r>
      <w:r w:rsidR="00E97C34" w:rsidRPr="00891479">
        <w:rPr>
          <w:iCs/>
          <w:kern w:val="22"/>
          <w:szCs w:val="22"/>
        </w:rPr>
        <w:t xml:space="preserve">and </w:t>
      </w:r>
      <w:r w:rsidRPr="00891479">
        <w:rPr>
          <w:iCs/>
          <w:kern w:val="22"/>
          <w:szCs w:val="22"/>
        </w:rPr>
        <w:t xml:space="preserve">has </w:t>
      </w:r>
      <w:r w:rsidR="00613373" w:rsidRPr="00891479">
        <w:rPr>
          <w:iCs/>
          <w:kern w:val="22"/>
          <w:szCs w:val="22"/>
        </w:rPr>
        <w:t xml:space="preserve">compiled views received in </w:t>
      </w:r>
      <w:r w:rsidR="00C22084" w:rsidRPr="00891479">
        <w:rPr>
          <w:iCs/>
          <w:kern w:val="22"/>
          <w:szCs w:val="22"/>
        </w:rPr>
        <w:t>an accompanying information note</w:t>
      </w:r>
      <w:r w:rsidR="00613373" w:rsidRPr="00891479">
        <w:rPr>
          <w:iCs/>
          <w:kern w:val="22"/>
          <w:szCs w:val="22"/>
        </w:rPr>
        <w:t>.</w:t>
      </w:r>
      <w:r w:rsidR="00586657" w:rsidRPr="00891479">
        <w:rPr>
          <w:rStyle w:val="FootnoteReference"/>
          <w:iCs/>
          <w:kern w:val="22"/>
          <w:szCs w:val="22"/>
        </w:rPr>
        <w:footnoteReference w:id="6"/>
      </w:r>
      <w:r w:rsidR="00586657" w:rsidRPr="00891479">
        <w:rPr>
          <w:iCs/>
          <w:kern w:val="22"/>
          <w:szCs w:val="22"/>
        </w:rPr>
        <w:t xml:space="preserve"> </w:t>
      </w:r>
      <w:r w:rsidRPr="00891479">
        <w:rPr>
          <w:iCs/>
          <w:kern w:val="22"/>
          <w:szCs w:val="22"/>
        </w:rPr>
        <w:t>Th</w:t>
      </w:r>
      <w:r w:rsidR="00B26A12">
        <w:rPr>
          <w:iCs/>
          <w:kern w:val="22"/>
          <w:szCs w:val="22"/>
        </w:rPr>
        <w:t>e</w:t>
      </w:r>
      <w:r w:rsidRPr="00891479">
        <w:rPr>
          <w:iCs/>
          <w:kern w:val="22"/>
          <w:szCs w:val="22"/>
        </w:rPr>
        <w:t xml:space="preserve"> </w:t>
      </w:r>
      <w:r w:rsidR="00B26A12">
        <w:rPr>
          <w:iCs/>
          <w:kern w:val="22"/>
          <w:szCs w:val="22"/>
        </w:rPr>
        <w:t>present</w:t>
      </w:r>
      <w:r w:rsidR="002478F2" w:rsidRPr="00891479">
        <w:rPr>
          <w:iCs/>
          <w:kern w:val="22"/>
          <w:szCs w:val="22"/>
        </w:rPr>
        <w:t xml:space="preserve"> </w:t>
      </w:r>
      <w:r w:rsidRPr="00891479">
        <w:rPr>
          <w:iCs/>
          <w:kern w:val="22"/>
          <w:szCs w:val="22"/>
        </w:rPr>
        <w:t>document</w:t>
      </w:r>
      <w:r w:rsidR="00B26A12">
        <w:rPr>
          <w:iCs/>
          <w:kern w:val="22"/>
          <w:szCs w:val="22"/>
        </w:rPr>
        <w:t>,</w:t>
      </w:r>
      <w:r w:rsidRPr="00891479">
        <w:rPr>
          <w:iCs/>
          <w:kern w:val="22"/>
          <w:szCs w:val="22"/>
        </w:rPr>
        <w:t xml:space="preserve"> </w:t>
      </w:r>
      <w:r w:rsidR="00B26A12">
        <w:rPr>
          <w:iCs/>
          <w:kern w:val="22"/>
          <w:szCs w:val="22"/>
        </w:rPr>
        <w:t>containing a</w:t>
      </w:r>
      <w:r w:rsidR="00613373" w:rsidRPr="00891479">
        <w:rPr>
          <w:iCs/>
          <w:kern w:val="22"/>
          <w:szCs w:val="22"/>
        </w:rPr>
        <w:t xml:space="preserve"> </w:t>
      </w:r>
      <w:r w:rsidR="00ED49FB" w:rsidRPr="00891479">
        <w:rPr>
          <w:iCs/>
          <w:kern w:val="22"/>
          <w:szCs w:val="22"/>
        </w:rPr>
        <w:t>draft recommendation</w:t>
      </w:r>
      <w:r w:rsidR="00B26A12">
        <w:rPr>
          <w:iCs/>
          <w:kern w:val="22"/>
          <w:szCs w:val="22"/>
        </w:rPr>
        <w:t>,</w:t>
      </w:r>
      <w:r w:rsidR="00613373" w:rsidRPr="00891479">
        <w:rPr>
          <w:iCs/>
          <w:kern w:val="22"/>
          <w:szCs w:val="22"/>
        </w:rPr>
        <w:t xml:space="preserve"> </w:t>
      </w:r>
      <w:r w:rsidR="00B26A12">
        <w:rPr>
          <w:iCs/>
          <w:kern w:val="22"/>
          <w:szCs w:val="22"/>
        </w:rPr>
        <w:t xml:space="preserve">represents the earlier document </w:t>
      </w:r>
      <w:r w:rsidR="00B26A12" w:rsidRPr="000F7838">
        <w:rPr>
          <w:iCs/>
          <w:kern w:val="22"/>
          <w:szCs w:val="22"/>
        </w:rPr>
        <w:t xml:space="preserve">revised </w:t>
      </w:r>
      <w:r w:rsidR="00613373" w:rsidRPr="00891479">
        <w:rPr>
          <w:iCs/>
          <w:kern w:val="22"/>
          <w:szCs w:val="22"/>
        </w:rPr>
        <w:t xml:space="preserve">on </w:t>
      </w:r>
      <w:r w:rsidR="00B26A12">
        <w:rPr>
          <w:iCs/>
          <w:kern w:val="22"/>
          <w:szCs w:val="22"/>
        </w:rPr>
        <w:t xml:space="preserve">the basis of </w:t>
      </w:r>
      <w:r w:rsidR="00613373" w:rsidRPr="00891479">
        <w:rPr>
          <w:iCs/>
          <w:kern w:val="22"/>
          <w:szCs w:val="22"/>
        </w:rPr>
        <w:t>the views received</w:t>
      </w:r>
      <w:r w:rsidR="00ED49FB" w:rsidRPr="00891479">
        <w:rPr>
          <w:iCs/>
          <w:kern w:val="22"/>
          <w:szCs w:val="22"/>
        </w:rPr>
        <w:t>,</w:t>
      </w:r>
      <w:r w:rsidR="00613373" w:rsidRPr="00891479">
        <w:rPr>
          <w:iCs/>
          <w:kern w:val="22"/>
          <w:szCs w:val="22"/>
        </w:rPr>
        <w:t xml:space="preserve"> </w:t>
      </w:r>
      <w:r w:rsidR="00ED49FB" w:rsidRPr="00891479">
        <w:rPr>
          <w:iCs/>
          <w:kern w:val="22"/>
          <w:szCs w:val="22"/>
        </w:rPr>
        <w:t xml:space="preserve">including those </w:t>
      </w:r>
      <w:r w:rsidR="00F97D93" w:rsidRPr="00891479">
        <w:rPr>
          <w:iCs/>
          <w:kern w:val="22"/>
          <w:szCs w:val="22"/>
        </w:rPr>
        <w:t>provided</w:t>
      </w:r>
      <w:r w:rsidR="00ED49FB" w:rsidRPr="00891479">
        <w:rPr>
          <w:iCs/>
          <w:kern w:val="22"/>
          <w:szCs w:val="22"/>
        </w:rPr>
        <w:t xml:space="preserve"> at the tenth meeting of the Working Group</w:t>
      </w:r>
      <w:r w:rsidR="00E97C34" w:rsidRPr="00891479">
        <w:rPr>
          <w:iCs/>
          <w:kern w:val="22"/>
          <w:szCs w:val="22"/>
        </w:rPr>
        <w:t>.</w:t>
      </w:r>
    </w:p>
    <w:p w14:paraId="4EBA7A9D" w14:textId="5D6ACB40" w:rsidR="00B12652" w:rsidRPr="00B358B9" w:rsidRDefault="00613373"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891479">
        <w:rPr>
          <w:rFonts w:eastAsia="MS Mincho"/>
          <w:kern w:val="22"/>
          <w:szCs w:val="22"/>
        </w:rPr>
        <w:t>T</w:t>
      </w:r>
      <w:r w:rsidR="003D54AF" w:rsidRPr="00891479">
        <w:rPr>
          <w:rFonts w:eastAsia="MS Mincho"/>
          <w:kern w:val="22"/>
          <w:szCs w:val="22"/>
        </w:rPr>
        <w:t>he present</w:t>
      </w:r>
      <w:r w:rsidR="003D54AF" w:rsidRPr="00B358B9">
        <w:rPr>
          <w:kern w:val="22"/>
          <w:szCs w:val="22"/>
        </w:rPr>
        <w:t xml:space="preserve"> document</w:t>
      </w:r>
      <w:r w:rsidR="004C0F24" w:rsidRPr="00B358B9">
        <w:rPr>
          <w:kern w:val="22"/>
          <w:szCs w:val="22"/>
        </w:rPr>
        <w:t xml:space="preserve"> reviews information</w:t>
      </w:r>
      <w:r w:rsidR="00D103B5" w:rsidRPr="00B358B9">
        <w:rPr>
          <w:kern w:val="22"/>
          <w:szCs w:val="22"/>
        </w:rPr>
        <w:t xml:space="preserve"> received</w:t>
      </w:r>
      <w:r w:rsidR="003F3A20" w:rsidRPr="00B358B9">
        <w:rPr>
          <w:kern w:val="22"/>
          <w:szCs w:val="22"/>
        </w:rPr>
        <w:t>,</w:t>
      </w:r>
      <w:r w:rsidR="004C0F24" w:rsidRPr="00B358B9">
        <w:rPr>
          <w:kern w:val="22"/>
          <w:szCs w:val="22"/>
        </w:rPr>
        <w:t xml:space="preserve"> including good practices and lessons learned regarding safeguards in biodiversity financing, with </w:t>
      </w:r>
      <w:r w:rsidR="00C602AB" w:rsidRPr="00B358B9">
        <w:rPr>
          <w:kern w:val="22"/>
          <w:szCs w:val="22"/>
        </w:rPr>
        <w:t xml:space="preserve">a </w:t>
      </w:r>
      <w:r w:rsidR="004C0F24" w:rsidRPr="00B358B9">
        <w:rPr>
          <w:kern w:val="22"/>
          <w:szCs w:val="22"/>
        </w:rPr>
        <w:t>focus on the potential effects of these safeguard</w:t>
      </w:r>
      <w:r w:rsidR="001401B6" w:rsidRPr="00B358B9">
        <w:rPr>
          <w:kern w:val="22"/>
          <w:szCs w:val="22"/>
        </w:rPr>
        <w:t>s</w:t>
      </w:r>
      <w:r w:rsidR="004C0F24" w:rsidRPr="00B358B9">
        <w:rPr>
          <w:kern w:val="22"/>
          <w:szCs w:val="22"/>
        </w:rPr>
        <w:t xml:space="preserve"> on the social and economic rights and livelihoods of indigenous peoples and local communities. </w:t>
      </w:r>
      <w:r w:rsidR="003D54AF" w:rsidRPr="00B358B9">
        <w:rPr>
          <w:kern w:val="22"/>
          <w:szCs w:val="22"/>
        </w:rPr>
        <w:t xml:space="preserve">Section I </w:t>
      </w:r>
      <w:r w:rsidR="00B7798B" w:rsidRPr="00B358B9">
        <w:rPr>
          <w:kern w:val="22"/>
          <w:szCs w:val="22"/>
        </w:rPr>
        <w:t xml:space="preserve">provides </w:t>
      </w:r>
      <w:r w:rsidR="0076239F" w:rsidRPr="00B358B9">
        <w:rPr>
          <w:kern w:val="22"/>
          <w:szCs w:val="22"/>
        </w:rPr>
        <w:t xml:space="preserve">an overview </w:t>
      </w:r>
      <w:r w:rsidR="00FC6CDC" w:rsidRPr="00B358B9">
        <w:rPr>
          <w:kern w:val="22"/>
          <w:szCs w:val="22"/>
        </w:rPr>
        <w:t>of submissions received</w:t>
      </w:r>
      <w:r w:rsidR="00186E73" w:rsidRPr="00B358B9">
        <w:rPr>
          <w:kern w:val="22"/>
          <w:szCs w:val="22"/>
        </w:rPr>
        <w:t xml:space="preserve"> by the Executive Secretary </w:t>
      </w:r>
      <w:r w:rsidR="00186E73" w:rsidRPr="00891479">
        <w:rPr>
          <w:kern w:val="22"/>
          <w:szCs w:val="22"/>
        </w:rPr>
        <w:t xml:space="preserve">on experiences in relation to using the </w:t>
      </w:r>
      <w:r w:rsidR="004B697C" w:rsidRPr="00891479">
        <w:rPr>
          <w:iCs/>
          <w:kern w:val="22"/>
          <w:szCs w:val="22"/>
        </w:rPr>
        <w:t xml:space="preserve">Convention’s </w:t>
      </w:r>
      <w:r w:rsidR="004B697C" w:rsidRPr="00B358B9">
        <w:rPr>
          <w:kern w:val="22"/>
          <w:szCs w:val="22"/>
        </w:rPr>
        <w:t>voluntary guidelines on safeguards in biodiversity</w:t>
      </w:r>
      <w:r w:rsidR="0031160C" w:rsidRPr="00B358B9">
        <w:rPr>
          <w:kern w:val="22"/>
          <w:szCs w:val="22"/>
        </w:rPr>
        <w:t xml:space="preserve"> </w:t>
      </w:r>
      <w:r w:rsidR="004B697C" w:rsidRPr="00B358B9">
        <w:rPr>
          <w:kern w:val="22"/>
          <w:szCs w:val="22"/>
        </w:rPr>
        <w:t>financing</w:t>
      </w:r>
      <w:r w:rsidR="0031160C" w:rsidRPr="00B358B9">
        <w:rPr>
          <w:kern w:val="22"/>
          <w:szCs w:val="22"/>
        </w:rPr>
        <w:t xml:space="preserve"> </w:t>
      </w:r>
      <w:r w:rsidR="004B697C" w:rsidRPr="00B358B9">
        <w:rPr>
          <w:kern w:val="22"/>
          <w:szCs w:val="22"/>
        </w:rPr>
        <w:t>mechanisms</w:t>
      </w:r>
      <w:r w:rsidR="004B697C" w:rsidRPr="00891479">
        <w:rPr>
          <w:kern w:val="22"/>
          <w:szCs w:val="22"/>
        </w:rPr>
        <w:t xml:space="preserve"> </w:t>
      </w:r>
      <w:r w:rsidR="00186E73" w:rsidRPr="00891479">
        <w:rPr>
          <w:kern w:val="22"/>
          <w:szCs w:val="22"/>
        </w:rPr>
        <w:t xml:space="preserve">and other aspects of safeguards in biodiversity financing mechanisms. </w:t>
      </w:r>
      <w:r w:rsidR="003D54AF" w:rsidRPr="00B358B9">
        <w:rPr>
          <w:kern w:val="22"/>
          <w:szCs w:val="22"/>
        </w:rPr>
        <w:t xml:space="preserve">Section II </w:t>
      </w:r>
      <w:r w:rsidR="00173D16" w:rsidRPr="00B358B9">
        <w:rPr>
          <w:kern w:val="22"/>
          <w:szCs w:val="22"/>
        </w:rPr>
        <w:t xml:space="preserve">describes the development of </w:t>
      </w:r>
      <w:r w:rsidR="00B12652" w:rsidRPr="00B358B9">
        <w:rPr>
          <w:kern w:val="22"/>
          <w:szCs w:val="22"/>
        </w:rPr>
        <w:t xml:space="preserve">the safeguard mechanisms </w:t>
      </w:r>
      <w:r w:rsidR="00173D16" w:rsidRPr="00B358B9">
        <w:rPr>
          <w:kern w:val="22"/>
          <w:szCs w:val="22"/>
        </w:rPr>
        <w:t xml:space="preserve">under the Convention. </w:t>
      </w:r>
      <w:r w:rsidR="00586657" w:rsidRPr="00B358B9">
        <w:rPr>
          <w:kern w:val="22"/>
          <w:szCs w:val="22"/>
        </w:rPr>
        <w:t xml:space="preserve"> </w:t>
      </w:r>
      <w:r w:rsidR="00173D16" w:rsidRPr="00B358B9">
        <w:rPr>
          <w:kern w:val="22"/>
          <w:szCs w:val="22"/>
        </w:rPr>
        <w:t xml:space="preserve">Section III </w:t>
      </w:r>
      <w:r w:rsidR="003D54AF" w:rsidRPr="00B358B9">
        <w:rPr>
          <w:kern w:val="22"/>
          <w:szCs w:val="22"/>
        </w:rPr>
        <w:t xml:space="preserve">provides an </w:t>
      </w:r>
      <w:r w:rsidR="005F1448" w:rsidRPr="00B358B9">
        <w:rPr>
          <w:kern w:val="22"/>
          <w:szCs w:val="22"/>
        </w:rPr>
        <w:t xml:space="preserve">overview </w:t>
      </w:r>
      <w:r w:rsidR="00186E73" w:rsidRPr="00B358B9">
        <w:rPr>
          <w:kern w:val="22"/>
          <w:szCs w:val="22"/>
        </w:rPr>
        <w:t xml:space="preserve">of existing safeguard systems </w:t>
      </w:r>
      <w:r w:rsidR="00500075" w:rsidRPr="00B358B9">
        <w:rPr>
          <w:kern w:val="22"/>
          <w:szCs w:val="22"/>
        </w:rPr>
        <w:t xml:space="preserve">of </w:t>
      </w:r>
      <w:r w:rsidR="00186E73" w:rsidRPr="00B358B9">
        <w:rPr>
          <w:kern w:val="22"/>
          <w:szCs w:val="22"/>
        </w:rPr>
        <w:t>a range of biodiversity financing mechanisms</w:t>
      </w:r>
      <w:r w:rsidR="00F62B53" w:rsidRPr="00B358B9">
        <w:rPr>
          <w:kern w:val="22"/>
          <w:szCs w:val="22"/>
        </w:rPr>
        <w:t xml:space="preserve">, to identify the </w:t>
      </w:r>
      <w:r w:rsidR="004E3DED" w:rsidRPr="00B358B9">
        <w:rPr>
          <w:kern w:val="22"/>
          <w:szCs w:val="22"/>
        </w:rPr>
        <w:t>status</w:t>
      </w:r>
      <w:r w:rsidR="00F62B53" w:rsidRPr="00B358B9">
        <w:rPr>
          <w:kern w:val="22"/>
          <w:szCs w:val="22"/>
        </w:rPr>
        <w:t xml:space="preserve"> and the trends in establishing such safeguard systems. </w:t>
      </w:r>
      <w:r w:rsidR="003A266C" w:rsidRPr="00B358B9">
        <w:rPr>
          <w:kern w:val="22"/>
          <w:szCs w:val="22"/>
        </w:rPr>
        <w:t>Section IV provides a summary and conclusions for advancing implementation of the voluntary guidelines.</w:t>
      </w:r>
    </w:p>
    <w:p w14:paraId="62FEC5FB" w14:textId="0620773B" w:rsidR="00973097" w:rsidRPr="00B358B9" w:rsidRDefault="00AE7388"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F</w:t>
      </w:r>
      <w:r w:rsidR="005F1448" w:rsidRPr="00B358B9">
        <w:rPr>
          <w:kern w:val="22"/>
          <w:szCs w:val="22"/>
        </w:rPr>
        <w:t>inally</w:t>
      </w:r>
      <w:r w:rsidR="003D54AF" w:rsidRPr="00B358B9">
        <w:rPr>
          <w:kern w:val="22"/>
          <w:szCs w:val="22"/>
        </w:rPr>
        <w:t>, buildi</w:t>
      </w:r>
      <w:r w:rsidR="005F1448" w:rsidRPr="00B358B9">
        <w:rPr>
          <w:kern w:val="22"/>
          <w:szCs w:val="22"/>
        </w:rPr>
        <w:t xml:space="preserve">ng on </w:t>
      </w:r>
      <w:r w:rsidR="00D21122" w:rsidRPr="00B358B9">
        <w:rPr>
          <w:kern w:val="22"/>
          <w:szCs w:val="22"/>
        </w:rPr>
        <w:t>proposals made</w:t>
      </w:r>
      <w:r w:rsidR="00215FB4" w:rsidRPr="00B358B9">
        <w:rPr>
          <w:kern w:val="22"/>
          <w:szCs w:val="22"/>
        </w:rPr>
        <w:t xml:space="preserve"> in </w:t>
      </w:r>
      <w:r w:rsidR="003A266C" w:rsidRPr="00B358B9">
        <w:rPr>
          <w:kern w:val="22"/>
          <w:szCs w:val="22"/>
        </w:rPr>
        <w:t>the previous sections</w:t>
      </w:r>
      <w:r w:rsidR="00215FB4" w:rsidRPr="00B358B9">
        <w:rPr>
          <w:kern w:val="22"/>
          <w:szCs w:val="22"/>
        </w:rPr>
        <w:t xml:space="preserve">, </w:t>
      </w:r>
      <w:r w:rsidR="000B2687" w:rsidRPr="00B358B9">
        <w:rPr>
          <w:kern w:val="22"/>
          <w:szCs w:val="22"/>
        </w:rPr>
        <w:t>s</w:t>
      </w:r>
      <w:r w:rsidR="005F1448" w:rsidRPr="00B358B9">
        <w:rPr>
          <w:kern w:val="22"/>
          <w:szCs w:val="22"/>
        </w:rPr>
        <w:t>ection V</w:t>
      </w:r>
      <w:r w:rsidR="003D54AF" w:rsidRPr="00B358B9">
        <w:rPr>
          <w:kern w:val="22"/>
          <w:szCs w:val="22"/>
        </w:rPr>
        <w:t xml:space="preserve"> </w:t>
      </w:r>
      <w:r w:rsidR="007E1005">
        <w:rPr>
          <w:kern w:val="22"/>
          <w:szCs w:val="22"/>
        </w:rPr>
        <w:t xml:space="preserve">contains a </w:t>
      </w:r>
      <w:r w:rsidR="003D54AF" w:rsidRPr="00B358B9">
        <w:rPr>
          <w:kern w:val="22"/>
          <w:szCs w:val="22"/>
        </w:rPr>
        <w:t>suggest</w:t>
      </w:r>
      <w:r w:rsidR="007E1005">
        <w:rPr>
          <w:kern w:val="22"/>
          <w:szCs w:val="22"/>
        </w:rPr>
        <w:t>ed</w:t>
      </w:r>
      <w:r w:rsidRPr="00B358B9">
        <w:rPr>
          <w:kern w:val="22"/>
          <w:szCs w:val="22"/>
        </w:rPr>
        <w:t xml:space="preserve"> </w:t>
      </w:r>
      <w:r w:rsidR="003D54AF" w:rsidRPr="00B358B9">
        <w:rPr>
          <w:kern w:val="22"/>
          <w:szCs w:val="22"/>
        </w:rPr>
        <w:t>draft recommendation</w:t>
      </w:r>
      <w:r w:rsidR="00805E29" w:rsidRPr="00B358B9">
        <w:rPr>
          <w:kern w:val="22"/>
          <w:szCs w:val="22"/>
        </w:rPr>
        <w:t xml:space="preserve"> for the consideration of </w:t>
      </w:r>
      <w:r w:rsidR="00805E29" w:rsidRPr="00B358B9">
        <w:rPr>
          <w:rFonts w:eastAsia="Batang"/>
          <w:kern w:val="22"/>
          <w:szCs w:val="22"/>
        </w:rPr>
        <w:t xml:space="preserve">the </w:t>
      </w:r>
      <w:r w:rsidR="00B12652" w:rsidRPr="00B358B9">
        <w:rPr>
          <w:rFonts w:eastAsia="Batang"/>
          <w:kern w:val="22"/>
          <w:szCs w:val="22"/>
        </w:rPr>
        <w:t>Subsidiary Body on Implementation at its second meeting</w:t>
      </w:r>
      <w:r w:rsidR="006D7B2C" w:rsidRPr="00B358B9">
        <w:rPr>
          <w:kern w:val="22"/>
          <w:szCs w:val="22"/>
        </w:rPr>
        <w:t>.</w:t>
      </w:r>
      <w:r w:rsidR="00B12652" w:rsidRPr="00B358B9">
        <w:rPr>
          <w:kern w:val="22"/>
          <w:szCs w:val="22"/>
        </w:rPr>
        <w:t xml:space="preserve"> </w:t>
      </w:r>
      <w:r w:rsidR="00D54A0A" w:rsidRPr="00B358B9">
        <w:rPr>
          <w:kern w:val="22"/>
          <w:szCs w:val="22"/>
        </w:rPr>
        <w:t xml:space="preserve">Accompanying the draft recommendation </w:t>
      </w:r>
      <w:r w:rsidR="00B12652" w:rsidRPr="00B358B9">
        <w:rPr>
          <w:kern w:val="22"/>
          <w:szCs w:val="22"/>
        </w:rPr>
        <w:t xml:space="preserve">is </w:t>
      </w:r>
      <w:r w:rsidR="001B23C3" w:rsidRPr="00B358B9">
        <w:rPr>
          <w:kern w:val="22"/>
          <w:szCs w:val="22"/>
        </w:rPr>
        <w:t>an a</w:t>
      </w:r>
      <w:r w:rsidR="0009303B" w:rsidRPr="00B358B9">
        <w:rPr>
          <w:kern w:val="22"/>
          <w:szCs w:val="22"/>
        </w:rPr>
        <w:t>nnex</w:t>
      </w:r>
      <w:r w:rsidR="00D54A0A" w:rsidRPr="00B358B9">
        <w:rPr>
          <w:kern w:val="22"/>
          <w:szCs w:val="22"/>
        </w:rPr>
        <w:t xml:space="preserve"> </w:t>
      </w:r>
      <w:r w:rsidR="001B23C3" w:rsidRPr="00B358B9">
        <w:rPr>
          <w:kern w:val="22"/>
          <w:szCs w:val="22"/>
        </w:rPr>
        <w:t xml:space="preserve">containing </w:t>
      </w:r>
      <w:r w:rsidR="00D54A0A" w:rsidRPr="00B358B9">
        <w:rPr>
          <w:kern w:val="22"/>
          <w:szCs w:val="22"/>
        </w:rPr>
        <w:t>possible</w:t>
      </w:r>
      <w:r w:rsidR="0009303B" w:rsidRPr="00B358B9">
        <w:rPr>
          <w:kern w:val="22"/>
          <w:szCs w:val="22"/>
        </w:rPr>
        <w:t xml:space="preserve"> questions that could be used as a </w:t>
      </w:r>
      <w:r w:rsidR="00D54A0A" w:rsidRPr="00891479">
        <w:rPr>
          <w:iCs/>
          <w:kern w:val="22"/>
          <w:szCs w:val="22"/>
        </w:rPr>
        <w:t>c</w:t>
      </w:r>
      <w:r w:rsidR="0009303B" w:rsidRPr="00891479">
        <w:rPr>
          <w:iCs/>
          <w:kern w:val="22"/>
          <w:szCs w:val="22"/>
        </w:rPr>
        <w:t>hecklist for compliance with requirements of the Co</w:t>
      </w:r>
      <w:r w:rsidR="00D54A0A" w:rsidRPr="00891479">
        <w:rPr>
          <w:iCs/>
          <w:kern w:val="22"/>
          <w:szCs w:val="22"/>
        </w:rPr>
        <w:t xml:space="preserve">nvention’s voluntary guidelines </w:t>
      </w:r>
      <w:r w:rsidR="0009303B" w:rsidRPr="00891479">
        <w:rPr>
          <w:iCs/>
          <w:kern w:val="22"/>
          <w:szCs w:val="22"/>
        </w:rPr>
        <w:t>on safeguards in biodiversity financing mechanisms</w:t>
      </w:r>
      <w:r w:rsidR="003A266C" w:rsidRPr="00891479">
        <w:rPr>
          <w:iCs/>
          <w:kern w:val="22"/>
          <w:szCs w:val="22"/>
        </w:rPr>
        <w:t>.</w:t>
      </w:r>
    </w:p>
    <w:p w14:paraId="62FE0C11" w14:textId="07953B0B" w:rsidR="00FB406C" w:rsidRPr="00B358B9" w:rsidRDefault="008659B7" w:rsidP="00B358B9">
      <w:pPr>
        <w:pStyle w:val="Heading1"/>
        <w:suppressLineNumbers/>
        <w:tabs>
          <w:tab w:val="clear" w:pos="720"/>
        </w:tabs>
        <w:suppressAutoHyphens/>
        <w:kinsoku w:val="0"/>
        <w:overflowPunct w:val="0"/>
        <w:autoSpaceDE w:val="0"/>
        <w:autoSpaceDN w:val="0"/>
        <w:adjustRightInd w:val="0"/>
        <w:snapToGrid w:val="0"/>
        <w:spacing w:before="120"/>
        <w:ind w:left="1440" w:hanging="720"/>
        <w:jc w:val="left"/>
        <w:rPr>
          <w:snapToGrid w:val="0"/>
          <w:kern w:val="22"/>
          <w:szCs w:val="22"/>
          <w:lang w:val="en-GB"/>
        </w:rPr>
      </w:pPr>
      <w:r>
        <w:rPr>
          <w:snapToGrid w:val="0"/>
          <w:kern w:val="22"/>
          <w:szCs w:val="22"/>
          <w:lang w:val="en-GB"/>
        </w:rPr>
        <w:t>I.</w:t>
      </w:r>
      <w:r>
        <w:rPr>
          <w:snapToGrid w:val="0"/>
          <w:kern w:val="22"/>
          <w:szCs w:val="22"/>
          <w:lang w:val="en-GB"/>
        </w:rPr>
        <w:tab/>
      </w:r>
      <w:r w:rsidR="00EE57F4" w:rsidRPr="00B358B9">
        <w:rPr>
          <w:snapToGrid w:val="0"/>
          <w:kern w:val="22"/>
          <w:szCs w:val="22"/>
          <w:lang w:val="en-GB"/>
        </w:rPr>
        <w:t>OVERVIEW OF SUBMISSIONS ON the voluntary guidelines on safeguards in biodiversity financing mechanisms</w:t>
      </w:r>
    </w:p>
    <w:p w14:paraId="4721D8DE" w14:textId="65606238" w:rsidR="00F97D93" w:rsidRPr="00B358B9" w:rsidRDefault="00F06449" w:rsidP="00B358B9">
      <w:pPr>
        <w:pStyle w:val="Heading1"/>
        <w:numPr>
          <w:ilvl w:val="0"/>
          <w:numId w:val="110"/>
        </w:numPr>
        <w:suppressLineNumbers/>
        <w:tabs>
          <w:tab w:val="clear" w:pos="720"/>
        </w:tabs>
        <w:suppressAutoHyphens/>
        <w:kinsoku w:val="0"/>
        <w:overflowPunct w:val="0"/>
        <w:autoSpaceDE w:val="0"/>
        <w:autoSpaceDN w:val="0"/>
        <w:adjustRightInd w:val="0"/>
        <w:snapToGrid w:val="0"/>
        <w:spacing w:before="120"/>
        <w:ind w:left="0" w:firstLine="0"/>
        <w:jc w:val="both"/>
        <w:rPr>
          <w:b w:val="0"/>
          <w:caps w:val="0"/>
          <w:snapToGrid w:val="0"/>
          <w:kern w:val="22"/>
          <w:szCs w:val="22"/>
          <w:lang w:val="en-GB"/>
        </w:rPr>
      </w:pPr>
      <w:r w:rsidRPr="00B358B9">
        <w:rPr>
          <w:rFonts w:eastAsia="MS Mincho"/>
          <w:b w:val="0"/>
          <w:caps w:val="0"/>
          <w:snapToGrid w:val="0"/>
          <w:kern w:val="22"/>
          <w:szCs w:val="22"/>
          <w:lang w:val="en-GB"/>
        </w:rPr>
        <w:t>The Executive Secretary issued</w:t>
      </w:r>
      <w:r w:rsidR="00161127" w:rsidRPr="00B358B9">
        <w:rPr>
          <w:rFonts w:eastAsia="MS Mincho"/>
          <w:b w:val="0"/>
          <w:caps w:val="0"/>
          <w:snapToGrid w:val="0"/>
          <w:kern w:val="22"/>
          <w:szCs w:val="22"/>
          <w:lang w:val="en-GB"/>
        </w:rPr>
        <w:t xml:space="preserve"> a </w:t>
      </w:r>
      <w:r w:rsidRPr="00B358B9">
        <w:rPr>
          <w:rFonts w:eastAsia="MS Mincho"/>
          <w:b w:val="0"/>
          <w:caps w:val="0"/>
          <w:snapToGrid w:val="0"/>
          <w:kern w:val="22"/>
          <w:szCs w:val="22"/>
          <w:lang w:val="en-GB"/>
        </w:rPr>
        <w:t>c</w:t>
      </w:r>
      <w:r w:rsidR="00161127" w:rsidRPr="00B358B9">
        <w:rPr>
          <w:rFonts w:eastAsia="MS Mincho"/>
          <w:b w:val="0"/>
          <w:caps w:val="0"/>
          <w:snapToGrid w:val="0"/>
          <w:kern w:val="22"/>
          <w:szCs w:val="22"/>
          <w:lang w:val="en-GB"/>
        </w:rPr>
        <w:t xml:space="preserve">ompilation of </w:t>
      </w:r>
      <w:r w:rsidR="000B2687" w:rsidRPr="00B358B9">
        <w:rPr>
          <w:rFonts w:eastAsia="MS Mincho"/>
          <w:b w:val="0"/>
          <w:caps w:val="0"/>
          <w:snapToGrid w:val="0"/>
          <w:kern w:val="22"/>
          <w:szCs w:val="22"/>
          <w:lang w:val="en-GB"/>
        </w:rPr>
        <w:t>v</w:t>
      </w:r>
      <w:r w:rsidR="00161127" w:rsidRPr="00B358B9">
        <w:rPr>
          <w:rFonts w:eastAsia="MS Mincho"/>
          <w:b w:val="0"/>
          <w:caps w:val="0"/>
          <w:snapToGrid w:val="0"/>
          <w:kern w:val="22"/>
          <w:szCs w:val="22"/>
          <w:lang w:val="en-GB"/>
        </w:rPr>
        <w:t xml:space="preserve">iews on </w:t>
      </w:r>
      <w:r w:rsidR="000B2687" w:rsidRPr="00B358B9">
        <w:rPr>
          <w:rFonts w:eastAsia="MS Mincho"/>
          <w:b w:val="0"/>
          <w:caps w:val="0"/>
          <w:snapToGrid w:val="0"/>
          <w:kern w:val="22"/>
          <w:szCs w:val="22"/>
          <w:lang w:val="en-GB"/>
        </w:rPr>
        <w:t>r</w:t>
      </w:r>
      <w:r w:rsidR="00161127" w:rsidRPr="00B358B9">
        <w:rPr>
          <w:rFonts w:eastAsia="MS Mincho"/>
          <w:b w:val="0"/>
          <w:caps w:val="0"/>
          <w:snapToGrid w:val="0"/>
          <w:kern w:val="22"/>
          <w:szCs w:val="22"/>
          <w:lang w:val="en-GB"/>
        </w:rPr>
        <w:t xml:space="preserve">esource </w:t>
      </w:r>
      <w:r w:rsidR="000B2687" w:rsidRPr="00B358B9">
        <w:rPr>
          <w:rFonts w:eastAsia="MS Mincho"/>
          <w:b w:val="0"/>
          <w:caps w:val="0"/>
          <w:snapToGrid w:val="0"/>
          <w:kern w:val="22"/>
          <w:szCs w:val="22"/>
          <w:lang w:val="en-GB"/>
        </w:rPr>
        <w:t>m</w:t>
      </w:r>
      <w:r w:rsidR="00161127" w:rsidRPr="00B358B9">
        <w:rPr>
          <w:rFonts w:eastAsia="MS Mincho"/>
          <w:b w:val="0"/>
          <w:caps w:val="0"/>
          <w:snapToGrid w:val="0"/>
          <w:kern w:val="22"/>
          <w:szCs w:val="22"/>
          <w:lang w:val="en-GB"/>
        </w:rPr>
        <w:t xml:space="preserve">obilization: </w:t>
      </w:r>
      <w:r w:rsidRPr="00B358B9">
        <w:rPr>
          <w:rFonts w:eastAsia="MS Mincho"/>
          <w:b w:val="0"/>
          <w:caps w:val="0"/>
          <w:snapToGrid w:val="0"/>
          <w:kern w:val="22"/>
          <w:szCs w:val="22"/>
          <w:lang w:val="en-GB"/>
        </w:rPr>
        <w:t>a</w:t>
      </w:r>
      <w:r w:rsidR="00161127" w:rsidRPr="00B358B9">
        <w:rPr>
          <w:rFonts w:eastAsia="MS Mincho"/>
          <w:b w:val="0"/>
          <w:caps w:val="0"/>
          <w:snapToGrid w:val="0"/>
          <w:kern w:val="22"/>
          <w:szCs w:val="22"/>
          <w:lang w:val="en-GB"/>
        </w:rPr>
        <w:t xml:space="preserve">ssessing the </w:t>
      </w:r>
      <w:r w:rsidRPr="00B358B9">
        <w:rPr>
          <w:rFonts w:eastAsia="MS Mincho"/>
          <w:b w:val="0"/>
          <w:caps w:val="0"/>
          <w:snapToGrid w:val="0"/>
          <w:kern w:val="22"/>
          <w:szCs w:val="22"/>
          <w:lang w:val="en-GB"/>
        </w:rPr>
        <w:t>c</w:t>
      </w:r>
      <w:r w:rsidR="00161127" w:rsidRPr="00B358B9">
        <w:rPr>
          <w:rFonts w:eastAsia="MS Mincho"/>
          <w:b w:val="0"/>
          <w:caps w:val="0"/>
          <w:snapToGrid w:val="0"/>
          <w:kern w:val="22"/>
          <w:szCs w:val="22"/>
          <w:lang w:val="en-GB"/>
        </w:rPr>
        <w:t xml:space="preserve">ontribution of </w:t>
      </w:r>
      <w:r w:rsidRPr="00B358B9">
        <w:rPr>
          <w:rFonts w:eastAsia="MS Mincho"/>
          <w:b w:val="0"/>
          <w:caps w:val="0"/>
          <w:snapToGrid w:val="0"/>
          <w:kern w:val="22"/>
          <w:szCs w:val="22"/>
          <w:lang w:val="en-GB"/>
        </w:rPr>
        <w:t>c</w:t>
      </w:r>
      <w:r w:rsidR="00161127" w:rsidRPr="00B358B9">
        <w:rPr>
          <w:rFonts w:eastAsia="MS Mincho"/>
          <w:b w:val="0"/>
          <w:caps w:val="0"/>
          <w:snapToGrid w:val="0"/>
          <w:kern w:val="22"/>
          <w:szCs w:val="22"/>
          <w:lang w:val="en-GB"/>
        </w:rPr>
        <w:t xml:space="preserve">ollective </w:t>
      </w:r>
      <w:r w:rsidRPr="00B358B9">
        <w:rPr>
          <w:rFonts w:eastAsia="MS Mincho"/>
          <w:b w:val="0"/>
          <w:caps w:val="0"/>
          <w:snapToGrid w:val="0"/>
          <w:kern w:val="22"/>
          <w:szCs w:val="22"/>
          <w:lang w:val="en-GB"/>
        </w:rPr>
        <w:t>a</w:t>
      </w:r>
      <w:r w:rsidR="00161127" w:rsidRPr="00B358B9">
        <w:rPr>
          <w:rFonts w:eastAsia="MS Mincho"/>
          <w:b w:val="0"/>
          <w:caps w:val="0"/>
          <w:snapToGrid w:val="0"/>
          <w:kern w:val="22"/>
          <w:szCs w:val="22"/>
          <w:lang w:val="en-GB"/>
        </w:rPr>
        <w:t xml:space="preserve">ctions of </w:t>
      </w:r>
      <w:r w:rsidRPr="00B358B9">
        <w:rPr>
          <w:rFonts w:eastAsia="MS Mincho"/>
          <w:b w:val="0"/>
          <w:caps w:val="0"/>
          <w:snapToGrid w:val="0"/>
          <w:kern w:val="22"/>
          <w:szCs w:val="22"/>
          <w:lang w:val="en-GB"/>
        </w:rPr>
        <w:t>i</w:t>
      </w:r>
      <w:r w:rsidR="00161127" w:rsidRPr="00B358B9">
        <w:rPr>
          <w:rFonts w:eastAsia="MS Mincho"/>
          <w:b w:val="0"/>
          <w:caps w:val="0"/>
          <w:snapToGrid w:val="0"/>
          <w:kern w:val="22"/>
          <w:szCs w:val="22"/>
          <w:lang w:val="en-GB"/>
        </w:rPr>
        <w:t xml:space="preserve">ndigenous </w:t>
      </w:r>
      <w:r w:rsidRPr="00B358B9">
        <w:rPr>
          <w:rFonts w:eastAsia="MS Mincho"/>
          <w:b w:val="0"/>
          <w:caps w:val="0"/>
          <w:snapToGrid w:val="0"/>
          <w:kern w:val="22"/>
          <w:szCs w:val="22"/>
          <w:lang w:val="en-GB"/>
        </w:rPr>
        <w:t>p</w:t>
      </w:r>
      <w:r w:rsidR="00161127" w:rsidRPr="00B358B9">
        <w:rPr>
          <w:rFonts w:eastAsia="MS Mincho"/>
          <w:b w:val="0"/>
          <w:caps w:val="0"/>
          <w:snapToGrid w:val="0"/>
          <w:kern w:val="22"/>
          <w:szCs w:val="22"/>
          <w:lang w:val="en-GB"/>
        </w:rPr>
        <w:t xml:space="preserve">eoples and </w:t>
      </w:r>
      <w:r w:rsidRPr="00B358B9">
        <w:rPr>
          <w:rFonts w:eastAsia="MS Mincho"/>
          <w:b w:val="0"/>
          <w:caps w:val="0"/>
          <w:snapToGrid w:val="0"/>
          <w:kern w:val="22"/>
          <w:szCs w:val="22"/>
          <w:lang w:val="en-GB"/>
        </w:rPr>
        <w:t>l</w:t>
      </w:r>
      <w:r w:rsidR="00161127" w:rsidRPr="00B358B9">
        <w:rPr>
          <w:rFonts w:eastAsia="MS Mincho"/>
          <w:b w:val="0"/>
          <w:caps w:val="0"/>
          <w:snapToGrid w:val="0"/>
          <w:kern w:val="22"/>
          <w:szCs w:val="22"/>
          <w:lang w:val="en-GB"/>
        </w:rPr>
        <w:t xml:space="preserve">ocal </w:t>
      </w:r>
      <w:r w:rsidRPr="00B358B9">
        <w:rPr>
          <w:rFonts w:eastAsia="MS Mincho"/>
          <w:b w:val="0"/>
          <w:caps w:val="0"/>
          <w:snapToGrid w:val="0"/>
          <w:kern w:val="22"/>
          <w:szCs w:val="22"/>
          <w:lang w:val="en-GB"/>
        </w:rPr>
        <w:t>c</w:t>
      </w:r>
      <w:r w:rsidR="00161127" w:rsidRPr="00B358B9">
        <w:rPr>
          <w:rFonts w:eastAsia="MS Mincho"/>
          <w:b w:val="0"/>
          <w:caps w:val="0"/>
          <w:snapToGrid w:val="0"/>
          <w:kern w:val="22"/>
          <w:szCs w:val="22"/>
          <w:lang w:val="en-GB"/>
        </w:rPr>
        <w:t xml:space="preserve">ommunities and </w:t>
      </w:r>
      <w:r w:rsidRPr="00B358B9">
        <w:rPr>
          <w:rFonts w:eastAsia="MS Mincho"/>
          <w:b w:val="0"/>
          <w:caps w:val="0"/>
          <w:snapToGrid w:val="0"/>
          <w:kern w:val="22"/>
          <w:szCs w:val="22"/>
          <w:lang w:val="en-GB"/>
        </w:rPr>
        <w:t>s</w:t>
      </w:r>
      <w:r w:rsidR="00161127" w:rsidRPr="00B358B9">
        <w:rPr>
          <w:rFonts w:eastAsia="MS Mincho"/>
          <w:b w:val="0"/>
          <w:caps w:val="0"/>
          <w:snapToGrid w:val="0"/>
          <w:kern w:val="22"/>
          <w:szCs w:val="22"/>
          <w:lang w:val="en-GB"/>
        </w:rPr>
        <w:t xml:space="preserve">afeguards in </w:t>
      </w:r>
      <w:r w:rsidRPr="00B358B9">
        <w:rPr>
          <w:rFonts w:eastAsia="MS Mincho"/>
          <w:b w:val="0"/>
          <w:caps w:val="0"/>
          <w:snapToGrid w:val="0"/>
          <w:kern w:val="22"/>
          <w:szCs w:val="22"/>
          <w:lang w:val="en-GB"/>
        </w:rPr>
        <w:t>b</w:t>
      </w:r>
      <w:r w:rsidR="00161127" w:rsidRPr="00B358B9">
        <w:rPr>
          <w:rFonts w:eastAsia="MS Mincho"/>
          <w:b w:val="0"/>
          <w:caps w:val="0"/>
          <w:snapToGrid w:val="0"/>
          <w:kern w:val="22"/>
          <w:szCs w:val="22"/>
          <w:lang w:val="en-GB"/>
        </w:rPr>
        <w:t xml:space="preserve">iodiversity </w:t>
      </w:r>
      <w:r w:rsidRPr="00B358B9">
        <w:rPr>
          <w:rFonts w:eastAsia="MS Mincho"/>
          <w:b w:val="0"/>
          <w:caps w:val="0"/>
          <w:snapToGrid w:val="0"/>
          <w:kern w:val="22"/>
          <w:szCs w:val="22"/>
          <w:lang w:val="en-GB"/>
        </w:rPr>
        <w:t>f</w:t>
      </w:r>
      <w:r w:rsidR="00161127" w:rsidRPr="00B358B9">
        <w:rPr>
          <w:rFonts w:eastAsia="MS Mincho"/>
          <w:b w:val="0"/>
          <w:caps w:val="0"/>
          <w:snapToGrid w:val="0"/>
          <w:kern w:val="22"/>
          <w:szCs w:val="22"/>
          <w:lang w:val="en-GB"/>
        </w:rPr>
        <w:t xml:space="preserve">inancing </w:t>
      </w:r>
      <w:r w:rsidRPr="00B358B9">
        <w:rPr>
          <w:rFonts w:eastAsia="MS Mincho"/>
          <w:b w:val="0"/>
          <w:caps w:val="0"/>
          <w:snapToGrid w:val="0"/>
          <w:kern w:val="22"/>
          <w:szCs w:val="22"/>
          <w:lang w:val="en-GB"/>
        </w:rPr>
        <w:t>m</w:t>
      </w:r>
      <w:r w:rsidR="00161127" w:rsidRPr="00B358B9">
        <w:rPr>
          <w:rFonts w:eastAsia="MS Mincho"/>
          <w:b w:val="0"/>
          <w:caps w:val="0"/>
          <w:snapToGrid w:val="0"/>
          <w:kern w:val="22"/>
          <w:szCs w:val="22"/>
          <w:lang w:val="en-GB"/>
        </w:rPr>
        <w:t>echanisms</w:t>
      </w:r>
      <w:r w:rsidR="00500857" w:rsidRPr="00B358B9">
        <w:rPr>
          <w:rStyle w:val="FootnoteReference"/>
          <w:rFonts w:eastAsia="MS Mincho"/>
          <w:b w:val="0"/>
          <w:caps w:val="0"/>
          <w:snapToGrid w:val="0"/>
          <w:kern w:val="22"/>
          <w:szCs w:val="22"/>
          <w:lang w:val="en-GB"/>
        </w:rPr>
        <w:footnoteReference w:id="7"/>
      </w:r>
      <w:r w:rsidRPr="00B358B9">
        <w:rPr>
          <w:rFonts w:eastAsia="MS Mincho"/>
          <w:b w:val="0"/>
          <w:caps w:val="0"/>
          <w:snapToGrid w:val="0"/>
          <w:kern w:val="22"/>
          <w:szCs w:val="22"/>
          <w:lang w:val="en-GB"/>
        </w:rPr>
        <w:t xml:space="preserve"> </w:t>
      </w:r>
      <w:r w:rsidR="00161127" w:rsidRPr="00B358B9">
        <w:rPr>
          <w:rFonts w:eastAsia="MS Mincho"/>
          <w:b w:val="0"/>
          <w:caps w:val="0"/>
          <w:snapToGrid w:val="0"/>
          <w:kern w:val="22"/>
          <w:szCs w:val="22"/>
          <w:lang w:val="en-GB"/>
        </w:rPr>
        <w:t>based on submissions received from Parties and other organizations</w:t>
      </w:r>
      <w:r w:rsidR="0022577B" w:rsidRPr="00B358B9">
        <w:rPr>
          <w:rFonts w:eastAsia="MS Mincho"/>
          <w:b w:val="0"/>
          <w:caps w:val="0"/>
          <w:snapToGrid w:val="0"/>
          <w:kern w:val="22"/>
          <w:szCs w:val="22"/>
          <w:lang w:val="en-GB"/>
        </w:rPr>
        <w:t>, in time for consideration by</w:t>
      </w:r>
      <w:r w:rsidR="00ED49FB" w:rsidRPr="00B358B9">
        <w:rPr>
          <w:rFonts w:eastAsia="MS Mincho"/>
          <w:b w:val="0"/>
          <w:caps w:val="0"/>
          <w:snapToGrid w:val="0"/>
          <w:kern w:val="22"/>
          <w:szCs w:val="22"/>
          <w:lang w:val="en-GB"/>
        </w:rPr>
        <w:t xml:space="preserve"> the Working Group on </w:t>
      </w:r>
      <w:r w:rsidR="0014176D" w:rsidRPr="00B358B9">
        <w:rPr>
          <w:rFonts w:eastAsia="MS Mincho"/>
          <w:b w:val="0"/>
          <w:caps w:val="0"/>
          <w:snapToGrid w:val="0"/>
          <w:kern w:val="22"/>
          <w:szCs w:val="22"/>
          <w:lang w:val="en-GB"/>
        </w:rPr>
        <w:t xml:space="preserve">Article </w:t>
      </w:r>
      <w:r w:rsidR="00ED49FB" w:rsidRPr="00B358B9">
        <w:rPr>
          <w:rFonts w:eastAsia="MS Mincho"/>
          <w:b w:val="0"/>
          <w:caps w:val="0"/>
          <w:snapToGrid w:val="0"/>
          <w:kern w:val="22"/>
          <w:szCs w:val="22"/>
          <w:lang w:val="en-GB"/>
        </w:rPr>
        <w:t xml:space="preserve">8(j) and </w:t>
      </w:r>
      <w:r w:rsidR="00500857" w:rsidRPr="00B358B9">
        <w:rPr>
          <w:rFonts w:eastAsia="MS Mincho"/>
          <w:b w:val="0"/>
          <w:caps w:val="0"/>
          <w:snapToGrid w:val="0"/>
          <w:kern w:val="22"/>
          <w:szCs w:val="22"/>
          <w:lang w:val="en-GB"/>
        </w:rPr>
        <w:t>R</w:t>
      </w:r>
      <w:r w:rsidR="00ED49FB" w:rsidRPr="00B358B9">
        <w:rPr>
          <w:rFonts w:eastAsia="MS Mincho"/>
          <w:b w:val="0"/>
          <w:caps w:val="0"/>
          <w:snapToGrid w:val="0"/>
          <w:kern w:val="22"/>
          <w:szCs w:val="22"/>
          <w:lang w:val="en-GB"/>
        </w:rPr>
        <w:t xml:space="preserve">elated </w:t>
      </w:r>
      <w:r w:rsidR="00500857" w:rsidRPr="00B358B9">
        <w:rPr>
          <w:rFonts w:eastAsia="MS Mincho"/>
          <w:b w:val="0"/>
          <w:caps w:val="0"/>
          <w:snapToGrid w:val="0"/>
          <w:kern w:val="22"/>
          <w:szCs w:val="22"/>
          <w:lang w:val="en-GB"/>
        </w:rPr>
        <w:t>P</w:t>
      </w:r>
      <w:r w:rsidR="00ED49FB" w:rsidRPr="00B358B9">
        <w:rPr>
          <w:rFonts w:eastAsia="MS Mincho"/>
          <w:b w:val="0"/>
          <w:caps w:val="0"/>
          <w:snapToGrid w:val="0"/>
          <w:kern w:val="22"/>
          <w:szCs w:val="22"/>
          <w:lang w:val="en-GB"/>
        </w:rPr>
        <w:t>rovisions at its tenth meeting</w:t>
      </w:r>
      <w:r w:rsidR="00161127" w:rsidRPr="00B358B9">
        <w:rPr>
          <w:rFonts w:eastAsia="MS Mincho"/>
          <w:b w:val="0"/>
          <w:caps w:val="0"/>
          <w:snapToGrid w:val="0"/>
          <w:kern w:val="22"/>
          <w:szCs w:val="22"/>
          <w:lang w:val="en-GB"/>
        </w:rPr>
        <w:t xml:space="preserve">. </w:t>
      </w:r>
      <w:r w:rsidR="00ED49FB" w:rsidRPr="00B358B9">
        <w:rPr>
          <w:b w:val="0"/>
          <w:caps w:val="0"/>
          <w:snapToGrid w:val="0"/>
          <w:kern w:val="22"/>
          <w:szCs w:val="22"/>
          <w:lang w:val="en-GB"/>
        </w:rPr>
        <w:t>At that time</w:t>
      </w:r>
      <w:r w:rsidR="000C57A3" w:rsidRPr="00B358B9">
        <w:rPr>
          <w:b w:val="0"/>
          <w:caps w:val="0"/>
          <w:snapToGrid w:val="0"/>
          <w:kern w:val="22"/>
          <w:szCs w:val="22"/>
          <w:lang w:val="en-GB"/>
        </w:rPr>
        <w:t>,</w:t>
      </w:r>
      <w:r w:rsidR="00ED49FB" w:rsidRPr="00B358B9">
        <w:rPr>
          <w:b w:val="0"/>
          <w:caps w:val="0"/>
          <w:snapToGrid w:val="0"/>
          <w:kern w:val="22"/>
          <w:szCs w:val="22"/>
          <w:lang w:val="en-GB"/>
        </w:rPr>
        <w:t xml:space="preserve"> t</w:t>
      </w:r>
      <w:r w:rsidR="00B12652" w:rsidRPr="00B358B9">
        <w:rPr>
          <w:b w:val="0"/>
          <w:caps w:val="0"/>
          <w:snapToGrid w:val="0"/>
          <w:kern w:val="22"/>
          <w:szCs w:val="22"/>
          <w:lang w:val="en-GB"/>
        </w:rPr>
        <w:t>wo submissions were received from</w:t>
      </w:r>
      <w:r w:rsidR="00600CBE" w:rsidRPr="00B358B9">
        <w:rPr>
          <w:b w:val="0"/>
          <w:caps w:val="0"/>
          <w:snapToGrid w:val="0"/>
          <w:kern w:val="22"/>
          <w:szCs w:val="22"/>
          <w:lang w:val="en-GB"/>
        </w:rPr>
        <w:t xml:space="preserve"> Parties and four from other relevant organizations</w:t>
      </w:r>
      <w:r w:rsidR="00B12652" w:rsidRPr="00B358B9">
        <w:rPr>
          <w:b w:val="0"/>
          <w:caps w:val="0"/>
          <w:snapToGrid w:val="0"/>
          <w:kern w:val="22"/>
          <w:szCs w:val="22"/>
          <w:lang w:val="en-GB"/>
        </w:rPr>
        <w:t>,</w:t>
      </w:r>
      <w:r w:rsidR="00600CBE" w:rsidRPr="00B358B9">
        <w:rPr>
          <w:b w:val="0"/>
          <w:caps w:val="0"/>
          <w:snapToGrid w:val="0"/>
          <w:kern w:val="22"/>
          <w:szCs w:val="22"/>
          <w:lang w:val="en-GB"/>
        </w:rPr>
        <w:t xml:space="preserve"> with information and views about safeguards in biodiversity financing mechanisms.</w:t>
      </w:r>
      <w:r w:rsidR="00600CBE" w:rsidRPr="00B358B9">
        <w:rPr>
          <w:rStyle w:val="FootnoteReference"/>
          <w:b w:val="0"/>
          <w:caps w:val="0"/>
          <w:snapToGrid w:val="0"/>
          <w:kern w:val="22"/>
          <w:szCs w:val="22"/>
          <w:lang w:val="en-GB"/>
        </w:rPr>
        <w:footnoteReference w:id="8"/>
      </w:r>
    </w:p>
    <w:p w14:paraId="78899DAD" w14:textId="0DF5E821" w:rsidR="00FB406C" w:rsidRPr="00B358B9" w:rsidRDefault="00ED49FB"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lang w:eastAsia="ko-KR"/>
        </w:rPr>
      </w:pPr>
      <w:r w:rsidRPr="00891479">
        <w:rPr>
          <w:kern w:val="22"/>
          <w:szCs w:val="22"/>
        </w:rPr>
        <w:t xml:space="preserve">In response to </w:t>
      </w:r>
      <w:r w:rsidR="00A43AB9">
        <w:rPr>
          <w:kern w:val="22"/>
          <w:szCs w:val="22"/>
        </w:rPr>
        <w:t xml:space="preserve">a </w:t>
      </w:r>
      <w:r w:rsidRPr="00891479">
        <w:rPr>
          <w:kern w:val="22"/>
          <w:szCs w:val="22"/>
        </w:rPr>
        <w:t xml:space="preserve">notification </w:t>
      </w:r>
      <w:r w:rsidR="00A43AB9" w:rsidRPr="00891479">
        <w:rPr>
          <w:iCs/>
          <w:kern w:val="22"/>
          <w:szCs w:val="22"/>
        </w:rPr>
        <w:t>dated 15 January 2018</w:t>
      </w:r>
      <w:r w:rsidR="00500857" w:rsidRPr="00B358B9">
        <w:rPr>
          <w:rStyle w:val="FootnoteReference"/>
          <w:color w:val="333333"/>
          <w:kern w:val="22"/>
          <w:szCs w:val="22"/>
        </w:rPr>
        <w:footnoteReference w:id="9"/>
      </w:r>
      <w:r w:rsidR="0097311A" w:rsidRPr="00891479">
        <w:rPr>
          <w:kern w:val="22"/>
          <w:szCs w:val="22"/>
        </w:rPr>
        <w:t xml:space="preserve"> which provided an opportunity for additional views</w:t>
      </w:r>
      <w:r w:rsidRPr="00891479">
        <w:rPr>
          <w:kern w:val="22"/>
          <w:szCs w:val="22"/>
        </w:rPr>
        <w:t xml:space="preserve"> </w:t>
      </w:r>
      <w:r w:rsidR="0097311A" w:rsidRPr="00891479">
        <w:rPr>
          <w:kern w:val="22"/>
          <w:szCs w:val="22"/>
        </w:rPr>
        <w:t>in order to revise the document for further consideration by the second meeting of the Subsidiary Body on Implementation, views were receive</w:t>
      </w:r>
      <w:r w:rsidR="00C22084" w:rsidRPr="00891479">
        <w:rPr>
          <w:kern w:val="22"/>
          <w:szCs w:val="22"/>
        </w:rPr>
        <w:t>d</w:t>
      </w:r>
      <w:r w:rsidR="0097311A" w:rsidRPr="00891479">
        <w:rPr>
          <w:kern w:val="22"/>
          <w:szCs w:val="22"/>
        </w:rPr>
        <w:t xml:space="preserve"> from</w:t>
      </w:r>
      <w:r w:rsidR="00813843" w:rsidRPr="00B358B9">
        <w:rPr>
          <w:kern w:val="22"/>
          <w:szCs w:val="22"/>
        </w:rPr>
        <w:t xml:space="preserve"> </w:t>
      </w:r>
      <w:r w:rsidR="0078292D" w:rsidRPr="00B358B9">
        <w:rPr>
          <w:kern w:val="22"/>
          <w:szCs w:val="22"/>
        </w:rPr>
        <w:t xml:space="preserve">the </w:t>
      </w:r>
      <w:r w:rsidR="00813843" w:rsidRPr="00B358B9">
        <w:rPr>
          <w:kern w:val="22"/>
          <w:szCs w:val="22"/>
        </w:rPr>
        <w:t>United States of America and the Foundation for Aboriginal and Islander Research Action (Australia).</w:t>
      </w:r>
      <w:r w:rsidR="00407D60" w:rsidRPr="00B358B9">
        <w:rPr>
          <w:kern w:val="22"/>
          <w:szCs w:val="22"/>
        </w:rPr>
        <w:t xml:space="preserve"> </w:t>
      </w:r>
      <w:r w:rsidR="00813843" w:rsidRPr="00B358B9">
        <w:rPr>
          <w:kern w:val="22"/>
          <w:szCs w:val="22"/>
        </w:rPr>
        <w:t xml:space="preserve">The additional comments received </w:t>
      </w:r>
      <w:r w:rsidR="00C22084" w:rsidRPr="00B358B9">
        <w:rPr>
          <w:kern w:val="22"/>
          <w:szCs w:val="22"/>
        </w:rPr>
        <w:t xml:space="preserve">were </w:t>
      </w:r>
      <w:r w:rsidR="00813843" w:rsidRPr="00B358B9">
        <w:rPr>
          <w:kern w:val="22"/>
          <w:szCs w:val="22"/>
        </w:rPr>
        <w:t>inc</w:t>
      </w:r>
      <w:r w:rsidR="00676857" w:rsidRPr="00B358B9">
        <w:rPr>
          <w:kern w:val="22"/>
          <w:szCs w:val="22"/>
        </w:rPr>
        <w:t>orporated into</w:t>
      </w:r>
      <w:r w:rsidR="00813843" w:rsidRPr="00B358B9">
        <w:rPr>
          <w:kern w:val="22"/>
          <w:szCs w:val="22"/>
        </w:rPr>
        <w:t xml:space="preserve"> </w:t>
      </w:r>
      <w:r w:rsidR="00C22084" w:rsidRPr="00B358B9">
        <w:rPr>
          <w:kern w:val="22"/>
          <w:szCs w:val="22"/>
        </w:rPr>
        <w:t xml:space="preserve">the remainder of this </w:t>
      </w:r>
      <w:r w:rsidR="00813843" w:rsidRPr="00B358B9">
        <w:rPr>
          <w:kern w:val="22"/>
          <w:szCs w:val="22"/>
        </w:rPr>
        <w:t>section.</w:t>
      </w:r>
    </w:p>
    <w:p w14:paraId="5272FEAA" w14:textId="61510D3F" w:rsidR="00600CBE" w:rsidRPr="00B358B9" w:rsidRDefault="00600CBE"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lang w:eastAsia="ko-KR"/>
        </w:rPr>
      </w:pPr>
      <w:r w:rsidRPr="00B358B9">
        <w:rPr>
          <w:rFonts w:eastAsia="Batang"/>
          <w:kern w:val="22"/>
          <w:szCs w:val="22"/>
          <w:lang w:eastAsia="ko-KR"/>
        </w:rPr>
        <w:lastRenderedPageBreak/>
        <w:t xml:space="preserve">For the European Union and its Member States, the </w:t>
      </w:r>
      <w:r w:rsidR="00F80FC6" w:rsidRPr="00B358B9">
        <w:rPr>
          <w:rFonts w:eastAsia="Batang"/>
          <w:kern w:val="22"/>
          <w:szCs w:val="22"/>
          <w:lang w:eastAsia="ko-KR"/>
        </w:rPr>
        <w:t>voluntary guidelines</w:t>
      </w:r>
      <w:r w:rsidRPr="00B358B9">
        <w:rPr>
          <w:rFonts w:eastAsia="Batang"/>
          <w:kern w:val="22"/>
          <w:szCs w:val="22"/>
          <w:lang w:eastAsia="ko-KR"/>
        </w:rPr>
        <w:t xml:space="preserve"> on biodiversity safeguards represent important </w:t>
      </w:r>
      <w:r w:rsidRPr="00B358B9">
        <w:rPr>
          <w:rFonts w:eastAsia="MS Mincho"/>
          <w:kern w:val="22"/>
          <w:szCs w:val="22"/>
        </w:rPr>
        <w:t>progress</w:t>
      </w:r>
      <w:r w:rsidRPr="00B358B9">
        <w:rPr>
          <w:rFonts w:eastAsia="Batang"/>
          <w:kern w:val="22"/>
          <w:szCs w:val="22"/>
          <w:lang w:eastAsia="ko-KR"/>
        </w:rPr>
        <w:t xml:space="preserve"> in addressing effectively the potential impacts of biodiversity financing mechanisms on biodiversity and on the rights and livelihoods of indigenous peoples and local communities. Now that they have been adopted, the </w:t>
      </w:r>
      <w:r w:rsidR="00F80FC6" w:rsidRPr="00B358B9">
        <w:rPr>
          <w:rFonts w:eastAsia="Batang"/>
          <w:kern w:val="22"/>
          <w:szCs w:val="22"/>
          <w:lang w:eastAsia="ko-KR"/>
        </w:rPr>
        <w:t>voluntary guidelines</w:t>
      </w:r>
      <w:r w:rsidRPr="00B358B9">
        <w:rPr>
          <w:rFonts w:eastAsia="Batang"/>
          <w:kern w:val="22"/>
          <w:szCs w:val="22"/>
          <w:lang w:eastAsia="ko-KR"/>
        </w:rPr>
        <w:t xml:space="preserve"> need to be piloted and implemented in practice.</w:t>
      </w:r>
    </w:p>
    <w:p w14:paraId="20A0B3AD" w14:textId="75FE35D5" w:rsidR="00600CBE" w:rsidRPr="00B358B9" w:rsidRDefault="00600CBE"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lang w:eastAsia="ko-KR"/>
        </w:rPr>
      </w:pPr>
      <w:r w:rsidRPr="00B358B9">
        <w:rPr>
          <w:rFonts w:eastAsia="Batang"/>
          <w:kern w:val="22"/>
          <w:szCs w:val="22"/>
          <w:lang w:eastAsia="ko-KR"/>
        </w:rPr>
        <w:t xml:space="preserve">Sweden and the Swedish institutions </w:t>
      </w:r>
      <w:proofErr w:type="spellStart"/>
      <w:r w:rsidRPr="00B358B9">
        <w:rPr>
          <w:rFonts w:eastAsia="Batang"/>
          <w:kern w:val="22"/>
          <w:szCs w:val="22"/>
          <w:lang w:eastAsia="ko-KR"/>
        </w:rPr>
        <w:t>SwedBio</w:t>
      </w:r>
      <w:proofErr w:type="spellEnd"/>
      <w:r w:rsidRPr="00B358B9">
        <w:rPr>
          <w:rFonts w:eastAsia="Batang"/>
          <w:kern w:val="22"/>
          <w:szCs w:val="22"/>
          <w:lang w:eastAsia="ko-KR"/>
        </w:rPr>
        <w:t xml:space="preserve"> and Stockholm Resilience Centre were important players in the process leading to adoption of the </w:t>
      </w:r>
      <w:r w:rsidR="00F80FC6" w:rsidRPr="00B358B9">
        <w:rPr>
          <w:rFonts w:eastAsia="Batang"/>
          <w:kern w:val="22"/>
          <w:szCs w:val="22"/>
          <w:lang w:eastAsia="ko-KR"/>
        </w:rPr>
        <w:t>voluntary guidelines</w:t>
      </w:r>
      <w:r w:rsidRPr="00B358B9">
        <w:rPr>
          <w:rFonts w:eastAsia="Batang"/>
          <w:kern w:val="22"/>
          <w:szCs w:val="22"/>
          <w:lang w:eastAsia="ko-KR"/>
        </w:rPr>
        <w:t xml:space="preserve"> at the twelfth meeting of the Conference of the Parties, since they engaged in research and a wide consultative process to provide inputs into the CBD process. Sweden’s Programme for Global Development (PGU) to support </w:t>
      </w:r>
      <w:r w:rsidR="004E7125" w:rsidRPr="00B358B9">
        <w:rPr>
          <w:rFonts w:eastAsia="Batang"/>
          <w:kern w:val="22"/>
          <w:szCs w:val="22"/>
          <w:lang w:eastAsia="ko-KR"/>
        </w:rPr>
        <w:t xml:space="preserve">the </w:t>
      </w:r>
      <w:r w:rsidRPr="00B358B9">
        <w:rPr>
          <w:rFonts w:eastAsia="Batang"/>
          <w:kern w:val="22"/>
          <w:szCs w:val="22"/>
          <w:lang w:eastAsia="ko-KR"/>
        </w:rPr>
        <w:t xml:space="preserve">implementation of </w:t>
      </w:r>
      <w:r w:rsidR="008F6CB9" w:rsidRPr="00B358B9">
        <w:rPr>
          <w:rFonts w:eastAsia="Batang"/>
          <w:kern w:val="22"/>
          <w:szCs w:val="22"/>
          <w:lang w:eastAsia="ko-KR"/>
        </w:rPr>
        <w:t xml:space="preserve">the </w:t>
      </w:r>
      <w:r w:rsidRPr="00B358B9">
        <w:rPr>
          <w:rFonts w:eastAsia="Batang"/>
          <w:kern w:val="22"/>
          <w:szCs w:val="22"/>
          <w:lang w:eastAsia="ko-KR"/>
        </w:rPr>
        <w:t>2030</w:t>
      </w:r>
      <w:r w:rsidR="008F6CB9" w:rsidRPr="00B358B9">
        <w:rPr>
          <w:rFonts w:eastAsia="Batang"/>
          <w:kern w:val="22"/>
          <w:szCs w:val="22"/>
          <w:lang w:eastAsia="ko-KR"/>
        </w:rPr>
        <w:t xml:space="preserve"> Agenda for Sustainable Development</w:t>
      </w:r>
      <w:r w:rsidR="009F63B7" w:rsidRPr="00B358B9">
        <w:rPr>
          <w:rStyle w:val="FootnoteReference"/>
          <w:rFonts w:eastAsia="Batang"/>
          <w:kern w:val="22"/>
          <w:szCs w:val="22"/>
          <w:lang w:eastAsia="ko-KR"/>
        </w:rPr>
        <w:footnoteReference w:id="10"/>
      </w:r>
      <w:r w:rsidRPr="00B358B9">
        <w:rPr>
          <w:rFonts w:eastAsia="Batang"/>
          <w:kern w:val="22"/>
          <w:szCs w:val="22"/>
          <w:lang w:eastAsia="ko-KR"/>
        </w:rPr>
        <w:t xml:space="preserve"> aims </w:t>
      </w:r>
      <w:r w:rsidRPr="00B358B9">
        <w:rPr>
          <w:rFonts w:eastAsia="MS Mincho"/>
          <w:kern w:val="22"/>
          <w:szCs w:val="22"/>
        </w:rPr>
        <w:t>to</w:t>
      </w:r>
      <w:r w:rsidRPr="00B358B9">
        <w:rPr>
          <w:rFonts w:eastAsia="Batang"/>
          <w:kern w:val="22"/>
          <w:szCs w:val="22"/>
          <w:lang w:eastAsia="ko-KR"/>
        </w:rPr>
        <w:t xml:space="preserve"> strengthen policy coherence in that process by putting sustainability, human rights and the perspective of poor people at the centre. Sweden’s Sami Parliament is also highly engaged in the work on </w:t>
      </w:r>
      <w:r w:rsidR="004D1C53" w:rsidRPr="00B358B9">
        <w:rPr>
          <w:rFonts w:eastAsia="Batang"/>
          <w:kern w:val="22"/>
          <w:szCs w:val="22"/>
          <w:lang w:eastAsia="ko-KR"/>
        </w:rPr>
        <w:t>the 2030 Agenda</w:t>
      </w:r>
      <w:r w:rsidRPr="00B358B9">
        <w:rPr>
          <w:rFonts w:eastAsia="Batang"/>
          <w:kern w:val="22"/>
          <w:szCs w:val="22"/>
          <w:lang w:eastAsia="ko-KR"/>
        </w:rPr>
        <w:t xml:space="preserve"> with a holistic perspective to</w:t>
      </w:r>
      <w:r w:rsidR="002F7428" w:rsidRPr="00B358B9">
        <w:rPr>
          <w:rFonts w:eastAsia="Batang"/>
          <w:kern w:val="22"/>
          <w:szCs w:val="22"/>
          <w:lang w:eastAsia="ko-KR"/>
        </w:rPr>
        <w:t>wards</w:t>
      </w:r>
      <w:r w:rsidRPr="00B358B9">
        <w:rPr>
          <w:rFonts w:eastAsia="Batang"/>
          <w:kern w:val="22"/>
          <w:szCs w:val="22"/>
          <w:lang w:eastAsia="ko-KR"/>
        </w:rPr>
        <w:t xml:space="preserve"> sustainability, </w:t>
      </w:r>
      <w:r w:rsidR="002F7428" w:rsidRPr="00B358B9">
        <w:rPr>
          <w:rFonts w:eastAsia="Batang"/>
          <w:kern w:val="22"/>
          <w:szCs w:val="22"/>
          <w:lang w:eastAsia="ko-KR"/>
        </w:rPr>
        <w:t xml:space="preserve">in </w:t>
      </w:r>
      <w:r w:rsidRPr="00B358B9">
        <w:rPr>
          <w:rFonts w:eastAsia="Batang"/>
          <w:kern w:val="22"/>
          <w:szCs w:val="22"/>
          <w:lang w:eastAsia="ko-KR"/>
        </w:rPr>
        <w:t xml:space="preserve">the spirit of the </w:t>
      </w:r>
      <w:r w:rsidR="00F80FC6" w:rsidRPr="00B358B9">
        <w:rPr>
          <w:rFonts w:eastAsia="Batang"/>
          <w:kern w:val="22"/>
          <w:szCs w:val="22"/>
          <w:lang w:eastAsia="ko-KR"/>
        </w:rPr>
        <w:t>voluntary guidelines</w:t>
      </w:r>
      <w:r w:rsidRPr="00B358B9">
        <w:rPr>
          <w:rFonts w:eastAsia="Batang"/>
          <w:kern w:val="22"/>
          <w:szCs w:val="22"/>
          <w:lang w:eastAsia="ko-KR"/>
        </w:rPr>
        <w:t>.</w:t>
      </w:r>
    </w:p>
    <w:p w14:paraId="5019A73F" w14:textId="00EFAF09" w:rsidR="00676857" w:rsidRPr="00B358B9" w:rsidRDefault="00676857"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lang w:eastAsia="ko-KR"/>
        </w:rPr>
      </w:pPr>
      <w:r w:rsidRPr="00B358B9">
        <w:rPr>
          <w:rFonts w:eastAsia="Batang"/>
          <w:kern w:val="22"/>
          <w:szCs w:val="22"/>
          <w:lang w:eastAsia="ko-KR"/>
        </w:rPr>
        <w:t xml:space="preserve">The Government of </w:t>
      </w:r>
      <w:r w:rsidR="0078292D" w:rsidRPr="00B358B9">
        <w:rPr>
          <w:rFonts w:eastAsia="Batang"/>
          <w:kern w:val="22"/>
          <w:szCs w:val="22"/>
          <w:lang w:eastAsia="ko-KR"/>
        </w:rPr>
        <w:t xml:space="preserve">the </w:t>
      </w:r>
      <w:r w:rsidRPr="00B358B9">
        <w:rPr>
          <w:rFonts w:eastAsia="Batang"/>
          <w:kern w:val="22"/>
          <w:szCs w:val="22"/>
          <w:lang w:eastAsia="ko-KR"/>
        </w:rPr>
        <w:t>United States of America</w:t>
      </w:r>
      <w:r w:rsidR="002F7428" w:rsidRPr="00B358B9">
        <w:rPr>
          <w:rStyle w:val="FootnoteReference"/>
          <w:rFonts w:eastAsia="Batang"/>
          <w:kern w:val="22"/>
          <w:szCs w:val="22"/>
          <w:lang w:eastAsia="ko-KR"/>
        </w:rPr>
        <w:footnoteReference w:id="11"/>
      </w:r>
      <w:r w:rsidRPr="00B358B9">
        <w:rPr>
          <w:rFonts w:eastAsia="Batang"/>
          <w:kern w:val="22"/>
          <w:szCs w:val="22"/>
          <w:lang w:eastAsia="ko-KR"/>
        </w:rPr>
        <w:t xml:space="preserve"> </w:t>
      </w:r>
      <w:r w:rsidRPr="00891479">
        <w:rPr>
          <w:iCs/>
          <w:kern w:val="22"/>
          <w:szCs w:val="22"/>
        </w:rPr>
        <w:t>provide</w:t>
      </w:r>
      <w:r w:rsidR="00F97D93" w:rsidRPr="00891479">
        <w:rPr>
          <w:iCs/>
          <w:kern w:val="22"/>
          <w:szCs w:val="22"/>
        </w:rPr>
        <w:t>d</w:t>
      </w:r>
      <w:r w:rsidRPr="00891479">
        <w:rPr>
          <w:iCs/>
          <w:kern w:val="22"/>
          <w:szCs w:val="22"/>
        </w:rPr>
        <w:t xml:space="preserve"> some textual advice to improve the suggested recommendation.</w:t>
      </w:r>
    </w:p>
    <w:p w14:paraId="03320CF5" w14:textId="4C557510" w:rsidR="00FB406C" w:rsidRPr="00B358B9" w:rsidRDefault="00600CBE"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lang w:eastAsia="ko-KR"/>
        </w:rPr>
      </w:pPr>
      <w:r w:rsidRPr="00B358B9">
        <w:rPr>
          <w:rFonts w:eastAsia="Batang"/>
          <w:kern w:val="22"/>
          <w:szCs w:val="22"/>
          <w:lang w:eastAsia="ko-KR"/>
        </w:rPr>
        <w:t xml:space="preserve">The Forest Peoples Programme and several IIFB member organizations stressed three key requirements for working on financial </w:t>
      </w:r>
      <w:r w:rsidRPr="00B358B9">
        <w:rPr>
          <w:rFonts w:eastAsia="MS Mincho"/>
          <w:kern w:val="22"/>
          <w:szCs w:val="22"/>
        </w:rPr>
        <w:t>mechanisms</w:t>
      </w:r>
      <w:r w:rsidRPr="00B358B9">
        <w:rPr>
          <w:rFonts w:eastAsia="Batang"/>
          <w:kern w:val="22"/>
          <w:szCs w:val="22"/>
          <w:lang w:eastAsia="ko-KR"/>
        </w:rPr>
        <w:t xml:space="preserve"> with a safeguard perspective: (</w:t>
      </w:r>
      <w:r w:rsidR="00CC4C9A" w:rsidRPr="00B358B9">
        <w:rPr>
          <w:rFonts w:eastAsia="Batang"/>
          <w:kern w:val="22"/>
          <w:szCs w:val="22"/>
          <w:lang w:eastAsia="ko-KR"/>
        </w:rPr>
        <w:t>a</w:t>
      </w:r>
      <w:r w:rsidRPr="00B358B9">
        <w:rPr>
          <w:rFonts w:eastAsia="Batang"/>
          <w:kern w:val="22"/>
          <w:szCs w:val="22"/>
          <w:lang w:eastAsia="ko-KR"/>
        </w:rPr>
        <w:t>) to provide clear and transparent information, (</w:t>
      </w:r>
      <w:r w:rsidR="00CC4C9A" w:rsidRPr="00B358B9">
        <w:rPr>
          <w:rFonts w:eastAsia="Batang"/>
          <w:kern w:val="22"/>
          <w:szCs w:val="22"/>
          <w:lang w:eastAsia="ko-KR"/>
        </w:rPr>
        <w:t>b</w:t>
      </w:r>
      <w:r w:rsidRPr="00B358B9">
        <w:rPr>
          <w:rFonts w:eastAsia="Batang"/>
          <w:kern w:val="22"/>
          <w:szCs w:val="22"/>
          <w:lang w:eastAsia="ko-KR"/>
        </w:rPr>
        <w:t>) to work in appropriate methodologies with an indigenous perspective, (</w:t>
      </w:r>
      <w:r w:rsidR="00CC4C9A" w:rsidRPr="00B358B9">
        <w:rPr>
          <w:rFonts w:eastAsia="Batang"/>
          <w:kern w:val="22"/>
          <w:szCs w:val="22"/>
          <w:lang w:eastAsia="ko-KR"/>
        </w:rPr>
        <w:t>c</w:t>
      </w:r>
      <w:r w:rsidRPr="00B358B9">
        <w:rPr>
          <w:rFonts w:eastAsia="Batang"/>
          <w:kern w:val="22"/>
          <w:szCs w:val="22"/>
          <w:lang w:eastAsia="ko-KR"/>
        </w:rPr>
        <w:t xml:space="preserve">) to undertake research aimed to the protection of traditional knowledge, </w:t>
      </w:r>
      <w:r w:rsidR="00586F9C" w:rsidRPr="00B358B9">
        <w:rPr>
          <w:rFonts w:eastAsia="Batang"/>
          <w:kern w:val="22"/>
          <w:szCs w:val="22"/>
          <w:lang w:eastAsia="ko-KR"/>
        </w:rPr>
        <w:t xml:space="preserve">based on </w:t>
      </w:r>
      <w:r w:rsidRPr="00B358B9">
        <w:rPr>
          <w:rFonts w:eastAsia="Batang"/>
          <w:kern w:val="22"/>
          <w:szCs w:val="22"/>
          <w:lang w:eastAsia="ko-KR"/>
        </w:rPr>
        <w:t>the experience of the communities themselves.</w:t>
      </w:r>
    </w:p>
    <w:p w14:paraId="3227CA27" w14:textId="72EB3B9E" w:rsidR="00DB18B2" w:rsidRPr="00B358B9" w:rsidRDefault="00DB18B2"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lang w:eastAsia="ko-KR"/>
        </w:rPr>
      </w:pPr>
      <w:r w:rsidRPr="00B358B9">
        <w:rPr>
          <w:kern w:val="22"/>
          <w:szCs w:val="22"/>
        </w:rPr>
        <w:t xml:space="preserve">The Foundation for Aboriginal and Islander Research Action (FAIRA) recommended the development of a </w:t>
      </w:r>
      <w:r w:rsidRPr="00891479">
        <w:rPr>
          <w:iCs/>
          <w:kern w:val="22"/>
          <w:szCs w:val="22"/>
        </w:rPr>
        <w:t>possible element of work in the post</w:t>
      </w:r>
      <w:r w:rsidR="000C57A3" w:rsidRPr="00891479">
        <w:rPr>
          <w:iCs/>
          <w:kern w:val="22"/>
          <w:szCs w:val="22"/>
        </w:rPr>
        <w:t>-</w:t>
      </w:r>
      <w:r w:rsidRPr="00891479">
        <w:rPr>
          <w:iCs/>
          <w:kern w:val="22"/>
          <w:szCs w:val="22"/>
        </w:rPr>
        <w:t xml:space="preserve">2020 </w:t>
      </w:r>
      <w:r w:rsidR="000C57A3" w:rsidRPr="00891479">
        <w:rPr>
          <w:iCs/>
          <w:kern w:val="22"/>
          <w:szCs w:val="22"/>
        </w:rPr>
        <w:t>b</w:t>
      </w:r>
      <w:r w:rsidRPr="00891479">
        <w:rPr>
          <w:iCs/>
          <w:kern w:val="22"/>
          <w:szCs w:val="22"/>
        </w:rPr>
        <w:t xml:space="preserve">iodiversity </w:t>
      </w:r>
      <w:r w:rsidR="000C57A3" w:rsidRPr="00891479">
        <w:rPr>
          <w:iCs/>
          <w:kern w:val="22"/>
          <w:szCs w:val="22"/>
        </w:rPr>
        <w:t>f</w:t>
      </w:r>
      <w:r w:rsidRPr="00891479">
        <w:rPr>
          <w:iCs/>
          <w:kern w:val="22"/>
          <w:szCs w:val="22"/>
        </w:rPr>
        <w:t xml:space="preserve">ramework’s fully integrated programme of work for </w:t>
      </w:r>
      <w:r w:rsidR="0078292D" w:rsidRPr="00891479">
        <w:rPr>
          <w:iCs/>
          <w:kern w:val="22"/>
          <w:szCs w:val="22"/>
        </w:rPr>
        <w:t>A</w:t>
      </w:r>
      <w:r w:rsidRPr="00891479">
        <w:rPr>
          <w:iCs/>
          <w:kern w:val="22"/>
          <w:szCs w:val="22"/>
        </w:rPr>
        <w:t xml:space="preserve">rticle 8(j) and related provisions, of a </w:t>
      </w:r>
      <w:r w:rsidRPr="00B358B9">
        <w:rPr>
          <w:kern w:val="22"/>
          <w:szCs w:val="22"/>
        </w:rPr>
        <w:t xml:space="preserve">specific </w:t>
      </w:r>
      <w:r w:rsidR="000C57A3" w:rsidRPr="00B358B9">
        <w:rPr>
          <w:kern w:val="22"/>
          <w:szCs w:val="22"/>
        </w:rPr>
        <w:t>s</w:t>
      </w:r>
      <w:r w:rsidRPr="00B358B9">
        <w:rPr>
          <w:kern w:val="22"/>
          <w:szCs w:val="22"/>
        </w:rPr>
        <w:t xml:space="preserve">afeguards </w:t>
      </w:r>
      <w:r w:rsidR="000C57A3" w:rsidRPr="00B358B9">
        <w:rPr>
          <w:kern w:val="22"/>
          <w:szCs w:val="22"/>
        </w:rPr>
        <w:t>f</w:t>
      </w:r>
      <w:r w:rsidRPr="00B358B9">
        <w:rPr>
          <w:kern w:val="22"/>
          <w:szCs w:val="22"/>
        </w:rPr>
        <w:t xml:space="preserve">ramework </w:t>
      </w:r>
      <w:r w:rsidR="000C57A3" w:rsidRPr="00B358B9">
        <w:rPr>
          <w:kern w:val="22"/>
          <w:szCs w:val="22"/>
        </w:rPr>
        <w:t xml:space="preserve">under the Convention on Biological Diversity for indigenous and local communities </w:t>
      </w:r>
      <w:r w:rsidRPr="00B358B9">
        <w:rPr>
          <w:kern w:val="22"/>
          <w:szCs w:val="22"/>
        </w:rPr>
        <w:t xml:space="preserve">based on principles, standards and guidelines adopted under the </w:t>
      </w:r>
      <w:r w:rsidR="0078292D" w:rsidRPr="00B358B9">
        <w:rPr>
          <w:kern w:val="22"/>
          <w:szCs w:val="22"/>
        </w:rPr>
        <w:t>Convention</w:t>
      </w:r>
      <w:r w:rsidRPr="00B358B9">
        <w:rPr>
          <w:kern w:val="22"/>
          <w:szCs w:val="22"/>
        </w:rPr>
        <w:t xml:space="preserve">, also addressing any additional gaps identified. </w:t>
      </w:r>
      <w:r w:rsidR="00436C72" w:rsidRPr="00B358B9">
        <w:rPr>
          <w:kern w:val="22"/>
          <w:szCs w:val="22"/>
        </w:rPr>
        <w:t>This is noted in document CBD/SBI/2/</w:t>
      </w:r>
      <w:r w:rsidR="000C57A3" w:rsidRPr="00B358B9">
        <w:rPr>
          <w:kern w:val="22"/>
          <w:szCs w:val="22"/>
        </w:rPr>
        <w:t>14</w:t>
      </w:r>
      <w:r w:rsidR="00436C72" w:rsidRPr="00B358B9">
        <w:rPr>
          <w:kern w:val="22"/>
          <w:szCs w:val="22"/>
        </w:rPr>
        <w:t xml:space="preserve">, for consideration </w:t>
      </w:r>
      <w:r w:rsidR="000C57A3" w:rsidRPr="00B358B9">
        <w:rPr>
          <w:kern w:val="22"/>
          <w:szCs w:val="22"/>
        </w:rPr>
        <w:t xml:space="preserve">by the Subsidiary Body on Implementation </w:t>
      </w:r>
      <w:r w:rsidR="00407D60" w:rsidRPr="00B358B9">
        <w:rPr>
          <w:kern w:val="22"/>
          <w:szCs w:val="22"/>
        </w:rPr>
        <w:t>under agenda item 14.</w:t>
      </w:r>
    </w:p>
    <w:p w14:paraId="3B830805" w14:textId="5907B55A" w:rsidR="00600CBE" w:rsidRPr="00B358B9" w:rsidRDefault="00600CBE"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lang w:eastAsia="ko-KR"/>
        </w:rPr>
      </w:pPr>
      <w:r w:rsidRPr="00B358B9">
        <w:rPr>
          <w:rFonts w:eastAsia="Batang"/>
          <w:kern w:val="22"/>
          <w:szCs w:val="22"/>
          <w:lang w:eastAsia="ko-KR"/>
        </w:rPr>
        <w:t xml:space="preserve">For the Global Forest Coalition/Community Conservation Resilience Initiative, </w:t>
      </w:r>
      <w:r w:rsidR="005A54FC" w:rsidRPr="00B358B9">
        <w:rPr>
          <w:rFonts w:eastAsia="Batang"/>
          <w:kern w:val="22"/>
          <w:szCs w:val="22"/>
          <w:lang w:eastAsia="ko-KR"/>
        </w:rPr>
        <w:t>indigenous peoples and local communities</w:t>
      </w:r>
      <w:r w:rsidRPr="00B358B9">
        <w:rPr>
          <w:rFonts w:eastAsia="Batang"/>
          <w:kern w:val="22"/>
          <w:szCs w:val="22"/>
          <w:lang w:eastAsia="ko-KR"/>
        </w:rPr>
        <w:t xml:space="preserve"> still face prejudices in relation to biodiversity financing mechanisms because these continue to prioriti</w:t>
      </w:r>
      <w:r w:rsidR="001B69FC" w:rsidRPr="00B358B9">
        <w:rPr>
          <w:rFonts w:eastAsia="Batang"/>
          <w:kern w:val="22"/>
          <w:szCs w:val="22"/>
          <w:lang w:eastAsia="ko-KR"/>
        </w:rPr>
        <w:t>z</w:t>
      </w:r>
      <w:r w:rsidRPr="00B358B9">
        <w:rPr>
          <w:rFonts w:eastAsia="Batang"/>
          <w:kern w:val="22"/>
          <w:szCs w:val="22"/>
          <w:lang w:eastAsia="ko-KR"/>
        </w:rPr>
        <w:t xml:space="preserve">e government-centric and often exclusionary approaches. To reverse this situation, they recommend to more strongly promote </w:t>
      </w:r>
      <w:r w:rsidRPr="00B358B9">
        <w:rPr>
          <w:rFonts w:eastAsia="MS Mincho"/>
          <w:kern w:val="22"/>
          <w:szCs w:val="22"/>
        </w:rPr>
        <w:t>community</w:t>
      </w:r>
      <w:r w:rsidRPr="00B358B9">
        <w:rPr>
          <w:rFonts w:eastAsia="Batang"/>
          <w:kern w:val="22"/>
          <w:szCs w:val="22"/>
          <w:lang w:eastAsia="ko-KR"/>
        </w:rPr>
        <w:t xml:space="preserve"> conservation initiatives, as effective approaches for the conservation and sustainable use of biodiversity, and to seek broader legal, political, social, economic and other forms of support for them, beyond narrow results-based payments. They also highlight the importance of </w:t>
      </w:r>
      <w:r w:rsidR="004332E1" w:rsidRPr="00B358B9">
        <w:rPr>
          <w:rFonts w:eastAsia="Batang"/>
          <w:kern w:val="22"/>
          <w:szCs w:val="22"/>
          <w:lang w:eastAsia="ko-KR"/>
        </w:rPr>
        <w:t>the</w:t>
      </w:r>
      <w:r w:rsidRPr="00B358B9">
        <w:rPr>
          <w:rFonts w:eastAsia="Batang"/>
          <w:kern w:val="22"/>
          <w:szCs w:val="22"/>
          <w:lang w:eastAsia="ko-KR"/>
        </w:rPr>
        <w:t xml:space="preserve"> full and effective participation and free, prior informed consent of </w:t>
      </w:r>
      <w:r w:rsidR="005A54FC" w:rsidRPr="00B358B9">
        <w:rPr>
          <w:rFonts w:eastAsia="Batang"/>
          <w:kern w:val="22"/>
          <w:szCs w:val="22"/>
          <w:lang w:eastAsia="ko-KR"/>
        </w:rPr>
        <w:t>indigenous peoples and local communities</w:t>
      </w:r>
      <w:r w:rsidR="004332E1" w:rsidRPr="00B358B9">
        <w:rPr>
          <w:rFonts w:eastAsia="Batang"/>
          <w:kern w:val="22"/>
          <w:szCs w:val="22"/>
          <w:lang w:eastAsia="ko-KR"/>
        </w:rPr>
        <w:t>,</w:t>
      </w:r>
      <w:r w:rsidRPr="00B358B9">
        <w:rPr>
          <w:rFonts w:eastAsia="Batang"/>
          <w:kern w:val="22"/>
          <w:szCs w:val="22"/>
          <w:lang w:eastAsia="ko-KR"/>
        </w:rPr>
        <w:t xml:space="preserve"> including women</w:t>
      </w:r>
      <w:r w:rsidR="00586F9C" w:rsidRPr="00B358B9">
        <w:rPr>
          <w:rFonts w:eastAsia="Batang"/>
          <w:kern w:val="22"/>
          <w:szCs w:val="22"/>
          <w:lang w:eastAsia="ko-KR"/>
        </w:rPr>
        <w:t>,</w:t>
      </w:r>
      <w:r w:rsidRPr="00B358B9">
        <w:rPr>
          <w:rFonts w:eastAsia="Batang"/>
          <w:kern w:val="22"/>
          <w:szCs w:val="22"/>
          <w:lang w:eastAsia="ko-KR"/>
        </w:rPr>
        <w:t xml:space="preserve"> in national policies, plans and programmes for biodiversity and related financing mechanisms.</w:t>
      </w:r>
    </w:p>
    <w:p w14:paraId="2CD78E18" w14:textId="0F3F4490" w:rsidR="00600CBE" w:rsidRPr="00B358B9" w:rsidRDefault="00600CBE"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lang w:eastAsia="ko-KR"/>
        </w:rPr>
      </w:pPr>
      <w:r w:rsidRPr="00B358B9">
        <w:rPr>
          <w:rFonts w:eastAsia="Batang"/>
          <w:kern w:val="22"/>
          <w:szCs w:val="22"/>
          <w:lang w:eastAsia="ko-KR"/>
        </w:rPr>
        <w:t>The Indigenous Women</w:t>
      </w:r>
      <w:r w:rsidR="00733ED2" w:rsidRPr="00B358B9">
        <w:rPr>
          <w:rFonts w:eastAsia="Batang"/>
          <w:kern w:val="22"/>
          <w:szCs w:val="22"/>
          <w:lang w:eastAsia="ko-KR"/>
        </w:rPr>
        <w:t>’s</w:t>
      </w:r>
      <w:r w:rsidRPr="00B358B9">
        <w:rPr>
          <w:rFonts w:eastAsia="Batang"/>
          <w:kern w:val="22"/>
          <w:szCs w:val="22"/>
          <w:lang w:eastAsia="ko-KR"/>
        </w:rPr>
        <w:t xml:space="preserve"> Network on Biodiversity </w:t>
      </w:r>
      <w:r w:rsidR="00733ED2" w:rsidRPr="00B358B9">
        <w:rPr>
          <w:rFonts w:eastAsia="Batang"/>
          <w:kern w:val="22"/>
          <w:szCs w:val="22"/>
          <w:lang w:eastAsia="ko-KR"/>
        </w:rPr>
        <w:t xml:space="preserve">from </w:t>
      </w:r>
      <w:r w:rsidRPr="00B358B9">
        <w:rPr>
          <w:rFonts w:eastAsia="Batang"/>
          <w:kern w:val="22"/>
          <w:szCs w:val="22"/>
          <w:lang w:eastAsia="ko-KR"/>
        </w:rPr>
        <w:t xml:space="preserve">Latin America and the Caribbean stressed the importance of framing biodiversity financing mechanisms not only on returns or benefits from carbon sequestration but on broader conservation and sustainable use benefits, linked to a wide consideration of ecosystem services. The Network recommends that safeguards be robust and aligned with international obligations and frameworks, such as </w:t>
      </w:r>
      <w:r w:rsidR="00774CE6" w:rsidRPr="00B358B9">
        <w:rPr>
          <w:rFonts w:eastAsia="Batang"/>
          <w:kern w:val="22"/>
          <w:szCs w:val="22"/>
          <w:lang w:eastAsia="ko-KR"/>
        </w:rPr>
        <w:t>the United Nations Declaration on the Rights of Indigenous Peoples</w:t>
      </w:r>
      <w:r w:rsidRPr="00B358B9">
        <w:rPr>
          <w:rFonts w:eastAsia="Batang"/>
          <w:kern w:val="22"/>
          <w:szCs w:val="22"/>
          <w:lang w:eastAsia="ko-KR"/>
        </w:rPr>
        <w:t>,</w:t>
      </w:r>
      <w:r w:rsidR="009A3F27" w:rsidRPr="00B358B9">
        <w:rPr>
          <w:rStyle w:val="FootnoteReference"/>
          <w:rFonts w:eastAsia="Batang"/>
          <w:kern w:val="22"/>
          <w:szCs w:val="22"/>
          <w:lang w:eastAsia="ko-KR"/>
        </w:rPr>
        <w:footnoteReference w:id="12"/>
      </w:r>
      <w:r w:rsidRPr="00B358B9">
        <w:rPr>
          <w:rFonts w:eastAsia="Batang"/>
          <w:kern w:val="22"/>
          <w:szCs w:val="22"/>
          <w:lang w:eastAsia="ko-KR"/>
        </w:rPr>
        <w:t xml:space="preserve"> and be supported by effective monitoring and accountability. The Network also recommends that other CBD instruments and decisions, including guidelines, should be used to strengthen and support safeguards. Full and effective participation of </w:t>
      </w:r>
      <w:r w:rsidR="005A54FC" w:rsidRPr="00B358B9">
        <w:rPr>
          <w:rFonts w:eastAsia="Batang"/>
          <w:kern w:val="22"/>
          <w:szCs w:val="22"/>
          <w:lang w:eastAsia="ko-KR"/>
        </w:rPr>
        <w:t>indigenous peoples and local communities</w:t>
      </w:r>
      <w:r w:rsidRPr="00B358B9">
        <w:rPr>
          <w:rFonts w:eastAsia="Batang"/>
          <w:kern w:val="22"/>
          <w:szCs w:val="22"/>
          <w:lang w:eastAsia="ko-KR"/>
        </w:rPr>
        <w:t xml:space="preserve"> and their free, prior and informed consent should </w:t>
      </w:r>
      <w:r w:rsidR="00586F9C" w:rsidRPr="00B358B9">
        <w:rPr>
          <w:rFonts w:eastAsia="Batang"/>
          <w:kern w:val="22"/>
          <w:szCs w:val="22"/>
          <w:lang w:eastAsia="ko-KR"/>
        </w:rPr>
        <w:t xml:space="preserve">also </w:t>
      </w:r>
      <w:r w:rsidRPr="00B358B9">
        <w:rPr>
          <w:rFonts w:eastAsia="Batang"/>
          <w:kern w:val="22"/>
          <w:szCs w:val="22"/>
          <w:lang w:eastAsia="ko-KR"/>
        </w:rPr>
        <w:t>be requirements for effective safeguards.</w:t>
      </w:r>
    </w:p>
    <w:p w14:paraId="6473063C" w14:textId="0666F148" w:rsidR="00FB406C" w:rsidRPr="00B358B9" w:rsidRDefault="00600CBE"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lang w:eastAsia="ko-KR"/>
        </w:rPr>
      </w:pPr>
      <w:r w:rsidRPr="00B358B9">
        <w:rPr>
          <w:rFonts w:eastAsia="Batang"/>
          <w:kern w:val="22"/>
          <w:szCs w:val="22"/>
          <w:lang w:eastAsia="ko-KR"/>
        </w:rPr>
        <w:lastRenderedPageBreak/>
        <w:t>The Stockholm Resilience Centre refers Parties and other relevant organizations and stakeholders to the previous report “Biodiversity financing and safeguards: lessons learned and proposed guidelines”</w:t>
      </w:r>
      <w:bookmarkStart w:id="5" w:name="_Ref499817684"/>
      <w:r w:rsidRPr="00B358B9">
        <w:rPr>
          <w:rStyle w:val="FootnoteReference"/>
          <w:rFonts w:eastAsia="Batang"/>
          <w:kern w:val="22"/>
          <w:szCs w:val="22"/>
          <w:lang w:eastAsia="ko-KR"/>
        </w:rPr>
        <w:footnoteReference w:id="13"/>
      </w:r>
      <w:bookmarkEnd w:id="5"/>
      <w:r w:rsidRPr="00B358B9">
        <w:rPr>
          <w:rFonts w:eastAsia="Batang"/>
          <w:kern w:val="22"/>
          <w:szCs w:val="22"/>
          <w:lang w:eastAsia="ko-KR"/>
        </w:rPr>
        <w:t xml:space="preserve"> for a compilation of relevant case studies. This report was instrumental in supporting Parties in the discussions leading to the adoption of the </w:t>
      </w:r>
      <w:r w:rsidR="00F80FC6" w:rsidRPr="00B358B9">
        <w:rPr>
          <w:rFonts w:eastAsia="Batang"/>
          <w:kern w:val="22"/>
          <w:szCs w:val="22"/>
          <w:lang w:eastAsia="ko-KR"/>
        </w:rPr>
        <w:t>voluntary guidelines</w:t>
      </w:r>
      <w:r w:rsidRPr="00B358B9">
        <w:rPr>
          <w:rFonts w:eastAsia="Batang"/>
          <w:kern w:val="22"/>
          <w:szCs w:val="22"/>
          <w:lang w:eastAsia="ko-KR"/>
        </w:rPr>
        <w:t xml:space="preserve">; this is further commented on in the next section. The Stockholm Resilience Centre has also provided a list of references from recent academic literature </w:t>
      </w:r>
      <w:r w:rsidR="00586F9C" w:rsidRPr="00B358B9">
        <w:rPr>
          <w:rFonts w:eastAsia="Batang"/>
          <w:kern w:val="22"/>
          <w:szCs w:val="22"/>
          <w:lang w:eastAsia="ko-KR"/>
        </w:rPr>
        <w:t xml:space="preserve">of </w:t>
      </w:r>
      <w:r w:rsidRPr="00B358B9">
        <w:rPr>
          <w:rFonts w:eastAsia="Batang"/>
          <w:kern w:val="22"/>
          <w:szCs w:val="22"/>
          <w:lang w:eastAsia="ko-KR"/>
        </w:rPr>
        <w:t>relevance to safeguards in biodiversity financing mechanisms.</w:t>
      </w:r>
    </w:p>
    <w:p w14:paraId="2BC30BA2" w14:textId="141FBFF5" w:rsidR="00060116" w:rsidRPr="00B358B9" w:rsidRDefault="00865015"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rPr>
      </w:pPr>
      <w:r w:rsidRPr="00B358B9">
        <w:rPr>
          <w:rFonts w:eastAsia="Batang"/>
          <w:kern w:val="22"/>
          <w:szCs w:val="22"/>
          <w:lang w:eastAsia="ko-KR"/>
        </w:rPr>
        <w:t xml:space="preserve">The submissions received from Parties and other organizations and stakeholders show </w:t>
      </w:r>
      <w:r w:rsidR="00161127" w:rsidRPr="00B358B9">
        <w:rPr>
          <w:rFonts w:eastAsia="Batang"/>
          <w:kern w:val="22"/>
          <w:szCs w:val="22"/>
          <w:lang w:eastAsia="ko-KR"/>
        </w:rPr>
        <w:t xml:space="preserve">a trend of </w:t>
      </w:r>
      <w:r w:rsidRPr="00B358B9">
        <w:rPr>
          <w:rFonts w:eastAsia="Batang"/>
          <w:kern w:val="22"/>
          <w:szCs w:val="22"/>
          <w:lang w:eastAsia="ko-KR"/>
        </w:rPr>
        <w:t xml:space="preserve">growing </w:t>
      </w:r>
      <w:bookmarkStart w:id="6" w:name="_Hlk499304831"/>
      <w:r w:rsidR="00CF2B30" w:rsidRPr="00B358B9">
        <w:rPr>
          <w:rFonts w:eastAsia="Batang"/>
          <w:kern w:val="22"/>
          <w:szCs w:val="22"/>
          <w:lang w:eastAsia="ko-KR"/>
        </w:rPr>
        <w:t xml:space="preserve">understanding of </w:t>
      </w:r>
      <w:r w:rsidR="00A80EDF" w:rsidRPr="00B358B9">
        <w:rPr>
          <w:rFonts w:eastAsia="Batang"/>
          <w:kern w:val="22"/>
          <w:szCs w:val="22"/>
          <w:lang w:eastAsia="ko-KR"/>
        </w:rPr>
        <w:t xml:space="preserve">the need for, </w:t>
      </w:r>
      <w:bookmarkEnd w:id="6"/>
      <w:r w:rsidRPr="00B358B9">
        <w:rPr>
          <w:rFonts w:eastAsia="Batang"/>
          <w:kern w:val="22"/>
          <w:szCs w:val="22"/>
          <w:lang w:eastAsia="ko-KR"/>
        </w:rPr>
        <w:t xml:space="preserve">and engagement in safeguarding biodiversity and </w:t>
      </w:r>
      <w:r w:rsidR="005A54FC" w:rsidRPr="00B358B9">
        <w:rPr>
          <w:rFonts w:eastAsia="Batang"/>
          <w:kern w:val="22"/>
          <w:szCs w:val="22"/>
          <w:lang w:eastAsia="ko-KR"/>
        </w:rPr>
        <w:t>indigenous peoples and local communities</w:t>
      </w:r>
      <w:r w:rsidRPr="00B358B9">
        <w:rPr>
          <w:rFonts w:eastAsia="Batang"/>
          <w:kern w:val="22"/>
          <w:szCs w:val="22"/>
          <w:lang w:eastAsia="ko-KR"/>
        </w:rPr>
        <w:t>’ rights and livelihoods when designing and implementing financing mechanisms.</w:t>
      </w:r>
      <w:r w:rsidR="002C6B8D" w:rsidRPr="00B358B9">
        <w:rPr>
          <w:rFonts w:eastAsia="Batang"/>
          <w:kern w:val="22"/>
          <w:szCs w:val="22"/>
          <w:lang w:eastAsia="ko-KR"/>
        </w:rPr>
        <w:t xml:space="preserve"> </w:t>
      </w:r>
      <w:r w:rsidR="00440586" w:rsidRPr="00B358B9">
        <w:rPr>
          <w:rFonts w:eastAsia="Batang"/>
          <w:kern w:val="22"/>
          <w:szCs w:val="22"/>
          <w:lang w:eastAsia="ko-KR"/>
        </w:rPr>
        <w:t xml:space="preserve">On the other hand, they </w:t>
      </w:r>
      <w:r w:rsidR="00B837D6" w:rsidRPr="00B358B9">
        <w:rPr>
          <w:rFonts w:eastAsia="Batang"/>
          <w:kern w:val="22"/>
          <w:szCs w:val="22"/>
          <w:lang w:eastAsia="ko-KR"/>
        </w:rPr>
        <w:t>demonstrate</w:t>
      </w:r>
      <w:r w:rsidR="00440586" w:rsidRPr="00B358B9">
        <w:rPr>
          <w:rFonts w:eastAsia="Batang"/>
          <w:kern w:val="22"/>
          <w:szCs w:val="22"/>
          <w:lang w:eastAsia="ko-KR"/>
        </w:rPr>
        <w:t xml:space="preserve"> an uneven development of experiences at the international, national and local levels, partly due to the novelty of some biodiversity financing mechanisms, partly also to the early phase of implementation of the </w:t>
      </w:r>
      <w:r w:rsidR="002C36C6" w:rsidRPr="00B358B9">
        <w:rPr>
          <w:rFonts w:eastAsia="MS Mincho"/>
          <w:kern w:val="22"/>
          <w:szCs w:val="22"/>
        </w:rPr>
        <w:t>Convention’s</w:t>
      </w:r>
      <w:r w:rsidR="002C36C6" w:rsidRPr="00B358B9">
        <w:rPr>
          <w:rFonts w:eastAsia="Batang"/>
          <w:kern w:val="22"/>
          <w:szCs w:val="22"/>
          <w:lang w:eastAsia="ko-KR"/>
        </w:rPr>
        <w:t xml:space="preserve"> voluntary guidelines on safeguards in biodiversity financing mechanisms</w:t>
      </w:r>
      <w:r w:rsidR="00440586" w:rsidRPr="00B358B9">
        <w:rPr>
          <w:rFonts w:eastAsia="Batang"/>
          <w:kern w:val="22"/>
          <w:szCs w:val="22"/>
          <w:lang w:eastAsia="ko-KR"/>
        </w:rPr>
        <w:t>, as well as of other safeguard systems and instruments that, although rapidly emerging</w:t>
      </w:r>
      <w:r w:rsidR="00E7193C" w:rsidRPr="00B358B9">
        <w:rPr>
          <w:rFonts w:eastAsia="Batang"/>
          <w:kern w:val="22"/>
          <w:szCs w:val="22"/>
          <w:lang w:eastAsia="ko-KR"/>
        </w:rPr>
        <w:t xml:space="preserve"> and developing</w:t>
      </w:r>
      <w:r w:rsidR="00440586" w:rsidRPr="00B358B9">
        <w:rPr>
          <w:rFonts w:eastAsia="Batang"/>
          <w:kern w:val="22"/>
          <w:szCs w:val="22"/>
          <w:lang w:eastAsia="ko-KR"/>
        </w:rPr>
        <w:t xml:space="preserve">, are still in construction or </w:t>
      </w:r>
      <w:r w:rsidR="007D5A27" w:rsidRPr="00B358B9">
        <w:rPr>
          <w:rFonts w:eastAsia="Batang"/>
          <w:kern w:val="22"/>
          <w:szCs w:val="22"/>
          <w:lang w:eastAsia="ko-KR"/>
        </w:rPr>
        <w:t xml:space="preserve">in </w:t>
      </w:r>
      <w:r w:rsidR="00440586" w:rsidRPr="00B358B9">
        <w:rPr>
          <w:rFonts w:eastAsia="Batang"/>
          <w:kern w:val="22"/>
          <w:szCs w:val="22"/>
          <w:lang w:eastAsia="ko-KR"/>
        </w:rPr>
        <w:t>early application phases</w:t>
      </w:r>
      <w:r w:rsidR="007D5A27" w:rsidRPr="00B358B9">
        <w:rPr>
          <w:rFonts w:eastAsia="Batang"/>
          <w:kern w:val="22"/>
          <w:szCs w:val="22"/>
          <w:lang w:eastAsia="ko-KR"/>
        </w:rPr>
        <w:t>,</w:t>
      </w:r>
      <w:r w:rsidR="001808E1" w:rsidRPr="00B358B9">
        <w:rPr>
          <w:rFonts w:eastAsia="Batang"/>
          <w:kern w:val="22"/>
          <w:szCs w:val="22"/>
          <w:lang w:eastAsia="ko-KR"/>
        </w:rPr>
        <w:t xml:space="preserve"> and therefore the availability of lessons from implementation is still limited</w:t>
      </w:r>
      <w:r w:rsidR="00440586" w:rsidRPr="00B358B9">
        <w:rPr>
          <w:rFonts w:eastAsia="Batang"/>
          <w:kern w:val="22"/>
          <w:szCs w:val="22"/>
          <w:lang w:eastAsia="ko-KR"/>
        </w:rPr>
        <w:t>.</w:t>
      </w:r>
    </w:p>
    <w:p w14:paraId="74A2058A" w14:textId="77777777" w:rsidR="00060116" w:rsidRPr="00B358B9" w:rsidRDefault="00060116" w:rsidP="00B358B9">
      <w:pPr>
        <w:pStyle w:val="Para1"/>
        <w:keepNext/>
        <w:numPr>
          <w:ilvl w:val="0"/>
          <w:numId w:val="0"/>
        </w:numPr>
        <w:suppressLineNumbers/>
        <w:tabs>
          <w:tab w:val="left" w:pos="360"/>
        </w:tabs>
        <w:suppressAutoHyphens/>
        <w:kinsoku w:val="0"/>
        <w:overflowPunct w:val="0"/>
        <w:autoSpaceDE w:val="0"/>
        <w:autoSpaceDN w:val="0"/>
        <w:adjustRightInd w:val="0"/>
        <w:snapToGrid w:val="0"/>
        <w:jc w:val="center"/>
        <w:rPr>
          <w:b/>
          <w:kern w:val="22"/>
          <w:szCs w:val="22"/>
        </w:rPr>
      </w:pPr>
      <w:r w:rsidRPr="00B358B9">
        <w:rPr>
          <w:b/>
          <w:kern w:val="22"/>
          <w:szCs w:val="22"/>
        </w:rPr>
        <w:t>II.</w:t>
      </w:r>
      <w:r w:rsidR="003A266C" w:rsidRPr="00B358B9">
        <w:rPr>
          <w:b/>
          <w:kern w:val="22"/>
          <w:szCs w:val="22"/>
        </w:rPr>
        <w:tab/>
      </w:r>
      <w:r w:rsidR="00173D16" w:rsidRPr="00B358B9">
        <w:rPr>
          <w:b/>
          <w:kern w:val="22"/>
          <w:szCs w:val="22"/>
        </w:rPr>
        <w:t>DEVELOPMENT</w:t>
      </w:r>
      <w:r w:rsidRPr="00B358B9">
        <w:rPr>
          <w:b/>
          <w:kern w:val="22"/>
          <w:szCs w:val="22"/>
        </w:rPr>
        <w:t xml:space="preserve"> OF SAFEGUARDS UNDER THE CONVENTION</w:t>
      </w:r>
    </w:p>
    <w:p w14:paraId="06BB681C" w14:textId="45A4A6A7" w:rsidR="00886D7B" w:rsidRPr="00B358B9" w:rsidRDefault="00696EBD" w:rsidP="00B358B9">
      <w:pPr>
        <w:pStyle w:val="Para1"/>
        <w:numPr>
          <w:ilvl w:val="0"/>
          <w:numId w:val="110"/>
        </w:numPr>
        <w:suppressLineNumbers/>
        <w:suppressAutoHyphens/>
        <w:kinsoku w:val="0"/>
        <w:overflowPunct w:val="0"/>
        <w:autoSpaceDE w:val="0"/>
        <w:autoSpaceDN w:val="0"/>
        <w:adjustRightInd w:val="0"/>
        <w:snapToGrid w:val="0"/>
        <w:ind w:left="0" w:firstLine="0"/>
        <w:rPr>
          <w:i/>
          <w:iCs/>
          <w:kern w:val="22"/>
          <w:szCs w:val="22"/>
        </w:rPr>
      </w:pPr>
      <w:r w:rsidRPr="00B358B9">
        <w:rPr>
          <w:kern w:val="22"/>
          <w:szCs w:val="22"/>
        </w:rPr>
        <w:t>T</w:t>
      </w:r>
      <w:r w:rsidR="004F0BF8" w:rsidRPr="00B358B9">
        <w:rPr>
          <w:kern w:val="22"/>
          <w:szCs w:val="22"/>
        </w:rPr>
        <w:t>he Conference of the Parties</w:t>
      </w:r>
      <w:r w:rsidR="00933FB8" w:rsidRPr="00B358B9">
        <w:rPr>
          <w:kern w:val="22"/>
          <w:szCs w:val="22"/>
        </w:rPr>
        <w:t xml:space="preserve"> adopted </w:t>
      </w:r>
      <w:r w:rsidR="000B2687" w:rsidRPr="00B358B9">
        <w:rPr>
          <w:kern w:val="22"/>
          <w:szCs w:val="22"/>
        </w:rPr>
        <w:t>d</w:t>
      </w:r>
      <w:r w:rsidR="00933FB8" w:rsidRPr="00B358B9">
        <w:rPr>
          <w:kern w:val="22"/>
          <w:szCs w:val="22"/>
        </w:rPr>
        <w:t xml:space="preserve">ecision </w:t>
      </w:r>
      <w:hyperlink r:id="rId14" w:history="1">
        <w:r w:rsidR="00933FB8" w:rsidRPr="00B358B9">
          <w:rPr>
            <w:rStyle w:val="Hyperlink"/>
            <w:kern w:val="22"/>
            <w:sz w:val="22"/>
            <w:szCs w:val="22"/>
          </w:rPr>
          <w:t>IX/11</w:t>
        </w:r>
      </w:hyperlink>
      <w:r w:rsidR="006A4010">
        <w:rPr>
          <w:kern w:val="22"/>
          <w:szCs w:val="22"/>
        </w:rPr>
        <w:t>,</w:t>
      </w:r>
      <w:r w:rsidR="00933FB8" w:rsidRPr="00B358B9">
        <w:rPr>
          <w:kern w:val="22"/>
          <w:szCs w:val="22"/>
        </w:rPr>
        <w:t xml:space="preserve"> </w:t>
      </w:r>
      <w:r w:rsidR="006A4010">
        <w:rPr>
          <w:kern w:val="22"/>
          <w:szCs w:val="22"/>
        </w:rPr>
        <w:t>which</w:t>
      </w:r>
      <w:r w:rsidR="001D355D" w:rsidRPr="00B358B9">
        <w:rPr>
          <w:kern w:val="22"/>
          <w:szCs w:val="22"/>
        </w:rPr>
        <w:t xml:space="preserve"> </w:t>
      </w:r>
      <w:r w:rsidR="00933FB8" w:rsidRPr="00B358B9">
        <w:rPr>
          <w:kern w:val="22"/>
          <w:szCs w:val="22"/>
        </w:rPr>
        <w:t>includes the</w:t>
      </w:r>
      <w:r w:rsidR="001D355D" w:rsidRPr="00B358B9">
        <w:rPr>
          <w:kern w:val="22"/>
          <w:szCs w:val="22"/>
        </w:rPr>
        <w:t xml:space="preserve"> </w:t>
      </w:r>
      <w:r w:rsidR="00933FB8" w:rsidRPr="00B358B9">
        <w:rPr>
          <w:kern w:val="22"/>
          <w:szCs w:val="22"/>
        </w:rPr>
        <w:t xml:space="preserve">CBD’s </w:t>
      </w:r>
      <w:r w:rsidR="000C57A3" w:rsidRPr="00B358B9">
        <w:rPr>
          <w:kern w:val="22"/>
          <w:szCs w:val="22"/>
        </w:rPr>
        <w:t>s</w:t>
      </w:r>
      <w:r w:rsidR="00933FB8" w:rsidRPr="00B358B9">
        <w:rPr>
          <w:kern w:val="22"/>
          <w:szCs w:val="22"/>
        </w:rPr>
        <w:t xml:space="preserve">trategy for </w:t>
      </w:r>
      <w:r w:rsidR="000C57A3" w:rsidRPr="00B358B9">
        <w:rPr>
          <w:kern w:val="22"/>
          <w:szCs w:val="22"/>
        </w:rPr>
        <w:t>r</w:t>
      </w:r>
      <w:r w:rsidR="00933FB8" w:rsidRPr="00B358B9">
        <w:rPr>
          <w:kern w:val="22"/>
          <w:szCs w:val="22"/>
        </w:rPr>
        <w:t xml:space="preserve">esource </w:t>
      </w:r>
      <w:r w:rsidR="000C57A3" w:rsidRPr="00B358B9">
        <w:rPr>
          <w:rFonts w:eastAsia="MS Mincho"/>
          <w:kern w:val="22"/>
          <w:szCs w:val="22"/>
        </w:rPr>
        <w:t>m</w:t>
      </w:r>
      <w:r w:rsidR="00933FB8" w:rsidRPr="00B358B9">
        <w:rPr>
          <w:rFonts w:eastAsia="MS Mincho"/>
          <w:kern w:val="22"/>
          <w:szCs w:val="22"/>
        </w:rPr>
        <w:t>obilization</w:t>
      </w:r>
      <w:r w:rsidR="00933FB8" w:rsidRPr="00B358B9">
        <w:rPr>
          <w:kern w:val="22"/>
          <w:szCs w:val="22"/>
        </w:rPr>
        <w:t xml:space="preserve"> (2008–2015). </w:t>
      </w:r>
      <w:r w:rsidR="001D355D" w:rsidRPr="00B358B9">
        <w:rPr>
          <w:kern w:val="22"/>
          <w:szCs w:val="22"/>
        </w:rPr>
        <w:t>Later i</w:t>
      </w:r>
      <w:r w:rsidR="00933FB8" w:rsidRPr="00B358B9">
        <w:rPr>
          <w:kern w:val="22"/>
          <w:szCs w:val="22"/>
        </w:rPr>
        <w:t xml:space="preserve">n 2010, </w:t>
      </w:r>
      <w:r w:rsidRPr="00B358B9">
        <w:rPr>
          <w:kern w:val="22"/>
          <w:szCs w:val="22"/>
        </w:rPr>
        <w:t xml:space="preserve">at its tenth </w:t>
      </w:r>
      <w:r w:rsidRPr="00891479">
        <w:rPr>
          <w:kern w:val="22"/>
          <w:szCs w:val="22"/>
        </w:rPr>
        <w:t xml:space="preserve">meeting the Conference of the Parties </w:t>
      </w:r>
      <w:r w:rsidR="001D355D" w:rsidRPr="00B358B9">
        <w:rPr>
          <w:kern w:val="22"/>
          <w:szCs w:val="22"/>
        </w:rPr>
        <w:t xml:space="preserve">in </w:t>
      </w:r>
      <w:r w:rsidR="00A5663B" w:rsidRPr="00B358B9">
        <w:rPr>
          <w:kern w:val="22"/>
          <w:szCs w:val="22"/>
        </w:rPr>
        <w:t>d</w:t>
      </w:r>
      <w:r w:rsidR="00933FB8" w:rsidRPr="00B358B9">
        <w:rPr>
          <w:kern w:val="22"/>
          <w:szCs w:val="22"/>
        </w:rPr>
        <w:t xml:space="preserve">ecision X/3 on the </w:t>
      </w:r>
      <w:r w:rsidR="00A5663B" w:rsidRPr="00B358B9">
        <w:rPr>
          <w:kern w:val="22"/>
          <w:szCs w:val="22"/>
        </w:rPr>
        <w:t>s</w:t>
      </w:r>
      <w:r w:rsidR="00933FB8" w:rsidRPr="00B358B9">
        <w:rPr>
          <w:kern w:val="22"/>
          <w:szCs w:val="22"/>
        </w:rPr>
        <w:t xml:space="preserve">trategy for </w:t>
      </w:r>
      <w:r w:rsidR="00A5663B" w:rsidRPr="00B358B9">
        <w:rPr>
          <w:kern w:val="22"/>
          <w:szCs w:val="22"/>
        </w:rPr>
        <w:t>r</w:t>
      </w:r>
      <w:r w:rsidR="00933FB8" w:rsidRPr="00B358B9">
        <w:rPr>
          <w:kern w:val="22"/>
          <w:szCs w:val="22"/>
        </w:rPr>
        <w:t xml:space="preserve">esource </w:t>
      </w:r>
      <w:r w:rsidR="00A5663B" w:rsidRPr="00B358B9">
        <w:rPr>
          <w:kern w:val="22"/>
          <w:szCs w:val="22"/>
        </w:rPr>
        <w:t>m</w:t>
      </w:r>
      <w:r w:rsidR="00933FB8" w:rsidRPr="00B358B9">
        <w:rPr>
          <w:kern w:val="22"/>
          <w:szCs w:val="22"/>
        </w:rPr>
        <w:t>obilization</w:t>
      </w:r>
      <w:r w:rsidR="007C6B87" w:rsidRPr="00B358B9">
        <w:rPr>
          <w:kern w:val="22"/>
          <w:szCs w:val="22"/>
        </w:rPr>
        <w:t xml:space="preserve"> highlighted “</w:t>
      </w:r>
      <w:r w:rsidR="00933FB8" w:rsidRPr="00B358B9">
        <w:rPr>
          <w:kern w:val="22"/>
          <w:szCs w:val="22"/>
        </w:rPr>
        <w:t>the</w:t>
      </w:r>
      <w:r w:rsidR="007C6B87" w:rsidRPr="00B358B9">
        <w:rPr>
          <w:kern w:val="22"/>
          <w:szCs w:val="22"/>
        </w:rPr>
        <w:t xml:space="preserve"> </w:t>
      </w:r>
      <w:r w:rsidR="00933FB8" w:rsidRPr="00B358B9">
        <w:rPr>
          <w:kern w:val="22"/>
          <w:szCs w:val="22"/>
        </w:rPr>
        <w:t>need for information about the opportunities and also the potential problems</w:t>
      </w:r>
      <w:r w:rsidR="007C6B87" w:rsidRPr="00B358B9">
        <w:rPr>
          <w:kern w:val="22"/>
          <w:szCs w:val="22"/>
        </w:rPr>
        <w:t xml:space="preserve"> </w:t>
      </w:r>
      <w:r w:rsidR="00933FB8" w:rsidRPr="00B358B9">
        <w:rPr>
          <w:kern w:val="22"/>
          <w:szCs w:val="22"/>
        </w:rPr>
        <w:t>that biodiversity financing mechanisms could generate</w:t>
      </w:r>
      <w:r w:rsidR="007C6B87" w:rsidRPr="00B358B9">
        <w:rPr>
          <w:kern w:val="22"/>
          <w:szCs w:val="22"/>
        </w:rPr>
        <w:t>, and s</w:t>
      </w:r>
      <w:r w:rsidR="00933FB8" w:rsidRPr="00B358B9">
        <w:rPr>
          <w:kern w:val="22"/>
          <w:szCs w:val="22"/>
        </w:rPr>
        <w:t>afeguards</w:t>
      </w:r>
      <w:r w:rsidR="007C6B87" w:rsidRPr="00B358B9">
        <w:rPr>
          <w:kern w:val="22"/>
          <w:szCs w:val="22"/>
        </w:rPr>
        <w:t xml:space="preserve"> </w:t>
      </w:r>
      <w:r w:rsidR="00933FB8" w:rsidRPr="00B358B9">
        <w:rPr>
          <w:kern w:val="22"/>
          <w:szCs w:val="22"/>
        </w:rPr>
        <w:t>were identified as one of the means to address these potential problems</w:t>
      </w:r>
      <w:r w:rsidR="007C6B87" w:rsidRPr="00B358B9">
        <w:rPr>
          <w:kern w:val="22"/>
          <w:szCs w:val="22"/>
        </w:rPr>
        <w:t>”</w:t>
      </w:r>
      <w:r w:rsidR="005A140B" w:rsidRPr="00B358B9">
        <w:rPr>
          <w:kern w:val="22"/>
          <w:szCs w:val="22"/>
        </w:rPr>
        <w:t>.</w:t>
      </w:r>
      <w:r w:rsidR="007C6B87" w:rsidRPr="00891479">
        <w:rPr>
          <w:rStyle w:val="FootnoteReference"/>
          <w:kern w:val="22"/>
          <w:szCs w:val="22"/>
        </w:rPr>
        <w:footnoteReference w:id="14"/>
      </w:r>
      <w:r w:rsidR="00B30297" w:rsidRPr="00B358B9">
        <w:rPr>
          <w:kern w:val="22"/>
          <w:szCs w:val="22"/>
        </w:rPr>
        <w:t xml:space="preserve"> Subsequent discussions in various CBD bodies saw a significant evolution of the notion and the importance of safeguards in biodiversity financing mechanisms, </w:t>
      </w:r>
      <w:r w:rsidR="00306912" w:rsidRPr="00B358B9">
        <w:rPr>
          <w:kern w:val="22"/>
          <w:szCs w:val="22"/>
        </w:rPr>
        <w:t xml:space="preserve">culminating in the </w:t>
      </w:r>
      <w:r w:rsidR="00B30297" w:rsidRPr="00B358B9">
        <w:rPr>
          <w:kern w:val="22"/>
          <w:szCs w:val="22"/>
        </w:rPr>
        <w:t xml:space="preserve">adoption of the </w:t>
      </w:r>
      <w:r w:rsidR="00F80FC6" w:rsidRPr="00B358B9">
        <w:rPr>
          <w:kern w:val="22"/>
          <w:szCs w:val="22"/>
        </w:rPr>
        <w:t>voluntary guidelines</w:t>
      </w:r>
      <w:r w:rsidR="00C726D9" w:rsidRPr="00B358B9">
        <w:rPr>
          <w:kern w:val="22"/>
          <w:szCs w:val="22"/>
        </w:rPr>
        <w:t xml:space="preserve"> on </w:t>
      </w:r>
      <w:r w:rsidR="00FA7A2E" w:rsidRPr="00B358B9">
        <w:rPr>
          <w:kern w:val="22"/>
          <w:szCs w:val="22"/>
        </w:rPr>
        <w:t>s</w:t>
      </w:r>
      <w:r w:rsidR="00C726D9" w:rsidRPr="00B358B9">
        <w:rPr>
          <w:kern w:val="22"/>
          <w:szCs w:val="22"/>
        </w:rPr>
        <w:t xml:space="preserve">afeguards in </w:t>
      </w:r>
      <w:r w:rsidR="00FA7A2E" w:rsidRPr="00B358B9">
        <w:rPr>
          <w:kern w:val="22"/>
          <w:szCs w:val="22"/>
        </w:rPr>
        <w:t>b</w:t>
      </w:r>
      <w:r w:rsidR="00C726D9" w:rsidRPr="00B358B9">
        <w:rPr>
          <w:kern w:val="22"/>
          <w:szCs w:val="22"/>
        </w:rPr>
        <w:t xml:space="preserve">iodiversity </w:t>
      </w:r>
      <w:r w:rsidR="00FA7A2E" w:rsidRPr="00B358B9">
        <w:rPr>
          <w:kern w:val="22"/>
          <w:szCs w:val="22"/>
        </w:rPr>
        <w:t>f</w:t>
      </w:r>
      <w:r w:rsidR="00C726D9" w:rsidRPr="00B358B9">
        <w:rPr>
          <w:kern w:val="22"/>
          <w:szCs w:val="22"/>
        </w:rPr>
        <w:t xml:space="preserve">inancing </w:t>
      </w:r>
      <w:r w:rsidR="00FA7A2E" w:rsidRPr="00B358B9">
        <w:rPr>
          <w:kern w:val="22"/>
          <w:szCs w:val="22"/>
        </w:rPr>
        <w:t>m</w:t>
      </w:r>
      <w:r w:rsidR="00C726D9" w:rsidRPr="00B358B9">
        <w:rPr>
          <w:kern w:val="22"/>
          <w:szCs w:val="22"/>
        </w:rPr>
        <w:t xml:space="preserve">echanisms by </w:t>
      </w:r>
      <w:r w:rsidR="001A23CF" w:rsidRPr="00B358B9">
        <w:rPr>
          <w:kern w:val="22"/>
          <w:szCs w:val="22"/>
        </w:rPr>
        <w:t>the Conference of the Parties</w:t>
      </w:r>
      <w:r w:rsidR="00E3391F" w:rsidRPr="00B358B9">
        <w:rPr>
          <w:kern w:val="22"/>
          <w:szCs w:val="22"/>
        </w:rPr>
        <w:t xml:space="preserve"> at its twelfth meeting,</w:t>
      </w:r>
      <w:r w:rsidR="004C0441" w:rsidRPr="00B358B9">
        <w:rPr>
          <w:kern w:val="22"/>
          <w:szCs w:val="22"/>
        </w:rPr>
        <w:t xml:space="preserve"> in 2014. The document “Biodiversity </w:t>
      </w:r>
      <w:r w:rsidR="00FA7A2E" w:rsidRPr="00B358B9">
        <w:rPr>
          <w:kern w:val="22"/>
          <w:szCs w:val="22"/>
        </w:rPr>
        <w:t>f</w:t>
      </w:r>
      <w:r w:rsidR="004C0441" w:rsidRPr="00B358B9">
        <w:rPr>
          <w:kern w:val="22"/>
          <w:szCs w:val="22"/>
        </w:rPr>
        <w:t xml:space="preserve">inancing and </w:t>
      </w:r>
      <w:r w:rsidR="00FA7A2E" w:rsidRPr="00B358B9">
        <w:rPr>
          <w:kern w:val="22"/>
          <w:szCs w:val="22"/>
        </w:rPr>
        <w:t>s</w:t>
      </w:r>
      <w:r w:rsidR="004C0441" w:rsidRPr="00B358B9">
        <w:rPr>
          <w:kern w:val="22"/>
          <w:szCs w:val="22"/>
        </w:rPr>
        <w:t>afeguards: lessons learned and proposed guidelines”</w:t>
      </w:r>
      <w:r w:rsidR="00E3391F" w:rsidRPr="00B358B9">
        <w:rPr>
          <w:kern w:val="22"/>
          <w:szCs w:val="22"/>
        </w:rPr>
        <w:t xml:space="preserve"> (</w:t>
      </w:r>
      <w:hyperlink r:id="rId15" w:history="1">
        <w:r w:rsidR="00E3391F" w:rsidRPr="00B358B9">
          <w:rPr>
            <w:rStyle w:val="Hyperlink"/>
            <w:kern w:val="22"/>
            <w:sz w:val="22"/>
            <w:szCs w:val="22"/>
          </w:rPr>
          <w:t>CBD/COP/12/INF/27</w:t>
        </w:r>
      </w:hyperlink>
      <w:r w:rsidR="00E3391F" w:rsidRPr="00B358B9">
        <w:rPr>
          <w:kern w:val="22"/>
          <w:szCs w:val="22"/>
        </w:rPr>
        <w:t>)</w:t>
      </w:r>
      <w:r w:rsidR="0032114D" w:rsidRPr="00B358B9">
        <w:rPr>
          <w:kern w:val="22"/>
          <w:szCs w:val="22"/>
        </w:rPr>
        <w:t>,</w:t>
      </w:r>
      <w:r w:rsidR="004C0441" w:rsidRPr="00B358B9">
        <w:rPr>
          <w:kern w:val="22"/>
          <w:szCs w:val="22"/>
        </w:rPr>
        <w:t xml:space="preserve"> by demonstrating the importance of the CBD discussions and offering background on the international context of safeguards</w:t>
      </w:r>
      <w:r w:rsidR="0053681F" w:rsidRPr="00B358B9">
        <w:rPr>
          <w:kern w:val="22"/>
          <w:szCs w:val="22"/>
        </w:rPr>
        <w:t>’ development and implementation,</w:t>
      </w:r>
      <w:r w:rsidR="004C0441" w:rsidRPr="00B358B9">
        <w:rPr>
          <w:kern w:val="22"/>
          <w:szCs w:val="22"/>
        </w:rPr>
        <w:t xml:space="preserve"> was instrumental </w:t>
      </w:r>
      <w:r w:rsidR="0053681F" w:rsidRPr="00B358B9">
        <w:rPr>
          <w:kern w:val="22"/>
          <w:szCs w:val="22"/>
        </w:rPr>
        <w:t xml:space="preserve">in supporting Parties </w:t>
      </w:r>
      <w:r w:rsidR="00A271B3" w:rsidRPr="00B358B9">
        <w:rPr>
          <w:kern w:val="22"/>
          <w:szCs w:val="22"/>
        </w:rPr>
        <w:t>in</w:t>
      </w:r>
      <w:r w:rsidR="0053681F" w:rsidRPr="00B358B9">
        <w:rPr>
          <w:kern w:val="22"/>
          <w:szCs w:val="22"/>
        </w:rPr>
        <w:t xml:space="preserve"> the adoption of the </w:t>
      </w:r>
      <w:r w:rsidR="007B5FC1" w:rsidRPr="00B358B9">
        <w:rPr>
          <w:kern w:val="22"/>
          <w:szCs w:val="22"/>
        </w:rPr>
        <w:t>Convention’s voluntary guidelines on safeguards in biodiversity financing mechanisms</w:t>
      </w:r>
      <w:r w:rsidR="0053681F" w:rsidRPr="00B358B9">
        <w:rPr>
          <w:kern w:val="22"/>
          <w:szCs w:val="22"/>
        </w:rPr>
        <w:t>.</w:t>
      </w:r>
    </w:p>
    <w:p w14:paraId="5E95C014" w14:textId="338CC10B" w:rsidR="000355EA" w:rsidRPr="00B358B9" w:rsidRDefault="00306912" w:rsidP="00B358B9">
      <w:pPr>
        <w:pStyle w:val="Para1"/>
        <w:numPr>
          <w:ilvl w:val="0"/>
          <w:numId w:val="110"/>
        </w:numPr>
        <w:suppressLineNumbers/>
        <w:suppressAutoHyphens/>
        <w:kinsoku w:val="0"/>
        <w:overflowPunct w:val="0"/>
        <w:autoSpaceDE w:val="0"/>
        <w:autoSpaceDN w:val="0"/>
        <w:adjustRightInd w:val="0"/>
        <w:snapToGrid w:val="0"/>
        <w:ind w:left="0" w:firstLine="0"/>
        <w:rPr>
          <w:i/>
          <w:iCs/>
          <w:kern w:val="22"/>
          <w:szCs w:val="22"/>
        </w:rPr>
      </w:pPr>
      <w:r w:rsidRPr="00B358B9">
        <w:rPr>
          <w:kern w:val="22"/>
          <w:szCs w:val="22"/>
        </w:rPr>
        <w:t>Also of relevance, a</w:t>
      </w:r>
      <w:r w:rsidR="00A11F35" w:rsidRPr="00B358B9">
        <w:rPr>
          <w:kern w:val="22"/>
          <w:szCs w:val="22"/>
        </w:rPr>
        <w:t>t its eleventh meeting</w:t>
      </w:r>
      <w:r w:rsidR="00CA00F3" w:rsidRPr="00B358B9">
        <w:rPr>
          <w:kern w:val="22"/>
          <w:szCs w:val="22"/>
        </w:rPr>
        <w:t>,</w:t>
      </w:r>
      <w:r w:rsidR="00A11F35" w:rsidRPr="00B358B9">
        <w:rPr>
          <w:kern w:val="22"/>
          <w:szCs w:val="22"/>
        </w:rPr>
        <w:t xml:space="preserve"> in 2012, the Conference of the Parties adopted </w:t>
      </w:r>
      <w:hyperlink r:id="rId16" w:history="1">
        <w:r w:rsidR="001A23CF" w:rsidRPr="00B358B9">
          <w:rPr>
            <w:rStyle w:val="Hyperlink"/>
            <w:kern w:val="22"/>
            <w:sz w:val="22"/>
            <w:szCs w:val="22"/>
          </w:rPr>
          <w:t>d</w:t>
        </w:r>
        <w:r w:rsidR="004B46AF" w:rsidRPr="00B358B9">
          <w:rPr>
            <w:rStyle w:val="Hyperlink"/>
            <w:kern w:val="22"/>
            <w:sz w:val="22"/>
            <w:szCs w:val="22"/>
          </w:rPr>
          <w:t>ecision </w:t>
        </w:r>
        <w:r w:rsidR="00A11F35" w:rsidRPr="00B358B9">
          <w:rPr>
            <w:rStyle w:val="Hyperlink"/>
            <w:kern w:val="22"/>
            <w:sz w:val="22"/>
            <w:szCs w:val="22"/>
          </w:rPr>
          <w:t>XI/19</w:t>
        </w:r>
      </w:hyperlink>
      <w:r w:rsidR="00A11F35" w:rsidRPr="00B358B9">
        <w:rPr>
          <w:kern w:val="22"/>
          <w:szCs w:val="22"/>
        </w:rPr>
        <w:t xml:space="preserve"> “Biodiversity and climate change related issues: advice on the application of relevant safeguards for biodiversity with regard to </w:t>
      </w:r>
      <w:r w:rsidR="00A11F35" w:rsidRPr="00B358B9">
        <w:rPr>
          <w:rFonts w:eastAsia="MS Mincho"/>
          <w:kern w:val="22"/>
          <w:szCs w:val="22"/>
        </w:rPr>
        <w:t>policy</w:t>
      </w:r>
      <w:r w:rsidR="00A11F35" w:rsidRPr="00B358B9">
        <w:rPr>
          <w:kern w:val="22"/>
          <w:szCs w:val="22"/>
        </w:rPr>
        <w:t xml:space="preserve"> approaches and positive incentives on issues relating to reducing emissions from deforestation and forest degradation in developing countries; and the role of conservation, sustainable management of forests and enhancement of forest carbon stocks in developing countries”</w:t>
      </w:r>
      <w:r w:rsidR="00ED4D9C" w:rsidRPr="00B358B9">
        <w:rPr>
          <w:kern w:val="22"/>
          <w:szCs w:val="22"/>
        </w:rPr>
        <w:t xml:space="preserve">, whereby </w:t>
      </w:r>
      <w:r w:rsidR="00A11F35" w:rsidRPr="00B358B9">
        <w:rPr>
          <w:kern w:val="22"/>
          <w:szCs w:val="22"/>
        </w:rPr>
        <w:t xml:space="preserve">the Parties </w:t>
      </w:r>
      <w:r w:rsidR="00ED4D9C" w:rsidRPr="00B358B9">
        <w:rPr>
          <w:kern w:val="22"/>
          <w:szCs w:val="22"/>
        </w:rPr>
        <w:t xml:space="preserve">made reference to the “Cancun </w:t>
      </w:r>
      <w:r w:rsidR="00A271B3" w:rsidRPr="00B358B9">
        <w:rPr>
          <w:kern w:val="22"/>
          <w:szCs w:val="22"/>
        </w:rPr>
        <w:t>S</w:t>
      </w:r>
      <w:r w:rsidR="00ED4D9C" w:rsidRPr="00B358B9">
        <w:rPr>
          <w:kern w:val="22"/>
          <w:szCs w:val="22"/>
        </w:rPr>
        <w:t xml:space="preserve">afeguards” adopted by the Conference of the Parties </w:t>
      </w:r>
      <w:r w:rsidR="005A109E" w:rsidRPr="00B358B9">
        <w:rPr>
          <w:kern w:val="22"/>
          <w:szCs w:val="22"/>
        </w:rPr>
        <w:t xml:space="preserve">to </w:t>
      </w:r>
      <w:r w:rsidR="00ED4D9C" w:rsidRPr="00B358B9">
        <w:rPr>
          <w:kern w:val="22"/>
          <w:szCs w:val="22"/>
        </w:rPr>
        <w:t xml:space="preserve">the </w:t>
      </w:r>
      <w:r w:rsidR="005A109E" w:rsidRPr="00B358B9">
        <w:rPr>
          <w:kern w:val="22"/>
          <w:szCs w:val="22"/>
        </w:rPr>
        <w:t>United Nations Framework Convention on Climate Change</w:t>
      </w:r>
      <w:r w:rsidR="00CC5BF6" w:rsidRPr="00B358B9">
        <w:rPr>
          <w:kern w:val="22"/>
          <w:szCs w:val="22"/>
        </w:rPr>
        <w:t>,</w:t>
      </w:r>
      <w:r w:rsidR="00ED4D9C" w:rsidRPr="00B358B9">
        <w:rPr>
          <w:rStyle w:val="FootnoteReference"/>
          <w:kern w:val="22"/>
          <w:szCs w:val="22"/>
        </w:rPr>
        <w:footnoteReference w:id="15"/>
      </w:r>
      <w:r w:rsidR="007D481D" w:rsidRPr="00B358B9">
        <w:rPr>
          <w:kern w:val="22"/>
          <w:szCs w:val="22"/>
        </w:rPr>
        <w:t xml:space="preserve"> and noted that they may enhance benefits for biodiversity and for indigenous and local communities. On this basis, the Conference of the Parties invited developing countr</w:t>
      </w:r>
      <w:r w:rsidR="00A4431D" w:rsidRPr="00B358B9">
        <w:rPr>
          <w:kern w:val="22"/>
          <w:szCs w:val="22"/>
        </w:rPr>
        <w:t>y Part</w:t>
      </w:r>
      <w:r w:rsidR="007D481D" w:rsidRPr="00B358B9">
        <w:rPr>
          <w:kern w:val="22"/>
          <w:szCs w:val="22"/>
        </w:rPr>
        <w:t>ies</w:t>
      </w:r>
      <w:r w:rsidR="00ED4D9C" w:rsidRPr="00B358B9">
        <w:rPr>
          <w:kern w:val="22"/>
          <w:szCs w:val="22"/>
        </w:rPr>
        <w:t xml:space="preserve"> </w:t>
      </w:r>
      <w:r w:rsidR="00A4431D" w:rsidRPr="00B358B9">
        <w:rPr>
          <w:kern w:val="22"/>
          <w:szCs w:val="22"/>
        </w:rPr>
        <w:t xml:space="preserve">to make use of information provided in </w:t>
      </w:r>
      <w:r w:rsidR="00A271B3" w:rsidRPr="00B358B9">
        <w:rPr>
          <w:kern w:val="22"/>
          <w:szCs w:val="22"/>
        </w:rPr>
        <w:t xml:space="preserve">the </w:t>
      </w:r>
      <w:r w:rsidR="001A23CF" w:rsidRPr="00B358B9">
        <w:rPr>
          <w:kern w:val="22"/>
          <w:szCs w:val="22"/>
        </w:rPr>
        <w:t>a</w:t>
      </w:r>
      <w:r w:rsidR="00A4431D" w:rsidRPr="00B358B9">
        <w:rPr>
          <w:kern w:val="22"/>
          <w:szCs w:val="22"/>
        </w:rPr>
        <w:t xml:space="preserve">nnex to that </w:t>
      </w:r>
      <w:r w:rsidR="001A23CF" w:rsidRPr="00B358B9">
        <w:rPr>
          <w:kern w:val="22"/>
          <w:szCs w:val="22"/>
        </w:rPr>
        <w:t>d</w:t>
      </w:r>
      <w:r w:rsidR="00A4431D" w:rsidRPr="00B358B9">
        <w:rPr>
          <w:kern w:val="22"/>
          <w:szCs w:val="22"/>
        </w:rPr>
        <w:t xml:space="preserve">ecision regarding the application of </w:t>
      </w:r>
      <w:r w:rsidR="00721F6F" w:rsidRPr="00B358B9">
        <w:rPr>
          <w:kern w:val="22"/>
          <w:szCs w:val="22"/>
        </w:rPr>
        <w:t>biodiversity-related safeguards</w:t>
      </w:r>
      <w:r w:rsidR="00643055" w:rsidRPr="00B358B9">
        <w:rPr>
          <w:kern w:val="22"/>
          <w:szCs w:val="22"/>
        </w:rPr>
        <w:t>.</w:t>
      </w:r>
      <w:r w:rsidR="00CC5E19" w:rsidRPr="00B358B9">
        <w:rPr>
          <w:rStyle w:val="FootnoteReference"/>
          <w:kern w:val="22"/>
          <w:szCs w:val="22"/>
        </w:rPr>
        <w:footnoteReference w:id="16"/>
      </w:r>
    </w:p>
    <w:p w14:paraId="31F6AB2A" w14:textId="31C80C05" w:rsidR="005668CF" w:rsidRPr="00B358B9" w:rsidRDefault="000355EA" w:rsidP="00B358B9">
      <w:pPr>
        <w:pStyle w:val="Para1"/>
        <w:numPr>
          <w:ilvl w:val="0"/>
          <w:numId w:val="110"/>
        </w:numPr>
        <w:suppressLineNumbers/>
        <w:suppressAutoHyphens/>
        <w:kinsoku w:val="0"/>
        <w:overflowPunct w:val="0"/>
        <w:autoSpaceDE w:val="0"/>
        <w:autoSpaceDN w:val="0"/>
        <w:adjustRightInd w:val="0"/>
        <w:snapToGrid w:val="0"/>
        <w:ind w:left="0" w:firstLine="0"/>
        <w:rPr>
          <w:i/>
          <w:iCs/>
          <w:kern w:val="22"/>
          <w:szCs w:val="22"/>
        </w:rPr>
      </w:pPr>
      <w:r w:rsidRPr="00B358B9">
        <w:rPr>
          <w:kern w:val="22"/>
          <w:szCs w:val="22"/>
        </w:rPr>
        <w:t xml:space="preserve">The information provided in </w:t>
      </w:r>
      <w:r w:rsidR="00736E76" w:rsidRPr="00B358B9">
        <w:rPr>
          <w:kern w:val="22"/>
          <w:szCs w:val="22"/>
        </w:rPr>
        <w:t>d</w:t>
      </w:r>
      <w:r w:rsidRPr="00B358B9">
        <w:rPr>
          <w:kern w:val="22"/>
          <w:szCs w:val="22"/>
        </w:rPr>
        <w:t xml:space="preserve">ecision XI/19 remains entirely valid in the context of the </w:t>
      </w:r>
      <w:r w:rsidR="002C36C6" w:rsidRPr="00B358B9">
        <w:rPr>
          <w:kern w:val="22"/>
          <w:szCs w:val="22"/>
        </w:rPr>
        <w:t xml:space="preserve">Convention’s </w:t>
      </w:r>
      <w:r w:rsidR="002C36C6" w:rsidRPr="00B358B9">
        <w:rPr>
          <w:rFonts w:eastAsia="MS Mincho"/>
          <w:kern w:val="22"/>
          <w:szCs w:val="22"/>
        </w:rPr>
        <w:t>voluntary</w:t>
      </w:r>
      <w:r w:rsidR="002C36C6" w:rsidRPr="00B358B9">
        <w:rPr>
          <w:kern w:val="22"/>
          <w:szCs w:val="22"/>
        </w:rPr>
        <w:t xml:space="preserve"> guidelines on safeguards in biodiversity financing </w:t>
      </w:r>
      <w:r w:rsidR="00D6739E" w:rsidRPr="00B358B9">
        <w:rPr>
          <w:kern w:val="22"/>
          <w:szCs w:val="22"/>
        </w:rPr>
        <w:t xml:space="preserve">mechanisms. </w:t>
      </w:r>
      <w:r w:rsidR="00306912" w:rsidRPr="00B358B9">
        <w:rPr>
          <w:kern w:val="22"/>
          <w:szCs w:val="22"/>
        </w:rPr>
        <w:t xml:space="preserve">It includes safeguards related to both </w:t>
      </w:r>
      <w:r w:rsidRPr="00B358B9">
        <w:rPr>
          <w:kern w:val="22"/>
          <w:szCs w:val="22"/>
        </w:rPr>
        <w:t xml:space="preserve">biodiversity and the livelihoods of </w:t>
      </w:r>
      <w:r w:rsidR="005A54FC" w:rsidRPr="00B358B9">
        <w:rPr>
          <w:kern w:val="22"/>
          <w:szCs w:val="22"/>
        </w:rPr>
        <w:t>indigenous peoples and local communities</w:t>
      </w:r>
      <w:r w:rsidRPr="00B358B9">
        <w:rPr>
          <w:kern w:val="22"/>
          <w:szCs w:val="22"/>
        </w:rPr>
        <w:t xml:space="preserve">. </w:t>
      </w:r>
      <w:r w:rsidR="005668CF" w:rsidRPr="00B358B9">
        <w:rPr>
          <w:kern w:val="22"/>
          <w:szCs w:val="22"/>
        </w:rPr>
        <w:t>Among possible adverse impacts that safeguards should aim to eliminate, reduce or mitigate it lists:</w:t>
      </w:r>
    </w:p>
    <w:p w14:paraId="5F113350" w14:textId="6281E385" w:rsidR="005668CF" w:rsidRPr="00B358B9" w:rsidRDefault="005668CF"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The conversion of natural forests to plantations and other land uses of low biodiversity value and low resilience;</w:t>
      </w:r>
    </w:p>
    <w:p w14:paraId="31EA61B9" w14:textId="72035C3D" w:rsidR="005668CF" w:rsidRPr="00B358B9" w:rsidRDefault="005668CF"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Displacement of deforestation and forest degradation to areas of lower carbon value and high biodiversity value;</w:t>
      </w:r>
    </w:p>
    <w:p w14:paraId="07B3D1FF" w14:textId="05F676D1" w:rsidR="005668CF" w:rsidRPr="00B358B9" w:rsidRDefault="005668CF"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Increased pressure on non-forest ecosystems with high biodiversity value;</w:t>
      </w:r>
    </w:p>
    <w:p w14:paraId="188BEAAC" w14:textId="5B38DD8E" w:rsidR="005668CF" w:rsidRPr="00B358B9" w:rsidRDefault="005668CF"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Afforestation in areas of high biodiversity value;</w:t>
      </w:r>
    </w:p>
    <w:p w14:paraId="4AB68374" w14:textId="2F98822E" w:rsidR="005668CF" w:rsidRPr="00B358B9" w:rsidRDefault="005668CF"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The loss of traditional territories and restriction of rights of indigenous and local communities to access to, use of and/or ownership of land and natural resources;</w:t>
      </w:r>
    </w:p>
    <w:p w14:paraId="56DDD11B" w14:textId="08C6E047" w:rsidR="005668CF" w:rsidRPr="00B358B9" w:rsidRDefault="005668CF"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Lack of tangible livelihood benefits to indigenous and local communities and lack of equitable benefit-sharing;</w:t>
      </w:r>
    </w:p>
    <w:p w14:paraId="16ABDC17" w14:textId="5096B4CC" w:rsidR="005668CF" w:rsidRPr="00B358B9" w:rsidRDefault="005668CF"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Exclusion of indigenous and local communities from designing and implementation of policies and measures;</w:t>
      </w:r>
    </w:p>
    <w:p w14:paraId="5A272BAE" w14:textId="40A2C802" w:rsidR="00CB3074" w:rsidRPr="00B358B9" w:rsidRDefault="005668CF"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i/>
          <w:iCs/>
          <w:kern w:val="22"/>
          <w:szCs w:val="22"/>
        </w:rPr>
      </w:pPr>
      <w:r w:rsidRPr="00B358B9">
        <w:rPr>
          <w:kern w:val="22"/>
          <w:szCs w:val="22"/>
        </w:rPr>
        <w:t>Loss of traditional ecological knowledge.</w:t>
      </w:r>
    </w:p>
    <w:p w14:paraId="2BC39D6F" w14:textId="5CD363DA" w:rsidR="00FB406C" w:rsidRPr="00B358B9" w:rsidRDefault="00C81F1F" w:rsidP="00B358B9">
      <w:pPr>
        <w:pStyle w:val="Para1"/>
        <w:numPr>
          <w:ilvl w:val="0"/>
          <w:numId w:val="110"/>
        </w:numPr>
        <w:suppressLineNumbers/>
        <w:suppressAutoHyphens/>
        <w:kinsoku w:val="0"/>
        <w:overflowPunct w:val="0"/>
        <w:autoSpaceDE w:val="0"/>
        <w:autoSpaceDN w:val="0"/>
        <w:adjustRightInd w:val="0"/>
        <w:snapToGrid w:val="0"/>
        <w:ind w:left="0" w:firstLine="0"/>
        <w:rPr>
          <w:caps/>
          <w:kern w:val="22"/>
          <w:szCs w:val="22"/>
        </w:rPr>
      </w:pPr>
      <w:r w:rsidRPr="00B358B9">
        <w:rPr>
          <w:kern w:val="22"/>
          <w:szCs w:val="22"/>
        </w:rPr>
        <w:t xml:space="preserve">In the context of </w:t>
      </w:r>
      <w:hyperlink r:id="rId17" w:history="1">
        <w:r w:rsidR="001A23CF" w:rsidRPr="00B358B9">
          <w:rPr>
            <w:rStyle w:val="Hyperlink"/>
            <w:kern w:val="22"/>
            <w:sz w:val="22"/>
            <w:szCs w:val="22"/>
          </w:rPr>
          <w:t>d</w:t>
        </w:r>
        <w:r w:rsidRPr="00B358B9">
          <w:rPr>
            <w:rStyle w:val="Hyperlink"/>
            <w:kern w:val="22"/>
            <w:sz w:val="22"/>
            <w:szCs w:val="22"/>
          </w:rPr>
          <w:t>ecision X/3</w:t>
        </w:r>
      </w:hyperlink>
      <w:r w:rsidRPr="00B358B9">
        <w:rPr>
          <w:kern w:val="22"/>
          <w:szCs w:val="22"/>
        </w:rPr>
        <w:t xml:space="preserve"> of the Conference of the Parties on the </w:t>
      </w:r>
      <w:r w:rsidR="000C57A3" w:rsidRPr="00B358B9">
        <w:rPr>
          <w:kern w:val="22"/>
          <w:szCs w:val="22"/>
        </w:rPr>
        <w:t>s</w:t>
      </w:r>
      <w:r w:rsidRPr="00B358B9">
        <w:rPr>
          <w:kern w:val="22"/>
          <w:szCs w:val="22"/>
        </w:rPr>
        <w:t xml:space="preserve">trategy for </w:t>
      </w:r>
      <w:r w:rsidR="000C57A3" w:rsidRPr="00B358B9">
        <w:rPr>
          <w:kern w:val="22"/>
          <w:szCs w:val="22"/>
        </w:rPr>
        <w:t>r</w:t>
      </w:r>
      <w:r w:rsidRPr="00B358B9">
        <w:rPr>
          <w:kern w:val="22"/>
          <w:szCs w:val="22"/>
        </w:rPr>
        <w:t xml:space="preserve">esource </w:t>
      </w:r>
      <w:r w:rsidR="000C57A3" w:rsidRPr="00B358B9">
        <w:rPr>
          <w:kern w:val="22"/>
          <w:szCs w:val="22"/>
        </w:rPr>
        <w:t>m</w:t>
      </w:r>
      <w:r w:rsidRPr="00B358B9">
        <w:rPr>
          <w:kern w:val="22"/>
          <w:szCs w:val="22"/>
        </w:rPr>
        <w:t xml:space="preserve">obilization, </w:t>
      </w:r>
      <w:r w:rsidR="001D78AE" w:rsidRPr="00B358B9">
        <w:rPr>
          <w:kern w:val="22"/>
          <w:szCs w:val="22"/>
        </w:rPr>
        <w:t xml:space="preserve">the CBD discussions </w:t>
      </w:r>
      <w:r w:rsidR="00815DB9" w:rsidRPr="00B358B9">
        <w:rPr>
          <w:kern w:val="22"/>
          <w:szCs w:val="22"/>
        </w:rPr>
        <w:t xml:space="preserve">on safeguards </w:t>
      </w:r>
      <w:r w:rsidR="008A3C27" w:rsidRPr="00B358B9">
        <w:rPr>
          <w:kern w:val="22"/>
          <w:szCs w:val="22"/>
        </w:rPr>
        <w:t xml:space="preserve">have </w:t>
      </w:r>
      <w:r w:rsidR="001D78AE" w:rsidRPr="00B358B9">
        <w:rPr>
          <w:kern w:val="22"/>
          <w:szCs w:val="22"/>
        </w:rPr>
        <w:t xml:space="preserve">focused </w:t>
      </w:r>
      <w:r w:rsidR="00E01A0F" w:rsidRPr="00B358B9">
        <w:rPr>
          <w:kern w:val="22"/>
          <w:szCs w:val="22"/>
        </w:rPr>
        <w:t xml:space="preserve">on “new and innovative financial mechanisms” as </w:t>
      </w:r>
      <w:r w:rsidR="008A3C27" w:rsidRPr="00B358B9">
        <w:rPr>
          <w:kern w:val="22"/>
          <w:szCs w:val="22"/>
        </w:rPr>
        <w:t xml:space="preserve">defined in </w:t>
      </w:r>
      <w:r w:rsidR="00E01A0F" w:rsidRPr="00B358B9">
        <w:rPr>
          <w:kern w:val="22"/>
          <w:szCs w:val="22"/>
        </w:rPr>
        <w:t xml:space="preserve">Goal 4 of the </w:t>
      </w:r>
      <w:r w:rsidR="000C57A3" w:rsidRPr="00B358B9">
        <w:rPr>
          <w:kern w:val="22"/>
          <w:szCs w:val="22"/>
        </w:rPr>
        <w:t>s</w:t>
      </w:r>
      <w:r w:rsidR="00E01A0F" w:rsidRPr="00B358B9">
        <w:rPr>
          <w:kern w:val="22"/>
          <w:szCs w:val="22"/>
        </w:rPr>
        <w:t xml:space="preserve">trategy for </w:t>
      </w:r>
      <w:r w:rsidR="000C57A3" w:rsidRPr="00B358B9">
        <w:rPr>
          <w:kern w:val="22"/>
          <w:szCs w:val="22"/>
        </w:rPr>
        <w:t>r</w:t>
      </w:r>
      <w:r w:rsidR="00E01A0F" w:rsidRPr="00B358B9">
        <w:rPr>
          <w:kern w:val="22"/>
          <w:szCs w:val="22"/>
        </w:rPr>
        <w:t xml:space="preserve">esource </w:t>
      </w:r>
      <w:r w:rsidR="000C57A3" w:rsidRPr="00B358B9">
        <w:rPr>
          <w:kern w:val="22"/>
          <w:szCs w:val="22"/>
        </w:rPr>
        <w:t>m</w:t>
      </w:r>
      <w:r w:rsidR="00E01A0F" w:rsidRPr="00B358B9">
        <w:rPr>
          <w:kern w:val="22"/>
          <w:szCs w:val="22"/>
        </w:rPr>
        <w:t>obilization adopted by the Conference of the Parties at its ninth meeting (</w:t>
      </w:r>
      <w:hyperlink r:id="rId18" w:history="1">
        <w:r w:rsidR="00E01A0F" w:rsidRPr="00B358B9">
          <w:rPr>
            <w:rStyle w:val="Hyperlink"/>
            <w:kern w:val="22"/>
            <w:sz w:val="22"/>
            <w:szCs w:val="22"/>
          </w:rPr>
          <w:t>decision IX/11</w:t>
        </w:r>
      </w:hyperlink>
      <w:r w:rsidR="00E01A0F" w:rsidRPr="00B358B9">
        <w:rPr>
          <w:kern w:val="22"/>
          <w:szCs w:val="22"/>
        </w:rPr>
        <w:t>)</w:t>
      </w:r>
      <w:r w:rsidR="00815DB9" w:rsidRPr="00B358B9">
        <w:rPr>
          <w:kern w:val="22"/>
          <w:szCs w:val="22"/>
        </w:rPr>
        <w:t>, namely</w:t>
      </w:r>
      <w:r w:rsidR="008A3C27" w:rsidRPr="00891479">
        <w:rPr>
          <w:kern w:val="22"/>
          <w:szCs w:val="22"/>
        </w:rPr>
        <w:t xml:space="preserve">: </w:t>
      </w:r>
      <w:r w:rsidR="008A3C27" w:rsidRPr="00B358B9">
        <w:rPr>
          <w:kern w:val="22"/>
          <w:szCs w:val="22"/>
        </w:rPr>
        <w:t>Schemes for payment for ecosystem services; Biodiversity offset mechanisms;</w:t>
      </w:r>
      <w:r w:rsidR="001E70DB" w:rsidRPr="00B358B9">
        <w:rPr>
          <w:kern w:val="22"/>
          <w:szCs w:val="22"/>
        </w:rPr>
        <w:t xml:space="preserve"> </w:t>
      </w:r>
      <w:r w:rsidR="008A3C27" w:rsidRPr="00B358B9">
        <w:rPr>
          <w:kern w:val="22"/>
          <w:szCs w:val="22"/>
        </w:rPr>
        <w:t xml:space="preserve">Environmental fiscal reforms including innovative taxation models and fiscal incentives; </w:t>
      </w:r>
      <w:r w:rsidR="00E51FE2" w:rsidRPr="00B358B9">
        <w:rPr>
          <w:kern w:val="22"/>
          <w:szCs w:val="22"/>
        </w:rPr>
        <w:t>M</w:t>
      </w:r>
      <w:r w:rsidR="008A3C27" w:rsidRPr="00B358B9">
        <w:rPr>
          <w:kern w:val="22"/>
          <w:szCs w:val="22"/>
        </w:rPr>
        <w:t>arkets for green products, business-biodiversity partnerships and new forms of charity;</w:t>
      </w:r>
      <w:r w:rsidR="001E70DB" w:rsidRPr="00B358B9">
        <w:rPr>
          <w:kern w:val="22"/>
          <w:szCs w:val="22"/>
        </w:rPr>
        <w:t xml:space="preserve"> </w:t>
      </w:r>
      <w:r w:rsidR="00F570A3" w:rsidRPr="00B358B9">
        <w:rPr>
          <w:kern w:val="22"/>
          <w:szCs w:val="22"/>
        </w:rPr>
        <w:t xml:space="preserve">International development finance that </w:t>
      </w:r>
      <w:r w:rsidR="008A3C27" w:rsidRPr="00B358B9">
        <w:rPr>
          <w:kern w:val="22"/>
          <w:szCs w:val="22"/>
        </w:rPr>
        <w:t>integrate</w:t>
      </w:r>
      <w:r w:rsidR="00E51FE2" w:rsidRPr="00B358B9">
        <w:rPr>
          <w:kern w:val="22"/>
          <w:szCs w:val="22"/>
        </w:rPr>
        <w:t>s</w:t>
      </w:r>
      <w:r w:rsidR="008A3C27" w:rsidRPr="00B358B9">
        <w:rPr>
          <w:kern w:val="22"/>
          <w:szCs w:val="22"/>
        </w:rPr>
        <w:t xml:space="preserve"> biological diversity and its associated ecosystem </w:t>
      </w:r>
      <w:r w:rsidR="008A3C27" w:rsidRPr="00B358B9">
        <w:rPr>
          <w:rFonts w:eastAsia="MS Mincho"/>
          <w:kern w:val="22"/>
          <w:szCs w:val="22"/>
        </w:rPr>
        <w:t>services</w:t>
      </w:r>
      <w:r w:rsidR="00F570A3" w:rsidRPr="00B358B9">
        <w:rPr>
          <w:kern w:val="22"/>
          <w:szCs w:val="22"/>
        </w:rPr>
        <w:t xml:space="preserve">; </w:t>
      </w:r>
      <w:r w:rsidR="001E70DB" w:rsidRPr="00B358B9">
        <w:rPr>
          <w:kern w:val="22"/>
          <w:szCs w:val="22"/>
        </w:rPr>
        <w:t xml:space="preserve">and </w:t>
      </w:r>
      <w:r w:rsidR="00F570A3" w:rsidRPr="00B358B9">
        <w:rPr>
          <w:kern w:val="22"/>
          <w:szCs w:val="22"/>
        </w:rPr>
        <w:t>F</w:t>
      </w:r>
      <w:r w:rsidR="008A3C27" w:rsidRPr="00B358B9">
        <w:rPr>
          <w:kern w:val="22"/>
          <w:szCs w:val="22"/>
        </w:rPr>
        <w:t>unding mechanisms for climate change</w:t>
      </w:r>
      <w:r w:rsidR="00F570A3" w:rsidRPr="00B358B9">
        <w:rPr>
          <w:kern w:val="22"/>
          <w:szCs w:val="22"/>
        </w:rPr>
        <w:t xml:space="preserve"> under the United Nations Framework Convention</w:t>
      </w:r>
      <w:r w:rsidR="00F63873" w:rsidRPr="00B358B9">
        <w:rPr>
          <w:kern w:val="22"/>
          <w:szCs w:val="22"/>
        </w:rPr>
        <w:t xml:space="preserve"> o</w:t>
      </w:r>
      <w:r w:rsidR="00F570A3" w:rsidRPr="00B358B9">
        <w:rPr>
          <w:kern w:val="22"/>
          <w:szCs w:val="22"/>
        </w:rPr>
        <w:t>n Climate Change</w:t>
      </w:r>
      <w:r w:rsidR="00B52888" w:rsidRPr="00B358B9">
        <w:rPr>
          <w:kern w:val="22"/>
          <w:szCs w:val="22"/>
        </w:rPr>
        <w:t>.</w:t>
      </w:r>
    </w:p>
    <w:p w14:paraId="0A7B8265" w14:textId="14BE5AAB" w:rsidR="00136B14" w:rsidRPr="00B358B9" w:rsidRDefault="003846DA" w:rsidP="00B358B9">
      <w:pPr>
        <w:pStyle w:val="Para1"/>
        <w:numPr>
          <w:ilvl w:val="0"/>
          <w:numId w:val="110"/>
        </w:numPr>
        <w:suppressLineNumbers/>
        <w:suppressAutoHyphens/>
        <w:kinsoku w:val="0"/>
        <w:overflowPunct w:val="0"/>
        <w:autoSpaceDE w:val="0"/>
        <w:autoSpaceDN w:val="0"/>
        <w:adjustRightInd w:val="0"/>
        <w:snapToGrid w:val="0"/>
        <w:ind w:left="0" w:firstLine="0"/>
        <w:rPr>
          <w:caps/>
          <w:kern w:val="22"/>
          <w:szCs w:val="22"/>
        </w:rPr>
      </w:pPr>
      <w:r w:rsidRPr="00B358B9">
        <w:rPr>
          <w:kern w:val="22"/>
          <w:szCs w:val="22"/>
        </w:rPr>
        <w:t>The</w:t>
      </w:r>
      <w:r w:rsidR="00EE632E" w:rsidRPr="00B358B9">
        <w:rPr>
          <w:kern w:val="22"/>
          <w:szCs w:val="22"/>
        </w:rPr>
        <w:t>se</w:t>
      </w:r>
      <w:r w:rsidRPr="00B358B9">
        <w:rPr>
          <w:kern w:val="22"/>
          <w:szCs w:val="22"/>
        </w:rPr>
        <w:t xml:space="preserve"> mechanisms </w:t>
      </w:r>
      <w:r w:rsidR="00E51FE2" w:rsidRPr="00B358B9">
        <w:rPr>
          <w:kern w:val="22"/>
          <w:szCs w:val="22"/>
        </w:rPr>
        <w:t>are very diverse and are generally still in evolution</w:t>
      </w:r>
      <w:r w:rsidR="00C110A1" w:rsidRPr="00B358B9">
        <w:rPr>
          <w:kern w:val="22"/>
          <w:szCs w:val="22"/>
        </w:rPr>
        <w:t>.</w:t>
      </w:r>
      <w:r w:rsidR="00E51FE2" w:rsidRPr="00B358B9">
        <w:rPr>
          <w:kern w:val="22"/>
          <w:szCs w:val="22"/>
        </w:rPr>
        <w:t xml:space="preserve"> They operate at different levels, from international to project</w:t>
      </w:r>
      <w:r w:rsidR="00073724" w:rsidRPr="00B358B9">
        <w:rPr>
          <w:kern w:val="22"/>
          <w:szCs w:val="22"/>
        </w:rPr>
        <w:t xml:space="preserve"> and local </w:t>
      </w:r>
      <w:r w:rsidR="00F75A58" w:rsidRPr="00B358B9">
        <w:rPr>
          <w:kern w:val="22"/>
          <w:szCs w:val="22"/>
        </w:rPr>
        <w:t>levels</w:t>
      </w:r>
      <w:r w:rsidR="003E22D9" w:rsidRPr="00B358B9">
        <w:rPr>
          <w:kern w:val="22"/>
          <w:szCs w:val="22"/>
        </w:rPr>
        <w:t>, and are linked to, or designed through, a variety of policy process</w:t>
      </w:r>
      <w:r w:rsidR="00586F9C" w:rsidRPr="00B358B9">
        <w:rPr>
          <w:kern w:val="22"/>
          <w:szCs w:val="22"/>
        </w:rPr>
        <w:t>es</w:t>
      </w:r>
      <w:r w:rsidR="003E22D9" w:rsidRPr="00B358B9">
        <w:rPr>
          <w:kern w:val="22"/>
          <w:szCs w:val="22"/>
        </w:rPr>
        <w:t xml:space="preserve"> that may involve government institutions, private entities, civil society organizations and/or intergovernmental processes</w:t>
      </w:r>
      <w:r w:rsidR="00F75A58" w:rsidRPr="00B358B9">
        <w:rPr>
          <w:kern w:val="22"/>
          <w:szCs w:val="22"/>
        </w:rPr>
        <w:t xml:space="preserve">. </w:t>
      </w:r>
      <w:r w:rsidR="003E22D9" w:rsidRPr="00B358B9">
        <w:rPr>
          <w:kern w:val="22"/>
          <w:szCs w:val="22"/>
        </w:rPr>
        <w:t xml:space="preserve">In this context, processes for developing </w:t>
      </w:r>
      <w:r w:rsidR="007F70F9" w:rsidRPr="00B358B9">
        <w:rPr>
          <w:kern w:val="22"/>
          <w:szCs w:val="22"/>
        </w:rPr>
        <w:t xml:space="preserve">specific </w:t>
      </w:r>
      <w:r w:rsidR="003E22D9" w:rsidRPr="00B358B9">
        <w:rPr>
          <w:kern w:val="22"/>
          <w:szCs w:val="22"/>
        </w:rPr>
        <w:t xml:space="preserve">instruments for the application of safeguards </w:t>
      </w:r>
      <w:r w:rsidR="007F70F9" w:rsidRPr="00B358B9">
        <w:rPr>
          <w:kern w:val="22"/>
          <w:szCs w:val="22"/>
        </w:rPr>
        <w:t xml:space="preserve">are still in early phases and are taking different approaches. </w:t>
      </w:r>
      <w:r w:rsidR="00436730" w:rsidRPr="00B358B9">
        <w:rPr>
          <w:kern w:val="22"/>
          <w:szCs w:val="22"/>
        </w:rPr>
        <w:t>Given that t</w:t>
      </w:r>
      <w:r w:rsidR="007F70F9" w:rsidRPr="00B358B9">
        <w:rPr>
          <w:kern w:val="22"/>
          <w:szCs w:val="22"/>
        </w:rPr>
        <w:t xml:space="preserve">he </w:t>
      </w:r>
      <w:r w:rsidR="002C36C6" w:rsidRPr="00B358B9">
        <w:rPr>
          <w:kern w:val="22"/>
          <w:szCs w:val="22"/>
        </w:rPr>
        <w:t xml:space="preserve">Convention’s voluntary guidelines on safeguards in biodiversity financing </w:t>
      </w:r>
      <w:r w:rsidR="00D6739E" w:rsidRPr="00B358B9">
        <w:rPr>
          <w:kern w:val="22"/>
          <w:szCs w:val="22"/>
        </w:rPr>
        <w:t xml:space="preserve">mechanisms </w:t>
      </w:r>
      <w:r w:rsidR="00436730" w:rsidRPr="00B358B9">
        <w:rPr>
          <w:kern w:val="22"/>
          <w:szCs w:val="22"/>
        </w:rPr>
        <w:t xml:space="preserve">were adopted </w:t>
      </w:r>
      <w:r w:rsidR="00F47595" w:rsidRPr="00B358B9">
        <w:rPr>
          <w:kern w:val="22"/>
          <w:szCs w:val="22"/>
        </w:rPr>
        <w:t xml:space="preserve">only in </w:t>
      </w:r>
      <w:r w:rsidR="00F47595" w:rsidRPr="00B358B9">
        <w:rPr>
          <w:rFonts w:eastAsia="MS Mincho"/>
          <w:kern w:val="22"/>
          <w:szCs w:val="22"/>
        </w:rPr>
        <w:t>2014</w:t>
      </w:r>
      <w:r w:rsidR="00F47595" w:rsidRPr="00B358B9">
        <w:rPr>
          <w:kern w:val="22"/>
          <w:szCs w:val="22"/>
        </w:rPr>
        <w:t xml:space="preserve">, the </w:t>
      </w:r>
      <w:r w:rsidR="00FF4D3A" w:rsidRPr="00B358B9">
        <w:rPr>
          <w:kern w:val="22"/>
          <w:szCs w:val="22"/>
        </w:rPr>
        <w:t xml:space="preserve">Convention </w:t>
      </w:r>
      <w:r w:rsidR="00F47595" w:rsidRPr="00B358B9">
        <w:rPr>
          <w:kern w:val="22"/>
          <w:szCs w:val="22"/>
        </w:rPr>
        <w:t>may need to revisit their impact and effectiveness continuously and iteratively in the future.</w:t>
      </w:r>
    </w:p>
    <w:p w14:paraId="3F4612B7" w14:textId="7F20AD56" w:rsidR="00FB406C" w:rsidRPr="00B358B9" w:rsidRDefault="00556BFC"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bookmarkStart w:id="7" w:name="_Hlk498630703"/>
      <w:r w:rsidRPr="00B358B9">
        <w:rPr>
          <w:kern w:val="22"/>
          <w:szCs w:val="22"/>
        </w:rPr>
        <w:t>Pa</w:t>
      </w:r>
      <w:r w:rsidR="009D59BE" w:rsidRPr="00B358B9">
        <w:rPr>
          <w:kern w:val="22"/>
          <w:szCs w:val="22"/>
        </w:rPr>
        <w:t>ragraph</w:t>
      </w:r>
      <w:r w:rsidRPr="00B358B9">
        <w:rPr>
          <w:kern w:val="22"/>
          <w:szCs w:val="22"/>
        </w:rPr>
        <w:t>s</w:t>
      </w:r>
      <w:r w:rsidR="009D59BE" w:rsidRPr="00B358B9">
        <w:rPr>
          <w:kern w:val="22"/>
          <w:szCs w:val="22"/>
        </w:rPr>
        <w:t xml:space="preserve"> 3(b) </w:t>
      </w:r>
      <w:r w:rsidRPr="00B358B9">
        <w:rPr>
          <w:kern w:val="22"/>
          <w:szCs w:val="22"/>
        </w:rPr>
        <w:t xml:space="preserve">and (c) </w:t>
      </w:r>
      <w:r w:rsidR="009D59BE" w:rsidRPr="00B358B9">
        <w:rPr>
          <w:kern w:val="22"/>
          <w:szCs w:val="22"/>
        </w:rPr>
        <w:t xml:space="preserve">of the </w:t>
      </w:r>
      <w:bookmarkEnd w:id="7"/>
      <w:r w:rsidR="00F80FC6" w:rsidRPr="00B358B9">
        <w:rPr>
          <w:kern w:val="22"/>
          <w:szCs w:val="22"/>
        </w:rPr>
        <w:t>voluntary guidelines</w:t>
      </w:r>
      <w:r w:rsidR="009D59BE" w:rsidRPr="00B358B9">
        <w:rPr>
          <w:kern w:val="22"/>
          <w:szCs w:val="22"/>
        </w:rPr>
        <w:t xml:space="preserve"> recommend that</w:t>
      </w:r>
      <w:r w:rsidRPr="00B358B9">
        <w:rPr>
          <w:kern w:val="22"/>
          <w:szCs w:val="22"/>
        </w:rPr>
        <w:t>,</w:t>
      </w:r>
      <w:r w:rsidR="009D59BE" w:rsidRPr="00B358B9">
        <w:rPr>
          <w:kern w:val="22"/>
          <w:szCs w:val="22"/>
        </w:rPr>
        <w:t xml:space="preserve"> in defining the rights and responsibilities of actors and/or stakeholders in biodiversity financing mechanisms, </w:t>
      </w:r>
      <w:r w:rsidR="007F0A20" w:rsidRPr="00B358B9">
        <w:rPr>
          <w:kern w:val="22"/>
          <w:szCs w:val="22"/>
        </w:rPr>
        <w:t xml:space="preserve">as well as in designing their provisions, </w:t>
      </w:r>
      <w:bookmarkStart w:id="8" w:name="_Hlk499302892"/>
      <w:r w:rsidR="00F86A9C" w:rsidRPr="00B358B9">
        <w:rPr>
          <w:kern w:val="22"/>
          <w:szCs w:val="22"/>
        </w:rPr>
        <w:t xml:space="preserve">the </w:t>
      </w:r>
      <w:r w:rsidR="009D4806" w:rsidRPr="00B358B9">
        <w:rPr>
          <w:kern w:val="22"/>
          <w:szCs w:val="22"/>
        </w:rPr>
        <w:t>Convention on Biological Diversity and its relevant decisions, guidance and principles</w:t>
      </w:r>
      <w:bookmarkEnd w:id="8"/>
      <w:r w:rsidR="009D4806" w:rsidRPr="00B358B9">
        <w:rPr>
          <w:kern w:val="22"/>
          <w:szCs w:val="22"/>
        </w:rPr>
        <w:t xml:space="preserve"> </w:t>
      </w:r>
      <w:r w:rsidR="009D4806" w:rsidRPr="00B358B9">
        <w:rPr>
          <w:rFonts w:eastAsia="MS Mincho"/>
          <w:kern w:val="22"/>
          <w:szCs w:val="22"/>
        </w:rPr>
        <w:t>should</w:t>
      </w:r>
      <w:r w:rsidR="009D4806" w:rsidRPr="00B358B9">
        <w:rPr>
          <w:kern w:val="22"/>
          <w:szCs w:val="22"/>
        </w:rPr>
        <w:t xml:space="preserve"> be taken into account</w:t>
      </w:r>
      <w:r w:rsidR="00FA12B5" w:rsidRPr="00B358B9">
        <w:rPr>
          <w:kern w:val="22"/>
          <w:szCs w:val="22"/>
        </w:rPr>
        <w:t>.</w:t>
      </w:r>
      <w:r w:rsidR="00E36F4C" w:rsidRPr="00B358B9">
        <w:rPr>
          <w:kern w:val="22"/>
          <w:szCs w:val="22"/>
        </w:rPr>
        <w:t xml:space="preserve"> </w:t>
      </w:r>
      <w:r w:rsidR="007F0A20" w:rsidRPr="00B358B9">
        <w:rPr>
          <w:kern w:val="22"/>
          <w:szCs w:val="22"/>
        </w:rPr>
        <w:t>T</w:t>
      </w:r>
      <w:r w:rsidR="00F6364A" w:rsidRPr="00B358B9">
        <w:rPr>
          <w:kern w:val="22"/>
          <w:szCs w:val="22"/>
        </w:rPr>
        <w:t xml:space="preserve">he </w:t>
      </w:r>
      <w:r w:rsidR="0048651B" w:rsidRPr="00B358B9">
        <w:rPr>
          <w:kern w:val="22"/>
          <w:szCs w:val="22"/>
        </w:rPr>
        <w:t xml:space="preserve">Convention’s </w:t>
      </w:r>
      <w:r w:rsidR="00F6364A" w:rsidRPr="00B358B9">
        <w:rPr>
          <w:kern w:val="22"/>
          <w:szCs w:val="22"/>
        </w:rPr>
        <w:t xml:space="preserve">guidelines and principles emanating from the programme of work of Article 8(j) contain </w:t>
      </w:r>
      <w:r w:rsidR="00F04116" w:rsidRPr="00B358B9">
        <w:rPr>
          <w:kern w:val="22"/>
          <w:szCs w:val="22"/>
        </w:rPr>
        <w:t xml:space="preserve">relevant </w:t>
      </w:r>
      <w:r w:rsidR="00F6364A" w:rsidRPr="00B358B9">
        <w:rPr>
          <w:kern w:val="22"/>
          <w:szCs w:val="22"/>
        </w:rPr>
        <w:t xml:space="preserve">safeguard provisions for </w:t>
      </w:r>
      <w:r w:rsidR="005A54FC" w:rsidRPr="00B358B9">
        <w:rPr>
          <w:kern w:val="22"/>
          <w:szCs w:val="22"/>
        </w:rPr>
        <w:t>indigenous peoples and local communities</w:t>
      </w:r>
      <w:r w:rsidR="00F04116" w:rsidRPr="00B358B9">
        <w:rPr>
          <w:kern w:val="22"/>
          <w:szCs w:val="22"/>
        </w:rPr>
        <w:t xml:space="preserve"> which should be understood and used in a complementary way to </w:t>
      </w:r>
      <w:r w:rsidR="00932EF5" w:rsidRPr="00B358B9">
        <w:rPr>
          <w:kern w:val="22"/>
          <w:szCs w:val="22"/>
        </w:rPr>
        <w:t xml:space="preserve">or as part of </w:t>
      </w:r>
      <w:r w:rsidR="00F04116" w:rsidRPr="00B358B9">
        <w:rPr>
          <w:kern w:val="22"/>
          <w:szCs w:val="22"/>
        </w:rPr>
        <w:t xml:space="preserve">the </w:t>
      </w:r>
      <w:r w:rsidR="00912DF1" w:rsidRPr="00B358B9">
        <w:rPr>
          <w:kern w:val="22"/>
          <w:szCs w:val="22"/>
        </w:rPr>
        <w:t>Convention’s v</w:t>
      </w:r>
      <w:r w:rsidR="00F04116" w:rsidRPr="00B358B9">
        <w:rPr>
          <w:kern w:val="22"/>
          <w:szCs w:val="22"/>
        </w:rPr>
        <w:t xml:space="preserve">oluntary </w:t>
      </w:r>
      <w:r w:rsidR="00912DF1" w:rsidRPr="00B358B9">
        <w:rPr>
          <w:kern w:val="22"/>
          <w:szCs w:val="22"/>
        </w:rPr>
        <w:t>g</w:t>
      </w:r>
      <w:r w:rsidR="00F04116" w:rsidRPr="00B358B9">
        <w:rPr>
          <w:kern w:val="22"/>
          <w:szCs w:val="22"/>
        </w:rPr>
        <w:t>uidelines on safeguards in biodiversity financing mechanisms</w:t>
      </w:r>
      <w:r w:rsidR="00D93D9C" w:rsidRPr="00B358B9">
        <w:rPr>
          <w:kern w:val="22"/>
          <w:szCs w:val="22"/>
        </w:rPr>
        <w:t>, even if the thematic context in which they were developed was not necessarily focused on financing mechanisms</w:t>
      </w:r>
      <w:r w:rsidR="00FB51BB" w:rsidRPr="00B358B9">
        <w:rPr>
          <w:kern w:val="22"/>
          <w:szCs w:val="22"/>
        </w:rPr>
        <w:t>.</w:t>
      </w:r>
      <w:r w:rsidR="005062B4" w:rsidRPr="00B358B9">
        <w:rPr>
          <w:rStyle w:val="FootnoteReference"/>
          <w:kern w:val="22"/>
          <w:szCs w:val="22"/>
        </w:rPr>
        <w:footnoteReference w:id="17"/>
      </w:r>
    </w:p>
    <w:p w14:paraId="7E48CEE4" w14:textId="65E4E81E" w:rsidR="000D4F25" w:rsidRPr="00B358B9" w:rsidRDefault="006C7A6C"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An analysis of </w:t>
      </w:r>
      <w:r w:rsidR="001A3C97" w:rsidRPr="00B358B9">
        <w:rPr>
          <w:rFonts w:eastAsia="MS Mincho"/>
          <w:kern w:val="22"/>
          <w:szCs w:val="22"/>
        </w:rPr>
        <w:t>safeguard</w:t>
      </w:r>
      <w:r w:rsidR="001A3C97" w:rsidRPr="00B358B9">
        <w:rPr>
          <w:kern w:val="22"/>
          <w:szCs w:val="22"/>
        </w:rPr>
        <w:t>-related provisions in r</w:t>
      </w:r>
      <w:r w:rsidR="00122690" w:rsidRPr="00B358B9">
        <w:rPr>
          <w:kern w:val="22"/>
          <w:szCs w:val="22"/>
        </w:rPr>
        <w:t xml:space="preserve">elevant </w:t>
      </w:r>
      <w:r w:rsidR="00311A6C" w:rsidRPr="00B358B9">
        <w:rPr>
          <w:kern w:val="22"/>
          <w:szCs w:val="22"/>
        </w:rPr>
        <w:t xml:space="preserve">Convention </w:t>
      </w:r>
      <w:r w:rsidR="00122690" w:rsidRPr="00B358B9">
        <w:rPr>
          <w:kern w:val="22"/>
          <w:szCs w:val="22"/>
        </w:rPr>
        <w:t xml:space="preserve">decisions, guidance and principles </w:t>
      </w:r>
      <w:r w:rsidR="00173D16" w:rsidRPr="00B358B9">
        <w:rPr>
          <w:kern w:val="22"/>
          <w:szCs w:val="22"/>
        </w:rPr>
        <w:t>(</w:t>
      </w:r>
      <w:r w:rsidR="00244751">
        <w:rPr>
          <w:kern w:val="22"/>
          <w:szCs w:val="22"/>
        </w:rPr>
        <w:t>s</w:t>
      </w:r>
      <w:r w:rsidR="00173D16" w:rsidRPr="00B358B9">
        <w:rPr>
          <w:kern w:val="22"/>
          <w:szCs w:val="22"/>
        </w:rPr>
        <w:t xml:space="preserve">ee </w:t>
      </w:r>
      <w:hyperlink r:id="rId19" w:history="1">
        <w:r w:rsidR="00173D16" w:rsidRPr="00B358B9">
          <w:rPr>
            <w:rStyle w:val="Hyperlink"/>
            <w:kern w:val="22"/>
            <w:sz w:val="22"/>
            <w:szCs w:val="22"/>
          </w:rPr>
          <w:t>CBD/WG8J/10/INF/7</w:t>
        </w:r>
      </w:hyperlink>
      <w:r w:rsidR="00173D16" w:rsidRPr="00B358B9">
        <w:rPr>
          <w:kern w:val="22"/>
          <w:szCs w:val="22"/>
        </w:rPr>
        <w:t xml:space="preserve">) </w:t>
      </w:r>
      <w:r w:rsidR="009F4BD0" w:rsidRPr="00B358B9">
        <w:rPr>
          <w:kern w:val="22"/>
          <w:szCs w:val="22"/>
        </w:rPr>
        <w:t>shows that th</w:t>
      </w:r>
      <w:r w:rsidR="000D4F25" w:rsidRPr="00B358B9">
        <w:rPr>
          <w:kern w:val="22"/>
          <w:szCs w:val="22"/>
        </w:rPr>
        <w:t xml:space="preserve">e </w:t>
      </w:r>
      <w:r w:rsidR="00311A6C" w:rsidRPr="00B358B9">
        <w:rPr>
          <w:kern w:val="22"/>
          <w:szCs w:val="22"/>
        </w:rPr>
        <w:t xml:space="preserve">Convention </w:t>
      </w:r>
      <w:r w:rsidR="00680FA7" w:rsidRPr="00B358B9">
        <w:rPr>
          <w:kern w:val="22"/>
          <w:szCs w:val="22"/>
        </w:rPr>
        <w:t xml:space="preserve">has been constantly concerned about, and actively responding to the need for safeguards to protect </w:t>
      </w:r>
      <w:r w:rsidR="00055DDF" w:rsidRPr="00B358B9">
        <w:rPr>
          <w:kern w:val="22"/>
          <w:szCs w:val="22"/>
        </w:rPr>
        <w:t xml:space="preserve">the rights and livelihoods of </w:t>
      </w:r>
      <w:r w:rsidR="005A54FC" w:rsidRPr="00B358B9">
        <w:rPr>
          <w:kern w:val="22"/>
          <w:szCs w:val="22"/>
        </w:rPr>
        <w:t>indigenous peoples and local communities</w:t>
      </w:r>
      <w:r w:rsidR="00680FA7" w:rsidRPr="00B358B9">
        <w:rPr>
          <w:kern w:val="22"/>
          <w:szCs w:val="22"/>
        </w:rPr>
        <w:t xml:space="preserve"> in the context of the design and implementation of development, conservation or financing actions, even before adopting the Convention’s voluntary guidelines on safeguards in biodiversity financing mechanisms. </w:t>
      </w:r>
      <w:r w:rsidR="00D30785" w:rsidRPr="00B358B9">
        <w:rPr>
          <w:kern w:val="22"/>
          <w:szCs w:val="22"/>
        </w:rPr>
        <w:t xml:space="preserve">The </w:t>
      </w:r>
      <w:r w:rsidR="00E973E5" w:rsidRPr="00B358B9">
        <w:rPr>
          <w:kern w:val="22"/>
          <w:szCs w:val="22"/>
        </w:rPr>
        <w:t xml:space="preserve">Convention </w:t>
      </w:r>
      <w:r w:rsidR="009F4BD0" w:rsidRPr="00B358B9">
        <w:rPr>
          <w:kern w:val="22"/>
          <w:szCs w:val="22"/>
        </w:rPr>
        <w:t xml:space="preserve">has </w:t>
      </w:r>
      <w:r w:rsidR="00CA75EB" w:rsidRPr="00B358B9">
        <w:rPr>
          <w:kern w:val="22"/>
          <w:szCs w:val="22"/>
        </w:rPr>
        <w:t xml:space="preserve">focused </w:t>
      </w:r>
      <w:r w:rsidR="00E36F4C" w:rsidRPr="00B358B9">
        <w:rPr>
          <w:kern w:val="22"/>
          <w:szCs w:val="22"/>
        </w:rPr>
        <w:t xml:space="preserve">mainly </w:t>
      </w:r>
      <w:r w:rsidR="000D4F25" w:rsidRPr="00B358B9">
        <w:rPr>
          <w:kern w:val="22"/>
          <w:szCs w:val="22"/>
        </w:rPr>
        <w:t>on the following elements of safeguards</w:t>
      </w:r>
      <w:r w:rsidR="008428E7" w:rsidRPr="00B358B9">
        <w:rPr>
          <w:kern w:val="22"/>
          <w:szCs w:val="22"/>
        </w:rPr>
        <w:t xml:space="preserve"> for development or conservation actions</w:t>
      </w:r>
      <w:r w:rsidR="000D4F25" w:rsidRPr="00B358B9">
        <w:rPr>
          <w:kern w:val="22"/>
          <w:szCs w:val="22"/>
        </w:rPr>
        <w:t>:</w:t>
      </w:r>
    </w:p>
    <w:p w14:paraId="4A360DEB" w14:textId="77777777" w:rsidR="000D4F25" w:rsidRPr="00B358B9" w:rsidRDefault="00932EF5"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S</w:t>
      </w:r>
      <w:r w:rsidR="00CA75EB" w:rsidRPr="00B358B9">
        <w:rPr>
          <w:kern w:val="22"/>
          <w:szCs w:val="22"/>
        </w:rPr>
        <w:t>ubstantive aspects of safeguards, such as the protection of biodiversity-related livelihoods</w:t>
      </w:r>
      <w:r w:rsidR="000D4F25" w:rsidRPr="00B358B9">
        <w:rPr>
          <w:kern w:val="22"/>
          <w:szCs w:val="22"/>
        </w:rPr>
        <w:t>;</w:t>
      </w:r>
    </w:p>
    <w:p w14:paraId="16C0CB69" w14:textId="77777777" w:rsidR="00190120" w:rsidRPr="00B358B9" w:rsidRDefault="00932EF5"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P</w:t>
      </w:r>
      <w:r w:rsidR="000D4F25" w:rsidRPr="00B358B9">
        <w:rPr>
          <w:kern w:val="22"/>
          <w:szCs w:val="22"/>
        </w:rPr>
        <w:t>rotection of the rights of traditional knowledge holders;</w:t>
      </w:r>
    </w:p>
    <w:p w14:paraId="7D484937" w14:textId="1FBE33D6" w:rsidR="000D4F25" w:rsidRPr="00B358B9" w:rsidRDefault="00420859"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P</w:t>
      </w:r>
      <w:r w:rsidR="00190120" w:rsidRPr="00B358B9">
        <w:rPr>
          <w:kern w:val="22"/>
          <w:szCs w:val="22"/>
        </w:rPr>
        <w:t xml:space="preserve">rotection of </w:t>
      </w:r>
      <w:r w:rsidR="00586F9C" w:rsidRPr="00B358B9">
        <w:rPr>
          <w:kern w:val="22"/>
          <w:szCs w:val="22"/>
        </w:rPr>
        <w:t xml:space="preserve">tangible </w:t>
      </w:r>
      <w:r w:rsidR="00190120" w:rsidRPr="00B358B9">
        <w:rPr>
          <w:kern w:val="22"/>
          <w:szCs w:val="22"/>
        </w:rPr>
        <w:t xml:space="preserve">and </w:t>
      </w:r>
      <w:r w:rsidR="00586F9C" w:rsidRPr="00B358B9">
        <w:rPr>
          <w:kern w:val="22"/>
          <w:szCs w:val="22"/>
        </w:rPr>
        <w:t xml:space="preserve"> intangible </w:t>
      </w:r>
      <w:r w:rsidR="00190120" w:rsidRPr="00B358B9">
        <w:rPr>
          <w:kern w:val="22"/>
          <w:szCs w:val="22"/>
        </w:rPr>
        <w:t xml:space="preserve">cultural heritage of </w:t>
      </w:r>
      <w:r w:rsidR="005A54FC" w:rsidRPr="00B358B9">
        <w:rPr>
          <w:kern w:val="22"/>
          <w:szCs w:val="22"/>
        </w:rPr>
        <w:t>indigenous peoples and local communities</w:t>
      </w:r>
      <w:r w:rsidR="00190120" w:rsidRPr="00B358B9">
        <w:rPr>
          <w:kern w:val="22"/>
          <w:szCs w:val="22"/>
        </w:rPr>
        <w:t>, such as sacred sites and cultural values;</w:t>
      </w:r>
    </w:p>
    <w:p w14:paraId="592DCD86" w14:textId="77777777" w:rsidR="008428E7" w:rsidRPr="00B358B9" w:rsidRDefault="00932EF5"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P</w:t>
      </w:r>
      <w:r w:rsidR="008428E7" w:rsidRPr="00B358B9">
        <w:rPr>
          <w:kern w:val="22"/>
          <w:szCs w:val="22"/>
        </w:rPr>
        <w:t xml:space="preserve">rotection against risks of further </w:t>
      </w:r>
      <w:r w:rsidR="00190120" w:rsidRPr="00B358B9">
        <w:rPr>
          <w:kern w:val="22"/>
          <w:szCs w:val="22"/>
        </w:rPr>
        <w:t xml:space="preserve">livelihood </w:t>
      </w:r>
      <w:r w:rsidR="008428E7" w:rsidRPr="00B358B9">
        <w:rPr>
          <w:kern w:val="22"/>
          <w:szCs w:val="22"/>
        </w:rPr>
        <w:t>inequities</w:t>
      </w:r>
      <w:r w:rsidR="00CA75EB" w:rsidRPr="00B358B9">
        <w:rPr>
          <w:kern w:val="22"/>
          <w:szCs w:val="22"/>
        </w:rPr>
        <w:t xml:space="preserve">, </w:t>
      </w:r>
      <w:r w:rsidR="008428E7" w:rsidRPr="00B358B9">
        <w:rPr>
          <w:kern w:val="22"/>
          <w:szCs w:val="22"/>
        </w:rPr>
        <w:t xml:space="preserve">including in relation to gender and intergenerational </w:t>
      </w:r>
      <w:r w:rsidR="00190120" w:rsidRPr="00B358B9">
        <w:rPr>
          <w:kern w:val="22"/>
          <w:szCs w:val="22"/>
        </w:rPr>
        <w:t>equity</w:t>
      </w:r>
      <w:r w:rsidR="008428E7" w:rsidRPr="00B358B9">
        <w:rPr>
          <w:kern w:val="22"/>
          <w:szCs w:val="22"/>
        </w:rPr>
        <w:t>;</w:t>
      </w:r>
    </w:p>
    <w:p w14:paraId="4D3261F9" w14:textId="77777777" w:rsidR="008428E7" w:rsidRPr="00B358B9" w:rsidRDefault="00932EF5"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A</w:t>
      </w:r>
      <w:r w:rsidR="008428E7" w:rsidRPr="00B358B9">
        <w:rPr>
          <w:kern w:val="22"/>
          <w:szCs w:val="22"/>
        </w:rPr>
        <w:t>dvance measures to move beyond defensive safeguards regarding the equitable sharing of benefits from development and conservation actions;</w:t>
      </w:r>
    </w:p>
    <w:p w14:paraId="20E57490" w14:textId="77777777" w:rsidR="008428E7" w:rsidRPr="00B358B9" w:rsidRDefault="00932EF5"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P</w:t>
      </w:r>
      <w:r w:rsidR="00CA75EB" w:rsidRPr="00B358B9">
        <w:rPr>
          <w:kern w:val="22"/>
          <w:szCs w:val="22"/>
        </w:rPr>
        <w:t>rocedural</w:t>
      </w:r>
      <w:r w:rsidR="008428E7" w:rsidRPr="00B358B9">
        <w:rPr>
          <w:kern w:val="22"/>
          <w:szCs w:val="22"/>
        </w:rPr>
        <w:t xml:space="preserve"> aspects of safeguards</w:t>
      </w:r>
      <w:r w:rsidR="00CA75EB" w:rsidRPr="00B358B9">
        <w:rPr>
          <w:kern w:val="22"/>
          <w:szCs w:val="22"/>
        </w:rPr>
        <w:t>, in particular the requirements for full</w:t>
      </w:r>
      <w:r w:rsidR="00B94D5A" w:rsidRPr="00B358B9">
        <w:rPr>
          <w:kern w:val="22"/>
          <w:szCs w:val="22"/>
        </w:rPr>
        <w:t xml:space="preserve"> </w:t>
      </w:r>
      <w:r w:rsidR="00CA75EB" w:rsidRPr="00B358B9">
        <w:rPr>
          <w:kern w:val="22"/>
          <w:szCs w:val="22"/>
        </w:rPr>
        <w:t xml:space="preserve">and effective participation of </w:t>
      </w:r>
      <w:r w:rsidR="009E6A85" w:rsidRPr="00B358B9">
        <w:rPr>
          <w:kern w:val="22"/>
          <w:szCs w:val="22"/>
        </w:rPr>
        <w:t>indigenous peoples and local communities</w:t>
      </w:r>
      <w:r w:rsidR="004D7064" w:rsidRPr="00B358B9">
        <w:rPr>
          <w:kern w:val="22"/>
          <w:szCs w:val="22"/>
        </w:rPr>
        <w:t xml:space="preserve"> </w:t>
      </w:r>
      <w:r w:rsidR="008428E7" w:rsidRPr="00B358B9">
        <w:rPr>
          <w:kern w:val="22"/>
          <w:szCs w:val="22"/>
        </w:rPr>
        <w:t>in the design and implementation of development and conservation actions that touch on their lands and resources</w:t>
      </w:r>
      <w:r w:rsidR="00190120" w:rsidRPr="00B358B9">
        <w:rPr>
          <w:kern w:val="22"/>
          <w:szCs w:val="22"/>
        </w:rPr>
        <w:t xml:space="preserve"> and their related livelihoods and cultures</w:t>
      </w:r>
      <w:r w:rsidR="008428E7" w:rsidRPr="00B358B9">
        <w:rPr>
          <w:kern w:val="22"/>
          <w:szCs w:val="22"/>
        </w:rPr>
        <w:t>;</w:t>
      </w:r>
    </w:p>
    <w:p w14:paraId="1DB56965" w14:textId="77777777" w:rsidR="00190120" w:rsidRPr="00B358B9" w:rsidRDefault="00932EF5"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R</w:t>
      </w:r>
      <w:r w:rsidR="00190120" w:rsidRPr="00B358B9">
        <w:rPr>
          <w:kern w:val="22"/>
          <w:szCs w:val="22"/>
        </w:rPr>
        <w:t xml:space="preserve">equirements for transparency and sharing of information in accessible manner for </w:t>
      </w:r>
      <w:r w:rsidR="009E6A85" w:rsidRPr="00B358B9">
        <w:rPr>
          <w:kern w:val="22"/>
          <w:szCs w:val="22"/>
        </w:rPr>
        <w:t>indigenous peoples and local communities</w:t>
      </w:r>
      <w:r w:rsidR="004D7064" w:rsidRPr="00B358B9">
        <w:rPr>
          <w:kern w:val="22"/>
          <w:szCs w:val="22"/>
        </w:rPr>
        <w:t xml:space="preserve"> </w:t>
      </w:r>
      <w:r w:rsidR="00190120" w:rsidRPr="00B358B9">
        <w:rPr>
          <w:kern w:val="22"/>
          <w:szCs w:val="22"/>
        </w:rPr>
        <w:t>so that they can use it for informed involvement;</w:t>
      </w:r>
    </w:p>
    <w:p w14:paraId="5398FA31" w14:textId="77777777" w:rsidR="00190120" w:rsidRPr="00B358B9" w:rsidRDefault="00476FB2"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I</w:t>
      </w:r>
      <w:r w:rsidR="005A54FC" w:rsidRPr="00B358B9">
        <w:rPr>
          <w:kern w:val="22"/>
          <w:szCs w:val="22"/>
        </w:rPr>
        <w:t>ndigenous peoples and local communities</w:t>
      </w:r>
      <w:r w:rsidR="00B90432" w:rsidRPr="00B358B9">
        <w:rPr>
          <w:kern w:val="22"/>
          <w:szCs w:val="22"/>
        </w:rPr>
        <w:t>’</w:t>
      </w:r>
      <w:r w:rsidR="00190120" w:rsidRPr="00B358B9">
        <w:rPr>
          <w:kern w:val="22"/>
          <w:szCs w:val="22"/>
        </w:rPr>
        <w:t xml:space="preserve"> </w:t>
      </w:r>
      <w:r w:rsidR="008A71F6" w:rsidRPr="00B358B9">
        <w:rPr>
          <w:kern w:val="22"/>
          <w:szCs w:val="22"/>
        </w:rPr>
        <w:t>free, prior and informed consent or approval for implementation of actions that could bring threats to their r</w:t>
      </w:r>
      <w:r w:rsidR="001B6C90" w:rsidRPr="00B358B9">
        <w:rPr>
          <w:kern w:val="22"/>
          <w:szCs w:val="22"/>
        </w:rPr>
        <w:t>ights, cultures and livelihoods;</w:t>
      </w:r>
    </w:p>
    <w:p w14:paraId="2EC313FA" w14:textId="77777777" w:rsidR="001B6C90" w:rsidRPr="00B358B9" w:rsidRDefault="001B6C90"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Integration of measures of redress in cases where impacts have been generated or are unavoidable.</w:t>
      </w:r>
    </w:p>
    <w:p w14:paraId="0CE2200F" w14:textId="7CB291E4" w:rsidR="00556BFC" w:rsidRPr="00B358B9" w:rsidRDefault="000860E6"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Some </w:t>
      </w:r>
      <w:r w:rsidR="00851A4F" w:rsidRPr="00B358B9">
        <w:rPr>
          <w:kern w:val="22"/>
          <w:szCs w:val="22"/>
        </w:rPr>
        <w:t xml:space="preserve">of the indicated provisions correspond directly to the </w:t>
      </w:r>
      <w:r w:rsidR="002C36C6" w:rsidRPr="00B358B9">
        <w:rPr>
          <w:kern w:val="22"/>
          <w:szCs w:val="22"/>
        </w:rPr>
        <w:t>Convention’s voluntary guidelines on safeguards in biodiversity financing mechanisms</w:t>
      </w:r>
      <w:r w:rsidR="00BE0B44" w:rsidRPr="00B358B9">
        <w:rPr>
          <w:kern w:val="22"/>
          <w:szCs w:val="22"/>
        </w:rPr>
        <w:t xml:space="preserve">, </w:t>
      </w:r>
      <w:r w:rsidR="00E36F4C" w:rsidRPr="00B358B9">
        <w:rPr>
          <w:kern w:val="22"/>
          <w:szCs w:val="22"/>
        </w:rPr>
        <w:t xml:space="preserve">which </w:t>
      </w:r>
      <w:r w:rsidR="00EF0E63" w:rsidRPr="00B358B9">
        <w:rPr>
          <w:kern w:val="22"/>
          <w:szCs w:val="22"/>
        </w:rPr>
        <w:t xml:space="preserve">elaborate further on </w:t>
      </w:r>
      <w:r w:rsidR="000C02D6" w:rsidRPr="00B358B9">
        <w:rPr>
          <w:kern w:val="22"/>
          <w:szCs w:val="22"/>
        </w:rPr>
        <w:t xml:space="preserve">those </w:t>
      </w:r>
      <w:r w:rsidR="00EF0E63" w:rsidRPr="00B358B9">
        <w:rPr>
          <w:kern w:val="22"/>
          <w:szCs w:val="22"/>
        </w:rPr>
        <w:t>substantive and procedural elements. Therefore, t</w:t>
      </w:r>
      <w:r w:rsidR="00EF5918" w:rsidRPr="00B358B9">
        <w:rPr>
          <w:kern w:val="22"/>
          <w:szCs w:val="22"/>
        </w:rPr>
        <w:t xml:space="preserve">he safeguard provisions of </w:t>
      </w:r>
      <w:r w:rsidR="00932EF5" w:rsidRPr="00B358B9">
        <w:rPr>
          <w:kern w:val="22"/>
          <w:szCs w:val="22"/>
        </w:rPr>
        <w:t>previously adopted guidelines and principles</w:t>
      </w:r>
      <w:r w:rsidR="00851A4F" w:rsidRPr="00B358B9">
        <w:rPr>
          <w:kern w:val="22"/>
          <w:szCs w:val="22"/>
        </w:rPr>
        <w:t xml:space="preserve"> </w:t>
      </w:r>
      <w:r w:rsidR="003D5CE0" w:rsidRPr="00B358B9">
        <w:rPr>
          <w:kern w:val="22"/>
          <w:szCs w:val="22"/>
        </w:rPr>
        <w:t xml:space="preserve">are directly </w:t>
      </w:r>
      <w:r w:rsidR="003D5CE0" w:rsidRPr="00B358B9">
        <w:rPr>
          <w:rFonts w:eastAsia="MS Mincho"/>
          <w:kern w:val="22"/>
          <w:szCs w:val="22"/>
        </w:rPr>
        <w:t>pertinent</w:t>
      </w:r>
      <w:r w:rsidR="003D5CE0" w:rsidRPr="00B358B9">
        <w:rPr>
          <w:kern w:val="22"/>
          <w:szCs w:val="22"/>
        </w:rPr>
        <w:t xml:space="preserve"> </w:t>
      </w:r>
      <w:r w:rsidR="00BE0B44" w:rsidRPr="00B358B9">
        <w:rPr>
          <w:kern w:val="22"/>
          <w:szCs w:val="22"/>
        </w:rPr>
        <w:t xml:space="preserve">to the </w:t>
      </w:r>
      <w:r w:rsidR="002C36C6" w:rsidRPr="00B358B9">
        <w:rPr>
          <w:kern w:val="22"/>
          <w:szCs w:val="22"/>
        </w:rPr>
        <w:t xml:space="preserve">Convention’s voluntary guidelines on safeguards in biodiversity financing mechanisms </w:t>
      </w:r>
      <w:r w:rsidR="00EF0E63" w:rsidRPr="00B358B9">
        <w:rPr>
          <w:kern w:val="22"/>
          <w:szCs w:val="22"/>
        </w:rPr>
        <w:t xml:space="preserve">and </w:t>
      </w:r>
      <w:r w:rsidR="003D5CE0" w:rsidRPr="00B358B9">
        <w:rPr>
          <w:kern w:val="22"/>
          <w:szCs w:val="22"/>
        </w:rPr>
        <w:t xml:space="preserve">constitute </w:t>
      </w:r>
      <w:r w:rsidR="00851A4F" w:rsidRPr="00B358B9">
        <w:rPr>
          <w:kern w:val="22"/>
          <w:szCs w:val="22"/>
        </w:rPr>
        <w:t xml:space="preserve">applicable </w:t>
      </w:r>
      <w:r w:rsidR="003D5CE0" w:rsidRPr="00B358B9">
        <w:rPr>
          <w:kern w:val="22"/>
          <w:szCs w:val="22"/>
        </w:rPr>
        <w:t xml:space="preserve">complementary </w:t>
      </w:r>
      <w:r w:rsidR="00851A4F" w:rsidRPr="00B358B9">
        <w:rPr>
          <w:kern w:val="22"/>
          <w:szCs w:val="22"/>
        </w:rPr>
        <w:t>guidance</w:t>
      </w:r>
      <w:r w:rsidR="00EF5918" w:rsidRPr="00B358B9">
        <w:rPr>
          <w:kern w:val="22"/>
          <w:szCs w:val="22"/>
        </w:rPr>
        <w:t xml:space="preserve"> </w:t>
      </w:r>
      <w:r w:rsidR="00851A4F" w:rsidRPr="00B358B9">
        <w:rPr>
          <w:kern w:val="22"/>
          <w:szCs w:val="22"/>
        </w:rPr>
        <w:t>for the development of financing mechanisms.</w:t>
      </w:r>
    </w:p>
    <w:p w14:paraId="59F4A8CE" w14:textId="7F398F3D" w:rsidR="005D74B5" w:rsidRPr="00B358B9" w:rsidRDefault="003D5CE0"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bookmarkStart w:id="12" w:name="_Hlk499304279"/>
      <w:r w:rsidRPr="00B358B9">
        <w:rPr>
          <w:kern w:val="22"/>
          <w:szCs w:val="22"/>
        </w:rPr>
        <w:t xml:space="preserve">Some </w:t>
      </w:r>
      <w:r w:rsidRPr="00B358B9">
        <w:rPr>
          <w:rFonts w:eastAsia="MS Mincho"/>
          <w:kern w:val="22"/>
          <w:szCs w:val="22"/>
        </w:rPr>
        <w:t>specific</w:t>
      </w:r>
      <w:r w:rsidRPr="00B358B9">
        <w:rPr>
          <w:kern w:val="22"/>
          <w:szCs w:val="22"/>
        </w:rPr>
        <w:t xml:space="preserve"> topics </w:t>
      </w:r>
      <w:r w:rsidR="004112E0" w:rsidRPr="00B358B9">
        <w:rPr>
          <w:kern w:val="22"/>
          <w:szCs w:val="22"/>
        </w:rPr>
        <w:t xml:space="preserve">from the </w:t>
      </w:r>
      <w:bookmarkStart w:id="13" w:name="_Hlk499301515"/>
      <w:r w:rsidR="004112E0" w:rsidRPr="00B358B9">
        <w:rPr>
          <w:kern w:val="22"/>
          <w:szCs w:val="22"/>
        </w:rPr>
        <w:t>rel</w:t>
      </w:r>
      <w:r w:rsidR="00827947" w:rsidRPr="00B358B9">
        <w:rPr>
          <w:kern w:val="22"/>
          <w:szCs w:val="22"/>
        </w:rPr>
        <w:t xml:space="preserve">evant </w:t>
      </w:r>
      <w:r w:rsidR="00F40107" w:rsidRPr="00B358B9">
        <w:rPr>
          <w:kern w:val="22"/>
          <w:szCs w:val="22"/>
        </w:rPr>
        <w:t xml:space="preserve">Convention </w:t>
      </w:r>
      <w:r w:rsidR="00827947" w:rsidRPr="00B358B9">
        <w:rPr>
          <w:kern w:val="22"/>
          <w:szCs w:val="22"/>
        </w:rPr>
        <w:t>decisions, guidance and principles</w:t>
      </w:r>
      <w:bookmarkEnd w:id="13"/>
      <w:r w:rsidR="00827947" w:rsidRPr="00B358B9">
        <w:rPr>
          <w:kern w:val="22"/>
          <w:szCs w:val="22"/>
        </w:rPr>
        <w:t xml:space="preserve"> </w:t>
      </w:r>
      <w:r w:rsidR="004E615C" w:rsidRPr="00B358B9">
        <w:rPr>
          <w:kern w:val="22"/>
          <w:szCs w:val="22"/>
        </w:rPr>
        <w:t xml:space="preserve">prior to the adoption of the Convention’s voluntary guidelines on safeguards in biodiversity financing mechanisms </w:t>
      </w:r>
      <w:r w:rsidR="00B83521" w:rsidRPr="00B358B9">
        <w:rPr>
          <w:kern w:val="22"/>
          <w:szCs w:val="22"/>
        </w:rPr>
        <w:t xml:space="preserve">that </w:t>
      </w:r>
      <w:r w:rsidR="004E615C" w:rsidRPr="00B358B9">
        <w:rPr>
          <w:kern w:val="22"/>
          <w:szCs w:val="22"/>
        </w:rPr>
        <w:t>complement</w:t>
      </w:r>
      <w:r w:rsidR="00B83521" w:rsidRPr="00B358B9">
        <w:rPr>
          <w:kern w:val="22"/>
          <w:szCs w:val="22"/>
        </w:rPr>
        <w:t xml:space="preserve"> them are the following</w:t>
      </w:r>
      <w:bookmarkEnd w:id="12"/>
      <w:r w:rsidR="005D74B5" w:rsidRPr="00B358B9">
        <w:rPr>
          <w:kern w:val="22"/>
          <w:szCs w:val="22"/>
        </w:rPr>
        <w:t>:</w:t>
      </w:r>
    </w:p>
    <w:p w14:paraId="19FCBA02" w14:textId="77777777" w:rsidR="005D74B5" w:rsidRPr="00B358B9" w:rsidRDefault="00B83521"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bookmarkStart w:id="14" w:name="_Hlk499304314"/>
      <w:bookmarkStart w:id="15" w:name="_Hlk498550685"/>
      <w:r w:rsidRPr="00B358B9">
        <w:rPr>
          <w:kern w:val="22"/>
          <w:szCs w:val="22"/>
        </w:rPr>
        <w:t>P</w:t>
      </w:r>
      <w:r w:rsidR="005D74B5" w:rsidRPr="00B358B9">
        <w:rPr>
          <w:kern w:val="22"/>
          <w:szCs w:val="22"/>
        </w:rPr>
        <w:t>rovisions to ensure equity, or reduce risks of inequity, in benefit sharing</w:t>
      </w:r>
      <w:r w:rsidRPr="00B358B9">
        <w:rPr>
          <w:kern w:val="22"/>
          <w:szCs w:val="22"/>
        </w:rPr>
        <w:t>;</w:t>
      </w:r>
    </w:p>
    <w:p w14:paraId="0F78AA08" w14:textId="5E3900A8" w:rsidR="005D74B5" w:rsidRPr="00B358B9" w:rsidRDefault="00B14CD7"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C</w:t>
      </w:r>
      <w:r w:rsidR="005D74B5" w:rsidRPr="00B358B9">
        <w:rPr>
          <w:kern w:val="22"/>
          <w:szCs w:val="22"/>
        </w:rPr>
        <w:t>ultural impact assessment procedures</w:t>
      </w:r>
      <w:r w:rsidRPr="00B358B9">
        <w:rPr>
          <w:kern w:val="22"/>
          <w:szCs w:val="22"/>
        </w:rPr>
        <w:t>, including specifically</w:t>
      </w:r>
      <w:r w:rsidR="00586F9C" w:rsidRPr="00B358B9">
        <w:rPr>
          <w:kern w:val="22"/>
          <w:szCs w:val="22"/>
        </w:rPr>
        <w:t>,</w:t>
      </w:r>
      <w:r w:rsidRPr="00B358B9">
        <w:rPr>
          <w:kern w:val="22"/>
          <w:szCs w:val="22"/>
        </w:rPr>
        <w:t xml:space="preserve"> </w:t>
      </w:r>
      <w:r w:rsidR="005D74B5" w:rsidRPr="00B358B9">
        <w:rPr>
          <w:kern w:val="22"/>
          <w:szCs w:val="22"/>
        </w:rPr>
        <w:t xml:space="preserve">respect for the </w:t>
      </w:r>
      <w:r w:rsidR="00586F9C" w:rsidRPr="00B358B9">
        <w:rPr>
          <w:kern w:val="22"/>
          <w:szCs w:val="22"/>
        </w:rPr>
        <w:t xml:space="preserve">social </w:t>
      </w:r>
      <w:r w:rsidR="005D74B5" w:rsidRPr="00B358B9">
        <w:rPr>
          <w:kern w:val="22"/>
          <w:szCs w:val="22"/>
        </w:rPr>
        <w:t xml:space="preserve">spiritual </w:t>
      </w:r>
      <w:r w:rsidR="00586F9C" w:rsidRPr="00B358B9">
        <w:rPr>
          <w:kern w:val="22"/>
          <w:szCs w:val="22"/>
        </w:rPr>
        <w:t xml:space="preserve">and cultural </w:t>
      </w:r>
      <w:r w:rsidR="005D74B5" w:rsidRPr="00B358B9">
        <w:rPr>
          <w:kern w:val="22"/>
          <w:szCs w:val="22"/>
        </w:rPr>
        <w:t>values</w:t>
      </w:r>
      <w:r w:rsidR="00586F9C" w:rsidRPr="00B358B9">
        <w:rPr>
          <w:kern w:val="22"/>
          <w:szCs w:val="22"/>
        </w:rPr>
        <w:t xml:space="preserve"> </w:t>
      </w:r>
      <w:r w:rsidR="005D74B5" w:rsidRPr="00B358B9">
        <w:rPr>
          <w:kern w:val="22"/>
          <w:szCs w:val="22"/>
        </w:rPr>
        <w:t xml:space="preserve">of </w:t>
      </w:r>
      <w:r w:rsidR="002818CE" w:rsidRPr="00B358B9">
        <w:rPr>
          <w:kern w:val="22"/>
          <w:szCs w:val="22"/>
        </w:rPr>
        <w:t>indigenous peoples and local communities</w:t>
      </w:r>
      <w:r w:rsidR="0006171D" w:rsidRPr="00B358B9">
        <w:rPr>
          <w:kern w:val="22"/>
          <w:szCs w:val="22"/>
        </w:rPr>
        <w:t>;</w:t>
      </w:r>
    </w:p>
    <w:p w14:paraId="231FBD70" w14:textId="77777777" w:rsidR="005D74B5" w:rsidRPr="00B358B9" w:rsidRDefault="0006171D"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Respect of c</w:t>
      </w:r>
      <w:r w:rsidR="005D74B5" w:rsidRPr="00B358B9">
        <w:rPr>
          <w:kern w:val="22"/>
          <w:szCs w:val="22"/>
        </w:rPr>
        <w:t xml:space="preserve">ustomary use </w:t>
      </w:r>
      <w:r w:rsidRPr="00B358B9">
        <w:rPr>
          <w:kern w:val="22"/>
          <w:szCs w:val="22"/>
        </w:rPr>
        <w:t xml:space="preserve">as part </w:t>
      </w:r>
      <w:r w:rsidR="005D74B5" w:rsidRPr="00B358B9">
        <w:rPr>
          <w:kern w:val="22"/>
          <w:szCs w:val="22"/>
        </w:rPr>
        <w:t>avoidance of risks</w:t>
      </w:r>
      <w:r w:rsidRPr="00B358B9">
        <w:rPr>
          <w:kern w:val="22"/>
          <w:szCs w:val="22"/>
        </w:rPr>
        <w:t>;</w:t>
      </w:r>
    </w:p>
    <w:p w14:paraId="13B344F0" w14:textId="77777777" w:rsidR="005D74B5" w:rsidRPr="00B358B9" w:rsidRDefault="0006171D" w:rsidP="00B358B9">
      <w:pPr>
        <w:pStyle w:val="Para1"/>
        <w:numPr>
          <w:ilvl w:val="1"/>
          <w:numId w:val="110"/>
        </w:numPr>
        <w:suppressLineNumbers/>
        <w:suppressAutoHyphens/>
        <w:kinsoku w:val="0"/>
        <w:overflowPunct w:val="0"/>
        <w:autoSpaceDE w:val="0"/>
        <w:autoSpaceDN w:val="0"/>
        <w:adjustRightInd w:val="0"/>
        <w:snapToGrid w:val="0"/>
        <w:spacing w:before="0"/>
        <w:ind w:left="0" w:firstLine="720"/>
        <w:rPr>
          <w:kern w:val="22"/>
          <w:szCs w:val="22"/>
        </w:rPr>
      </w:pPr>
      <w:r w:rsidRPr="00B358B9">
        <w:rPr>
          <w:kern w:val="22"/>
          <w:szCs w:val="22"/>
        </w:rPr>
        <w:t>P</w:t>
      </w:r>
      <w:r w:rsidR="005D74B5" w:rsidRPr="00B358B9">
        <w:rPr>
          <w:kern w:val="22"/>
          <w:szCs w:val="22"/>
        </w:rPr>
        <w:t xml:space="preserve">rovisions for risk mitigation and avoidance in relation to </w:t>
      </w:r>
      <w:r w:rsidR="00F40107" w:rsidRPr="00B358B9">
        <w:rPr>
          <w:kern w:val="22"/>
          <w:szCs w:val="22"/>
        </w:rPr>
        <w:t>the</w:t>
      </w:r>
      <w:r w:rsidR="005D74B5" w:rsidRPr="00B358B9">
        <w:rPr>
          <w:kern w:val="22"/>
          <w:szCs w:val="22"/>
        </w:rPr>
        <w:t xml:space="preserve"> traditional knowledge</w:t>
      </w:r>
      <w:r w:rsidR="00F40107" w:rsidRPr="00B358B9">
        <w:rPr>
          <w:kern w:val="22"/>
          <w:szCs w:val="22"/>
        </w:rPr>
        <w:t xml:space="preserve"> of indigenous peoples and local communities</w:t>
      </w:r>
      <w:r w:rsidR="005D74B5" w:rsidRPr="00B358B9">
        <w:rPr>
          <w:kern w:val="22"/>
          <w:szCs w:val="22"/>
        </w:rPr>
        <w:t>, especially regarding the protection of their knowledge rights</w:t>
      </w:r>
      <w:r w:rsidRPr="00B358B9">
        <w:rPr>
          <w:kern w:val="22"/>
          <w:szCs w:val="22"/>
        </w:rPr>
        <w:t>.</w:t>
      </w:r>
      <w:bookmarkEnd w:id="14"/>
    </w:p>
    <w:p w14:paraId="5F685718" w14:textId="56505B0F" w:rsidR="00253A9F" w:rsidRPr="00B358B9" w:rsidRDefault="00253A9F"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bookmarkStart w:id="16" w:name="_Hlk499304344"/>
      <w:bookmarkEnd w:id="15"/>
      <w:r w:rsidRPr="00B358B9">
        <w:rPr>
          <w:kern w:val="22"/>
          <w:szCs w:val="22"/>
        </w:rPr>
        <w:t xml:space="preserve">An analysis of the way in which the Convention’s voluntary guidelines on safeguards in biodiversity financing mechanisms are taken into account in the design and development of financing mechanisms and their safeguard systems and instruments, either explicitly or in terms of policy consistency, could be performed </w:t>
      </w:r>
      <w:r w:rsidR="00586F9C" w:rsidRPr="00B358B9">
        <w:rPr>
          <w:kern w:val="22"/>
          <w:szCs w:val="22"/>
        </w:rPr>
        <w:t>at</w:t>
      </w:r>
      <w:r w:rsidR="00C84D7D" w:rsidRPr="00B358B9">
        <w:rPr>
          <w:kern w:val="22"/>
          <w:szCs w:val="22"/>
        </w:rPr>
        <w:t xml:space="preserve"> an initial stage </w:t>
      </w:r>
      <w:r w:rsidRPr="00B358B9">
        <w:rPr>
          <w:kern w:val="22"/>
          <w:szCs w:val="22"/>
        </w:rPr>
        <w:t xml:space="preserve">through a checklist framed as a set of questions reflecting the </w:t>
      </w:r>
      <w:r w:rsidRPr="00B358B9">
        <w:rPr>
          <w:rFonts w:eastAsia="MS Mincho"/>
          <w:kern w:val="22"/>
          <w:szCs w:val="22"/>
        </w:rPr>
        <w:t>requirements</w:t>
      </w:r>
      <w:r w:rsidRPr="00B358B9">
        <w:rPr>
          <w:kern w:val="22"/>
          <w:szCs w:val="22"/>
        </w:rPr>
        <w:t xml:space="preserve"> of the </w:t>
      </w:r>
      <w:r w:rsidR="007B5FC1" w:rsidRPr="00B358B9">
        <w:rPr>
          <w:kern w:val="22"/>
          <w:szCs w:val="22"/>
        </w:rPr>
        <w:t>Convention’s voluntary guidelines on safeguards in biodiversity financing mechanisms</w:t>
      </w:r>
      <w:r w:rsidRPr="00B358B9">
        <w:rPr>
          <w:kern w:val="22"/>
          <w:szCs w:val="22"/>
        </w:rPr>
        <w:t xml:space="preserve">, </w:t>
      </w:r>
      <w:r w:rsidR="00AE5309" w:rsidRPr="00B358B9">
        <w:rPr>
          <w:kern w:val="22"/>
          <w:szCs w:val="22"/>
        </w:rPr>
        <w:t xml:space="preserve">as well as from </w:t>
      </w:r>
      <w:r w:rsidR="00A4554D" w:rsidRPr="00B358B9">
        <w:rPr>
          <w:kern w:val="22"/>
          <w:szCs w:val="22"/>
        </w:rPr>
        <w:t xml:space="preserve">other </w:t>
      </w:r>
      <w:r w:rsidR="00770FA4" w:rsidRPr="00B358B9">
        <w:rPr>
          <w:kern w:val="22"/>
          <w:szCs w:val="22"/>
        </w:rPr>
        <w:t xml:space="preserve">Convention </w:t>
      </w:r>
      <w:r w:rsidR="00A4554D" w:rsidRPr="00B358B9">
        <w:rPr>
          <w:kern w:val="22"/>
          <w:szCs w:val="22"/>
        </w:rPr>
        <w:t>decisions, guidance and principles</w:t>
      </w:r>
      <w:r w:rsidR="00BC0B12" w:rsidRPr="00B358B9">
        <w:rPr>
          <w:kern w:val="22"/>
          <w:szCs w:val="22"/>
        </w:rPr>
        <w:t>.</w:t>
      </w:r>
      <w:r w:rsidR="00855916" w:rsidRPr="00B358B9">
        <w:rPr>
          <w:rStyle w:val="FootnoteReference"/>
          <w:kern w:val="22"/>
          <w:szCs w:val="22"/>
        </w:rPr>
        <w:footnoteReference w:id="18"/>
      </w:r>
      <w:r w:rsidR="00A4554D" w:rsidRPr="00B358B9">
        <w:rPr>
          <w:kern w:val="22"/>
          <w:szCs w:val="22"/>
        </w:rPr>
        <w:t xml:space="preserve"> </w:t>
      </w:r>
      <w:r w:rsidR="002F2AC6" w:rsidRPr="00B358B9">
        <w:rPr>
          <w:kern w:val="22"/>
          <w:szCs w:val="22"/>
        </w:rPr>
        <w:t>Based on initial applications</w:t>
      </w:r>
      <w:r w:rsidR="00B14E00" w:rsidRPr="00B358B9">
        <w:rPr>
          <w:kern w:val="22"/>
          <w:szCs w:val="22"/>
        </w:rPr>
        <w:t xml:space="preserve">, </w:t>
      </w:r>
      <w:r w:rsidR="002F2AC6" w:rsidRPr="00B358B9">
        <w:rPr>
          <w:kern w:val="22"/>
          <w:szCs w:val="22"/>
        </w:rPr>
        <w:t xml:space="preserve">this checklist </w:t>
      </w:r>
      <w:r w:rsidR="00C84D7D" w:rsidRPr="00B358B9">
        <w:rPr>
          <w:kern w:val="22"/>
          <w:szCs w:val="22"/>
        </w:rPr>
        <w:t xml:space="preserve">could be </w:t>
      </w:r>
      <w:r w:rsidR="002F2AC6" w:rsidRPr="00B358B9">
        <w:rPr>
          <w:kern w:val="22"/>
          <w:szCs w:val="22"/>
        </w:rPr>
        <w:t xml:space="preserve">developed further to become a more detailed analytical instrument to assess conformity of the biodiversity financing mechanisms with the </w:t>
      </w:r>
      <w:r w:rsidR="00770FA4" w:rsidRPr="00B358B9">
        <w:rPr>
          <w:kern w:val="22"/>
          <w:szCs w:val="22"/>
        </w:rPr>
        <w:t xml:space="preserve">Convention’s </w:t>
      </w:r>
      <w:r w:rsidR="00C13F02" w:rsidRPr="00B358B9">
        <w:rPr>
          <w:kern w:val="22"/>
          <w:szCs w:val="22"/>
        </w:rPr>
        <w:t>safeguard requirements</w:t>
      </w:r>
      <w:bookmarkEnd w:id="16"/>
      <w:r w:rsidR="00C13F02" w:rsidRPr="00B358B9">
        <w:rPr>
          <w:kern w:val="22"/>
          <w:szCs w:val="22"/>
        </w:rPr>
        <w:t xml:space="preserve">. </w:t>
      </w:r>
      <w:r w:rsidR="001E70DB" w:rsidRPr="00B358B9">
        <w:rPr>
          <w:kern w:val="22"/>
          <w:szCs w:val="22"/>
        </w:rPr>
        <w:t xml:space="preserve">A draft checklist of questions is provided in </w:t>
      </w:r>
      <w:r w:rsidR="006B5450">
        <w:rPr>
          <w:kern w:val="22"/>
          <w:szCs w:val="22"/>
        </w:rPr>
        <w:t xml:space="preserve">the </w:t>
      </w:r>
      <w:r w:rsidR="001E70DB" w:rsidRPr="00B358B9">
        <w:rPr>
          <w:kern w:val="22"/>
          <w:szCs w:val="22"/>
        </w:rPr>
        <w:t xml:space="preserve">annex for the consideration of the </w:t>
      </w:r>
      <w:r w:rsidR="00586F9C" w:rsidRPr="00B358B9">
        <w:rPr>
          <w:kern w:val="22"/>
          <w:szCs w:val="22"/>
        </w:rPr>
        <w:t xml:space="preserve">Subsidiary Body </w:t>
      </w:r>
      <w:r w:rsidR="000C57A3" w:rsidRPr="00B358B9">
        <w:rPr>
          <w:kern w:val="22"/>
          <w:szCs w:val="22"/>
        </w:rPr>
        <w:t>o</w:t>
      </w:r>
      <w:r w:rsidR="00586F9C" w:rsidRPr="00B358B9">
        <w:rPr>
          <w:kern w:val="22"/>
          <w:szCs w:val="22"/>
        </w:rPr>
        <w:t>n Implementation at its second meeting</w:t>
      </w:r>
      <w:r w:rsidR="0055177A">
        <w:rPr>
          <w:kern w:val="22"/>
          <w:szCs w:val="22"/>
        </w:rPr>
        <w:t>.</w:t>
      </w:r>
    </w:p>
    <w:p w14:paraId="40E21E7E" w14:textId="77777777" w:rsidR="00060116" w:rsidRPr="00B358B9" w:rsidRDefault="00060116" w:rsidP="00B358B9">
      <w:pPr>
        <w:pStyle w:val="Para1"/>
        <w:keepNext/>
        <w:numPr>
          <w:ilvl w:val="0"/>
          <w:numId w:val="0"/>
        </w:numPr>
        <w:suppressLineNumbers/>
        <w:suppressAutoHyphens/>
        <w:kinsoku w:val="0"/>
        <w:overflowPunct w:val="0"/>
        <w:autoSpaceDE w:val="0"/>
        <w:autoSpaceDN w:val="0"/>
        <w:adjustRightInd w:val="0"/>
        <w:snapToGrid w:val="0"/>
        <w:ind w:left="1440" w:hanging="720"/>
        <w:jc w:val="left"/>
        <w:rPr>
          <w:b/>
          <w:kern w:val="22"/>
          <w:szCs w:val="22"/>
        </w:rPr>
      </w:pPr>
      <w:r w:rsidRPr="00B358B9">
        <w:rPr>
          <w:b/>
          <w:kern w:val="22"/>
          <w:szCs w:val="22"/>
        </w:rPr>
        <w:t>III.</w:t>
      </w:r>
      <w:r w:rsidRPr="00B358B9">
        <w:rPr>
          <w:b/>
          <w:kern w:val="22"/>
          <w:szCs w:val="22"/>
        </w:rPr>
        <w:tab/>
        <w:t>OVERVIEW OF EXISTING SAFEGUARD SYSTEMS OF A RANGE OF</w:t>
      </w:r>
      <w:r w:rsidR="001A23CF" w:rsidRPr="00B358B9">
        <w:rPr>
          <w:b/>
          <w:kern w:val="22"/>
          <w:szCs w:val="22"/>
        </w:rPr>
        <w:t> </w:t>
      </w:r>
      <w:r w:rsidRPr="00B358B9">
        <w:rPr>
          <w:b/>
          <w:kern w:val="22"/>
          <w:szCs w:val="22"/>
        </w:rPr>
        <w:t>BIODIVERSITY FINANCING MECHANISMS</w:t>
      </w:r>
    </w:p>
    <w:p w14:paraId="3DB89B65" w14:textId="730078C4" w:rsidR="0068169A" w:rsidRPr="00B358B9" w:rsidRDefault="0068169A"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lang w:eastAsia="ko-KR"/>
        </w:rPr>
      </w:pPr>
      <w:r w:rsidRPr="00B358B9">
        <w:rPr>
          <w:rFonts w:eastAsia="Batang"/>
          <w:kern w:val="22"/>
          <w:szCs w:val="22"/>
          <w:lang w:eastAsia="ko-KR"/>
        </w:rPr>
        <w:t xml:space="preserve">This section presents an overview of existing safeguard systems relevant to biodiversity financing mechanisms, starting with the </w:t>
      </w:r>
      <w:r w:rsidR="00634A4A" w:rsidRPr="00B358B9">
        <w:rPr>
          <w:kern w:val="22"/>
          <w:szCs w:val="22"/>
        </w:rPr>
        <w:t xml:space="preserve">Convention’s </w:t>
      </w:r>
      <w:r w:rsidRPr="00B358B9">
        <w:rPr>
          <w:rFonts w:eastAsia="Batang"/>
          <w:kern w:val="22"/>
          <w:szCs w:val="22"/>
          <w:lang w:eastAsia="ko-KR"/>
        </w:rPr>
        <w:t>instruments</w:t>
      </w:r>
      <w:r w:rsidR="00060116" w:rsidRPr="00B358B9">
        <w:rPr>
          <w:rFonts w:eastAsia="Batang"/>
          <w:kern w:val="22"/>
          <w:szCs w:val="22"/>
          <w:lang w:eastAsia="ko-KR"/>
        </w:rPr>
        <w:t>,</w:t>
      </w:r>
      <w:r w:rsidRPr="00B358B9">
        <w:rPr>
          <w:rFonts w:eastAsia="Batang"/>
          <w:kern w:val="22"/>
          <w:szCs w:val="22"/>
          <w:lang w:eastAsia="ko-KR"/>
        </w:rPr>
        <w:t xml:space="preserve"> </w:t>
      </w:r>
      <w:r w:rsidR="00060116" w:rsidRPr="00B358B9">
        <w:rPr>
          <w:rFonts w:eastAsia="Batang"/>
          <w:kern w:val="22"/>
          <w:szCs w:val="22"/>
          <w:lang w:eastAsia="ko-KR"/>
        </w:rPr>
        <w:t>f</w:t>
      </w:r>
      <w:r w:rsidRPr="00B358B9">
        <w:rPr>
          <w:rFonts w:eastAsia="Batang"/>
          <w:kern w:val="22"/>
          <w:szCs w:val="22"/>
          <w:lang w:eastAsia="ko-KR"/>
        </w:rPr>
        <w:t>ocus</w:t>
      </w:r>
      <w:r w:rsidR="00060116" w:rsidRPr="00B358B9">
        <w:rPr>
          <w:rFonts w:eastAsia="Batang"/>
          <w:kern w:val="22"/>
          <w:szCs w:val="22"/>
          <w:lang w:eastAsia="ko-KR"/>
        </w:rPr>
        <w:t>ing</w:t>
      </w:r>
      <w:r w:rsidRPr="00B358B9">
        <w:rPr>
          <w:rFonts w:eastAsia="Batang"/>
          <w:kern w:val="22"/>
          <w:szCs w:val="22"/>
          <w:lang w:eastAsia="ko-KR"/>
        </w:rPr>
        <w:t xml:space="preserve"> on those developed or updated after the adoption of the Convention’s voluntary guidelines on safeguards in biodiversity financing mechanisms by the Conference of the Parties in October 2014. Earlier developments </w:t>
      </w:r>
      <w:r w:rsidR="00256B22" w:rsidRPr="00B358B9">
        <w:rPr>
          <w:rFonts w:eastAsia="Batang"/>
          <w:kern w:val="22"/>
          <w:szCs w:val="22"/>
          <w:lang w:eastAsia="ko-KR"/>
        </w:rPr>
        <w:t xml:space="preserve">regarding </w:t>
      </w:r>
      <w:r w:rsidRPr="00B358B9">
        <w:rPr>
          <w:rFonts w:eastAsia="Batang"/>
          <w:kern w:val="22"/>
          <w:szCs w:val="22"/>
          <w:lang w:eastAsia="ko-KR"/>
        </w:rPr>
        <w:t xml:space="preserve">safeguard systems were extensively reported and analysed in </w:t>
      </w:r>
      <w:hyperlink r:id="rId20" w:history="1">
        <w:r w:rsidRPr="00B358B9">
          <w:rPr>
            <w:rStyle w:val="Hyperlink"/>
            <w:rFonts w:eastAsia="Batang"/>
            <w:kern w:val="22"/>
            <w:sz w:val="22"/>
            <w:szCs w:val="22"/>
            <w:lang w:eastAsia="ko-KR"/>
          </w:rPr>
          <w:t>UNEP/CBD/COP/12/INF/27</w:t>
        </w:r>
      </w:hyperlink>
      <w:r w:rsidR="004100C5" w:rsidRPr="00B358B9">
        <w:rPr>
          <w:rFonts w:eastAsia="Batang"/>
          <w:kern w:val="22"/>
          <w:szCs w:val="22"/>
          <w:lang w:eastAsia="ko-KR"/>
        </w:rPr>
        <w:t>.</w:t>
      </w:r>
      <w:r w:rsidR="006842BD" w:rsidRPr="00B358B9">
        <w:rPr>
          <w:rFonts w:eastAsia="Batang"/>
          <w:kern w:val="22"/>
          <w:szCs w:val="22"/>
          <w:vertAlign w:val="superscript"/>
          <w:lang w:eastAsia="ko-KR"/>
        </w:rPr>
        <w:fldChar w:fldCharType="begin"/>
      </w:r>
      <w:r w:rsidR="006842BD" w:rsidRPr="00B358B9">
        <w:rPr>
          <w:rFonts w:eastAsia="Batang"/>
          <w:kern w:val="22"/>
          <w:szCs w:val="22"/>
          <w:vertAlign w:val="superscript"/>
          <w:lang w:eastAsia="ko-KR"/>
        </w:rPr>
        <w:instrText xml:space="preserve"> NOTEREF _Ref499817684 \h  \* MERGEFORMAT </w:instrText>
      </w:r>
      <w:r w:rsidR="006842BD" w:rsidRPr="00B358B9">
        <w:rPr>
          <w:rFonts w:eastAsia="Batang"/>
          <w:kern w:val="22"/>
          <w:szCs w:val="22"/>
          <w:vertAlign w:val="superscript"/>
          <w:lang w:eastAsia="ko-KR"/>
        </w:rPr>
      </w:r>
      <w:r w:rsidR="006842BD" w:rsidRPr="00B358B9">
        <w:rPr>
          <w:rFonts w:eastAsia="Batang"/>
          <w:kern w:val="22"/>
          <w:szCs w:val="22"/>
          <w:vertAlign w:val="superscript"/>
          <w:lang w:eastAsia="ko-KR"/>
        </w:rPr>
        <w:fldChar w:fldCharType="separate"/>
      </w:r>
      <w:r w:rsidR="006842BD" w:rsidRPr="00B358B9">
        <w:rPr>
          <w:rFonts w:eastAsia="Batang"/>
          <w:kern w:val="22"/>
          <w:szCs w:val="22"/>
          <w:vertAlign w:val="superscript"/>
          <w:lang w:eastAsia="ko-KR"/>
        </w:rPr>
        <w:t>5</w:t>
      </w:r>
      <w:r w:rsidR="006842BD" w:rsidRPr="00B358B9">
        <w:rPr>
          <w:rFonts w:eastAsia="Batang"/>
          <w:kern w:val="22"/>
          <w:szCs w:val="22"/>
          <w:vertAlign w:val="superscript"/>
          <w:lang w:eastAsia="ko-KR"/>
        </w:rPr>
        <w:fldChar w:fldCharType="end"/>
      </w:r>
      <w:r w:rsidR="004100C5" w:rsidRPr="00B358B9">
        <w:rPr>
          <w:rFonts w:eastAsia="Batang"/>
          <w:kern w:val="22"/>
          <w:szCs w:val="22"/>
          <w:lang w:eastAsia="ko-KR"/>
        </w:rPr>
        <w:t xml:space="preserve"> </w:t>
      </w:r>
      <w:r w:rsidR="00060116" w:rsidRPr="00B358B9">
        <w:rPr>
          <w:rFonts w:eastAsia="Batang"/>
          <w:kern w:val="22"/>
          <w:szCs w:val="22"/>
          <w:lang w:eastAsia="ko-KR"/>
        </w:rPr>
        <w:t>The analysis is</w:t>
      </w:r>
      <w:r w:rsidRPr="00B358B9">
        <w:rPr>
          <w:rFonts w:eastAsia="Batang"/>
          <w:kern w:val="22"/>
          <w:szCs w:val="22"/>
          <w:lang w:eastAsia="ko-KR"/>
        </w:rPr>
        <w:t xml:space="preserve"> non-exhaustive </w:t>
      </w:r>
      <w:r w:rsidR="00060116" w:rsidRPr="00B358B9">
        <w:rPr>
          <w:rFonts w:eastAsia="Batang"/>
          <w:kern w:val="22"/>
          <w:szCs w:val="22"/>
          <w:lang w:eastAsia="ko-KR"/>
        </w:rPr>
        <w:t>and f</w:t>
      </w:r>
      <w:r w:rsidRPr="00B358B9">
        <w:rPr>
          <w:rFonts w:eastAsia="Batang"/>
          <w:kern w:val="22"/>
          <w:szCs w:val="22"/>
          <w:lang w:eastAsia="ko-KR"/>
        </w:rPr>
        <w:t xml:space="preserve">ocuses also primarily on processes that are more directly related to biodiversity and </w:t>
      </w:r>
      <w:r w:rsidR="005A54FC" w:rsidRPr="00B358B9">
        <w:rPr>
          <w:rFonts w:eastAsia="Batang"/>
          <w:kern w:val="22"/>
          <w:szCs w:val="22"/>
          <w:lang w:eastAsia="ko-KR"/>
        </w:rPr>
        <w:t>indigenous peoples and local communities</w:t>
      </w:r>
      <w:r w:rsidRPr="00B358B9">
        <w:rPr>
          <w:rFonts w:eastAsia="Batang"/>
          <w:kern w:val="22"/>
          <w:szCs w:val="22"/>
          <w:lang w:eastAsia="ko-KR"/>
        </w:rPr>
        <w:t xml:space="preserve">, </w:t>
      </w:r>
      <w:r w:rsidR="0099549F" w:rsidRPr="00B358B9">
        <w:rPr>
          <w:rFonts w:eastAsia="Batang"/>
          <w:kern w:val="22"/>
          <w:szCs w:val="22"/>
          <w:lang w:eastAsia="ko-KR"/>
        </w:rPr>
        <w:t>but it should be noted</w:t>
      </w:r>
      <w:r w:rsidRPr="00B358B9">
        <w:rPr>
          <w:rFonts w:eastAsia="Batang"/>
          <w:kern w:val="22"/>
          <w:szCs w:val="22"/>
          <w:lang w:eastAsia="ko-KR"/>
        </w:rPr>
        <w:t xml:space="preserve"> that some processes that currently show no direct relationship (such as some instruments for greening investments) may nonetheless </w:t>
      </w:r>
      <w:r w:rsidR="00B115E0" w:rsidRPr="00B358B9">
        <w:rPr>
          <w:rFonts w:eastAsia="Batang"/>
          <w:kern w:val="22"/>
          <w:szCs w:val="22"/>
          <w:lang w:eastAsia="ko-KR"/>
        </w:rPr>
        <w:t xml:space="preserve">have </w:t>
      </w:r>
      <w:r w:rsidRPr="00B358B9">
        <w:rPr>
          <w:rFonts w:eastAsia="Batang"/>
          <w:kern w:val="22"/>
          <w:szCs w:val="22"/>
          <w:lang w:eastAsia="ko-KR"/>
        </w:rPr>
        <w:t>relevant implications and thus require a much more thorough follow</w:t>
      </w:r>
      <w:r w:rsidR="00794FC4" w:rsidRPr="00B358B9">
        <w:rPr>
          <w:rFonts w:eastAsia="Batang"/>
          <w:kern w:val="22"/>
          <w:szCs w:val="22"/>
          <w:lang w:eastAsia="ko-KR"/>
        </w:rPr>
        <w:t>-up</w:t>
      </w:r>
      <w:r w:rsidRPr="00B358B9">
        <w:rPr>
          <w:rFonts w:eastAsia="Batang"/>
          <w:kern w:val="22"/>
          <w:szCs w:val="22"/>
          <w:lang w:eastAsia="ko-KR"/>
        </w:rPr>
        <w:t xml:space="preserve"> at a later stage.</w:t>
      </w:r>
    </w:p>
    <w:p w14:paraId="6E2E4070" w14:textId="6F68E456" w:rsidR="00737156" w:rsidRPr="00891479" w:rsidRDefault="00737156" w:rsidP="00B358B9">
      <w:pPr>
        <w:pStyle w:val="Para1"/>
        <w:numPr>
          <w:ilvl w:val="2"/>
          <w:numId w:val="110"/>
        </w:numPr>
        <w:suppressLineNumbers/>
        <w:tabs>
          <w:tab w:val="left" w:pos="360"/>
        </w:tabs>
        <w:suppressAutoHyphens/>
        <w:kinsoku w:val="0"/>
        <w:overflowPunct w:val="0"/>
        <w:autoSpaceDE w:val="0"/>
        <w:autoSpaceDN w:val="0"/>
        <w:adjustRightInd w:val="0"/>
        <w:snapToGrid w:val="0"/>
        <w:spacing w:before="0" w:after="0"/>
        <w:ind w:left="0" w:firstLine="0"/>
        <w:jc w:val="center"/>
        <w:rPr>
          <w:b/>
          <w:bCs/>
          <w:iCs/>
          <w:kern w:val="22"/>
          <w:szCs w:val="22"/>
        </w:rPr>
      </w:pPr>
      <w:bookmarkStart w:id="17" w:name="_Hlk498942879"/>
      <w:r w:rsidRPr="00891479">
        <w:rPr>
          <w:b/>
          <w:bCs/>
          <w:iCs/>
          <w:kern w:val="22"/>
          <w:szCs w:val="22"/>
        </w:rPr>
        <w:t>The World Bank and the I</w:t>
      </w:r>
      <w:r w:rsidR="00991B68" w:rsidRPr="00891479">
        <w:rPr>
          <w:b/>
          <w:bCs/>
          <w:iCs/>
          <w:kern w:val="22"/>
          <w:szCs w:val="22"/>
        </w:rPr>
        <w:t xml:space="preserve">nternational </w:t>
      </w:r>
      <w:r w:rsidRPr="00891479">
        <w:rPr>
          <w:b/>
          <w:bCs/>
          <w:iCs/>
          <w:kern w:val="22"/>
          <w:szCs w:val="22"/>
        </w:rPr>
        <w:t>F</w:t>
      </w:r>
      <w:r w:rsidR="00991B68" w:rsidRPr="00891479">
        <w:rPr>
          <w:b/>
          <w:bCs/>
          <w:iCs/>
          <w:kern w:val="22"/>
          <w:szCs w:val="22"/>
        </w:rPr>
        <w:t xml:space="preserve">inance </w:t>
      </w:r>
      <w:r w:rsidRPr="00891479">
        <w:rPr>
          <w:b/>
          <w:bCs/>
          <w:iCs/>
          <w:kern w:val="22"/>
          <w:szCs w:val="22"/>
        </w:rPr>
        <w:t>C</w:t>
      </w:r>
      <w:r w:rsidR="00991B68" w:rsidRPr="00891479">
        <w:rPr>
          <w:b/>
          <w:bCs/>
          <w:iCs/>
          <w:kern w:val="22"/>
          <w:szCs w:val="22"/>
        </w:rPr>
        <w:t>orporation</w:t>
      </w:r>
    </w:p>
    <w:bookmarkEnd w:id="17"/>
    <w:p w14:paraId="7F6B0537" w14:textId="597E490F" w:rsidR="00FB406C" w:rsidRPr="00B358B9" w:rsidRDefault="00401C47"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E</w:t>
      </w:r>
      <w:r w:rsidR="00666B34" w:rsidRPr="00B358B9">
        <w:rPr>
          <w:kern w:val="22"/>
          <w:szCs w:val="22"/>
        </w:rPr>
        <w:t>nvironmental and social safeguards</w:t>
      </w:r>
      <w:r w:rsidR="00EA4A88" w:rsidRPr="00B358B9">
        <w:rPr>
          <w:kern w:val="22"/>
          <w:szCs w:val="22"/>
        </w:rPr>
        <w:t xml:space="preserve"> were developed originally by multilateral development institu</w:t>
      </w:r>
      <w:r w:rsidR="006379C8" w:rsidRPr="00B358B9">
        <w:rPr>
          <w:kern w:val="22"/>
          <w:szCs w:val="22"/>
        </w:rPr>
        <w:t>ti</w:t>
      </w:r>
      <w:r w:rsidR="00EA4A88" w:rsidRPr="00B358B9">
        <w:rPr>
          <w:kern w:val="22"/>
          <w:szCs w:val="22"/>
        </w:rPr>
        <w:t xml:space="preserve">ons </w:t>
      </w:r>
      <w:r w:rsidR="006379C8" w:rsidRPr="00B358B9">
        <w:rPr>
          <w:kern w:val="22"/>
          <w:szCs w:val="22"/>
        </w:rPr>
        <w:t xml:space="preserve">in the early </w:t>
      </w:r>
      <w:r w:rsidR="00CE1472" w:rsidRPr="00B358B9">
        <w:rPr>
          <w:kern w:val="22"/>
          <w:szCs w:val="22"/>
        </w:rPr>
        <w:t>19</w:t>
      </w:r>
      <w:r w:rsidR="006379C8" w:rsidRPr="00B358B9">
        <w:rPr>
          <w:kern w:val="22"/>
          <w:szCs w:val="22"/>
        </w:rPr>
        <w:t>90s for application to their development finance operations</w:t>
      </w:r>
      <w:r w:rsidR="00CE1472" w:rsidRPr="00B358B9">
        <w:rPr>
          <w:kern w:val="22"/>
          <w:szCs w:val="22"/>
        </w:rPr>
        <w:t>.</w:t>
      </w:r>
      <w:r w:rsidR="001D0EC6" w:rsidRPr="00B358B9">
        <w:rPr>
          <w:rStyle w:val="FootnoteReference"/>
          <w:kern w:val="22"/>
          <w:szCs w:val="22"/>
        </w:rPr>
        <w:footnoteReference w:id="19"/>
      </w:r>
      <w:r w:rsidR="006379C8" w:rsidRPr="00B358B9">
        <w:rPr>
          <w:kern w:val="22"/>
          <w:szCs w:val="22"/>
        </w:rPr>
        <w:t xml:space="preserve"> </w:t>
      </w:r>
      <w:r w:rsidR="00360F6D" w:rsidRPr="00B358B9">
        <w:rPr>
          <w:kern w:val="22"/>
          <w:szCs w:val="22"/>
        </w:rPr>
        <w:t>T</w:t>
      </w:r>
      <w:r w:rsidR="006379C8" w:rsidRPr="00B358B9">
        <w:rPr>
          <w:kern w:val="22"/>
          <w:szCs w:val="22"/>
        </w:rPr>
        <w:t xml:space="preserve">he first safeguard policy </w:t>
      </w:r>
      <w:r w:rsidR="00360F6D" w:rsidRPr="00B358B9">
        <w:rPr>
          <w:kern w:val="22"/>
          <w:szCs w:val="22"/>
        </w:rPr>
        <w:t>of the World Bank</w:t>
      </w:r>
      <w:r w:rsidR="00A974B2" w:rsidRPr="00B358B9">
        <w:rPr>
          <w:kern w:val="22"/>
          <w:szCs w:val="22"/>
        </w:rPr>
        <w:t xml:space="preserve">, issued in 1986, </w:t>
      </w:r>
      <w:r w:rsidR="00360F6D" w:rsidRPr="00B358B9">
        <w:rPr>
          <w:kern w:val="22"/>
          <w:szCs w:val="22"/>
        </w:rPr>
        <w:t>focused on “</w:t>
      </w:r>
      <w:r w:rsidR="00253E24" w:rsidRPr="00B358B9">
        <w:rPr>
          <w:kern w:val="22"/>
          <w:szCs w:val="22"/>
        </w:rPr>
        <w:t>c</w:t>
      </w:r>
      <w:r w:rsidR="00360F6D" w:rsidRPr="00B358B9">
        <w:rPr>
          <w:kern w:val="22"/>
          <w:szCs w:val="22"/>
        </w:rPr>
        <w:t xml:space="preserve">ultural </w:t>
      </w:r>
      <w:r w:rsidR="00253E24" w:rsidRPr="00B358B9">
        <w:rPr>
          <w:kern w:val="22"/>
          <w:szCs w:val="22"/>
        </w:rPr>
        <w:t>p</w:t>
      </w:r>
      <w:r w:rsidR="00360F6D" w:rsidRPr="00B358B9">
        <w:rPr>
          <w:kern w:val="22"/>
          <w:szCs w:val="22"/>
        </w:rPr>
        <w:t xml:space="preserve">roperty”; </w:t>
      </w:r>
      <w:r w:rsidR="00256BBF" w:rsidRPr="00B358B9">
        <w:rPr>
          <w:kern w:val="22"/>
          <w:szCs w:val="22"/>
        </w:rPr>
        <w:t>most of the</w:t>
      </w:r>
      <w:r w:rsidR="00360F6D" w:rsidRPr="00B358B9">
        <w:rPr>
          <w:kern w:val="22"/>
          <w:szCs w:val="22"/>
        </w:rPr>
        <w:t xml:space="preserve"> safeguard policies were issued between 1990 and</w:t>
      </w:r>
      <w:r w:rsidR="00A974B2" w:rsidRPr="00B358B9">
        <w:rPr>
          <w:kern w:val="22"/>
          <w:szCs w:val="22"/>
        </w:rPr>
        <w:t xml:space="preserve"> 1998</w:t>
      </w:r>
      <w:r w:rsidR="003C780E" w:rsidRPr="00B358B9">
        <w:rPr>
          <w:kern w:val="22"/>
          <w:szCs w:val="22"/>
        </w:rPr>
        <w:t xml:space="preserve">, with </w:t>
      </w:r>
      <w:r w:rsidR="00253E24" w:rsidRPr="00B358B9">
        <w:rPr>
          <w:kern w:val="22"/>
          <w:szCs w:val="22"/>
        </w:rPr>
        <w:t>“</w:t>
      </w:r>
      <w:r w:rsidR="00A974B2" w:rsidRPr="00B358B9">
        <w:rPr>
          <w:kern w:val="22"/>
          <w:szCs w:val="22"/>
        </w:rPr>
        <w:t>Involuntary Resettlement</w:t>
      </w:r>
      <w:r w:rsidR="00253E24" w:rsidRPr="00B358B9">
        <w:rPr>
          <w:kern w:val="22"/>
          <w:szCs w:val="22"/>
        </w:rPr>
        <w:t>”</w:t>
      </w:r>
      <w:r w:rsidRPr="00B358B9">
        <w:rPr>
          <w:kern w:val="22"/>
          <w:szCs w:val="22"/>
        </w:rPr>
        <w:t xml:space="preserve"> </w:t>
      </w:r>
      <w:r w:rsidR="003C780E" w:rsidRPr="00B358B9">
        <w:rPr>
          <w:kern w:val="22"/>
          <w:szCs w:val="22"/>
        </w:rPr>
        <w:t xml:space="preserve">and </w:t>
      </w:r>
      <w:r w:rsidR="00253E24" w:rsidRPr="00B358B9">
        <w:rPr>
          <w:kern w:val="22"/>
          <w:szCs w:val="22"/>
        </w:rPr>
        <w:t>“</w:t>
      </w:r>
      <w:r w:rsidR="00360F6D" w:rsidRPr="00B358B9">
        <w:rPr>
          <w:kern w:val="22"/>
          <w:szCs w:val="22"/>
        </w:rPr>
        <w:t>Indigenous Peoples</w:t>
      </w:r>
      <w:r w:rsidR="00253E24" w:rsidRPr="00B358B9">
        <w:rPr>
          <w:kern w:val="22"/>
          <w:szCs w:val="22"/>
        </w:rPr>
        <w:t>”</w:t>
      </w:r>
      <w:r w:rsidR="00256BBF" w:rsidRPr="00B358B9">
        <w:rPr>
          <w:kern w:val="22"/>
          <w:szCs w:val="22"/>
        </w:rPr>
        <w:t xml:space="preserve"> </w:t>
      </w:r>
      <w:r w:rsidR="003C780E" w:rsidRPr="00B358B9">
        <w:rPr>
          <w:kern w:val="22"/>
          <w:szCs w:val="22"/>
        </w:rPr>
        <w:t>being among the earliest ones</w:t>
      </w:r>
      <w:r w:rsidR="001A23CF" w:rsidRPr="00B358B9">
        <w:rPr>
          <w:kern w:val="22"/>
          <w:szCs w:val="22"/>
        </w:rPr>
        <w:t>.</w:t>
      </w:r>
      <w:r w:rsidR="00256BBF" w:rsidRPr="00B358B9">
        <w:rPr>
          <w:rStyle w:val="FootnoteReference"/>
          <w:kern w:val="22"/>
          <w:szCs w:val="22"/>
        </w:rPr>
        <w:footnoteReference w:id="20"/>
      </w:r>
    </w:p>
    <w:p w14:paraId="47B40AFD" w14:textId="57493BA5" w:rsidR="00FB406C" w:rsidRPr="00B358B9" w:rsidRDefault="00360F6D"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The </w:t>
      </w:r>
      <w:r w:rsidR="00D73AB7" w:rsidRPr="00B358B9">
        <w:rPr>
          <w:kern w:val="22"/>
          <w:szCs w:val="22"/>
        </w:rPr>
        <w:t xml:space="preserve">International Finance Corporation (IFC), a member of the World Bank Group, </w:t>
      </w:r>
      <w:r w:rsidR="00225E23" w:rsidRPr="00B358B9">
        <w:rPr>
          <w:kern w:val="22"/>
          <w:szCs w:val="22"/>
        </w:rPr>
        <w:t xml:space="preserve">is the largest global development institution focused exclusively on the private sector in developing countries. The IFC </w:t>
      </w:r>
      <w:r w:rsidR="00D73AB7" w:rsidRPr="00B358B9">
        <w:rPr>
          <w:kern w:val="22"/>
          <w:szCs w:val="22"/>
        </w:rPr>
        <w:t xml:space="preserve">used the same safeguards </w:t>
      </w:r>
      <w:r w:rsidR="00225E23" w:rsidRPr="00B358B9">
        <w:rPr>
          <w:kern w:val="22"/>
          <w:szCs w:val="22"/>
        </w:rPr>
        <w:t xml:space="preserve">of the World Bank </w:t>
      </w:r>
      <w:r w:rsidR="00E36A4C" w:rsidRPr="00B358B9">
        <w:rPr>
          <w:kern w:val="22"/>
          <w:szCs w:val="22"/>
        </w:rPr>
        <w:t xml:space="preserve">until 2006, when it adopted its own Sustainability Framework, which </w:t>
      </w:r>
      <w:r w:rsidR="00E36A4C" w:rsidRPr="00B358B9">
        <w:rPr>
          <w:rFonts w:eastAsia="MS Mincho"/>
          <w:kern w:val="22"/>
          <w:szCs w:val="22"/>
        </w:rPr>
        <w:t>articulates</w:t>
      </w:r>
      <w:r w:rsidR="00E36A4C" w:rsidRPr="00B358B9">
        <w:rPr>
          <w:kern w:val="22"/>
          <w:szCs w:val="22"/>
        </w:rPr>
        <w:t xml:space="preserve"> its strategic commitment to sustainable development</w:t>
      </w:r>
      <w:r w:rsidR="00016903" w:rsidRPr="00B358B9">
        <w:rPr>
          <w:kern w:val="22"/>
          <w:szCs w:val="22"/>
        </w:rPr>
        <w:t>.</w:t>
      </w:r>
      <w:r w:rsidR="006F0D56" w:rsidRPr="00B358B9">
        <w:rPr>
          <w:rStyle w:val="FootnoteReference"/>
          <w:kern w:val="22"/>
          <w:szCs w:val="22"/>
        </w:rPr>
        <w:footnoteReference w:id="21"/>
      </w:r>
      <w:r w:rsidR="006F0D56" w:rsidRPr="00B358B9">
        <w:rPr>
          <w:kern w:val="22"/>
          <w:szCs w:val="22"/>
        </w:rPr>
        <w:t xml:space="preserve"> </w:t>
      </w:r>
      <w:r w:rsidR="00E36A4C" w:rsidRPr="00B358B9">
        <w:rPr>
          <w:kern w:val="22"/>
          <w:szCs w:val="22"/>
        </w:rPr>
        <w:t xml:space="preserve">In 2012, the </w:t>
      </w:r>
      <w:r w:rsidR="006F0D56" w:rsidRPr="00B358B9">
        <w:rPr>
          <w:kern w:val="22"/>
          <w:szCs w:val="22"/>
        </w:rPr>
        <w:t xml:space="preserve">IFC </w:t>
      </w:r>
      <w:r w:rsidR="00E36A4C" w:rsidRPr="00B358B9">
        <w:rPr>
          <w:kern w:val="22"/>
          <w:szCs w:val="22"/>
        </w:rPr>
        <w:t xml:space="preserve">Sustainability Framework was updated following an 18-month </w:t>
      </w:r>
      <w:r w:rsidR="006F0D56" w:rsidRPr="00B358B9">
        <w:rPr>
          <w:kern w:val="22"/>
          <w:szCs w:val="22"/>
        </w:rPr>
        <w:t xml:space="preserve">global </w:t>
      </w:r>
      <w:r w:rsidR="00E36A4C" w:rsidRPr="00B358B9">
        <w:rPr>
          <w:kern w:val="22"/>
          <w:szCs w:val="22"/>
        </w:rPr>
        <w:t>consultation process with stakeholders</w:t>
      </w:r>
      <w:r w:rsidR="001A23CF" w:rsidRPr="00B358B9">
        <w:rPr>
          <w:kern w:val="22"/>
          <w:szCs w:val="22"/>
        </w:rPr>
        <w:t>.</w:t>
      </w:r>
      <w:r w:rsidR="006F0D56" w:rsidRPr="00B358B9">
        <w:rPr>
          <w:rStyle w:val="FootnoteReference"/>
          <w:kern w:val="22"/>
          <w:szCs w:val="22"/>
        </w:rPr>
        <w:footnoteReference w:id="22"/>
      </w:r>
    </w:p>
    <w:p w14:paraId="61165710" w14:textId="2C3BD40D" w:rsidR="00FB406C" w:rsidRPr="00B358B9" w:rsidRDefault="002D560A"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The IFC Sustainability Framework comprises </w:t>
      </w:r>
      <w:r w:rsidR="00AA39EC" w:rsidRPr="00B358B9">
        <w:rPr>
          <w:kern w:val="22"/>
          <w:szCs w:val="22"/>
        </w:rPr>
        <w:t xml:space="preserve">the </w:t>
      </w:r>
      <w:r w:rsidRPr="00B358B9">
        <w:rPr>
          <w:kern w:val="22"/>
          <w:szCs w:val="22"/>
        </w:rPr>
        <w:t xml:space="preserve">IFC </w:t>
      </w:r>
      <w:r w:rsidR="00964F50" w:rsidRPr="00B358B9">
        <w:rPr>
          <w:kern w:val="22"/>
          <w:szCs w:val="22"/>
        </w:rPr>
        <w:t xml:space="preserve">policy on environmental and social </w:t>
      </w:r>
      <w:r w:rsidR="00964F50" w:rsidRPr="00B358B9">
        <w:rPr>
          <w:rFonts w:eastAsia="MS Mincho"/>
          <w:kern w:val="22"/>
          <w:szCs w:val="22"/>
        </w:rPr>
        <w:t>sustainability</w:t>
      </w:r>
      <w:r w:rsidRPr="00B358B9">
        <w:rPr>
          <w:kern w:val="22"/>
          <w:szCs w:val="22"/>
        </w:rPr>
        <w:t xml:space="preserve">, eight </w:t>
      </w:r>
      <w:r w:rsidR="00964F50" w:rsidRPr="00B358B9">
        <w:rPr>
          <w:kern w:val="22"/>
          <w:szCs w:val="22"/>
        </w:rPr>
        <w:t>performance standards on environmental and social sustainability</w:t>
      </w:r>
      <w:r w:rsidRPr="00B358B9">
        <w:rPr>
          <w:kern w:val="22"/>
          <w:szCs w:val="22"/>
        </w:rPr>
        <w:t xml:space="preserve">, and </w:t>
      </w:r>
      <w:r w:rsidR="003D3407" w:rsidRPr="00B358B9">
        <w:rPr>
          <w:kern w:val="22"/>
          <w:szCs w:val="22"/>
        </w:rPr>
        <w:t xml:space="preserve">the </w:t>
      </w:r>
      <w:r w:rsidRPr="00B358B9">
        <w:rPr>
          <w:kern w:val="22"/>
          <w:szCs w:val="22"/>
        </w:rPr>
        <w:t xml:space="preserve">IFC </w:t>
      </w:r>
      <w:r w:rsidR="00964F50" w:rsidRPr="00B358B9">
        <w:rPr>
          <w:kern w:val="22"/>
          <w:szCs w:val="22"/>
        </w:rPr>
        <w:t>access to information policy</w:t>
      </w:r>
      <w:r w:rsidRPr="00B358B9">
        <w:rPr>
          <w:kern w:val="22"/>
          <w:szCs w:val="22"/>
        </w:rPr>
        <w:t xml:space="preserve">. The </w:t>
      </w:r>
      <w:r w:rsidR="00D5281E" w:rsidRPr="00B358B9">
        <w:rPr>
          <w:kern w:val="22"/>
          <w:szCs w:val="22"/>
        </w:rPr>
        <w:t>performance standards</w:t>
      </w:r>
      <w:r w:rsidR="00EC776E" w:rsidRPr="00B358B9">
        <w:rPr>
          <w:kern w:val="22"/>
          <w:szCs w:val="22"/>
        </w:rPr>
        <w:t xml:space="preserve"> </w:t>
      </w:r>
      <w:r w:rsidR="00F30633" w:rsidRPr="00B358B9">
        <w:rPr>
          <w:kern w:val="22"/>
          <w:szCs w:val="22"/>
        </w:rPr>
        <w:t xml:space="preserve">topics </w:t>
      </w:r>
      <w:r w:rsidR="00F17781" w:rsidRPr="00B358B9">
        <w:rPr>
          <w:kern w:val="22"/>
          <w:szCs w:val="22"/>
        </w:rPr>
        <w:t xml:space="preserve">include </w:t>
      </w:r>
      <w:r w:rsidR="003D3407" w:rsidRPr="00B358B9">
        <w:rPr>
          <w:kern w:val="22"/>
          <w:szCs w:val="22"/>
        </w:rPr>
        <w:t>assessment and management of environmental and social risks and impacts, land acquisition and involuntary resettlement, indigenous peoples, and cultural heritage</w:t>
      </w:r>
      <w:r w:rsidR="001A23CF" w:rsidRPr="00B358B9">
        <w:rPr>
          <w:kern w:val="22"/>
          <w:szCs w:val="22"/>
        </w:rPr>
        <w:t>.</w:t>
      </w:r>
      <w:r w:rsidR="00EE4410" w:rsidRPr="00B358B9">
        <w:rPr>
          <w:rStyle w:val="FootnoteReference"/>
          <w:kern w:val="22"/>
          <w:szCs w:val="22"/>
        </w:rPr>
        <w:footnoteReference w:id="23"/>
      </w:r>
    </w:p>
    <w:p w14:paraId="3116E1C5" w14:textId="28DDBE08" w:rsidR="00924FD4" w:rsidRPr="00B358B9" w:rsidRDefault="002A45F5"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The World Bank and IFC environmental and social safeguards became an important model for the development of safeguards internationally</w:t>
      </w:r>
      <w:r w:rsidR="0028189D" w:rsidRPr="00B358B9">
        <w:rPr>
          <w:kern w:val="22"/>
          <w:szCs w:val="22"/>
        </w:rPr>
        <w:t xml:space="preserve">. </w:t>
      </w:r>
      <w:r w:rsidR="00924FD4" w:rsidRPr="00B358B9">
        <w:rPr>
          <w:kern w:val="22"/>
          <w:szCs w:val="22"/>
        </w:rPr>
        <w:t>An</w:t>
      </w:r>
      <w:r w:rsidR="0028189D" w:rsidRPr="00B358B9">
        <w:rPr>
          <w:kern w:val="22"/>
          <w:szCs w:val="22"/>
        </w:rPr>
        <w:t xml:space="preserve"> example of this </w:t>
      </w:r>
      <w:r w:rsidR="00924FD4" w:rsidRPr="00B358B9">
        <w:rPr>
          <w:kern w:val="22"/>
          <w:szCs w:val="22"/>
        </w:rPr>
        <w:t xml:space="preserve">is the adoption in 2011 by the Forest Carbon </w:t>
      </w:r>
      <w:r w:rsidR="00924FD4" w:rsidRPr="00B358B9">
        <w:rPr>
          <w:rFonts w:eastAsia="MS Mincho"/>
          <w:kern w:val="22"/>
          <w:szCs w:val="22"/>
        </w:rPr>
        <w:t>Partnership</w:t>
      </w:r>
      <w:r w:rsidR="00924FD4" w:rsidRPr="00B358B9">
        <w:rPr>
          <w:kern w:val="22"/>
          <w:szCs w:val="22"/>
        </w:rPr>
        <w:t xml:space="preserve"> Facility (FCPF) of its “Common </w:t>
      </w:r>
      <w:r w:rsidR="00CF1D0C" w:rsidRPr="00B358B9">
        <w:rPr>
          <w:kern w:val="22"/>
          <w:szCs w:val="22"/>
        </w:rPr>
        <w:t>approach to environmental and social safeguards for multiple delivery partners</w:t>
      </w:r>
      <w:r w:rsidR="00924FD4" w:rsidRPr="00B358B9">
        <w:rPr>
          <w:kern w:val="22"/>
          <w:szCs w:val="22"/>
        </w:rPr>
        <w:t xml:space="preserve">”, which </w:t>
      </w:r>
      <w:r w:rsidR="004616B6" w:rsidRPr="00B358B9">
        <w:rPr>
          <w:kern w:val="22"/>
          <w:szCs w:val="22"/>
        </w:rPr>
        <w:t>includes</w:t>
      </w:r>
      <w:r w:rsidR="00924FD4" w:rsidRPr="00B358B9">
        <w:rPr>
          <w:kern w:val="22"/>
          <w:szCs w:val="22"/>
        </w:rPr>
        <w:t xml:space="preserve"> application of the World Bank system</w:t>
      </w:r>
      <w:r w:rsidR="001A23CF" w:rsidRPr="00B358B9">
        <w:rPr>
          <w:kern w:val="22"/>
          <w:szCs w:val="22"/>
        </w:rPr>
        <w:t>.</w:t>
      </w:r>
      <w:r w:rsidR="004616B6" w:rsidRPr="00B358B9">
        <w:rPr>
          <w:rStyle w:val="FootnoteReference"/>
          <w:kern w:val="22"/>
          <w:szCs w:val="22"/>
        </w:rPr>
        <w:footnoteReference w:id="24"/>
      </w:r>
    </w:p>
    <w:p w14:paraId="55E01E0E" w14:textId="6DF67690" w:rsidR="00A33E0B" w:rsidRPr="00B358B9" w:rsidRDefault="00737156"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Th</w:t>
      </w:r>
      <w:r w:rsidR="001D3E8E" w:rsidRPr="00B358B9">
        <w:rPr>
          <w:kern w:val="22"/>
          <w:szCs w:val="22"/>
        </w:rPr>
        <w:t>e</w:t>
      </w:r>
      <w:r w:rsidRPr="00B358B9">
        <w:rPr>
          <w:kern w:val="22"/>
          <w:szCs w:val="22"/>
        </w:rPr>
        <w:t xml:space="preserve"> </w:t>
      </w:r>
      <w:r w:rsidR="00225E23" w:rsidRPr="00B358B9">
        <w:rPr>
          <w:kern w:val="22"/>
          <w:szCs w:val="22"/>
        </w:rPr>
        <w:t xml:space="preserve">2012 </w:t>
      </w:r>
      <w:r w:rsidR="00CC2B0A" w:rsidRPr="00B358B9">
        <w:rPr>
          <w:kern w:val="22"/>
          <w:szCs w:val="22"/>
        </w:rPr>
        <w:t xml:space="preserve">revision of the </w:t>
      </w:r>
      <w:r w:rsidR="00187942" w:rsidRPr="00B358B9">
        <w:rPr>
          <w:kern w:val="22"/>
          <w:szCs w:val="22"/>
        </w:rPr>
        <w:t>IFC</w:t>
      </w:r>
      <w:r w:rsidR="00225E23" w:rsidRPr="00B358B9">
        <w:rPr>
          <w:kern w:val="22"/>
          <w:szCs w:val="22"/>
        </w:rPr>
        <w:t xml:space="preserve"> performance standards </w:t>
      </w:r>
      <w:r w:rsidR="002A45F5" w:rsidRPr="00B358B9">
        <w:rPr>
          <w:kern w:val="22"/>
          <w:szCs w:val="22"/>
        </w:rPr>
        <w:t xml:space="preserve">inaugurated a new phase of environmental </w:t>
      </w:r>
      <w:r w:rsidR="00396764" w:rsidRPr="00B358B9">
        <w:rPr>
          <w:kern w:val="22"/>
          <w:szCs w:val="22"/>
        </w:rPr>
        <w:t>and social safeguards in the international financing system</w:t>
      </w:r>
      <w:r w:rsidR="00513E2A" w:rsidRPr="00B358B9">
        <w:rPr>
          <w:kern w:val="22"/>
          <w:szCs w:val="22"/>
        </w:rPr>
        <w:t xml:space="preserve">, where </w:t>
      </w:r>
      <w:r w:rsidR="00541B95" w:rsidRPr="00B358B9">
        <w:rPr>
          <w:kern w:val="22"/>
          <w:szCs w:val="22"/>
        </w:rPr>
        <w:t>“sa</w:t>
      </w:r>
      <w:r w:rsidR="0030742F" w:rsidRPr="00B358B9">
        <w:rPr>
          <w:kern w:val="22"/>
          <w:szCs w:val="22"/>
        </w:rPr>
        <w:t>feguard systems have become more comprehensive and systematic, with greater harmonization among many development agencies</w:t>
      </w:r>
      <w:r w:rsidR="00541B95" w:rsidRPr="00B358B9">
        <w:rPr>
          <w:kern w:val="22"/>
          <w:szCs w:val="22"/>
        </w:rPr>
        <w:t>”</w:t>
      </w:r>
      <w:r w:rsidR="001A23CF" w:rsidRPr="00B358B9">
        <w:rPr>
          <w:kern w:val="22"/>
          <w:szCs w:val="22"/>
        </w:rPr>
        <w:t>.</w:t>
      </w:r>
      <w:r w:rsidR="00541B95" w:rsidRPr="00B358B9">
        <w:rPr>
          <w:rStyle w:val="FootnoteReference"/>
          <w:kern w:val="22"/>
          <w:szCs w:val="22"/>
        </w:rPr>
        <w:footnoteReference w:id="25"/>
      </w:r>
      <w:r w:rsidR="00503E57" w:rsidRPr="00B358B9">
        <w:rPr>
          <w:kern w:val="22"/>
          <w:szCs w:val="22"/>
        </w:rPr>
        <w:t xml:space="preserve"> Given that the </w:t>
      </w:r>
      <w:r w:rsidR="008F2431" w:rsidRPr="00B358B9">
        <w:rPr>
          <w:kern w:val="22"/>
          <w:szCs w:val="22"/>
        </w:rPr>
        <w:t xml:space="preserve">IFC performance standards were updated before the current </w:t>
      </w:r>
      <w:r w:rsidR="00503E57" w:rsidRPr="00B358B9">
        <w:rPr>
          <w:kern w:val="22"/>
          <w:szCs w:val="22"/>
        </w:rPr>
        <w:t xml:space="preserve">World Bank </w:t>
      </w:r>
      <w:r w:rsidR="008F2431" w:rsidRPr="00B358B9">
        <w:rPr>
          <w:kern w:val="22"/>
          <w:szCs w:val="22"/>
        </w:rPr>
        <w:t xml:space="preserve">process </w:t>
      </w:r>
      <w:r w:rsidR="008F2431" w:rsidRPr="00B358B9">
        <w:rPr>
          <w:rFonts w:eastAsia="MS Mincho"/>
          <w:kern w:val="22"/>
          <w:szCs w:val="22"/>
        </w:rPr>
        <w:t>explained</w:t>
      </w:r>
      <w:r w:rsidR="008F2431" w:rsidRPr="00B358B9">
        <w:rPr>
          <w:kern w:val="22"/>
          <w:szCs w:val="22"/>
        </w:rPr>
        <w:t xml:space="preserve"> below, but benefited from the reviews that the World Bank system went through and from many processes that generated lessons and experiences, the IFC system became for some years the key reference for a new generation of safeguards.</w:t>
      </w:r>
    </w:p>
    <w:p w14:paraId="11EDD09C" w14:textId="727BE81D" w:rsidR="00FB406C" w:rsidRPr="00B358B9" w:rsidRDefault="00A33E0B"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The</w:t>
      </w:r>
      <w:r w:rsidR="00CC2B0A" w:rsidRPr="00B358B9">
        <w:rPr>
          <w:kern w:val="22"/>
          <w:szCs w:val="22"/>
        </w:rPr>
        <w:t xml:space="preserve"> 2012</w:t>
      </w:r>
      <w:r w:rsidRPr="00B358B9">
        <w:rPr>
          <w:kern w:val="22"/>
          <w:szCs w:val="22"/>
        </w:rPr>
        <w:t xml:space="preserve"> IFC standards addressed some of the issues </w:t>
      </w:r>
      <w:r w:rsidR="00CA1A60" w:rsidRPr="00B358B9">
        <w:rPr>
          <w:kern w:val="22"/>
          <w:szCs w:val="22"/>
        </w:rPr>
        <w:t xml:space="preserve">on which </w:t>
      </w:r>
      <w:r w:rsidRPr="00B358B9">
        <w:rPr>
          <w:kern w:val="22"/>
          <w:szCs w:val="22"/>
        </w:rPr>
        <w:t xml:space="preserve">the World Bank system was </w:t>
      </w:r>
      <w:r w:rsidR="00CA4A44" w:rsidRPr="00B358B9">
        <w:rPr>
          <w:kern w:val="22"/>
          <w:szCs w:val="22"/>
        </w:rPr>
        <w:t xml:space="preserve">found lacking </w:t>
      </w:r>
      <w:r w:rsidR="00C01907" w:rsidRPr="00B358B9">
        <w:rPr>
          <w:kern w:val="22"/>
          <w:szCs w:val="22"/>
        </w:rPr>
        <w:t>or where the reviews of the Bank itself showed the need for change</w:t>
      </w:r>
      <w:r w:rsidR="0043680B" w:rsidRPr="00B358B9">
        <w:rPr>
          <w:kern w:val="22"/>
          <w:szCs w:val="22"/>
        </w:rPr>
        <w:t xml:space="preserve">, or </w:t>
      </w:r>
      <w:r w:rsidR="00CA1A60" w:rsidRPr="00B358B9">
        <w:rPr>
          <w:kern w:val="22"/>
          <w:szCs w:val="22"/>
        </w:rPr>
        <w:t xml:space="preserve">those about </w:t>
      </w:r>
      <w:r w:rsidR="0043680B" w:rsidRPr="00B358B9">
        <w:rPr>
          <w:kern w:val="22"/>
          <w:szCs w:val="22"/>
        </w:rPr>
        <w:t xml:space="preserve">which </w:t>
      </w:r>
      <w:r w:rsidR="00CA1A60" w:rsidRPr="00B358B9">
        <w:rPr>
          <w:kern w:val="22"/>
          <w:szCs w:val="22"/>
        </w:rPr>
        <w:t xml:space="preserve">organizations representing </w:t>
      </w:r>
      <w:r w:rsidR="005A54FC" w:rsidRPr="00B358B9">
        <w:rPr>
          <w:kern w:val="22"/>
          <w:szCs w:val="22"/>
        </w:rPr>
        <w:t>indigenous peoples and local communities</w:t>
      </w:r>
      <w:r w:rsidR="0043680B" w:rsidRPr="00B358B9">
        <w:rPr>
          <w:kern w:val="22"/>
          <w:szCs w:val="22"/>
        </w:rPr>
        <w:t xml:space="preserve"> had been raising questions for some time</w:t>
      </w:r>
      <w:r w:rsidR="00C01907" w:rsidRPr="00B358B9">
        <w:rPr>
          <w:kern w:val="22"/>
          <w:szCs w:val="22"/>
        </w:rPr>
        <w:t xml:space="preserve">. </w:t>
      </w:r>
      <w:r w:rsidR="0043680B" w:rsidRPr="00B358B9">
        <w:rPr>
          <w:kern w:val="22"/>
          <w:szCs w:val="22"/>
        </w:rPr>
        <w:t xml:space="preserve">One </w:t>
      </w:r>
      <w:r w:rsidR="00C01907" w:rsidRPr="00B358B9">
        <w:rPr>
          <w:kern w:val="22"/>
          <w:szCs w:val="22"/>
        </w:rPr>
        <w:t>important example</w:t>
      </w:r>
      <w:r w:rsidR="0043680B" w:rsidRPr="00B358B9">
        <w:rPr>
          <w:kern w:val="22"/>
          <w:szCs w:val="22"/>
        </w:rPr>
        <w:t xml:space="preserve"> is the shift from protection of “</w:t>
      </w:r>
      <w:r w:rsidR="0043680B" w:rsidRPr="00B358B9">
        <w:rPr>
          <w:rFonts w:eastAsia="MS Mincho"/>
          <w:kern w:val="22"/>
          <w:szCs w:val="22"/>
        </w:rPr>
        <w:t>physical</w:t>
      </w:r>
      <w:r w:rsidR="0043680B" w:rsidRPr="00B358B9">
        <w:rPr>
          <w:kern w:val="22"/>
          <w:szCs w:val="22"/>
        </w:rPr>
        <w:t xml:space="preserve"> cultural resources” in the World Bank system to protection of “cultural heritage” in the IFC standards, where</w:t>
      </w:r>
      <w:r w:rsidR="002E5E8D" w:rsidRPr="00B358B9">
        <w:rPr>
          <w:kern w:val="22"/>
          <w:szCs w:val="22"/>
        </w:rPr>
        <w:t>by</w:t>
      </w:r>
      <w:r w:rsidR="0043680B" w:rsidRPr="00B358B9">
        <w:rPr>
          <w:kern w:val="22"/>
          <w:szCs w:val="22"/>
        </w:rPr>
        <w:t xml:space="preserve"> the protection of (</w:t>
      </w:r>
      <w:r w:rsidR="001A23CF" w:rsidRPr="00B358B9">
        <w:rPr>
          <w:kern w:val="22"/>
          <w:szCs w:val="22"/>
        </w:rPr>
        <w:t>a</w:t>
      </w:r>
      <w:r w:rsidR="0043680B" w:rsidRPr="00B358B9">
        <w:rPr>
          <w:kern w:val="22"/>
          <w:szCs w:val="22"/>
        </w:rPr>
        <w:t>) intangible cultural heritage and (</w:t>
      </w:r>
      <w:r w:rsidR="001A23CF" w:rsidRPr="00B358B9">
        <w:rPr>
          <w:kern w:val="22"/>
          <w:szCs w:val="22"/>
        </w:rPr>
        <w:t>b</w:t>
      </w:r>
      <w:r w:rsidR="0043680B" w:rsidRPr="00B358B9">
        <w:rPr>
          <w:kern w:val="22"/>
          <w:szCs w:val="22"/>
        </w:rPr>
        <w:t xml:space="preserve">) community access are </w:t>
      </w:r>
      <w:r w:rsidR="0089308D" w:rsidRPr="00B358B9">
        <w:rPr>
          <w:kern w:val="22"/>
          <w:szCs w:val="22"/>
        </w:rPr>
        <w:t>new</w:t>
      </w:r>
      <w:r w:rsidR="00AB08F7" w:rsidRPr="00B358B9">
        <w:rPr>
          <w:kern w:val="22"/>
          <w:szCs w:val="22"/>
        </w:rPr>
        <w:t>ly</w:t>
      </w:r>
      <w:r w:rsidR="0089308D" w:rsidRPr="00B358B9">
        <w:rPr>
          <w:kern w:val="22"/>
          <w:szCs w:val="22"/>
        </w:rPr>
        <w:t xml:space="preserve"> </w:t>
      </w:r>
      <w:r w:rsidR="0043680B" w:rsidRPr="00B358B9">
        <w:rPr>
          <w:kern w:val="22"/>
          <w:szCs w:val="22"/>
        </w:rPr>
        <w:t>included</w:t>
      </w:r>
      <w:r w:rsidR="0089308D" w:rsidRPr="00B358B9">
        <w:rPr>
          <w:kern w:val="22"/>
          <w:szCs w:val="22"/>
        </w:rPr>
        <w:t xml:space="preserve"> elements</w:t>
      </w:r>
      <w:r w:rsidR="0043680B" w:rsidRPr="00B358B9">
        <w:rPr>
          <w:kern w:val="22"/>
          <w:szCs w:val="22"/>
        </w:rPr>
        <w:t xml:space="preserve">. </w:t>
      </w:r>
      <w:r w:rsidR="0089308D" w:rsidRPr="00B358B9">
        <w:rPr>
          <w:kern w:val="22"/>
          <w:szCs w:val="22"/>
        </w:rPr>
        <w:t xml:space="preserve">Another important example is the introduction of </w:t>
      </w:r>
      <w:r w:rsidR="00841B75" w:rsidRPr="00B358B9">
        <w:rPr>
          <w:kern w:val="22"/>
          <w:szCs w:val="22"/>
        </w:rPr>
        <w:t>“</w:t>
      </w:r>
      <w:r w:rsidR="0089308D" w:rsidRPr="00B358B9">
        <w:rPr>
          <w:kern w:val="22"/>
          <w:szCs w:val="22"/>
        </w:rPr>
        <w:t>free, prior and informed consent</w:t>
      </w:r>
      <w:r w:rsidR="00841B75" w:rsidRPr="00B358B9">
        <w:rPr>
          <w:kern w:val="22"/>
          <w:szCs w:val="22"/>
        </w:rPr>
        <w:t>”</w:t>
      </w:r>
      <w:r w:rsidR="0089308D" w:rsidRPr="00B358B9">
        <w:rPr>
          <w:kern w:val="22"/>
          <w:szCs w:val="22"/>
        </w:rPr>
        <w:t xml:space="preserve"> as part of the Standard on Indigenous Peoples</w:t>
      </w:r>
      <w:r w:rsidR="00C7541E" w:rsidRPr="00B358B9">
        <w:rPr>
          <w:kern w:val="22"/>
          <w:szCs w:val="22"/>
        </w:rPr>
        <w:t>, as well as the protection of the cultural heritage including knowledge, innovations, or practices of indigenous peoples.</w:t>
      </w:r>
    </w:p>
    <w:p w14:paraId="6B68BC1F" w14:textId="3A69983B" w:rsidR="00FB406C" w:rsidRPr="00B358B9" w:rsidRDefault="00CA4A44"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The World Bank has undertaken several reviews of its environmental and social safeguards over the years, as a result of which some of the safeguards have been gradually updated. Specifically, for example, in 2011 the World Bank reviewed the application of its Indigenous Peoples Safeguard</w:t>
      </w:r>
      <w:r w:rsidR="001A23CF" w:rsidRPr="00B358B9">
        <w:rPr>
          <w:kern w:val="22"/>
          <w:szCs w:val="22"/>
        </w:rPr>
        <w:t>,</w:t>
      </w:r>
      <w:r w:rsidRPr="00B358B9">
        <w:rPr>
          <w:rStyle w:val="FootnoteReference"/>
          <w:kern w:val="22"/>
          <w:szCs w:val="22"/>
        </w:rPr>
        <w:footnoteReference w:id="26"/>
      </w:r>
      <w:r w:rsidRPr="00B358B9">
        <w:rPr>
          <w:kern w:val="22"/>
          <w:szCs w:val="22"/>
        </w:rPr>
        <w:t xml:space="preserve"> and found significant weaknesses on issues such as addressing tenure and access rights, and applying the policy of “free, prior and informed consultation”.</w:t>
      </w:r>
    </w:p>
    <w:p w14:paraId="2C05EE18" w14:textId="13E0AAB0" w:rsidR="00FB406C" w:rsidRPr="00B358B9" w:rsidRDefault="002F085C"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The IFC Performance Standards are generally consistent with the requirements of the </w:t>
      </w:r>
      <w:r w:rsidR="002C36C6" w:rsidRPr="00B358B9">
        <w:rPr>
          <w:kern w:val="22"/>
          <w:szCs w:val="22"/>
        </w:rPr>
        <w:t>Convention’s voluntary guidelines on safeguards in biodiversity financing mechanisms</w:t>
      </w:r>
      <w:r w:rsidRPr="00B358B9">
        <w:rPr>
          <w:kern w:val="22"/>
          <w:szCs w:val="22"/>
        </w:rPr>
        <w:t xml:space="preserve">. </w:t>
      </w:r>
      <w:r w:rsidR="00280FC6" w:rsidRPr="00B358B9">
        <w:rPr>
          <w:kern w:val="22"/>
          <w:szCs w:val="22"/>
        </w:rPr>
        <w:t xml:space="preserve">Substantively, the IFC standards have provisions that address the protection of the rights, livelihoods and cultural heritage of </w:t>
      </w:r>
      <w:r w:rsidR="00280FC6" w:rsidRPr="00B358B9">
        <w:rPr>
          <w:rFonts w:eastAsia="MS Mincho"/>
          <w:kern w:val="22"/>
          <w:szCs w:val="22"/>
        </w:rPr>
        <w:t>indigenous</w:t>
      </w:r>
      <w:r w:rsidR="00280FC6" w:rsidRPr="00B358B9">
        <w:rPr>
          <w:kern w:val="22"/>
          <w:szCs w:val="22"/>
        </w:rPr>
        <w:t xml:space="preserve"> peoples and local communities; procedurally, stakeholder involvement is a strong requirement of the IFC standards, as well as access to information. Regarding free, prior and informed consent, there are some questions about conditioning it to “certain circumstances”</w:t>
      </w:r>
      <w:r w:rsidR="00284F79" w:rsidRPr="00B358B9">
        <w:rPr>
          <w:kern w:val="22"/>
          <w:szCs w:val="22"/>
        </w:rPr>
        <w:t>, which may require a deeper examination on how such circumstances are defined in practice.</w:t>
      </w:r>
    </w:p>
    <w:p w14:paraId="7A8BD9DE" w14:textId="59025F42" w:rsidR="00FB406C" w:rsidRPr="00B358B9" w:rsidRDefault="00B303B7"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Based on the lessons from the reviews and the continuous interactions with constituencies interested in improvements in its safeguard system, the World Bank undertook </w:t>
      </w:r>
      <w:r w:rsidR="00464D46" w:rsidRPr="00B358B9">
        <w:rPr>
          <w:kern w:val="22"/>
          <w:szCs w:val="22"/>
        </w:rPr>
        <w:t xml:space="preserve">in recent years </w:t>
      </w:r>
      <w:r w:rsidRPr="00B358B9">
        <w:rPr>
          <w:kern w:val="22"/>
          <w:szCs w:val="22"/>
        </w:rPr>
        <w:t xml:space="preserve">a thorough </w:t>
      </w:r>
      <w:r w:rsidRPr="00B358B9">
        <w:rPr>
          <w:rFonts w:eastAsia="MS Mincho"/>
          <w:kern w:val="22"/>
          <w:szCs w:val="22"/>
        </w:rPr>
        <w:t>consultative</w:t>
      </w:r>
      <w:r w:rsidRPr="00B358B9">
        <w:rPr>
          <w:kern w:val="22"/>
          <w:szCs w:val="22"/>
        </w:rPr>
        <w:t xml:space="preserve"> review that resulted in the adoption, in August 2016, of a new </w:t>
      </w:r>
      <w:r w:rsidR="002F7C49" w:rsidRPr="00B358B9">
        <w:rPr>
          <w:kern w:val="22"/>
          <w:szCs w:val="22"/>
        </w:rPr>
        <w:t>Environmental and Social Framework (ESF)</w:t>
      </w:r>
      <w:r w:rsidR="00572A82" w:rsidRPr="00B358B9">
        <w:rPr>
          <w:kern w:val="22"/>
          <w:szCs w:val="22"/>
        </w:rPr>
        <w:t>,</w:t>
      </w:r>
      <w:r w:rsidR="002F7C49" w:rsidRPr="00B358B9">
        <w:rPr>
          <w:kern w:val="22"/>
          <w:szCs w:val="22"/>
        </w:rPr>
        <w:t xml:space="preserve"> aimed to provide “broad coverage, including important advances on transparency, non-discrimination, social inclusion, public participation and accountability</w:t>
      </w:r>
      <w:r w:rsidR="00572A82" w:rsidRPr="00B358B9">
        <w:rPr>
          <w:kern w:val="22"/>
          <w:szCs w:val="22"/>
        </w:rPr>
        <w:t>”</w:t>
      </w:r>
      <w:r w:rsidR="001A23CF" w:rsidRPr="00B358B9">
        <w:rPr>
          <w:kern w:val="22"/>
          <w:szCs w:val="22"/>
        </w:rPr>
        <w:t>.</w:t>
      </w:r>
      <w:r w:rsidR="00572A82" w:rsidRPr="00B358B9">
        <w:rPr>
          <w:rStyle w:val="FootnoteReference"/>
          <w:kern w:val="22"/>
          <w:szCs w:val="22"/>
        </w:rPr>
        <w:footnoteReference w:id="27"/>
      </w:r>
      <w:r w:rsidR="00DC5662" w:rsidRPr="00B358B9">
        <w:rPr>
          <w:kern w:val="22"/>
          <w:szCs w:val="22"/>
        </w:rPr>
        <w:t xml:space="preserve"> </w:t>
      </w:r>
      <w:r w:rsidR="000676AC" w:rsidRPr="00B358B9">
        <w:rPr>
          <w:kern w:val="22"/>
          <w:szCs w:val="22"/>
        </w:rPr>
        <w:t xml:space="preserve">Although already adopted, </w:t>
      </w:r>
      <w:r w:rsidR="00497433" w:rsidRPr="00B358B9">
        <w:rPr>
          <w:kern w:val="22"/>
          <w:szCs w:val="22"/>
        </w:rPr>
        <w:t xml:space="preserve">the new ESF </w:t>
      </w:r>
      <w:r w:rsidR="001B7C01" w:rsidRPr="00B358B9">
        <w:rPr>
          <w:kern w:val="22"/>
          <w:szCs w:val="22"/>
        </w:rPr>
        <w:t>w</w:t>
      </w:r>
      <w:r w:rsidR="000676AC" w:rsidRPr="00B358B9">
        <w:rPr>
          <w:kern w:val="22"/>
          <w:szCs w:val="22"/>
        </w:rPr>
        <w:t xml:space="preserve">ill be launched for application </w:t>
      </w:r>
      <w:r w:rsidR="001B7C01" w:rsidRPr="00B358B9">
        <w:rPr>
          <w:kern w:val="22"/>
          <w:szCs w:val="22"/>
        </w:rPr>
        <w:t xml:space="preserve">only </w:t>
      </w:r>
      <w:r w:rsidR="000676AC" w:rsidRPr="00B358B9">
        <w:rPr>
          <w:kern w:val="22"/>
          <w:szCs w:val="22"/>
        </w:rPr>
        <w:t>in 2018. In preparation for that, on 1</w:t>
      </w:r>
      <w:r w:rsidR="00A9237B" w:rsidRPr="00B358B9">
        <w:rPr>
          <w:kern w:val="22"/>
          <w:szCs w:val="22"/>
        </w:rPr>
        <w:t> </w:t>
      </w:r>
      <w:r w:rsidR="000676AC" w:rsidRPr="00B358B9">
        <w:rPr>
          <w:kern w:val="22"/>
          <w:szCs w:val="22"/>
        </w:rPr>
        <w:t>November</w:t>
      </w:r>
      <w:r w:rsidR="00A9237B" w:rsidRPr="00B358B9">
        <w:rPr>
          <w:kern w:val="22"/>
          <w:szCs w:val="22"/>
        </w:rPr>
        <w:t> </w:t>
      </w:r>
      <w:r w:rsidR="000676AC" w:rsidRPr="00B358B9">
        <w:rPr>
          <w:kern w:val="22"/>
          <w:szCs w:val="22"/>
        </w:rPr>
        <w:t>2017</w:t>
      </w:r>
      <w:r w:rsidR="004C1AD1" w:rsidRPr="00B358B9">
        <w:rPr>
          <w:kern w:val="22"/>
          <w:szCs w:val="22"/>
        </w:rPr>
        <w:t>,</w:t>
      </w:r>
      <w:r w:rsidR="000676AC" w:rsidRPr="00B358B9">
        <w:rPr>
          <w:kern w:val="22"/>
          <w:szCs w:val="22"/>
        </w:rPr>
        <w:t xml:space="preserve"> the World Bank issued a series of </w:t>
      </w:r>
      <w:r w:rsidR="00A9237B" w:rsidRPr="00B358B9">
        <w:rPr>
          <w:kern w:val="22"/>
          <w:szCs w:val="22"/>
        </w:rPr>
        <w:t>guidance notes</w:t>
      </w:r>
      <w:r w:rsidR="000676AC" w:rsidRPr="00B358B9">
        <w:rPr>
          <w:kern w:val="22"/>
          <w:szCs w:val="22"/>
        </w:rPr>
        <w:t xml:space="preserve"> for consultation</w:t>
      </w:r>
      <w:r w:rsidR="001A23CF" w:rsidRPr="00B358B9">
        <w:rPr>
          <w:kern w:val="22"/>
          <w:szCs w:val="22"/>
        </w:rPr>
        <w:t>,</w:t>
      </w:r>
      <w:r w:rsidR="000676AC" w:rsidRPr="00B358B9">
        <w:rPr>
          <w:rStyle w:val="FootnoteReference"/>
          <w:kern w:val="22"/>
          <w:szCs w:val="22"/>
        </w:rPr>
        <w:footnoteReference w:id="28"/>
      </w:r>
      <w:r w:rsidR="001B7C01" w:rsidRPr="00B358B9">
        <w:rPr>
          <w:kern w:val="22"/>
          <w:szCs w:val="22"/>
        </w:rPr>
        <w:t xml:space="preserve"> providing </w:t>
      </w:r>
      <w:r w:rsidR="000676AC" w:rsidRPr="00B358B9">
        <w:rPr>
          <w:kern w:val="22"/>
          <w:szCs w:val="22"/>
        </w:rPr>
        <w:t>detailed information</w:t>
      </w:r>
      <w:r w:rsidR="00497433" w:rsidRPr="00B358B9">
        <w:rPr>
          <w:kern w:val="22"/>
          <w:szCs w:val="22"/>
        </w:rPr>
        <w:t xml:space="preserve"> and </w:t>
      </w:r>
      <w:r w:rsidR="000676AC" w:rsidRPr="00B358B9">
        <w:rPr>
          <w:kern w:val="22"/>
          <w:szCs w:val="22"/>
        </w:rPr>
        <w:t>suggested steps to ensure application of the safeguards.</w:t>
      </w:r>
    </w:p>
    <w:p w14:paraId="623220F8" w14:textId="73C93792" w:rsidR="00FB406C" w:rsidRPr="00B358B9" w:rsidRDefault="00DC5662"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The </w:t>
      </w:r>
      <w:r w:rsidR="00C80034" w:rsidRPr="00B358B9">
        <w:rPr>
          <w:kern w:val="22"/>
          <w:szCs w:val="22"/>
        </w:rPr>
        <w:t xml:space="preserve">World Bank’s </w:t>
      </w:r>
      <w:r w:rsidRPr="00B358B9">
        <w:rPr>
          <w:kern w:val="22"/>
          <w:szCs w:val="22"/>
        </w:rPr>
        <w:t xml:space="preserve">ESF is </w:t>
      </w:r>
      <w:r w:rsidR="00DD2DF4" w:rsidRPr="00B358B9">
        <w:rPr>
          <w:kern w:val="22"/>
          <w:szCs w:val="22"/>
        </w:rPr>
        <w:t xml:space="preserve">composed </w:t>
      </w:r>
      <w:r w:rsidRPr="00B358B9">
        <w:rPr>
          <w:kern w:val="22"/>
          <w:szCs w:val="22"/>
        </w:rPr>
        <w:t xml:space="preserve">of three pillars: </w:t>
      </w:r>
      <w:r w:rsidR="009D118F" w:rsidRPr="00B358B9">
        <w:rPr>
          <w:kern w:val="22"/>
          <w:szCs w:val="22"/>
        </w:rPr>
        <w:t>a vision for sustainable development, the environmental and social policy, and the environmental and social standards</w:t>
      </w:r>
      <w:r w:rsidR="001A23CF" w:rsidRPr="00B358B9">
        <w:rPr>
          <w:kern w:val="22"/>
          <w:szCs w:val="22"/>
        </w:rPr>
        <w:t>.</w:t>
      </w:r>
      <w:r w:rsidRPr="00B358B9">
        <w:rPr>
          <w:rStyle w:val="FootnoteReference"/>
          <w:kern w:val="22"/>
          <w:szCs w:val="22"/>
        </w:rPr>
        <w:footnoteReference w:id="29"/>
      </w:r>
      <w:r w:rsidR="002F7C49" w:rsidRPr="00B358B9">
        <w:rPr>
          <w:kern w:val="22"/>
          <w:szCs w:val="22"/>
        </w:rPr>
        <w:t xml:space="preserve"> </w:t>
      </w:r>
      <w:r w:rsidR="00124C10" w:rsidRPr="00B358B9">
        <w:rPr>
          <w:kern w:val="22"/>
          <w:szCs w:val="22"/>
        </w:rPr>
        <w:t xml:space="preserve">With </w:t>
      </w:r>
      <w:r w:rsidR="000E2732" w:rsidRPr="00B358B9">
        <w:rPr>
          <w:kern w:val="22"/>
          <w:szCs w:val="22"/>
        </w:rPr>
        <w:t xml:space="preserve">more direct </w:t>
      </w:r>
      <w:r w:rsidR="00124C10" w:rsidRPr="00B358B9">
        <w:rPr>
          <w:kern w:val="22"/>
          <w:szCs w:val="22"/>
        </w:rPr>
        <w:t xml:space="preserve">relevance for this review, the new </w:t>
      </w:r>
      <w:r w:rsidR="00940ED1" w:rsidRPr="00B358B9">
        <w:rPr>
          <w:kern w:val="22"/>
          <w:szCs w:val="22"/>
        </w:rPr>
        <w:t xml:space="preserve">Environmental and Social Standards </w:t>
      </w:r>
      <w:r w:rsidR="00124C10" w:rsidRPr="00B358B9">
        <w:rPr>
          <w:kern w:val="22"/>
          <w:szCs w:val="22"/>
        </w:rPr>
        <w:t>include</w:t>
      </w:r>
      <w:r w:rsidR="00DD2DF4" w:rsidRPr="00B358B9">
        <w:rPr>
          <w:kern w:val="22"/>
          <w:szCs w:val="22"/>
        </w:rPr>
        <w:t>:</w:t>
      </w:r>
      <w:r w:rsidR="00124C10" w:rsidRPr="00B358B9">
        <w:rPr>
          <w:kern w:val="22"/>
          <w:szCs w:val="22"/>
        </w:rPr>
        <w:t xml:space="preserve"> </w:t>
      </w:r>
      <w:r w:rsidR="000E2732" w:rsidRPr="00B358B9">
        <w:rPr>
          <w:kern w:val="22"/>
          <w:szCs w:val="22"/>
        </w:rPr>
        <w:t>Assessment and Management of Environmental and Social Risks and Impacts; Land Acquisition, Restrictions on Land Use and Involuntary Resettlement; Biodiversity Conservation and Sustainable Management of Living Natural Resources; Indigenous Peoples/Sub-Saharan African Historically Underserved Traditional Local Communities; Cultural Heritage; Stakeholder Engagement and Information Disclosure.</w:t>
      </w:r>
    </w:p>
    <w:p w14:paraId="3827A5BB" w14:textId="29FFDC7D" w:rsidR="00300B44" w:rsidRPr="00B358B9" w:rsidRDefault="00D57887"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In its current version, the World Bank ESF shows coherence with the </w:t>
      </w:r>
      <w:r w:rsidR="00833451" w:rsidRPr="00B358B9">
        <w:rPr>
          <w:kern w:val="22"/>
          <w:szCs w:val="22"/>
        </w:rPr>
        <w:t xml:space="preserve">Convention on Biological Diversity’s </w:t>
      </w:r>
      <w:r w:rsidR="002C36C6" w:rsidRPr="00B358B9">
        <w:rPr>
          <w:kern w:val="22"/>
          <w:szCs w:val="22"/>
        </w:rPr>
        <w:t>voluntary guidelines on safeguards in biodiversity financing mechanisms</w:t>
      </w:r>
      <w:r w:rsidRPr="00B358B9">
        <w:rPr>
          <w:kern w:val="22"/>
          <w:szCs w:val="22"/>
        </w:rPr>
        <w:t xml:space="preserve">. </w:t>
      </w:r>
      <w:r w:rsidR="001034B5" w:rsidRPr="00B358B9">
        <w:rPr>
          <w:kern w:val="22"/>
          <w:szCs w:val="22"/>
        </w:rPr>
        <w:t xml:space="preserve">It recognizes the need to protect the rights and livelihoods of </w:t>
      </w:r>
      <w:r w:rsidR="005A54FC" w:rsidRPr="00B358B9">
        <w:rPr>
          <w:kern w:val="22"/>
          <w:szCs w:val="22"/>
        </w:rPr>
        <w:t>indigenous peoples and local communities</w:t>
      </w:r>
      <w:r w:rsidR="001034B5" w:rsidRPr="00B358B9">
        <w:rPr>
          <w:kern w:val="22"/>
          <w:szCs w:val="22"/>
        </w:rPr>
        <w:t xml:space="preserve">; it also mandates </w:t>
      </w:r>
      <w:r w:rsidR="00D86558" w:rsidRPr="00B358B9">
        <w:rPr>
          <w:kern w:val="22"/>
          <w:szCs w:val="22"/>
        </w:rPr>
        <w:t xml:space="preserve">the application of </w:t>
      </w:r>
      <w:r w:rsidR="001034B5" w:rsidRPr="00B358B9">
        <w:rPr>
          <w:kern w:val="22"/>
          <w:szCs w:val="22"/>
        </w:rPr>
        <w:t xml:space="preserve">inclusive project practices. </w:t>
      </w:r>
      <w:r w:rsidR="004E3DED" w:rsidRPr="00B358B9">
        <w:rPr>
          <w:kern w:val="22"/>
          <w:szCs w:val="22"/>
        </w:rPr>
        <w:t>Similarly,</w:t>
      </w:r>
      <w:r w:rsidR="001034B5" w:rsidRPr="00B358B9">
        <w:rPr>
          <w:kern w:val="22"/>
          <w:szCs w:val="22"/>
        </w:rPr>
        <w:t xml:space="preserve"> to the IFC, it includes the requirement of free, prior and informed consent in “certain circumstances” and has broaden</w:t>
      </w:r>
      <w:r w:rsidR="003B1BE2" w:rsidRPr="00B358B9">
        <w:rPr>
          <w:kern w:val="22"/>
          <w:szCs w:val="22"/>
        </w:rPr>
        <w:t>ed</w:t>
      </w:r>
      <w:r w:rsidR="001034B5" w:rsidRPr="00B358B9">
        <w:rPr>
          <w:kern w:val="22"/>
          <w:szCs w:val="22"/>
        </w:rPr>
        <w:t xml:space="preserve"> its </w:t>
      </w:r>
      <w:r w:rsidR="001034B5" w:rsidRPr="00B358B9">
        <w:rPr>
          <w:rFonts w:eastAsia="MS Mincho"/>
          <w:kern w:val="22"/>
          <w:szCs w:val="22"/>
        </w:rPr>
        <w:t>safeguard</w:t>
      </w:r>
      <w:r w:rsidR="001034B5" w:rsidRPr="00B358B9">
        <w:rPr>
          <w:kern w:val="22"/>
          <w:szCs w:val="22"/>
        </w:rPr>
        <w:t xml:space="preserve"> on cultural resources to “cultural heritage”. </w:t>
      </w:r>
      <w:r w:rsidR="00756EF9" w:rsidRPr="00B358B9">
        <w:rPr>
          <w:kern w:val="22"/>
          <w:szCs w:val="22"/>
        </w:rPr>
        <w:t xml:space="preserve">However, some organizations </w:t>
      </w:r>
      <w:r w:rsidR="00790CB8" w:rsidRPr="00B358B9">
        <w:rPr>
          <w:kern w:val="22"/>
          <w:szCs w:val="22"/>
        </w:rPr>
        <w:t xml:space="preserve">of indigenous peoples and local communities </w:t>
      </w:r>
      <w:r w:rsidR="00756EF9" w:rsidRPr="00B358B9">
        <w:rPr>
          <w:kern w:val="22"/>
          <w:szCs w:val="22"/>
        </w:rPr>
        <w:t xml:space="preserve">have observed that the current ESF places more responsibility for implementation and accountability on the borrowers than on the Bank, which </w:t>
      </w:r>
      <w:r w:rsidR="00E47E44" w:rsidRPr="00B358B9">
        <w:rPr>
          <w:kern w:val="22"/>
          <w:szCs w:val="22"/>
        </w:rPr>
        <w:t xml:space="preserve">seems to </w:t>
      </w:r>
      <w:r w:rsidR="00756EF9" w:rsidRPr="00B358B9">
        <w:rPr>
          <w:kern w:val="22"/>
          <w:szCs w:val="22"/>
        </w:rPr>
        <w:t xml:space="preserve">leave application at the discretion of </w:t>
      </w:r>
      <w:r w:rsidR="000C57A3" w:rsidRPr="00B358B9">
        <w:rPr>
          <w:kern w:val="22"/>
          <w:szCs w:val="22"/>
        </w:rPr>
        <w:t>G</w:t>
      </w:r>
      <w:r w:rsidR="00756EF9" w:rsidRPr="00B358B9">
        <w:rPr>
          <w:kern w:val="22"/>
          <w:szCs w:val="22"/>
        </w:rPr>
        <w:t>overnments.</w:t>
      </w:r>
    </w:p>
    <w:p w14:paraId="640DD664" w14:textId="3122C5D0" w:rsidR="00FB406C" w:rsidRPr="00B358B9" w:rsidRDefault="00EB78BD"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R</w:t>
      </w:r>
      <w:r w:rsidR="00756EF9" w:rsidRPr="00B358B9">
        <w:rPr>
          <w:kern w:val="22"/>
          <w:szCs w:val="22"/>
        </w:rPr>
        <w:t xml:space="preserve">egarding free, prior and informed consent, the draft </w:t>
      </w:r>
      <w:r w:rsidR="00911062" w:rsidRPr="00B358B9">
        <w:rPr>
          <w:kern w:val="22"/>
          <w:szCs w:val="22"/>
        </w:rPr>
        <w:t>guidance note</w:t>
      </w:r>
      <w:r w:rsidR="00756EF9" w:rsidRPr="00B358B9">
        <w:rPr>
          <w:kern w:val="22"/>
          <w:szCs w:val="22"/>
        </w:rPr>
        <w:t xml:space="preserve"> issued</w:t>
      </w:r>
      <w:r w:rsidR="00E47E44" w:rsidRPr="00B358B9">
        <w:rPr>
          <w:kern w:val="22"/>
          <w:szCs w:val="22"/>
        </w:rPr>
        <w:t xml:space="preserve"> on</w:t>
      </w:r>
      <w:r w:rsidR="00756EF9" w:rsidRPr="00B358B9">
        <w:rPr>
          <w:kern w:val="22"/>
          <w:szCs w:val="22"/>
        </w:rPr>
        <w:t xml:space="preserve"> 1 November 2017 </w:t>
      </w:r>
      <w:r w:rsidR="00E47E44" w:rsidRPr="00B358B9">
        <w:rPr>
          <w:kern w:val="22"/>
          <w:szCs w:val="22"/>
        </w:rPr>
        <w:t xml:space="preserve">explains </w:t>
      </w:r>
      <w:r w:rsidR="00300B44" w:rsidRPr="00B358B9">
        <w:rPr>
          <w:kern w:val="22"/>
          <w:szCs w:val="22"/>
        </w:rPr>
        <w:t xml:space="preserve">that </w:t>
      </w:r>
      <w:r w:rsidR="00E47E44" w:rsidRPr="00B358B9">
        <w:rPr>
          <w:kern w:val="22"/>
          <w:szCs w:val="22"/>
        </w:rPr>
        <w:t xml:space="preserve">the </w:t>
      </w:r>
      <w:r w:rsidR="009A3F42" w:rsidRPr="00B358B9">
        <w:rPr>
          <w:kern w:val="22"/>
          <w:szCs w:val="22"/>
        </w:rPr>
        <w:t xml:space="preserve">circumstances </w:t>
      </w:r>
      <w:r w:rsidR="00300B44" w:rsidRPr="00B358B9">
        <w:rPr>
          <w:kern w:val="22"/>
          <w:szCs w:val="22"/>
        </w:rPr>
        <w:t xml:space="preserve">requiring </w:t>
      </w:r>
      <w:r w:rsidR="009A3F42" w:rsidRPr="00B358B9">
        <w:rPr>
          <w:kern w:val="22"/>
          <w:szCs w:val="22"/>
        </w:rPr>
        <w:t>it</w:t>
      </w:r>
      <w:r w:rsidR="00300B44" w:rsidRPr="00B358B9">
        <w:rPr>
          <w:kern w:val="22"/>
          <w:szCs w:val="22"/>
        </w:rPr>
        <w:t>s</w:t>
      </w:r>
      <w:r w:rsidR="009A3F42" w:rsidRPr="00B358B9">
        <w:rPr>
          <w:kern w:val="22"/>
          <w:szCs w:val="22"/>
        </w:rPr>
        <w:t xml:space="preserve"> application </w:t>
      </w:r>
      <w:r w:rsidR="00300B44" w:rsidRPr="00B358B9">
        <w:rPr>
          <w:kern w:val="22"/>
          <w:szCs w:val="22"/>
        </w:rPr>
        <w:t>are when projects</w:t>
      </w:r>
      <w:r w:rsidR="00B967DA" w:rsidRPr="00B358B9">
        <w:rPr>
          <w:kern w:val="22"/>
          <w:szCs w:val="22"/>
        </w:rPr>
        <w:t xml:space="preserve"> </w:t>
      </w:r>
      <w:r w:rsidRPr="00B358B9">
        <w:rPr>
          <w:kern w:val="22"/>
          <w:szCs w:val="22"/>
        </w:rPr>
        <w:t>(</w:t>
      </w:r>
      <w:r w:rsidR="001A23CF" w:rsidRPr="00B358B9">
        <w:rPr>
          <w:kern w:val="22"/>
          <w:szCs w:val="22"/>
        </w:rPr>
        <w:t>a</w:t>
      </w:r>
      <w:r w:rsidRPr="00B358B9">
        <w:rPr>
          <w:kern w:val="22"/>
          <w:szCs w:val="22"/>
        </w:rPr>
        <w:t xml:space="preserve">) </w:t>
      </w:r>
      <w:r w:rsidR="00B967DA" w:rsidRPr="00B358B9">
        <w:rPr>
          <w:kern w:val="22"/>
          <w:szCs w:val="22"/>
        </w:rPr>
        <w:t xml:space="preserve">adversely impact </w:t>
      </w:r>
      <w:r w:rsidR="003E62C1" w:rsidRPr="00B358B9">
        <w:rPr>
          <w:kern w:val="22"/>
          <w:szCs w:val="22"/>
        </w:rPr>
        <w:t xml:space="preserve">on the land and natural resources </w:t>
      </w:r>
      <w:r w:rsidR="0086784A" w:rsidRPr="00B358B9">
        <w:rPr>
          <w:rFonts w:eastAsia="MS Mincho"/>
          <w:kern w:val="22"/>
          <w:szCs w:val="22"/>
        </w:rPr>
        <w:t>under</w:t>
      </w:r>
      <w:r w:rsidR="0086784A" w:rsidRPr="00B358B9">
        <w:rPr>
          <w:kern w:val="22"/>
          <w:szCs w:val="22"/>
        </w:rPr>
        <w:t xml:space="preserve"> </w:t>
      </w:r>
      <w:r w:rsidR="003E62C1" w:rsidRPr="00B358B9">
        <w:rPr>
          <w:kern w:val="22"/>
          <w:szCs w:val="22"/>
        </w:rPr>
        <w:t xml:space="preserve">traditional ownership or customary use or occupation by </w:t>
      </w:r>
      <w:r w:rsidR="00B967DA" w:rsidRPr="00B358B9">
        <w:rPr>
          <w:kern w:val="22"/>
          <w:szCs w:val="22"/>
        </w:rPr>
        <w:t>Indigenous Peoples/Sub-Saharan African Historically Underserved Traditional Local Communities</w:t>
      </w:r>
      <w:r w:rsidR="005224A0" w:rsidRPr="00B358B9">
        <w:rPr>
          <w:kern w:val="22"/>
          <w:szCs w:val="22"/>
        </w:rPr>
        <w:t>,</w:t>
      </w:r>
      <w:r w:rsidR="003E62C1" w:rsidRPr="00B358B9">
        <w:rPr>
          <w:kern w:val="22"/>
          <w:szCs w:val="22"/>
        </w:rPr>
        <w:t xml:space="preserve"> </w:t>
      </w:r>
      <w:r w:rsidRPr="00B358B9">
        <w:rPr>
          <w:kern w:val="22"/>
          <w:szCs w:val="22"/>
        </w:rPr>
        <w:t>(</w:t>
      </w:r>
      <w:r w:rsidR="001A23CF" w:rsidRPr="00B358B9">
        <w:rPr>
          <w:kern w:val="22"/>
          <w:szCs w:val="22"/>
        </w:rPr>
        <w:t>b</w:t>
      </w:r>
      <w:r w:rsidRPr="00B358B9">
        <w:rPr>
          <w:kern w:val="22"/>
          <w:szCs w:val="22"/>
        </w:rPr>
        <w:t>)</w:t>
      </w:r>
      <w:r w:rsidR="000243F6" w:rsidRPr="00B358B9">
        <w:rPr>
          <w:kern w:val="22"/>
          <w:szCs w:val="22"/>
        </w:rPr>
        <w:t> </w:t>
      </w:r>
      <w:r w:rsidR="003E62C1" w:rsidRPr="00B358B9">
        <w:rPr>
          <w:kern w:val="22"/>
          <w:szCs w:val="22"/>
        </w:rPr>
        <w:t xml:space="preserve">cause their relocation </w:t>
      </w:r>
      <w:r w:rsidR="0086784A" w:rsidRPr="00B358B9">
        <w:rPr>
          <w:kern w:val="22"/>
          <w:szCs w:val="22"/>
        </w:rPr>
        <w:t xml:space="preserve">or </w:t>
      </w:r>
      <w:r w:rsidRPr="00B358B9">
        <w:rPr>
          <w:kern w:val="22"/>
          <w:szCs w:val="22"/>
        </w:rPr>
        <w:t>(</w:t>
      </w:r>
      <w:r w:rsidR="001A23CF" w:rsidRPr="00B358B9">
        <w:rPr>
          <w:kern w:val="22"/>
          <w:szCs w:val="22"/>
        </w:rPr>
        <w:t>c</w:t>
      </w:r>
      <w:r w:rsidRPr="00B358B9">
        <w:rPr>
          <w:kern w:val="22"/>
          <w:szCs w:val="22"/>
        </w:rPr>
        <w:t xml:space="preserve">) </w:t>
      </w:r>
      <w:r w:rsidR="0086784A" w:rsidRPr="00B358B9">
        <w:rPr>
          <w:kern w:val="22"/>
          <w:szCs w:val="22"/>
        </w:rPr>
        <w:t>have significant impacts on their cultural heritage</w:t>
      </w:r>
      <w:r w:rsidR="001A23CF" w:rsidRPr="00B358B9">
        <w:rPr>
          <w:kern w:val="22"/>
          <w:szCs w:val="22"/>
        </w:rPr>
        <w:t>.</w:t>
      </w:r>
      <w:r w:rsidRPr="00B358B9">
        <w:rPr>
          <w:rStyle w:val="FootnoteReference"/>
          <w:kern w:val="22"/>
          <w:szCs w:val="22"/>
        </w:rPr>
        <w:footnoteReference w:id="30"/>
      </w:r>
    </w:p>
    <w:p w14:paraId="01E6A3E8" w14:textId="6C169F76" w:rsidR="00B634FD" w:rsidRPr="00B358B9" w:rsidRDefault="006E59C2"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One a</w:t>
      </w:r>
      <w:r w:rsidR="00B634FD" w:rsidRPr="00B358B9">
        <w:rPr>
          <w:kern w:val="22"/>
          <w:szCs w:val="22"/>
        </w:rPr>
        <w:t xml:space="preserve">spect of this </w:t>
      </w:r>
      <w:r w:rsidR="00B634FD" w:rsidRPr="00B358B9">
        <w:rPr>
          <w:rFonts w:eastAsia="MS Mincho"/>
          <w:kern w:val="22"/>
          <w:szCs w:val="22"/>
        </w:rPr>
        <w:t>formulation</w:t>
      </w:r>
      <w:r w:rsidR="00B634FD" w:rsidRPr="00B358B9">
        <w:rPr>
          <w:kern w:val="22"/>
          <w:szCs w:val="22"/>
        </w:rPr>
        <w:t xml:space="preserve"> that </w:t>
      </w:r>
      <w:r w:rsidR="00C37404" w:rsidRPr="00B358B9">
        <w:rPr>
          <w:kern w:val="22"/>
          <w:szCs w:val="22"/>
        </w:rPr>
        <w:t xml:space="preserve">has been </w:t>
      </w:r>
      <w:r w:rsidR="005D0B13" w:rsidRPr="00B358B9">
        <w:rPr>
          <w:kern w:val="22"/>
          <w:szCs w:val="22"/>
        </w:rPr>
        <w:t xml:space="preserve">the </w:t>
      </w:r>
      <w:r w:rsidR="00B634FD" w:rsidRPr="00B358B9">
        <w:rPr>
          <w:kern w:val="22"/>
          <w:szCs w:val="22"/>
        </w:rPr>
        <w:t>subject o</w:t>
      </w:r>
      <w:r w:rsidR="005D0B13" w:rsidRPr="00B358B9">
        <w:rPr>
          <w:kern w:val="22"/>
          <w:szCs w:val="22"/>
        </w:rPr>
        <w:t>f</w:t>
      </w:r>
      <w:r w:rsidR="00B634FD" w:rsidRPr="00B358B9">
        <w:rPr>
          <w:kern w:val="22"/>
          <w:szCs w:val="22"/>
        </w:rPr>
        <w:t xml:space="preserve"> criticism </w:t>
      </w:r>
      <w:r w:rsidRPr="00B358B9">
        <w:rPr>
          <w:kern w:val="22"/>
          <w:szCs w:val="22"/>
        </w:rPr>
        <w:t xml:space="preserve">is </w:t>
      </w:r>
      <w:r w:rsidR="00B634FD" w:rsidRPr="00B358B9">
        <w:rPr>
          <w:kern w:val="22"/>
          <w:szCs w:val="22"/>
        </w:rPr>
        <w:t xml:space="preserve">that the </w:t>
      </w:r>
      <w:r w:rsidRPr="00B358B9">
        <w:rPr>
          <w:kern w:val="22"/>
          <w:szCs w:val="22"/>
        </w:rPr>
        <w:t xml:space="preserve">assessment of impacts for determining their conditioning </w:t>
      </w:r>
      <w:r w:rsidR="00B634FD" w:rsidRPr="00B358B9">
        <w:rPr>
          <w:kern w:val="22"/>
          <w:szCs w:val="22"/>
        </w:rPr>
        <w:t xml:space="preserve">qualification (adverse, significant) </w:t>
      </w:r>
      <w:r w:rsidRPr="00B358B9">
        <w:rPr>
          <w:kern w:val="22"/>
          <w:szCs w:val="22"/>
        </w:rPr>
        <w:t xml:space="preserve">will </w:t>
      </w:r>
      <w:r w:rsidR="00B634FD" w:rsidRPr="00B358B9">
        <w:rPr>
          <w:kern w:val="22"/>
          <w:szCs w:val="22"/>
        </w:rPr>
        <w:t xml:space="preserve">precede the process of obtaining </w:t>
      </w:r>
      <w:r w:rsidR="004F0F04" w:rsidRPr="00B358B9">
        <w:rPr>
          <w:kern w:val="22"/>
          <w:szCs w:val="22"/>
        </w:rPr>
        <w:t>free, prior and informed consent</w:t>
      </w:r>
      <w:r w:rsidR="00B634FD" w:rsidRPr="00B358B9">
        <w:rPr>
          <w:kern w:val="22"/>
          <w:szCs w:val="22"/>
        </w:rPr>
        <w:t>, and it is not clear by whom or th</w:t>
      </w:r>
      <w:r w:rsidRPr="00B358B9">
        <w:rPr>
          <w:kern w:val="22"/>
          <w:szCs w:val="22"/>
        </w:rPr>
        <w:t>r</w:t>
      </w:r>
      <w:r w:rsidR="00B634FD" w:rsidRPr="00B358B9">
        <w:rPr>
          <w:kern w:val="22"/>
          <w:szCs w:val="22"/>
        </w:rPr>
        <w:t>ough w</w:t>
      </w:r>
      <w:r w:rsidRPr="00B358B9">
        <w:rPr>
          <w:kern w:val="22"/>
          <w:szCs w:val="22"/>
        </w:rPr>
        <w:t>hich</w:t>
      </w:r>
      <w:r w:rsidR="00B634FD" w:rsidRPr="00B358B9">
        <w:rPr>
          <w:kern w:val="22"/>
          <w:szCs w:val="22"/>
        </w:rPr>
        <w:t xml:space="preserve"> procedure the impacts will be scored to trigger or not to trigger </w:t>
      </w:r>
      <w:r w:rsidR="004F0F04" w:rsidRPr="00B358B9">
        <w:rPr>
          <w:kern w:val="22"/>
          <w:szCs w:val="22"/>
        </w:rPr>
        <w:t>free, prior and informed consent</w:t>
      </w:r>
      <w:r w:rsidR="00B634FD" w:rsidRPr="00B358B9">
        <w:rPr>
          <w:kern w:val="22"/>
          <w:szCs w:val="22"/>
        </w:rPr>
        <w:t>.</w:t>
      </w:r>
    </w:p>
    <w:p w14:paraId="082AAC23" w14:textId="77777777" w:rsidR="001D3E8E" w:rsidRPr="00891479" w:rsidRDefault="0068169A" w:rsidP="00B358B9">
      <w:pPr>
        <w:pStyle w:val="Para1"/>
        <w:keepNext/>
        <w:numPr>
          <w:ilvl w:val="0"/>
          <w:numId w:val="0"/>
        </w:numPr>
        <w:suppressLineNumbers/>
        <w:tabs>
          <w:tab w:val="left" w:pos="360"/>
        </w:tabs>
        <w:suppressAutoHyphens/>
        <w:kinsoku w:val="0"/>
        <w:overflowPunct w:val="0"/>
        <w:autoSpaceDE w:val="0"/>
        <w:autoSpaceDN w:val="0"/>
        <w:adjustRightInd w:val="0"/>
        <w:snapToGrid w:val="0"/>
        <w:jc w:val="center"/>
        <w:rPr>
          <w:b/>
          <w:bCs/>
          <w:iCs/>
          <w:kern w:val="22"/>
          <w:szCs w:val="22"/>
        </w:rPr>
      </w:pPr>
      <w:r w:rsidRPr="00891479">
        <w:rPr>
          <w:b/>
          <w:bCs/>
          <w:iCs/>
          <w:kern w:val="22"/>
          <w:szCs w:val="22"/>
        </w:rPr>
        <w:t>B</w:t>
      </w:r>
      <w:r w:rsidR="001D3E8E" w:rsidRPr="00891479">
        <w:rPr>
          <w:b/>
          <w:bCs/>
          <w:iCs/>
          <w:kern w:val="22"/>
          <w:szCs w:val="22"/>
        </w:rPr>
        <w:t>.</w:t>
      </w:r>
      <w:r w:rsidR="001D3E8E" w:rsidRPr="00891479">
        <w:rPr>
          <w:b/>
          <w:bCs/>
          <w:iCs/>
          <w:kern w:val="22"/>
          <w:szCs w:val="22"/>
        </w:rPr>
        <w:tab/>
        <w:t>The Global Environment Facility</w:t>
      </w:r>
    </w:p>
    <w:p w14:paraId="681A7EAD" w14:textId="59F6B3DC" w:rsidR="00355C89" w:rsidRPr="00B358B9" w:rsidRDefault="00355C89"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The </w:t>
      </w:r>
      <w:r w:rsidR="00B71E01" w:rsidRPr="00B358B9">
        <w:rPr>
          <w:kern w:val="22"/>
          <w:szCs w:val="22"/>
        </w:rPr>
        <w:t xml:space="preserve">Global Environment Facility (GEF) </w:t>
      </w:r>
      <w:r w:rsidRPr="00B358B9">
        <w:rPr>
          <w:kern w:val="22"/>
          <w:szCs w:val="22"/>
        </w:rPr>
        <w:t xml:space="preserve">is today the financial mechanism for </w:t>
      </w:r>
      <w:r w:rsidR="00ED57FE" w:rsidRPr="00B358B9">
        <w:rPr>
          <w:kern w:val="22"/>
          <w:szCs w:val="22"/>
        </w:rPr>
        <w:t>five</w:t>
      </w:r>
      <w:r w:rsidRPr="00B358B9">
        <w:rPr>
          <w:kern w:val="22"/>
          <w:szCs w:val="22"/>
        </w:rPr>
        <w:t xml:space="preserve"> major international environmental conventions: the </w:t>
      </w:r>
      <w:r w:rsidR="00DC7510" w:rsidRPr="00B358B9">
        <w:rPr>
          <w:kern w:val="22"/>
          <w:szCs w:val="22"/>
        </w:rPr>
        <w:t>United Nations Framework Convention on Climate Change;</w:t>
      </w:r>
      <w:r w:rsidRPr="00B358B9">
        <w:rPr>
          <w:kern w:val="22"/>
          <w:szCs w:val="22"/>
        </w:rPr>
        <w:t xml:space="preserve"> the </w:t>
      </w:r>
      <w:r w:rsidR="00DC7510" w:rsidRPr="00B358B9">
        <w:rPr>
          <w:kern w:val="22"/>
          <w:szCs w:val="22"/>
        </w:rPr>
        <w:t>Convention on Biological Diversity;</w:t>
      </w:r>
      <w:r w:rsidRPr="00B358B9">
        <w:rPr>
          <w:kern w:val="22"/>
          <w:szCs w:val="22"/>
        </w:rPr>
        <w:t xml:space="preserve"> the Stockholm Convention on Persistent Organic Pollutants</w:t>
      </w:r>
      <w:r w:rsidR="009377C0" w:rsidRPr="00B358B9">
        <w:rPr>
          <w:kern w:val="22"/>
          <w:szCs w:val="22"/>
        </w:rPr>
        <w:t>;</w:t>
      </w:r>
      <w:r w:rsidRPr="00B358B9">
        <w:rPr>
          <w:kern w:val="22"/>
          <w:szCs w:val="22"/>
        </w:rPr>
        <w:t xml:space="preserve"> the United Nations Convention to Combat Desertification</w:t>
      </w:r>
      <w:r w:rsidR="009377C0" w:rsidRPr="00B358B9">
        <w:rPr>
          <w:kern w:val="22"/>
          <w:szCs w:val="22"/>
        </w:rPr>
        <w:t>;</w:t>
      </w:r>
      <w:r w:rsidRPr="00B358B9">
        <w:rPr>
          <w:kern w:val="22"/>
          <w:szCs w:val="22"/>
        </w:rPr>
        <w:t xml:space="preserve"> and the </w:t>
      </w:r>
      <w:proofErr w:type="spellStart"/>
      <w:r w:rsidRPr="00B358B9">
        <w:rPr>
          <w:kern w:val="22"/>
          <w:szCs w:val="22"/>
        </w:rPr>
        <w:t>Minamata</w:t>
      </w:r>
      <w:proofErr w:type="spellEnd"/>
      <w:r w:rsidRPr="00B358B9">
        <w:rPr>
          <w:kern w:val="22"/>
          <w:szCs w:val="22"/>
        </w:rPr>
        <w:t xml:space="preserve"> Convention on Mercury. The safeguard system of GEF applies equally to all agencies and operations under the </w:t>
      </w:r>
      <w:r w:rsidR="00864E90" w:rsidRPr="00B358B9">
        <w:rPr>
          <w:kern w:val="22"/>
          <w:szCs w:val="22"/>
        </w:rPr>
        <w:t>five c</w:t>
      </w:r>
      <w:r w:rsidRPr="00B358B9">
        <w:rPr>
          <w:kern w:val="22"/>
          <w:szCs w:val="22"/>
        </w:rPr>
        <w:t xml:space="preserve">onventions. In this sense, the </w:t>
      </w:r>
      <w:r w:rsidR="005A5732" w:rsidRPr="00B358B9">
        <w:rPr>
          <w:kern w:val="22"/>
          <w:szCs w:val="22"/>
        </w:rPr>
        <w:t xml:space="preserve">overall </w:t>
      </w:r>
      <w:r w:rsidRPr="00B358B9">
        <w:rPr>
          <w:kern w:val="22"/>
          <w:szCs w:val="22"/>
        </w:rPr>
        <w:t xml:space="preserve">impact of GEF in terms of application of its safeguard requirements is </w:t>
      </w:r>
      <w:r w:rsidR="007D1C12" w:rsidRPr="00B358B9">
        <w:rPr>
          <w:kern w:val="22"/>
          <w:szCs w:val="22"/>
        </w:rPr>
        <w:t xml:space="preserve">potentially </w:t>
      </w:r>
      <w:r w:rsidRPr="00B358B9">
        <w:rPr>
          <w:kern w:val="22"/>
          <w:szCs w:val="22"/>
        </w:rPr>
        <w:t>very significant.</w:t>
      </w:r>
    </w:p>
    <w:p w14:paraId="5B7A9A03" w14:textId="527E9FA6" w:rsidR="00752C9A" w:rsidRPr="00891479" w:rsidRDefault="00752C9A"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GEF adopted a “</w:t>
      </w:r>
      <w:r w:rsidRPr="00891479">
        <w:rPr>
          <w:kern w:val="22"/>
          <w:szCs w:val="22"/>
        </w:rPr>
        <w:t>Policy on Agency Minimum Standards on Environmental and Social Safeguards</w:t>
      </w:r>
      <w:r w:rsidRPr="00B358B9">
        <w:rPr>
          <w:kern w:val="22"/>
          <w:szCs w:val="22"/>
        </w:rPr>
        <w:t>” in November 2011, and issued a revised guidance for “Application of Policy on Agency Minimum Standards on Environmental and Social Safeguards” in February 2015</w:t>
      </w:r>
      <w:r w:rsidR="001A23CF" w:rsidRPr="00B358B9">
        <w:rPr>
          <w:kern w:val="22"/>
          <w:szCs w:val="22"/>
        </w:rPr>
        <w:t>.</w:t>
      </w:r>
      <w:r w:rsidRPr="00B358B9">
        <w:rPr>
          <w:rStyle w:val="FootnoteReference"/>
          <w:kern w:val="22"/>
          <w:szCs w:val="22"/>
        </w:rPr>
        <w:footnoteReference w:id="31"/>
      </w:r>
    </w:p>
    <w:p w14:paraId="09735A95" w14:textId="69D8892C" w:rsidR="00481A7A" w:rsidRPr="00B358B9" w:rsidRDefault="00A40BC7"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GEF operates through a partnership of 18 </w:t>
      </w:r>
      <w:r w:rsidR="00674890" w:rsidRPr="00B358B9">
        <w:rPr>
          <w:kern w:val="22"/>
          <w:szCs w:val="22"/>
        </w:rPr>
        <w:t>a</w:t>
      </w:r>
      <w:r w:rsidRPr="00B358B9">
        <w:rPr>
          <w:kern w:val="22"/>
          <w:szCs w:val="22"/>
        </w:rPr>
        <w:t xml:space="preserve">gencies that include </w:t>
      </w:r>
      <w:r w:rsidR="00423D73" w:rsidRPr="00B358B9">
        <w:rPr>
          <w:kern w:val="22"/>
          <w:szCs w:val="22"/>
        </w:rPr>
        <w:t xml:space="preserve">United Nations </w:t>
      </w:r>
      <w:r w:rsidRPr="00B358B9">
        <w:rPr>
          <w:kern w:val="22"/>
          <w:szCs w:val="22"/>
        </w:rPr>
        <w:t xml:space="preserve">institutions, multilateral development banks, international conservation organizations and national institutions in some countries. </w:t>
      </w:r>
      <w:r w:rsidR="00DD370D" w:rsidRPr="00B358B9">
        <w:rPr>
          <w:kern w:val="22"/>
          <w:szCs w:val="22"/>
        </w:rPr>
        <w:t xml:space="preserve">GEF requires that all agencies comply with its </w:t>
      </w:r>
      <w:r w:rsidR="00F55C93" w:rsidRPr="00B358B9">
        <w:rPr>
          <w:kern w:val="22"/>
          <w:szCs w:val="22"/>
        </w:rPr>
        <w:t xml:space="preserve">eight </w:t>
      </w:r>
      <w:r w:rsidR="00DD370D" w:rsidRPr="00B358B9">
        <w:rPr>
          <w:kern w:val="22"/>
          <w:szCs w:val="22"/>
        </w:rPr>
        <w:t>standards on environmental and social safeguards</w:t>
      </w:r>
      <w:r w:rsidR="001A23CF" w:rsidRPr="00B358B9">
        <w:rPr>
          <w:kern w:val="22"/>
          <w:szCs w:val="22"/>
        </w:rPr>
        <w:t>,</w:t>
      </w:r>
      <w:r w:rsidR="00364323" w:rsidRPr="00891479">
        <w:rPr>
          <w:rStyle w:val="FootnoteReference"/>
          <w:kern w:val="22"/>
          <w:szCs w:val="22"/>
        </w:rPr>
        <w:footnoteReference w:id="32"/>
      </w:r>
      <w:r w:rsidR="00DD370D" w:rsidRPr="00B358B9">
        <w:rPr>
          <w:kern w:val="22"/>
          <w:szCs w:val="22"/>
        </w:rPr>
        <w:t xml:space="preserve"> </w:t>
      </w:r>
      <w:r w:rsidR="00F55C93" w:rsidRPr="00B358B9">
        <w:rPr>
          <w:kern w:val="22"/>
          <w:szCs w:val="22"/>
        </w:rPr>
        <w:t xml:space="preserve">which </w:t>
      </w:r>
      <w:r w:rsidR="00251C32" w:rsidRPr="00891479">
        <w:rPr>
          <w:kern w:val="22"/>
          <w:szCs w:val="22"/>
        </w:rPr>
        <w:t xml:space="preserve">include </w:t>
      </w:r>
      <w:r w:rsidR="00C74891" w:rsidRPr="00891479">
        <w:rPr>
          <w:kern w:val="22"/>
          <w:szCs w:val="22"/>
        </w:rPr>
        <w:t>environmental and social impact assessment, natural habitats, involuntary resettlement, indigenous peoples, physical cultural resources, and accountability and grievance systems</w:t>
      </w:r>
      <w:r w:rsidR="00B82518" w:rsidRPr="00891479">
        <w:rPr>
          <w:kern w:val="22"/>
          <w:szCs w:val="22"/>
        </w:rPr>
        <w:t xml:space="preserve">. </w:t>
      </w:r>
      <w:r w:rsidR="00AF6DCC" w:rsidRPr="00891479">
        <w:rPr>
          <w:kern w:val="22"/>
          <w:szCs w:val="22"/>
        </w:rPr>
        <w:t xml:space="preserve">Following the 2015 </w:t>
      </w:r>
      <w:r w:rsidR="009611AF" w:rsidRPr="00891479">
        <w:rPr>
          <w:kern w:val="22"/>
          <w:szCs w:val="22"/>
        </w:rPr>
        <w:t>g</w:t>
      </w:r>
      <w:r w:rsidR="00AF6DCC" w:rsidRPr="00891479">
        <w:rPr>
          <w:kern w:val="22"/>
          <w:szCs w:val="22"/>
        </w:rPr>
        <w:t>uidance, t</w:t>
      </w:r>
      <w:r w:rsidR="00DD370D" w:rsidRPr="00B358B9">
        <w:rPr>
          <w:kern w:val="22"/>
          <w:szCs w:val="22"/>
        </w:rPr>
        <w:t xml:space="preserve">he majority of the 18 GEF </w:t>
      </w:r>
      <w:r w:rsidR="009611AF" w:rsidRPr="00B358B9">
        <w:rPr>
          <w:kern w:val="22"/>
          <w:szCs w:val="22"/>
        </w:rPr>
        <w:t>a</w:t>
      </w:r>
      <w:r w:rsidR="00DD370D" w:rsidRPr="00B358B9">
        <w:rPr>
          <w:kern w:val="22"/>
          <w:szCs w:val="22"/>
        </w:rPr>
        <w:t xml:space="preserve">gencies established their environmental and social safeguard systems </w:t>
      </w:r>
      <w:r w:rsidR="00AC3350" w:rsidRPr="00B358B9">
        <w:rPr>
          <w:kern w:val="22"/>
          <w:szCs w:val="22"/>
        </w:rPr>
        <w:t xml:space="preserve">in </w:t>
      </w:r>
      <w:r w:rsidR="00DD370D" w:rsidRPr="00B358B9">
        <w:rPr>
          <w:kern w:val="22"/>
          <w:szCs w:val="22"/>
        </w:rPr>
        <w:t>2015 and 2016</w:t>
      </w:r>
      <w:r w:rsidR="00114622" w:rsidRPr="00B358B9">
        <w:rPr>
          <w:kern w:val="22"/>
          <w:szCs w:val="22"/>
        </w:rPr>
        <w:t>, and</w:t>
      </w:r>
      <w:r w:rsidR="00B82518" w:rsidRPr="00B358B9">
        <w:rPr>
          <w:kern w:val="22"/>
          <w:szCs w:val="22"/>
        </w:rPr>
        <w:t xml:space="preserve"> their experience </w:t>
      </w:r>
      <w:r w:rsidR="009611AF" w:rsidRPr="00B358B9">
        <w:rPr>
          <w:kern w:val="22"/>
          <w:szCs w:val="22"/>
        </w:rPr>
        <w:t xml:space="preserve">in </w:t>
      </w:r>
      <w:r w:rsidR="00B82518" w:rsidRPr="00B358B9">
        <w:rPr>
          <w:kern w:val="22"/>
          <w:szCs w:val="22"/>
        </w:rPr>
        <w:t>applying them is</w:t>
      </w:r>
      <w:r w:rsidR="00114622" w:rsidRPr="00B358B9">
        <w:rPr>
          <w:kern w:val="22"/>
          <w:szCs w:val="22"/>
        </w:rPr>
        <w:t xml:space="preserve"> therefore </w:t>
      </w:r>
      <w:r w:rsidR="00B82518" w:rsidRPr="00B358B9">
        <w:rPr>
          <w:kern w:val="22"/>
          <w:szCs w:val="22"/>
        </w:rPr>
        <w:t>very recent</w:t>
      </w:r>
      <w:r w:rsidR="00DD370D" w:rsidRPr="00B358B9">
        <w:rPr>
          <w:kern w:val="22"/>
          <w:szCs w:val="22"/>
        </w:rPr>
        <w:t>.</w:t>
      </w:r>
    </w:p>
    <w:p w14:paraId="2966B26A" w14:textId="48EDB1FB" w:rsidR="001D3E8E" w:rsidRPr="00B358B9" w:rsidRDefault="006B03C6"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Th</w:t>
      </w:r>
      <w:r w:rsidR="003C0B66" w:rsidRPr="00B358B9">
        <w:rPr>
          <w:kern w:val="22"/>
          <w:szCs w:val="22"/>
        </w:rPr>
        <w:t xml:space="preserve">e </w:t>
      </w:r>
      <w:r w:rsidR="00E77476" w:rsidRPr="00B358B9">
        <w:rPr>
          <w:kern w:val="22"/>
          <w:szCs w:val="22"/>
        </w:rPr>
        <w:t xml:space="preserve">process for upgrading the </w:t>
      </w:r>
      <w:r w:rsidR="003C0B66" w:rsidRPr="00B358B9">
        <w:rPr>
          <w:kern w:val="22"/>
          <w:szCs w:val="22"/>
        </w:rPr>
        <w:t>GEF environmental and social safeguard</w:t>
      </w:r>
      <w:r w:rsidR="005C0AEC" w:rsidRPr="00B358B9">
        <w:rPr>
          <w:kern w:val="22"/>
          <w:szCs w:val="22"/>
        </w:rPr>
        <w:t>s</w:t>
      </w:r>
      <w:r w:rsidR="003C0B66" w:rsidRPr="00B358B9">
        <w:rPr>
          <w:kern w:val="22"/>
          <w:szCs w:val="22"/>
        </w:rPr>
        <w:t xml:space="preserve"> </w:t>
      </w:r>
      <w:r w:rsidR="001D3E8E" w:rsidRPr="00891479">
        <w:rPr>
          <w:kern w:val="22"/>
          <w:szCs w:val="22"/>
        </w:rPr>
        <w:t xml:space="preserve">has recently included a major effort to </w:t>
      </w:r>
      <w:r w:rsidR="001D3E8E" w:rsidRPr="00B358B9">
        <w:rPr>
          <w:rFonts w:eastAsia="MS Mincho"/>
          <w:kern w:val="22"/>
          <w:szCs w:val="22"/>
        </w:rPr>
        <w:t>improve</w:t>
      </w:r>
      <w:r w:rsidR="001D3E8E" w:rsidRPr="00891479">
        <w:rPr>
          <w:kern w:val="22"/>
          <w:szCs w:val="22"/>
        </w:rPr>
        <w:t xml:space="preserve"> </w:t>
      </w:r>
      <w:r w:rsidR="00AF6DCC" w:rsidRPr="00891479">
        <w:rPr>
          <w:kern w:val="22"/>
          <w:szCs w:val="22"/>
        </w:rPr>
        <w:t xml:space="preserve">agency </w:t>
      </w:r>
      <w:r w:rsidR="001D3E8E" w:rsidRPr="00891479">
        <w:rPr>
          <w:kern w:val="22"/>
          <w:szCs w:val="22"/>
        </w:rPr>
        <w:t xml:space="preserve">compliance </w:t>
      </w:r>
      <w:r w:rsidR="001678C5" w:rsidRPr="00891479">
        <w:rPr>
          <w:kern w:val="22"/>
          <w:szCs w:val="22"/>
        </w:rPr>
        <w:t xml:space="preserve">and </w:t>
      </w:r>
      <w:r w:rsidR="00E77476" w:rsidRPr="00891479">
        <w:rPr>
          <w:kern w:val="22"/>
          <w:szCs w:val="22"/>
        </w:rPr>
        <w:t>will be followed by</w:t>
      </w:r>
      <w:r w:rsidR="001D3E8E" w:rsidRPr="00891479">
        <w:rPr>
          <w:kern w:val="22"/>
          <w:szCs w:val="22"/>
        </w:rPr>
        <w:t xml:space="preserve"> a further upgrade of the system</w:t>
      </w:r>
      <w:r w:rsidR="00E77476" w:rsidRPr="00891479">
        <w:rPr>
          <w:kern w:val="22"/>
          <w:szCs w:val="22"/>
        </w:rPr>
        <w:t>,</w:t>
      </w:r>
      <w:r w:rsidR="001D3E8E" w:rsidRPr="00891479">
        <w:rPr>
          <w:kern w:val="22"/>
          <w:szCs w:val="22"/>
        </w:rPr>
        <w:t xml:space="preserve"> where</w:t>
      </w:r>
      <w:r w:rsidR="003C0D69" w:rsidRPr="00891479">
        <w:rPr>
          <w:kern w:val="22"/>
          <w:szCs w:val="22"/>
        </w:rPr>
        <w:t>in</w:t>
      </w:r>
      <w:r w:rsidR="001D3E8E" w:rsidRPr="00891479">
        <w:rPr>
          <w:kern w:val="22"/>
          <w:szCs w:val="22"/>
        </w:rPr>
        <w:t xml:space="preserve"> the contribution of the </w:t>
      </w:r>
      <w:r w:rsidR="002C36C6" w:rsidRPr="00891479">
        <w:rPr>
          <w:kern w:val="22"/>
          <w:szCs w:val="22"/>
        </w:rPr>
        <w:t xml:space="preserve">Convention’s voluntary guidelines on safeguards in biodiversity financing mechanisms </w:t>
      </w:r>
      <w:r w:rsidR="001D3E8E" w:rsidRPr="00891479">
        <w:rPr>
          <w:kern w:val="22"/>
          <w:szCs w:val="22"/>
        </w:rPr>
        <w:t>will be particularly valuable</w:t>
      </w:r>
      <w:r w:rsidR="00525069" w:rsidRPr="00891479">
        <w:rPr>
          <w:kern w:val="22"/>
          <w:szCs w:val="22"/>
        </w:rPr>
        <w:t xml:space="preserve">. It is important to note that </w:t>
      </w:r>
      <w:r w:rsidR="001D3E8E" w:rsidRPr="00891479">
        <w:rPr>
          <w:kern w:val="22"/>
          <w:szCs w:val="22"/>
        </w:rPr>
        <w:t xml:space="preserve">GEF has significantly expanded its portfolio within and outside the </w:t>
      </w:r>
      <w:r w:rsidR="00BE70EC" w:rsidRPr="00891479">
        <w:rPr>
          <w:kern w:val="22"/>
          <w:szCs w:val="22"/>
        </w:rPr>
        <w:t>Convention on Biological Diversity</w:t>
      </w:r>
      <w:r w:rsidR="00525069" w:rsidRPr="00891479">
        <w:rPr>
          <w:kern w:val="22"/>
          <w:szCs w:val="22"/>
        </w:rPr>
        <w:t xml:space="preserve">, and </w:t>
      </w:r>
      <w:r w:rsidR="001D3E8E" w:rsidRPr="00891479">
        <w:rPr>
          <w:kern w:val="22"/>
          <w:szCs w:val="22"/>
        </w:rPr>
        <w:t xml:space="preserve">includes </w:t>
      </w:r>
      <w:r w:rsidR="00525069" w:rsidRPr="00891479">
        <w:rPr>
          <w:kern w:val="22"/>
          <w:szCs w:val="22"/>
        </w:rPr>
        <w:t>a</w:t>
      </w:r>
      <w:r w:rsidR="001D3E8E" w:rsidRPr="00891479">
        <w:rPr>
          <w:kern w:val="22"/>
          <w:szCs w:val="22"/>
        </w:rPr>
        <w:t xml:space="preserve">ctions that take the shape of, support or include new and innovative mechanisms beyond conventional project implementation. </w:t>
      </w:r>
      <w:r w:rsidR="00BE0C92" w:rsidRPr="00B358B9">
        <w:rPr>
          <w:kern w:val="22"/>
          <w:szCs w:val="22"/>
        </w:rPr>
        <w:t xml:space="preserve">The GEF process, for these reasons, is likely to have a very </w:t>
      </w:r>
      <w:r w:rsidR="009A627E" w:rsidRPr="00B358B9">
        <w:rPr>
          <w:kern w:val="22"/>
          <w:szCs w:val="22"/>
        </w:rPr>
        <w:t xml:space="preserve">significant </w:t>
      </w:r>
      <w:r w:rsidR="00BE0C92" w:rsidRPr="00B358B9">
        <w:rPr>
          <w:kern w:val="22"/>
          <w:szCs w:val="22"/>
        </w:rPr>
        <w:t>impact on the structure and application of safeguard systems</w:t>
      </w:r>
      <w:r w:rsidR="00772741" w:rsidRPr="00B358B9">
        <w:rPr>
          <w:kern w:val="22"/>
          <w:szCs w:val="22"/>
        </w:rPr>
        <w:t xml:space="preserve"> globally</w:t>
      </w:r>
      <w:r w:rsidR="00BE0C92" w:rsidRPr="00B358B9">
        <w:rPr>
          <w:kern w:val="22"/>
          <w:szCs w:val="22"/>
        </w:rPr>
        <w:t>.</w:t>
      </w:r>
    </w:p>
    <w:p w14:paraId="63D74D65" w14:textId="2CD9B523" w:rsidR="001D3E8E" w:rsidRPr="00B358B9" w:rsidRDefault="001D3E8E"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891479">
        <w:rPr>
          <w:kern w:val="22"/>
          <w:szCs w:val="22"/>
        </w:rPr>
        <w:t xml:space="preserve">In May 2017, GEF undertook a thorough </w:t>
      </w:r>
      <w:r w:rsidR="00777F25" w:rsidRPr="00891479">
        <w:rPr>
          <w:kern w:val="22"/>
          <w:szCs w:val="22"/>
        </w:rPr>
        <w:t>r</w:t>
      </w:r>
      <w:r w:rsidRPr="00891479">
        <w:rPr>
          <w:kern w:val="22"/>
          <w:szCs w:val="22"/>
        </w:rPr>
        <w:t xml:space="preserve">eview of its </w:t>
      </w:r>
      <w:r w:rsidR="00A76788" w:rsidRPr="00891479">
        <w:rPr>
          <w:kern w:val="22"/>
          <w:szCs w:val="22"/>
        </w:rPr>
        <w:t>p</w:t>
      </w:r>
      <w:r w:rsidRPr="00891479">
        <w:rPr>
          <w:kern w:val="22"/>
          <w:szCs w:val="22"/>
        </w:rPr>
        <w:t xml:space="preserve">olicy on </w:t>
      </w:r>
      <w:r w:rsidR="00A76788" w:rsidRPr="00891479">
        <w:rPr>
          <w:kern w:val="22"/>
          <w:szCs w:val="22"/>
        </w:rPr>
        <w:t>a</w:t>
      </w:r>
      <w:r w:rsidRPr="00891479">
        <w:rPr>
          <w:kern w:val="22"/>
          <w:szCs w:val="22"/>
        </w:rPr>
        <w:t xml:space="preserve">gency </w:t>
      </w:r>
      <w:r w:rsidR="00A76788" w:rsidRPr="00891479">
        <w:rPr>
          <w:kern w:val="22"/>
          <w:szCs w:val="22"/>
        </w:rPr>
        <w:t>m</w:t>
      </w:r>
      <w:r w:rsidRPr="00891479">
        <w:rPr>
          <w:kern w:val="22"/>
          <w:szCs w:val="22"/>
        </w:rPr>
        <w:t xml:space="preserve">inimum </w:t>
      </w:r>
      <w:r w:rsidR="00A76788" w:rsidRPr="00891479">
        <w:rPr>
          <w:kern w:val="22"/>
          <w:szCs w:val="22"/>
        </w:rPr>
        <w:t>s</w:t>
      </w:r>
      <w:r w:rsidRPr="00891479">
        <w:rPr>
          <w:kern w:val="22"/>
          <w:szCs w:val="22"/>
        </w:rPr>
        <w:t xml:space="preserve">tandards on </w:t>
      </w:r>
      <w:r w:rsidR="00A76788" w:rsidRPr="00891479">
        <w:rPr>
          <w:kern w:val="22"/>
          <w:szCs w:val="22"/>
        </w:rPr>
        <w:t>e</w:t>
      </w:r>
      <w:r w:rsidRPr="00891479">
        <w:rPr>
          <w:kern w:val="22"/>
          <w:szCs w:val="22"/>
        </w:rPr>
        <w:t xml:space="preserve">nvironmental and </w:t>
      </w:r>
      <w:r w:rsidR="00A76788" w:rsidRPr="00891479">
        <w:rPr>
          <w:kern w:val="22"/>
          <w:szCs w:val="22"/>
        </w:rPr>
        <w:t>s</w:t>
      </w:r>
      <w:r w:rsidRPr="00891479">
        <w:rPr>
          <w:kern w:val="22"/>
          <w:szCs w:val="22"/>
        </w:rPr>
        <w:t xml:space="preserve">ocial </w:t>
      </w:r>
      <w:r w:rsidR="00A76788" w:rsidRPr="00891479">
        <w:rPr>
          <w:kern w:val="22"/>
          <w:szCs w:val="22"/>
        </w:rPr>
        <w:t>s</w:t>
      </w:r>
      <w:r w:rsidRPr="00891479">
        <w:rPr>
          <w:kern w:val="22"/>
          <w:szCs w:val="22"/>
        </w:rPr>
        <w:t>afeguards and its usefulness in addressing environmental and social risks particularly in the context of its Sixth Portfolio cycle</w:t>
      </w:r>
      <w:r w:rsidR="001A23CF" w:rsidRPr="00891479">
        <w:rPr>
          <w:kern w:val="22"/>
          <w:szCs w:val="22"/>
        </w:rPr>
        <w:t>.</w:t>
      </w:r>
      <w:r w:rsidRPr="00891479">
        <w:rPr>
          <w:rStyle w:val="FootnoteReference"/>
          <w:kern w:val="22"/>
          <w:szCs w:val="22"/>
        </w:rPr>
        <w:footnoteReference w:id="33"/>
      </w:r>
      <w:r w:rsidRPr="00891479">
        <w:rPr>
          <w:kern w:val="22"/>
          <w:szCs w:val="22"/>
        </w:rPr>
        <w:t xml:space="preserve"> </w:t>
      </w:r>
      <w:r w:rsidR="00A3104C" w:rsidRPr="00891479">
        <w:rPr>
          <w:kern w:val="22"/>
          <w:szCs w:val="22"/>
        </w:rPr>
        <w:t xml:space="preserve"> </w:t>
      </w:r>
      <w:r w:rsidRPr="00B358B9">
        <w:rPr>
          <w:kern w:val="22"/>
          <w:szCs w:val="22"/>
        </w:rPr>
        <w:t xml:space="preserve">Following the </w:t>
      </w:r>
      <w:r w:rsidR="008D288F" w:rsidRPr="00B358B9">
        <w:rPr>
          <w:kern w:val="22"/>
          <w:szCs w:val="22"/>
        </w:rPr>
        <w:t>r</w:t>
      </w:r>
      <w:r w:rsidRPr="00B358B9">
        <w:rPr>
          <w:kern w:val="22"/>
          <w:szCs w:val="22"/>
        </w:rPr>
        <w:t xml:space="preserve">eview, the GEF Council at its </w:t>
      </w:r>
      <w:r w:rsidRPr="00891479">
        <w:rPr>
          <w:kern w:val="22"/>
          <w:szCs w:val="22"/>
        </w:rPr>
        <w:t xml:space="preserve">53rd </w:t>
      </w:r>
      <w:r w:rsidR="0035273A">
        <w:rPr>
          <w:kern w:val="22"/>
          <w:szCs w:val="22"/>
        </w:rPr>
        <w:t>m</w:t>
      </w:r>
      <w:r w:rsidRPr="00891479">
        <w:rPr>
          <w:kern w:val="22"/>
          <w:szCs w:val="22"/>
        </w:rPr>
        <w:t>eeting</w:t>
      </w:r>
      <w:r w:rsidR="0072085A" w:rsidRPr="00891479">
        <w:rPr>
          <w:kern w:val="22"/>
          <w:szCs w:val="22"/>
        </w:rPr>
        <w:t>,</w:t>
      </w:r>
      <w:r w:rsidRPr="00B358B9">
        <w:rPr>
          <w:kern w:val="22"/>
          <w:szCs w:val="22"/>
        </w:rPr>
        <w:t xml:space="preserve"> in November 2017</w:t>
      </w:r>
      <w:r w:rsidR="0072085A" w:rsidRPr="00B358B9">
        <w:rPr>
          <w:kern w:val="22"/>
          <w:szCs w:val="22"/>
        </w:rPr>
        <w:t>,</w:t>
      </w:r>
      <w:r w:rsidRPr="00B358B9">
        <w:rPr>
          <w:kern w:val="22"/>
          <w:szCs w:val="22"/>
        </w:rPr>
        <w:t xml:space="preserve"> is considering a “Plan to </w:t>
      </w:r>
      <w:r w:rsidR="0072085A" w:rsidRPr="00B358B9">
        <w:rPr>
          <w:kern w:val="22"/>
          <w:szCs w:val="22"/>
        </w:rPr>
        <w:t>r</w:t>
      </w:r>
      <w:r w:rsidRPr="00B358B9">
        <w:rPr>
          <w:kern w:val="22"/>
          <w:szCs w:val="22"/>
        </w:rPr>
        <w:t xml:space="preserve">eview the GEF’s </w:t>
      </w:r>
      <w:r w:rsidR="0072085A" w:rsidRPr="00B358B9">
        <w:rPr>
          <w:kern w:val="22"/>
          <w:szCs w:val="22"/>
        </w:rPr>
        <w:t>s</w:t>
      </w:r>
      <w:r w:rsidRPr="00B358B9">
        <w:rPr>
          <w:kern w:val="22"/>
          <w:szCs w:val="22"/>
        </w:rPr>
        <w:t xml:space="preserve">ocial and </w:t>
      </w:r>
      <w:r w:rsidR="0072085A" w:rsidRPr="00B358B9">
        <w:rPr>
          <w:kern w:val="22"/>
          <w:szCs w:val="22"/>
        </w:rPr>
        <w:t>e</w:t>
      </w:r>
      <w:r w:rsidRPr="00B358B9">
        <w:rPr>
          <w:kern w:val="22"/>
          <w:szCs w:val="22"/>
        </w:rPr>
        <w:t xml:space="preserve">nvironmental </w:t>
      </w:r>
      <w:r w:rsidR="0072085A" w:rsidRPr="00B358B9">
        <w:rPr>
          <w:kern w:val="22"/>
          <w:szCs w:val="22"/>
        </w:rPr>
        <w:t>s</w:t>
      </w:r>
      <w:r w:rsidRPr="00B358B9">
        <w:rPr>
          <w:kern w:val="22"/>
          <w:szCs w:val="22"/>
        </w:rPr>
        <w:t>afeguards”</w:t>
      </w:r>
      <w:r w:rsidR="001A23CF" w:rsidRPr="00B358B9">
        <w:rPr>
          <w:kern w:val="22"/>
          <w:szCs w:val="22"/>
        </w:rPr>
        <w:t>,</w:t>
      </w:r>
      <w:r w:rsidRPr="00891479">
        <w:rPr>
          <w:rStyle w:val="FootnoteReference"/>
          <w:kern w:val="22"/>
          <w:szCs w:val="22"/>
        </w:rPr>
        <w:footnoteReference w:id="34"/>
      </w:r>
      <w:r w:rsidRPr="00B358B9">
        <w:rPr>
          <w:kern w:val="22"/>
          <w:szCs w:val="22"/>
        </w:rPr>
        <w:t xml:space="preserve"> with a view to addressing the recommendations </w:t>
      </w:r>
      <w:r w:rsidR="00FF0E2F" w:rsidRPr="00B358B9">
        <w:rPr>
          <w:kern w:val="22"/>
          <w:szCs w:val="22"/>
        </w:rPr>
        <w:t xml:space="preserve">emanating from </w:t>
      </w:r>
      <w:r w:rsidRPr="00B358B9">
        <w:rPr>
          <w:kern w:val="22"/>
          <w:szCs w:val="22"/>
        </w:rPr>
        <w:t xml:space="preserve">the </w:t>
      </w:r>
      <w:r w:rsidR="00FF0E2F" w:rsidRPr="00B358B9">
        <w:rPr>
          <w:kern w:val="22"/>
          <w:szCs w:val="22"/>
        </w:rPr>
        <w:t>r</w:t>
      </w:r>
      <w:r w:rsidRPr="00B358B9">
        <w:rPr>
          <w:kern w:val="22"/>
          <w:szCs w:val="22"/>
        </w:rPr>
        <w:t xml:space="preserve">eview and upgrading its whole system to the latest international standards and policy provisions. The Plan will be implemented between December 2017 and November 2018, and offers a useful opportunity to promote greater synergies with the </w:t>
      </w:r>
      <w:r w:rsidR="002C36C6" w:rsidRPr="00B358B9">
        <w:rPr>
          <w:kern w:val="22"/>
          <w:szCs w:val="22"/>
        </w:rPr>
        <w:t>Convention’s voluntary guidelines on safeguards in biodiversity financing mechanisms</w:t>
      </w:r>
      <w:r w:rsidRPr="00B358B9">
        <w:rPr>
          <w:kern w:val="22"/>
          <w:szCs w:val="22"/>
        </w:rPr>
        <w:t>.</w:t>
      </w:r>
    </w:p>
    <w:p w14:paraId="55C10112" w14:textId="357765E0" w:rsidR="00FB406C" w:rsidRPr="00B358B9" w:rsidRDefault="001D3E8E"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Further, in November 2017</w:t>
      </w:r>
      <w:r w:rsidR="00881F7F" w:rsidRPr="00B358B9">
        <w:rPr>
          <w:kern w:val="22"/>
          <w:szCs w:val="22"/>
        </w:rPr>
        <w:t>,</w:t>
      </w:r>
      <w:r w:rsidRPr="00B358B9">
        <w:rPr>
          <w:kern w:val="22"/>
          <w:szCs w:val="22"/>
        </w:rPr>
        <w:t xml:space="preserve"> GEF issued a report </w:t>
      </w:r>
      <w:r w:rsidR="00881F7F" w:rsidRPr="00B358B9">
        <w:rPr>
          <w:kern w:val="22"/>
          <w:szCs w:val="22"/>
        </w:rPr>
        <w:t xml:space="preserve">on </w:t>
      </w:r>
      <w:r w:rsidRPr="00B358B9">
        <w:rPr>
          <w:kern w:val="22"/>
          <w:szCs w:val="22"/>
        </w:rPr>
        <w:t xml:space="preserve">a </w:t>
      </w:r>
      <w:r w:rsidR="00881F7F" w:rsidRPr="00891479">
        <w:rPr>
          <w:kern w:val="22"/>
          <w:szCs w:val="22"/>
        </w:rPr>
        <w:t>r</w:t>
      </w:r>
      <w:r w:rsidRPr="00891479">
        <w:rPr>
          <w:kern w:val="22"/>
          <w:szCs w:val="22"/>
        </w:rPr>
        <w:t xml:space="preserve">eview of GEF </w:t>
      </w:r>
      <w:r w:rsidR="00881F7F" w:rsidRPr="00891479">
        <w:rPr>
          <w:kern w:val="22"/>
          <w:szCs w:val="22"/>
        </w:rPr>
        <w:t>e</w:t>
      </w:r>
      <w:r w:rsidRPr="00891479">
        <w:rPr>
          <w:kern w:val="22"/>
          <w:szCs w:val="22"/>
        </w:rPr>
        <w:t xml:space="preserve">ngagement with </w:t>
      </w:r>
      <w:r w:rsidR="00881F7F" w:rsidRPr="00891479">
        <w:rPr>
          <w:kern w:val="22"/>
          <w:szCs w:val="22"/>
        </w:rPr>
        <w:t>i</w:t>
      </w:r>
      <w:r w:rsidRPr="00891479">
        <w:rPr>
          <w:kern w:val="22"/>
          <w:szCs w:val="22"/>
        </w:rPr>
        <w:t xml:space="preserve">ndigenous </w:t>
      </w:r>
      <w:r w:rsidR="00881F7F" w:rsidRPr="00891479">
        <w:rPr>
          <w:kern w:val="22"/>
          <w:szCs w:val="22"/>
        </w:rPr>
        <w:t>p</w:t>
      </w:r>
      <w:r w:rsidRPr="00891479">
        <w:rPr>
          <w:kern w:val="22"/>
          <w:szCs w:val="22"/>
        </w:rPr>
        <w:t xml:space="preserve">eoples </w:t>
      </w:r>
      <w:r w:rsidRPr="00B358B9">
        <w:rPr>
          <w:rFonts w:eastAsia="MS Mincho"/>
          <w:kern w:val="22"/>
          <w:szCs w:val="22"/>
        </w:rPr>
        <w:t>which</w:t>
      </w:r>
      <w:r w:rsidRPr="00891479">
        <w:rPr>
          <w:kern w:val="22"/>
          <w:szCs w:val="22"/>
        </w:rPr>
        <w:t xml:space="preserve"> specifically contains an analysis of the </w:t>
      </w:r>
      <w:r w:rsidR="00F95B3F" w:rsidRPr="00891479">
        <w:rPr>
          <w:kern w:val="22"/>
          <w:szCs w:val="22"/>
        </w:rPr>
        <w:t>i</w:t>
      </w:r>
      <w:r w:rsidRPr="00891479">
        <w:rPr>
          <w:kern w:val="22"/>
          <w:szCs w:val="22"/>
        </w:rPr>
        <w:t xml:space="preserve">ndigenous </w:t>
      </w:r>
      <w:r w:rsidR="00F95B3F" w:rsidRPr="00891479">
        <w:rPr>
          <w:kern w:val="22"/>
          <w:szCs w:val="22"/>
        </w:rPr>
        <w:t>p</w:t>
      </w:r>
      <w:r w:rsidRPr="00891479">
        <w:rPr>
          <w:kern w:val="22"/>
          <w:szCs w:val="22"/>
        </w:rPr>
        <w:t>eoples</w:t>
      </w:r>
      <w:r w:rsidR="00B12652" w:rsidRPr="00891479">
        <w:rPr>
          <w:kern w:val="22"/>
          <w:szCs w:val="22"/>
        </w:rPr>
        <w:t>’</w:t>
      </w:r>
      <w:r w:rsidRPr="00891479">
        <w:rPr>
          <w:kern w:val="22"/>
          <w:szCs w:val="22"/>
        </w:rPr>
        <w:t xml:space="preserve"> </w:t>
      </w:r>
      <w:r w:rsidR="00F95B3F" w:rsidRPr="00891479">
        <w:rPr>
          <w:kern w:val="22"/>
          <w:szCs w:val="22"/>
        </w:rPr>
        <w:t>s</w:t>
      </w:r>
      <w:r w:rsidRPr="00891479">
        <w:rPr>
          <w:kern w:val="22"/>
          <w:szCs w:val="22"/>
        </w:rPr>
        <w:t xml:space="preserve">afeguards of the 18 GEF </w:t>
      </w:r>
      <w:r w:rsidR="00F95B3F" w:rsidRPr="00891479">
        <w:rPr>
          <w:kern w:val="22"/>
          <w:szCs w:val="22"/>
        </w:rPr>
        <w:t>a</w:t>
      </w:r>
      <w:r w:rsidRPr="00891479">
        <w:rPr>
          <w:kern w:val="22"/>
          <w:szCs w:val="22"/>
        </w:rPr>
        <w:t xml:space="preserve">gencies and provides useful lessons for exploring ways to strengthen </w:t>
      </w:r>
      <w:r w:rsidR="00C930BD" w:rsidRPr="00891479">
        <w:rPr>
          <w:kern w:val="22"/>
          <w:szCs w:val="22"/>
        </w:rPr>
        <w:t xml:space="preserve">their </w:t>
      </w:r>
      <w:r w:rsidRPr="00891479">
        <w:rPr>
          <w:kern w:val="22"/>
          <w:szCs w:val="22"/>
        </w:rPr>
        <w:t xml:space="preserve">application along the lines required by the </w:t>
      </w:r>
      <w:r w:rsidR="002C36C6" w:rsidRPr="00891479">
        <w:rPr>
          <w:kern w:val="22"/>
          <w:szCs w:val="22"/>
        </w:rPr>
        <w:t xml:space="preserve">Convention’s voluntary guidelines on safeguards in biodiversity financing </w:t>
      </w:r>
      <w:r w:rsidR="00D6739E" w:rsidRPr="00891479">
        <w:rPr>
          <w:kern w:val="22"/>
          <w:szCs w:val="22"/>
        </w:rPr>
        <w:t>mechanisms.</w:t>
      </w:r>
    </w:p>
    <w:p w14:paraId="6852E029" w14:textId="2D03DDCD" w:rsidR="001D3E8E" w:rsidRPr="00B358B9" w:rsidRDefault="001D3E8E"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GEF </w:t>
      </w:r>
      <w:r w:rsidR="00481A7A" w:rsidRPr="00B358B9">
        <w:rPr>
          <w:kern w:val="22"/>
          <w:szCs w:val="22"/>
        </w:rPr>
        <w:t>s</w:t>
      </w:r>
      <w:r w:rsidRPr="00B358B9">
        <w:rPr>
          <w:kern w:val="22"/>
          <w:szCs w:val="22"/>
        </w:rPr>
        <w:t xml:space="preserve">afeguards generally comply with provisions of the </w:t>
      </w:r>
      <w:r w:rsidR="002C36C6" w:rsidRPr="00B358B9">
        <w:rPr>
          <w:kern w:val="22"/>
          <w:szCs w:val="22"/>
        </w:rPr>
        <w:t xml:space="preserve">Convention’s voluntary guidelines on safeguards in biodiversity financing </w:t>
      </w:r>
      <w:r w:rsidR="00D6739E" w:rsidRPr="00B358B9">
        <w:rPr>
          <w:kern w:val="22"/>
          <w:szCs w:val="22"/>
        </w:rPr>
        <w:t>mechanisms,</w:t>
      </w:r>
      <w:r w:rsidRPr="00B358B9">
        <w:rPr>
          <w:kern w:val="22"/>
          <w:szCs w:val="22"/>
        </w:rPr>
        <w:t xml:space="preserve"> but there are some areas for improvement. The 2017 </w:t>
      </w:r>
      <w:r w:rsidR="00592AD0" w:rsidRPr="00B358B9">
        <w:rPr>
          <w:kern w:val="22"/>
          <w:szCs w:val="22"/>
        </w:rPr>
        <w:t>r</w:t>
      </w:r>
      <w:r w:rsidRPr="00B358B9">
        <w:rPr>
          <w:kern w:val="22"/>
          <w:szCs w:val="22"/>
        </w:rPr>
        <w:t xml:space="preserve">eview of the GEF </w:t>
      </w:r>
      <w:r w:rsidR="00592AD0" w:rsidRPr="00B358B9">
        <w:rPr>
          <w:kern w:val="22"/>
          <w:szCs w:val="22"/>
        </w:rPr>
        <w:t>m</w:t>
      </w:r>
      <w:r w:rsidRPr="00B358B9">
        <w:rPr>
          <w:kern w:val="22"/>
          <w:szCs w:val="22"/>
        </w:rPr>
        <w:t xml:space="preserve">inimum </w:t>
      </w:r>
      <w:r w:rsidR="00592AD0" w:rsidRPr="00B358B9">
        <w:rPr>
          <w:kern w:val="22"/>
          <w:szCs w:val="22"/>
        </w:rPr>
        <w:t>s</w:t>
      </w:r>
      <w:r w:rsidRPr="00B358B9">
        <w:rPr>
          <w:kern w:val="22"/>
          <w:szCs w:val="22"/>
        </w:rPr>
        <w:t>tandards found that</w:t>
      </w:r>
      <w:r w:rsidR="00592AD0" w:rsidRPr="00B358B9">
        <w:rPr>
          <w:kern w:val="22"/>
          <w:szCs w:val="22"/>
        </w:rPr>
        <w:t>,</w:t>
      </w:r>
      <w:r w:rsidRPr="00B358B9">
        <w:rPr>
          <w:kern w:val="22"/>
          <w:szCs w:val="22"/>
        </w:rPr>
        <w:t xml:space="preserve"> although the core principles of the system “remain highly </w:t>
      </w:r>
      <w:r w:rsidRPr="00B358B9">
        <w:rPr>
          <w:rFonts w:eastAsia="MS Mincho"/>
          <w:kern w:val="22"/>
          <w:szCs w:val="22"/>
        </w:rPr>
        <w:t>relevant</w:t>
      </w:r>
      <w:r w:rsidRPr="00B358B9">
        <w:rPr>
          <w:kern w:val="22"/>
          <w:szCs w:val="22"/>
        </w:rPr>
        <w:t xml:space="preserve"> today</w:t>
      </w:r>
      <w:r w:rsidR="00592AD0" w:rsidRPr="00B358B9">
        <w:rPr>
          <w:kern w:val="22"/>
          <w:szCs w:val="22"/>
        </w:rPr>
        <w:t>,</w:t>
      </w:r>
      <w:r w:rsidRPr="00B358B9">
        <w:rPr>
          <w:kern w:val="22"/>
          <w:szCs w:val="22"/>
        </w:rPr>
        <w:t xml:space="preserve"> [...] there has been significant evolution in environmental and social safeguard standards in the intervening years in terms of thematic breadth, specificity and procedures”</w:t>
      </w:r>
      <w:r w:rsidR="00515764" w:rsidRPr="00B358B9">
        <w:rPr>
          <w:kern w:val="22"/>
          <w:szCs w:val="22"/>
        </w:rPr>
        <w:t>,</w:t>
      </w:r>
      <w:r w:rsidRPr="00B358B9">
        <w:rPr>
          <w:rStyle w:val="FootnoteReference"/>
          <w:kern w:val="22"/>
          <w:szCs w:val="22"/>
        </w:rPr>
        <w:footnoteReference w:id="35"/>
      </w:r>
      <w:r w:rsidRPr="00B358B9">
        <w:rPr>
          <w:kern w:val="22"/>
          <w:szCs w:val="22"/>
        </w:rPr>
        <w:t xml:space="preserve"> and</w:t>
      </w:r>
      <w:r w:rsidR="00BA026E" w:rsidRPr="00B358B9">
        <w:rPr>
          <w:kern w:val="22"/>
          <w:szCs w:val="22"/>
        </w:rPr>
        <w:t>,</w:t>
      </w:r>
      <w:r w:rsidRPr="00B358B9">
        <w:rPr>
          <w:kern w:val="22"/>
          <w:szCs w:val="22"/>
        </w:rPr>
        <w:t xml:space="preserve"> therefore</w:t>
      </w:r>
      <w:r w:rsidR="00BA026E" w:rsidRPr="00B358B9">
        <w:rPr>
          <w:kern w:val="22"/>
          <w:szCs w:val="22"/>
        </w:rPr>
        <w:t>,</w:t>
      </w:r>
      <w:r w:rsidRPr="00B358B9">
        <w:rPr>
          <w:kern w:val="22"/>
          <w:szCs w:val="22"/>
        </w:rPr>
        <w:t xml:space="preserve"> improvements should be considered in areas</w:t>
      </w:r>
      <w:r w:rsidR="009033CE" w:rsidRPr="00B358B9">
        <w:rPr>
          <w:kern w:val="22"/>
          <w:szCs w:val="22"/>
        </w:rPr>
        <w:t xml:space="preserve"> such as </w:t>
      </w:r>
      <w:r w:rsidR="00431FB8" w:rsidRPr="00B358B9">
        <w:rPr>
          <w:kern w:val="22"/>
          <w:szCs w:val="22"/>
        </w:rPr>
        <w:t xml:space="preserve">the following: </w:t>
      </w:r>
      <w:r w:rsidR="009033CE" w:rsidRPr="00B358B9">
        <w:rPr>
          <w:kern w:val="22"/>
          <w:szCs w:val="22"/>
        </w:rPr>
        <w:t>h</w:t>
      </w:r>
      <w:r w:rsidRPr="00B358B9">
        <w:rPr>
          <w:kern w:val="22"/>
          <w:szCs w:val="22"/>
        </w:rPr>
        <w:t>uman rights, non</w:t>
      </w:r>
      <w:r w:rsidR="001678C5" w:rsidRPr="00B358B9">
        <w:rPr>
          <w:kern w:val="22"/>
          <w:szCs w:val="22"/>
        </w:rPr>
        <w:t>-</w:t>
      </w:r>
      <w:r w:rsidRPr="00B358B9">
        <w:rPr>
          <w:kern w:val="22"/>
          <w:szCs w:val="22"/>
        </w:rPr>
        <w:t>discrimination and equity</w:t>
      </w:r>
      <w:r w:rsidR="009033CE" w:rsidRPr="00B358B9">
        <w:rPr>
          <w:kern w:val="22"/>
          <w:szCs w:val="22"/>
        </w:rPr>
        <w:t>; s</w:t>
      </w:r>
      <w:r w:rsidRPr="00B358B9">
        <w:rPr>
          <w:kern w:val="22"/>
          <w:szCs w:val="22"/>
        </w:rPr>
        <w:t>takeholder engagement</w:t>
      </w:r>
      <w:r w:rsidR="009033CE" w:rsidRPr="00B358B9">
        <w:rPr>
          <w:kern w:val="22"/>
          <w:szCs w:val="22"/>
        </w:rPr>
        <w:t xml:space="preserve">; </w:t>
      </w:r>
      <w:r w:rsidR="0063604A" w:rsidRPr="00B358B9">
        <w:rPr>
          <w:kern w:val="22"/>
          <w:szCs w:val="22"/>
        </w:rPr>
        <w:t>s</w:t>
      </w:r>
      <w:r w:rsidRPr="00B358B9">
        <w:rPr>
          <w:kern w:val="22"/>
          <w:szCs w:val="22"/>
        </w:rPr>
        <w:t>ustainable resource management</w:t>
      </w:r>
      <w:r w:rsidR="0063604A" w:rsidRPr="00B358B9">
        <w:rPr>
          <w:kern w:val="22"/>
          <w:szCs w:val="22"/>
        </w:rPr>
        <w:t>; i</w:t>
      </w:r>
      <w:r w:rsidRPr="00B358B9">
        <w:rPr>
          <w:kern w:val="22"/>
          <w:szCs w:val="22"/>
        </w:rPr>
        <w:t>nvoluntary resettlement</w:t>
      </w:r>
      <w:r w:rsidR="0063604A" w:rsidRPr="00B358B9">
        <w:rPr>
          <w:kern w:val="22"/>
          <w:szCs w:val="22"/>
        </w:rPr>
        <w:t>; in</w:t>
      </w:r>
      <w:r w:rsidRPr="00B358B9">
        <w:rPr>
          <w:kern w:val="22"/>
          <w:szCs w:val="22"/>
        </w:rPr>
        <w:t xml:space="preserve">digenous peoples and </w:t>
      </w:r>
      <w:r w:rsidR="004F0F04" w:rsidRPr="00B358B9">
        <w:rPr>
          <w:kern w:val="22"/>
          <w:szCs w:val="22"/>
        </w:rPr>
        <w:t>free, prior and informed consent</w:t>
      </w:r>
      <w:r w:rsidR="0063604A" w:rsidRPr="00B358B9">
        <w:rPr>
          <w:kern w:val="22"/>
          <w:szCs w:val="22"/>
        </w:rPr>
        <w:t xml:space="preserve">; </w:t>
      </w:r>
      <w:r w:rsidR="00431FB8" w:rsidRPr="00B358B9">
        <w:rPr>
          <w:kern w:val="22"/>
          <w:szCs w:val="22"/>
        </w:rPr>
        <w:t xml:space="preserve">and </w:t>
      </w:r>
      <w:r w:rsidR="0063604A" w:rsidRPr="00B358B9">
        <w:rPr>
          <w:kern w:val="22"/>
          <w:szCs w:val="22"/>
        </w:rPr>
        <w:t>c</w:t>
      </w:r>
      <w:r w:rsidRPr="00B358B9">
        <w:rPr>
          <w:kern w:val="22"/>
          <w:szCs w:val="22"/>
        </w:rPr>
        <w:t>ultural heritage.</w:t>
      </w:r>
    </w:p>
    <w:p w14:paraId="4E6E6FD1" w14:textId="5E1B4824" w:rsidR="00737156" w:rsidRPr="00B358B9" w:rsidRDefault="00D0324C"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891479">
        <w:rPr>
          <w:kern w:val="22"/>
          <w:szCs w:val="22"/>
        </w:rPr>
        <w:t xml:space="preserve">The proposed directions for improvement recommended by the </w:t>
      </w:r>
      <w:r w:rsidR="00F33476" w:rsidRPr="00891479">
        <w:rPr>
          <w:kern w:val="22"/>
          <w:szCs w:val="22"/>
        </w:rPr>
        <w:t>r</w:t>
      </w:r>
      <w:r w:rsidRPr="00891479">
        <w:rPr>
          <w:kern w:val="22"/>
          <w:szCs w:val="22"/>
        </w:rPr>
        <w:t xml:space="preserve">eview seem fully consistent with the spirit and provisions of the </w:t>
      </w:r>
      <w:r w:rsidR="002C36C6" w:rsidRPr="00891479">
        <w:rPr>
          <w:kern w:val="22"/>
          <w:szCs w:val="22"/>
        </w:rPr>
        <w:t>Convention’s voluntary guidelines on safeguards in biodiversity financing mechanisms</w:t>
      </w:r>
      <w:r w:rsidRPr="00891479">
        <w:rPr>
          <w:kern w:val="22"/>
          <w:szCs w:val="22"/>
        </w:rPr>
        <w:t xml:space="preserve">. </w:t>
      </w:r>
      <w:r w:rsidRPr="00B358B9">
        <w:rPr>
          <w:rFonts w:eastAsia="MS Mincho"/>
          <w:kern w:val="22"/>
          <w:szCs w:val="22"/>
        </w:rPr>
        <w:t>The</w:t>
      </w:r>
      <w:r w:rsidRPr="00891479">
        <w:rPr>
          <w:kern w:val="22"/>
          <w:szCs w:val="22"/>
        </w:rPr>
        <w:t xml:space="preserve"> upcoming process of upgrading the GEF system would therefore significantly benefit from considering the </w:t>
      </w:r>
      <w:r w:rsidR="007B5FC1" w:rsidRPr="00891479">
        <w:rPr>
          <w:kern w:val="22"/>
          <w:szCs w:val="22"/>
        </w:rPr>
        <w:t>Convention’s voluntary guidelines on safeguards in biodiversity financing mechanisms</w:t>
      </w:r>
      <w:r w:rsidRPr="00891479">
        <w:rPr>
          <w:kern w:val="22"/>
          <w:szCs w:val="22"/>
        </w:rPr>
        <w:t xml:space="preserve"> as a guiding framework and as a checklist.</w:t>
      </w:r>
    </w:p>
    <w:p w14:paraId="7DC4867B" w14:textId="77777777" w:rsidR="00737156" w:rsidRPr="00891479" w:rsidRDefault="0068169A" w:rsidP="00B358B9">
      <w:pPr>
        <w:pStyle w:val="Para1"/>
        <w:keepNext/>
        <w:numPr>
          <w:ilvl w:val="0"/>
          <w:numId w:val="0"/>
        </w:numPr>
        <w:suppressLineNumbers/>
        <w:tabs>
          <w:tab w:val="left" w:pos="360"/>
        </w:tabs>
        <w:suppressAutoHyphens/>
        <w:kinsoku w:val="0"/>
        <w:overflowPunct w:val="0"/>
        <w:autoSpaceDE w:val="0"/>
        <w:autoSpaceDN w:val="0"/>
        <w:adjustRightInd w:val="0"/>
        <w:snapToGrid w:val="0"/>
        <w:jc w:val="center"/>
        <w:rPr>
          <w:b/>
          <w:bCs/>
          <w:iCs/>
          <w:kern w:val="22"/>
          <w:szCs w:val="22"/>
        </w:rPr>
      </w:pPr>
      <w:bookmarkStart w:id="18" w:name="_Hlk498943886"/>
      <w:r w:rsidRPr="00891479">
        <w:rPr>
          <w:b/>
          <w:bCs/>
          <w:iCs/>
          <w:kern w:val="22"/>
          <w:szCs w:val="22"/>
        </w:rPr>
        <w:t>C</w:t>
      </w:r>
      <w:r w:rsidR="00737156" w:rsidRPr="00891479">
        <w:rPr>
          <w:b/>
          <w:bCs/>
          <w:iCs/>
          <w:kern w:val="22"/>
          <w:szCs w:val="22"/>
        </w:rPr>
        <w:t>.</w:t>
      </w:r>
      <w:r w:rsidR="00737156" w:rsidRPr="00891479">
        <w:rPr>
          <w:b/>
          <w:bCs/>
          <w:iCs/>
          <w:kern w:val="22"/>
          <w:szCs w:val="22"/>
        </w:rPr>
        <w:tab/>
      </w:r>
      <w:r w:rsidR="00355C89" w:rsidRPr="00891479">
        <w:rPr>
          <w:b/>
          <w:bCs/>
          <w:iCs/>
          <w:kern w:val="22"/>
          <w:szCs w:val="22"/>
        </w:rPr>
        <w:t>F</w:t>
      </w:r>
      <w:r w:rsidR="00454274" w:rsidRPr="00891479">
        <w:rPr>
          <w:b/>
          <w:bCs/>
          <w:iCs/>
          <w:kern w:val="22"/>
          <w:szCs w:val="22"/>
        </w:rPr>
        <w:t xml:space="preserve">unds under </w:t>
      </w:r>
      <w:r w:rsidR="00355C89" w:rsidRPr="00891479">
        <w:rPr>
          <w:b/>
          <w:bCs/>
          <w:iCs/>
          <w:kern w:val="22"/>
          <w:szCs w:val="22"/>
        </w:rPr>
        <w:t xml:space="preserve">the </w:t>
      </w:r>
      <w:r w:rsidR="009C3360" w:rsidRPr="00891479">
        <w:rPr>
          <w:b/>
          <w:bCs/>
          <w:iCs/>
          <w:kern w:val="22"/>
          <w:szCs w:val="22"/>
        </w:rPr>
        <w:t>f</w:t>
      </w:r>
      <w:r w:rsidR="00454274" w:rsidRPr="00891479">
        <w:rPr>
          <w:b/>
          <w:bCs/>
          <w:iCs/>
          <w:kern w:val="22"/>
          <w:szCs w:val="22"/>
        </w:rPr>
        <w:t xml:space="preserve">inancial </w:t>
      </w:r>
      <w:r w:rsidR="009C3360" w:rsidRPr="00891479">
        <w:rPr>
          <w:b/>
          <w:bCs/>
          <w:iCs/>
          <w:kern w:val="22"/>
          <w:szCs w:val="22"/>
        </w:rPr>
        <w:t>m</w:t>
      </w:r>
      <w:r w:rsidR="00454274" w:rsidRPr="00891479">
        <w:rPr>
          <w:b/>
          <w:bCs/>
          <w:iCs/>
          <w:kern w:val="22"/>
          <w:szCs w:val="22"/>
        </w:rPr>
        <w:t>echanism</w:t>
      </w:r>
      <w:r w:rsidR="009C3360" w:rsidRPr="00891479">
        <w:rPr>
          <w:b/>
          <w:bCs/>
          <w:iCs/>
          <w:kern w:val="22"/>
          <w:szCs w:val="22"/>
        </w:rPr>
        <w:t xml:space="preserve"> of the United </w:t>
      </w:r>
      <w:r w:rsidR="00F33476" w:rsidRPr="00891479">
        <w:rPr>
          <w:b/>
          <w:bCs/>
          <w:iCs/>
          <w:kern w:val="22"/>
          <w:szCs w:val="22"/>
        </w:rPr>
        <w:t>Nations Framework Convention on </w:t>
      </w:r>
      <w:r w:rsidR="009C3360" w:rsidRPr="00891479">
        <w:rPr>
          <w:b/>
          <w:bCs/>
          <w:iCs/>
          <w:kern w:val="22"/>
          <w:szCs w:val="22"/>
        </w:rPr>
        <w:t>Climate Change</w:t>
      </w:r>
    </w:p>
    <w:p w14:paraId="7768098D" w14:textId="100B4558" w:rsidR="003D4DCA" w:rsidRPr="00B358B9" w:rsidRDefault="003D4DCA"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bookmarkStart w:id="19" w:name="_Hlk498948684"/>
      <w:bookmarkEnd w:id="18"/>
      <w:r w:rsidRPr="00B358B9">
        <w:rPr>
          <w:kern w:val="22"/>
          <w:szCs w:val="22"/>
        </w:rPr>
        <w:t>Item VI of the list of “</w:t>
      </w:r>
      <w:r w:rsidRPr="00B358B9">
        <w:rPr>
          <w:rFonts w:eastAsia="MS Mincho"/>
          <w:kern w:val="22"/>
          <w:szCs w:val="22"/>
        </w:rPr>
        <w:t>new</w:t>
      </w:r>
      <w:r w:rsidRPr="00B358B9">
        <w:rPr>
          <w:kern w:val="22"/>
          <w:szCs w:val="22"/>
        </w:rPr>
        <w:t xml:space="preserve"> and innovative financial mechanisms” identified in </w:t>
      </w:r>
      <w:r w:rsidR="00A76788" w:rsidRPr="00B358B9">
        <w:rPr>
          <w:kern w:val="22"/>
          <w:szCs w:val="22"/>
        </w:rPr>
        <w:t xml:space="preserve">Conference of the Parties </w:t>
      </w:r>
      <w:r w:rsidR="001A23CF" w:rsidRPr="00B358B9">
        <w:rPr>
          <w:kern w:val="22"/>
          <w:szCs w:val="22"/>
        </w:rPr>
        <w:t>d</w:t>
      </w:r>
      <w:r w:rsidRPr="00B358B9">
        <w:rPr>
          <w:kern w:val="22"/>
          <w:szCs w:val="22"/>
        </w:rPr>
        <w:t>ecision</w:t>
      </w:r>
      <w:r w:rsidR="00A76788" w:rsidRPr="00B358B9">
        <w:rPr>
          <w:kern w:val="22"/>
          <w:szCs w:val="22"/>
        </w:rPr>
        <w:t> </w:t>
      </w:r>
      <w:r w:rsidRPr="00B358B9">
        <w:rPr>
          <w:kern w:val="22"/>
          <w:szCs w:val="22"/>
        </w:rPr>
        <w:t xml:space="preserve">IX/11 refers to </w:t>
      </w:r>
      <w:r w:rsidR="00AA6C12" w:rsidRPr="00B358B9">
        <w:rPr>
          <w:kern w:val="22"/>
          <w:szCs w:val="22"/>
        </w:rPr>
        <w:t>f</w:t>
      </w:r>
      <w:r w:rsidRPr="00B358B9">
        <w:rPr>
          <w:kern w:val="22"/>
          <w:szCs w:val="22"/>
        </w:rPr>
        <w:t>unding mechanisms under the United Nations Framework Convention on Climate Change</w:t>
      </w:r>
      <w:r w:rsidR="00B65995" w:rsidRPr="00B358B9">
        <w:rPr>
          <w:kern w:val="22"/>
          <w:szCs w:val="22"/>
        </w:rPr>
        <w:t xml:space="preserve"> (UNFCCC)</w:t>
      </w:r>
      <w:r w:rsidRPr="00B358B9">
        <w:rPr>
          <w:kern w:val="22"/>
          <w:szCs w:val="22"/>
        </w:rPr>
        <w:t>.</w:t>
      </w:r>
      <w:bookmarkEnd w:id="19"/>
    </w:p>
    <w:p w14:paraId="6D436393" w14:textId="557C7000" w:rsidR="00FB406C" w:rsidRPr="00B358B9" w:rsidRDefault="0032430C"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It is important to </w:t>
      </w:r>
      <w:r w:rsidR="00576BC6" w:rsidRPr="00B358B9">
        <w:rPr>
          <w:kern w:val="22"/>
          <w:szCs w:val="22"/>
        </w:rPr>
        <w:t>note</w:t>
      </w:r>
      <w:r w:rsidRPr="00B358B9">
        <w:rPr>
          <w:kern w:val="22"/>
          <w:szCs w:val="22"/>
        </w:rPr>
        <w:t xml:space="preserve"> </w:t>
      </w:r>
      <w:r w:rsidR="00576BC6" w:rsidRPr="00B358B9">
        <w:rPr>
          <w:kern w:val="22"/>
          <w:szCs w:val="22"/>
        </w:rPr>
        <w:t xml:space="preserve">that the Conference of the Parties </w:t>
      </w:r>
      <w:r w:rsidR="00742701" w:rsidRPr="00B358B9">
        <w:rPr>
          <w:kern w:val="22"/>
          <w:szCs w:val="22"/>
        </w:rPr>
        <w:t xml:space="preserve">to </w:t>
      </w:r>
      <w:r w:rsidR="00576BC6" w:rsidRPr="00B358B9">
        <w:rPr>
          <w:kern w:val="22"/>
          <w:szCs w:val="22"/>
        </w:rPr>
        <w:t xml:space="preserve">UNFCCC at its twenty-first session (Paris, 2015) recognized “the need to strengthen knowledge, technologies, practices and efforts of local communities and </w:t>
      </w:r>
      <w:r w:rsidR="00576BC6" w:rsidRPr="00B358B9">
        <w:rPr>
          <w:rFonts w:eastAsia="MS Mincho"/>
          <w:kern w:val="22"/>
          <w:szCs w:val="22"/>
        </w:rPr>
        <w:t>indigenous</w:t>
      </w:r>
      <w:r w:rsidR="00576BC6" w:rsidRPr="00B358B9">
        <w:rPr>
          <w:kern w:val="22"/>
          <w:szCs w:val="22"/>
        </w:rPr>
        <w:t xml:space="preserve"> peoples related to addressing and responding to climate change”, and established “a platform for the exchange of experiences and sharing of best practices on mitigation and adaptation in a holistic and integrated manner”</w:t>
      </w:r>
      <w:r w:rsidR="001A23CF" w:rsidRPr="00B358B9">
        <w:rPr>
          <w:kern w:val="22"/>
          <w:szCs w:val="22"/>
        </w:rPr>
        <w:t>.</w:t>
      </w:r>
      <w:r w:rsidR="00576BC6" w:rsidRPr="00B358B9">
        <w:rPr>
          <w:kern w:val="22"/>
          <w:szCs w:val="22"/>
          <w:vertAlign w:val="superscript"/>
        </w:rPr>
        <w:footnoteReference w:id="36"/>
      </w:r>
      <w:r w:rsidR="00576BC6" w:rsidRPr="00B358B9">
        <w:rPr>
          <w:kern w:val="22"/>
          <w:szCs w:val="22"/>
        </w:rPr>
        <w:t xml:space="preserve"> Further, at its twenty-third </w:t>
      </w:r>
      <w:r w:rsidR="00644D85">
        <w:rPr>
          <w:kern w:val="22"/>
          <w:szCs w:val="22"/>
        </w:rPr>
        <w:t>session</w:t>
      </w:r>
      <w:r w:rsidR="0014176C" w:rsidRPr="00B358B9">
        <w:rPr>
          <w:kern w:val="22"/>
          <w:szCs w:val="22"/>
        </w:rPr>
        <w:t>,</w:t>
      </w:r>
      <w:r w:rsidR="00576BC6" w:rsidRPr="00B358B9">
        <w:rPr>
          <w:kern w:val="22"/>
          <w:szCs w:val="22"/>
        </w:rPr>
        <w:t xml:space="preserve"> in November 2017, the Conference of the Parties decided that the platform, among other functions, “should facilitate the integration of diverse knowledge systems, practices and innovations in designing and implementing international and national actions, programmes and policies in a manner that respects and promotes the rights and interests of local communities and indigenous peoples”</w:t>
      </w:r>
      <w:r w:rsidR="001A23CF" w:rsidRPr="00B358B9">
        <w:rPr>
          <w:kern w:val="22"/>
          <w:szCs w:val="22"/>
        </w:rPr>
        <w:t>.</w:t>
      </w:r>
      <w:r w:rsidR="00576BC6" w:rsidRPr="00B358B9">
        <w:rPr>
          <w:kern w:val="22"/>
          <w:szCs w:val="22"/>
          <w:vertAlign w:val="superscript"/>
        </w:rPr>
        <w:footnoteReference w:id="37"/>
      </w:r>
    </w:p>
    <w:p w14:paraId="4D4FFA42" w14:textId="4A065175" w:rsidR="00004E33" w:rsidRPr="00B358B9" w:rsidRDefault="00E02DB3"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6451A9">
        <w:rPr>
          <w:kern w:val="22"/>
          <w:szCs w:val="22"/>
        </w:rPr>
        <w:t xml:space="preserve">The </w:t>
      </w:r>
      <w:r w:rsidR="003D4DCA" w:rsidRPr="00B358B9">
        <w:rPr>
          <w:kern w:val="22"/>
          <w:szCs w:val="22"/>
        </w:rPr>
        <w:t xml:space="preserve">UNFCCC </w:t>
      </w:r>
      <w:r w:rsidRPr="006451A9">
        <w:rPr>
          <w:kern w:val="22"/>
          <w:szCs w:val="22"/>
        </w:rPr>
        <w:t xml:space="preserve">financial mechanism </w:t>
      </w:r>
      <w:r w:rsidR="003D4DCA" w:rsidRPr="00B358B9">
        <w:rPr>
          <w:kern w:val="22"/>
          <w:szCs w:val="22"/>
        </w:rPr>
        <w:t xml:space="preserve">has </w:t>
      </w:r>
      <w:r w:rsidR="00137D59" w:rsidRPr="00B358B9">
        <w:rPr>
          <w:kern w:val="22"/>
          <w:szCs w:val="22"/>
        </w:rPr>
        <w:t xml:space="preserve">three </w:t>
      </w:r>
      <w:r w:rsidR="00004E33" w:rsidRPr="00B358B9">
        <w:rPr>
          <w:kern w:val="22"/>
          <w:szCs w:val="22"/>
        </w:rPr>
        <w:t xml:space="preserve">operating </w:t>
      </w:r>
      <w:r w:rsidR="003D4DCA" w:rsidRPr="00B358B9">
        <w:rPr>
          <w:kern w:val="22"/>
          <w:szCs w:val="22"/>
        </w:rPr>
        <w:t>entities</w:t>
      </w:r>
      <w:r w:rsidR="001A23CF" w:rsidRPr="00B358B9">
        <w:rPr>
          <w:kern w:val="22"/>
          <w:szCs w:val="22"/>
        </w:rPr>
        <w:t>,</w:t>
      </w:r>
      <w:r w:rsidR="00A52C26" w:rsidRPr="00B358B9">
        <w:rPr>
          <w:rStyle w:val="FootnoteReference"/>
          <w:kern w:val="22"/>
          <w:szCs w:val="22"/>
        </w:rPr>
        <w:footnoteReference w:id="38"/>
      </w:r>
      <w:r w:rsidR="00004E33" w:rsidRPr="00B358B9">
        <w:rPr>
          <w:kern w:val="22"/>
          <w:szCs w:val="22"/>
        </w:rPr>
        <w:t xml:space="preserve"> fulfilling different but complementary functions</w:t>
      </w:r>
      <w:r w:rsidR="001A23CF" w:rsidRPr="00B358B9">
        <w:rPr>
          <w:kern w:val="22"/>
          <w:szCs w:val="22"/>
        </w:rPr>
        <w:t>.</w:t>
      </w:r>
      <w:r w:rsidR="00227407" w:rsidRPr="00B358B9">
        <w:rPr>
          <w:rStyle w:val="FootnoteReference"/>
          <w:kern w:val="22"/>
          <w:szCs w:val="22"/>
        </w:rPr>
        <w:footnoteReference w:id="39"/>
      </w:r>
      <w:r w:rsidR="00AA6C12" w:rsidRPr="00B358B9">
        <w:rPr>
          <w:kern w:val="22"/>
          <w:szCs w:val="22"/>
        </w:rPr>
        <w:t xml:space="preserve"> </w:t>
      </w:r>
      <w:r w:rsidR="003D4DCA" w:rsidRPr="00B358B9">
        <w:rPr>
          <w:kern w:val="22"/>
          <w:szCs w:val="22"/>
        </w:rPr>
        <w:t xml:space="preserve">GEF has served as an operating entity of the financial mechanism since 1994. </w:t>
      </w:r>
      <w:r w:rsidR="00010CCC" w:rsidRPr="00B358B9">
        <w:rPr>
          <w:kern w:val="22"/>
          <w:szCs w:val="22"/>
        </w:rPr>
        <w:t>I</w:t>
      </w:r>
      <w:r w:rsidR="003D4DCA" w:rsidRPr="00B358B9">
        <w:rPr>
          <w:kern w:val="22"/>
          <w:szCs w:val="22"/>
        </w:rPr>
        <w:t>n 201</w:t>
      </w:r>
      <w:r w:rsidR="001B47CC" w:rsidRPr="00B358B9">
        <w:rPr>
          <w:kern w:val="22"/>
          <w:szCs w:val="22"/>
        </w:rPr>
        <w:t>1</w:t>
      </w:r>
      <w:r w:rsidR="003D4DCA" w:rsidRPr="00B358B9">
        <w:rPr>
          <w:kern w:val="22"/>
          <w:szCs w:val="22"/>
        </w:rPr>
        <w:t xml:space="preserve">, </w:t>
      </w:r>
      <w:r w:rsidR="00010CCC" w:rsidRPr="00B358B9">
        <w:rPr>
          <w:kern w:val="22"/>
          <w:szCs w:val="22"/>
        </w:rPr>
        <w:t xml:space="preserve">UNFCCC </w:t>
      </w:r>
      <w:r w:rsidR="003D4DCA" w:rsidRPr="00B358B9">
        <w:rPr>
          <w:kern w:val="22"/>
          <w:szCs w:val="22"/>
        </w:rPr>
        <w:t xml:space="preserve">Parties </w:t>
      </w:r>
      <w:r w:rsidR="001B47CC" w:rsidRPr="00B358B9">
        <w:rPr>
          <w:kern w:val="22"/>
          <w:szCs w:val="22"/>
        </w:rPr>
        <w:t xml:space="preserve">designated </w:t>
      </w:r>
      <w:r w:rsidR="003D4DCA" w:rsidRPr="00B358B9">
        <w:rPr>
          <w:kern w:val="22"/>
          <w:szCs w:val="22"/>
        </w:rPr>
        <w:t>the Green Climate Fund (GCF)</w:t>
      </w:r>
      <w:r w:rsidR="00010CCC" w:rsidRPr="00B358B9">
        <w:rPr>
          <w:kern w:val="22"/>
          <w:szCs w:val="22"/>
        </w:rPr>
        <w:t xml:space="preserve"> </w:t>
      </w:r>
      <w:r w:rsidR="003D4DCA" w:rsidRPr="00B358B9">
        <w:rPr>
          <w:kern w:val="22"/>
          <w:szCs w:val="22"/>
        </w:rPr>
        <w:t xml:space="preserve">as an operating entity of the financial mechanism. Parties </w:t>
      </w:r>
      <w:r w:rsidR="00010CCC" w:rsidRPr="00B358B9">
        <w:rPr>
          <w:kern w:val="22"/>
          <w:szCs w:val="22"/>
        </w:rPr>
        <w:t>also e</w:t>
      </w:r>
      <w:r w:rsidR="003D4DCA" w:rsidRPr="00B358B9">
        <w:rPr>
          <w:kern w:val="22"/>
          <w:szCs w:val="22"/>
        </w:rPr>
        <w:t>stablished the Adaptation Fund under the Kyoto Protocol in 2001.</w:t>
      </w:r>
    </w:p>
    <w:p w14:paraId="1040998F" w14:textId="6F6FD782" w:rsidR="00934AB4" w:rsidRPr="00891479" w:rsidRDefault="00FD5088" w:rsidP="00B358B9">
      <w:pPr>
        <w:pStyle w:val="Para1"/>
        <w:keepNext/>
        <w:numPr>
          <w:ilvl w:val="0"/>
          <w:numId w:val="0"/>
        </w:numPr>
        <w:suppressLineNumbers/>
        <w:tabs>
          <w:tab w:val="left" w:pos="360"/>
        </w:tabs>
        <w:suppressAutoHyphens/>
        <w:kinsoku w:val="0"/>
        <w:overflowPunct w:val="0"/>
        <w:autoSpaceDE w:val="0"/>
        <w:autoSpaceDN w:val="0"/>
        <w:adjustRightInd w:val="0"/>
        <w:snapToGrid w:val="0"/>
        <w:spacing w:before="0" w:after="0"/>
        <w:jc w:val="center"/>
        <w:rPr>
          <w:i/>
          <w:iCs/>
          <w:kern w:val="22"/>
          <w:szCs w:val="22"/>
        </w:rPr>
      </w:pPr>
      <w:r>
        <w:rPr>
          <w:iCs/>
          <w:kern w:val="22"/>
          <w:szCs w:val="22"/>
        </w:rPr>
        <w:t>1.</w:t>
      </w:r>
      <w:r>
        <w:rPr>
          <w:iCs/>
          <w:kern w:val="22"/>
          <w:szCs w:val="22"/>
        </w:rPr>
        <w:tab/>
      </w:r>
      <w:r w:rsidR="00934AB4" w:rsidRPr="00891479">
        <w:rPr>
          <w:i/>
          <w:iCs/>
          <w:kern w:val="22"/>
          <w:szCs w:val="22"/>
        </w:rPr>
        <w:t>The Green Climate Fund</w:t>
      </w:r>
    </w:p>
    <w:p w14:paraId="194FC5CA" w14:textId="2ECB1AA7" w:rsidR="00FB406C" w:rsidRPr="00B358B9" w:rsidRDefault="00640076"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GCF is the global fund created to support developing countries to respond to the challenge of climate change</w:t>
      </w:r>
      <w:r w:rsidR="00072CC1" w:rsidRPr="00B358B9">
        <w:rPr>
          <w:kern w:val="22"/>
          <w:szCs w:val="22"/>
        </w:rPr>
        <w:t>, by h</w:t>
      </w:r>
      <w:r w:rsidRPr="00B358B9">
        <w:rPr>
          <w:kern w:val="22"/>
          <w:szCs w:val="22"/>
        </w:rPr>
        <w:t>elp</w:t>
      </w:r>
      <w:r w:rsidR="00072CC1" w:rsidRPr="00B358B9">
        <w:rPr>
          <w:kern w:val="22"/>
          <w:szCs w:val="22"/>
        </w:rPr>
        <w:t>ing them</w:t>
      </w:r>
      <w:r w:rsidRPr="00B358B9">
        <w:rPr>
          <w:kern w:val="22"/>
          <w:szCs w:val="22"/>
        </w:rPr>
        <w:t xml:space="preserve"> </w:t>
      </w:r>
      <w:r w:rsidRPr="00B358B9">
        <w:rPr>
          <w:rFonts w:eastAsia="MS Mincho"/>
          <w:kern w:val="22"/>
          <w:szCs w:val="22"/>
        </w:rPr>
        <w:t>limit</w:t>
      </w:r>
      <w:r w:rsidRPr="00B358B9">
        <w:rPr>
          <w:kern w:val="22"/>
          <w:szCs w:val="22"/>
        </w:rPr>
        <w:t xml:space="preserve"> or reduce their greenhouse gas emissions and adapt to climate change.</w:t>
      </w:r>
    </w:p>
    <w:p w14:paraId="24638AC2" w14:textId="0D408F64" w:rsidR="00FB406C" w:rsidRPr="00B358B9" w:rsidRDefault="00A55994"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GCF </w:t>
      </w:r>
      <w:r w:rsidR="00C84E04" w:rsidRPr="00891479">
        <w:rPr>
          <w:color w:val="000000"/>
          <w:kern w:val="22"/>
          <w:szCs w:val="22"/>
        </w:rPr>
        <w:t xml:space="preserve">works through a wide </w:t>
      </w:r>
      <w:r w:rsidR="00C84E04" w:rsidRPr="00B358B9">
        <w:rPr>
          <w:rFonts w:eastAsia="MS Mincho"/>
          <w:kern w:val="22"/>
          <w:szCs w:val="22"/>
        </w:rPr>
        <w:t>range</w:t>
      </w:r>
      <w:r w:rsidR="00C84E04" w:rsidRPr="00891479">
        <w:rPr>
          <w:color w:val="000000"/>
          <w:kern w:val="22"/>
          <w:szCs w:val="22"/>
        </w:rPr>
        <w:t xml:space="preserve"> of Accredited Entities – private or public, non-governmental, subnational, national, regional or international</w:t>
      </w:r>
      <w:r w:rsidR="00FB5F34" w:rsidRPr="00891479">
        <w:rPr>
          <w:color w:val="000000"/>
          <w:kern w:val="22"/>
          <w:szCs w:val="22"/>
        </w:rPr>
        <w:t xml:space="preserve">, whose </w:t>
      </w:r>
      <w:r w:rsidR="00C84E04" w:rsidRPr="00891479">
        <w:rPr>
          <w:color w:val="000000"/>
          <w:kern w:val="22"/>
          <w:szCs w:val="22"/>
        </w:rPr>
        <w:t xml:space="preserve">role is to channel resources for implementation. </w:t>
      </w:r>
      <w:r w:rsidR="00051D05" w:rsidRPr="00891479">
        <w:rPr>
          <w:color w:val="000000"/>
          <w:kern w:val="22"/>
          <w:szCs w:val="22"/>
        </w:rPr>
        <w:t xml:space="preserve">As of </w:t>
      </w:r>
      <w:r w:rsidR="00EE492A" w:rsidRPr="00891479">
        <w:rPr>
          <w:color w:val="000000"/>
          <w:kern w:val="22"/>
          <w:szCs w:val="22"/>
        </w:rPr>
        <w:t xml:space="preserve">August </w:t>
      </w:r>
      <w:r w:rsidR="00051D05" w:rsidRPr="00891479">
        <w:rPr>
          <w:color w:val="000000"/>
          <w:kern w:val="22"/>
          <w:szCs w:val="22"/>
        </w:rPr>
        <w:t xml:space="preserve">2017, </w:t>
      </w:r>
      <w:r w:rsidR="00EE492A" w:rsidRPr="00891479">
        <w:rPr>
          <w:color w:val="000000"/>
          <w:kern w:val="22"/>
          <w:szCs w:val="22"/>
        </w:rPr>
        <w:t xml:space="preserve">186 entities were registered in the pipeline for accreditation, with </w:t>
      </w:r>
      <w:r w:rsidR="00051D05" w:rsidRPr="00891479">
        <w:rPr>
          <w:color w:val="000000"/>
          <w:kern w:val="22"/>
          <w:szCs w:val="22"/>
        </w:rPr>
        <w:t xml:space="preserve">54 institutions </w:t>
      </w:r>
      <w:r w:rsidR="00EE492A" w:rsidRPr="00891479">
        <w:rPr>
          <w:color w:val="000000"/>
          <w:kern w:val="22"/>
          <w:szCs w:val="22"/>
        </w:rPr>
        <w:t xml:space="preserve">already </w:t>
      </w:r>
      <w:r w:rsidR="00051D05" w:rsidRPr="00891479">
        <w:rPr>
          <w:color w:val="000000"/>
          <w:kern w:val="22"/>
          <w:szCs w:val="22"/>
        </w:rPr>
        <w:t>accredited</w:t>
      </w:r>
      <w:r w:rsidR="00EE492A" w:rsidRPr="00891479">
        <w:rPr>
          <w:color w:val="000000"/>
          <w:kern w:val="22"/>
          <w:szCs w:val="22"/>
        </w:rPr>
        <w:t>.</w:t>
      </w:r>
    </w:p>
    <w:p w14:paraId="19CF0D0B" w14:textId="573C3628" w:rsidR="00FB406C" w:rsidRPr="00B358B9" w:rsidRDefault="0069472D"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T</w:t>
      </w:r>
      <w:r w:rsidR="00AB03ED" w:rsidRPr="00B358B9">
        <w:rPr>
          <w:kern w:val="22"/>
          <w:szCs w:val="22"/>
        </w:rPr>
        <w:t xml:space="preserve">hrough Notification SCBD/MCO/DC/AF/NP/ML/YX/86771 of 14 August 2017, </w:t>
      </w:r>
      <w:r w:rsidR="004E3DED" w:rsidRPr="00B358B9">
        <w:rPr>
          <w:kern w:val="22"/>
          <w:szCs w:val="22"/>
        </w:rPr>
        <w:t xml:space="preserve">the Executive Secretary </w:t>
      </w:r>
      <w:r w:rsidR="00AB03ED" w:rsidRPr="00B358B9">
        <w:rPr>
          <w:kern w:val="22"/>
          <w:szCs w:val="22"/>
        </w:rPr>
        <w:t>info</w:t>
      </w:r>
      <w:r w:rsidR="004E3DED" w:rsidRPr="00B358B9">
        <w:rPr>
          <w:kern w:val="22"/>
          <w:szCs w:val="22"/>
        </w:rPr>
        <w:t xml:space="preserve">rmed </w:t>
      </w:r>
      <w:r w:rsidR="00AB03ED" w:rsidRPr="00B358B9">
        <w:rPr>
          <w:kern w:val="22"/>
          <w:szCs w:val="22"/>
        </w:rPr>
        <w:t xml:space="preserve">Parties of the opportunities emerging from </w:t>
      </w:r>
      <w:r w:rsidR="00A379A0" w:rsidRPr="00B358B9">
        <w:rPr>
          <w:kern w:val="22"/>
          <w:szCs w:val="22"/>
        </w:rPr>
        <w:t>GCF</w:t>
      </w:r>
      <w:r w:rsidR="00AB03ED" w:rsidRPr="00B358B9">
        <w:rPr>
          <w:kern w:val="22"/>
          <w:szCs w:val="22"/>
        </w:rPr>
        <w:t xml:space="preserve"> for </w:t>
      </w:r>
      <w:r w:rsidR="00AB03ED" w:rsidRPr="00B358B9">
        <w:rPr>
          <w:rFonts w:eastAsia="MS Mincho"/>
          <w:kern w:val="22"/>
          <w:szCs w:val="22"/>
        </w:rPr>
        <w:t>supporting</w:t>
      </w:r>
      <w:r w:rsidR="00AB03ED" w:rsidRPr="00B358B9">
        <w:rPr>
          <w:kern w:val="22"/>
          <w:szCs w:val="22"/>
        </w:rPr>
        <w:t xml:space="preserve"> synergistic implementation of the Rio </w:t>
      </w:r>
      <w:r w:rsidR="008658F9" w:rsidRPr="00B358B9">
        <w:rPr>
          <w:kern w:val="22"/>
          <w:szCs w:val="22"/>
        </w:rPr>
        <w:t>c</w:t>
      </w:r>
      <w:r w:rsidR="00AB03ED" w:rsidRPr="00B358B9">
        <w:rPr>
          <w:kern w:val="22"/>
          <w:szCs w:val="22"/>
        </w:rPr>
        <w:t xml:space="preserve">onventions. </w:t>
      </w:r>
      <w:r w:rsidR="008C0EA9" w:rsidRPr="00B358B9">
        <w:rPr>
          <w:kern w:val="22"/>
          <w:szCs w:val="22"/>
        </w:rPr>
        <w:t xml:space="preserve">As the </w:t>
      </w:r>
      <w:r w:rsidR="00CB03C2" w:rsidRPr="00B358B9">
        <w:rPr>
          <w:kern w:val="22"/>
          <w:szCs w:val="22"/>
        </w:rPr>
        <w:t xml:space="preserve">Notification </w:t>
      </w:r>
      <w:r w:rsidR="008C0EA9" w:rsidRPr="00B358B9">
        <w:rPr>
          <w:kern w:val="22"/>
          <w:szCs w:val="22"/>
        </w:rPr>
        <w:t>indicates, GCF has evolved rapidly to be</w:t>
      </w:r>
      <w:r w:rsidR="008658F9" w:rsidRPr="00B358B9">
        <w:rPr>
          <w:kern w:val="22"/>
          <w:szCs w:val="22"/>
        </w:rPr>
        <w:t>come</w:t>
      </w:r>
      <w:r w:rsidR="008C0EA9" w:rsidRPr="00B358B9">
        <w:rPr>
          <w:kern w:val="22"/>
          <w:szCs w:val="22"/>
        </w:rPr>
        <w:t xml:space="preserve"> the largest multilateral climate fund, with an initial resource mobilization of pledges amounting to US$</w:t>
      </w:r>
      <w:r w:rsidR="005137D4" w:rsidRPr="00B358B9">
        <w:rPr>
          <w:kern w:val="22"/>
          <w:szCs w:val="22"/>
        </w:rPr>
        <w:t> </w:t>
      </w:r>
      <w:r w:rsidR="008C0EA9" w:rsidRPr="00B358B9">
        <w:rPr>
          <w:kern w:val="22"/>
          <w:szCs w:val="22"/>
        </w:rPr>
        <w:t>10.3 billion for the 2015-2018 programming period.</w:t>
      </w:r>
      <w:r w:rsidR="00AB03ED" w:rsidRPr="00B358B9">
        <w:rPr>
          <w:kern w:val="22"/>
          <w:szCs w:val="22"/>
        </w:rPr>
        <w:t xml:space="preserve"> </w:t>
      </w:r>
      <w:r w:rsidR="008C0EA9" w:rsidRPr="00B358B9">
        <w:rPr>
          <w:kern w:val="22"/>
          <w:szCs w:val="22"/>
        </w:rPr>
        <w:t xml:space="preserve">The areas of work of GCF are of direct relevance to the </w:t>
      </w:r>
      <w:r w:rsidR="00A379A0" w:rsidRPr="00B358B9">
        <w:rPr>
          <w:kern w:val="22"/>
          <w:szCs w:val="22"/>
        </w:rPr>
        <w:t xml:space="preserve">objectives of the </w:t>
      </w:r>
      <w:r w:rsidR="004632CF" w:rsidRPr="00B358B9">
        <w:rPr>
          <w:kern w:val="22"/>
          <w:szCs w:val="22"/>
        </w:rPr>
        <w:t>Convention on Biological Diversity</w:t>
      </w:r>
      <w:r w:rsidR="00A379A0" w:rsidRPr="00B358B9">
        <w:rPr>
          <w:kern w:val="22"/>
          <w:szCs w:val="22"/>
        </w:rPr>
        <w:t>.</w:t>
      </w:r>
    </w:p>
    <w:p w14:paraId="37342D4C" w14:textId="73AA4926" w:rsidR="00FB406C" w:rsidRPr="00B358B9" w:rsidRDefault="00EC61AB"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GCF informed</w:t>
      </w:r>
      <w:r w:rsidR="00476016" w:rsidRPr="00B358B9">
        <w:rPr>
          <w:kern w:val="22"/>
          <w:szCs w:val="22"/>
        </w:rPr>
        <w:t xml:space="preserve"> the UNFCCC Conference of the Parties at its 23</w:t>
      </w:r>
      <w:r w:rsidR="00476016" w:rsidRPr="00B358B9">
        <w:rPr>
          <w:kern w:val="22"/>
          <w:szCs w:val="22"/>
          <w:vertAlign w:val="superscript"/>
        </w:rPr>
        <w:t>rd</w:t>
      </w:r>
      <w:r w:rsidR="00476016" w:rsidRPr="00B358B9">
        <w:rPr>
          <w:kern w:val="22"/>
          <w:szCs w:val="22"/>
        </w:rPr>
        <w:t xml:space="preserve"> meeting</w:t>
      </w:r>
      <w:r w:rsidR="002456B7" w:rsidRPr="00B358B9">
        <w:rPr>
          <w:kern w:val="22"/>
          <w:szCs w:val="22"/>
        </w:rPr>
        <w:t>,</w:t>
      </w:r>
      <w:r w:rsidR="00476016" w:rsidRPr="00B358B9">
        <w:rPr>
          <w:kern w:val="22"/>
          <w:szCs w:val="22"/>
        </w:rPr>
        <w:t xml:space="preserve"> in November 2017, </w:t>
      </w:r>
      <w:r w:rsidR="00A31889" w:rsidRPr="00B358B9">
        <w:rPr>
          <w:kern w:val="22"/>
          <w:szCs w:val="22"/>
        </w:rPr>
        <w:t xml:space="preserve">of the expansion of its portfolio </w:t>
      </w:r>
      <w:r w:rsidR="001F4FD3" w:rsidRPr="006451A9">
        <w:rPr>
          <w:color w:val="000000"/>
          <w:kern w:val="22"/>
          <w:szCs w:val="22"/>
        </w:rPr>
        <w:t xml:space="preserve">to </w:t>
      </w:r>
      <w:r w:rsidR="00266B15" w:rsidRPr="006451A9">
        <w:rPr>
          <w:color w:val="000000"/>
          <w:kern w:val="22"/>
          <w:szCs w:val="22"/>
        </w:rPr>
        <w:t>US$ </w:t>
      </w:r>
      <w:r w:rsidR="00561BC5" w:rsidRPr="006451A9">
        <w:rPr>
          <w:color w:val="000000"/>
          <w:kern w:val="22"/>
          <w:szCs w:val="22"/>
        </w:rPr>
        <w:t>2.69 billion</w:t>
      </w:r>
      <w:r w:rsidR="00A967FF" w:rsidRPr="006451A9">
        <w:rPr>
          <w:color w:val="000000"/>
          <w:kern w:val="22"/>
          <w:szCs w:val="22"/>
        </w:rPr>
        <w:t>,</w:t>
      </w:r>
      <w:r w:rsidR="00561BC5" w:rsidRPr="006451A9">
        <w:rPr>
          <w:color w:val="000000"/>
          <w:kern w:val="22"/>
          <w:szCs w:val="22"/>
        </w:rPr>
        <w:t xml:space="preserve"> including its regular programmes and </w:t>
      </w:r>
      <w:r w:rsidR="00A31889" w:rsidRPr="006451A9">
        <w:rPr>
          <w:color w:val="000000"/>
          <w:kern w:val="22"/>
          <w:szCs w:val="22"/>
        </w:rPr>
        <w:t xml:space="preserve">its </w:t>
      </w:r>
      <w:r w:rsidR="001F4FD3" w:rsidRPr="006451A9">
        <w:rPr>
          <w:color w:val="000000"/>
          <w:kern w:val="22"/>
          <w:szCs w:val="22"/>
        </w:rPr>
        <w:t xml:space="preserve">Readiness </w:t>
      </w:r>
      <w:r w:rsidR="001F4FD3" w:rsidRPr="00B358B9">
        <w:rPr>
          <w:rFonts w:eastAsia="MS Mincho"/>
          <w:kern w:val="22"/>
          <w:szCs w:val="22"/>
        </w:rPr>
        <w:t>and</w:t>
      </w:r>
      <w:r w:rsidR="001F4FD3" w:rsidRPr="006451A9">
        <w:rPr>
          <w:color w:val="000000"/>
          <w:kern w:val="22"/>
          <w:szCs w:val="22"/>
        </w:rPr>
        <w:t xml:space="preserve"> </w:t>
      </w:r>
      <w:r w:rsidR="00A31889" w:rsidRPr="006451A9">
        <w:rPr>
          <w:color w:val="000000"/>
          <w:kern w:val="22"/>
          <w:szCs w:val="22"/>
        </w:rPr>
        <w:t>P</w:t>
      </w:r>
      <w:r w:rsidR="001F4FD3" w:rsidRPr="006451A9">
        <w:rPr>
          <w:color w:val="000000"/>
          <w:kern w:val="22"/>
          <w:szCs w:val="22"/>
        </w:rPr>
        <w:t>reparatory Support Programme</w:t>
      </w:r>
      <w:r w:rsidR="008C0EA9" w:rsidRPr="006451A9">
        <w:rPr>
          <w:color w:val="000000"/>
          <w:kern w:val="22"/>
          <w:szCs w:val="22"/>
        </w:rPr>
        <w:t xml:space="preserve">. Although many pledges have </w:t>
      </w:r>
      <w:r w:rsidR="00A967FF" w:rsidRPr="006451A9">
        <w:rPr>
          <w:color w:val="000000"/>
          <w:kern w:val="22"/>
          <w:szCs w:val="22"/>
        </w:rPr>
        <w:t xml:space="preserve">yet </w:t>
      </w:r>
      <w:r w:rsidR="008C0EA9" w:rsidRPr="006451A9">
        <w:rPr>
          <w:color w:val="000000"/>
          <w:kern w:val="22"/>
          <w:szCs w:val="22"/>
        </w:rPr>
        <w:t>to materialize</w:t>
      </w:r>
      <w:r w:rsidR="004366C9" w:rsidRPr="006451A9">
        <w:rPr>
          <w:color w:val="000000"/>
          <w:kern w:val="22"/>
          <w:szCs w:val="22"/>
        </w:rPr>
        <w:t xml:space="preserve">, </w:t>
      </w:r>
      <w:r w:rsidR="008C0EA9" w:rsidRPr="006451A9">
        <w:rPr>
          <w:color w:val="000000"/>
          <w:kern w:val="22"/>
          <w:szCs w:val="22"/>
        </w:rPr>
        <w:t xml:space="preserve">this </w:t>
      </w:r>
      <w:r w:rsidR="004366C9" w:rsidRPr="006451A9">
        <w:rPr>
          <w:color w:val="000000"/>
          <w:kern w:val="22"/>
          <w:szCs w:val="22"/>
        </w:rPr>
        <w:t>represents a significant scaling-up of its operations</w:t>
      </w:r>
      <w:r w:rsidR="005137D4" w:rsidRPr="006451A9">
        <w:rPr>
          <w:color w:val="000000"/>
          <w:kern w:val="22"/>
          <w:szCs w:val="22"/>
        </w:rPr>
        <w:t>.</w:t>
      </w:r>
      <w:r w:rsidR="004366C9" w:rsidRPr="006451A9">
        <w:rPr>
          <w:rStyle w:val="FootnoteReference"/>
          <w:color w:val="000000"/>
          <w:kern w:val="22"/>
          <w:szCs w:val="22"/>
        </w:rPr>
        <w:footnoteReference w:id="40"/>
      </w:r>
    </w:p>
    <w:p w14:paraId="67BA8F54" w14:textId="6EC66A9C" w:rsidR="00FB406C" w:rsidRPr="00B358B9" w:rsidRDefault="00254367"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The relevance of GCF in terms of reviewing its safeguards relates to the scale of its funding and operations, </w:t>
      </w:r>
      <w:r w:rsidR="00057DF1" w:rsidRPr="00B358B9">
        <w:rPr>
          <w:kern w:val="22"/>
          <w:szCs w:val="22"/>
        </w:rPr>
        <w:t xml:space="preserve">and the </w:t>
      </w:r>
      <w:r w:rsidR="00057DF1" w:rsidRPr="00B358B9">
        <w:rPr>
          <w:rFonts w:eastAsia="MS Mincho"/>
          <w:kern w:val="22"/>
          <w:szCs w:val="22"/>
        </w:rPr>
        <w:t>feature</w:t>
      </w:r>
      <w:r w:rsidR="00057DF1" w:rsidRPr="00B358B9">
        <w:rPr>
          <w:kern w:val="22"/>
          <w:szCs w:val="22"/>
        </w:rPr>
        <w:t xml:space="preserve"> that it </w:t>
      </w:r>
      <w:r w:rsidR="002179AE" w:rsidRPr="00B358B9">
        <w:rPr>
          <w:kern w:val="22"/>
          <w:szCs w:val="22"/>
        </w:rPr>
        <w:t xml:space="preserve">operates through </w:t>
      </w:r>
      <w:r w:rsidR="004E3DED" w:rsidRPr="00B358B9">
        <w:rPr>
          <w:kern w:val="22"/>
          <w:szCs w:val="22"/>
        </w:rPr>
        <w:t>many</w:t>
      </w:r>
      <w:r w:rsidR="002179AE" w:rsidRPr="00B358B9">
        <w:rPr>
          <w:kern w:val="22"/>
          <w:szCs w:val="22"/>
        </w:rPr>
        <w:t xml:space="preserve"> Accredited Entities, which will probably number close to 200 in the coming years.</w:t>
      </w:r>
    </w:p>
    <w:p w14:paraId="7B1977BB" w14:textId="1F9BD1AA" w:rsidR="00FB406C" w:rsidRPr="00B358B9" w:rsidRDefault="001E0F9F"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In October 2017, </w:t>
      </w:r>
      <w:r w:rsidR="00EE492A" w:rsidRPr="00B358B9">
        <w:rPr>
          <w:kern w:val="22"/>
          <w:szCs w:val="22"/>
        </w:rPr>
        <w:t xml:space="preserve">GCF </w:t>
      </w:r>
      <w:r w:rsidRPr="00B358B9">
        <w:rPr>
          <w:kern w:val="22"/>
          <w:szCs w:val="22"/>
        </w:rPr>
        <w:t xml:space="preserve">initiated </w:t>
      </w:r>
      <w:r w:rsidR="00B51369" w:rsidRPr="00B358B9">
        <w:rPr>
          <w:kern w:val="22"/>
          <w:szCs w:val="22"/>
        </w:rPr>
        <w:t xml:space="preserve">the second phase of </w:t>
      </w:r>
      <w:r w:rsidRPr="00B358B9">
        <w:rPr>
          <w:kern w:val="22"/>
          <w:szCs w:val="22"/>
        </w:rPr>
        <w:t xml:space="preserve">a consultative </w:t>
      </w:r>
      <w:r w:rsidR="00B51369" w:rsidRPr="00B358B9">
        <w:rPr>
          <w:kern w:val="22"/>
          <w:szCs w:val="22"/>
        </w:rPr>
        <w:t xml:space="preserve">process for developing its </w:t>
      </w:r>
      <w:bookmarkStart w:id="20" w:name="_Hlk498946400"/>
      <w:r w:rsidR="00B51369" w:rsidRPr="00B358B9">
        <w:rPr>
          <w:kern w:val="22"/>
          <w:szCs w:val="22"/>
        </w:rPr>
        <w:t xml:space="preserve">environmental and social </w:t>
      </w:r>
      <w:r w:rsidR="00B51369" w:rsidRPr="00B358B9">
        <w:rPr>
          <w:rFonts w:eastAsia="MS Mincho"/>
          <w:kern w:val="22"/>
          <w:szCs w:val="22"/>
        </w:rPr>
        <w:t>management</w:t>
      </w:r>
      <w:r w:rsidR="00B51369" w:rsidRPr="00B358B9">
        <w:rPr>
          <w:kern w:val="22"/>
          <w:szCs w:val="22"/>
        </w:rPr>
        <w:t xml:space="preserve"> system</w:t>
      </w:r>
      <w:bookmarkEnd w:id="20"/>
      <w:r w:rsidR="000C7E69" w:rsidRPr="00B358B9">
        <w:rPr>
          <w:kern w:val="22"/>
          <w:szCs w:val="22"/>
        </w:rPr>
        <w:t>,</w:t>
      </w:r>
      <w:r w:rsidR="00B51369" w:rsidRPr="00B358B9">
        <w:rPr>
          <w:kern w:val="22"/>
          <w:szCs w:val="22"/>
        </w:rPr>
        <w:t xml:space="preserve"> which essentially includes the environmental and social policy of GCF, and </w:t>
      </w:r>
      <w:r w:rsidR="00FB5F34" w:rsidRPr="00B358B9">
        <w:rPr>
          <w:kern w:val="22"/>
          <w:szCs w:val="22"/>
        </w:rPr>
        <w:t>a</w:t>
      </w:r>
      <w:r w:rsidR="00B51369" w:rsidRPr="00B358B9">
        <w:rPr>
          <w:kern w:val="22"/>
          <w:szCs w:val="22"/>
        </w:rPr>
        <w:t xml:space="preserve"> set of environmental and social safeguards and related </w:t>
      </w:r>
      <w:r w:rsidR="00FB5F34" w:rsidRPr="00B358B9">
        <w:rPr>
          <w:kern w:val="22"/>
          <w:szCs w:val="22"/>
        </w:rPr>
        <w:t xml:space="preserve">application </w:t>
      </w:r>
      <w:r w:rsidR="00B51369" w:rsidRPr="00B358B9">
        <w:rPr>
          <w:kern w:val="22"/>
          <w:szCs w:val="22"/>
        </w:rPr>
        <w:t xml:space="preserve">procedures. </w:t>
      </w:r>
      <w:r w:rsidR="00C47726" w:rsidRPr="00B358B9">
        <w:rPr>
          <w:kern w:val="22"/>
          <w:szCs w:val="22"/>
        </w:rPr>
        <w:t>Accredited Entities</w:t>
      </w:r>
      <w:r w:rsidR="00104762" w:rsidRPr="00B358B9">
        <w:rPr>
          <w:kern w:val="22"/>
          <w:szCs w:val="22"/>
        </w:rPr>
        <w:t xml:space="preserve"> are </w:t>
      </w:r>
      <w:r w:rsidR="000B27BF" w:rsidRPr="00B358B9">
        <w:rPr>
          <w:kern w:val="22"/>
          <w:szCs w:val="22"/>
        </w:rPr>
        <w:t xml:space="preserve">currently </w:t>
      </w:r>
      <w:r w:rsidR="00104762" w:rsidRPr="00B358B9">
        <w:rPr>
          <w:kern w:val="22"/>
          <w:szCs w:val="22"/>
        </w:rPr>
        <w:t xml:space="preserve">using </w:t>
      </w:r>
      <w:r w:rsidR="00244C24" w:rsidRPr="00B358B9">
        <w:rPr>
          <w:kern w:val="22"/>
          <w:szCs w:val="22"/>
        </w:rPr>
        <w:t>“</w:t>
      </w:r>
      <w:r w:rsidR="00AC29C8" w:rsidRPr="00891479">
        <w:rPr>
          <w:color w:val="000000"/>
          <w:kern w:val="22"/>
          <w:szCs w:val="22"/>
        </w:rPr>
        <w:t>i</w:t>
      </w:r>
      <w:r w:rsidR="002A44B3" w:rsidRPr="00891479">
        <w:rPr>
          <w:color w:val="000000"/>
          <w:kern w:val="22"/>
          <w:szCs w:val="22"/>
        </w:rPr>
        <w:t>nterim environmental and social safeguards</w:t>
      </w:r>
      <w:r w:rsidR="00244C24" w:rsidRPr="00891479">
        <w:rPr>
          <w:color w:val="000000"/>
          <w:kern w:val="22"/>
          <w:szCs w:val="22"/>
        </w:rPr>
        <w:t>”</w:t>
      </w:r>
      <w:r w:rsidR="00104762" w:rsidRPr="00891479">
        <w:rPr>
          <w:color w:val="000000"/>
          <w:kern w:val="22"/>
          <w:szCs w:val="22"/>
        </w:rPr>
        <w:t xml:space="preserve"> based </w:t>
      </w:r>
      <w:r w:rsidR="002A44B3" w:rsidRPr="00891479">
        <w:rPr>
          <w:color w:val="000000"/>
          <w:kern w:val="22"/>
          <w:szCs w:val="22"/>
        </w:rPr>
        <w:t xml:space="preserve">on the </w:t>
      </w:r>
      <w:r w:rsidR="00A05760" w:rsidRPr="00891479">
        <w:rPr>
          <w:color w:val="000000"/>
          <w:kern w:val="22"/>
          <w:szCs w:val="22"/>
        </w:rPr>
        <w:t>IFC Standard</w:t>
      </w:r>
      <w:r w:rsidR="002A44B3" w:rsidRPr="00891479">
        <w:rPr>
          <w:color w:val="000000"/>
          <w:kern w:val="22"/>
          <w:szCs w:val="22"/>
        </w:rPr>
        <w:t>s</w:t>
      </w:r>
      <w:r w:rsidR="00244C24" w:rsidRPr="00891479">
        <w:rPr>
          <w:rStyle w:val="FootnoteReference"/>
          <w:color w:val="000000"/>
          <w:kern w:val="22"/>
          <w:szCs w:val="22"/>
        </w:rPr>
        <w:footnoteReference w:id="41"/>
      </w:r>
      <w:r w:rsidR="000B27BF" w:rsidRPr="00891479">
        <w:rPr>
          <w:color w:val="000000"/>
          <w:kern w:val="22"/>
          <w:szCs w:val="22"/>
        </w:rPr>
        <w:t xml:space="preserve"> for their operations</w:t>
      </w:r>
      <w:r w:rsidR="00244C24" w:rsidRPr="00891479">
        <w:rPr>
          <w:color w:val="000000"/>
          <w:kern w:val="22"/>
          <w:szCs w:val="22"/>
        </w:rPr>
        <w:t>.</w:t>
      </w:r>
    </w:p>
    <w:p w14:paraId="1B13488E" w14:textId="31D25C8F" w:rsidR="0035651A" w:rsidRPr="00B358B9" w:rsidRDefault="00FB5F34"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GCF has a </w:t>
      </w:r>
      <w:r w:rsidR="00244C24" w:rsidRPr="00B358B9">
        <w:rPr>
          <w:kern w:val="22"/>
          <w:szCs w:val="22"/>
        </w:rPr>
        <w:t xml:space="preserve">requirement of compliance with </w:t>
      </w:r>
      <w:r w:rsidR="000B27BF" w:rsidRPr="00B358B9">
        <w:rPr>
          <w:kern w:val="22"/>
          <w:szCs w:val="22"/>
        </w:rPr>
        <w:t>s</w:t>
      </w:r>
      <w:r w:rsidR="00244C24" w:rsidRPr="00B358B9">
        <w:rPr>
          <w:kern w:val="22"/>
          <w:szCs w:val="22"/>
        </w:rPr>
        <w:t xml:space="preserve">afeguards </w:t>
      </w:r>
      <w:r w:rsidRPr="00B358B9">
        <w:rPr>
          <w:kern w:val="22"/>
          <w:szCs w:val="22"/>
        </w:rPr>
        <w:t xml:space="preserve">applicable to all </w:t>
      </w:r>
      <w:r w:rsidR="00C47726" w:rsidRPr="00B358B9">
        <w:rPr>
          <w:kern w:val="22"/>
          <w:szCs w:val="22"/>
        </w:rPr>
        <w:t>Accredited Entities</w:t>
      </w:r>
      <w:r w:rsidRPr="00B358B9">
        <w:rPr>
          <w:kern w:val="22"/>
          <w:szCs w:val="22"/>
        </w:rPr>
        <w:t xml:space="preserve">. This </w:t>
      </w:r>
      <w:r w:rsidR="00244C24" w:rsidRPr="00B358B9">
        <w:rPr>
          <w:kern w:val="22"/>
          <w:szCs w:val="22"/>
        </w:rPr>
        <w:t>means that</w:t>
      </w:r>
      <w:r w:rsidR="00A147C0" w:rsidRPr="00B358B9">
        <w:rPr>
          <w:kern w:val="22"/>
          <w:szCs w:val="22"/>
        </w:rPr>
        <w:t xml:space="preserve">, at the moment </w:t>
      </w:r>
      <w:r w:rsidR="00981A8F" w:rsidRPr="00B358B9">
        <w:rPr>
          <w:kern w:val="22"/>
          <w:szCs w:val="22"/>
        </w:rPr>
        <w:t xml:space="preserve">they </w:t>
      </w:r>
      <w:r w:rsidR="00A147C0" w:rsidRPr="00B358B9">
        <w:rPr>
          <w:kern w:val="22"/>
          <w:szCs w:val="22"/>
        </w:rPr>
        <w:t xml:space="preserve">obtain accreditation, the </w:t>
      </w:r>
      <w:r w:rsidR="00C47726" w:rsidRPr="00B358B9">
        <w:rPr>
          <w:kern w:val="22"/>
          <w:szCs w:val="22"/>
        </w:rPr>
        <w:t>Accredited Entities</w:t>
      </w:r>
      <w:r w:rsidR="00A147C0" w:rsidRPr="00B358B9">
        <w:rPr>
          <w:kern w:val="22"/>
          <w:szCs w:val="22"/>
        </w:rPr>
        <w:t xml:space="preserve"> </w:t>
      </w:r>
      <w:r w:rsidR="004E3DED" w:rsidRPr="00B358B9">
        <w:rPr>
          <w:kern w:val="22"/>
          <w:szCs w:val="22"/>
        </w:rPr>
        <w:t>must</w:t>
      </w:r>
      <w:r w:rsidRPr="00B358B9">
        <w:rPr>
          <w:kern w:val="22"/>
          <w:szCs w:val="22"/>
        </w:rPr>
        <w:t xml:space="preserve"> show that they </w:t>
      </w:r>
      <w:r w:rsidR="00A147C0" w:rsidRPr="00B358B9">
        <w:rPr>
          <w:kern w:val="22"/>
          <w:szCs w:val="22"/>
        </w:rPr>
        <w:t>(</w:t>
      </w:r>
      <w:r w:rsidR="00981A8F" w:rsidRPr="00B358B9">
        <w:rPr>
          <w:kern w:val="22"/>
          <w:szCs w:val="22"/>
        </w:rPr>
        <w:t>a</w:t>
      </w:r>
      <w:r w:rsidR="00A147C0" w:rsidRPr="00B358B9">
        <w:rPr>
          <w:kern w:val="22"/>
          <w:szCs w:val="22"/>
        </w:rPr>
        <w:t>) integrate the social and environmental safeguards in their own institutional frameworks and adopt the respective policy provisions, (</w:t>
      </w:r>
      <w:r w:rsidR="00981A8F" w:rsidRPr="00B358B9">
        <w:rPr>
          <w:kern w:val="22"/>
          <w:szCs w:val="22"/>
        </w:rPr>
        <w:t>b</w:t>
      </w:r>
      <w:r w:rsidR="00A147C0" w:rsidRPr="00B358B9">
        <w:rPr>
          <w:kern w:val="22"/>
          <w:szCs w:val="22"/>
        </w:rPr>
        <w:t xml:space="preserve">) commit to implementing the safeguard system </w:t>
      </w:r>
      <w:r w:rsidRPr="00B358B9">
        <w:rPr>
          <w:kern w:val="22"/>
          <w:szCs w:val="22"/>
        </w:rPr>
        <w:t xml:space="preserve">in </w:t>
      </w:r>
      <w:r w:rsidR="00A147C0" w:rsidRPr="00B358B9">
        <w:rPr>
          <w:kern w:val="22"/>
          <w:szCs w:val="22"/>
        </w:rPr>
        <w:t xml:space="preserve">all the projects that they channel resources for, </w:t>
      </w:r>
      <w:r w:rsidR="00981A8F" w:rsidRPr="00B358B9">
        <w:rPr>
          <w:kern w:val="22"/>
          <w:szCs w:val="22"/>
        </w:rPr>
        <w:t xml:space="preserve">and </w:t>
      </w:r>
      <w:r w:rsidR="0035651A" w:rsidRPr="00B358B9">
        <w:rPr>
          <w:kern w:val="22"/>
          <w:szCs w:val="22"/>
        </w:rPr>
        <w:t>(</w:t>
      </w:r>
      <w:r w:rsidR="00981A8F" w:rsidRPr="00B358B9">
        <w:rPr>
          <w:kern w:val="22"/>
          <w:szCs w:val="22"/>
        </w:rPr>
        <w:t>c</w:t>
      </w:r>
      <w:r w:rsidR="0035651A" w:rsidRPr="00B358B9">
        <w:rPr>
          <w:kern w:val="22"/>
          <w:szCs w:val="22"/>
        </w:rPr>
        <w:t>) establish the necessary instruments to ensure effective application of the safeguards.</w:t>
      </w:r>
    </w:p>
    <w:p w14:paraId="4DD340BC" w14:textId="34EB1D32" w:rsidR="00FB406C" w:rsidRPr="00B358B9" w:rsidRDefault="00407AF3"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To date, </w:t>
      </w:r>
      <w:r w:rsidR="00A91118" w:rsidRPr="00B358B9">
        <w:rPr>
          <w:kern w:val="22"/>
          <w:szCs w:val="22"/>
        </w:rPr>
        <w:t xml:space="preserve">as per the requirements, </w:t>
      </w:r>
      <w:r w:rsidRPr="00B358B9">
        <w:rPr>
          <w:kern w:val="22"/>
          <w:szCs w:val="22"/>
        </w:rPr>
        <w:t xml:space="preserve">54 </w:t>
      </w:r>
      <w:bookmarkStart w:id="21" w:name="_Hlk498946451"/>
      <w:r w:rsidRPr="00B358B9">
        <w:rPr>
          <w:kern w:val="22"/>
          <w:szCs w:val="22"/>
        </w:rPr>
        <w:t>A</w:t>
      </w:r>
      <w:r w:rsidR="0035651A" w:rsidRPr="00B358B9">
        <w:rPr>
          <w:kern w:val="22"/>
          <w:szCs w:val="22"/>
        </w:rPr>
        <w:t xml:space="preserve">ccredited </w:t>
      </w:r>
      <w:r w:rsidRPr="00B358B9">
        <w:rPr>
          <w:kern w:val="22"/>
          <w:szCs w:val="22"/>
        </w:rPr>
        <w:t>E</w:t>
      </w:r>
      <w:r w:rsidR="0035651A" w:rsidRPr="00B358B9">
        <w:rPr>
          <w:kern w:val="22"/>
          <w:szCs w:val="22"/>
        </w:rPr>
        <w:t>ntities</w:t>
      </w:r>
      <w:bookmarkEnd w:id="21"/>
      <w:r w:rsidR="0035651A" w:rsidRPr="00B358B9">
        <w:rPr>
          <w:kern w:val="22"/>
          <w:szCs w:val="22"/>
        </w:rPr>
        <w:t xml:space="preserve"> </w:t>
      </w:r>
      <w:r w:rsidRPr="00B358B9">
        <w:rPr>
          <w:kern w:val="22"/>
          <w:szCs w:val="22"/>
        </w:rPr>
        <w:t xml:space="preserve">of GCF </w:t>
      </w:r>
      <w:r w:rsidR="00A91118" w:rsidRPr="00B358B9">
        <w:rPr>
          <w:kern w:val="22"/>
          <w:szCs w:val="22"/>
        </w:rPr>
        <w:t>have adopted environmental and social safeguard systems compliant with the G</w:t>
      </w:r>
      <w:r w:rsidR="00FC147E" w:rsidRPr="00B358B9">
        <w:rPr>
          <w:kern w:val="22"/>
          <w:szCs w:val="22"/>
        </w:rPr>
        <w:t>C</w:t>
      </w:r>
      <w:r w:rsidR="00A91118" w:rsidRPr="00B358B9">
        <w:rPr>
          <w:kern w:val="22"/>
          <w:szCs w:val="22"/>
        </w:rPr>
        <w:t xml:space="preserve">F </w:t>
      </w:r>
      <w:r w:rsidR="00D13050" w:rsidRPr="00B358B9">
        <w:rPr>
          <w:kern w:val="22"/>
          <w:szCs w:val="22"/>
        </w:rPr>
        <w:t xml:space="preserve">interim </w:t>
      </w:r>
      <w:r w:rsidR="00A91118" w:rsidRPr="00B358B9">
        <w:rPr>
          <w:kern w:val="22"/>
          <w:szCs w:val="22"/>
        </w:rPr>
        <w:t xml:space="preserve">provisions, and related instruments for application of the </w:t>
      </w:r>
      <w:r w:rsidR="00A91118" w:rsidRPr="00B358B9">
        <w:rPr>
          <w:rFonts w:eastAsia="MS Mincho"/>
          <w:kern w:val="22"/>
          <w:szCs w:val="22"/>
        </w:rPr>
        <w:t>safeguards</w:t>
      </w:r>
      <w:r w:rsidR="00A91118" w:rsidRPr="00B358B9">
        <w:rPr>
          <w:kern w:val="22"/>
          <w:szCs w:val="22"/>
        </w:rPr>
        <w:t xml:space="preserve"> to their </w:t>
      </w:r>
      <w:r w:rsidR="00FC147E" w:rsidRPr="00B358B9">
        <w:rPr>
          <w:kern w:val="22"/>
          <w:szCs w:val="22"/>
        </w:rPr>
        <w:t xml:space="preserve">GCF </w:t>
      </w:r>
      <w:r w:rsidR="00A91118" w:rsidRPr="00B358B9">
        <w:rPr>
          <w:kern w:val="22"/>
          <w:szCs w:val="22"/>
        </w:rPr>
        <w:t xml:space="preserve">projects and programmes. </w:t>
      </w:r>
      <w:r w:rsidR="00FC147E" w:rsidRPr="00B358B9">
        <w:rPr>
          <w:kern w:val="22"/>
          <w:szCs w:val="22"/>
        </w:rPr>
        <w:t>Further</w:t>
      </w:r>
      <w:r w:rsidR="00B12652" w:rsidRPr="00B358B9">
        <w:rPr>
          <w:kern w:val="22"/>
          <w:szCs w:val="22"/>
        </w:rPr>
        <w:t xml:space="preserve"> to this</w:t>
      </w:r>
      <w:r w:rsidR="00FC147E" w:rsidRPr="00B358B9">
        <w:rPr>
          <w:kern w:val="22"/>
          <w:szCs w:val="22"/>
        </w:rPr>
        <w:t>, 134 institutions</w:t>
      </w:r>
      <w:r w:rsidR="00B12652" w:rsidRPr="00B358B9">
        <w:rPr>
          <w:kern w:val="22"/>
          <w:szCs w:val="22"/>
        </w:rPr>
        <w:t>,</w:t>
      </w:r>
      <w:r w:rsidR="00FC147E" w:rsidRPr="00B358B9">
        <w:rPr>
          <w:kern w:val="22"/>
          <w:szCs w:val="22"/>
        </w:rPr>
        <w:t xml:space="preserve"> which are currently in the pipeline for accreditation</w:t>
      </w:r>
      <w:r w:rsidR="00B12652" w:rsidRPr="00B358B9">
        <w:rPr>
          <w:kern w:val="22"/>
          <w:szCs w:val="22"/>
        </w:rPr>
        <w:t>,</w:t>
      </w:r>
      <w:r w:rsidR="00FC147E" w:rsidRPr="00B358B9">
        <w:rPr>
          <w:kern w:val="22"/>
          <w:szCs w:val="22"/>
        </w:rPr>
        <w:t xml:space="preserve"> will have to comply with the same requirement.</w:t>
      </w:r>
    </w:p>
    <w:p w14:paraId="3C673B46" w14:textId="06B155EA" w:rsidR="00BD3EEF" w:rsidRPr="00B358B9" w:rsidRDefault="005C25EE"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The </w:t>
      </w:r>
      <w:r w:rsidR="00911CC2" w:rsidRPr="00B358B9">
        <w:rPr>
          <w:kern w:val="22"/>
          <w:szCs w:val="22"/>
        </w:rPr>
        <w:t xml:space="preserve">new </w:t>
      </w:r>
      <w:r w:rsidR="00D6372F" w:rsidRPr="00B358B9">
        <w:rPr>
          <w:kern w:val="22"/>
          <w:szCs w:val="22"/>
        </w:rPr>
        <w:t>GCF e</w:t>
      </w:r>
      <w:r w:rsidRPr="00B358B9">
        <w:rPr>
          <w:kern w:val="22"/>
          <w:szCs w:val="22"/>
        </w:rPr>
        <w:t xml:space="preserve">nvironmental and </w:t>
      </w:r>
      <w:r w:rsidR="00D6372F" w:rsidRPr="00B358B9">
        <w:rPr>
          <w:kern w:val="22"/>
          <w:szCs w:val="22"/>
        </w:rPr>
        <w:t>s</w:t>
      </w:r>
      <w:r w:rsidRPr="00B358B9">
        <w:rPr>
          <w:kern w:val="22"/>
          <w:szCs w:val="22"/>
        </w:rPr>
        <w:t>ocial policy “articulates how GCF integrates environmental and social considerations into its decision</w:t>
      </w:r>
      <w:r w:rsidR="006E3B0E" w:rsidRPr="00B358B9">
        <w:rPr>
          <w:kern w:val="22"/>
          <w:szCs w:val="22"/>
        </w:rPr>
        <w:t>-</w:t>
      </w:r>
      <w:r w:rsidRPr="00B358B9">
        <w:rPr>
          <w:kern w:val="22"/>
          <w:szCs w:val="22"/>
        </w:rPr>
        <w:t xml:space="preserve">making and operations to effectively manage environmental and social risks and </w:t>
      </w:r>
      <w:r w:rsidRPr="00B358B9">
        <w:rPr>
          <w:rFonts w:eastAsia="MS Mincho"/>
          <w:kern w:val="22"/>
          <w:szCs w:val="22"/>
        </w:rPr>
        <w:t>impacts</w:t>
      </w:r>
      <w:r w:rsidRPr="00B358B9">
        <w:rPr>
          <w:kern w:val="22"/>
          <w:szCs w:val="22"/>
        </w:rPr>
        <w:t xml:space="preserve"> and improve outcomes”</w:t>
      </w:r>
      <w:r w:rsidR="007169FD" w:rsidRPr="00B358B9">
        <w:rPr>
          <w:kern w:val="22"/>
          <w:szCs w:val="22"/>
        </w:rPr>
        <w:t>.</w:t>
      </w:r>
      <w:r w:rsidR="006C7EF3" w:rsidRPr="00B358B9">
        <w:rPr>
          <w:rStyle w:val="FootnoteReference"/>
          <w:kern w:val="22"/>
          <w:szCs w:val="22"/>
        </w:rPr>
        <w:footnoteReference w:id="42"/>
      </w:r>
      <w:r w:rsidRPr="00B358B9">
        <w:rPr>
          <w:kern w:val="22"/>
          <w:szCs w:val="22"/>
        </w:rPr>
        <w:t xml:space="preserve"> </w:t>
      </w:r>
      <w:r w:rsidR="000638D7" w:rsidRPr="00B358B9">
        <w:rPr>
          <w:kern w:val="22"/>
          <w:szCs w:val="22"/>
        </w:rPr>
        <w:t xml:space="preserve">Its </w:t>
      </w:r>
      <w:r w:rsidR="00197A08" w:rsidRPr="00B358B9">
        <w:rPr>
          <w:kern w:val="22"/>
          <w:szCs w:val="22"/>
        </w:rPr>
        <w:t xml:space="preserve">new </w:t>
      </w:r>
      <w:r w:rsidR="00C47726" w:rsidRPr="00B358B9">
        <w:rPr>
          <w:kern w:val="22"/>
          <w:szCs w:val="22"/>
        </w:rPr>
        <w:t>environmental and social management system</w:t>
      </w:r>
      <w:r w:rsidR="00197A08" w:rsidRPr="00B358B9">
        <w:rPr>
          <w:kern w:val="22"/>
          <w:szCs w:val="22"/>
        </w:rPr>
        <w:t xml:space="preserve"> will include</w:t>
      </w:r>
      <w:r w:rsidR="000638D7" w:rsidRPr="00B358B9">
        <w:rPr>
          <w:kern w:val="22"/>
          <w:szCs w:val="22"/>
        </w:rPr>
        <w:t>, in addition to the policy, the e</w:t>
      </w:r>
      <w:r w:rsidR="00197A08" w:rsidRPr="00B358B9">
        <w:rPr>
          <w:kern w:val="22"/>
          <w:szCs w:val="22"/>
        </w:rPr>
        <w:t>nvironmental and social standards</w:t>
      </w:r>
      <w:r w:rsidR="000638D7" w:rsidRPr="00B358B9">
        <w:rPr>
          <w:kern w:val="22"/>
          <w:szCs w:val="22"/>
        </w:rPr>
        <w:t xml:space="preserve">, </w:t>
      </w:r>
      <w:r w:rsidR="00197A08" w:rsidRPr="00B358B9">
        <w:rPr>
          <w:kern w:val="22"/>
          <w:szCs w:val="22"/>
        </w:rPr>
        <w:t>processes and procedures</w:t>
      </w:r>
      <w:r w:rsidR="00DD0CFD" w:rsidRPr="00B358B9">
        <w:rPr>
          <w:kern w:val="22"/>
          <w:szCs w:val="22"/>
        </w:rPr>
        <w:t>, a s</w:t>
      </w:r>
      <w:r w:rsidR="00197A08" w:rsidRPr="00B358B9">
        <w:rPr>
          <w:kern w:val="22"/>
          <w:szCs w:val="22"/>
        </w:rPr>
        <w:t>takeholder engagement</w:t>
      </w:r>
      <w:r w:rsidR="00DD0CFD" w:rsidRPr="00B358B9">
        <w:rPr>
          <w:kern w:val="22"/>
          <w:szCs w:val="22"/>
        </w:rPr>
        <w:t xml:space="preserve"> framework, and g</w:t>
      </w:r>
      <w:r w:rsidR="00BD3EEF" w:rsidRPr="00B358B9">
        <w:rPr>
          <w:kern w:val="22"/>
          <w:szCs w:val="22"/>
        </w:rPr>
        <w:t>uidance and tools for implementing the environmental and social policy and standards.</w:t>
      </w:r>
    </w:p>
    <w:p w14:paraId="5F59B123" w14:textId="7711CA91" w:rsidR="00865C15" w:rsidRPr="00B358B9" w:rsidRDefault="00BD3EEF" w:rsidP="00B358B9">
      <w:pPr>
        <w:pStyle w:val="ListParagraph"/>
        <w:numPr>
          <w:ilvl w:val="0"/>
          <w:numId w:val="110"/>
        </w:numPr>
        <w:suppressLineNumbers/>
        <w:suppressAutoHyphens/>
        <w:kinsoku w:val="0"/>
        <w:overflowPunct w:val="0"/>
        <w:autoSpaceDE w:val="0"/>
        <w:autoSpaceDN w:val="0"/>
        <w:adjustRightInd w:val="0"/>
        <w:snapToGrid w:val="0"/>
        <w:spacing w:before="120" w:after="120"/>
        <w:ind w:left="0" w:firstLine="0"/>
        <w:contextualSpacing w:val="0"/>
        <w:jc w:val="both"/>
        <w:rPr>
          <w:snapToGrid w:val="0"/>
          <w:kern w:val="22"/>
          <w:szCs w:val="22"/>
        </w:rPr>
      </w:pPr>
      <w:r w:rsidRPr="00B358B9">
        <w:rPr>
          <w:snapToGrid w:val="0"/>
          <w:kern w:val="22"/>
          <w:sz w:val="22"/>
          <w:szCs w:val="22"/>
        </w:rPr>
        <w:t xml:space="preserve">This summary of the </w:t>
      </w:r>
      <w:r w:rsidR="008B1F91" w:rsidRPr="00B358B9">
        <w:rPr>
          <w:snapToGrid w:val="0"/>
          <w:kern w:val="22"/>
          <w:sz w:val="22"/>
          <w:szCs w:val="22"/>
        </w:rPr>
        <w:t>GCF</w:t>
      </w:r>
      <w:r w:rsidRPr="00B358B9">
        <w:rPr>
          <w:snapToGrid w:val="0"/>
          <w:kern w:val="22"/>
          <w:sz w:val="22"/>
          <w:szCs w:val="22"/>
        </w:rPr>
        <w:t xml:space="preserve"> environmental and social management system and its </w:t>
      </w:r>
      <w:r w:rsidR="008B1F91" w:rsidRPr="00B358B9">
        <w:rPr>
          <w:snapToGrid w:val="0"/>
          <w:kern w:val="22"/>
          <w:sz w:val="22"/>
          <w:szCs w:val="22"/>
        </w:rPr>
        <w:t xml:space="preserve">safeguards </w:t>
      </w:r>
      <w:r w:rsidR="0017740A" w:rsidRPr="00B358B9">
        <w:rPr>
          <w:snapToGrid w:val="0"/>
          <w:kern w:val="22"/>
          <w:sz w:val="22"/>
          <w:szCs w:val="22"/>
        </w:rPr>
        <w:t xml:space="preserve">shows that all the relevant elements of the </w:t>
      </w:r>
      <w:r w:rsidR="002C36C6" w:rsidRPr="00B358B9">
        <w:rPr>
          <w:snapToGrid w:val="0"/>
          <w:kern w:val="22"/>
          <w:sz w:val="22"/>
          <w:szCs w:val="22"/>
        </w:rPr>
        <w:t xml:space="preserve">Convention’s voluntary guidelines on safeguards in biodiversity financing </w:t>
      </w:r>
      <w:r w:rsidR="00D6739E" w:rsidRPr="00B358B9">
        <w:rPr>
          <w:snapToGrid w:val="0"/>
          <w:kern w:val="22"/>
          <w:sz w:val="22"/>
          <w:szCs w:val="22"/>
        </w:rPr>
        <w:t>mechanisms are</w:t>
      </w:r>
      <w:r w:rsidR="0017740A" w:rsidRPr="00B358B9">
        <w:rPr>
          <w:snapToGrid w:val="0"/>
          <w:kern w:val="22"/>
          <w:sz w:val="22"/>
          <w:szCs w:val="22"/>
        </w:rPr>
        <w:t xml:space="preserve"> being addressed in its development. However, in the current stakeholder consultation </w:t>
      </w:r>
      <w:r w:rsidR="0017740A" w:rsidRPr="00B358B9">
        <w:rPr>
          <w:rFonts w:eastAsia="MS Mincho"/>
          <w:snapToGrid w:val="0"/>
          <w:kern w:val="22"/>
          <w:sz w:val="22"/>
          <w:szCs w:val="22"/>
        </w:rPr>
        <w:t>process</w:t>
      </w:r>
      <w:r w:rsidR="0017740A" w:rsidRPr="00B358B9">
        <w:rPr>
          <w:snapToGrid w:val="0"/>
          <w:kern w:val="22"/>
          <w:sz w:val="22"/>
          <w:szCs w:val="22"/>
        </w:rPr>
        <w:t xml:space="preserve">, </w:t>
      </w:r>
      <w:r w:rsidR="007E004D" w:rsidRPr="00B358B9">
        <w:rPr>
          <w:snapToGrid w:val="0"/>
          <w:kern w:val="22"/>
          <w:sz w:val="22"/>
          <w:szCs w:val="22"/>
        </w:rPr>
        <w:t>some civil society organizations have observed that the consultation has had a constraining time</w:t>
      </w:r>
      <w:r w:rsidR="008324FC" w:rsidRPr="00B358B9">
        <w:rPr>
          <w:snapToGrid w:val="0"/>
          <w:kern w:val="22"/>
          <w:sz w:val="22"/>
          <w:szCs w:val="22"/>
        </w:rPr>
        <w:t xml:space="preserve"> </w:t>
      </w:r>
      <w:r w:rsidR="007E004D" w:rsidRPr="00B358B9">
        <w:rPr>
          <w:snapToGrid w:val="0"/>
          <w:kern w:val="22"/>
          <w:sz w:val="22"/>
          <w:szCs w:val="22"/>
        </w:rPr>
        <w:t xml:space="preserve">frame and </w:t>
      </w:r>
      <w:r w:rsidR="00084CD5" w:rsidRPr="00B358B9">
        <w:rPr>
          <w:snapToGrid w:val="0"/>
          <w:kern w:val="22"/>
          <w:sz w:val="22"/>
          <w:szCs w:val="22"/>
        </w:rPr>
        <w:t xml:space="preserve">thus </w:t>
      </w:r>
      <w:r w:rsidR="00AF79AC" w:rsidRPr="00B358B9">
        <w:rPr>
          <w:snapToGrid w:val="0"/>
          <w:kern w:val="22"/>
          <w:sz w:val="22"/>
          <w:szCs w:val="22"/>
        </w:rPr>
        <w:t xml:space="preserve">have made recommendations in this regard, as well as for strengthening provisions on free, prior and informed consent, positive outcomes and ways of enhancing the accountability of </w:t>
      </w:r>
      <w:r w:rsidR="00C47726" w:rsidRPr="00B358B9">
        <w:rPr>
          <w:snapToGrid w:val="0"/>
          <w:kern w:val="22"/>
          <w:sz w:val="22"/>
          <w:szCs w:val="22"/>
        </w:rPr>
        <w:t>Accredited Entities</w:t>
      </w:r>
      <w:r w:rsidR="00AF79AC" w:rsidRPr="00B358B9">
        <w:rPr>
          <w:snapToGrid w:val="0"/>
          <w:kern w:val="22"/>
          <w:sz w:val="22"/>
          <w:szCs w:val="22"/>
        </w:rPr>
        <w:t xml:space="preserve"> </w:t>
      </w:r>
      <w:r w:rsidR="00BC1119" w:rsidRPr="00B358B9">
        <w:rPr>
          <w:snapToGrid w:val="0"/>
          <w:kern w:val="22"/>
          <w:sz w:val="22"/>
          <w:szCs w:val="22"/>
        </w:rPr>
        <w:t>on compliance with</w:t>
      </w:r>
      <w:r w:rsidR="00AF79AC" w:rsidRPr="00B358B9">
        <w:rPr>
          <w:snapToGrid w:val="0"/>
          <w:kern w:val="22"/>
          <w:sz w:val="22"/>
          <w:szCs w:val="22"/>
        </w:rPr>
        <w:t xml:space="preserve"> the safeguards</w:t>
      </w:r>
      <w:r w:rsidR="00BC1119" w:rsidRPr="00B358B9">
        <w:rPr>
          <w:snapToGrid w:val="0"/>
          <w:kern w:val="22"/>
          <w:sz w:val="22"/>
          <w:szCs w:val="22"/>
        </w:rPr>
        <w:t>.</w:t>
      </w:r>
    </w:p>
    <w:p w14:paraId="479C84E2" w14:textId="2585756F" w:rsidR="00C83123" w:rsidRPr="00B358B9" w:rsidRDefault="00865C15" w:rsidP="00B358B9">
      <w:pPr>
        <w:pStyle w:val="ListParagraph"/>
        <w:numPr>
          <w:ilvl w:val="0"/>
          <w:numId w:val="110"/>
        </w:numPr>
        <w:suppressLineNumbers/>
        <w:suppressAutoHyphens/>
        <w:kinsoku w:val="0"/>
        <w:overflowPunct w:val="0"/>
        <w:autoSpaceDE w:val="0"/>
        <w:autoSpaceDN w:val="0"/>
        <w:adjustRightInd w:val="0"/>
        <w:snapToGrid w:val="0"/>
        <w:spacing w:before="120" w:after="120"/>
        <w:ind w:left="0" w:firstLine="0"/>
        <w:contextualSpacing w:val="0"/>
        <w:jc w:val="both"/>
        <w:rPr>
          <w:rFonts w:eastAsia="Calibri"/>
          <w:bCs/>
          <w:snapToGrid w:val="0"/>
          <w:kern w:val="22"/>
          <w:szCs w:val="22"/>
        </w:rPr>
      </w:pPr>
      <w:r w:rsidRPr="00B358B9">
        <w:rPr>
          <w:snapToGrid w:val="0"/>
          <w:kern w:val="22"/>
          <w:sz w:val="22"/>
          <w:szCs w:val="22"/>
        </w:rPr>
        <w:t>Additionally</w:t>
      </w:r>
      <w:r w:rsidR="005036FD" w:rsidRPr="00B358B9">
        <w:rPr>
          <w:snapToGrid w:val="0"/>
          <w:kern w:val="22"/>
          <w:sz w:val="22"/>
          <w:szCs w:val="22"/>
        </w:rPr>
        <w:t>,</w:t>
      </w:r>
      <w:r w:rsidRPr="00B358B9">
        <w:rPr>
          <w:snapToGrid w:val="0"/>
          <w:kern w:val="22"/>
          <w:sz w:val="22"/>
          <w:szCs w:val="22"/>
        </w:rPr>
        <w:t xml:space="preserve"> </w:t>
      </w:r>
      <w:r w:rsidRPr="00B358B9">
        <w:rPr>
          <w:rStyle w:val="st1"/>
          <w:snapToGrid w:val="0"/>
          <w:kern w:val="22"/>
          <w:sz w:val="22"/>
          <w:szCs w:val="22"/>
        </w:rPr>
        <w:t>a</w:t>
      </w:r>
      <w:r w:rsidR="001C0E2F" w:rsidRPr="00B358B9">
        <w:rPr>
          <w:rStyle w:val="st1"/>
          <w:snapToGrid w:val="0"/>
          <w:kern w:val="22"/>
          <w:sz w:val="22"/>
          <w:szCs w:val="22"/>
        </w:rPr>
        <w:t xml:space="preserve">t </w:t>
      </w:r>
      <w:r w:rsidRPr="00B358B9">
        <w:rPr>
          <w:rStyle w:val="st1"/>
          <w:snapToGrid w:val="0"/>
          <w:kern w:val="22"/>
          <w:sz w:val="22"/>
          <w:szCs w:val="22"/>
        </w:rPr>
        <w:t>its</w:t>
      </w:r>
      <w:r w:rsidR="001C0E2F" w:rsidRPr="00B358B9">
        <w:rPr>
          <w:rStyle w:val="st1"/>
          <w:snapToGrid w:val="0"/>
          <w:kern w:val="22"/>
          <w:sz w:val="22"/>
          <w:szCs w:val="22"/>
        </w:rPr>
        <w:t xml:space="preserve"> </w:t>
      </w:r>
      <w:r w:rsidRPr="00B358B9">
        <w:rPr>
          <w:rStyle w:val="st1"/>
          <w:snapToGrid w:val="0"/>
          <w:kern w:val="22"/>
          <w:sz w:val="22"/>
          <w:szCs w:val="22"/>
        </w:rPr>
        <w:t>nineteenth</w:t>
      </w:r>
      <w:r w:rsidR="001C0E2F" w:rsidRPr="00B358B9">
        <w:rPr>
          <w:rStyle w:val="st1"/>
          <w:snapToGrid w:val="0"/>
          <w:kern w:val="22"/>
          <w:sz w:val="22"/>
          <w:szCs w:val="22"/>
        </w:rPr>
        <w:t xml:space="preserve"> meeting</w:t>
      </w:r>
      <w:r w:rsidR="005A728B" w:rsidRPr="00B358B9">
        <w:rPr>
          <w:rStyle w:val="st1"/>
          <w:snapToGrid w:val="0"/>
          <w:kern w:val="22"/>
          <w:sz w:val="22"/>
          <w:szCs w:val="22"/>
        </w:rPr>
        <w:t>,</w:t>
      </w:r>
      <w:r w:rsidR="0078292D" w:rsidRPr="00B358B9">
        <w:rPr>
          <w:rStyle w:val="st1"/>
          <w:snapToGrid w:val="0"/>
          <w:kern w:val="22"/>
          <w:sz w:val="22"/>
          <w:szCs w:val="22"/>
        </w:rPr>
        <w:t xml:space="preserve"> held in </w:t>
      </w:r>
      <w:r w:rsidR="0078292D" w:rsidRPr="00B358B9">
        <w:rPr>
          <w:rFonts w:eastAsia="Calibri"/>
          <w:snapToGrid w:val="0"/>
          <w:kern w:val="22"/>
          <w:sz w:val="22"/>
          <w:szCs w:val="22"/>
          <w:lang w:eastAsia="en-GB"/>
        </w:rPr>
        <w:t>Songdo, Incheon, Republic of Korea</w:t>
      </w:r>
      <w:r w:rsidR="005A728B" w:rsidRPr="00FF6CE0">
        <w:rPr>
          <w:rFonts w:eastAsia="Calibri"/>
          <w:snapToGrid w:val="0"/>
          <w:kern w:val="22"/>
          <w:sz w:val="22"/>
          <w:szCs w:val="22"/>
          <w:lang w:eastAsia="en-GB"/>
        </w:rPr>
        <w:t>,</w:t>
      </w:r>
      <w:r w:rsidR="005036FD" w:rsidRPr="00B358B9">
        <w:rPr>
          <w:rFonts w:eastAsia="Calibri"/>
          <w:snapToGrid w:val="0"/>
          <w:kern w:val="22"/>
          <w:sz w:val="22"/>
          <w:szCs w:val="22"/>
          <w:lang w:eastAsia="en-GB"/>
        </w:rPr>
        <w:t xml:space="preserve"> </w:t>
      </w:r>
      <w:r w:rsidR="0078292D" w:rsidRPr="00B358B9">
        <w:rPr>
          <w:rStyle w:val="st1"/>
          <w:snapToGrid w:val="0"/>
          <w:kern w:val="22"/>
          <w:sz w:val="22"/>
          <w:szCs w:val="22"/>
        </w:rPr>
        <w:t>from</w:t>
      </w:r>
      <w:r w:rsidR="001C0E2F" w:rsidRPr="00B358B9">
        <w:rPr>
          <w:rStyle w:val="st1"/>
          <w:snapToGrid w:val="0"/>
          <w:kern w:val="22"/>
          <w:sz w:val="22"/>
          <w:szCs w:val="22"/>
        </w:rPr>
        <w:t xml:space="preserve"> </w:t>
      </w:r>
      <w:r w:rsidRPr="00B358B9">
        <w:rPr>
          <w:rFonts w:eastAsia="Calibri"/>
          <w:snapToGrid w:val="0"/>
          <w:kern w:val="22"/>
          <w:sz w:val="22"/>
          <w:szCs w:val="22"/>
          <w:lang w:eastAsia="en-GB"/>
        </w:rPr>
        <w:t>26</w:t>
      </w:r>
      <w:r w:rsidR="005036FD" w:rsidRPr="00B358B9">
        <w:rPr>
          <w:rFonts w:eastAsia="Calibri"/>
          <w:snapToGrid w:val="0"/>
          <w:kern w:val="22"/>
          <w:sz w:val="22"/>
          <w:szCs w:val="22"/>
          <w:lang w:eastAsia="en-GB"/>
        </w:rPr>
        <w:t> </w:t>
      </w:r>
      <w:r w:rsidRPr="00B358B9">
        <w:rPr>
          <w:rFonts w:eastAsia="Calibri"/>
          <w:snapToGrid w:val="0"/>
          <w:kern w:val="22"/>
          <w:sz w:val="22"/>
          <w:szCs w:val="22"/>
          <w:lang w:eastAsia="en-GB"/>
        </w:rPr>
        <w:t xml:space="preserve">February </w:t>
      </w:r>
      <w:r w:rsidR="0078292D" w:rsidRPr="00B358B9">
        <w:rPr>
          <w:rFonts w:eastAsia="Calibri"/>
          <w:snapToGrid w:val="0"/>
          <w:kern w:val="22"/>
          <w:sz w:val="22"/>
          <w:szCs w:val="22"/>
          <w:lang w:eastAsia="en-GB"/>
        </w:rPr>
        <w:t xml:space="preserve">to </w:t>
      </w:r>
      <w:r w:rsidRPr="00B358B9">
        <w:rPr>
          <w:rFonts w:eastAsia="Calibri"/>
          <w:snapToGrid w:val="0"/>
          <w:kern w:val="22"/>
          <w:sz w:val="22"/>
          <w:szCs w:val="22"/>
          <w:lang w:eastAsia="en-GB"/>
        </w:rPr>
        <w:t xml:space="preserve">1 March 2018, </w:t>
      </w:r>
      <w:r w:rsidR="001C0E2F" w:rsidRPr="00B358B9">
        <w:rPr>
          <w:rStyle w:val="st1"/>
          <w:snapToGrid w:val="0"/>
          <w:kern w:val="22"/>
          <w:sz w:val="22"/>
          <w:szCs w:val="22"/>
        </w:rPr>
        <w:t xml:space="preserve">the Green Climate Fund (GCF) Board </w:t>
      </w:r>
      <w:r w:rsidRPr="00B358B9">
        <w:rPr>
          <w:rStyle w:val="st1"/>
          <w:snapToGrid w:val="0"/>
          <w:kern w:val="22"/>
          <w:sz w:val="22"/>
          <w:szCs w:val="22"/>
        </w:rPr>
        <w:t>adopted in decision</w:t>
      </w:r>
      <w:r w:rsidRPr="00B358B9">
        <w:rPr>
          <w:rFonts w:eastAsia="Calibri"/>
          <w:bCs/>
          <w:snapToGrid w:val="0"/>
          <w:kern w:val="22"/>
          <w:sz w:val="22"/>
          <w:szCs w:val="22"/>
        </w:rPr>
        <w:t xml:space="preserve"> GCF/B.19/4, </w:t>
      </w:r>
      <w:r w:rsidR="000C57A3" w:rsidRPr="00B358B9">
        <w:rPr>
          <w:rFonts w:eastAsia="Calibri"/>
          <w:bCs/>
          <w:snapToGrid w:val="0"/>
          <w:kern w:val="22"/>
          <w:sz w:val="22"/>
          <w:szCs w:val="22"/>
        </w:rPr>
        <w:t>(</w:t>
      </w:r>
      <w:r w:rsidRPr="00B358B9">
        <w:rPr>
          <w:rFonts w:eastAsia="Calibri"/>
          <w:bCs/>
          <w:snapToGrid w:val="0"/>
          <w:kern w:val="22"/>
          <w:sz w:val="22"/>
          <w:szCs w:val="22"/>
        </w:rPr>
        <w:t>para</w:t>
      </w:r>
      <w:r w:rsidR="000C57A3" w:rsidRPr="00B358B9">
        <w:rPr>
          <w:rFonts w:eastAsia="Calibri"/>
          <w:bCs/>
          <w:snapToGrid w:val="0"/>
          <w:kern w:val="22"/>
          <w:sz w:val="22"/>
          <w:szCs w:val="22"/>
        </w:rPr>
        <w:t>. </w:t>
      </w:r>
      <w:r w:rsidRPr="00B358B9">
        <w:rPr>
          <w:rFonts w:eastAsia="Calibri"/>
          <w:snapToGrid w:val="0"/>
          <w:kern w:val="22"/>
          <w:sz w:val="22"/>
          <w:szCs w:val="22"/>
          <w:lang w:eastAsia="en-GB"/>
        </w:rPr>
        <w:t xml:space="preserve">8.7 on </w:t>
      </w:r>
      <w:r w:rsidR="0078292D" w:rsidRPr="00B358B9">
        <w:rPr>
          <w:rFonts w:eastAsia="Calibri"/>
          <w:snapToGrid w:val="0"/>
          <w:kern w:val="22"/>
          <w:sz w:val="22"/>
          <w:szCs w:val="22"/>
          <w:lang w:eastAsia="en-GB"/>
        </w:rPr>
        <w:t>r</w:t>
      </w:r>
      <w:r w:rsidRPr="00B358B9">
        <w:rPr>
          <w:rFonts w:eastAsia="Calibri"/>
          <w:snapToGrid w:val="0"/>
          <w:kern w:val="22"/>
          <w:sz w:val="22"/>
          <w:szCs w:val="22"/>
          <w:lang w:eastAsia="en-GB"/>
        </w:rPr>
        <w:t>educing emissions from deforestation and forest degradation (REDD-plus)</w:t>
      </w:r>
      <w:r w:rsidR="000C57A3" w:rsidRPr="00B358B9">
        <w:rPr>
          <w:rFonts w:eastAsia="Calibri"/>
          <w:snapToGrid w:val="0"/>
          <w:kern w:val="22"/>
          <w:sz w:val="22"/>
          <w:szCs w:val="22"/>
          <w:lang w:eastAsia="en-GB"/>
        </w:rPr>
        <w:t>)</w:t>
      </w:r>
      <w:r w:rsidRPr="00B358B9">
        <w:rPr>
          <w:rFonts w:eastAsia="Calibri"/>
          <w:snapToGrid w:val="0"/>
          <w:kern w:val="22"/>
          <w:sz w:val="22"/>
          <w:szCs w:val="22"/>
          <w:lang w:eastAsia="en-GB"/>
        </w:rPr>
        <w:t xml:space="preserve">, a policy measure that will apply to GCF-financed activities supporting the REDD-plus actions, including the readiness phase, results-based payments, and any access and financing modalities, guidance, terms of reference, and assessment tools developed by GCF with respect to REDD-plus actions. Consequently, any REDD-plus activities proposed for GCF financing, including results-based payments, will ensure that the requirements of this </w:t>
      </w:r>
      <w:r w:rsidR="000C57A3" w:rsidRPr="00B358B9">
        <w:rPr>
          <w:rFonts w:eastAsia="Calibri"/>
          <w:snapToGrid w:val="0"/>
          <w:kern w:val="22"/>
          <w:sz w:val="22"/>
          <w:szCs w:val="22"/>
          <w:lang w:eastAsia="en-GB"/>
        </w:rPr>
        <w:t>p</w:t>
      </w:r>
      <w:r w:rsidRPr="00B358B9">
        <w:rPr>
          <w:rFonts w:eastAsia="Calibri"/>
          <w:snapToGrid w:val="0"/>
          <w:kern w:val="22"/>
          <w:sz w:val="22"/>
          <w:szCs w:val="22"/>
          <w:lang w:eastAsia="en-GB"/>
        </w:rPr>
        <w:t>olicy, in conjunction with other relevant policies and standards of GCF, such as the Paris Agreement</w:t>
      </w:r>
      <w:r w:rsidR="000C57A3" w:rsidRPr="00B358B9">
        <w:rPr>
          <w:rStyle w:val="FootnoteReference"/>
          <w:rFonts w:eastAsia="Calibri"/>
          <w:snapToGrid w:val="0"/>
          <w:kern w:val="22"/>
          <w:szCs w:val="22"/>
          <w:lang w:eastAsia="en-GB"/>
        </w:rPr>
        <w:footnoteReference w:id="43"/>
      </w:r>
      <w:r w:rsidRPr="00B358B9">
        <w:rPr>
          <w:rFonts w:eastAsia="Calibri"/>
          <w:snapToGrid w:val="0"/>
          <w:kern w:val="22"/>
          <w:sz w:val="22"/>
          <w:szCs w:val="22"/>
          <w:lang w:eastAsia="en-GB"/>
        </w:rPr>
        <w:t xml:space="preserve"> and UNFCCC REDD-plus decisions, including the Warsaw Framework for REDD-plus, are addressed, emphasizing that, for the purposes of GCF activities, references to stakeholders include indigenous peoples as defined in this Policy. </w:t>
      </w:r>
      <w:r w:rsidR="001C0E2F" w:rsidRPr="00B358B9">
        <w:rPr>
          <w:rStyle w:val="st1"/>
          <w:snapToGrid w:val="0"/>
          <w:kern w:val="22"/>
          <w:sz w:val="22"/>
          <w:szCs w:val="22"/>
        </w:rPr>
        <w:t xml:space="preserve">This initiative represents a first in multilateral </w:t>
      </w:r>
      <w:r w:rsidR="001C0E2F" w:rsidRPr="00B358B9">
        <w:rPr>
          <w:snapToGrid w:val="0"/>
          <w:kern w:val="22"/>
          <w:sz w:val="22"/>
          <w:szCs w:val="22"/>
        </w:rPr>
        <w:t>results</w:t>
      </w:r>
      <w:r w:rsidR="002B3AAC" w:rsidRPr="00B358B9">
        <w:rPr>
          <w:snapToGrid w:val="0"/>
          <w:kern w:val="22"/>
          <w:sz w:val="22"/>
          <w:szCs w:val="22"/>
        </w:rPr>
        <w:t>-</w:t>
      </w:r>
      <w:r w:rsidR="001C0E2F" w:rsidRPr="00B358B9">
        <w:rPr>
          <w:snapToGrid w:val="0"/>
          <w:kern w:val="22"/>
          <w:sz w:val="22"/>
          <w:szCs w:val="22"/>
        </w:rPr>
        <w:t>based payments framework, which provide</w:t>
      </w:r>
      <w:r w:rsidR="002B3AAC" w:rsidRPr="00B358B9">
        <w:rPr>
          <w:snapToGrid w:val="0"/>
          <w:kern w:val="22"/>
          <w:sz w:val="22"/>
          <w:szCs w:val="22"/>
        </w:rPr>
        <w:t>s</w:t>
      </w:r>
      <w:r w:rsidR="001C0E2F" w:rsidRPr="00B358B9">
        <w:rPr>
          <w:snapToGrid w:val="0"/>
          <w:kern w:val="22"/>
          <w:sz w:val="22"/>
          <w:szCs w:val="22"/>
        </w:rPr>
        <w:t xml:space="preserve"> for enhanced recognition of both biodiversity and the role of indigenous peoples</w:t>
      </w:r>
      <w:r w:rsidR="0036754C" w:rsidRPr="00B358B9">
        <w:rPr>
          <w:snapToGrid w:val="0"/>
          <w:kern w:val="22"/>
          <w:sz w:val="22"/>
          <w:szCs w:val="22"/>
        </w:rPr>
        <w:t xml:space="preserve"> and local communities</w:t>
      </w:r>
      <w:r w:rsidR="001C0E2F" w:rsidRPr="00B358B9">
        <w:rPr>
          <w:snapToGrid w:val="0"/>
          <w:kern w:val="22"/>
          <w:sz w:val="22"/>
          <w:szCs w:val="22"/>
        </w:rPr>
        <w:t>.</w:t>
      </w:r>
    </w:p>
    <w:p w14:paraId="5AA2A9C4" w14:textId="0BF6DE4C" w:rsidR="00C83123" w:rsidRPr="005A728B" w:rsidRDefault="00FF6CE0" w:rsidP="00B358B9">
      <w:pPr>
        <w:pStyle w:val="Para1"/>
        <w:keepNext/>
        <w:numPr>
          <w:ilvl w:val="0"/>
          <w:numId w:val="0"/>
        </w:numPr>
        <w:suppressLineNumbers/>
        <w:tabs>
          <w:tab w:val="left" w:pos="360"/>
        </w:tabs>
        <w:suppressAutoHyphens/>
        <w:kinsoku w:val="0"/>
        <w:overflowPunct w:val="0"/>
        <w:autoSpaceDE w:val="0"/>
        <w:autoSpaceDN w:val="0"/>
        <w:adjustRightInd w:val="0"/>
        <w:snapToGrid w:val="0"/>
        <w:spacing w:before="0" w:after="0"/>
        <w:jc w:val="center"/>
        <w:rPr>
          <w:bCs/>
          <w:i/>
          <w:iCs/>
          <w:kern w:val="22"/>
          <w:szCs w:val="22"/>
        </w:rPr>
      </w:pPr>
      <w:r>
        <w:rPr>
          <w:bCs/>
          <w:kern w:val="22"/>
          <w:szCs w:val="22"/>
        </w:rPr>
        <w:t>2.</w:t>
      </w:r>
      <w:r>
        <w:rPr>
          <w:bCs/>
          <w:kern w:val="22"/>
          <w:szCs w:val="22"/>
        </w:rPr>
        <w:tab/>
      </w:r>
      <w:r w:rsidR="00934AB4" w:rsidRPr="005A728B">
        <w:rPr>
          <w:bCs/>
          <w:i/>
          <w:iCs/>
          <w:kern w:val="22"/>
          <w:szCs w:val="22"/>
        </w:rPr>
        <w:t>T</w:t>
      </w:r>
      <w:r w:rsidR="00C83123" w:rsidRPr="005A728B">
        <w:rPr>
          <w:bCs/>
          <w:i/>
          <w:iCs/>
          <w:kern w:val="22"/>
          <w:szCs w:val="22"/>
        </w:rPr>
        <w:t>he Adaptation Fund</w:t>
      </w:r>
    </w:p>
    <w:p w14:paraId="2D57B1F9" w14:textId="0AE77F70" w:rsidR="00FB406C" w:rsidRPr="00B358B9" w:rsidRDefault="00C83123"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The </w:t>
      </w:r>
      <w:r w:rsidR="003F65F3" w:rsidRPr="00B358B9">
        <w:rPr>
          <w:kern w:val="22"/>
          <w:szCs w:val="22"/>
        </w:rPr>
        <w:t>Adaptation Fund</w:t>
      </w:r>
      <w:r w:rsidRPr="00B358B9">
        <w:rPr>
          <w:kern w:val="22"/>
          <w:szCs w:val="22"/>
        </w:rPr>
        <w:t xml:space="preserve"> finances climate adaptation projects and programmes for vulnerable communities in developing countries that </w:t>
      </w:r>
      <w:r w:rsidRPr="00B358B9">
        <w:rPr>
          <w:rFonts w:eastAsia="MS Mincho"/>
          <w:kern w:val="22"/>
          <w:szCs w:val="22"/>
        </w:rPr>
        <w:t>are</w:t>
      </w:r>
      <w:r w:rsidRPr="00B358B9">
        <w:rPr>
          <w:kern w:val="22"/>
          <w:szCs w:val="22"/>
        </w:rPr>
        <w:t xml:space="preserve"> Parties to the Kyoto Protocol. </w:t>
      </w:r>
      <w:r w:rsidR="000066FE" w:rsidRPr="00B358B9">
        <w:rPr>
          <w:kern w:val="22"/>
          <w:szCs w:val="22"/>
        </w:rPr>
        <w:t xml:space="preserve">It operates through </w:t>
      </w:r>
      <w:bookmarkStart w:id="22" w:name="_Hlk498946525"/>
      <w:r w:rsidR="006D6FAF" w:rsidRPr="00B358B9">
        <w:rPr>
          <w:kern w:val="22"/>
          <w:szCs w:val="22"/>
        </w:rPr>
        <w:t>I</w:t>
      </w:r>
      <w:r w:rsidR="000066FE" w:rsidRPr="00B358B9">
        <w:rPr>
          <w:kern w:val="22"/>
          <w:szCs w:val="22"/>
        </w:rPr>
        <w:t xml:space="preserve">mplementing </w:t>
      </w:r>
      <w:r w:rsidR="006D6FAF" w:rsidRPr="00B358B9">
        <w:rPr>
          <w:kern w:val="22"/>
          <w:szCs w:val="22"/>
        </w:rPr>
        <w:t>E</w:t>
      </w:r>
      <w:r w:rsidR="000066FE" w:rsidRPr="00B358B9">
        <w:rPr>
          <w:kern w:val="22"/>
          <w:szCs w:val="22"/>
        </w:rPr>
        <w:t>ntities</w:t>
      </w:r>
      <w:bookmarkEnd w:id="22"/>
      <w:r w:rsidR="000066FE" w:rsidRPr="00B358B9">
        <w:rPr>
          <w:kern w:val="22"/>
          <w:szCs w:val="22"/>
        </w:rPr>
        <w:t xml:space="preserve"> that, a</w:t>
      </w:r>
      <w:r w:rsidRPr="00B358B9">
        <w:rPr>
          <w:kern w:val="22"/>
          <w:szCs w:val="22"/>
        </w:rPr>
        <w:t xml:space="preserve">s of March 2017, </w:t>
      </w:r>
      <w:r w:rsidR="000066FE" w:rsidRPr="00B358B9">
        <w:rPr>
          <w:kern w:val="22"/>
          <w:szCs w:val="22"/>
        </w:rPr>
        <w:t xml:space="preserve">numbered </w:t>
      </w:r>
      <w:r w:rsidRPr="00B358B9">
        <w:rPr>
          <w:kern w:val="22"/>
          <w:szCs w:val="22"/>
        </w:rPr>
        <w:t>43 (25 national, 6 regional, and 12 multilateral).</w:t>
      </w:r>
      <w:r w:rsidR="00723A84" w:rsidRPr="00B358B9">
        <w:rPr>
          <w:kern w:val="22"/>
          <w:szCs w:val="22"/>
        </w:rPr>
        <w:t xml:space="preserve"> In November 2017, at the </w:t>
      </w:r>
      <w:r w:rsidR="00EF7923">
        <w:rPr>
          <w:kern w:val="22"/>
          <w:szCs w:val="22"/>
        </w:rPr>
        <w:t>twenty-thi</w:t>
      </w:r>
      <w:r w:rsidR="00EF7923" w:rsidRPr="00B358B9">
        <w:rPr>
          <w:kern w:val="22"/>
          <w:szCs w:val="22"/>
        </w:rPr>
        <w:t xml:space="preserve">rd </w:t>
      </w:r>
      <w:r w:rsidR="00723A84" w:rsidRPr="00B358B9">
        <w:rPr>
          <w:kern w:val="22"/>
          <w:szCs w:val="22"/>
        </w:rPr>
        <w:t xml:space="preserve">session of the UNFCCC Conference of the Parties, the Adaptation Fund announced an effective portfolio of </w:t>
      </w:r>
      <w:r w:rsidR="00266B15" w:rsidRPr="00B358B9">
        <w:rPr>
          <w:kern w:val="22"/>
          <w:szCs w:val="22"/>
        </w:rPr>
        <w:t>US$ </w:t>
      </w:r>
      <w:r w:rsidR="00723A84" w:rsidRPr="00B358B9">
        <w:rPr>
          <w:kern w:val="22"/>
          <w:szCs w:val="22"/>
        </w:rPr>
        <w:t>93.3 million.</w:t>
      </w:r>
    </w:p>
    <w:p w14:paraId="18537B45" w14:textId="1099CE51" w:rsidR="00FB406C" w:rsidRPr="00B358B9" w:rsidRDefault="00A65C02"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In 2013</w:t>
      </w:r>
      <w:r w:rsidR="00C708A0" w:rsidRPr="00B358B9">
        <w:rPr>
          <w:kern w:val="22"/>
          <w:szCs w:val="22"/>
        </w:rPr>
        <w:t>,</w:t>
      </w:r>
      <w:r w:rsidRPr="00B358B9">
        <w:rPr>
          <w:kern w:val="22"/>
          <w:szCs w:val="22"/>
        </w:rPr>
        <w:t xml:space="preserve"> the </w:t>
      </w:r>
      <w:r w:rsidRPr="00B358B9">
        <w:rPr>
          <w:rFonts w:eastAsia="MS Mincho"/>
          <w:kern w:val="22"/>
          <w:szCs w:val="22"/>
        </w:rPr>
        <w:t>Adaptation</w:t>
      </w:r>
      <w:r w:rsidRPr="00B358B9">
        <w:rPr>
          <w:kern w:val="22"/>
          <w:szCs w:val="22"/>
        </w:rPr>
        <w:t xml:space="preserve"> Fund adopted an </w:t>
      </w:r>
      <w:r w:rsidR="003B7802" w:rsidRPr="00B358B9">
        <w:rPr>
          <w:kern w:val="22"/>
          <w:szCs w:val="22"/>
        </w:rPr>
        <w:t>e</w:t>
      </w:r>
      <w:r w:rsidRPr="00B358B9">
        <w:rPr>
          <w:kern w:val="22"/>
          <w:szCs w:val="22"/>
        </w:rPr>
        <w:t xml:space="preserve">nvironmental and </w:t>
      </w:r>
      <w:r w:rsidR="003B7802" w:rsidRPr="00B358B9">
        <w:rPr>
          <w:kern w:val="22"/>
          <w:szCs w:val="22"/>
        </w:rPr>
        <w:t>s</w:t>
      </w:r>
      <w:r w:rsidRPr="00B358B9">
        <w:rPr>
          <w:kern w:val="22"/>
          <w:szCs w:val="22"/>
        </w:rPr>
        <w:t xml:space="preserve">ocial </w:t>
      </w:r>
      <w:r w:rsidR="003B7802" w:rsidRPr="00B358B9">
        <w:rPr>
          <w:kern w:val="22"/>
          <w:szCs w:val="22"/>
        </w:rPr>
        <w:t>p</w:t>
      </w:r>
      <w:r w:rsidRPr="00B358B9">
        <w:rPr>
          <w:kern w:val="22"/>
          <w:szCs w:val="22"/>
        </w:rPr>
        <w:t>olicy</w:t>
      </w:r>
      <w:r w:rsidR="008C200F" w:rsidRPr="00B358B9">
        <w:rPr>
          <w:kern w:val="22"/>
          <w:szCs w:val="22"/>
        </w:rPr>
        <w:t xml:space="preserve"> (ESP)</w:t>
      </w:r>
      <w:r w:rsidR="00F870C6" w:rsidRPr="00B358B9">
        <w:rPr>
          <w:kern w:val="22"/>
          <w:szCs w:val="22"/>
        </w:rPr>
        <w:t>, which was amended in 2016.</w:t>
      </w:r>
      <w:r w:rsidRPr="00B358B9">
        <w:rPr>
          <w:kern w:val="22"/>
          <w:szCs w:val="22"/>
        </w:rPr>
        <w:t xml:space="preserve"> </w:t>
      </w:r>
      <w:r w:rsidR="00F870C6" w:rsidRPr="00B358B9">
        <w:rPr>
          <w:kern w:val="22"/>
          <w:szCs w:val="22"/>
        </w:rPr>
        <w:t>It</w:t>
      </w:r>
      <w:r w:rsidR="005B5407" w:rsidRPr="00B358B9">
        <w:rPr>
          <w:kern w:val="22"/>
          <w:szCs w:val="22"/>
        </w:rPr>
        <w:t xml:space="preserve"> e</w:t>
      </w:r>
      <w:r w:rsidRPr="00B358B9">
        <w:rPr>
          <w:kern w:val="22"/>
          <w:szCs w:val="22"/>
        </w:rPr>
        <w:t>stablishes that “all projects/programmes be screened for their environmental and social impacts, that those impacts be identified, and that the proposed project/programme be categorized according to its potential environmental and social impacts”</w:t>
      </w:r>
      <w:r w:rsidR="00AC23C5" w:rsidRPr="00B358B9">
        <w:rPr>
          <w:kern w:val="22"/>
          <w:szCs w:val="22"/>
        </w:rPr>
        <w:t>.</w:t>
      </w:r>
      <w:r w:rsidR="00372F18" w:rsidRPr="00B358B9">
        <w:rPr>
          <w:rStyle w:val="FootnoteReference"/>
          <w:kern w:val="22"/>
          <w:szCs w:val="22"/>
        </w:rPr>
        <w:footnoteReference w:id="44"/>
      </w:r>
    </w:p>
    <w:p w14:paraId="55ACC96D" w14:textId="49802950" w:rsidR="00CF5E1F" w:rsidRPr="00B358B9" w:rsidRDefault="00CF5E1F"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The A</w:t>
      </w:r>
      <w:r w:rsidR="00060116" w:rsidRPr="00B358B9">
        <w:rPr>
          <w:kern w:val="22"/>
          <w:szCs w:val="22"/>
        </w:rPr>
        <w:t xml:space="preserve">daptation </w:t>
      </w:r>
      <w:r w:rsidRPr="00B358B9">
        <w:rPr>
          <w:kern w:val="22"/>
          <w:szCs w:val="22"/>
        </w:rPr>
        <w:t>F</w:t>
      </w:r>
      <w:r w:rsidR="00060116" w:rsidRPr="00B358B9">
        <w:rPr>
          <w:kern w:val="22"/>
          <w:szCs w:val="22"/>
        </w:rPr>
        <w:t>und</w:t>
      </w:r>
      <w:r w:rsidR="001F68AC" w:rsidRPr="00B358B9">
        <w:rPr>
          <w:kern w:val="22"/>
          <w:szCs w:val="22"/>
        </w:rPr>
        <w:t>’</w:t>
      </w:r>
      <w:r w:rsidR="00060116" w:rsidRPr="00B358B9">
        <w:rPr>
          <w:kern w:val="22"/>
          <w:szCs w:val="22"/>
        </w:rPr>
        <w:t>s</w:t>
      </w:r>
      <w:r w:rsidRPr="00B358B9">
        <w:rPr>
          <w:kern w:val="22"/>
          <w:szCs w:val="22"/>
        </w:rPr>
        <w:t xml:space="preserve"> </w:t>
      </w:r>
      <w:r w:rsidR="006D6FAF" w:rsidRPr="00B358B9">
        <w:rPr>
          <w:kern w:val="22"/>
          <w:szCs w:val="22"/>
        </w:rPr>
        <w:t>E</w:t>
      </w:r>
      <w:r w:rsidR="00372F18" w:rsidRPr="00B358B9">
        <w:rPr>
          <w:kern w:val="22"/>
          <w:szCs w:val="22"/>
        </w:rPr>
        <w:t>SP</w:t>
      </w:r>
      <w:r w:rsidRPr="00B358B9">
        <w:rPr>
          <w:kern w:val="22"/>
          <w:szCs w:val="22"/>
        </w:rPr>
        <w:t xml:space="preserve"> </w:t>
      </w:r>
      <w:r w:rsidR="00C83123" w:rsidRPr="00B358B9">
        <w:rPr>
          <w:kern w:val="22"/>
          <w:szCs w:val="22"/>
        </w:rPr>
        <w:t xml:space="preserve">is </w:t>
      </w:r>
      <w:r w:rsidR="00AF401A" w:rsidRPr="00B358B9">
        <w:rPr>
          <w:kern w:val="22"/>
          <w:szCs w:val="22"/>
        </w:rPr>
        <w:t xml:space="preserve">composed </w:t>
      </w:r>
      <w:r w:rsidR="00C83123" w:rsidRPr="00B358B9">
        <w:rPr>
          <w:kern w:val="22"/>
          <w:szCs w:val="22"/>
        </w:rPr>
        <w:t>of 15 environmental and social safeguard principles</w:t>
      </w:r>
      <w:r w:rsidR="00372F18" w:rsidRPr="00B358B9">
        <w:rPr>
          <w:kern w:val="22"/>
          <w:szCs w:val="22"/>
        </w:rPr>
        <w:t xml:space="preserve"> that </w:t>
      </w:r>
      <w:r w:rsidR="00A5048E" w:rsidRPr="00B358B9">
        <w:rPr>
          <w:kern w:val="22"/>
          <w:szCs w:val="22"/>
        </w:rPr>
        <w:t>address</w:t>
      </w:r>
      <w:r w:rsidR="006D27ED" w:rsidRPr="00B358B9">
        <w:rPr>
          <w:kern w:val="22"/>
          <w:szCs w:val="22"/>
        </w:rPr>
        <w:t xml:space="preserve"> such</w:t>
      </w:r>
      <w:r w:rsidR="003E3951" w:rsidRPr="00B358B9">
        <w:rPr>
          <w:kern w:val="22"/>
          <w:szCs w:val="22"/>
        </w:rPr>
        <w:t xml:space="preserve"> </w:t>
      </w:r>
      <w:r w:rsidR="00A5048E" w:rsidRPr="00B358B9">
        <w:rPr>
          <w:kern w:val="22"/>
          <w:szCs w:val="22"/>
        </w:rPr>
        <w:t>topics as</w:t>
      </w:r>
      <w:r w:rsidR="006D27ED" w:rsidRPr="00B358B9">
        <w:rPr>
          <w:kern w:val="22"/>
          <w:szCs w:val="22"/>
        </w:rPr>
        <w:t>:</w:t>
      </w:r>
      <w:r w:rsidR="00C44A34" w:rsidRPr="00B358B9">
        <w:rPr>
          <w:kern w:val="22"/>
          <w:szCs w:val="22"/>
        </w:rPr>
        <w:t xml:space="preserve"> </w:t>
      </w:r>
      <w:r w:rsidR="006D27ED" w:rsidRPr="00B358B9">
        <w:rPr>
          <w:kern w:val="22"/>
          <w:szCs w:val="22"/>
        </w:rPr>
        <w:t>(a) </w:t>
      </w:r>
      <w:r w:rsidR="00C44A34" w:rsidRPr="00B358B9">
        <w:rPr>
          <w:kern w:val="22"/>
          <w:szCs w:val="22"/>
        </w:rPr>
        <w:t>f</w:t>
      </w:r>
      <w:r w:rsidR="004E2033" w:rsidRPr="00B358B9">
        <w:rPr>
          <w:kern w:val="22"/>
          <w:szCs w:val="22"/>
        </w:rPr>
        <w:t xml:space="preserve">air and equitable access to benefits; </w:t>
      </w:r>
      <w:r w:rsidR="006D27ED" w:rsidRPr="00B358B9">
        <w:rPr>
          <w:kern w:val="22"/>
          <w:szCs w:val="22"/>
        </w:rPr>
        <w:t>(b) </w:t>
      </w:r>
      <w:r w:rsidR="00C44A34" w:rsidRPr="00B358B9">
        <w:rPr>
          <w:kern w:val="22"/>
          <w:szCs w:val="22"/>
        </w:rPr>
        <w:t>av</w:t>
      </w:r>
      <w:r w:rsidR="004E2033" w:rsidRPr="00B358B9">
        <w:rPr>
          <w:kern w:val="22"/>
          <w:szCs w:val="22"/>
        </w:rPr>
        <w:t>oid</w:t>
      </w:r>
      <w:r w:rsidR="006D27ED" w:rsidRPr="00B358B9">
        <w:rPr>
          <w:kern w:val="22"/>
          <w:szCs w:val="22"/>
        </w:rPr>
        <w:t>ance of</w:t>
      </w:r>
      <w:r w:rsidR="004E2033" w:rsidRPr="00B358B9">
        <w:rPr>
          <w:kern w:val="22"/>
          <w:szCs w:val="22"/>
        </w:rPr>
        <w:t xml:space="preserve"> disproportionate adverse impacts on marginalized and vulnerable groups;</w:t>
      </w:r>
      <w:r w:rsidR="00C44A34" w:rsidRPr="00B358B9">
        <w:rPr>
          <w:kern w:val="22"/>
          <w:szCs w:val="22"/>
        </w:rPr>
        <w:t xml:space="preserve"> </w:t>
      </w:r>
      <w:r w:rsidR="006D27ED" w:rsidRPr="00B358B9">
        <w:rPr>
          <w:kern w:val="22"/>
          <w:szCs w:val="22"/>
        </w:rPr>
        <w:t>(c) </w:t>
      </w:r>
      <w:r w:rsidR="00C44A34" w:rsidRPr="00B358B9">
        <w:rPr>
          <w:kern w:val="22"/>
          <w:szCs w:val="22"/>
        </w:rPr>
        <w:t>r</w:t>
      </w:r>
      <w:r w:rsidR="004E2033" w:rsidRPr="00B358B9">
        <w:rPr>
          <w:kern w:val="22"/>
          <w:szCs w:val="22"/>
        </w:rPr>
        <w:t>espect and</w:t>
      </w:r>
      <w:r w:rsidR="006D27ED" w:rsidRPr="00B358B9">
        <w:rPr>
          <w:kern w:val="22"/>
          <w:szCs w:val="22"/>
        </w:rPr>
        <w:t>,</w:t>
      </w:r>
      <w:r w:rsidR="004E2033" w:rsidRPr="00B358B9">
        <w:rPr>
          <w:kern w:val="22"/>
          <w:szCs w:val="22"/>
        </w:rPr>
        <w:t xml:space="preserve"> where applicable</w:t>
      </w:r>
      <w:r w:rsidR="006D27ED" w:rsidRPr="00B358B9">
        <w:rPr>
          <w:kern w:val="22"/>
          <w:szCs w:val="22"/>
        </w:rPr>
        <w:t>,</w:t>
      </w:r>
      <w:r w:rsidR="004E2033" w:rsidRPr="00B358B9">
        <w:rPr>
          <w:kern w:val="22"/>
          <w:szCs w:val="22"/>
        </w:rPr>
        <w:t xml:space="preserve"> promote international human rights; </w:t>
      </w:r>
      <w:r w:rsidR="000169E4" w:rsidRPr="00B358B9">
        <w:rPr>
          <w:kern w:val="22"/>
          <w:szCs w:val="22"/>
        </w:rPr>
        <w:t>(d) </w:t>
      </w:r>
      <w:r w:rsidR="00C44A34" w:rsidRPr="00B358B9">
        <w:rPr>
          <w:rFonts w:eastAsia="MS Mincho"/>
          <w:kern w:val="22"/>
          <w:szCs w:val="22"/>
        </w:rPr>
        <w:t>g</w:t>
      </w:r>
      <w:r w:rsidR="004E2033" w:rsidRPr="00B358B9">
        <w:rPr>
          <w:rFonts w:eastAsia="MS Mincho"/>
          <w:kern w:val="22"/>
          <w:szCs w:val="22"/>
        </w:rPr>
        <w:t>ender</w:t>
      </w:r>
      <w:r w:rsidR="004E2033" w:rsidRPr="00B358B9">
        <w:rPr>
          <w:kern w:val="22"/>
          <w:szCs w:val="22"/>
        </w:rPr>
        <w:t xml:space="preserve"> equality</w:t>
      </w:r>
      <w:r w:rsidR="00C44A34" w:rsidRPr="00B358B9">
        <w:rPr>
          <w:kern w:val="22"/>
          <w:szCs w:val="22"/>
        </w:rPr>
        <w:t xml:space="preserve">; </w:t>
      </w:r>
      <w:r w:rsidR="00520A8A" w:rsidRPr="00B358B9">
        <w:rPr>
          <w:kern w:val="22"/>
          <w:szCs w:val="22"/>
        </w:rPr>
        <w:t>(e) </w:t>
      </w:r>
      <w:r w:rsidR="00C44A34" w:rsidRPr="00B358B9">
        <w:rPr>
          <w:kern w:val="22"/>
          <w:szCs w:val="22"/>
        </w:rPr>
        <w:t>c</w:t>
      </w:r>
      <w:r w:rsidR="00645375" w:rsidRPr="00B358B9">
        <w:rPr>
          <w:kern w:val="22"/>
          <w:szCs w:val="22"/>
        </w:rPr>
        <w:t>onsistency</w:t>
      </w:r>
      <w:r w:rsidR="004E2033" w:rsidRPr="00B358B9">
        <w:rPr>
          <w:kern w:val="22"/>
          <w:szCs w:val="22"/>
        </w:rPr>
        <w:t xml:space="preserve"> with the rights and responsibilities set forth in the </w:t>
      </w:r>
      <w:r w:rsidR="00520A8A" w:rsidRPr="00B358B9">
        <w:rPr>
          <w:kern w:val="22"/>
          <w:szCs w:val="22"/>
        </w:rPr>
        <w:t xml:space="preserve">United Nations </w:t>
      </w:r>
      <w:r w:rsidR="004E2033" w:rsidRPr="00B358B9">
        <w:rPr>
          <w:kern w:val="22"/>
          <w:szCs w:val="22"/>
        </w:rPr>
        <w:t xml:space="preserve">Declaration on the Rights of Indigenous Peoples and other applicable international instruments relating to indigenous peoples; </w:t>
      </w:r>
      <w:r w:rsidR="00B05065" w:rsidRPr="00B358B9">
        <w:rPr>
          <w:kern w:val="22"/>
          <w:szCs w:val="22"/>
        </w:rPr>
        <w:t>(f) </w:t>
      </w:r>
      <w:r w:rsidR="00C44A34" w:rsidRPr="00B358B9">
        <w:rPr>
          <w:kern w:val="22"/>
          <w:szCs w:val="22"/>
        </w:rPr>
        <w:t>a</w:t>
      </w:r>
      <w:r w:rsidR="004E2033" w:rsidRPr="00B358B9">
        <w:rPr>
          <w:kern w:val="22"/>
          <w:szCs w:val="22"/>
        </w:rPr>
        <w:t>void</w:t>
      </w:r>
      <w:r w:rsidR="002C05FC" w:rsidRPr="00B358B9">
        <w:rPr>
          <w:kern w:val="22"/>
          <w:szCs w:val="22"/>
        </w:rPr>
        <w:t>ance</w:t>
      </w:r>
      <w:r w:rsidR="004E2033" w:rsidRPr="00B358B9">
        <w:rPr>
          <w:kern w:val="22"/>
          <w:szCs w:val="22"/>
        </w:rPr>
        <w:t xml:space="preserve"> or minimiz</w:t>
      </w:r>
      <w:r w:rsidR="002C05FC" w:rsidRPr="00B358B9">
        <w:rPr>
          <w:kern w:val="22"/>
          <w:szCs w:val="22"/>
        </w:rPr>
        <w:t>ation of</w:t>
      </w:r>
      <w:r w:rsidR="004E2033" w:rsidRPr="00B358B9">
        <w:rPr>
          <w:kern w:val="22"/>
          <w:szCs w:val="22"/>
        </w:rPr>
        <w:t xml:space="preserve"> the need for involuntary resettlement</w:t>
      </w:r>
      <w:r w:rsidR="00DA5D08" w:rsidRPr="00B358B9">
        <w:rPr>
          <w:kern w:val="22"/>
          <w:szCs w:val="22"/>
        </w:rPr>
        <w:t>;</w:t>
      </w:r>
      <w:r w:rsidR="00C44A34" w:rsidRPr="00B358B9">
        <w:rPr>
          <w:kern w:val="22"/>
          <w:szCs w:val="22"/>
        </w:rPr>
        <w:t xml:space="preserve"> </w:t>
      </w:r>
      <w:r w:rsidR="002C05FC" w:rsidRPr="00B358B9">
        <w:rPr>
          <w:kern w:val="22"/>
          <w:szCs w:val="22"/>
        </w:rPr>
        <w:t>and (g) </w:t>
      </w:r>
      <w:r w:rsidR="00C44A34" w:rsidRPr="00B358B9">
        <w:rPr>
          <w:kern w:val="22"/>
          <w:szCs w:val="22"/>
        </w:rPr>
        <w:t>a</w:t>
      </w:r>
      <w:r w:rsidR="004E2033" w:rsidRPr="00B358B9">
        <w:rPr>
          <w:kern w:val="22"/>
          <w:szCs w:val="22"/>
        </w:rPr>
        <w:t>void</w:t>
      </w:r>
      <w:r w:rsidR="002C05FC" w:rsidRPr="00B358B9">
        <w:rPr>
          <w:kern w:val="22"/>
          <w:szCs w:val="22"/>
        </w:rPr>
        <w:t>ance of</w:t>
      </w:r>
      <w:r w:rsidR="004E2033" w:rsidRPr="00B358B9">
        <w:rPr>
          <w:kern w:val="22"/>
          <w:szCs w:val="22"/>
        </w:rPr>
        <w:t xml:space="preserve"> </w:t>
      </w:r>
      <w:r w:rsidR="00042DB8" w:rsidRPr="00B358B9">
        <w:rPr>
          <w:kern w:val="22"/>
          <w:szCs w:val="22"/>
        </w:rPr>
        <w:t>impacts on cultural heritage</w:t>
      </w:r>
      <w:r w:rsidR="00DA5D08" w:rsidRPr="00B358B9">
        <w:rPr>
          <w:kern w:val="22"/>
          <w:szCs w:val="22"/>
        </w:rPr>
        <w:t>.</w:t>
      </w:r>
    </w:p>
    <w:p w14:paraId="60B83FC0" w14:textId="604DC6C7" w:rsidR="00FB406C" w:rsidRPr="00B358B9" w:rsidRDefault="00C83123"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In June 2016, the Adaptation Fund issued a “Guidance document for Implementing Entities on compliance with the </w:t>
      </w:r>
      <w:r w:rsidRPr="00B358B9">
        <w:rPr>
          <w:rFonts w:eastAsia="MS Mincho"/>
          <w:kern w:val="22"/>
          <w:szCs w:val="22"/>
        </w:rPr>
        <w:t>Adaptation</w:t>
      </w:r>
      <w:r w:rsidRPr="00B358B9">
        <w:rPr>
          <w:kern w:val="22"/>
          <w:szCs w:val="22"/>
        </w:rPr>
        <w:t xml:space="preserve"> Fund </w:t>
      </w:r>
      <w:r w:rsidR="00960A69" w:rsidRPr="00B358B9">
        <w:rPr>
          <w:kern w:val="22"/>
          <w:szCs w:val="22"/>
        </w:rPr>
        <w:t>e</w:t>
      </w:r>
      <w:r w:rsidRPr="00B358B9">
        <w:rPr>
          <w:kern w:val="22"/>
          <w:szCs w:val="22"/>
        </w:rPr>
        <w:t xml:space="preserve">nvironmental and </w:t>
      </w:r>
      <w:r w:rsidR="00960A69" w:rsidRPr="00B358B9">
        <w:rPr>
          <w:kern w:val="22"/>
          <w:szCs w:val="22"/>
        </w:rPr>
        <w:t>s</w:t>
      </w:r>
      <w:r w:rsidRPr="00B358B9">
        <w:rPr>
          <w:kern w:val="22"/>
          <w:szCs w:val="22"/>
        </w:rPr>
        <w:t xml:space="preserve">ocial </w:t>
      </w:r>
      <w:r w:rsidR="00960A69" w:rsidRPr="00B358B9">
        <w:rPr>
          <w:kern w:val="22"/>
          <w:szCs w:val="22"/>
        </w:rPr>
        <w:t>p</w:t>
      </w:r>
      <w:r w:rsidRPr="00B358B9">
        <w:rPr>
          <w:kern w:val="22"/>
          <w:szCs w:val="22"/>
        </w:rPr>
        <w:t>olicy”</w:t>
      </w:r>
      <w:r w:rsidR="00AB6FAF" w:rsidRPr="00B358B9">
        <w:rPr>
          <w:kern w:val="22"/>
          <w:szCs w:val="22"/>
        </w:rPr>
        <w:t xml:space="preserve">, to support </w:t>
      </w:r>
      <w:r w:rsidR="006D6FAF" w:rsidRPr="00B358B9">
        <w:rPr>
          <w:kern w:val="22"/>
          <w:szCs w:val="22"/>
        </w:rPr>
        <w:t>Implementing Entities</w:t>
      </w:r>
      <w:r w:rsidR="000066FE" w:rsidRPr="00B358B9">
        <w:rPr>
          <w:kern w:val="22"/>
          <w:szCs w:val="22"/>
        </w:rPr>
        <w:t xml:space="preserve"> </w:t>
      </w:r>
      <w:r w:rsidR="00503605" w:rsidRPr="00B358B9">
        <w:rPr>
          <w:kern w:val="22"/>
          <w:szCs w:val="22"/>
        </w:rPr>
        <w:t xml:space="preserve">in </w:t>
      </w:r>
      <w:r w:rsidR="000066FE" w:rsidRPr="00B358B9">
        <w:rPr>
          <w:kern w:val="22"/>
          <w:szCs w:val="22"/>
        </w:rPr>
        <w:t xml:space="preserve">“achieving and demonstrating compliance with the </w:t>
      </w:r>
      <w:r w:rsidR="00B65727" w:rsidRPr="00B358B9">
        <w:rPr>
          <w:kern w:val="22"/>
          <w:szCs w:val="22"/>
        </w:rPr>
        <w:t>e</w:t>
      </w:r>
      <w:r w:rsidR="006D6FAF" w:rsidRPr="00B358B9">
        <w:rPr>
          <w:kern w:val="22"/>
          <w:szCs w:val="22"/>
        </w:rPr>
        <w:t xml:space="preserve">nvironmental and </w:t>
      </w:r>
      <w:r w:rsidR="00B65727" w:rsidRPr="00B358B9">
        <w:rPr>
          <w:kern w:val="22"/>
          <w:szCs w:val="22"/>
        </w:rPr>
        <w:t>s</w:t>
      </w:r>
      <w:r w:rsidR="006D6FAF" w:rsidRPr="00B358B9">
        <w:rPr>
          <w:kern w:val="22"/>
          <w:szCs w:val="22"/>
        </w:rPr>
        <w:t xml:space="preserve">ocial </w:t>
      </w:r>
      <w:r w:rsidR="00B65727" w:rsidRPr="00B358B9">
        <w:rPr>
          <w:kern w:val="22"/>
          <w:szCs w:val="22"/>
        </w:rPr>
        <w:t>p</w:t>
      </w:r>
      <w:r w:rsidR="006D6FAF" w:rsidRPr="00B358B9">
        <w:rPr>
          <w:kern w:val="22"/>
          <w:szCs w:val="22"/>
        </w:rPr>
        <w:t>olicy</w:t>
      </w:r>
      <w:r w:rsidR="000066FE" w:rsidRPr="00B358B9">
        <w:rPr>
          <w:kern w:val="22"/>
          <w:szCs w:val="22"/>
        </w:rPr>
        <w:t xml:space="preserve"> in the project and programme cycle whenever project implementation has the potential to trigger environmental and/or social risks”</w:t>
      </w:r>
      <w:r w:rsidR="00266631" w:rsidRPr="00891479">
        <w:rPr>
          <w:rStyle w:val="FootnoteReference"/>
          <w:kern w:val="22"/>
          <w:szCs w:val="22"/>
          <w:vertAlign w:val="baseline"/>
        </w:rPr>
        <w:t>.</w:t>
      </w:r>
      <w:r w:rsidR="00A6567C" w:rsidRPr="00891479">
        <w:rPr>
          <w:rStyle w:val="FootnoteReference"/>
          <w:kern w:val="22"/>
          <w:szCs w:val="22"/>
        </w:rPr>
        <w:footnoteReference w:id="45"/>
      </w:r>
    </w:p>
    <w:p w14:paraId="17728AD5" w14:textId="1DA3D196" w:rsidR="003C0118" w:rsidRPr="00B358B9" w:rsidRDefault="005558E8"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An analysis of the </w:t>
      </w:r>
      <w:r w:rsidR="003F65F3" w:rsidRPr="00B358B9">
        <w:rPr>
          <w:kern w:val="22"/>
          <w:szCs w:val="22"/>
        </w:rPr>
        <w:t>Adaptation Fund</w:t>
      </w:r>
      <w:r w:rsidR="00A6567C" w:rsidRPr="00B358B9">
        <w:rPr>
          <w:kern w:val="22"/>
          <w:szCs w:val="22"/>
        </w:rPr>
        <w:t xml:space="preserve">’s ESP </w:t>
      </w:r>
      <w:r w:rsidRPr="00B358B9">
        <w:rPr>
          <w:kern w:val="22"/>
          <w:szCs w:val="22"/>
        </w:rPr>
        <w:t xml:space="preserve">and Guidance shows that </w:t>
      </w:r>
      <w:r w:rsidR="00A6567C" w:rsidRPr="00B358B9">
        <w:rPr>
          <w:kern w:val="22"/>
          <w:szCs w:val="22"/>
        </w:rPr>
        <w:t xml:space="preserve">the system </w:t>
      </w:r>
      <w:r w:rsidRPr="00B358B9">
        <w:rPr>
          <w:kern w:val="22"/>
          <w:szCs w:val="22"/>
        </w:rPr>
        <w:t xml:space="preserve">complies with the requirements set forth by the </w:t>
      </w:r>
      <w:r w:rsidR="002C36C6" w:rsidRPr="00B358B9">
        <w:rPr>
          <w:kern w:val="22"/>
          <w:szCs w:val="22"/>
        </w:rPr>
        <w:t xml:space="preserve">Convention’s voluntary guidelines on safeguards in biodiversity financing mechanisms </w:t>
      </w:r>
      <w:r w:rsidR="00E07D9A" w:rsidRPr="00B358B9">
        <w:rPr>
          <w:kern w:val="22"/>
          <w:szCs w:val="22"/>
        </w:rPr>
        <w:t xml:space="preserve">and by related </w:t>
      </w:r>
      <w:r w:rsidR="00C4036F" w:rsidRPr="00B358B9">
        <w:rPr>
          <w:kern w:val="22"/>
          <w:szCs w:val="22"/>
        </w:rPr>
        <w:t>guidelines and principles</w:t>
      </w:r>
      <w:r w:rsidR="00B7617E" w:rsidRPr="00B358B9">
        <w:rPr>
          <w:kern w:val="22"/>
          <w:szCs w:val="22"/>
        </w:rPr>
        <w:t xml:space="preserve"> of the Convention</w:t>
      </w:r>
      <w:r w:rsidR="00E07D9A" w:rsidRPr="00B358B9">
        <w:rPr>
          <w:kern w:val="22"/>
          <w:szCs w:val="22"/>
        </w:rPr>
        <w:t xml:space="preserve">. The architecture of the </w:t>
      </w:r>
      <w:r w:rsidR="003F65F3" w:rsidRPr="00B358B9">
        <w:rPr>
          <w:kern w:val="22"/>
          <w:szCs w:val="22"/>
        </w:rPr>
        <w:t>Adaptation Fund</w:t>
      </w:r>
      <w:r w:rsidR="00E07D9A" w:rsidRPr="00B358B9">
        <w:rPr>
          <w:kern w:val="22"/>
          <w:szCs w:val="22"/>
        </w:rPr>
        <w:t xml:space="preserve">’s </w:t>
      </w:r>
      <w:r w:rsidR="006D6FAF" w:rsidRPr="00B358B9">
        <w:rPr>
          <w:kern w:val="22"/>
          <w:szCs w:val="22"/>
        </w:rPr>
        <w:t>ESP</w:t>
      </w:r>
      <w:r w:rsidR="00E07D9A" w:rsidRPr="00B358B9">
        <w:rPr>
          <w:kern w:val="22"/>
          <w:szCs w:val="22"/>
        </w:rPr>
        <w:t xml:space="preserve"> </w:t>
      </w:r>
      <w:r w:rsidR="00C4036F" w:rsidRPr="00B358B9">
        <w:rPr>
          <w:kern w:val="22"/>
          <w:szCs w:val="22"/>
        </w:rPr>
        <w:t>in terms of instruments and tools appears lighter than th</w:t>
      </w:r>
      <w:r w:rsidR="008A7F8F" w:rsidRPr="00B358B9">
        <w:rPr>
          <w:kern w:val="22"/>
          <w:szCs w:val="22"/>
        </w:rPr>
        <w:t xml:space="preserve">ose </w:t>
      </w:r>
      <w:r w:rsidR="002C0965" w:rsidRPr="00B358B9">
        <w:rPr>
          <w:kern w:val="22"/>
          <w:szCs w:val="22"/>
        </w:rPr>
        <w:t xml:space="preserve">of </w:t>
      </w:r>
      <w:r w:rsidR="00C4036F" w:rsidRPr="00B358B9">
        <w:rPr>
          <w:kern w:val="22"/>
          <w:szCs w:val="22"/>
        </w:rPr>
        <w:t xml:space="preserve">GCF or GEF, but it </w:t>
      </w:r>
      <w:r w:rsidR="00520BB4" w:rsidRPr="00B358B9">
        <w:rPr>
          <w:kern w:val="22"/>
          <w:szCs w:val="22"/>
        </w:rPr>
        <w:t xml:space="preserve">does not seem to affect the requirements for compliance with safeguards; as it </w:t>
      </w:r>
      <w:r w:rsidR="00C4036F" w:rsidRPr="00B358B9">
        <w:rPr>
          <w:kern w:val="22"/>
          <w:szCs w:val="22"/>
        </w:rPr>
        <w:t>build</w:t>
      </w:r>
      <w:r w:rsidR="00520BB4" w:rsidRPr="00B358B9">
        <w:rPr>
          <w:kern w:val="22"/>
          <w:szCs w:val="22"/>
        </w:rPr>
        <w:t>s</w:t>
      </w:r>
      <w:r w:rsidR="00C4036F" w:rsidRPr="00B358B9">
        <w:rPr>
          <w:kern w:val="22"/>
          <w:szCs w:val="22"/>
        </w:rPr>
        <w:t xml:space="preserve"> on existing instruments </w:t>
      </w:r>
      <w:r w:rsidR="00520BB4" w:rsidRPr="00B358B9">
        <w:rPr>
          <w:kern w:val="22"/>
          <w:szCs w:val="22"/>
        </w:rPr>
        <w:t xml:space="preserve">of other systems </w:t>
      </w:r>
      <w:r w:rsidR="007C49B4" w:rsidRPr="00B358B9">
        <w:rPr>
          <w:kern w:val="22"/>
          <w:szCs w:val="22"/>
        </w:rPr>
        <w:t xml:space="preserve">to </w:t>
      </w:r>
      <w:r w:rsidR="00520BB4" w:rsidRPr="00B358B9">
        <w:rPr>
          <w:kern w:val="22"/>
          <w:szCs w:val="22"/>
        </w:rPr>
        <w:t xml:space="preserve">which many </w:t>
      </w:r>
      <w:r w:rsidR="006D6FAF" w:rsidRPr="00B358B9">
        <w:rPr>
          <w:kern w:val="22"/>
          <w:szCs w:val="22"/>
        </w:rPr>
        <w:t>Implementing Entities</w:t>
      </w:r>
      <w:r w:rsidR="00C4036F" w:rsidRPr="00B358B9">
        <w:rPr>
          <w:kern w:val="22"/>
          <w:szCs w:val="22"/>
        </w:rPr>
        <w:t xml:space="preserve"> already adhere, it may</w:t>
      </w:r>
      <w:r w:rsidR="007C49B4" w:rsidRPr="00B358B9">
        <w:rPr>
          <w:kern w:val="22"/>
          <w:szCs w:val="22"/>
        </w:rPr>
        <w:t>, in practice,</w:t>
      </w:r>
      <w:r w:rsidR="00C4036F" w:rsidRPr="00B358B9">
        <w:rPr>
          <w:kern w:val="22"/>
          <w:szCs w:val="22"/>
        </w:rPr>
        <w:t xml:space="preserve"> be equally fit to ensure implementation and compliance. As in other cases, </w:t>
      </w:r>
      <w:r w:rsidR="00520BB4" w:rsidRPr="00B358B9">
        <w:rPr>
          <w:kern w:val="22"/>
          <w:szCs w:val="22"/>
        </w:rPr>
        <w:t xml:space="preserve">however, </w:t>
      </w:r>
      <w:r w:rsidR="00C4036F" w:rsidRPr="00B358B9">
        <w:rPr>
          <w:kern w:val="22"/>
          <w:szCs w:val="22"/>
        </w:rPr>
        <w:t>it</w:t>
      </w:r>
      <w:r w:rsidR="00177F5B" w:rsidRPr="00B358B9">
        <w:rPr>
          <w:kern w:val="22"/>
          <w:szCs w:val="22"/>
        </w:rPr>
        <w:t xml:space="preserve"> i</w:t>
      </w:r>
      <w:r w:rsidR="00C4036F" w:rsidRPr="00B358B9">
        <w:rPr>
          <w:kern w:val="22"/>
          <w:szCs w:val="22"/>
        </w:rPr>
        <w:t>s</w:t>
      </w:r>
      <w:r w:rsidR="00177F5B" w:rsidRPr="00B358B9">
        <w:rPr>
          <w:kern w:val="22"/>
          <w:szCs w:val="22"/>
        </w:rPr>
        <w:t xml:space="preserve"> at</w:t>
      </w:r>
      <w:r w:rsidR="00C4036F" w:rsidRPr="00B358B9">
        <w:rPr>
          <w:kern w:val="22"/>
          <w:szCs w:val="22"/>
        </w:rPr>
        <w:t xml:space="preserve"> </w:t>
      </w:r>
      <w:r w:rsidR="00B92396" w:rsidRPr="00B358B9">
        <w:rPr>
          <w:kern w:val="22"/>
          <w:szCs w:val="22"/>
        </w:rPr>
        <w:t xml:space="preserve">an </w:t>
      </w:r>
      <w:r w:rsidR="00E12D98" w:rsidRPr="00B358B9">
        <w:rPr>
          <w:kern w:val="22"/>
          <w:szCs w:val="22"/>
        </w:rPr>
        <w:t xml:space="preserve">early phase of </w:t>
      </w:r>
      <w:r w:rsidR="00520BB4" w:rsidRPr="00B358B9">
        <w:rPr>
          <w:kern w:val="22"/>
          <w:szCs w:val="22"/>
        </w:rPr>
        <w:t>development and application</w:t>
      </w:r>
      <w:r w:rsidR="00177F5B" w:rsidRPr="00B358B9">
        <w:rPr>
          <w:kern w:val="22"/>
          <w:szCs w:val="22"/>
        </w:rPr>
        <w:t>,</w:t>
      </w:r>
      <w:r w:rsidR="00520BB4" w:rsidRPr="00B358B9">
        <w:rPr>
          <w:kern w:val="22"/>
          <w:szCs w:val="22"/>
        </w:rPr>
        <w:t xml:space="preserve"> and </w:t>
      </w:r>
      <w:r w:rsidR="00B92396" w:rsidRPr="00B358B9">
        <w:rPr>
          <w:kern w:val="22"/>
          <w:szCs w:val="22"/>
        </w:rPr>
        <w:t>the robustness of the system should be further examined in the future.</w:t>
      </w:r>
    </w:p>
    <w:p w14:paraId="2044DE4E" w14:textId="77777777" w:rsidR="005B1FD6" w:rsidRPr="00891479" w:rsidRDefault="00060116" w:rsidP="00B358B9">
      <w:pPr>
        <w:pStyle w:val="Para1"/>
        <w:keepNext/>
        <w:numPr>
          <w:ilvl w:val="0"/>
          <w:numId w:val="0"/>
        </w:numPr>
        <w:suppressLineNumbers/>
        <w:suppressAutoHyphens/>
        <w:kinsoku w:val="0"/>
        <w:overflowPunct w:val="0"/>
        <w:autoSpaceDE w:val="0"/>
        <w:autoSpaceDN w:val="0"/>
        <w:adjustRightInd w:val="0"/>
        <w:snapToGrid w:val="0"/>
        <w:spacing w:before="0" w:after="0"/>
        <w:jc w:val="center"/>
        <w:rPr>
          <w:b/>
          <w:bCs/>
          <w:iCs/>
          <w:kern w:val="22"/>
          <w:szCs w:val="22"/>
        </w:rPr>
      </w:pPr>
      <w:bookmarkStart w:id="23" w:name="_Hlk498605908"/>
      <w:r w:rsidRPr="00891479">
        <w:rPr>
          <w:b/>
          <w:bCs/>
          <w:iCs/>
          <w:kern w:val="22"/>
          <w:szCs w:val="22"/>
        </w:rPr>
        <w:t>C</w:t>
      </w:r>
      <w:r w:rsidR="006046B4" w:rsidRPr="00891479">
        <w:rPr>
          <w:b/>
          <w:bCs/>
          <w:iCs/>
          <w:kern w:val="22"/>
          <w:szCs w:val="22"/>
        </w:rPr>
        <w:t>.</w:t>
      </w:r>
      <w:r w:rsidR="00106233" w:rsidRPr="00891479">
        <w:rPr>
          <w:b/>
          <w:bCs/>
          <w:iCs/>
          <w:kern w:val="22"/>
          <w:szCs w:val="22"/>
        </w:rPr>
        <w:tab/>
      </w:r>
      <w:r w:rsidR="00C06555" w:rsidRPr="00891479">
        <w:rPr>
          <w:b/>
          <w:bCs/>
          <w:iCs/>
          <w:kern w:val="22"/>
          <w:szCs w:val="22"/>
        </w:rPr>
        <w:t xml:space="preserve">REDD+ </w:t>
      </w:r>
      <w:r w:rsidR="0057487C" w:rsidRPr="00891479">
        <w:rPr>
          <w:b/>
          <w:bCs/>
          <w:iCs/>
          <w:kern w:val="22"/>
          <w:szCs w:val="22"/>
        </w:rPr>
        <w:t xml:space="preserve">and related </w:t>
      </w:r>
      <w:r w:rsidR="004967FA" w:rsidRPr="00891479">
        <w:rPr>
          <w:b/>
          <w:bCs/>
          <w:iCs/>
          <w:kern w:val="22"/>
          <w:szCs w:val="22"/>
        </w:rPr>
        <w:t>s</w:t>
      </w:r>
      <w:r w:rsidR="009729E3" w:rsidRPr="00891479">
        <w:rPr>
          <w:b/>
          <w:bCs/>
          <w:iCs/>
          <w:kern w:val="22"/>
          <w:szCs w:val="22"/>
        </w:rPr>
        <w:t>afeguard</w:t>
      </w:r>
      <w:r w:rsidR="00C06555" w:rsidRPr="00891479">
        <w:rPr>
          <w:b/>
          <w:bCs/>
          <w:iCs/>
          <w:kern w:val="22"/>
          <w:szCs w:val="22"/>
        </w:rPr>
        <w:t>s</w:t>
      </w:r>
      <w:bookmarkEnd w:id="23"/>
    </w:p>
    <w:p w14:paraId="0D111069" w14:textId="3D03F51D" w:rsidR="00453445" w:rsidRPr="00B358B9" w:rsidRDefault="00C06555"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Several processes have been put in place for developing safeguards applicable to Reduced Emissions from Deforestation and Forest Degradation (REDD</w:t>
      </w:r>
      <w:r w:rsidR="00DD4F1C" w:rsidRPr="00B358B9">
        <w:rPr>
          <w:kern w:val="22"/>
          <w:szCs w:val="22"/>
        </w:rPr>
        <w:t>+</w:t>
      </w:r>
      <w:r w:rsidRPr="00B358B9">
        <w:rPr>
          <w:kern w:val="22"/>
          <w:szCs w:val="22"/>
        </w:rPr>
        <w:t>)</w:t>
      </w:r>
      <w:r w:rsidR="00E55F28" w:rsidRPr="00B358B9">
        <w:rPr>
          <w:kern w:val="22"/>
          <w:szCs w:val="22"/>
        </w:rPr>
        <w:t xml:space="preserve">, as described in </w:t>
      </w:r>
      <w:r w:rsidR="00453445" w:rsidRPr="00B358B9">
        <w:rPr>
          <w:kern w:val="22"/>
          <w:szCs w:val="22"/>
        </w:rPr>
        <w:t>UNEP/</w:t>
      </w:r>
      <w:bookmarkStart w:id="24" w:name="_Hlk498694868"/>
      <w:r w:rsidR="00453445" w:rsidRPr="00B358B9">
        <w:rPr>
          <w:kern w:val="22"/>
          <w:szCs w:val="22"/>
        </w:rPr>
        <w:t>CBD/COP/12/INF/27</w:t>
      </w:r>
      <w:bookmarkEnd w:id="24"/>
      <w:r w:rsidR="00263171" w:rsidRPr="00B358B9">
        <w:rPr>
          <w:kern w:val="22"/>
          <w:szCs w:val="22"/>
        </w:rPr>
        <w:t>, starting with the safeguards adopted by UNFCCC in its decision 1/CP.16</w:t>
      </w:r>
      <w:r w:rsidR="00A52828" w:rsidRPr="00B358B9">
        <w:rPr>
          <w:kern w:val="22"/>
          <w:szCs w:val="22"/>
        </w:rPr>
        <w:t>.</w:t>
      </w:r>
      <w:r w:rsidR="00263171" w:rsidRPr="00B358B9">
        <w:rPr>
          <w:rStyle w:val="FootnoteReference"/>
          <w:kern w:val="22"/>
          <w:szCs w:val="22"/>
        </w:rPr>
        <w:footnoteReference w:id="46"/>
      </w:r>
      <w:r w:rsidR="00263171" w:rsidRPr="00B358B9">
        <w:rPr>
          <w:kern w:val="22"/>
          <w:szCs w:val="22"/>
        </w:rPr>
        <w:t xml:space="preserve"> </w:t>
      </w:r>
      <w:r w:rsidR="00453445" w:rsidRPr="00B358B9">
        <w:rPr>
          <w:kern w:val="22"/>
          <w:szCs w:val="22"/>
        </w:rPr>
        <w:t xml:space="preserve">The document </w:t>
      </w:r>
      <w:r w:rsidR="00147AC1" w:rsidRPr="00B358B9">
        <w:rPr>
          <w:kern w:val="22"/>
          <w:szCs w:val="22"/>
        </w:rPr>
        <w:t>also offers a summary of decisions</w:t>
      </w:r>
      <w:r w:rsidR="00246EAF" w:rsidRPr="00B358B9">
        <w:rPr>
          <w:kern w:val="22"/>
          <w:szCs w:val="22"/>
        </w:rPr>
        <w:t xml:space="preserve"> adopted under the Convention on Biological Diversity</w:t>
      </w:r>
      <w:r w:rsidR="00147AC1" w:rsidRPr="00B358B9">
        <w:rPr>
          <w:kern w:val="22"/>
          <w:szCs w:val="22"/>
        </w:rPr>
        <w:t xml:space="preserve"> providing advice on </w:t>
      </w:r>
      <w:r w:rsidR="00246EAF" w:rsidRPr="00B358B9">
        <w:rPr>
          <w:kern w:val="22"/>
          <w:szCs w:val="22"/>
        </w:rPr>
        <w:t xml:space="preserve">the </w:t>
      </w:r>
      <w:r w:rsidR="00147AC1" w:rsidRPr="00B358B9">
        <w:rPr>
          <w:kern w:val="22"/>
          <w:szCs w:val="22"/>
        </w:rPr>
        <w:t>application of REDD+ safeguards.</w:t>
      </w:r>
    </w:p>
    <w:p w14:paraId="62AF36DA" w14:textId="4648CA38" w:rsidR="00FB406C" w:rsidRPr="00B358B9" w:rsidRDefault="00C60D3F"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In this section, t</w:t>
      </w:r>
      <w:r w:rsidR="004967FA" w:rsidRPr="00B358B9">
        <w:rPr>
          <w:kern w:val="22"/>
          <w:szCs w:val="22"/>
        </w:rPr>
        <w:t xml:space="preserve">wo initiatives are reviewed that are related to REDD+ and </w:t>
      </w:r>
      <w:r w:rsidRPr="00B358B9">
        <w:rPr>
          <w:kern w:val="22"/>
          <w:szCs w:val="22"/>
        </w:rPr>
        <w:t xml:space="preserve">have </w:t>
      </w:r>
      <w:r w:rsidR="004967FA" w:rsidRPr="00B358B9">
        <w:rPr>
          <w:kern w:val="22"/>
          <w:szCs w:val="22"/>
        </w:rPr>
        <w:t xml:space="preserve">been updated recently: </w:t>
      </w:r>
      <w:r w:rsidR="00D774AF" w:rsidRPr="00B358B9">
        <w:rPr>
          <w:kern w:val="22"/>
          <w:szCs w:val="22"/>
        </w:rPr>
        <w:t>t</w:t>
      </w:r>
      <w:r w:rsidR="004967FA" w:rsidRPr="00B358B9">
        <w:rPr>
          <w:kern w:val="22"/>
          <w:szCs w:val="22"/>
        </w:rPr>
        <w:t>he Climate, Community and Biodiversity (CCB) Standards, and the Gold Standard for the Global Goals.</w:t>
      </w:r>
    </w:p>
    <w:p w14:paraId="76D83790" w14:textId="22590AA7" w:rsidR="008C4812" w:rsidRPr="00B358B9" w:rsidRDefault="000548D1"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A </w:t>
      </w:r>
      <w:r w:rsidR="00CE5E87" w:rsidRPr="00B358B9">
        <w:rPr>
          <w:kern w:val="22"/>
          <w:szCs w:val="22"/>
        </w:rPr>
        <w:t xml:space="preserve">recent development </w:t>
      </w:r>
      <w:r w:rsidR="00522EA6" w:rsidRPr="00B358B9">
        <w:rPr>
          <w:kern w:val="22"/>
          <w:szCs w:val="22"/>
        </w:rPr>
        <w:t xml:space="preserve">related to </w:t>
      </w:r>
      <w:r w:rsidR="00CE5E87" w:rsidRPr="00B358B9">
        <w:rPr>
          <w:kern w:val="22"/>
          <w:szCs w:val="22"/>
        </w:rPr>
        <w:t>REDD+ safeguards</w:t>
      </w:r>
      <w:r w:rsidR="00233240" w:rsidRPr="00B358B9">
        <w:rPr>
          <w:kern w:val="22"/>
          <w:szCs w:val="22"/>
        </w:rPr>
        <w:t xml:space="preserve"> </w:t>
      </w:r>
      <w:r w:rsidR="00F448A3" w:rsidRPr="00B358B9">
        <w:rPr>
          <w:kern w:val="22"/>
          <w:szCs w:val="22"/>
        </w:rPr>
        <w:t>is</w:t>
      </w:r>
      <w:r w:rsidR="00233240" w:rsidRPr="00B358B9">
        <w:rPr>
          <w:kern w:val="22"/>
          <w:szCs w:val="22"/>
        </w:rPr>
        <w:t xml:space="preserve"> </w:t>
      </w:r>
      <w:r w:rsidR="00E95E0C" w:rsidRPr="00B358B9">
        <w:rPr>
          <w:kern w:val="22"/>
          <w:szCs w:val="22"/>
        </w:rPr>
        <w:t xml:space="preserve">version 3.1 </w:t>
      </w:r>
      <w:r w:rsidR="00233240" w:rsidRPr="00B358B9">
        <w:rPr>
          <w:kern w:val="22"/>
          <w:szCs w:val="22"/>
        </w:rPr>
        <w:t xml:space="preserve">of the </w:t>
      </w:r>
      <w:r w:rsidR="00522EA6" w:rsidRPr="00B358B9">
        <w:rPr>
          <w:kern w:val="22"/>
          <w:szCs w:val="22"/>
        </w:rPr>
        <w:t xml:space="preserve">CCB </w:t>
      </w:r>
      <w:r w:rsidRPr="00B358B9">
        <w:rPr>
          <w:kern w:val="22"/>
          <w:szCs w:val="22"/>
        </w:rPr>
        <w:t>S</w:t>
      </w:r>
      <w:r w:rsidR="00233240" w:rsidRPr="00B358B9">
        <w:rPr>
          <w:kern w:val="22"/>
          <w:szCs w:val="22"/>
        </w:rPr>
        <w:t>tandards</w:t>
      </w:r>
      <w:r w:rsidR="00642B8A" w:rsidRPr="00B358B9">
        <w:rPr>
          <w:kern w:val="22"/>
          <w:szCs w:val="22"/>
        </w:rPr>
        <w:t xml:space="preserve">, </w:t>
      </w:r>
      <w:r w:rsidR="00E95E0C" w:rsidRPr="00B358B9">
        <w:rPr>
          <w:kern w:val="22"/>
          <w:szCs w:val="22"/>
        </w:rPr>
        <w:t>issued in June 2017</w:t>
      </w:r>
      <w:r w:rsidR="00B169B4" w:rsidRPr="00B358B9">
        <w:rPr>
          <w:kern w:val="22"/>
          <w:szCs w:val="22"/>
        </w:rPr>
        <w:t>.</w:t>
      </w:r>
      <w:r w:rsidR="00BF1059" w:rsidRPr="00B358B9">
        <w:rPr>
          <w:rStyle w:val="FootnoteReference"/>
          <w:kern w:val="22"/>
          <w:szCs w:val="22"/>
        </w:rPr>
        <w:footnoteReference w:id="47"/>
      </w:r>
      <w:r w:rsidR="00E95E0C" w:rsidRPr="00B358B9">
        <w:rPr>
          <w:kern w:val="22"/>
          <w:szCs w:val="22"/>
        </w:rPr>
        <w:t xml:space="preserve"> CCB Standards were originally </w:t>
      </w:r>
      <w:r w:rsidR="00642B8A" w:rsidRPr="00B358B9">
        <w:rPr>
          <w:kern w:val="22"/>
          <w:szCs w:val="22"/>
        </w:rPr>
        <w:t>d</w:t>
      </w:r>
      <w:r w:rsidRPr="00B358B9">
        <w:rPr>
          <w:kern w:val="22"/>
          <w:szCs w:val="22"/>
        </w:rPr>
        <w:t xml:space="preserve">eveloped </w:t>
      </w:r>
      <w:r w:rsidR="00642B8A" w:rsidRPr="00B358B9">
        <w:rPr>
          <w:kern w:val="22"/>
          <w:szCs w:val="22"/>
        </w:rPr>
        <w:t xml:space="preserve">through a multi-stakeholder process by the Climate, Community &amp; Biodiversity Alliance (CCBA), </w:t>
      </w:r>
      <w:r w:rsidR="004217EB" w:rsidRPr="00B358B9">
        <w:rPr>
          <w:kern w:val="22"/>
          <w:szCs w:val="22"/>
        </w:rPr>
        <w:t xml:space="preserve">and a </w:t>
      </w:r>
      <w:r w:rsidR="00642B8A" w:rsidRPr="00B358B9">
        <w:rPr>
          <w:kern w:val="22"/>
          <w:szCs w:val="22"/>
        </w:rPr>
        <w:t xml:space="preserve">partnership of CARE, Conservation International, The Nature Conservancy, the Rainforest Alliance and the Wildlife </w:t>
      </w:r>
      <w:r w:rsidR="00642B8A" w:rsidRPr="00B358B9">
        <w:rPr>
          <w:rFonts w:eastAsia="MS Mincho"/>
          <w:kern w:val="22"/>
          <w:szCs w:val="22"/>
        </w:rPr>
        <w:t>Conservation</w:t>
      </w:r>
      <w:r w:rsidR="00642B8A" w:rsidRPr="00B358B9">
        <w:rPr>
          <w:kern w:val="22"/>
          <w:szCs w:val="22"/>
        </w:rPr>
        <w:t xml:space="preserve"> Society</w:t>
      </w:r>
      <w:r w:rsidR="00B169B4" w:rsidRPr="00B358B9">
        <w:rPr>
          <w:kern w:val="22"/>
          <w:szCs w:val="22"/>
        </w:rPr>
        <w:t>.</w:t>
      </w:r>
      <w:r w:rsidR="00522EA6" w:rsidRPr="00B358B9">
        <w:rPr>
          <w:rStyle w:val="FootnoteReference"/>
          <w:kern w:val="22"/>
          <w:szCs w:val="22"/>
        </w:rPr>
        <w:footnoteReference w:id="48"/>
      </w:r>
      <w:r w:rsidR="00522EA6" w:rsidRPr="00B358B9">
        <w:rPr>
          <w:kern w:val="22"/>
          <w:szCs w:val="22"/>
        </w:rPr>
        <w:t xml:space="preserve"> CCB Standards work at site-based project levels </w:t>
      </w:r>
      <w:r w:rsidR="00377BE4" w:rsidRPr="00B358B9">
        <w:rPr>
          <w:kern w:val="22"/>
          <w:szCs w:val="22"/>
        </w:rPr>
        <w:t xml:space="preserve">and </w:t>
      </w:r>
      <w:r w:rsidR="001160D0" w:rsidRPr="00B358B9">
        <w:rPr>
          <w:kern w:val="22"/>
          <w:szCs w:val="22"/>
        </w:rPr>
        <w:t xml:space="preserve">have been </w:t>
      </w:r>
      <w:r w:rsidR="00522EA6" w:rsidRPr="00B358B9">
        <w:rPr>
          <w:kern w:val="22"/>
          <w:szCs w:val="22"/>
        </w:rPr>
        <w:t>managed by the Verified Carbon Standard</w:t>
      </w:r>
      <w:r w:rsidR="00377BE4" w:rsidRPr="00B358B9">
        <w:rPr>
          <w:kern w:val="22"/>
          <w:szCs w:val="22"/>
        </w:rPr>
        <w:t xml:space="preserve"> programme</w:t>
      </w:r>
      <w:r w:rsidR="00522EA6" w:rsidRPr="00B358B9">
        <w:rPr>
          <w:kern w:val="22"/>
          <w:szCs w:val="22"/>
        </w:rPr>
        <w:t xml:space="preserve"> (VCS)</w:t>
      </w:r>
      <w:r w:rsidR="00377BE4" w:rsidRPr="00B358B9">
        <w:rPr>
          <w:rStyle w:val="FootnoteReference"/>
          <w:kern w:val="22"/>
          <w:szCs w:val="22"/>
        </w:rPr>
        <w:footnoteReference w:id="49"/>
      </w:r>
      <w:r w:rsidR="00522EA6" w:rsidRPr="00B358B9">
        <w:rPr>
          <w:kern w:val="22"/>
          <w:szCs w:val="22"/>
        </w:rPr>
        <w:t xml:space="preserve"> since November 2014</w:t>
      </w:r>
      <w:r w:rsidR="00377BE4" w:rsidRPr="00B358B9">
        <w:rPr>
          <w:kern w:val="22"/>
          <w:szCs w:val="22"/>
        </w:rPr>
        <w:t>; they apply to any land management project</w:t>
      </w:r>
      <w:r w:rsidR="008C4812" w:rsidRPr="00B358B9">
        <w:rPr>
          <w:kern w:val="22"/>
          <w:szCs w:val="22"/>
        </w:rPr>
        <w:t xml:space="preserve"> that delivers “net positive benefits for climate change mitigation, for local communities and for biodiversity”</w:t>
      </w:r>
      <w:r w:rsidR="008145FA" w:rsidRPr="00B358B9">
        <w:rPr>
          <w:kern w:val="22"/>
          <w:szCs w:val="22"/>
        </w:rPr>
        <w:t>;</w:t>
      </w:r>
      <w:r w:rsidR="00377BE4" w:rsidRPr="00B358B9">
        <w:rPr>
          <w:kern w:val="22"/>
          <w:szCs w:val="22"/>
        </w:rPr>
        <w:t xml:space="preserve"> therefore</w:t>
      </w:r>
      <w:r w:rsidR="008145FA" w:rsidRPr="00B358B9">
        <w:rPr>
          <w:kern w:val="22"/>
          <w:szCs w:val="22"/>
        </w:rPr>
        <w:t>,</w:t>
      </w:r>
      <w:r w:rsidR="00377BE4" w:rsidRPr="00B358B9">
        <w:rPr>
          <w:kern w:val="22"/>
          <w:szCs w:val="22"/>
        </w:rPr>
        <w:t xml:space="preserve"> they are not specific to REDD+</w:t>
      </w:r>
      <w:r w:rsidR="008C4812" w:rsidRPr="00B358B9">
        <w:rPr>
          <w:kern w:val="22"/>
          <w:szCs w:val="22"/>
        </w:rPr>
        <w:t xml:space="preserve"> but can include it</w:t>
      </w:r>
      <w:r w:rsidR="00377BE4" w:rsidRPr="00B358B9">
        <w:rPr>
          <w:kern w:val="22"/>
          <w:szCs w:val="22"/>
        </w:rPr>
        <w:t>.</w:t>
      </w:r>
    </w:p>
    <w:p w14:paraId="5FD87E81" w14:textId="25DAFFCA" w:rsidR="008238EB" w:rsidRPr="00B358B9" w:rsidRDefault="008C4812"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The CCB Standards</w:t>
      </w:r>
      <w:r w:rsidR="00E95E0C" w:rsidRPr="00B358B9">
        <w:rPr>
          <w:kern w:val="22"/>
          <w:szCs w:val="22"/>
        </w:rPr>
        <w:t xml:space="preserve"> are a certification instrument and programme</w:t>
      </w:r>
      <w:r w:rsidR="009229BC" w:rsidRPr="00B358B9">
        <w:rPr>
          <w:kern w:val="22"/>
          <w:szCs w:val="22"/>
        </w:rPr>
        <w:t xml:space="preserve"> that provide a compliance label</w:t>
      </w:r>
      <w:r w:rsidR="00FE7D85" w:rsidRPr="00B358B9">
        <w:rPr>
          <w:kern w:val="22"/>
          <w:szCs w:val="22"/>
        </w:rPr>
        <w:t>, or</w:t>
      </w:r>
      <w:r w:rsidR="009229BC" w:rsidRPr="00B358B9">
        <w:rPr>
          <w:kern w:val="22"/>
          <w:szCs w:val="22"/>
        </w:rPr>
        <w:t xml:space="preserve"> </w:t>
      </w:r>
      <w:r w:rsidR="00FE7D85" w:rsidRPr="00B358B9">
        <w:rPr>
          <w:kern w:val="22"/>
          <w:szCs w:val="22"/>
        </w:rPr>
        <w:t xml:space="preserve">CCB Standards approval, </w:t>
      </w:r>
      <w:r w:rsidR="009229BC" w:rsidRPr="00B358B9">
        <w:rPr>
          <w:kern w:val="22"/>
          <w:szCs w:val="22"/>
        </w:rPr>
        <w:t xml:space="preserve">to projects that meet a set of </w:t>
      </w:r>
      <w:r w:rsidR="00BE43CC" w:rsidRPr="00B358B9">
        <w:rPr>
          <w:kern w:val="22"/>
          <w:szCs w:val="22"/>
        </w:rPr>
        <w:t>17</w:t>
      </w:r>
      <w:r w:rsidR="009229BC" w:rsidRPr="00B358B9">
        <w:rPr>
          <w:kern w:val="22"/>
          <w:szCs w:val="22"/>
        </w:rPr>
        <w:t xml:space="preserve"> standards; </w:t>
      </w:r>
      <w:r w:rsidR="00E95E0C" w:rsidRPr="00B358B9">
        <w:rPr>
          <w:kern w:val="22"/>
          <w:szCs w:val="22"/>
        </w:rPr>
        <w:t>the</w:t>
      </w:r>
      <w:r w:rsidR="009229BC" w:rsidRPr="00B358B9">
        <w:rPr>
          <w:kern w:val="22"/>
          <w:szCs w:val="22"/>
        </w:rPr>
        <w:t xml:space="preserve"> programme therefore goes beyond safeguards and checks projects also for tangible benefits.</w:t>
      </w:r>
      <w:r w:rsidR="002C6B8D" w:rsidRPr="00B358B9">
        <w:rPr>
          <w:kern w:val="22"/>
          <w:szCs w:val="22"/>
        </w:rPr>
        <w:t xml:space="preserve"> </w:t>
      </w:r>
      <w:r w:rsidR="00FE7D85" w:rsidRPr="00B358B9">
        <w:rPr>
          <w:kern w:val="22"/>
          <w:szCs w:val="22"/>
        </w:rPr>
        <w:t xml:space="preserve">The 17 </w:t>
      </w:r>
      <w:r w:rsidR="008238EB" w:rsidRPr="00B358B9">
        <w:rPr>
          <w:kern w:val="22"/>
          <w:szCs w:val="22"/>
        </w:rPr>
        <w:t xml:space="preserve">criteria are obligatory and </w:t>
      </w:r>
      <w:r w:rsidR="00FE7D85" w:rsidRPr="00B358B9">
        <w:rPr>
          <w:kern w:val="22"/>
          <w:szCs w:val="22"/>
        </w:rPr>
        <w:t>there are also 3</w:t>
      </w:r>
      <w:r w:rsidR="008238EB" w:rsidRPr="00B358B9">
        <w:rPr>
          <w:kern w:val="22"/>
          <w:szCs w:val="22"/>
        </w:rPr>
        <w:t xml:space="preserve"> optional </w:t>
      </w:r>
      <w:r w:rsidR="00FE7D85" w:rsidRPr="00B358B9">
        <w:rPr>
          <w:rFonts w:eastAsia="MS Mincho"/>
          <w:kern w:val="22"/>
          <w:szCs w:val="22"/>
        </w:rPr>
        <w:t>criteria</w:t>
      </w:r>
      <w:r w:rsidR="00FE7D85" w:rsidRPr="00B358B9">
        <w:rPr>
          <w:kern w:val="22"/>
          <w:szCs w:val="22"/>
        </w:rPr>
        <w:t xml:space="preserve"> </w:t>
      </w:r>
      <w:r w:rsidR="008238EB" w:rsidRPr="00B358B9">
        <w:rPr>
          <w:kern w:val="22"/>
          <w:szCs w:val="22"/>
        </w:rPr>
        <w:t>(“Gold Level criteria”)</w:t>
      </w:r>
      <w:r w:rsidR="00FE7D85" w:rsidRPr="00B358B9">
        <w:rPr>
          <w:kern w:val="22"/>
          <w:szCs w:val="22"/>
        </w:rPr>
        <w:t xml:space="preserve"> for exceptional projects</w:t>
      </w:r>
      <w:r w:rsidR="008145FA" w:rsidRPr="00B358B9">
        <w:rPr>
          <w:kern w:val="22"/>
          <w:szCs w:val="22"/>
        </w:rPr>
        <w:t>.</w:t>
      </w:r>
      <w:r w:rsidR="009229BC" w:rsidRPr="00B358B9">
        <w:rPr>
          <w:rStyle w:val="FootnoteReference"/>
          <w:kern w:val="22"/>
          <w:szCs w:val="22"/>
        </w:rPr>
        <w:footnoteReference w:id="50"/>
      </w:r>
    </w:p>
    <w:p w14:paraId="0F7A09FC" w14:textId="32939460" w:rsidR="002223A2" w:rsidRPr="00B358B9" w:rsidRDefault="00FE7D85"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CCBA developed also the REDD+ Social and Environmental Standards (REDD+ SES) for REDD+ government-led strategies and actions. </w:t>
      </w:r>
      <w:r w:rsidR="002223A2" w:rsidRPr="00B358B9">
        <w:rPr>
          <w:kern w:val="22"/>
          <w:szCs w:val="22"/>
        </w:rPr>
        <w:t>“</w:t>
      </w:r>
      <w:r w:rsidRPr="00B358B9">
        <w:rPr>
          <w:kern w:val="22"/>
          <w:szCs w:val="22"/>
        </w:rPr>
        <w:t>The issues cove</w:t>
      </w:r>
      <w:r w:rsidR="002223A2" w:rsidRPr="00B358B9">
        <w:rPr>
          <w:kern w:val="22"/>
          <w:szCs w:val="22"/>
        </w:rPr>
        <w:t xml:space="preserve">red by the REDD+ SES and the Climate, Community &amp; </w:t>
      </w:r>
      <w:r w:rsidR="002223A2" w:rsidRPr="00B358B9">
        <w:rPr>
          <w:rFonts w:eastAsia="MS Mincho"/>
          <w:kern w:val="22"/>
          <w:szCs w:val="22"/>
        </w:rPr>
        <w:t>Biodiversity</w:t>
      </w:r>
      <w:r w:rsidR="002223A2" w:rsidRPr="00B358B9">
        <w:rPr>
          <w:kern w:val="22"/>
          <w:szCs w:val="22"/>
        </w:rPr>
        <w:t xml:space="preserve"> Standards are very similar but both standards were developed through separate multi-stakeholder processes and are differently structured and organized”</w:t>
      </w:r>
      <w:r w:rsidR="00F274D4" w:rsidRPr="00B358B9">
        <w:rPr>
          <w:kern w:val="22"/>
          <w:szCs w:val="22"/>
        </w:rPr>
        <w:t>.</w:t>
      </w:r>
      <w:r w:rsidR="002223A2" w:rsidRPr="00B358B9">
        <w:rPr>
          <w:rStyle w:val="FootnoteReference"/>
          <w:kern w:val="22"/>
          <w:szCs w:val="22"/>
        </w:rPr>
        <w:footnoteReference w:id="51"/>
      </w:r>
    </w:p>
    <w:p w14:paraId="57DDCA55" w14:textId="6CAB9034" w:rsidR="00FB406C" w:rsidRPr="00B358B9" w:rsidRDefault="00815953"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The focus of CCB Standards and programme on site-based projects and their certification approach allow them to apply equally to projects with government agencies, non-governmental organizations and the private sector (“</w:t>
      </w:r>
      <w:r w:rsidR="00D34680" w:rsidRPr="00B358B9">
        <w:rPr>
          <w:kern w:val="22"/>
          <w:szCs w:val="22"/>
        </w:rPr>
        <w:t>p</w:t>
      </w:r>
      <w:r w:rsidRPr="00B358B9">
        <w:rPr>
          <w:kern w:val="22"/>
          <w:szCs w:val="22"/>
        </w:rPr>
        <w:t>rivate companies, multilateral agencies and other funders investing in carbon projects or sourcing carbon credits”)</w:t>
      </w:r>
      <w:r w:rsidR="00D34680" w:rsidRPr="00B358B9">
        <w:rPr>
          <w:kern w:val="22"/>
          <w:szCs w:val="22"/>
        </w:rPr>
        <w:t>.</w:t>
      </w:r>
      <w:r w:rsidRPr="00B358B9">
        <w:rPr>
          <w:rStyle w:val="FootnoteReference"/>
          <w:kern w:val="22"/>
          <w:szCs w:val="22"/>
        </w:rPr>
        <w:footnoteReference w:id="52"/>
      </w:r>
      <w:r w:rsidR="002C6B8D" w:rsidRPr="00B358B9">
        <w:rPr>
          <w:kern w:val="22"/>
          <w:szCs w:val="22"/>
        </w:rPr>
        <w:t xml:space="preserve"> </w:t>
      </w:r>
      <w:r w:rsidRPr="00B358B9">
        <w:rPr>
          <w:kern w:val="22"/>
          <w:szCs w:val="22"/>
        </w:rPr>
        <w:t>This is an important consideration because they can cover projects irrespective of their funding source</w:t>
      </w:r>
      <w:r w:rsidR="009D76E7" w:rsidRPr="00B358B9">
        <w:rPr>
          <w:kern w:val="22"/>
          <w:szCs w:val="22"/>
        </w:rPr>
        <w:t xml:space="preserve"> </w:t>
      </w:r>
      <w:r w:rsidR="00B65D80" w:rsidRPr="00B358B9">
        <w:rPr>
          <w:kern w:val="22"/>
          <w:szCs w:val="22"/>
        </w:rPr>
        <w:t xml:space="preserve">and </w:t>
      </w:r>
      <w:r w:rsidR="009D76E7" w:rsidRPr="00B358B9">
        <w:rPr>
          <w:kern w:val="22"/>
          <w:szCs w:val="22"/>
        </w:rPr>
        <w:t>therefore have the potential to complement the role of the UNFCCC financial mechanism entities in terms of ensuring safeguards compliance.</w:t>
      </w:r>
    </w:p>
    <w:p w14:paraId="72A80B26" w14:textId="3BF0B439" w:rsidR="00FB406C" w:rsidRPr="00B358B9" w:rsidRDefault="008238EB"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The</w:t>
      </w:r>
      <w:r w:rsidR="002223A2" w:rsidRPr="00B358B9">
        <w:rPr>
          <w:kern w:val="22"/>
          <w:szCs w:val="22"/>
        </w:rPr>
        <w:t xml:space="preserve"> safeguard-related topics of the </w:t>
      </w:r>
      <w:r w:rsidR="00FE7D85" w:rsidRPr="00B358B9">
        <w:rPr>
          <w:kern w:val="22"/>
          <w:szCs w:val="22"/>
        </w:rPr>
        <w:t xml:space="preserve">CCB </w:t>
      </w:r>
      <w:r w:rsidRPr="00B358B9">
        <w:rPr>
          <w:kern w:val="22"/>
          <w:szCs w:val="22"/>
        </w:rPr>
        <w:t>Standards</w:t>
      </w:r>
      <w:r w:rsidR="00FE7D85" w:rsidRPr="00B358B9">
        <w:rPr>
          <w:kern w:val="22"/>
          <w:szCs w:val="22"/>
        </w:rPr>
        <w:t xml:space="preserve"> </w:t>
      </w:r>
      <w:r w:rsidR="002223A2" w:rsidRPr="00B358B9">
        <w:rPr>
          <w:kern w:val="22"/>
          <w:szCs w:val="22"/>
        </w:rPr>
        <w:t>a</w:t>
      </w:r>
      <w:r w:rsidRPr="00B358B9">
        <w:rPr>
          <w:kern w:val="22"/>
          <w:szCs w:val="22"/>
        </w:rPr>
        <w:t xml:space="preserve">re </w:t>
      </w:r>
      <w:r w:rsidR="002223A2" w:rsidRPr="00B358B9">
        <w:rPr>
          <w:kern w:val="22"/>
          <w:szCs w:val="22"/>
        </w:rPr>
        <w:t xml:space="preserve">well aligned with the </w:t>
      </w:r>
      <w:r w:rsidR="002C36C6" w:rsidRPr="00B358B9">
        <w:rPr>
          <w:kern w:val="22"/>
          <w:szCs w:val="22"/>
        </w:rPr>
        <w:t xml:space="preserve">Convention’s voluntary guidelines on </w:t>
      </w:r>
      <w:r w:rsidR="002C36C6" w:rsidRPr="00B358B9">
        <w:rPr>
          <w:rFonts w:eastAsia="MS Mincho"/>
          <w:kern w:val="22"/>
          <w:szCs w:val="22"/>
        </w:rPr>
        <w:t>safeguards</w:t>
      </w:r>
      <w:r w:rsidR="002C36C6" w:rsidRPr="00B358B9">
        <w:rPr>
          <w:kern w:val="22"/>
          <w:szCs w:val="22"/>
        </w:rPr>
        <w:t xml:space="preserve"> in biodiversity financing mechanisms</w:t>
      </w:r>
      <w:r w:rsidR="002223A2" w:rsidRPr="00B358B9">
        <w:rPr>
          <w:kern w:val="22"/>
          <w:szCs w:val="22"/>
        </w:rPr>
        <w:t xml:space="preserve">. </w:t>
      </w:r>
      <w:r w:rsidR="00C54CA3" w:rsidRPr="00B358B9">
        <w:rPr>
          <w:kern w:val="22"/>
          <w:szCs w:val="22"/>
        </w:rPr>
        <w:t>Issues covered are both substantive (such as land tenure and resource access security) and procedural (such as full stakeholder involvement and free, prior and informed consent</w:t>
      </w:r>
      <w:r w:rsidR="00783CC0" w:rsidRPr="00B358B9">
        <w:rPr>
          <w:kern w:val="22"/>
          <w:szCs w:val="22"/>
        </w:rPr>
        <w:t>)</w:t>
      </w:r>
      <w:r w:rsidR="00C54CA3" w:rsidRPr="00B358B9">
        <w:rPr>
          <w:kern w:val="22"/>
          <w:szCs w:val="22"/>
        </w:rPr>
        <w:t xml:space="preserve">. </w:t>
      </w:r>
      <w:r w:rsidR="00783CC0" w:rsidRPr="00B358B9">
        <w:rPr>
          <w:kern w:val="22"/>
          <w:szCs w:val="22"/>
        </w:rPr>
        <w:t>In terms of instruments, the criteria require projects to demonstrate through verifiable information not only measures for risk management but also evidence of positive outcomes through comparative analysis of without-project and with-project scenarios.</w:t>
      </w:r>
    </w:p>
    <w:p w14:paraId="33C09CB4" w14:textId="405325E9" w:rsidR="00FB406C" w:rsidRPr="00B358B9" w:rsidRDefault="000B2841"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The Gold Standard for the Global Goals is </w:t>
      </w:r>
      <w:r w:rsidR="00EC4117" w:rsidRPr="00B358B9">
        <w:rPr>
          <w:kern w:val="22"/>
          <w:szCs w:val="22"/>
        </w:rPr>
        <w:t xml:space="preserve">a project certification programme </w:t>
      </w:r>
      <w:r w:rsidRPr="00B358B9">
        <w:rPr>
          <w:kern w:val="22"/>
          <w:szCs w:val="22"/>
        </w:rPr>
        <w:t xml:space="preserve">defined as </w:t>
      </w:r>
      <w:r w:rsidR="00EC4117" w:rsidRPr="00B358B9">
        <w:rPr>
          <w:kern w:val="22"/>
          <w:szCs w:val="22"/>
        </w:rPr>
        <w:t xml:space="preserve">a </w:t>
      </w:r>
      <w:r w:rsidRPr="00B358B9">
        <w:rPr>
          <w:kern w:val="22"/>
          <w:szCs w:val="22"/>
        </w:rPr>
        <w:t>“</w:t>
      </w:r>
      <w:r w:rsidR="00025319" w:rsidRPr="00B358B9">
        <w:rPr>
          <w:kern w:val="22"/>
          <w:szCs w:val="22"/>
        </w:rPr>
        <w:t>next-generation standard</w:t>
      </w:r>
      <w:r w:rsidR="008D0F5F" w:rsidRPr="00B358B9">
        <w:rPr>
          <w:kern w:val="22"/>
          <w:szCs w:val="22"/>
        </w:rPr>
        <w:t>”</w:t>
      </w:r>
      <w:r w:rsidR="00A07ABC" w:rsidRPr="00B358B9">
        <w:rPr>
          <w:kern w:val="22"/>
          <w:szCs w:val="22"/>
        </w:rPr>
        <w:t xml:space="preserve"> that </w:t>
      </w:r>
      <w:r w:rsidR="00025319" w:rsidRPr="00B358B9">
        <w:rPr>
          <w:kern w:val="22"/>
          <w:szCs w:val="22"/>
        </w:rPr>
        <w:t xml:space="preserve">enables initiatives to quantify, certify and maximise their impacts </w:t>
      </w:r>
      <w:r w:rsidR="00A07ABC" w:rsidRPr="00B358B9">
        <w:rPr>
          <w:kern w:val="22"/>
          <w:szCs w:val="22"/>
        </w:rPr>
        <w:t>through</w:t>
      </w:r>
      <w:r w:rsidR="001A26D5" w:rsidRPr="00B358B9">
        <w:rPr>
          <w:kern w:val="22"/>
          <w:szCs w:val="22"/>
        </w:rPr>
        <w:t xml:space="preserve"> </w:t>
      </w:r>
      <w:r w:rsidR="00A07ABC" w:rsidRPr="00B358B9">
        <w:rPr>
          <w:kern w:val="22"/>
          <w:szCs w:val="22"/>
        </w:rPr>
        <w:t>“</w:t>
      </w:r>
      <w:r w:rsidR="00025319" w:rsidRPr="00B358B9">
        <w:rPr>
          <w:kern w:val="22"/>
          <w:szCs w:val="22"/>
        </w:rPr>
        <w:t xml:space="preserve">enhanced safeguards, </w:t>
      </w:r>
      <w:r w:rsidR="00025319" w:rsidRPr="00B358B9">
        <w:rPr>
          <w:rFonts w:eastAsia="MS Mincho"/>
          <w:kern w:val="22"/>
          <w:szCs w:val="22"/>
        </w:rPr>
        <w:t>holistic</w:t>
      </w:r>
      <w:r w:rsidR="00025319" w:rsidRPr="00B358B9">
        <w:rPr>
          <w:kern w:val="22"/>
          <w:szCs w:val="22"/>
        </w:rPr>
        <w:t xml:space="preserve"> project design, management of trade-offs and local stakeholder engagement”</w:t>
      </w:r>
      <w:r w:rsidR="00E56707" w:rsidRPr="00B358B9">
        <w:rPr>
          <w:kern w:val="22"/>
          <w:szCs w:val="22"/>
        </w:rPr>
        <w:t>.</w:t>
      </w:r>
      <w:r w:rsidR="00025319" w:rsidRPr="00B358B9">
        <w:rPr>
          <w:rStyle w:val="FootnoteReference"/>
          <w:kern w:val="22"/>
          <w:szCs w:val="22"/>
        </w:rPr>
        <w:footnoteReference w:id="53"/>
      </w:r>
      <w:r w:rsidR="00025319" w:rsidRPr="00B358B9">
        <w:rPr>
          <w:kern w:val="22"/>
          <w:szCs w:val="22"/>
        </w:rPr>
        <w:t xml:space="preserve"> </w:t>
      </w:r>
      <w:r w:rsidR="00EC4117" w:rsidRPr="00B358B9">
        <w:rPr>
          <w:kern w:val="22"/>
          <w:szCs w:val="22"/>
        </w:rPr>
        <w:t xml:space="preserve">The </w:t>
      </w:r>
      <w:r w:rsidR="00A5639E" w:rsidRPr="00B358B9">
        <w:rPr>
          <w:kern w:val="22"/>
          <w:szCs w:val="22"/>
        </w:rPr>
        <w:t xml:space="preserve">scope of projects </w:t>
      </w:r>
      <w:r w:rsidR="006E603D" w:rsidRPr="00B358B9">
        <w:rPr>
          <w:kern w:val="22"/>
          <w:szCs w:val="22"/>
        </w:rPr>
        <w:t xml:space="preserve">it certifies </w:t>
      </w:r>
      <w:r w:rsidR="00A5639E" w:rsidRPr="00B358B9">
        <w:rPr>
          <w:kern w:val="22"/>
          <w:szCs w:val="22"/>
        </w:rPr>
        <w:t xml:space="preserve">is wide, and </w:t>
      </w:r>
      <w:r w:rsidR="006E603D" w:rsidRPr="00B358B9">
        <w:rPr>
          <w:kern w:val="22"/>
          <w:szCs w:val="22"/>
        </w:rPr>
        <w:t xml:space="preserve">it </w:t>
      </w:r>
      <w:r w:rsidR="00A5639E" w:rsidRPr="00B358B9">
        <w:rPr>
          <w:kern w:val="22"/>
          <w:szCs w:val="22"/>
        </w:rPr>
        <w:t xml:space="preserve">specifically seeks to target innovative instruments, including “renewable energy certificates, certified emissions reduction statements (….), certified SDG Impact statements or carbon credits”. </w:t>
      </w:r>
      <w:r w:rsidR="001A26D5" w:rsidRPr="00B358B9">
        <w:rPr>
          <w:kern w:val="22"/>
          <w:szCs w:val="22"/>
        </w:rPr>
        <w:t>Cre</w:t>
      </w:r>
      <w:r w:rsidR="009E1488" w:rsidRPr="00B358B9">
        <w:rPr>
          <w:kern w:val="22"/>
          <w:szCs w:val="22"/>
        </w:rPr>
        <w:t>ated in 2003, it updated its system in July 2017.</w:t>
      </w:r>
    </w:p>
    <w:p w14:paraId="7F486E71" w14:textId="7D041E1E" w:rsidR="00FB406C" w:rsidRPr="00B358B9" w:rsidRDefault="009E1A3F"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Projects certified by the </w:t>
      </w:r>
      <w:r w:rsidR="005652DA" w:rsidRPr="00B358B9">
        <w:rPr>
          <w:kern w:val="22"/>
          <w:szCs w:val="22"/>
        </w:rPr>
        <w:t>Gold</w:t>
      </w:r>
      <w:r w:rsidRPr="00B358B9">
        <w:rPr>
          <w:kern w:val="22"/>
          <w:szCs w:val="22"/>
        </w:rPr>
        <w:t xml:space="preserve"> Standard must meet </w:t>
      </w:r>
      <w:r w:rsidR="00BF42E0" w:rsidRPr="00B358B9">
        <w:rPr>
          <w:kern w:val="22"/>
          <w:szCs w:val="22"/>
        </w:rPr>
        <w:t>a set of principles, rules and requirements</w:t>
      </w:r>
      <w:r w:rsidRPr="00B358B9">
        <w:rPr>
          <w:kern w:val="22"/>
          <w:szCs w:val="22"/>
        </w:rPr>
        <w:t>, including on safeguards in three areas: (a) Social Safeguards, (b) Economic Safeguards, and (c) Environmental &amp; Ecological Safeguards</w:t>
      </w:r>
      <w:r w:rsidR="003F4A07" w:rsidRPr="00B358B9">
        <w:rPr>
          <w:kern w:val="22"/>
          <w:szCs w:val="22"/>
        </w:rPr>
        <w:t>.</w:t>
      </w:r>
      <w:r w:rsidR="005A5162" w:rsidRPr="00B358B9">
        <w:rPr>
          <w:rStyle w:val="FootnoteReference"/>
          <w:kern w:val="22"/>
          <w:szCs w:val="22"/>
        </w:rPr>
        <w:footnoteReference w:id="54"/>
      </w:r>
      <w:r w:rsidRPr="00B358B9">
        <w:rPr>
          <w:kern w:val="22"/>
          <w:szCs w:val="22"/>
        </w:rPr>
        <w:t xml:space="preserve"> </w:t>
      </w:r>
      <w:r w:rsidR="00F41E41" w:rsidRPr="00B358B9">
        <w:rPr>
          <w:kern w:val="22"/>
          <w:szCs w:val="22"/>
        </w:rPr>
        <w:t xml:space="preserve">The </w:t>
      </w:r>
      <w:r w:rsidR="009A26E0" w:rsidRPr="00B358B9">
        <w:rPr>
          <w:kern w:val="22"/>
          <w:szCs w:val="22"/>
        </w:rPr>
        <w:t xml:space="preserve">social and economic </w:t>
      </w:r>
      <w:r w:rsidR="005B7524" w:rsidRPr="00B358B9">
        <w:rPr>
          <w:kern w:val="22"/>
          <w:szCs w:val="22"/>
        </w:rPr>
        <w:t>safeguards</w:t>
      </w:r>
      <w:r w:rsidR="009A26E0" w:rsidRPr="00B358B9">
        <w:rPr>
          <w:kern w:val="22"/>
          <w:szCs w:val="22"/>
        </w:rPr>
        <w:t xml:space="preserve"> are composed of twelve principles </w:t>
      </w:r>
      <w:r w:rsidR="009A26E0" w:rsidRPr="00B358B9">
        <w:rPr>
          <w:rFonts w:eastAsia="MS Mincho"/>
          <w:kern w:val="22"/>
          <w:szCs w:val="22"/>
        </w:rPr>
        <w:t>that</w:t>
      </w:r>
      <w:r w:rsidR="009A26E0" w:rsidRPr="00B358B9">
        <w:rPr>
          <w:kern w:val="22"/>
          <w:szCs w:val="22"/>
        </w:rPr>
        <w:t xml:space="preserve"> include </w:t>
      </w:r>
      <w:r w:rsidR="00D94A98" w:rsidRPr="00B358B9">
        <w:rPr>
          <w:kern w:val="22"/>
          <w:szCs w:val="22"/>
        </w:rPr>
        <w:t xml:space="preserve">among others </w:t>
      </w:r>
      <w:r w:rsidR="009A26E0" w:rsidRPr="00B358B9">
        <w:rPr>
          <w:kern w:val="22"/>
          <w:szCs w:val="22"/>
        </w:rPr>
        <w:t xml:space="preserve">Human Rights, Gender Equality and Women’s Rights, Cultural Heritage, Indigenous Peoples, Displacement and Resettlement, Land Tenure and Other Rights. </w:t>
      </w:r>
      <w:r w:rsidR="002972D8" w:rsidRPr="00B358B9">
        <w:rPr>
          <w:kern w:val="22"/>
          <w:szCs w:val="22"/>
        </w:rPr>
        <w:t xml:space="preserve">To complement the substantive aspects of safeguards, the </w:t>
      </w:r>
      <w:r w:rsidR="005652DA" w:rsidRPr="00B358B9">
        <w:rPr>
          <w:kern w:val="22"/>
          <w:szCs w:val="22"/>
        </w:rPr>
        <w:t>Gold</w:t>
      </w:r>
      <w:r w:rsidR="002972D8" w:rsidRPr="00B358B9">
        <w:rPr>
          <w:kern w:val="22"/>
          <w:szCs w:val="22"/>
        </w:rPr>
        <w:t xml:space="preserve"> Standard has also </w:t>
      </w:r>
      <w:r w:rsidR="00D94A98" w:rsidRPr="00B358B9">
        <w:rPr>
          <w:kern w:val="22"/>
          <w:szCs w:val="22"/>
        </w:rPr>
        <w:t xml:space="preserve">developed </w:t>
      </w:r>
      <w:r w:rsidR="00A32E2F" w:rsidRPr="00B358B9">
        <w:rPr>
          <w:kern w:val="22"/>
          <w:szCs w:val="22"/>
        </w:rPr>
        <w:t>“</w:t>
      </w:r>
      <w:r w:rsidR="002972D8" w:rsidRPr="00B358B9">
        <w:rPr>
          <w:kern w:val="22"/>
          <w:szCs w:val="22"/>
        </w:rPr>
        <w:t>Stakeholder Consultation &amp; Engagement Procedure, Requirements &amp; Guidelines</w:t>
      </w:r>
      <w:r w:rsidR="00A32E2F" w:rsidRPr="00B358B9">
        <w:rPr>
          <w:kern w:val="22"/>
          <w:szCs w:val="22"/>
        </w:rPr>
        <w:t>”, as well as Gender Guidelines and a Gender Policy</w:t>
      </w:r>
      <w:r w:rsidR="0096181E" w:rsidRPr="00B358B9">
        <w:rPr>
          <w:kern w:val="22"/>
          <w:szCs w:val="22"/>
        </w:rPr>
        <w:t>.</w:t>
      </w:r>
      <w:r w:rsidR="005A5162" w:rsidRPr="00B358B9">
        <w:rPr>
          <w:rStyle w:val="FootnoteReference"/>
          <w:kern w:val="22"/>
          <w:szCs w:val="22"/>
        </w:rPr>
        <w:footnoteReference w:id="55"/>
      </w:r>
    </w:p>
    <w:p w14:paraId="18C1E914" w14:textId="282478E3" w:rsidR="00FB406C" w:rsidRPr="00B358B9" w:rsidRDefault="00CC1225"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The safeguard requirements of the G</w:t>
      </w:r>
      <w:r w:rsidR="005652DA" w:rsidRPr="00B358B9">
        <w:rPr>
          <w:kern w:val="22"/>
          <w:szCs w:val="22"/>
        </w:rPr>
        <w:t>old</w:t>
      </w:r>
      <w:r w:rsidRPr="00B358B9">
        <w:rPr>
          <w:kern w:val="22"/>
          <w:szCs w:val="22"/>
        </w:rPr>
        <w:t xml:space="preserve"> Standard are comprehensive </w:t>
      </w:r>
      <w:r w:rsidR="00C860A8" w:rsidRPr="00B358B9">
        <w:rPr>
          <w:kern w:val="22"/>
          <w:szCs w:val="22"/>
        </w:rPr>
        <w:t xml:space="preserve">and comply with the provisions set forth in the </w:t>
      </w:r>
      <w:r w:rsidR="002C36C6" w:rsidRPr="00B358B9">
        <w:rPr>
          <w:kern w:val="22"/>
          <w:szCs w:val="22"/>
        </w:rPr>
        <w:t>Convention’s voluntary guidelines on safeguards in biodiversity financing mechanisms</w:t>
      </w:r>
      <w:r w:rsidR="00C860A8" w:rsidRPr="00B358B9">
        <w:rPr>
          <w:kern w:val="22"/>
          <w:szCs w:val="22"/>
        </w:rPr>
        <w:t>; on indigenous peoples</w:t>
      </w:r>
      <w:r w:rsidR="004217EB" w:rsidRPr="00B358B9">
        <w:rPr>
          <w:kern w:val="22"/>
          <w:szCs w:val="22"/>
        </w:rPr>
        <w:t>’</w:t>
      </w:r>
      <w:r w:rsidR="00C860A8" w:rsidRPr="00B358B9">
        <w:rPr>
          <w:kern w:val="22"/>
          <w:szCs w:val="22"/>
        </w:rPr>
        <w:t xml:space="preserve"> issues, although the </w:t>
      </w:r>
      <w:r w:rsidR="00805DEE" w:rsidRPr="00B358B9">
        <w:rPr>
          <w:kern w:val="22"/>
          <w:szCs w:val="22"/>
        </w:rPr>
        <w:t xml:space="preserve">United Nations </w:t>
      </w:r>
      <w:r w:rsidR="00C860A8" w:rsidRPr="00B358B9">
        <w:rPr>
          <w:kern w:val="22"/>
          <w:szCs w:val="22"/>
        </w:rPr>
        <w:t xml:space="preserve">Declaration on the Rights of Indigenous Peoples is not explicitly mentioned, all the relevant issues are covered in the </w:t>
      </w:r>
      <w:r w:rsidR="00E26CA6" w:rsidRPr="00B358B9">
        <w:rPr>
          <w:kern w:val="22"/>
          <w:szCs w:val="22"/>
        </w:rPr>
        <w:t>s</w:t>
      </w:r>
      <w:r w:rsidR="0018493F" w:rsidRPr="00B358B9">
        <w:rPr>
          <w:kern w:val="22"/>
          <w:szCs w:val="22"/>
        </w:rPr>
        <w:t>afeguards</w:t>
      </w:r>
      <w:r w:rsidR="00AF73C0" w:rsidRPr="00B358B9">
        <w:rPr>
          <w:kern w:val="22"/>
          <w:szCs w:val="22"/>
        </w:rPr>
        <w:t xml:space="preserve">. </w:t>
      </w:r>
      <w:r w:rsidR="0018493F" w:rsidRPr="00B358B9">
        <w:rPr>
          <w:kern w:val="22"/>
          <w:szCs w:val="22"/>
        </w:rPr>
        <w:t xml:space="preserve">In terms of procedures, the </w:t>
      </w:r>
      <w:r w:rsidR="0018493F" w:rsidRPr="00B358B9">
        <w:rPr>
          <w:rFonts w:eastAsia="MS Mincho"/>
          <w:kern w:val="22"/>
          <w:szCs w:val="22"/>
        </w:rPr>
        <w:t>requirements</w:t>
      </w:r>
      <w:r w:rsidR="0018493F" w:rsidRPr="00B358B9">
        <w:rPr>
          <w:kern w:val="22"/>
          <w:szCs w:val="22"/>
        </w:rPr>
        <w:t xml:space="preserve"> and the assessment instruments seem to configure a system suited to ensure proper application and screening of the safeguards.</w:t>
      </w:r>
    </w:p>
    <w:p w14:paraId="621759D6" w14:textId="41E8E92D" w:rsidR="0018493F" w:rsidRPr="00B358B9" w:rsidRDefault="00352ED5"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 xml:space="preserve">The two </w:t>
      </w:r>
      <w:r w:rsidR="00E505F4" w:rsidRPr="00B358B9">
        <w:rPr>
          <w:kern w:val="22"/>
          <w:szCs w:val="22"/>
        </w:rPr>
        <w:t xml:space="preserve">systems reviewed in this section have several commonalities: they are project focused, are orientated towards certification of projects, include </w:t>
      </w:r>
      <w:r w:rsidR="00DB1EB1" w:rsidRPr="00B358B9">
        <w:rPr>
          <w:kern w:val="22"/>
          <w:szCs w:val="22"/>
        </w:rPr>
        <w:t xml:space="preserve">projects with private investors, and cover a range of projects related to land management, with </w:t>
      </w:r>
      <w:r w:rsidR="004E3DED" w:rsidRPr="00B358B9">
        <w:rPr>
          <w:kern w:val="22"/>
          <w:szCs w:val="22"/>
        </w:rPr>
        <w:t>an</w:t>
      </w:r>
      <w:r w:rsidR="00DB1EB1" w:rsidRPr="00B358B9">
        <w:rPr>
          <w:kern w:val="22"/>
          <w:szCs w:val="22"/>
        </w:rPr>
        <w:t xml:space="preserve"> </w:t>
      </w:r>
      <w:r w:rsidR="004E3DED" w:rsidRPr="00B358B9">
        <w:rPr>
          <w:kern w:val="22"/>
          <w:szCs w:val="22"/>
        </w:rPr>
        <w:t>interest</w:t>
      </w:r>
      <w:r w:rsidR="00DB1EB1" w:rsidRPr="00B358B9">
        <w:rPr>
          <w:kern w:val="22"/>
          <w:szCs w:val="22"/>
        </w:rPr>
        <w:t xml:space="preserve"> in climate change</w:t>
      </w:r>
      <w:r w:rsidR="001302C2" w:rsidRPr="00B358B9">
        <w:rPr>
          <w:kern w:val="22"/>
          <w:szCs w:val="22"/>
        </w:rPr>
        <w:t>-related topics</w:t>
      </w:r>
      <w:r w:rsidR="00397D2A" w:rsidRPr="00B358B9">
        <w:rPr>
          <w:kern w:val="22"/>
          <w:szCs w:val="22"/>
        </w:rPr>
        <w:t>,</w:t>
      </w:r>
      <w:r w:rsidR="001302C2" w:rsidRPr="00B358B9">
        <w:rPr>
          <w:kern w:val="22"/>
          <w:szCs w:val="22"/>
        </w:rPr>
        <w:t xml:space="preserve"> including REDD+</w:t>
      </w:r>
      <w:r w:rsidR="00DB1EB1" w:rsidRPr="00B358B9">
        <w:rPr>
          <w:kern w:val="22"/>
          <w:szCs w:val="22"/>
        </w:rPr>
        <w:t xml:space="preserve">. Both updated their </w:t>
      </w:r>
      <w:r w:rsidR="001302C2" w:rsidRPr="00B358B9">
        <w:rPr>
          <w:kern w:val="22"/>
          <w:szCs w:val="22"/>
        </w:rPr>
        <w:t xml:space="preserve">standards and safeguards in June-July 2017. Their systems show also many </w:t>
      </w:r>
      <w:r w:rsidR="001302C2" w:rsidRPr="00B358B9">
        <w:rPr>
          <w:rFonts w:eastAsia="MS Mincho"/>
          <w:kern w:val="22"/>
          <w:szCs w:val="22"/>
        </w:rPr>
        <w:t>commonalities</w:t>
      </w:r>
      <w:r w:rsidR="001302C2" w:rsidRPr="00B358B9">
        <w:rPr>
          <w:kern w:val="22"/>
          <w:szCs w:val="22"/>
        </w:rPr>
        <w:t xml:space="preserve">, both in substantive aspects of safeguards </w:t>
      </w:r>
      <w:r w:rsidR="004E3DED" w:rsidRPr="00B358B9">
        <w:rPr>
          <w:kern w:val="22"/>
          <w:szCs w:val="22"/>
        </w:rPr>
        <w:t>and</w:t>
      </w:r>
      <w:r w:rsidR="001302C2" w:rsidRPr="00B358B9">
        <w:rPr>
          <w:kern w:val="22"/>
          <w:szCs w:val="22"/>
        </w:rPr>
        <w:t xml:space="preserve"> on procedural elements, with stakeholder involvement, indigenous peoples and free, prior and informed consent being explicitly integrated. </w:t>
      </w:r>
      <w:r w:rsidR="008D59CC" w:rsidRPr="00B358B9">
        <w:rPr>
          <w:kern w:val="22"/>
          <w:szCs w:val="22"/>
        </w:rPr>
        <w:t xml:space="preserve">An important feature of both systems is that they are outside the formal climate change-related financing and operate also outside of government or intergovernmental control and reporting systems – which </w:t>
      </w:r>
      <w:r w:rsidR="00D8540A" w:rsidRPr="00B358B9">
        <w:rPr>
          <w:kern w:val="22"/>
          <w:szCs w:val="22"/>
        </w:rPr>
        <w:t xml:space="preserve">does not seem to be </w:t>
      </w:r>
      <w:r w:rsidR="008D59CC" w:rsidRPr="00B358B9">
        <w:rPr>
          <w:kern w:val="22"/>
          <w:szCs w:val="22"/>
        </w:rPr>
        <w:t xml:space="preserve">a weakness of accountability because they </w:t>
      </w:r>
      <w:r w:rsidR="00D8540A" w:rsidRPr="00B358B9">
        <w:rPr>
          <w:kern w:val="22"/>
          <w:szCs w:val="22"/>
        </w:rPr>
        <w:t xml:space="preserve">operate within, or </w:t>
      </w:r>
      <w:r w:rsidR="00074FB0" w:rsidRPr="00B358B9">
        <w:rPr>
          <w:kern w:val="22"/>
          <w:szCs w:val="22"/>
        </w:rPr>
        <w:t xml:space="preserve">are </w:t>
      </w:r>
      <w:r w:rsidR="00D8540A" w:rsidRPr="00B358B9">
        <w:rPr>
          <w:kern w:val="22"/>
          <w:szCs w:val="22"/>
        </w:rPr>
        <w:t>linked to, important standard-setting networks</w:t>
      </w:r>
      <w:r w:rsidR="00074FB0" w:rsidRPr="00B358B9">
        <w:rPr>
          <w:kern w:val="22"/>
          <w:szCs w:val="22"/>
        </w:rPr>
        <w:t>,</w:t>
      </w:r>
      <w:r w:rsidR="00D8540A" w:rsidRPr="00B358B9">
        <w:rPr>
          <w:kern w:val="22"/>
          <w:szCs w:val="22"/>
        </w:rPr>
        <w:t xml:space="preserve"> such as the Verified Carbon Standard Association (VCSA)</w:t>
      </w:r>
      <w:r w:rsidR="00362523" w:rsidRPr="00B358B9">
        <w:rPr>
          <w:kern w:val="22"/>
          <w:szCs w:val="22"/>
        </w:rPr>
        <w:t>,</w:t>
      </w:r>
      <w:r w:rsidR="00CE75BD" w:rsidRPr="00B358B9">
        <w:rPr>
          <w:rStyle w:val="FootnoteReference"/>
          <w:kern w:val="22"/>
          <w:szCs w:val="22"/>
        </w:rPr>
        <w:footnoteReference w:id="56"/>
      </w:r>
      <w:r w:rsidR="008D59CC" w:rsidRPr="00B358B9">
        <w:rPr>
          <w:kern w:val="22"/>
          <w:szCs w:val="22"/>
        </w:rPr>
        <w:t xml:space="preserve"> </w:t>
      </w:r>
      <w:r w:rsidR="00D8540A" w:rsidRPr="00B358B9">
        <w:rPr>
          <w:kern w:val="22"/>
          <w:szCs w:val="22"/>
        </w:rPr>
        <w:t>and the ISEAL Alliance, a global membership association for sustainability standards</w:t>
      </w:r>
      <w:r w:rsidR="00362523" w:rsidRPr="00B358B9">
        <w:rPr>
          <w:kern w:val="22"/>
          <w:szCs w:val="22"/>
        </w:rPr>
        <w:t>.</w:t>
      </w:r>
      <w:r w:rsidR="00830ADB" w:rsidRPr="00B358B9">
        <w:rPr>
          <w:rStyle w:val="FootnoteReference"/>
          <w:kern w:val="22"/>
          <w:szCs w:val="22"/>
        </w:rPr>
        <w:footnoteReference w:id="57"/>
      </w:r>
    </w:p>
    <w:p w14:paraId="34DE6213" w14:textId="37D7C10B" w:rsidR="009E6ED9" w:rsidRPr="00B358B9" w:rsidRDefault="00276E45" w:rsidP="00B358B9">
      <w:pPr>
        <w:pStyle w:val="Heading1"/>
        <w:suppressLineNumbers/>
        <w:tabs>
          <w:tab w:val="clear" w:pos="720"/>
          <w:tab w:val="left" w:pos="450"/>
        </w:tabs>
        <w:suppressAutoHyphens/>
        <w:kinsoku w:val="0"/>
        <w:overflowPunct w:val="0"/>
        <w:autoSpaceDE w:val="0"/>
        <w:autoSpaceDN w:val="0"/>
        <w:adjustRightInd w:val="0"/>
        <w:snapToGrid w:val="0"/>
        <w:spacing w:before="120"/>
        <w:ind w:left="1166" w:hanging="446"/>
        <w:jc w:val="left"/>
        <w:rPr>
          <w:rFonts w:ascii="Times New Roman Bold" w:hAnsi="Times New Roman Bold" w:cs="Times New Roman Bold"/>
          <w:bCs/>
          <w:caps w:val="0"/>
          <w:snapToGrid w:val="0"/>
          <w:kern w:val="22"/>
          <w:szCs w:val="22"/>
          <w:lang w:val="en-GB"/>
        </w:rPr>
      </w:pPr>
      <w:r w:rsidRPr="00276E45">
        <w:rPr>
          <w:rFonts w:ascii="Times New Roman Bold" w:hAnsi="Times New Roman Bold" w:cs="Times New Roman Bold"/>
          <w:bCs/>
          <w:caps w:val="0"/>
          <w:snapToGrid w:val="0"/>
          <w:kern w:val="22"/>
          <w:szCs w:val="22"/>
          <w:lang w:val="en-GB"/>
        </w:rPr>
        <w:t>IV.</w:t>
      </w:r>
      <w:r w:rsidRPr="00276E45">
        <w:rPr>
          <w:rFonts w:ascii="Times New Roman Bold" w:hAnsi="Times New Roman Bold" w:cs="Times New Roman Bold"/>
          <w:bCs/>
          <w:caps w:val="0"/>
          <w:snapToGrid w:val="0"/>
          <w:kern w:val="22"/>
          <w:szCs w:val="22"/>
          <w:lang w:val="en-GB"/>
        </w:rPr>
        <w:tab/>
        <w:t>SUMMARY AND CONCLUSIONS FOR ADVANCING THE IMPLEMENTATION OF THE VOLUNTARY GUIDELINES</w:t>
      </w:r>
    </w:p>
    <w:p w14:paraId="52654BFE" w14:textId="2241C0D0" w:rsidR="001871C7" w:rsidRPr="00B358B9" w:rsidRDefault="000B7BB8"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B358B9">
        <w:rPr>
          <w:kern w:val="22"/>
          <w:szCs w:val="22"/>
        </w:rPr>
        <w:t>In the last few years, s</w:t>
      </w:r>
      <w:r w:rsidR="001871C7" w:rsidRPr="00B358B9">
        <w:rPr>
          <w:kern w:val="22"/>
          <w:szCs w:val="22"/>
        </w:rPr>
        <w:t xml:space="preserve">everal international financial mechanisms </w:t>
      </w:r>
      <w:r w:rsidR="00853718" w:rsidRPr="00B358B9">
        <w:rPr>
          <w:kern w:val="22"/>
          <w:szCs w:val="22"/>
        </w:rPr>
        <w:t xml:space="preserve">relevant to biodiversity </w:t>
      </w:r>
      <w:r w:rsidR="001871C7" w:rsidRPr="00B358B9">
        <w:rPr>
          <w:kern w:val="22"/>
          <w:szCs w:val="22"/>
        </w:rPr>
        <w:t xml:space="preserve">have been revising their own safeguard systems or adopting new ones </w:t>
      </w:r>
      <w:r w:rsidR="004E3DED" w:rsidRPr="00B358B9">
        <w:rPr>
          <w:kern w:val="22"/>
          <w:szCs w:val="22"/>
        </w:rPr>
        <w:t>to</w:t>
      </w:r>
      <w:r w:rsidR="001871C7" w:rsidRPr="00B358B9">
        <w:rPr>
          <w:kern w:val="22"/>
          <w:szCs w:val="22"/>
        </w:rPr>
        <w:t xml:space="preserve"> respond to the same concerns expressed by the </w:t>
      </w:r>
      <w:r w:rsidR="001871C7" w:rsidRPr="00B358B9">
        <w:rPr>
          <w:rFonts w:eastAsia="MS Mincho"/>
          <w:kern w:val="22"/>
          <w:szCs w:val="22"/>
        </w:rPr>
        <w:t>Parties</w:t>
      </w:r>
      <w:r w:rsidR="001871C7" w:rsidRPr="00B358B9">
        <w:rPr>
          <w:kern w:val="22"/>
          <w:szCs w:val="22"/>
        </w:rPr>
        <w:t xml:space="preserve"> </w:t>
      </w:r>
      <w:r w:rsidR="004301C6" w:rsidRPr="00B358B9">
        <w:rPr>
          <w:kern w:val="22"/>
          <w:szCs w:val="22"/>
        </w:rPr>
        <w:t xml:space="preserve">to the Convention on Biological Diversity </w:t>
      </w:r>
      <w:r w:rsidR="001871C7" w:rsidRPr="00B358B9">
        <w:rPr>
          <w:kern w:val="22"/>
          <w:szCs w:val="22"/>
        </w:rPr>
        <w:t xml:space="preserve">and the </w:t>
      </w:r>
      <w:r w:rsidR="004301C6" w:rsidRPr="00B358B9">
        <w:rPr>
          <w:kern w:val="22"/>
          <w:szCs w:val="22"/>
        </w:rPr>
        <w:t>Conventi</w:t>
      </w:r>
      <w:r w:rsidR="009A1AB9" w:rsidRPr="00B358B9">
        <w:rPr>
          <w:kern w:val="22"/>
          <w:szCs w:val="22"/>
        </w:rPr>
        <w:t>o</w:t>
      </w:r>
      <w:r w:rsidR="004301C6" w:rsidRPr="00B358B9">
        <w:rPr>
          <w:kern w:val="22"/>
          <w:szCs w:val="22"/>
        </w:rPr>
        <w:t xml:space="preserve">n’s </w:t>
      </w:r>
      <w:r w:rsidR="001871C7" w:rsidRPr="00B358B9">
        <w:rPr>
          <w:kern w:val="22"/>
          <w:szCs w:val="22"/>
        </w:rPr>
        <w:t>broader constituency</w:t>
      </w:r>
      <w:r w:rsidR="004301C6" w:rsidRPr="00B358B9">
        <w:rPr>
          <w:kern w:val="22"/>
          <w:szCs w:val="22"/>
        </w:rPr>
        <w:t>,</w:t>
      </w:r>
      <w:r w:rsidR="001871C7" w:rsidRPr="00B358B9">
        <w:rPr>
          <w:kern w:val="22"/>
          <w:szCs w:val="22"/>
        </w:rPr>
        <w:t xml:space="preserve"> including indigenous peoples and local communities. T</w:t>
      </w:r>
      <w:r w:rsidR="009A1AB9" w:rsidRPr="00B358B9">
        <w:rPr>
          <w:kern w:val="22"/>
          <w:szCs w:val="22"/>
        </w:rPr>
        <w:t>oday, t</w:t>
      </w:r>
      <w:r w:rsidR="001871C7" w:rsidRPr="00B358B9">
        <w:rPr>
          <w:kern w:val="22"/>
          <w:szCs w:val="22"/>
        </w:rPr>
        <w:t>here is generally an important trend of developing and upgrading safeguard systems in biodiversity and environmental financing to meet higher standards of biodiversity and ecosystem conservation and for the protection of the rights and livelihoods of indigenous peoples and local communities, as well as to ensure gender equality</w:t>
      </w:r>
      <w:r w:rsidR="00887F94" w:rsidRPr="00B358B9">
        <w:rPr>
          <w:kern w:val="22"/>
          <w:szCs w:val="22"/>
        </w:rPr>
        <w:t>.</w:t>
      </w:r>
      <w:r w:rsidR="00BA0ACE" w:rsidRPr="00B358B9">
        <w:rPr>
          <w:rStyle w:val="FootnoteReference"/>
          <w:kern w:val="22"/>
          <w:szCs w:val="22"/>
        </w:rPr>
        <w:footnoteReference w:id="58"/>
      </w:r>
    </w:p>
    <w:p w14:paraId="132127FE" w14:textId="3F69EF76" w:rsidR="00483DF2" w:rsidRPr="00891479" w:rsidRDefault="001871C7" w:rsidP="00B358B9">
      <w:pPr>
        <w:pStyle w:val="Para1"/>
        <w:numPr>
          <w:ilvl w:val="0"/>
          <w:numId w:val="110"/>
        </w:numPr>
        <w:suppressLineNumbers/>
        <w:suppressAutoHyphens/>
        <w:kinsoku w:val="0"/>
        <w:overflowPunct w:val="0"/>
        <w:autoSpaceDE w:val="0"/>
        <w:autoSpaceDN w:val="0"/>
        <w:adjustRightInd w:val="0"/>
        <w:snapToGrid w:val="0"/>
        <w:ind w:left="0" w:firstLine="0"/>
        <w:rPr>
          <w:i/>
          <w:kern w:val="22"/>
          <w:szCs w:val="22"/>
        </w:rPr>
      </w:pPr>
      <w:r w:rsidRPr="00891479">
        <w:rPr>
          <w:kern w:val="22"/>
          <w:szCs w:val="22"/>
        </w:rPr>
        <w:t xml:space="preserve">Overall, </w:t>
      </w:r>
      <w:r w:rsidR="00C058F2" w:rsidRPr="00891479">
        <w:rPr>
          <w:kern w:val="22"/>
          <w:szCs w:val="22"/>
        </w:rPr>
        <w:t xml:space="preserve">the review of the </w:t>
      </w:r>
      <w:r w:rsidRPr="00891479">
        <w:rPr>
          <w:kern w:val="22"/>
          <w:szCs w:val="22"/>
        </w:rPr>
        <w:t xml:space="preserve">safeguard </w:t>
      </w:r>
      <w:r w:rsidR="00C058F2" w:rsidRPr="00891479">
        <w:rPr>
          <w:kern w:val="22"/>
          <w:szCs w:val="22"/>
        </w:rPr>
        <w:t xml:space="preserve">systems </w:t>
      </w:r>
      <w:r w:rsidRPr="00891479">
        <w:rPr>
          <w:kern w:val="22"/>
          <w:szCs w:val="22"/>
        </w:rPr>
        <w:t xml:space="preserve">of relevant financial mechanisms show that </w:t>
      </w:r>
      <w:r w:rsidR="00C058F2" w:rsidRPr="00891479">
        <w:rPr>
          <w:kern w:val="22"/>
          <w:szCs w:val="22"/>
        </w:rPr>
        <w:t>(</w:t>
      </w:r>
      <w:r w:rsidR="002800CD" w:rsidRPr="00891479">
        <w:rPr>
          <w:kern w:val="22"/>
          <w:szCs w:val="22"/>
        </w:rPr>
        <w:t>a</w:t>
      </w:r>
      <w:r w:rsidR="00C058F2" w:rsidRPr="00891479">
        <w:rPr>
          <w:kern w:val="22"/>
          <w:szCs w:val="22"/>
        </w:rPr>
        <w:t>)</w:t>
      </w:r>
      <w:r w:rsidR="002800CD" w:rsidRPr="00891479">
        <w:rPr>
          <w:kern w:val="22"/>
          <w:szCs w:val="22"/>
        </w:rPr>
        <w:t> </w:t>
      </w:r>
      <w:r w:rsidR="00C058F2" w:rsidRPr="00891479">
        <w:rPr>
          <w:kern w:val="22"/>
          <w:szCs w:val="22"/>
        </w:rPr>
        <w:t>they are expanding</w:t>
      </w:r>
      <w:r w:rsidR="00DE3BB2" w:rsidRPr="00891479">
        <w:rPr>
          <w:kern w:val="22"/>
          <w:szCs w:val="22"/>
        </w:rPr>
        <w:t xml:space="preserve"> in number and coverage of actions</w:t>
      </w:r>
      <w:r w:rsidR="00C058F2" w:rsidRPr="00891479">
        <w:rPr>
          <w:kern w:val="22"/>
          <w:szCs w:val="22"/>
        </w:rPr>
        <w:t>, (</w:t>
      </w:r>
      <w:r w:rsidR="002800CD" w:rsidRPr="00891479">
        <w:rPr>
          <w:kern w:val="22"/>
          <w:szCs w:val="22"/>
        </w:rPr>
        <w:t>b</w:t>
      </w:r>
      <w:r w:rsidR="00C058F2" w:rsidRPr="00891479">
        <w:rPr>
          <w:kern w:val="22"/>
          <w:szCs w:val="22"/>
        </w:rPr>
        <w:t>)</w:t>
      </w:r>
      <w:r w:rsidR="002800CD" w:rsidRPr="00891479">
        <w:rPr>
          <w:kern w:val="22"/>
          <w:szCs w:val="22"/>
        </w:rPr>
        <w:t> </w:t>
      </w:r>
      <w:r w:rsidR="00C058F2" w:rsidRPr="00891479">
        <w:rPr>
          <w:kern w:val="22"/>
          <w:szCs w:val="22"/>
        </w:rPr>
        <w:t>they are evolving in design, architecture and instruments, (</w:t>
      </w:r>
      <w:r w:rsidR="002800CD" w:rsidRPr="00891479">
        <w:rPr>
          <w:kern w:val="22"/>
          <w:szCs w:val="22"/>
        </w:rPr>
        <w:t>c</w:t>
      </w:r>
      <w:r w:rsidR="00C058F2" w:rsidRPr="00891479">
        <w:rPr>
          <w:kern w:val="22"/>
          <w:szCs w:val="22"/>
        </w:rPr>
        <w:t>)</w:t>
      </w:r>
      <w:r w:rsidR="002800CD" w:rsidRPr="00891479">
        <w:rPr>
          <w:kern w:val="22"/>
          <w:szCs w:val="22"/>
        </w:rPr>
        <w:t> </w:t>
      </w:r>
      <w:r w:rsidR="00C058F2" w:rsidRPr="00891479">
        <w:rPr>
          <w:kern w:val="22"/>
          <w:szCs w:val="22"/>
        </w:rPr>
        <w:t>they are expanding the thematic scope, (</w:t>
      </w:r>
      <w:r w:rsidR="002800CD" w:rsidRPr="00891479">
        <w:rPr>
          <w:kern w:val="22"/>
          <w:szCs w:val="22"/>
        </w:rPr>
        <w:t>d</w:t>
      </w:r>
      <w:r w:rsidR="00C058F2" w:rsidRPr="00891479">
        <w:rPr>
          <w:kern w:val="22"/>
          <w:szCs w:val="22"/>
        </w:rPr>
        <w:t>)</w:t>
      </w:r>
      <w:r w:rsidR="002800CD" w:rsidRPr="00891479">
        <w:rPr>
          <w:kern w:val="22"/>
          <w:szCs w:val="22"/>
        </w:rPr>
        <w:t> </w:t>
      </w:r>
      <w:r w:rsidR="00C058F2" w:rsidRPr="00891479">
        <w:rPr>
          <w:kern w:val="22"/>
          <w:szCs w:val="22"/>
        </w:rPr>
        <w:t>they are looking more thoroughly at implementation mechanisms</w:t>
      </w:r>
      <w:r w:rsidR="00802C0E" w:rsidRPr="00891479">
        <w:rPr>
          <w:kern w:val="22"/>
          <w:szCs w:val="22"/>
        </w:rPr>
        <w:t>.</w:t>
      </w:r>
      <w:r w:rsidR="00C27CD9" w:rsidRPr="00891479">
        <w:rPr>
          <w:rStyle w:val="FootnoteReference"/>
          <w:kern w:val="22"/>
          <w:szCs w:val="22"/>
        </w:rPr>
        <w:footnoteReference w:id="59"/>
      </w:r>
      <w:r w:rsidR="00DE3BB2" w:rsidRPr="00891479">
        <w:rPr>
          <w:kern w:val="22"/>
          <w:szCs w:val="22"/>
        </w:rPr>
        <w:t xml:space="preserve"> </w:t>
      </w:r>
      <w:r w:rsidR="00853718" w:rsidRPr="00891479">
        <w:rPr>
          <w:kern w:val="22"/>
          <w:szCs w:val="22"/>
        </w:rPr>
        <w:t>There is a new generation of safeguard and standard systems, and the cases examined in this review are only examples of a broader stream of change in terms of setting up and/or upgrading such systems.</w:t>
      </w:r>
    </w:p>
    <w:p w14:paraId="7A07F125" w14:textId="2A53F63F" w:rsidR="006B6A43" w:rsidRPr="00891479" w:rsidRDefault="006B6A43"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891479">
        <w:rPr>
          <w:kern w:val="22"/>
          <w:szCs w:val="22"/>
        </w:rPr>
        <w:t xml:space="preserve">In recent years safeguard systems have </w:t>
      </w:r>
      <w:r w:rsidR="00C27CD9" w:rsidRPr="00891479">
        <w:rPr>
          <w:kern w:val="22"/>
          <w:szCs w:val="22"/>
        </w:rPr>
        <w:t xml:space="preserve">generally </w:t>
      </w:r>
      <w:r w:rsidRPr="00891479">
        <w:rPr>
          <w:kern w:val="22"/>
          <w:szCs w:val="22"/>
        </w:rPr>
        <w:t xml:space="preserve">become more comprehensive and systematic, with greater </w:t>
      </w:r>
      <w:r w:rsidRPr="00B358B9">
        <w:rPr>
          <w:rFonts w:eastAsia="MS Mincho"/>
          <w:kern w:val="22"/>
          <w:szCs w:val="22"/>
        </w:rPr>
        <w:t>harmonization</w:t>
      </w:r>
      <w:r w:rsidRPr="00891479">
        <w:rPr>
          <w:kern w:val="22"/>
          <w:szCs w:val="22"/>
        </w:rPr>
        <w:t xml:space="preserve"> among many agencies</w:t>
      </w:r>
      <w:r w:rsidR="00A259BA" w:rsidRPr="00891479">
        <w:rPr>
          <w:kern w:val="22"/>
          <w:szCs w:val="22"/>
        </w:rPr>
        <w:t>, actors and processes</w:t>
      </w:r>
      <w:r w:rsidRPr="00891479">
        <w:rPr>
          <w:kern w:val="22"/>
          <w:szCs w:val="22"/>
        </w:rPr>
        <w:t>.</w:t>
      </w:r>
      <w:r w:rsidR="00B967B6" w:rsidRPr="00891479">
        <w:rPr>
          <w:kern w:val="22"/>
          <w:szCs w:val="22"/>
        </w:rPr>
        <w:t xml:space="preserve"> This is an important development</w:t>
      </w:r>
      <w:r w:rsidR="00A259BA" w:rsidRPr="00891479">
        <w:rPr>
          <w:kern w:val="22"/>
          <w:szCs w:val="22"/>
        </w:rPr>
        <w:t xml:space="preserve"> that has </w:t>
      </w:r>
      <w:r w:rsidR="00D45C97" w:rsidRPr="00891479">
        <w:rPr>
          <w:kern w:val="22"/>
          <w:szCs w:val="22"/>
        </w:rPr>
        <w:t xml:space="preserve">taken </w:t>
      </w:r>
      <w:r w:rsidR="00AC006C" w:rsidRPr="00891479">
        <w:rPr>
          <w:kern w:val="22"/>
          <w:szCs w:val="22"/>
        </w:rPr>
        <w:t xml:space="preserve">greater dimension in recent </w:t>
      </w:r>
      <w:r w:rsidR="00A259BA" w:rsidRPr="00891479">
        <w:rPr>
          <w:kern w:val="22"/>
          <w:szCs w:val="22"/>
        </w:rPr>
        <w:t>years</w:t>
      </w:r>
      <w:r w:rsidR="00AC006C" w:rsidRPr="00891479">
        <w:rPr>
          <w:kern w:val="22"/>
          <w:szCs w:val="22"/>
        </w:rPr>
        <w:t xml:space="preserve">, and that offers an important opportunity for the </w:t>
      </w:r>
      <w:r w:rsidR="002C36C6" w:rsidRPr="00891479">
        <w:rPr>
          <w:kern w:val="22"/>
          <w:szCs w:val="22"/>
        </w:rPr>
        <w:t xml:space="preserve">Convention’s voluntary guidelines on safeguards in biodiversity financing </w:t>
      </w:r>
      <w:r w:rsidR="00D6739E" w:rsidRPr="00891479">
        <w:rPr>
          <w:kern w:val="22"/>
          <w:szCs w:val="22"/>
        </w:rPr>
        <w:t>mechanisms,</w:t>
      </w:r>
      <w:r w:rsidR="00AC006C" w:rsidRPr="00891479">
        <w:rPr>
          <w:kern w:val="22"/>
          <w:szCs w:val="22"/>
        </w:rPr>
        <w:t xml:space="preserve"> as the</w:t>
      </w:r>
      <w:r w:rsidR="00B45D81" w:rsidRPr="00891479">
        <w:rPr>
          <w:kern w:val="22"/>
          <w:szCs w:val="22"/>
        </w:rPr>
        <w:t>se</w:t>
      </w:r>
      <w:r w:rsidR="00AC006C" w:rsidRPr="00891479">
        <w:rPr>
          <w:kern w:val="22"/>
          <w:szCs w:val="22"/>
        </w:rPr>
        <w:t xml:space="preserve"> can precisely promote, support and facilitate harmonization based on compliance with their provisions</w:t>
      </w:r>
      <w:r w:rsidR="00B967B6" w:rsidRPr="00891479">
        <w:rPr>
          <w:kern w:val="22"/>
          <w:szCs w:val="22"/>
        </w:rPr>
        <w:t>.</w:t>
      </w:r>
    </w:p>
    <w:p w14:paraId="1DBB0949" w14:textId="6BDB932D" w:rsidR="00515987" w:rsidRPr="00B358B9" w:rsidRDefault="00B45D81"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891479">
        <w:rPr>
          <w:kern w:val="22"/>
          <w:szCs w:val="22"/>
        </w:rPr>
        <w:t>The trend identified in UNEP/CBD/COP/12/INF/27</w:t>
      </w:r>
      <w:r w:rsidR="001D3012" w:rsidRPr="00891479">
        <w:rPr>
          <w:kern w:val="22"/>
          <w:szCs w:val="22"/>
        </w:rPr>
        <w:t xml:space="preserve"> </w:t>
      </w:r>
      <w:r w:rsidRPr="00891479">
        <w:rPr>
          <w:kern w:val="22"/>
          <w:szCs w:val="22"/>
        </w:rPr>
        <w:t>of safeguards moving f</w:t>
      </w:r>
      <w:r w:rsidR="00357FAC" w:rsidRPr="00891479">
        <w:rPr>
          <w:kern w:val="22"/>
          <w:szCs w:val="22"/>
        </w:rPr>
        <w:t xml:space="preserve">rom </w:t>
      </w:r>
      <w:r w:rsidRPr="00891479">
        <w:rPr>
          <w:kern w:val="22"/>
          <w:szCs w:val="22"/>
        </w:rPr>
        <w:t>“</w:t>
      </w:r>
      <w:r w:rsidR="00357FAC" w:rsidRPr="00891479">
        <w:rPr>
          <w:kern w:val="22"/>
          <w:szCs w:val="22"/>
        </w:rPr>
        <w:t>defensive</w:t>
      </w:r>
      <w:r w:rsidRPr="00891479">
        <w:rPr>
          <w:kern w:val="22"/>
          <w:szCs w:val="22"/>
        </w:rPr>
        <w:t>”</w:t>
      </w:r>
      <w:r w:rsidR="00357FAC" w:rsidRPr="00891479">
        <w:rPr>
          <w:kern w:val="22"/>
          <w:szCs w:val="22"/>
        </w:rPr>
        <w:t xml:space="preserve"> to </w:t>
      </w:r>
      <w:r w:rsidR="00926439" w:rsidRPr="00891479">
        <w:rPr>
          <w:kern w:val="22"/>
          <w:szCs w:val="22"/>
        </w:rPr>
        <w:t>“</w:t>
      </w:r>
      <w:r w:rsidR="003D54CE" w:rsidRPr="00B358B9">
        <w:rPr>
          <w:rFonts w:eastAsia="MS Mincho"/>
          <w:kern w:val="22"/>
          <w:szCs w:val="22"/>
        </w:rPr>
        <w:t>positive</w:t>
      </w:r>
      <w:r w:rsidR="00005F43" w:rsidRPr="00891479">
        <w:rPr>
          <w:kern w:val="22"/>
          <w:szCs w:val="22"/>
        </w:rPr>
        <w:t>-</w:t>
      </w:r>
      <w:r w:rsidR="003D54CE" w:rsidRPr="00891479">
        <w:rPr>
          <w:kern w:val="22"/>
          <w:szCs w:val="22"/>
        </w:rPr>
        <w:t>outcome</w:t>
      </w:r>
      <w:r w:rsidR="00005F43" w:rsidRPr="00891479">
        <w:rPr>
          <w:kern w:val="22"/>
          <w:szCs w:val="22"/>
        </w:rPr>
        <w:t>-</w:t>
      </w:r>
      <w:r w:rsidR="003D54CE" w:rsidRPr="00891479">
        <w:rPr>
          <w:kern w:val="22"/>
          <w:szCs w:val="22"/>
        </w:rPr>
        <w:t>oriented</w:t>
      </w:r>
      <w:r w:rsidR="00926439" w:rsidRPr="00891479">
        <w:rPr>
          <w:kern w:val="22"/>
          <w:szCs w:val="22"/>
        </w:rPr>
        <w:t>”</w:t>
      </w:r>
      <w:r w:rsidRPr="00891479">
        <w:rPr>
          <w:kern w:val="22"/>
          <w:szCs w:val="22"/>
        </w:rPr>
        <w:t xml:space="preserve"> has become stronger. Indeed</w:t>
      </w:r>
      <w:r w:rsidR="005B1E89" w:rsidRPr="00891479">
        <w:rPr>
          <w:kern w:val="22"/>
          <w:szCs w:val="22"/>
        </w:rPr>
        <w:t>,</w:t>
      </w:r>
      <w:r w:rsidRPr="00891479">
        <w:rPr>
          <w:kern w:val="22"/>
          <w:szCs w:val="22"/>
        </w:rPr>
        <w:t xml:space="preserve"> in early phases of safeguards their intention was to reduce risk and harm</w:t>
      </w:r>
      <w:r w:rsidR="003D7D82" w:rsidRPr="00891479">
        <w:rPr>
          <w:kern w:val="22"/>
          <w:szCs w:val="22"/>
        </w:rPr>
        <w:t xml:space="preserve"> and</w:t>
      </w:r>
      <w:r w:rsidRPr="00891479">
        <w:rPr>
          <w:kern w:val="22"/>
          <w:szCs w:val="22"/>
        </w:rPr>
        <w:t xml:space="preserve"> therefore to “defend” vulnerable populations and ecosystem</w:t>
      </w:r>
      <w:r w:rsidR="003D7D82" w:rsidRPr="00891479">
        <w:rPr>
          <w:kern w:val="22"/>
          <w:szCs w:val="22"/>
        </w:rPr>
        <w:t>s</w:t>
      </w:r>
      <w:r w:rsidRPr="00891479">
        <w:rPr>
          <w:kern w:val="22"/>
          <w:szCs w:val="22"/>
        </w:rPr>
        <w:t xml:space="preserve"> from threats or dangerous developments. Today</w:t>
      </w:r>
      <w:r w:rsidR="00E1456D" w:rsidRPr="00891479">
        <w:rPr>
          <w:kern w:val="22"/>
          <w:szCs w:val="22"/>
        </w:rPr>
        <w:t>,</w:t>
      </w:r>
      <w:r w:rsidRPr="00891479">
        <w:rPr>
          <w:kern w:val="22"/>
          <w:szCs w:val="22"/>
        </w:rPr>
        <w:t xml:space="preserve"> practically all safeguard systems include, or are linked to, specific approaches to </w:t>
      </w:r>
      <w:r w:rsidR="00684A41" w:rsidRPr="00891479">
        <w:rPr>
          <w:kern w:val="22"/>
          <w:szCs w:val="22"/>
        </w:rPr>
        <w:t xml:space="preserve">generate positive outcomes for communities and ecosystems, as specifically proposed by the </w:t>
      </w:r>
      <w:r w:rsidR="002C36C6" w:rsidRPr="00891479">
        <w:rPr>
          <w:kern w:val="22"/>
          <w:szCs w:val="22"/>
        </w:rPr>
        <w:t>Convention’s voluntary guidelines on safeguards in biodiversity financing mechanisms</w:t>
      </w:r>
      <w:r w:rsidR="00684A41" w:rsidRPr="00891479">
        <w:rPr>
          <w:kern w:val="22"/>
          <w:szCs w:val="22"/>
        </w:rPr>
        <w:t xml:space="preserve">. </w:t>
      </w:r>
      <w:r w:rsidR="00C80255" w:rsidRPr="00891479">
        <w:rPr>
          <w:kern w:val="22"/>
          <w:szCs w:val="22"/>
        </w:rPr>
        <w:t xml:space="preserve">The </w:t>
      </w:r>
      <w:r w:rsidR="00863CE3" w:rsidRPr="00891479">
        <w:rPr>
          <w:kern w:val="22"/>
          <w:szCs w:val="22"/>
        </w:rPr>
        <w:t>continuation</w:t>
      </w:r>
      <w:r w:rsidR="00C80255" w:rsidRPr="00891479">
        <w:rPr>
          <w:kern w:val="22"/>
          <w:szCs w:val="22"/>
        </w:rPr>
        <w:t xml:space="preserve"> of this shift</w:t>
      </w:r>
      <w:r w:rsidR="00863CE3" w:rsidRPr="00891479">
        <w:rPr>
          <w:kern w:val="22"/>
          <w:szCs w:val="22"/>
        </w:rPr>
        <w:t xml:space="preserve"> may be difficult, however</w:t>
      </w:r>
      <w:r w:rsidR="00C80255" w:rsidRPr="00891479">
        <w:rPr>
          <w:kern w:val="22"/>
          <w:szCs w:val="22"/>
        </w:rPr>
        <w:t>, because the instruments originally devised for defensive safeguards are insufficient to ensure positive outcomes.</w:t>
      </w:r>
    </w:p>
    <w:p w14:paraId="2B5FFE47" w14:textId="14857446" w:rsidR="00515987" w:rsidRPr="00B358B9" w:rsidRDefault="00C80255" w:rsidP="00B358B9">
      <w:pPr>
        <w:pStyle w:val="Para1"/>
        <w:numPr>
          <w:ilvl w:val="0"/>
          <w:numId w:val="110"/>
        </w:numPr>
        <w:suppressLineNumbers/>
        <w:suppressAutoHyphens/>
        <w:kinsoku w:val="0"/>
        <w:overflowPunct w:val="0"/>
        <w:autoSpaceDE w:val="0"/>
        <w:autoSpaceDN w:val="0"/>
        <w:adjustRightInd w:val="0"/>
        <w:snapToGrid w:val="0"/>
        <w:ind w:left="0" w:firstLine="0"/>
        <w:rPr>
          <w:kern w:val="22"/>
          <w:szCs w:val="22"/>
        </w:rPr>
      </w:pPr>
      <w:r w:rsidRPr="00891479">
        <w:rPr>
          <w:kern w:val="22"/>
          <w:szCs w:val="22"/>
        </w:rPr>
        <w:t xml:space="preserve">In a similar vein, there has been a transition from “safeguards” to “standards” in the sense that safeguards </w:t>
      </w:r>
      <w:r w:rsidR="004E3DED" w:rsidRPr="00891479">
        <w:rPr>
          <w:kern w:val="22"/>
          <w:szCs w:val="22"/>
        </w:rPr>
        <w:t>are</w:t>
      </w:r>
      <w:r w:rsidRPr="00891479">
        <w:rPr>
          <w:kern w:val="22"/>
          <w:szCs w:val="22"/>
        </w:rPr>
        <w:t xml:space="preserve"> element</w:t>
      </w:r>
      <w:r w:rsidR="000637FB" w:rsidRPr="00891479">
        <w:rPr>
          <w:kern w:val="22"/>
          <w:szCs w:val="22"/>
        </w:rPr>
        <w:t>s</w:t>
      </w:r>
      <w:r w:rsidRPr="00891479">
        <w:rPr>
          <w:kern w:val="22"/>
          <w:szCs w:val="22"/>
        </w:rPr>
        <w:t xml:space="preserve"> of a broader </w:t>
      </w:r>
      <w:r w:rsidR="000637FB" w:rsidRPr="00891479">
        <w:rPr>
          <w:kern w:val="22"/>
          <w:szCs w:val="22"/>
        </w:rPr>
        <w:t>architecture of s</w:t>
      </w:r>
      <w:r w:rsidRPr="00891479">
        <w:rPr>
          <w:kern w:val="22"/>
          <w:szCs w:val="22"/>
        </w:rPr>
        <w:t>tandard</w:t>
      </w:r>
      <w:r w:rsidR="000637FB" w:rsidRPr="00891479">
        <w:rPr>
          <w:kern w:val="22"/>
          <w:szCs w:val="22"/>
        </w:rPr>
        <w:t xml:space="preserve">s. </w:t>
      </w:r>
      <w:r w:rsidR="007B29C5" w:rsidRPr="00891479">
        <w:rPr>
          <w:kern w:val="22"/>
          <w:szCs w:val="22"/>
        </w:rPr>
        <w:t xml:space="preserve">Safeguards are basically policies and tools </w:t>
      </w:r>
      <w:r w:rsidR="00407BF5" w:rsidRPr="00891479">
        <w:rPr>
          <w:kern w:val="22"/>
          <w:szCs w:val="22"/>
        </w:rPr>
        <w:t xml:space="preserve">for </w:t>
      </w:r>
      <w:r w:rsidR="007B29C5" w:rsidRPr="00891479">
        <w:rPr>
          <w:kern w:val="22"/>
          <w:szCs w:val="22"/>
        </w:rPr>
        <w:t>avoid</w:t>
      </w:r>
      <w:r w:rsidR="00407BF5" w:rsidRPr="00891479">
        <w:rPr>
          <w:kern w:val="22"/>
          <w:szCs w:val="22"/>
        </w:rPr>
        <w:t>ing</w:t>
      </w:r>
      <w:r w:rsidR="007B29C5" w:rsidRPr="00891479">
        <w:rPr>
          <w:kern w:val="22"/>
          <w:szCs w:val="22"/>
        </w:rPr>
        <w:t>, reduc</w:t>
      </w:r>
      <w:r w:rsidR="00407BF5" w:rsidRPr="00891479">
        <w:rPr>
          <w:kern w:val="22"/>
          <w:szCs w:val="22"/>
        </w:rPr>
        <w:t>ing and</w:t>
      </w:r>
      <w:r w:rsidR="007B29C5" w:rsidRPr="00891479">
        <w:rPr>
          <w:kern w:val="22"/>
          <w:szCs w:val="22"/>
        </w:rPr>
        <w:t xml:space="preserve"> mitigat</w:t>
      </w:r>
      <w:r w:rsidR="00407BF5" w:rsidRPr="00891479">
        <w:rPr>
          <w:kern w:val="22"/>
          <w:szCs w:val="22"/>
        </w:rPr>
        <w:t>ing</w:t>
      </w:r>
      <w:r w:rsidR="007B29C5" w:rsidRPr="00891479">
        <w:rPr>
          <w:kern w:val="22"/>
          <w:szCs w:val="22"/>
        </w:rPr>
        <w:t xml:space="preserve"> harm; standards are principle-based frameworks and tools to achieve the highest degrees of operation for avoiding harm and for creating good</w:t>
      </w:r>
      <w:r w:rsidR="00F01B05" w:rsidRPr="00891479">
        <w:rPr>
          <w:kern w:val="22"/>
          <w:szCs w:val="22"/>
        </w:rPr>
        <w:t xml:space="preserve"> outcomes</w:t>
      </w:r>
      <w:r w:rsidR="007B29C5" w:rsidRPr="00891479">
        <w:rPr>
          <w:kern w:val="22"/>
          <w:szCs w:val="22"/>
        </w:rPr>
        <w:t xml:space="preserve">. The </w:t>
      </w:r>
      <w:r w:rsidR="002C36C6" w:rsidRPr="00891479">
        <w:rPr>
          <w:kern w:val="22"/>
          <w:szCs w:val="22"/>
        </w:rPr>
        <w:t xml:space="preserve">Convention’s voluntary guidelines on safeguards in biodiversity financing </w:t>
      </w:r>
      <w:r w:rsidR="00D6739E" w:rsidRPr="00891479">
        <w:rPr>
          <w:kern w:val="22"/>
          <w:szCs w:val="22"/>
        </w:rPr>
        <w:t>mechanisms,</w:t>
      </w:r>
      <w:r w:rsidR="007B29C5" w:rsidRPr="00891479">
        <w:rPr>
          <w:kern w:val="22"/>
          <w:szCs w:val="22"/>
        </w:rPr>
        <w:t xml:space="preserve"> although they focus on safeguards, are rather aimed as framing a standard</w:t>
      </w:r>
      <w:r w:rsidR="00F01B05" w:rsidRPr="00891479">
        <w:rPr>
          <w:kern w:val="22"/>
          <w:szCs w:val="22"/>
        </w:rPr>
        <w:t xml:space="preserve"> and proposing principles of a model of operation that has the highest levels of compliance with objectives of concurrent positive outcomes for biodiversity and communities.</w:t>
      </w:r>
    </w:p>
    <w:p w14:paraId="1CAAAB95" w14:textId="31780559" w:rsidR="003D54CE" w:rsidRPr="00891479" w:rsidRDefault="00F01B05" w:rsidP="00B358B9">
      <w:pPr>
        <w:pStyle w:val="Para1"/>
        <w:numPr>
          <w:ilvl w:val="0"/>
          <w:numId w:val="110"/>
        </w:numPr>
        <w:suppressLineNumbers/>
        <w:suppressAutoHyphens/>
        <w:kinsoku w:val="0"/>
        <w:overflowPunct w:val="0"/>
        <w:autoSpaceDE w:val="0"/>
        <w:autoSpaceDN w:val="0"/>
        <w:adjustRightInd w:val="0"/>
        <w:snapToGrid w:val="0"/>
        <w:ind w:left="0" w:firstLine="0"/>
        <w:rPr>
          <w:i/>
          <w:kern w:val="22"/>
          <w:szCs w:val="22"/>
        </w:rPr>
      </w:pPr>
      <w:r w:rsidRPr="00891479">
        <w:rPr>
          <w:kern w:val="22"/>
          <w:szCs w:val="22"/>
        </w:rPr>
        <w:t xml:space="preserve">There is a </w:t>
      </w:r>
      <w:r w:rsidR="00A934C4" w:rsidRPr="00891479">
        <w:rPr>
          <w:kern w:val="22"/>
          <w:szCs w:val="22"/>
        </w:rPr>
        <w:t>clear will in the new wave of standards and safeguards to strengthen their principle basis, and</w:t>
      </w:r>
      <w:r w:rsidR="00955FEA" w:rsidRPr="00891479">
        <w:rPr>
          <w:kern w:val="22"/>
          <w:szCs w:val="22"/>
        </w:rPr>
        <w:t>,</w:t>
      </w:r>
      <w:r w:rsidR="00A934C4" w:rsidRPr="00891479">
        <w:rPr>
          <w:kern w:val="22"/>
          <w:szCs w:val="22"/>
        </w:rPr>
        <w:t xml:space="preserve"> for this purpose, they make increasing use of international instruments that provide credible references and directions</w:t>
      </w:r>
      <w:r w:rsidR="00955FEA" w:rsidRPr="00891479">
        <w:rPr>
          <w:kern w:val="22"/>
          <w:szCs w:val="22"/>
        </w:rPr>
        <w:t>,</w:t>
      </w:r>
      <w:r w:rsidR="00A934C4" w:rsidRPr="00891479">
        <w:rPr>
          <w:kern w:val="22"/>
          <w:szCs w:val="22"/>
        </w:rPr>
        <w:t xml:space="preserve"> such as the Universal Declaration o</w:t>
      </w:r>
      <w:r w:rsidR="007C1042" w:rsidRPr="00891479">
        <w:rPr>
          <w:kern w:val="22"/>
          <w:szCs w:val="22"/>
        </w:rPr>
        <w:t>f</w:t>
      </w:r>
      <w:r w:rsidR="00A934C4" w:rsidRPr="00891479">
        <w:rPr>
          <w:kern w:val="22"/>
          <w:szCs w:val="22"/>
        </w:rPr>
        <w:t xml:space="preserve"> Human Rights</w:t>
      </w:r>
      <w:r w:rsidR="00682A3A">
        <w:rPr>
          <w:rStyle w:val="FootnoteReference"/>
          <w:kern w:val="22"/>
          <w:szCs w:val="22"/>
        </w:rPr>
        <w:footnoteReference w:id="60"/>
      </w:r>
      <w:r w:rsidR="00A934C4" w:rsidRPr="00891479">
        <w:rPr>
          <w:kern w:val="22"/>
          <w:szCs w:val="22"/>
        </w:rPr>
        <w:t xml:space="preserve"> and the </w:t>
      </w:r>
      <w:r w:rsidR="00FF6131" w:rsidRPr="00891479">
        <w:rPr>
          <w:kern w:val="22"/>
          <w:szCs w:val="22"/>
        </w:rPr>
        <w:t xml:space="preserve">United Nations </w:t>
      </w:r>
      <w:r w:rsidR="00A934C4" w:rsidRPr="00891479">
        <w:rPr>
          <w:kern w:val="22"/>
          <w:szCs w:val="22"/>
        </w:rPr>
        <w:t xml:space="preserve">Declaration on the Rights </w:t>
      </w:r>
      <w:r w:rsidR="00A934C4" w:rsidRPr="00B358B9">
        <w:rPr>
          <w:rFonts w:eastAsia="MS Mincho"/>
          <w:kern w:val="22"/>
          <w:szCs w:val="22"/>
        </w:rPr>
        <w:t>of</w:t>
      </w:r>
      <w:r w:rsidR="00A934C4" w:rsidRPr="00891479">
        <w:rPr>
          <w:kern w:val="22"/>
          <w:szCs w:val="22"/>
        </w:rPr>
        <w:t xml:space="preserve"> Indigenous Peoples. This has been further strengthened by the </w:t>
      </w:r>
      <w:r w:rsidR="00882ABB" w:rsidRPr="00891479">
        <w:rPr>
          <w:kern w:val="22"/>
          <w:szCs w:val="22"/>
        </w:rPr>
        <w:t xml:space="preserve">calls and </w:t>
      </w:r>
      <w:r w:rsidR="0063117F" w:rsidRPr="00891479">
        <w:rPr>
          <w:kern w:val="22"/>
          <w:szCs w:val="22"/>
        </w:rPr>
        <w:t xml:space="preserve">engagement of the </w:t>
      </w:r>
      <w:r w:rsidR="00010F5D" w:rsidRPr="00891479">
        <w:rPr>
          <w:kern w:val="22"/>
          <w:szCs w:val="22"/>
        </w:rPr>
        <w:t>United Nations s</w:t>
      </w:r>
      <w:r w:rsidR="0063117F" w:rsidRPr="00891479">
        <w:rPr>
          <w:kern w:val="22"/>
          <w:szCs w:val="22"/>
        </w:rPr>
        <w:t xml:space="preserve">pecial </w:t>
      </w:r>
      <w:r w:rsidR="00010F5D" w:rsidRPr="00891479">
        <w:rPr>
          <w:kern w:val="22"/>
          <w:szCs w:val="22"/>
        </w:rPr>
        <w:t>r</w:t>
      </w:r>
      <w:r w:rsidR="0063117F" w:rsidRPr="00891479">
        <w:rPr>
          <w:kern w:val="22"/>
          <w:szCs w:val="22"/>
        </w:rPr>
        <w:t xml:space="preserve">apporteurs on </w:t>
      </w:r>
      <w:r w:rsidR="00010F5D" w:rsidRPr="00891479">
        <w:rPr>
          <w:kern w:val="22"/>
          <w:szCs w:val="22"/>
        </w:rPr>
        <w:t>e</w:t>
      </w:r>
      <w:r w:rsidR="0063117F" w:rsidRPr="00891479">
        <w:rPr>
          <w:kern w:val="22"/>
          <w:szCs w:val="22"/>
        </w:rPr>
        <w:t xml:space="preserve">nvironment and </w:t>
      </w:r>
      <w:r w:rsidR="00010F5D" w:rsidRPr="00891479">
        <w:rPr>
          <w:kern w:val="22"/>
          <w:szCs w:val="22"/>
        </w:rPr>
        <w:t>h</w:t>
      </w:r>
      <w:r w:rsidR="0063117F" w:rsidRPr="00891479">
        <w:rPr>
          <w:kern w:val="22"/>
          <w:szCs w:val="22"/>
        </w:rPr>
        <w:t xml:space="preserve">uman </w:t>
      </w:r>
      <w:r w:rsidR="00010F5D" w:rsidRPr="00891479">
        <w:rPr>
          <w:kern w:val="22"/>
          <w:szCs w:val="22"/>
        </w:rPr>
        <w:t>r</w:t>
      </w:r>
      <w:r w:rsidR="0063117F" w:rsidRPr="00891479">
        <w:rPr>
          <w:kern w:val="22"/>
          <w:szCs w:val="22"/>
        </w:rPr>
        <w:t xml:space="preserve">ights and on the </w:t>
      </w:r>
      <w:r w:rsidR="00010F5D" w:rsidRPr="00891479">
        <w:rPr>
          <w:kern w:val="22"/>
          <w:szCs w:val="22"/>
        </w:rPr>
        <w:t>r</w:t>
      </w:r>
      <w:r w:rsidR="0063117F" w:rsidRPr="00891479">
        <w:rPr>
          <w:kern w:val="22"/>
          <w:szCs w:val="22"/>
        </w:rPr>
        <w:t xml:space="preserve">ights of </w:t>
      </w:r>
      <w:r w:rsidR="00010F5D" w:rsidRPr="00891479">
        <w:rPr>
          <w:kern w:val="22"/>
          <w:szCs w:val="22"/>
        </w:rPr>
        <w:t>i</w:t>
      </w:r>
      <w:r w:rsidR="0063117F" w:rsidRPr="00891479">
        <w:rPr>
          <w:kern w:val="22"/>
          <w:szCs w:val="22"/>
        </w:rPr>
        <w:t xml:space="preserve">ndigenous </w:t>
      </w:r>
      <w:r w:rsidR="00010F5D" w:rsidRPr="00891479">
        <w:rPr>
          <w:kern w:val="22"/>
          <w:szCs w:val="22"/>
        </w:rPr>
        <w:t>p</w:t>
      </w:r>
      <w:r w:rsidR="0063117F" w:rsidRPr="00891479">
        <w:rPr>
          <w:kern w:val="22"/>
          <w:szCs w:val="22"/>
        </w:rPr>
        <w:t xml:space="preserve">eoples, who have addressed the topic </w:t>
      </w:r>
      <w:r w:rsidR="006D537D" w:rsidRPr="00891479">
        <w:rPr>
          <w:kern w:val="22"/>
          <w:szCs w:val="22"/>
        </w:rPr>
        <w:t xml:space="preserve">and have called for </w:t>
      </w:r>
      <w:r w:rsidR="00053DBD" w:rsidRPr="00891479">
        <w:rPr>
          <w:kern w:val="22"/>
          <w:szCs w:val="22"/>
        </w:rPr>
        <w:t xml:space="preserve">improved application of </w:t>
      </w:r>
      <w:r w:rsidR="0063117F" w:rsidRPr="00891479">
        <w:rPr>
          <w:kern w:val="22"/>
          <w:szCs w:val="22"/>
        </w:rPr>
        <w:t>safeguards in their respective mandates</w:t>
      </w:r>
      <w:r w:rsidR="00754AD8" w:rsidRPr="00891479">
        <w:rPr>
          <w:kern w:val="22"/>
          <w:szCs w:val="22"/>
        </w:rPr>
        <w:t>.</w:t>
      </w:r>
      <w:r w:rsidR="001265CA" w:rsidRPr="00891479">
        <w:rPr>
          <w:rStyle w:val="FootnoteReference"/>
          <w:kern w:val="22"/>
          <w:szCs w:val="22"/>
        </w:rPr>
        <w:footnoteReference w:id="61"/>
      </w:r>
    </w:p>
    <w:p w14:paraId="5A853909" w14:textId="71C34D1D" w:rsidR="00515987" w:rsidRPr="00891479" w:rsidRDefault="003D54CE" w:rsidP="00B358B9">
      <w:pPr>
        <w:pStyle w:val="Para1"/>
        <w:numPr>
          <w:ilvl w:val="0"/>
          <w:numId w:val="110"/>
        </w:numPr>
        <w:suppressLineNumbers/>
        <w:suppressAutoHyphens/>
        <w:kinsoku w:val="0"/>
        <w:overflowPunct w:val="0"/>
        <w:autoSpaceDE w:val="0"/>
        <w:autoSpaceDN w:val="0"/>
        <w:adjustRightInd w:val="0"/>
        <w:snapToGrid w:val="0"/>
        <w:ind w:left="0" w:firstLine="0"/>
        <w:rPr>
          <w:i/>
          <w:kern w:val="22"/>
          <w:szCs w:val="22"/>
        </w:rPr>
      </w:pPr>
      <w:r w:rsidRPr="00891479">
        <w:rPr>
          <w:kern w:val="22"/>
          <w:szCs w:val="22"/>
        </w:rPr>
        <w:t xml:space="preserve">Substantively </w:t>
      </w:r>
      <w:r w:rsidR="00053DBD" w:rsidRPr="00891479">
        <w:rPr>
          <w:kern w:val="22"/>
          <w:szCs w:val="22"/>
        </w:rPr>
        <w:t>and procedurally</w:t>
      </w:r>
      <w:r w:rsidR="002B5426" w:rsidRPr="00891479">
        <w:rPr>
          <w:kern w:val="22"/>
          <w:szCs w:val="22"/>
        </w:rPr>
        <w:t>,</w:t>
      </w:r>
      <w:r w:rsidR="00053DBD" w:rsidRPr="00891479">
        <w:rPr>
          <w:kern w:val="22"/>
          <w:szCs w:val="22"/>
        </w:rPr>
        <w:t xml:space="preserve"> the new generation of safeguards are increasingly </w:t>
      </w:r>
      <w:r w:rsidR="0014376F" w:rsidRPr="00891479">
        <w:rPr>
          <w:kern w:val="22"/>
          <w:szCs w:val="22"/>
        </w:rPr>
        <w:t xml:space="preserve">converging </w:t>
      </w:r>
      <w:r w:rsidR="00053DBD" w:rsidRPr="00891479">
        <w:rPr>
          <w:kern w:val="22"/>
          <w:szCs w:val="22"/>
        </w:rPr>
        <w:t xml:space="preserve">towards </w:t>
      </w:r>
      <w:r w:rsidR="00663F0C" w:rsidRPr="00891479">
        <w:rPr>
          <w:kern w:val="22"/>
          <w:szCs w:val="22"/>
        </w:rPr>
        <w:t xml:space="preserve">key common principles that </w:t>
      </w:r>
      <w:r w:rsidR="00436C31" w:rsidRPr="00891479">
        <w:rPr>
          <w:kern w:val="22"/>
          <w:szCs w:val="22"/>
        </w:rPr>
        <w:t xml:space="preserve">are included in the </w:t>
      </w:r>
      <w:r w:rsidR="002C36C6" w:rsidRPr="00891479">
        <w:rPr>
          <w:kern w:val="22"/>
          <w:szCs w:val="22"/>
        </w:rPr>
        <w:t>Convention’s voluntary guidelines on safeguards in biodiversity financing mechanisms</w:t>
      </w:r>
      <w:r w:rsidR="008F32EC" w:rsidRPr="00891479">
        <w:rPr>
          <w:kern w:val="22"/>
          <w:szCs w:val="22"/>
        </w:rPr>
        <w:t>.</w:t>
      </w:r>
      <w:r w:rsidR="00436C31" w:rsidRPr="00891479">
        <w:rPr>
          <w:kern w:val="22"/>
          <w:szCs w:val="22"/>
        </w:rPr>
        <w:t xml:space="preserve"> For example, the substantive requirement that the tenure and access rights of indigenous peoples and local communities should not be affected by financing mechanisms or projects is universally accepted; similarly, stakeholder involvement throughout the cycle</w:t>
      </w:r>
      <w:r w:rsidR="008870BD" w:rsidRPr="00891479">
        <w:rPr>
          <w:kern w:val="22"/>
          <w:szCs w:val="22"/>
        </w:rPr>
        <w:t>,</w:t>
      </w:r>
      <w:r w:rsidR="00436C31" w:rsidRPr="00891479">
        <w:rPr>
          <w:kern w:val="22"/>
          <w:szCs w:val="22"/>
        </w:rPr>
        <w:t xml:space="preserve"> </w:t>
      </w:r>
      <w:r w:rsidR="00436C31" w:rsidRPr="00B358B9">
        <w:rPr>
          <w:rFonts w:eastAsia="MS Mincho"/>
          <w:kern w:val="22"/>
          <w:szCs w:val="22"/>
        </w:rPr>
        <w:t>and</w:t>
      </w:r>
      <w:r w:rsidR="00436C31" w:rsidRPr="00891479">
        <w:rPr>
          <w:kern w:val="22"/>
          <w:szCs w:val="22"/>
        </w:rPr>
        <w:t xml:space="preserve"> free, prior and informed consent are today common principles (although some </w:t>
      </w:r>
      <w:r w:rsidR="002B5426" w:rsidRPr="00891479">
        <w:rPr>
          <w:kern w:val="22"/>
          <w:szCs w:val="22"/>
        </w:rPr>
        <w:t xml:space="preserve">questions </w:t>
      </w:r>
      <w:r w:rsidR="00436C31" w:rsidRPr="00891479">
        <w:rPr>
          <w:kern w:val="22"/>
          <w:szCs w:val="22"/>
        </w:rPr>
        <w:t xml:space="preserve">remain </w:t>
      </w:r>
      <w:r w:rsidR="002B5426" w:rsidRPr="00891479">
        <w:rPr>
          <w:kern w:val="22"/>
          <w:szCs w:val="22"/>
        </w:rPr>
        <w:t xml:space="preserve">on how </w:t>
      </w:r>
      <w:r w:rsidR="00436C31" w:rsidRPr="00891479">
        <w:rPr>
          <w:kern w:val="22"/>
          <w:szCs w:val="22"/>
        </w:rPr>
        <w:t xml:space="preserve">“consent” and “consultation” </w:t>
      </w:r>
      <w:r w:rsidR="002B5426" w:rsidRPr="00891479">
        <w:rPr>
          <w:kern w:val="22"/>
          <w:szCs w:val="22"/>
        </w:rPr>
        <w:t xml:space="preserve">are framed </w:t>
      </w:r>
      <w:r w:rsidR="00436C31" w:rsidRPr="00891479">
        <w:rPr>
          <w:kern w:val="22"/>
          <w:szCs w:val="22"/>
        </w:rPr>
        <w:t xml:space="preserve">in certain cases). </w:t>
      </w:r>
      <w:r w:rsidR="00837B4F" w:rsidRPr="00891479">
        <w:rPr>
          <w:kern w:val="22"/>
          <w:szCs w:val="22"/>
        </w:rPr>
        <w:t xml:space="preserve">This process towards common approaches and principles can be further strengthened and facilitated </w:t>
      </w:r>
      <w:r w:rsidR="00F937EE">
        <w:rPr>
          <w:kern w:val="22"/>
          <w:szCs w:val="22"/>
        </w:rPr>
        <w:t xml:space="preserve">by </w:t>
      </w:r>
      <w:r w:rsidR="004E3DED" w:rsidRPr="00891479">
        <w:rPr>
          <w:kern w:val="22"/>
          <w:szCs w:val="22"/>
        </w:rPr>
        <w:t>using</w:t>
      </w:r>
      <w:r w:rsidR="00837B4F" w:rsidRPr="00891479">
        <w:rPr>
          <w:kern w:val="22"/>
          <w:szCs w:val="22"/>
        </w:rPr>
        <w:t xml:space="preserve"> the </w:t>
      </w:r>
      <w:r w:rsidR="002C36C6" w:rsidRPr="00891479">
        <w:rPr>
          <w:kern w:val="22"/>
          <w:szCs w:val="22"/>
        </w:rPr>
        <w:t xml:space="preserve">Convention’s voluntary guidelines on safeguards in biodiversity financing </w:t>
      </w:r>
      <w:r w:rsidR="00D6739E" w:rsidRPr="00891479">
        <w:rPr>
          <w:kern w:val="22"/>
          <w:szCs w:val="22"/>
        </w:rPr>
        <w:t>mechanisms as</w:t>
      </w:r>
      <w:r w:rsidR="00837B4F" w:rsidRPr="00891479">
        <w:rPr>
          <w:kern w:val="22"/>
          <w:szCs w:val="22"/>
        </w:rPr>
        <w:t xml:space="preserve"> an authoritative reference framework.</w:t>
      </w:r>
    </w:p>
    <w:p w14:paraId="43E9FA2B" w14:textId="7EA50475" w:rsidR="003D54CE" w:rsidRPr="00891479" w:rsidRDefault="00837B4F" w:rsidP="00B358B9">
      <w:pPr>
        <w:pStyle w:val="Para1"/>
        <w:numPr>
          <w:ilvl w:val="0"/>
          <w:numId w:val="110"/>
        </w:numPr>
        <w:suppressLineNumbers/>
        <w:suppressAutoHyphens/>
        <w:kinsoku w:val="0"/>
        <w:overflowPunct w:val="0"/>
        <w:autoSpaceDE w:val="0"/>
        <w:autoSpaceDN w:val="0"/>
        <w:adjustRightInd w:val="0"/>
        <w:snapToGrid w:val="0"/>
        <w:ind w:left="0" w:firstLine="0"/>
        <w:rPr>
          <w:i/>
          <w:kern w:val="22"/>
          <w:szCs w:val="22"/>
        </w:rPr>
      </w:pPr>
      <w:r w:rsidRPr="00891479">
        <w:rPr>
          <w:kern w:val="22"/>
          <w:szCs w:val="22"/>
        </w:rPr>
        <w:t xml:space="preserve">Safeguard and standard systems are increasingly </w:t>
      </w:r>
      <w:r w:rsidR="00190733" w:rsidRPr="00891479">
        <w:rPr>
          <w:kern w:val="22"/>
          <w:szCs w:val="22"/>
        </w:rPr>
        <w:t>recognizing m</w:t>
      </w:r>
      <w:r w:rsidR="003D54CE" w:rsidRPr="00891479">
        <w:rPr>
          <w:kern w:val="22"/>
          <w:szCs w:val="22"/>
        </w:rPr>
        <w:t>ulti</w:t>
      </w:r>
      <w:r w:rsidR="00190733" w:rsidRPr="00891479">
        <w:rPr>
          <w:kern w:val="22"/>
          <w:szCs w:val="22"/>
        </w:rPr>
        <w:t>-</w:t>
      </w:r>
      <w:r w:rsidR="003D54CE" w:rsidRPr="00891479">
        <w:rPr>
          <w:kern w:val="22"/>
          <w:szCs w:val="22"/>
        </w:rPr>
        <w:t>scale</w:t>
      </w:r>
      <w:r w:rsidR="00190733" w:rsidRPr="00891479">
        <w:rPr>
          <w:kern w:val="22"/>
          <w:szCs w:val="22"/>
        </w:rPr>
        <w:t xml:space="preserve"> needs and challenges, and</w:t>
      </w:r>
      <w:r w:rsidR="00512BB7" w:rsidRPr="00891479">
        <w:rPr>
          <w:kern w:val="22"/>
          <w:szCs w:val="22"/>
        </w:rPr>
        <w:t>,</w:t>
      </w:r>
      <w:r w:rsidR="00190733" w:rsidRPr="00891479">
        <w:rPr>
          <w:kern w:val="22"/>
          <w:szCs w:val="22"/>
        </w:rPr>
        <w:t xml:space="preserve"> if looked at in a complementary way, they can help address local and national scales. </w:t>
      </w:r>
      <w:r w:rsidR="0065456C" w:rsidRPr="00891479">
        <w:rPr>
          <w:kern w:val="22"/>
          <w:szCs w:val="22"/>
        </w:rPr>
        <w:t xml:space="preserve">This trend corresponds well </w:t>
      </w:r>
      <w:r w:rsidR="002868D5" w:rsidRPr="00891479">
        <w:rPr>
          <w:kern w:val="22"/>
          <w:szCs w:val="22"/>
        </w:rPr>
        <w:t xml:space="preserve">to </w:t>
      </w:r>
      <w:r w:rsidR="0065456C" w:rsidRPr="00891479">
        <w:rPr>
          <w:kern w:val="22"/>
          <w:szCs w:val="22"/>
        </w:rPr>
        <w:t xml:space="preserve">the concepts of the </w:t>
      </w:r>
      <w:r w:rsidR="002C36C6" w:rsidRPr="00891479">
        <w:rPr>
          <w:kern w:val="22"/>
          <w:szCs w:val="22"/>
        </w:rPr>
        <w:t>Convention’s volunt</w:t>
      </w:r>
      <w:r w:rsidR="00515987" w:rsidRPr="00891479">
        <w:rPr>
          <w:kern w:val="22"/>
          <w:szCs w:val="22"/>
        </w:rPr>
        <w:t xml:space="preserve">ary guidelines on safeguards in </w:t>
      </w:r>
      <w:r w:rsidR="002C36C6" w:rsidRPr="00891479">
        <w:rPr>
          <w:kern w:val="22"/>
          <w:szCs w:val="22"/>
        </w:rPr>
        <w:t xml:space="preserve">biodiversity financing mechanisms </w:t>
      </w:r>
      <w:r w:rsidR="0065456C" w:rsidRPr="00891479">
        <w:rPr>
          <w:kern w:val="22"/>
          <w:szCs w:val="22"/>
        </w:rPr>
        <w:t xml:space="preserve">of developing safeguards grounded in local circumstances while also corresponding </w:t>
      </w:r>
      <w:r w:rsidR="002868D5" w:rsidRPr="00891479">
        <w:rPr>
          <w:kern w:val="22"/>
          <w:szCs w:val="22"/>
        </w:rPr>
        <w:t xml:space="preserve">to </w:t>
      </w:r>
      <w:r w:rsidR="0065456C" w:rsidRPr="00891479">
        <w:rPr>
          <w:kern w:val="22"/>
          <w:szCs w:val="22"/>
        </w:rPr>
        <w:t>the national frameworks.</w:t>
      </w:r>
    </w:p>
    <w:p w14:paraId="022F0CAE" w14:textId="60AB71AB" w:rsidR="00661B55" w:rsidRPr="00891479" w:rsidRDefault="0065456C" w:rsidP="00B358B9">
      <w:pPr>
        <w:pStyle w:val="Para1"/>
        <w:numPr>
          <w:ilvl w:val="0"/>
          <w:numId w:val="110"/>
        </w:numPr>
        <w:suppressLineNumbers/>
        <w:suppressAutoHyphens/>
        <w:kinsoku w:val="0"/>
        <w:overflowPunct w:val="0"/>
        <w:autoSpaceDE w:val="0"/>
        <w:autoSpaceDN w:val="0"/>
        <w:adjustRightInd w:val="0"/>
        <w:snapToGrid w:val="0"/>
        <w:ind w:left="0" w:firstLine="0"/>
        <w:rPr>
          <w:i/>
          <w:kern w:val="22"/>
          <w:szCs w:val="22"/>
        </w:rPr>
      </w:pPr>
      <w:r w:rsidRPr="00891479">
        <w:rPr>
          <w:kern w:val="22"/>
          <w:szCs w:val="22"/>
        </w:rPr>
        <w:t xml:space="preserve">The safeguard and standard systems currently in development or </w:t>
      </w:r>
      <w:r w:rsidR="00236AE3" w:rsidRPr="00891479">
        <w:rPr>
          <w:kern w:val="22"/>
          <w:szCs w:val="22"/>
        </w:rPr>
        <w:t xml:space="preserve">under </w:t>
      </w:r>
      <w:r w:rsidRPr="00891479">
        <w:rPr>
          <w:kern w:val="22"/>
          <w:szCs w:val="22"/>
        </w:rPr>
        <w:t>improvement do not</w:t>
      </w:r>
      <w:r w:rsidR="005A574D" w:rsidRPr="00891479">
        <w:rPr>
          <w:kern w:val="22"/>
          <w:szCs w:val="22"/>
        </w:rPr>
        <w:t>,</w:t>
      </w:r>
      <w:r w:rsidRPr="00891479">
        <w:rPr>
          <w:kern w:val="22"/>
          <w:szCs w:val="22"/>
        </w:rPr>
        <w:t xml:space="preserve"> </w:t>
      </w:r>
      <w:r w:rsidR="005A574D" w:rsidRPr="00891479">
        <w:rPr>
          <w:kern w:val="22"/>
          <w:szCs w:val="22"/>
        </w:rPr>
        <w:t xml:space="preserve">in </w:t>
      </w:r>
      <w:r w:rsidRPr="00891479">
        <w:rPr>
          <w:kern w:val="22"/>
          <w:szCs w:val="22"/>
        </w:rPr>
        <w:t>general</w:t>
      </w:r>
      <w:r w:rsidR="005A574D" w:rsidRPr="00891479">
        <w:rPr>
          <w:kern w:val="22"/>
          <w:szCs w:val="22"/>
        </w:rPr>
        <w:t>,</w:t>
      </w:r>
      <w:r w:rsidRPr="00891479">
        <w:rPr>
          <w:kern w:val="22"/>
          <w:szCs w:val="22"/>
        </w:rPr>
        <w:t xml:space="preserve"> explicitly </w:t>
      </w:r>
      <w:r w:rsidR="005A574D" w:rsidRPr="00891479">
        <w:rPr>
          <w:kern w:val="22"/>
          <w:szCs w:val="22"/>
        </w:rPr>
        <w:t xml:space="preserve">use </w:t>
      </w:r>
      <w:r w:rsidRPr="00891479">
        <w:rPr>
          <w:kern w:val="22"/>
          <w:szCs w:val="22"/>
        </w:rPr>
        <w:t xml:space="preserve">the </w:t>
      </w:r>
      <w:r w:rsidR="002C36C6" w:rsidRPr="00891479">
        <w:rPr>
          <w:kern w:val="22"/>
          <w:szCs w:val="22"/>
        </w:rPr>
        <w:t>Convention’s voluntary guidelines on safeguards in biodiversity financing mechanisms</w:t>
      </w:r>
      <w:r w:rsidR="00667E18" w:rsidRPr="00891479">
        <w:rPr>
          <w:kern w:val="22"/>
          <w:szCs w:val="22"/>
        </w:rPr>
        <w:t>,</w:t>
      </w:r>
      <w:r w:rsidRPr="00891479">
        <w:rPr>
          <w:kern w:val="22"/>
          <w:szCs w:val="22"/>
        </w:rPr>
        <w:t xml:space="preserve"> among other reasons because of the timeframes – the </w:t>
      </w:r>
      <w:r w:rsidR="002C36C6" w:rsidRPr="00891479">
        <w:rPr>
          <w:kern w:val="22"/>
          <w:szCs w:val="22"/>
        </w:rPr>
        <w:t xml:space="preserve">Convention’s voluntary guidelines on safeguards in biodiversity financing mechanisms </w:t>
      </w:r>
      <w:r w:rsidRPr="00891479">
        <w:rPr>
          <w:kern w:val="22"/>
          <w:szCs w:val="22"/>
        </w:rPr>
        <w:t xml:space="preserve">were adopted in 2014, while most of the current processes started </w:t>
      </w:r>
      <w:r w:rsidR="00FF6131" w:rsidRPr="00891479">
        <w:rPr>
          <w:kern w:val="22"/>
          <w:szCs w:val="22"/>
        </w:rPr>
        <w:t xml:space="preserve">well </w:t>
      </w:r>
      <w:r w:rsidRPr="00891479">
        <w:rPr>
          <w:kern w:val="22"/>
          <w:szCs w:val="22"/>
        </w:rPr>
        <w:t>before</w:t>
      </w:r>
      <w:r w:rsidR="00FF6131" w:rsidRPr="00891479">
        <w:rPr>
          <w:kern w:val="22"/>
          <w:szCs w:val="22"/>
        </w:rPr>
        <w:t xml:space="preserve"> that,</w:t>
      </w:r>
      <w:r w:rsidRPr="00891479">
        <w:rPr>
          <w:kern w:val="22"/>
          <w:szCs w:val="22"/>
        </w:rPr>
        <w:t xml:space="preserve"> </w:t>
      </w:r>
      <w:r w:rsidR="0014072D" w:rsidRPr="00891479">
        <w:rPr>
          <w:kern w:val="22"/>
          <w:szCs w:val="22"/>
        </w:rPr>
        <w:t>even if their new structures have been emerging more recently. In the current phase</w:t>
      </w:r>
      <w:r w:rsidR="006E20F5" w:rsidRPr="00891479">
        <w:rPr>
          <w:kern w:val="22"/>
          <w:szCs w:val="22"/>
        </w:rPr>
        <w:t>,</w:t>
      </w:r>
      <w:r w:rsidR="0014072D" w:rsidRPr="00891479">
        <w:rPr>
          <w:kern w:val="22"/>
          <w:szCs w:val="22"/>
        </w:rPr>
        <w:t xml:space="preserve"> </w:t>
      </w:r>
      <w:r w:rsidR="006E20F5" w:rsidRPr="00891479">
        <w:rPr>
          <w:kern w:val="22"/>
          <w:szCs w:val="22"/>
        </w:rPr>
        <w:t xml:space="preserve">in which </w:t>
      </w:r>
      <w:r w:rsidR="0014072D" w:rsidRPr="00891479">
        <w:rPr>
          <w:kern w:val="22"/>
          <w:szCs w:val="22"/>
        </w:rPr>
        <w:t xml:space="preserve">many such processes are still in development, the </w:t>
      </w:r>
      <w:r w:rsidR="002C36C6" w:rsidRPr="00891479">
        <w:rPr>
          <w:kern w:val="22"/>
          <w:szCs w:val="22"/>
        </w:rPr>
        <w:t xml:space="preserve">Convention’s voluntary guidelines on safeguards in biodiversity financing mechanisms </w:t>
      </w:r>
      <w:r w:rsidR="0014072D" w:rsidRPr="00891479">
        <w:rPr>
          <w:kern w:val="22"/>
          <w:szCs w:val="22"/>
        </w:rPr>
        <w:t>would be very useful, as proposed earlier, but a more active outreach to promote this instrument would be needed for greater uptake.</w:t>
      </w:r>
    </w:p>
    <w:p w14:paraId="62062682" w14:textId="2BEFAFB7" w:rsidR="00661B55" w:rsidRPr="00891479" w:rsidRDefault="0014072D" w:rsidP="00B358B9">
      <w:pPr>
        <w:pStyle w:val="Para1"/>
        <w:numPr>
          <w:ilvl w:val="0"/>
          <w:numId w:val="110"/>
        </w:numPr>
        <w:suppressLineNumbers/>
        <w:suppressAutoHyphens/>
        <w:kinsoku w:val="0"/>
        <w:overflowPunct w:val="0"/>
        <w:autoSpaceDE w:val="0"/>
        <w:autoSpaceDN w:val="0"/>
        <w:adjustRightInd w:val="0"/>
        <w:snapToGrid w:val="0"/>
        <w:ind w:left="0" w:firstLine="0"/>
        <w:rPr>
          <w:i/>
          <w:kern w:val="22"/>
          <w:szCs w:val="22"/>
        </w:rPr>
      </w:pPr>
      <w:r w:rsidRPr="00891479">
        <w:rPr>
          <w:kern w:val="22"/>
          <w:szCs w:val="22"/>
        </w:rPr>
        <w:t xml:space="preserve">The actors behind financing mechanisms and safeguard systems point systematically to the greatest </w:t>
      </w:r>
      <w:r w:rsidR="00661B55" w:rsidRPr="00891479">
        <w:rPr>
          <w:kern w:val="22"/>
          <w:szCs w:val="22"/>
        </w:rPr>
        <w:t>challenge</w:t>
      </w:r>
      <w:r w:rsidR="001E5F6C" w:rsidRPr="00891479">
        <w:rPr>
          <w:kern w:val="22"/>
          <w:szCs w:val="22"/>
        </w:rPr>
        <w:t>:</w:t>
      </w:r>
      <w:r w:rsidRPr="00891479">
        <w:rPr>
          <w:kern w:val="22"/>
          <w:szCs w:val="22"/>
        </w:rPr>
        <w:t xml:space="preserve"> implementation.</w:t>
      </w:r>
      <w:r w:rsidR="009A1111" w:rsidRPr="00891479">
        <w:rPr>
          <w:kern w:val="22"/>
          <w:szCs w:val="22"/>
        </w:rPr>
        <w:t xml:space="preserve"> </w:t>
      </w:r>
      <w:r w:rsidR="00501029" w:rsidRPr="00891479">
        <w:rPr>
          <w:kern w:val="22"/>
          <w:szCs w:val="22"/>
        </w:rPr>
        <w:t>M</w:t>
      </w:r>
      <w:r w:rsidR="009A1111" w:rsidRPr="00891479">
        <w:rPr>
          <w:kern w:val="22"/>
          <w:szCs w:val="22"/>
        </w:rPr>
        <w:t xml:space="preserve">any of the systems still lack adequate tools, capacities and </w:t>
      </w:r>
      <w:r w:rsidR="009A1111" w:rsidRPr="00B358B9">
        <w:rPr>
          <w:rFonts w:eastAsia="MS Mincho"/>
          <w:kern w:val="22"/>
          <w:szCs w:val="22"/>
        </w:rPr>
        <w:t>institutional</w:t>
      </w:r>
      <w:r w:rsidR="009A1111" w:rsidRPr="00891479">
        <w:rPr>
          <w:kern w:val="22"/>
          <w:szCs w:val="22"/>
        </w:rPr>
        <w:t xml:space="preserve"> arrangements; building and sustaining enabling processes and conditions are, </w:t>
      </w:r>
      <w:r w:rsidR="00501029" w:rsidRPr="00891479">
        <w:rPr>
          <w:kern w:val="22"/>
          <w:szCs w:val="22"/>
        </w:rPr>
        <w:t>in addition</w:t>
      </w:r>
      <w:r w:rsidR="009A1111" w:rsidRPr="00891479">
        <w:rPr>
          <w:kern w:val="22"/>
          <w:szCs w:val="22"/>
        </w:rPr>
        <w:t>, extremely demanding and difficult</w:t>
      </w:r>
      <w:r w:rsidR="00B6157E" w:rsidRPr="00891479">
        <w:rPr>
          <w:kern w:val="22"/>
          <w:szCs w:val="22"/>
        </w:rPr>
        <w:t xml:space="preserve"> in many countries</w:t>
      </w:r>
      <w:r w:rsidR="00661B55" w:rsidRPr="00891479">
        <w:rPr>
          <w:kern w:val="22"/>
          <w:szCs w:val="22"/>
        </w:rPr>
        <w:t>.</w:t>
      </w:r>
      <w:r w:rsidR="00B6157E" w:rsidRPr="00891479">
        <w:rPr>
          <w:kern w:val="22"/>
          <w:szCs w:val="22"/>
        </w:rPr>
        <w:t xml:space="preserve"> This goes beyond the design and development of the safeguard systems, and calls for greater synergies among a diversity of actors, including Parties</w:t>
      </w:r>
      <w:r w:rsidR="00A560F0" w:rsidRPr="00891479">
        <w:rPr>
          <w:kern w:val="22"/>
          <w:szCs w:val="22"/>
        </w:rPr>
        <w:t xml:space="preserve"> to the Convention on Biological Diversity</w:t>
      </w:r>
      <w:r w:rsidR="00B6157E" w:rsidRPr="00891479">
        <w:rPr>
          <w:kern w:val="22"/>
          <w:szCs w:val="22"/>
        </w:rPr>
        <w:t xml:space="preserve"> and stakeholder organizations, to create the critical mass of social action that is needed to ensure that the objectives of the </w:t>
      </w:r>
      <w:r w:rsidR="002C36C6" w:rsidRPr="00891479">
        <w:rPr>
          <w:kern w:val="22"/>
          <w:szCs w:val="22"/>
        </w:rPr>
        <w:t xml:space="preserve">Convention’s voluntary guidelines on safeguards in biodiversity financing </w:t>
      </w:r>
      <w:r w:rsidR="00D6739E" w:rsidRPr="00891479">
        <w:rPr>
          <w:kern w:val="22"/>
          <w:szCs w:val="22"/>
        </w:rPr>
        <w:t>mechanisms are</w:t>
      </w:r>
      <w:r w:rsidR="00B6157E" w:rsidRPr="00891479">
        <w:rPr>
          <w:kern w:val="22"/>
          <w:szCs w:val="22"/>
        </w:rPr>
        <w:t xml:space="preserve"> met</w:t>
      </w:r>
      <w:r w:rsidR="001079F8" w:rsidRPr="00891479">
        <w:rPr>
          <w:kern w:val="22"/>
          <w:szCs w:val="22"/>
        </w:rPr>
        <w:t xml:space="preserve"> on the ground</w:t>
      </w:r>
      <w:r w:rsidR="00B6157E" w:rsidRPr="00891479">
        <w:rPr>
          <w:kern w:val="22"/>
          <w:szCs w:val="22"/>
        </w:rPr>
        <w:t>.</w:t>
      </w:r>
    </w:p>
    <w:p w14:paraId="21002505" w14:textId="1BE33FA4" w:rsidR="0007116D" w:rsidRPr="00B358B9" w:rsidRDefault="00815255" w:rsidP="00B358B9">
      <w:pPr>
        <w:pStyle w:val="Heading1"/>
        <w:suppressLineNumbers/>
        <w:tabs>
          <w:tab w:val="clear" w:pos="720"/>
          <w:tab w:val="left" w:pos="360"/>
        </w:tab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szCs w:val="22"/>
          <w:lang w:val="en-GB"/>
        </w:rPr>
      </w:pPr>
      <w:r w:rsidRPr="00815255">
        <w:rPr>
          <w:rFonts w:ascii="Times New Roman Bold" w:hAnsi="Times New Roman Bold" w:cs="Times New Roman Bold"/>
          <w:caps w:val="0"/>
          <w:snapToGrid w:val="0"/>
          <w:kern w:val="22"/>
          <w:szCs w:val="22"/>
          <w:lang w:val="en-GB"/>
        </w:rPr>
        <w:t>V.</w:t>
      </w:r>
      <w:r w:rsidRPr="00815255">
        <w:rPr>
          <w:rFonts w:ascii="Times New Roman Bold" w:hAnsi="Times New Roman Bold" w:cs="Times New Roman Bold"/>
          <w:caps w:val="0"/>
          <w:snapToGrid w:val="0"/>
          <w:kern w:val="22"/>
          <w:szCs w:val="22"/>
          <w:lang w:val="en-GB"/>
        </w:rPr>
        <w:tab/>
        <w:t>SUGGESTED RECOMMENDATION</w:t>
      </w:r>
    </w:p>
    <w:p w14:paraId="1D98E87E" w14:textId="568C846E" w:rsidR="00731B36" w:rsidRPr="00B358B9" w:rsidRDefault="00565542" w:rsidP="00B358B9">
      <w:pPr>
        <w:pStyle w:val="Para1"/>
        <w:numPr>
          <w:ilvl w:val="0"/>
          <w:numId w:val="110"/>
        </w:numPr>
        <w:suppressLineNumbers/>
        <w:suppressAutoHyphens/>
        <w:kinsoku w:val="0"/>
        <w:overflowPunct w:val="0"/>
        <w:autoSpaceDE w:val="0"/>
        <w:autoSpaceDN w:val="0"/>
        <w:adjustRightInd w:val="0"/>
        <w:snapToGrid w:val="0"/>
        <w:ind w:left="0" w:firstLine="0"/>
        <w:rPr>
          <w:rFonts w:eastAsia="Batang"/>
          <w:kern w:val="22"/>
          <w:szCs w:val="22"/>
        </w:rPr>
      </w:pPr>
      <w:r w:rsidRPr="00891479">
        <w:rPr>
          <w:kern w:val="22"/>
          <w:szCs w:val="22"/>
        </w:rPr>
        <w:t>As requested i</w:t>
      </w:r>
      <w:r w:rsidR="00DB4784" w:rsidRPr="00891479">
        <w:rPr>
          <w:kern w:val="22"/>
          <w:szCs w:val="22"/>
        </w:rPr>
        <w:t>n paragraph 27 of</w:t>
      </w:r>
      <w:r w:rsidR="00805703" w:rsidRPr="00891479">
        <w:rPr>
          <w:kern w:val="22"/>
          <w:szCs w:val="22"/>
        </w:rPr>
        <w:t xml:space="preserve"> </w:t>
      </w:r>
      <w:r w:rsidR="001A23CF" w:rsidRPr="00891479">
        <w:rPr>
          <w:kern w:val="22"/>
          <w:szCs w:val="22"/>
        </w:rPr>
        <w:t>d</w:t>
      </w:r>
      <w:r w:rsidR="00DB4784" w:rsidRPr="00891479">
        <w:rPr>
          <w:kern w:val="22"/>
          <w:szCs w:val="22"/>
        </w:rPr>
        <w:t xml:space="preserve">ecision XIII/20, </w:t>
      </w:r>
      <w:bookmarkStart w:id="25" w:name="_Hlk498374289"/>
      <w:r w:rsidRPr="00891479">
        <w:rPr>
          <w:kern w:val="22"/>
          <w:szCs w:val="22"/>
        </w:rPr>
        <w:t>and in</w:t>
      </w:r>
      <w:r w:rsidR="002C7812" w:rsidRPr="00B358B9">
        <w:rPr>
          <w:kern w:val="22"/>
          <w:szCs w:val="22"/>
        </w:rPr>
        <w:t xml:space="preserve"> the light of the comments and suggestions contained in </w:t>
      </w:r>
      <w:r w:rsidR="00586F9C" w:rsidRPr="00B358B9">
        <w:rPr>
          <w:kern w:val="22"/>
          <w:szCs w:val="22"/>
        </w:rPr>
        <w:t>th</w:t>
      </w:r>
      <w:r w:rsidR="00B26CD1" w:rsidRPr="00B358B9">
        <w:rPr>
          <w:kern w:val="22"/>
          <w:szCs w:val="22"/>
        </w:rPr>
        <w:t>e present</w:t>
      </w:r>
      <w:r w:rsidR="00586F9C" w:rsidRPr="00B358B9">
        <w:rPr>
          <w:kern w:val="22"/>
          <w:szCs w:val="22"/>
        </w:rPr>
        <w:t xml:space="preserve"> document, the Subsidiary Body on Implementation at its second meeting </w:t>
      </w:r>
      <w:r w:rsidR="002C7812" w:rsidRPr="00B358B9">
        <w:rPr>
          <w:rFonts w:eastAsia="Batang"/>
          <w:kern w:val="22"/>
          <w:szCs w:val="22"/>
        </w:rPr>
        <w:t xml:space="preserve">may wish to consider the following </w:t>
      </w:r>
      <w:r w:rsidR="001A23CF" w:rsidRPr="00B358B9">
        <w:rPr>
          <w:rFonts w:eastAsia="Batang"/>
          <w:kern w:val="22"/>
          <w:szCs w:val="22"/>
        </w:rPr>
        <w:t xml:space="preserve">as </w:t>
      </w:r>
      <w:r w:rsidR="002C7812" w:rsidRPr="00B358B9">
        <w:rPr>
          <w:rFonts w:eastAsia="Batang"/>
          <w:kern w:val="22"/>
          <w:szCs w:val="22"/>
        </w:rPr>
        <w:t xml:space="preserve">a possible draft </w:t>
      </w:r>
      <w:r w:rsidR="002C7812" w:rsidRPr="00B358B9">
        <w:rPr>
          <w:rFonts w:eastAsia="Batang"/>
          <w:kern w:val="22"/>
          <w:szCs w:val="22"/>
          <w:lang w:eastAsia="ko-KR"/>
        </w:rPr>
        <w:t>recommendation</w:t>
      </w:r>
      <w:bookmarkEnd w:id="25"/>
      <w:r w:rsidRPr="00891479">
        <w:rPr>
          <w:kern w:val="22"/>
          <w:szCs w:val="22"/>
        </w:rPr>
        <w:t xml:space="preserve"> </w:t>
      </w:r>
      <w:r w:rsidR="00586F9C" w:rsidRPr="00891479">
        <w:rPr>
          <w:kern w:val="22"/>
          <w:szCs w:val="22"/>
        </w:rPr>
        <w:t xml:space="preserve">to the </w:t>
      </w:r>
      <w:r w:rsidR="002A0782" w:rsidRPr="00891479">
        <w:rPr>
          <w:kern w:val="22"/>
          <w:szCs w:val="22"/>
        </w:rPr>
        <w:t xml:space="preserve">Conference of the Parties </w:t>
      </w:r>
      <w:r w:rsidR="000C57A3" w:rsidRPr="00891479">
        <w:rPr>
          <w:kern w:val="22"/>
          <w:szCs w:val="22"/>
        </w:rPr>
        <w:t xml:space="preserve">for adoption </w:t>
      </w:r>
      <w:r w:rsidR="002A0782" w:rsidRPr="00891479">
        <w:rPr>
          <w:kern w:val="22"/>
          <w:szCs w:val="22"/>
        </w:rPr>
        <w:t>at its fourteenth meeting.</w:t>
      </w:r>
    </w:p>
    <w:p w14:paraId="0E1BDBAE" w14:textId="77777777" w:rsidR="002C7812" w:rsidRPr="00891479" w:rsidRDefault="00001971" w:rsidP="00B358B9">
      <w:pPr>
        <w:pStyle w:val="Para1"/>
        <w:keepNext/>
        <w:numPr>
          <w:ilvl w:val="0"/>
          <w:numId w:val="0"/>
        </w:numPr>
        <w:suppressLineNumbers/>
        <w:suppressAutoHyphens/>
        <w:kinsoku w:val="0"/>
        <w:overflowPunct w:val="0"/>
        <w:autoSpaceDE w:val="0"/>
        <w:autoSpaceDN w:val="0"/>
        <w:adjustRightInd w:val="0"/>
        <w:snapToGrid w:val="0"/>
        <w:rPr>
          <w:b/>
          <w:iCs/>
          <w:kern w:val="22"/>
          <w:szCs w:val="22"/>
        </w:rPr>
      </w:pPr>
      <w:r w:rsidRPr="00891479">
        <w:rPr>
          <w:b/>
          <w:kern w:val="22"/>
          <w:szCs w:val="22"/>
        </w:rPr>
        <w:t>Safeguards in biodiversity financing, with focus on the potential effects of these safeguards on the social and economic rights and livelihoods of indigenous peoples and local communities</w:t>
      </w:r>
    </w:p>
    <w:p w14:paraId="5DC754A3" w14:textId="77777777" w:rsidR="002C7812" w:rsidRPr="00891479" w:rsidRDefault="002C7812" w:rsidP="00B358B9">
      <w:pPr>
        <w:keepNext/>
        <w:suppressLineNumbers/>
        <w:suppressAutoHyphens/>
        <w:kinsoku w:val="0"/>
        <w:overflowPunct w:val="0"/>
        <w:autoSpaceDE w:val="0"/>
        <w:autoSpaceDN w:val="0"/>
        <w:adjustRightInd w:val="0"/>
        <w:snapToGrid w:val="0"/>
        <w:spacing w:before="120" w:after="120"/>
        <w:ind w:firstLine="720"/>
        <w:rPr>
          <w:i/>
          <w:iCs/>
          <w:snapToGrid w:val="0"/>
          <w:kern w:val="22"/>
          <w:szCs w:val="22"/>
        </w:rPr>
      </w:pPr>
      <w:r w:rsidRPr="00891479">
        <w:rPr>
          <w:i/>
          <w:iCs/>
          <w:snapToGrid w:val="0"/>
          <w:kern w:val="22"/>
          <w:szCs w:val="22"/>
        </w:rPr>
        <w:t>The Conference of the Parties</w:t>
      </w:r>
    </w:p>
    <w:p w14:paraId="4306D46C" w14:textId="18D72821" w:rsidR="001D67B1" w:rsidRPr="00B358B9" w:rsidRDefault="001A23CF" w:rsidP="00B358B9">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snapToGrid w:val="0"/>
          <w:kern w:val="22"/>
          <w:sz w:val="22"/>
          <w:szCs w:val="22"/>
        </w:rPr>
      </w:pPr>
      <w:r w:rsidRPr="00B358B9">
        <w:rPr>
          <w:snapToGrid w:val="0"/>
          <w:kern w:val="22"/>
          <w:sz w:val="22"/>
          <w:szCs w:val="22"/>
        </w:rPr>
        <w:t>1.</w:t>
      </w:r>
      <w:r w:rsidRPr="00B358B9">
        <w:rPr>
          <w:snapToGrid w:val="0"/>
          <w:kern w:val="22"/>
          <w:sz w:val="22"/>
          <w:szCs w:val="22"/>
        </w:rPr>
        <w:tab/>
      </w:r>
      <w:r w:rsidR="003B5C61" w:rsidRPr="00B358B9">
        <w:rPr>
          <w:i/>
          <w:snapToGrid w:val="0"/>
          <w:kern w:val="22"/>
          <w:sz w:val="22"/>
          <w:szCs w:val="22"/>
        </w:rPr>
        <w:t>Highlights</w:t>
      </w:r>
      <w:r w:rsidR="003B5C61" w:rsidRPr="00B358B9">
        <w:rPr>
          <w:snapToGrid w:val="0"/>
          <w:kern w:val="22"/>
          <w:sz w:val="22"/>
          <w:szCs w:val="22"/>
        </w:rPr>
        <w:t xml:space="preserve"> </w:t>
      </w:r>
      <w:r w:rsidR="00461537" w:rsidRPr="00B358B9">
        <w:rPr>
          <w:snapToGrid w:val="0"/>
          <w:kern w:val="22"/>
          <w:sz w:val="22"/>
          <w:szCs w:val="22"/>
        </w:rPr>
        <w:t xml:space="preserve">with appreciation the convergence </w:t>
      </w:r>
      <w:r w:rsidR="004E3DED" w:rsidRPr="00B358B9">
        <w:rPr>
          <w:snapToGrid w:val="0"/>
          <w:kern w:val="22"/>
          <w:sz w:val="22"/>
          <w:szCs w:val="22"/>
        </w:rPr>
        <w:t xml:space="preserve">that </w:t>
      </w:r>
      <w:r w:rsidR="004E3DED" w:rsidRPr="00891479">
        <w:rPr>
          <w:iCs/>
          <w:snapToGrid w:val="0"/>
          <w:kern w:val="22"/>
          <w:sz w:val="22"/>
          <w:szCs w:val="22"/>
        </w:rPr>
        <w:t>is</w:t>
      </w:r>
      <w:r w:rsidR="003B5C61" w:rsidRPr="00B358B9">
        <w:rPr>
          <w:snapToGrid w:val="0"/>
          <w:kern w:val="22"/>
          <w:sz w:val="22"/>
          <w:szCs w:val="22"/>
        </w:rPr>
        <w:t xml:space="preserve"> emerging </w:t>
      </w:r>
      <w:r w:rsidR="00461537" w:rsidRPr="00B358B9">
        <w:rPr>
          <w:snapToGrid w:val="0"/>
          <w:kern w:val="22"/>
          <w:sz w:val="22"/>
          <w:szCs w:val="22"/>
        </w:rPr>
        <w:t xml:space="preserve">between the existing processes </w:t>
      </w:r>
      <w:r w:rsidR="003B5C61" w:rsidRPr="00B358B9">
        <w:rPr>
          <w:snapToGrid w:val="0"/>
          <w:kern w:val="22"/>
          <w:sz w:val="22"/>
          <w:szCs w:val="22"/>
        </w:rPr>
        <w:t>for d</w:t>
      </w:r>
      <w:r w:rsidR="00461537" w:rsidRPr="00B358B9">
        <w:rPr>
          <w:snapToGrid w:val="0"/>
          <w:kern w:val="22"/>
          <w:sz w:val="22"/>
          <w:szCs w:val="22"/>
        </w:rPr>
        <w:t>evelop</w:t>
      </w:r>
      <w:r w:rsidR="003B5C61" w:rsidRPr="00B358B9">
        <w:rPr>
          <w:snapToGrid w:val="0"/>
          <w:kern w:val="22"/>
          <w:sz w:val="22"/>
          <w:szCs w:val="22"/>
        </w:rPr>
        <w:t>ing</w:t>
      </w:r>
      <w:r w:rsidR="00461537" w:rsidRPr="00B358B9">
        <w:rPr>
          <w:snapToGrid w:val="0"/>
          <w:kern w:val="22"/>
          <w:sz w:val="22"/>
          <w:szCs w:val="22"/>
        </w:rPr>
        <w:t xml:space="preserve"> and/or improv</w:t>
      </w:r>
      <w:r w:rsidR="003B5C61" w:rsidRPr="00B358B9">
        <w:rPr>
          <w:snapToGrid w:val="0"/>
          <w:kern w:val="22"/>
          <w:sz w:val="22"/>
          <w:szCs w:val="22"/>
        </w:rPr>
        <w:t>ing</w:t>
      </w:r>
      <w:r w:rsidR="00461537" w:rsidRPr="00B358B9">
        <w:rPr>
          <w:snapToGrid w:val="0"/>
          <w:kern w:val="22"/>
          <w:sz w:val="22"/>
          <w:szCs w:val="22"/>
        </w:rPr>
        <w:t xml:space="preserve"> safeguard systems of the financing mechanisms and the </w:t>
      </w:r>
      <w:r w:rsidR="001E47FA" w:rsidRPr="00B358B9">
        <w:rPr>
          <w:snapToGrid w:val="0"/>
          <w:kern w:val="22"/>
          <w:sz w:val="22"/>
          <w:szCs w:val="22"/>
        </w:rPr>
        <w:t>Convention’s voluntary guidelines on safeguards in biodiversity</w:t>
      </w:r>
      <w:r w:rsidR="00731B36" w:rsidRPr="00B358B9">
        <w:rPr>
          <w:snapToGrid w:val="0"/>
          <w:kern w:val="22"/>
          <w:sz w:val="22"/>
          <w:szCs w:val="22"/>
        </w:rPr>
        <w:t xml:space="preserve"> </w:t>
      </w:r>
      <w:r w:rsidR="001E47FA" w:rsidRPr="00B358B9">
        <w:rPr>
          <w:snapToGrid w:val="0"/>
          <w:kern w:val="22"/>
          <w:sz w:val="22"/>
          <w:szCs w:val="22"/>
        </w:rPr>
        <w:t>financing</w:t>
      </w:r>
      <w:r w:rsidR="00731B36" w:rsidRPr="00B358B9">
        <w:rPr>
          <w:snapToGrid w:val="0"/>
          <w:kern w:val="22"/>
          <w:sz w:val="22"/>
          <w:szCs w:val="22"/>
        </w:rPr>
        <w:t xml:space="preserve"> </w:t>
      </w:r>
      <w:r w:rsidR="001E47FA" w:rsidRPr="00B358B9">
        <w:rPr>
          <w:snapToGrid w:val="0"/>
          <w:kern w:val="22"/>
          <w:sz w:val="22"/>
          <w:szCs w:val="22"/>
        </w:rPr>
        <w:t>mechanisms</w:t>
      </w:r>
      <w:r w:rsidR="006605CB" w:rsidRPr="00B358B9">
        <w:rPr>
          <w:snapToGrid w:val="0"/>
          <w:kern w:val="22"/>
          <w:sz w:val="22"/>
          <w:szCs w:val="22"/>
        </w:rPr>
        <w:t xml:space="preserve">, and </w:t>
      </w:r>
      <w:r w:rsidR="00EB780A" w:rsidRPr="00B358B9">
        <w:rPr>
          <w:i/>
          <w:iCs/>
          <w:snapToGrid w:val="0"/>
          <w:kern w:val="22"/>
          <w:sz w:val="22"/>
          <w:szCs w:val="22"/>
        </w:rPr>
        <w:t>encourages</w:t>
      </w:r>
      <w:r w:rsidR="00EB780A" w:rsidRPr="00B358B9">
        <w:rPr>
          <w:snapToGrid w:val="0"/>
          <w:kern w:val="22"/>
          <w:sz w:val="22"/>
          <w:szCs w:val="22"/>
        </w:rPr>
        <w:t xml:space="preserve"> all</w:t>
      </w:r>
      <w:r w:rsidR="003B5C61" w:rsidRPr="00B358B9">
        <w:rPr>
          <w:snapToGrid w:val="0"/>
          <w:kern w:val="22"/>
          <w:sz w:val="22"/>
          <w:szCs w:val="22"/>
        </w:rPr>
        <w:t xml:space="preserve"> such processes</w:t>
      </w:r>
      <w:r w:rsidR="00D242C3" w:rsidRPr="00B358B9">
        <w:rPr>
          <w:snapToGrid w:val="0"/>
          <w:kern w:val="22"/>
          <w:sz w:val="22"/>
          <w:szCs w:val="22"/>
        </w:rPr>
        <w:t xml:space="preserve"> to further refer to the </w:t>
      </w:r>
      <w:r w:rsidR="001E47FA" w:rsidRPr="00B358B9">
        <w:rPr>
          <w:snapToGrid w:val="0"/>
          <w:kern w:val="22"/>
          <w:sz w:val="22"/>
          <w:szCs w:val="22"/>
        </w:rPr>
        <w:t>guidelines</w:t>
      </w:r>
      <w:r w:rsidR="00D242C3" w:rsidRPr="00B358B9">
        <w:rPr>
          <w:snapToGrid w:val="0"/>
          <w:kern w:val="22"/>
          <w:sz w:val="22"/>
          <w:szCs w:val="22"/>
        </w:rPr>
        <w:t xml:space="preserve"> </w:t>
      </w:r>
      <w:r w:rsidR="00715AEC">
        <w:rPr>
          <w:snapToGrid w:val="0"/>
          <w:kern w:val="22"/>
          <w:sz w:val="22"/>
          <w:szCs w:val="22"/>
        </w:rPr>
        <w:t>in order to create</w:t>
      </w:r>
      <w:r w:rsidR="00D242C3" w:rsidRPr="00B358B9">
        <w:rPr>
          <w:snapToGrid w:val="0"/>
          <w:kern w:val="22"/>
          <w:sz w:val="22"/>
          <w:szCs w:val="22"/>
        </w:rPr>
        <w:t xml:space="preserve"> greater </w:t>
      </w:r>
      <w:r w:rsidR="000D1E2C" w:rsidRPr="00891479">
        <w:rPr>
          <w:iCs/>
          <w:snapToGrid w:val="0"/>
          <w:kern w:val="22"/>
          <w:sz w:val="22"/>
          <w:szCs w:val="22"/>
        </w:rPr>
        <w:t>convergence</w:t>
      </w:r>
      <w:r w:rsidR="00D242C3" w:rsidRPr="00B358B9">
        <w:rPr>
          <w:snapToGrid w:val="0"/>
          <w:kern w:val="22"/>
          <w:sz w:val="22"/>
          <w:szCs w:val="22"/>
        </w:rPr>
        <w:t>;</w:t>
      </w:r>
    </w:p>
    <w:p w14:paraId="780FF997" w14:textId="429400C8" w:rsidR="00C22084" w:rsidRPr="00B358B9" w:rsidRDefault="00DF667F" w:rsidP="00B358B9">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snapToGrid w:val="0"/>
          <w:kern w:val="22"/>
          <w:sz w:val="22"/>
          <w:szCs w:val="22"/>
        </w:rPr>
      </w:pPr>
      <w:r w:rsidRPr="00891479">
        <w:rPr>
          <w:iCs/>
          <w:snapToGrid w:val="0"/>
          <w:kern w:val="22"/>
          <w:sz w:val="22"/>
          <w:szCs w:val="22"/>
        </w:rPr>
        <w:t>2.</w:t>
      </w:r>
      <w:r w:rsidR="001D67B1" w:rsidRPr="00891479">
        <w:rPr>
          <w:iCs/>
          <w:snapToGrid w:val="0"/>
          <w:kern w:val="22"/>
          <w:sz w:val="22"/>
          <w:szCs w:val="22"/>
        </w:rPr>
        <w:tab/>
      </w:r>
      <w:r w:rsidR="001D67B1" w:rsidRPr="00B358B9">
        <w:rPr>
          <w:i/>
          <w:iCs/>
          <w:snapToGrid w:val="0"/>
          <w:kern w:val="22"/>
          <w:sz w:val="22"/>
          <w:szCs w:val="22"/>
        </w:rPr>
        <w:t>Recognizes</w:t>
      </w:r>
      <w:r w:rsidR="001D67B1" w:rsidRPr="00B358B9">
        <w:rPr>
          <w:snapToGrid w:val="0"/>
          <w:kern w:val="22"/>
          <w:sz w:val="22"/>
          <w:szCs w:val="22"/>
        </w:rPr>
        <w:t xml:space="preserve"> the importance of tenure over traditional</w:t>
      </w:r>
      <w:r w:rsidR="00644AC5" w:rsidRPr="00B358B9">
        <w:rPr>
          <w:snapToGrid w:val="0"/>
          <w:kern w:val="22"/>
          <w:sz w:val="22"/>
          <w:szCs w:val="22"/>
        </w:rPr>
        <w:t xml:space="preserve"> </w:t>
      </w:r>
      <w:r w:rsidR="001D67B1" w:rsidRPr="00B358B9">
        <w:rPr>
          <w:snapToGrid w:val="0"/>
          <w:kern w:val="22"/>
          <w:sz w:val="22"/>
          <w:szCs w:val="22"/>
        </w:rPr>
        <w:t xml:space="preserve">territories </w:t>
      </w:r>
      <w:r w:rsidR="00644AC5" w:rsidRPr="00B358B9">
        <w:rPr>
          <w:snapToGrid w:val="0"/>
          <w:kern w:val="22"/>
          <w:sz w:val="22"/>
          <w:szCs w:val="22"/>
        </w:rPr>
        <w:t xml:space="preserve">(lands </w:t>
      </w:r>
      <w:r w:rsidR="001D67B1" w:rsidRPr="00B358B9">
        <w:rPr>
          <w:snapToGrid w:val="0"/>
          <w:kern w:val="22"/>
          <w:sz w:val="22"/>
          <w:szCs w:val="22"/>
        </w:rPr>
        <w:t>and waters</w:t>
      </w:r>
      <w:r w:rsidR="00644AC5" w:rsidRPr="00B358B9">
        <w:rPr>
          <w:snapToGrid w:val="0"/>
          <w:kern w:val="22"/>
          <w:sz w:val="22"/>
          <w:szCs w:val="22"/>
        </w:rPr>
        <w:t>)</w:t>
      </w:r>
      <w:r w:rsidR="001D67B1" w:rsidRPr="00B358B9">
        <w:rPr>
          <w:snapToGrid w:val="0"/>
          <w:kern w:val="22"/>
          <w:sz w:val="22"/>
          <w:szCs w:val="22"/>
        </w:rPr>
        <w:t xml:space="preserve"> of indigenous peoples and local communities for their survival and ways of life, and that holistic, solid safeguards backed by transparent accountability and constant vigilance are therefore required in line with international obligations and frameworks, such as the United Nations Declaration on the Rights of Indigenous Peoples,</w:t>
      </w:r>
      <w:r w:rsidR="001D67B1" w:rsidRPr="00B358B9">
        <w:rPr>
          <w:rStyle w:val="FootnoteReference"/>
          <w:snapToGrid w:val="0"/>
          <w:kern w:val="22"/>
          <w:szCs w:val="22"/>
        </w:rPr>
        <w:footnoteReference w:id="62"/>
      </w:r>
      <w:r w:rsidR="001D67B1" w:rsidRPr="00B358B9">
        <w:rPr>
          <w:snapToGrid w:val="0"/>
          <w:kern w:val="22"/>
          <w:sz w:val="22"/>
          <w:szCs w:val="22"/>
        </w:rPr>
        <w:t xml:space="preserve"> </w:t>
      </w:r>
      <w:r w:rsidR="00644AC5" w:rsidRPr="00B358B9">
        <w:rPr>
          <w:snapToGrid w:val="0"/>
          <w:kern w:val="22"/>
          <w:sz w:val="22"/>
          <w:szCs w:val="22"/>
        </w:rPr>
        <w:t xml:space="preserve">and </w:t>
      </w:r>
      <w:r w:rsidR="001D67B1" w:rsidRPr="00B358B9">
        <w:rPr>
          <w:snapToGrid w:val="0"/>
          <w:kern w:val="22"/>
          <w:sz w:val="22"/>
          <w:szCs w:val="22"/>
        </w:rPr>
        <w:t>instruments</w:t>
      </w:r>
      <w:r w:rsidR="00644AC5" w:rsidRPr="00B358B9">
        <w:rPr>
          <w:snapToGrid w:val="0"/>
          <w:kern w:val="22"/>
          <w:sz w:val="22"/>
          <w:szCs w:val="22"/>
        </w:rPr>
        <w:t>,</w:t>
      </w:r>
      <w:r w:rsidR="001D67B1" w:rsidRPr="00B358B9">
        <w:rPr>
          <w:snapToGrid w:val="0"/>
          <w:kern w:val="22"/>
          <w:sz w:val="22"/>
          <w:szCs w:val="22"/>
        </w:rPr>
        <w:t xml:space="preserve"> decisions and guidelines of the Con</w:t>
      </w:r>
      <w:r w:rsidR="00644AC5" w:rsidRPr="00B358B9">
        <w:rPr>
          <w:snapToGrid w:val="0"/>
          <w:kern w:val="22"/>
          <w:sz w:val="22"/>
          <w:szCs w:val="22"/>
        </w:rPr>
        <w:t xml:space="preserve">vention on Biological Diversity, including </w:t>
      </w:r>
      <w:r w:rsidR="001D67B1" w:rsidRPr="00B358B9">
        <w:rPr>
          <w:snapToGrid w:val="0"/>
          <w:kern w:val="22"/>
          <w:sz w:val="22"/>
          <w:szCs w:val="22"/>
        </w:rPr>
        <w:t>with the full and effective participation of indigenous peoples and local communities and their free, prior and informed consent</w:t>
      </w:r>
      <w:r w:rsidR="000C57A3" w:rsidRPr="00B358B9">
        <w:rPr>
          <w:snapToGrid w:val="0"/>
          <w:kern w:val="22"/>
          <w:sz w:val="22"/>
          <w:szCs w:val="22"/>
        </w:rPr>
        <w:t>;</w:t>
      </w:r>
    </w:p>
    <w:p w14:paraId="17E70534" w14:textId="4001EF9F" w:rsidR="00232229" w:rsidRPr="00B358B9" w:rsidRDefault="00DF667F" w:rsidP="00B358B9">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snapToGrid w:val="0"/>
          <w:kern w:val="22"/>
          <w:sz w:val="22"/>
          <w:szCs w:val="22"/>
        </w:rPr>
      </w:pPr>
      <w:r w:rsidRPr="00B358B9">
        <w:rPr>
          <w:snapToGrid w:val="0"/>
          <w:kern w:val="22"/>
          <w:sz w:val="22"/>
          <w:szCs w:val="22"/>
        </w:rPr>
        <w:t>3</w:t>
      </w:r>
      <w:r w:rsidR="00873BBC" w:rsidRPr="00B358B9">
        <w:rPr>
          <w:snapToGrid w:val="0"/>
          <w:kern w:val="22"/>
          <w:sz w:val="22"/>
          <w:szCs w:val="22"/>
        </w:rPr>
        <w:t>.</w:t>
      </w:r>
      <w:r w:rsidR="00873BBC" w:rsidRPr="00B358B9">
        <w:rPr>
          <w:snapToGrid w:val="0"/>
          <w:kern w:val="22"/>
          <w:sz w:val="22"/>
          <w:szCs w:val="22"/>
        </w:rPr>
        <w:tab/>
      </w:r>
      <w:r w:rsidR="00D242C3" w:rsidRPr="00B358B9">
        <w:rPr>
          <w:i/>
          <w:snapToGrid w:val="0"/>
          <w:kern w:val="22"/>
          <w:sz w:val="22"/>
          <w:szCs w:val="22"/>
        </w:rPr>
        <w:t>Takes note</w:t>
      </w:r>
      <w:r w:rsidR="005B4586" w:rsidRPr="00B358B9">
        <w:rPr>
          <w:snapToGrid w:val="0"/>
          <w:kern w:val="22"/>
          <w:sz w:val="22"/>
          <w:szCs w:val="22"/>
        </w:rPr>
        <w:t>,</w:t>
      </w:r>
      <w:r w:rsidR="00D242C3" w:rsidRPr="00B358B9">
        <w:rPr>
          <w:snapToGrid w:val="0"/>
          <w:kern w:val="22"/>
          <w:sz w:val="22"/>
          <w:szCs w:val="22"/>
        </w:rPr>
        <w:t xml:space="preserve"> in particular</w:t>
      </w:r>
      <w:r w:rsidR="005B4586" w:rsidRPr="00B358B9">
        <w:rPr>
          <w:snapToGrid w:val="0"/>
          <w:kern w:val="22"/>
          <w:sz w:val="22"/>
          <w:szCs w:val="22"/>
        </w:rPr>
        <w:t>,</w:t>
      </w:r>
      <w:r w:rsidR="00D242C3" w:rsidRPr="00B358B9">
        <w:rPr>
          <w:snapToGrid w:val="0"/>
          <w:kern w:val="22"/>
          <w:sz w:val="22"/>
          <w:szCs w:val="22"/>
        </w:rPr>
        <w:t xml:space="preserve"> of the processes undertaken</w:t>
      </w:r>
      <w:r w:rsidR="00951BB8" w:rsidRPr="00951BB8">
        <w:rPr>
          <w:snapToGrid w:val="0"/>
          <w:kern w:val="22"/>
          <w:sz w:val="22"/>
          <w:szCs w:val="22"/>
        </w:rPr>
        <w:t xml:space="preserve"> </w:t>
      </w:r>
      <w:r w:rsidR="00951BB8" w:rsidRPr="000A76FF">
        <w:rPr>
          <w:snapToGrid w:val="0"/>
          <w:kern w:val="22"/>
          <w:sz w:val="22"/>
          <w:szCs w:val="22"/>
        </w:rPr>
        <w:t>by</w:t>
      </w:r>
      <w:r w:rsidR="00D242C3" w:rsidRPr="00B358B9">
        <w:rPr>
          <w:snapToGrid w:val="0"/>
          <w:kern w:val="22"/>
          <w:sz w:val="22"/>
          <w:szCs w:val="22"/>
        </w:rPr>
        <w:t xml:space="preserve"> </w:t>
      </w:r>
      <w:r w:rsidR="00951BB8">
        <w:rPr>
          <w:snapToGrid w:val="0"/>
          <w:kern w:val="22"/>
          <w:sz w:val="22"/>
          <w:szCs w:val="22"/>
        </w:rPr>
        <w:t xml:space="preserve">the </w:t>
      </w:r>
      <w:r w:rsidR="00951BB8" w:rsidRPr="000C1768">
        <w:rPr>
          <w:snapToGrid w:val="0"/>
          <w:kern w:val="22"/>
          <w:sz w:val="22"/>
          <w:szCs w:val="22"/>
        </w:rPr>
        <w:t>operating entities</w:t>
      </w:r>
      <w:r w:rsidR="00951BB8" w:rsidRPr="00891479">
        <w:rPr>
          <w:snapToGrid w:val="0"/>
          <w:kern w:val="22"/>
          <w:sz w:val="22"/>
          <w:szCs w:val="22"/>
        </w:rPr>
        <w:t xml:space="preserve"> </w:t>
      </w:r>
      <w:r w:rsidR="00951BB8">
        <w:rPr>
          <w:snapToGrid w:val="0"/>
          <w:kern w:val="22"/>
          <w:sz w:val="22"/>
          <w:szCs w:val="22"/>
        </w:rPr>
        <w:t xml:space="preserve">of the </w:t>
      </w:r>
      <w:r w:rsidR="00951BB8" w:rsidRPr="00D137D2">
        <w:rPr>
          <w:snapToGrid w:val="0"/>
          <w:kern w:val="22"/>
          <w:sz w:val="22"/>
          <w:szCs w:val="22"/>
        </w:rPr>
        <w:t>financial mechanism</w:t>
      </w:r>
      <w:r w:rsidR="00951BB8" w:rsidRPr="00891479">
        <w:rPr>
          <w:snapToGrid w:val="0"/>
          <w:kern w:val="22"/>
          <w:sz w:val="22"/>
          <w:szCs w:val="22"/>
        </w:rPr>
        <w:t xml:space="preserve"> </w:t>
      </w:r>
      <w:r w:rsidR="00951BB8">
        <w:rPr>
          <w:snapToGrid w:val="0"/>
          <w:kern w:val="22"/>
          <w:sz w:val="22"/>
          <w:szCs w:val="22"/>
        </w:rPr>
        <w:t xml:space="preserve">of </w:t>
      </w:r>
      <w:r w:rsidR="00D242C3" w:rsidRPr="00B358B9">
        <w:rPr>
          <w:snapToGrid w:val="0"/>
          <w:kern w:val="22"/>
          <w:sz w:val="22"/>
          <w:szCs w:val="22"/>
        </w:rPr>
        <w:t xml:space="preserve">the </w:t>
      </w:r>
      <w:r w:rsidR="00443469" w:rsidRPr="00B358B9">
        <w:rPr>
          <w:snapToGrid w:val="0"/>
          <w:kern w:val="22"/>
          <w:sz w:val="22"/>
          <w:szCs w:val="22"/>
        </w:rPr>
        <w:t>United Nations Framework Convention on Climate Change</w:t>
      </w:r>
      <w:r w:rsidR="00D242C3" w:rsidRPr="00B358B9">
        <w:rPr>
          <w:snapToGrid w:val="0"/>
          <w:kern w:val="22"/>
          <w:sz w:val="22"/>
          <w:szCs w:val="22"/>
        </w:rPr>
        <w:t xml:space="preserve"> to design, establish and apply safeguard systems that would cover all climate-related financing </w:t>
      </w:r>
      <w:r w:rsidR="00827436" w:rsidRPr="00B358B9">
        <w:rPr>
          <w:snapToGrid w:val="0"/>
          <w:kern w:val="22"/>
          <w:sz w:val="22"/>
          <w:szCs w:val="22"/>
        </w:rPr>
        <w:t>under their responsibility</w:t>
      </w:r>
      <w:r w:rsidR="0095399B" w:rsidRPr="00B358B9">
        <w:rPr>
          <w:snapToGrid w:val="0"/>
          <w:kern w:val="22"/>
          <w:sz w:val="22"/>
          <w:szCs w:val="22"/>
        </w:rPr>
        <w:t>;</w:t>
      </w:r>
    </w:p>
    <w:p w14:paraId="14BF4C5F" w14:textId="3EB875E0" w:rsidR="00232229" w:rsidRPr="00B358B9" w:rsidRDefault="00DF667F" w:rsidP="00B358B9">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snapToGrid w:val="0"/>
          <w:kern w:val="22"/>
          <w:sz w:val="22"/>
          <w:szCs w:val="22"/>
        </w:rPr>
      </w:pPr>
      <w:r w:rsidRPr="00B358B9">
        <w:rPr>
          <w:snapToGrid w:val="0"/>
          <w:kern w:val="22"/>
          <w:sz w:val="22"/>
          <w:szCs w:val="22"/>
        </w:rPr>
        <w:t>4</w:t>
      </w:r>
      <w:r w:rsidR="00873BBC" w:rsidRPr="00B358B9">
        <w:rPr>
          <w:snapToGrid w:val="0"/>
          <w:kern w:val="22"/>
          <w:sz w:val="22"/>
          <w:szCs w:val="22"/>
        </w:rPr>
        <w:t>.</w:t>
      </w:r>
      <w:r w:rsidR="00873BBC" w:rsidRPr="00B358B9">
        <w:rPr>
          <w:snapToGrid w:val="0"/>
          <w:kern w:val="22"/>
          <w:sz w:val="22"/>
          <w:szCs w:val="22"/>
        </w:rPr>
        <w:tab/>
      </w:r>
      <w:r w:rsidR="00827436" w:rsidRPr="00B358B9">
        <w:rPr>
          <w:i/>
          <w:snapToGrid w:val="0"/>
          <w:kern w:val="22"/>
          <w:sz w:val="22"/>
          <w:szCs w:val="22"/>
        </w:rPr>
        <w:t>Welcomes</w:t>
      </w:r>
      <w:r w:rsidR="006D54D8" w:rsidRPr="00B358B9">
        <w:rPr>
          <w:snapToGrid w:val="0"/>
          <w:kern w:val="22"/>
          <w:sz w:val="22"/>
          <w:szCs w:val="22"/>
        </w:rPr>
        <w:t>,</w:t>
      </w:r>
      <w:r w:rsidR="00827436" w:rsidRPr="00B358B9">
        <w:rPr>
          <w:snapToGrid w:val="0"/>
          <w:kern w:val="22"/>
          <w:sz w:val="22"/>
          <w:szCs w:val="22"/>
        </w:rPr>
        <w:t xml:space="preserve"> </w:t>
      </w:r>
      <w:r w:rsidR="00232229" w:rsidRPr="00B358B9">
        <w:rPr>
          <w:snapToGrid w:val="0"/>
          <w:kern w:val="22"/>
          <w:sz w:val="22"/>
          <w:szCs w:val="22"/>
        </w:rPr>
        <w:t>in particular</w:t>
      </w:r>
      <w:r w:rsidR="006D54D8" w:rsidRPr="00B358B9">
        <w:rPr>
          <w:snapToGrid w:val="0"/>
          <w:kern w:val="22"/>
          <w:sz w:val="22"/>
          <w:szCs w:val="22"/>
        </w:rPr>
        <w:t>,</w:t>
      </w:r>
      <w:r w:rsidR="00232229" w:rsidRPr="00B358B9">
        <w:rPr>
          <w:snapToGrid w:val="0"/>
          <w:kern w:val="22"/>
          <w:sz w:val="22"/>
          <w:szCs w:val="22"/>
        </w:rPr>
        <w:t xml:space="preserve"> the </w:t>
      </w:r>
      <w:r w:rsidR="00570D2D" w:rsidRPr="00B358B9">
        <w:rPr>
          <w:snapToGrid w:val="0"/>
          <w:kern w:val="22"/>
          <w:sz w:val="22"/>
          <w:szCs w:val="22"/>
        </w:rPr>
        <w:t xml:space="preserve">Global Environment Facility’s </w:t>
      </w:r>
      <w:r w:rsidR="00827436" w:rsidRPr="00B358B9">
        <w:rPr>
          <w:snapToGrid w:val="0"/>
          <w:kern w:val="22"/>
          <w:sz w:val="22"/>
          <w:szCs w:val="22"/>
        </w:rPr>
        <w:t xml:space="preserve">process to review </w:t>
      </w:r>
      <w:r w:rsidR="00884C69" w:rsidRPr="00B358B9">
        <w:rPr>
          <w:snapToGrid w:val="0"/>
          <w:kern w:val="22"/>
          <w:sz w:val="22"/>
          <w:szCs w:val="22"/>
        </w:rPr>
        <w:t xml:space="preserve">and upgrade </w:t>
      </w:r>
      <w:r w:rsidR="00827436" w:rsidRPr="00B358B9">
        <w:rPr>
          <w:snapToGrid w:val="0"/>
          <w:kern w:val="22"/>
          <w:sz w:val="22"/>
          <w:szCs w:val="22"/>
        </w:rPr>
        <w:t xml:space="preserve">its </w:t>
      </w:r>
      <w:r w:rsidR="0002588C" w:rsidRPr="00B358B9">
        <w:rPr>
          <w:snapToGrid w:val="0"/>
          <w:kern w:val="22"/>
          <w:sz w:val="22"/>
          <w:szCs w:val="22"/>
        </w:rPr>
        <w:t>e</w:t>
      </w:r>
      <w:r w:rsidR="00827436" w:rsidRPr="00B358B9">
        <w:rPr>
          <w:snapToGrid w:val="0"/>
          <w:kern w:val="22"/>
          <w:sz w:val="22"/>
          <w:szCs w:val="22"/>
        </w:rPr>
        <w:t xml:space="preserve">nvironmental and </w:t>
      </w:r>
      <w:r w:rsidR="0002588C" w:rsidRPr="00B358B9">
        <w:rPr>
          <w:snapToGrid w:val="0"/>
          <w:kern w:val="22"/>
          <w:sz w:val="22"/>
          <w:szCs w:val="22"/>
        </w:rPr>
        <w:t>s</w:t>
      </w:r>
      <w:r w:rsidR="00827436" w:rsidRPr="00B358B9">
        <w:rPr>
          <w:snapToGrid w:val="0"/>
          <w:kern w:val="22"/>
          <w:sz w:val="22"/>
          <w:szCs w:val="22"/>
        </w:rPr>
        <w:t xml:space="preserve">ocial </w:t>
      </w:r>
      <w:r w:rsidR="0002588C" w:rsidRPr="00B358B9">
        <w:rPr>
          <w:snapToGrid w:val="0"/>
          <w:kern w:val="22"/>
          <w:sz w:val="22"/>
          <w:szCs w:val="22"/>
        </w:rPr>
        <w:t>s</w:t>
      </w:r>
      <w:r w:rsidR="00827436" w:rsidRPr="00B358B9">
        <w:rPr>
          <w:snapToGrid w:val="0"/>
          <w:kern w:val="22"/>
          <w:sz w:val="22"/>
          <w:szCs w:val="22"/>
        </w:rPr>
        <w:t xml:space="preserve">afeguards and the related systems of its </w:t>
      </w:r>
      <w:r w:rsidR="0002588C" w:rsidRPr="00B358B9">
        <w:rPr>
          <w:snapToGrid w:val="0"/>
          <w:kern w:val="22"/>
          <w:sz w:val="22"/>
          <w:szCs w:val="22"/>
        </w:rPr>
        <w:t>a</w:t>
      </w:r>
      <w:r w:rsidR="00827436" w:rsidRPr="00B358B9">
        <w:rPr>
          <w:snapToGrid w:val="0"/>
          <w:kern w:val="22"/>
          <w:sz w:val="22"/>
          <w:szCs w:val="22"/>
        </w:rPr>
        <w:t xml:space="preserve">gencies, </w:t>
      </w:r>
      <w:r w:rsidR="00884C69" w:rsidRPr="00B358B9">
        <w:rPr>
          <w:snapToGrid w:val="0"/>
          <w:kern w:val="22"/>
          <w:sz w:val="22"/>
          <w:szCs w:val="22"/>
        </w:rPr>
        <w:t xml:space="preserve">noting that the result of such </w:t>
      </w:r>
      <w:r w:rsidR="009213EC" w:rsidRPr="00B358B9">
        <w:rPr>
          <w:snapToGrid w:val="0"/>
          <w:kern w:val="22"/>
          <w:sz w:val="22"/>
          <w:szCs w:val="22"/>
        </w:rPr>
        <w:t xml:space="preserve">a </w:t>
      </w:r>
      <w:r w:rsidR="00884C69" w:rsidRPr="00B358B9">
        <w:rPr>
          <w:snapToGrid w:val="0"/>
          <w:kern w:val="22"/>
          <w:sz w:val="22"/>
          <w:szCs w:val="22"/>
        </w:rPr>
        <w:t xml:space="preserve">process </w:t>
      </w:r>
      <w:r w:rsidR="005E29E4" w:rsidRPr="00B358B9">
        <w:rPr>
          <w:snapToGrid w:val="0"/>
          <w:kern w:val="22"/>
          <w:sz w:val="22"/>
          <w:szCs w:val="22"/>
        </w:rPr>
        <w:t xml:space="preserve">will </w:t>
      </w:r>
      <w:r w:rsidR="00884C69" w:rsidRPr="00B358B9">
        <w:rPr>
          <w:snapToGrid w:val="0"/>
          <w:kern w:val="22"/>
          <w:sz w:val="22"/>
          <w:szCs w:val="22"/>
        </w:rPr>
        <w:t xml:space="preserve">be </w:t>
      </w:r>
      <w:r w:rsidR="00884C69" w:rsidRPr="00891479">
        <w:rPr>
          <w:iCs/>
          <w:snapToGrid w:val="0"/>
          <w:kern w:val="22"/>
          <w:sz w:val="22"/>
          <w:szCs w:val="22"/>
        </w:rPr>
        <w:t xml:space="preserve">applicable to </w:t>
      </w:r>
      <w:r w:rsidR="00D83491" w:rsidRPr="00891479">
        <w:rPr>
          <w:iCs/>
          <w:snapToGrid w:val="0"/>
          <w:kern w:val="22"/>
          <w:sz w:val="22"/>
          <w:szCs w:val="22"/>
        </w:rPr>
        <w:t>all projects</w:t>
      </w:r>
      <w:r w:rsidR="00853CBF" w:rsidRPr="00853CBF">
        <w:rPr>
          <w:iCs/>
          <w:snapToGrid w:val="0"/>
          <w:kern w:val="22"/>
          <w:sz w:val="22"/>
          <w:szCs w:val="22"/>
        </w:rPr>
        <w:t xml:space="preserve"> </w:t>
      </w:r>
      <w:r w:rsidR="00853CBF" w:rsidRPr="00CC35BC">
        <w:rPr>
          <w:iCs/>
          <w:snapToGrid w:val="0"/>
          <w:kern w:val="22"/>
          <w:sz w:val="22"/>
          <w:szCs w:val="22"/>
        </w:rPr>
        <w:t>funded</w:t>
      </w:r>
      <w:r w:rsidR="00853CBF">
        <w:rPr>
          <w:iCs/>
          <w:snapToGrid w:val="0"/>
          <w:kern w:val="22"/>
          <w:sz w:val="22"/>
          <w:szCs w:val="22"/>
        </w:rPr>
        <w:t xml:space="preserve"> by the Facility,</w:t>
      </w:r>
      <w:r w:rsidR="00D83491" w:rsidRPr="00891479">
        <w:rPr>
          <w:iCs/>
          <w:snapToGrid w:val="0"/>
          <w:kern w:val="22"/>
          <w:sz w:val="22"/>
          <w:szCs w:val="22"/>
        </w:rPr>
        <w:t xml:space="preserve"> </w:t>
      </w:r>
      <w:r w:rsidR="00884C69" w:rsidRPr="00B358B9">
        <w:rPr>
          <w:snapToGrid w:val="0"/>
          <w:kern w:val="22"/>
          <w:sz w:val="22"/>
          <w:szCs w:val="22"/>
        </w:rPr>
        <w:t xml:space="preserve">and </w:t>
      </w:r>
      <w:r w:rsidR="00884C69" w:rsidRPr="00B358B9">
        <w:rPr>
          <w:i/>
          <w:iCs/>
          <w:snapToGrid w:val="0"/>
          <w:kern w:val="22"/>
          <w:sz w:val="22"/>
          <w:szCs w:val="22"/>
        </w:rPr>
        <w:t>invites</w:t>
      </w:r>
      <w:r w:rsidR="00884C69" w:rsidRPr="00B358B9">
        <w:rPr>
          <w:snapToGrid w:val="0"/>
          <w:kern w:val="22"/>
          <w:sz w:val="22"/>
          <w:szCs w:val="22"/>
        </w:rPr>
        <w:t xml:space="preserve"> the </w:t>
      </w:r>
      <w:r w:rsidR="0002588C" w:rsidRPr="00B358B9">
        <w:rPr>
          <w:snapToGrid w:val="0"/>
          <w:kern w:val="22"/>
          <w:sz w:val="22"/>
          <w:szCs w:val="22"/>
        </w:rPr>
        <w:t>Facility</w:t>
      </w:r>
      <w:r w:rsidR="00884C69" w:rsidRPr="00B358B9">
        <w:rPr>
          <w:snapToGrid w:val="0"/>
          <w:kern w:val="22"/>
          <w:sz w:val="22"/>
          <w:szCs w:val="22"/>
        </w:rPr>
        <w:t xml:space="preserve"> to inform the Conference of the Parties about how it is taking into account the </w:t>
      </w:r>
      <w:r w:rsidR="002C36C6" w:rsidRPr="00B358B9">
        <w:rPr>
          <w:snapToGrid w:val="0"/>
          <w:kern w:val="22"/>
          <w:sz w:val="22"/>
          <w:szCs w:val="22"/>
        </w:rPr>
        <w:t xml:space="preserve">Convention’s voluntary guidelines on safeguards in biodiversity financing mechanisms </w:t>
      </w:r>
      <w:r w:rsidR="00884C69" w:rsidRPr="00B358B9">
        <w:rPr>
          <w:snapToGrid w:val="0"/>
          <w:kern w:val="22"/>
          <w:sz w:val="22"/>
          <w:szCs w:val="22"/>
        </w:rPr>
        <w:t>in its important process;</w:t>
      </w:r>
    </w:p>
    <w:p w14:paraId="2FC3B80E" w14:textId="77777777" w:rsidR="0078161F" w:rsidRPr="00B358B9" w:rsidRDefault="00873BBC" w:rsidP="00B358B9">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snapToGrid w:val="0"/>
          <w:kern w:val="22"/>
          <w:sz w:val="22"/>
          <w:szCs w:val="22"/>
        </w:rPr>
      </w:pPr>
      <w:r w:rsidRPr="00B358B9">
        <w:rPr>
          <w:snapToGrid w:val="0"/>
          <w:kern w:val="22"/>
          <w:sz w:val="22"/>
          <w:szCs w:val="22"/>
        </w:rPr>
        <w:t>5.</w:t>
      </w:r>
      <w:r w:rsidRPr="00B358B9">
        <w:rPr>
          <w:snapToGrid w:val="0"/>
          <w:kern w:val="22"/>
          <w:sz w:val="22"/>
          <w:szCs w:val="22"/>
        </w:rPr>
        <w:tab/>
      </w:r>
      <w:r w:rsidR="00BD78E4" w:rsidRPr="00B358B9">
        <w:rPr>
          <w:i/>
          <w:snapToGrid w:val="0"/>
          <w:kern w:val="22"/>
          <w:sz w:val="22"/>
          <w:szCs w:val="22"/>
        </w:rPr>
        <w:t>I</w:t>
      </w:r>
      <w:r w:rsidR="00CB5805" w:rsidRPr="00B358B9">
        <w:rPr>
          <w:i/>
          <w:snapToGrid w:val="0"/>
          <w:kern w:val="22"/>
          <w:sz w:val="22"/>
          <w:szCs w:val="22"/>
        </w:rPr>
        <w:t>nvites</w:t>
      </w:r>
      <w:r w:rsidR="00CB5805" w:rsidRPr="00B358B9">
        <w:rPr>
          <w:snapToGrid w:val="0"/>
          <w:kern w:val="22"/>
          <w:sz w:val="22"/>
          <w:szCs w:val="22"/>
        </w:rPr>
        <w:t xml:space="preserve"> Parties, other stakeholder organizations and other institutions to </w:t>
      </w:r>
      <w:r w:rsidR="00BA57D0" w:rsidRPr="00B358B9">
        <w:rPr>
          <w:snapToGrid w:val="0"/>
          <w:kern w:val="22"/>
          <w:sz w:val="22"/>
          <w:szCs w:val="22"/>
        </w:rPr>
        <w:t xml:space="preserve">continue using the </w:t>
      </w:r>
      <w:r w:rsidR="001E47FA" w:rsidRPr="00B358B9">
        <w:rPr>
          <w:snapToGrid w:val="0"/>
          <w:kern w:val="22"/>
          <w:sz w:val="22"/>
          <w:szCs w:val="22"/>
        </w:rPr>
        <w:t>Convention’s voluntary guidelines on safeguards in biodiversity</w:t>
      </w:r>
      <w:r w:rsidR="009873C3" w:rsidRPr="00B358B9">
        <w:rPr>
          <w:snapToGrid w:val="0"/>
          <w:kern w:val="22"/>
          <w:sz w:val="22"/>
          <w:szCs w:val="22"/>
        </w:rPr>
        <w:t xml:space="preserve"> </w:t>
      </w:r>
      <w:r w:rsidR="001E47FA" w:rsidRPr="00B358B9">
        <w:rPr>
          <w:snapToGrid w:val="0"/>
          <w:kern w:val="22"/>
          <w:sz w:val="22"/>
          <w:szCs w:val="22"/>
        </w:rPr>
        <w:t>financing</w:t>
      </w:r>
      <w:r w:rsidR="009873C3" w:rsidRPr="00B358B9">
        <w:rPr>
          <w:snapToGrid w:val="0"/>
          <w:kern w:val="22"/>
          <w:sz w:val="22"/>
          <w:szCs w:val="22"/>
        </w:rPr>
        <w:t xml:space="preserve"> </w:t>
      </w:r>
      <w:r w:rsidR="001E47FA" w:rsidRPr="00B358B9">
        <w:rPr>
          <w:snapToGrid w:val="0"/>
          <w:kern w:val="22"/>
          <w:sz w:val="22"/>
          <w:szCs w:val="22"/>
        </w:rPr>
        <w:t xml:space="preserve">mechanisms </w:t>
      </w:r>
      <w:r w:rsidR="0078161F" w:rsidRPr="00B358B9">
        <w:rPr>
          <w:snapToGrid w:val="0"/>
          <w:kern w:val="22"/>
          <w:sz w:val="22"/>
          <w:szCs w:val="22"/>
        </w:rPr>
        <w:t>in designing and operating their financing mechanisms and in setting up their safeguard systems</w:t>
      </w:r>
      <w:r w:rsidR="00060116" w:rsidRPr="00B358B9">
        <w:rPr>
          <w:snapToGrid w:val="0"/>
          <w:kern w:val="22"/>
          <w:sz w:val="22"/>
          <w:szCs w:val="22"/>
        </w:rPr>
        <w:t xml:space="preserve">, making use, as appropriate, of the checklist contained in the </w:t>
      </w:r>
      <w:r w:rsidR="00756ABC" w:rsidRPr="00B358B9">
        <w:rPr>
          <w:snapToGrid w:val="0"/>
          <w:kern w:val="22"/>
          <w:sz w:val="22"/>
          <w:szCs w:val="22"/>
        </w:rPr>
        <w:t>a</w:t>
      </w:r>
      <w:r w:rsidR="00060116" w:rsidRPr="00B358B9">
        <w:rPr>
          <w:snapToGrid w:val="0"/>
          <w:kern w:val="22"/>
          <w:sz w:val="22"/>
          <w:szCs w:val="22"/>
        </w:rPr>
        <w:t>nnex</w:t>
      </w:r>
      <w:r w:rsidR="00756ABC" w:rsidRPr="00B358B9">
        <w:rPr>
          <w:snapToGrid w:val="0"/>
          <w:kern w:val="22"/>
          <w:sz w:val="22"/>
          <w:szCs w:val="22"/>
        </w:rPr>
        <w:t xml:space="preserve"> to the present decision</w:t>
      </w:r>
      <w:r w:rsidR="0078161F" w:rsidRPr="00B358B9">
        <w:rPr>
          <w:snapToGrid w:val="0"/>
          <w:kern w:val="22"/>
          <w:sz w:val="22"/>
          <w:szCs w:val="22"/>
        </w:rPr>
        <w:t>;</w:t>
      </w:r>
    </w:p>
    <w:p w14:paraId="0278B054" w14:textId="77777777" w:rsidR="009275EA" w:rsidRPr="00B358B9" w:rsidRDefault="00873BBC" w:rsidP="00B358B9">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i/>
          <w:snapToGrid w:val="0"/>
          <w:kern w:val="22"/>
          <w:sz w:val="22"/>
          <w:szCs w:val="22"/>
        </w:rPr>
      </w:pPr>
      <w:r w:rsidRPr="00B358B9">
        <w:rPr>
          <w:snapToGrid w:val="0"/>
          <w:kern w:val="22"/>
          <w:sz w:val="22"/>
          <w:szCs w:val="22"/>
        </w:rPr>
        <w:t>6.</w:t>
      </w:r>
      <w:r w:rsidRPr="00B358B9">
        <w:rPr>
          <w:snapToGrid w:val="0"/>
          <w:kern w:val="22"/>
          <w:sz w:val="22"/>
          <w:szCs w:val="22"/>
        </w:rPr>
        <w:tab/>
      </w:r>
      <w:r w:rsidR="00022FB8" w:rsidRPr="00B358B9">
        <w:rPr>
          <w:i/>
          <w:snapToGrid w:val="0"/>
          <w:kern w:val="22"/>
          <w:sz w:val="22"/>
          <w:szCs w:val="22"/>
        </w:rPr>
        <w:t xml:space="preserve">Also </w:t>
      </w:r>
      <w:r w:rsidR="00BD78E4" w:rsidRPr="00B358B9">
        <w:rPr>
          <w:i/>
          <w:snapToGrid w:val="0"/>
          <w:kern w:val="22"/>
          <w:sz w:val="22"/>
          <w:szCs w:val="22"/>
        </w:rPr>
        <w:t>invites</w:t>
      </w:r>
      <w:r w:rsidR="0078161F" w:rsidRPr="00B358B9">
        <w:rPr>
          <w:snapToGrid w:val="0"/>
          <w:kern w:val="22"/>
          <w:sz w:val="22"/>
          <w:szCs w:val="22"/>
        </w:rPr>
        <w:t xml:space="preserve"> Parties, other stakeholder organizations and other institutions to</w:t>
      </w:r>
      <w:r w:rsidR="00440D7D" w:rsidRPr="00B358B9">
        <w:rPr>
          <w:snapToGrid w:val="0"/>
          <w:kern w:val="22"/>
          <w:sz w:val="22"/>
          <w:szCs w:val="22"/>
        </w:rPr>
        <w:t xml:space="preserve"> contribute views on experiences, opportunities and options to advance </w:t>
      </w:r>
      <w:r w:rsidR="00F461A1" w:rsidRPr="00B358B9">
        <w:rPr>
          <w:snapToGrid w:val="0"/>
          <w:kern w:val="22"/>
          <w:sz w:val="22"/>
          <w:szCs w:val="22"/>
        </w:rPr>
        <w:t xml:space="preserve">the </w:t>
      </w:r>
      <w:r w:rsidR="00440D7D" w:rsidRPr="00B358B9">
        <w:rPr>
          <w:snapToGrid w:val="0"/>
          <w:kern w:val="22"/>
          <w:sz w:val="22"/>
          <w:szCs w:val="22"/>
        </w:rPr>
        <w:t xml:space="preserve">application of the </w:t>
      </w:r>
      <w:r w:rsidR="001E47FA" w:rsidRPr="00B358B9">
        <w:rPr>
          <w:snapToGrid w:val="0"/>
          <w:kern w:val="22"/>
          <w:sz w:val="22"/>
          <w:szCs w:val="22"/>
        </w:rPr>
        <w:t>Convention’s voluntary guidelines on safeguards in biodiversity</w:t>
      </w:r>
      <w:r w:rsidR="009873C3" w:rsidRPr="00B358B9">
        <w:rPr>
          <w:snapToGrid w:val="0"/>
          <w:kern w:val="22"/>
          <w:sz w:val="22"/>
          <w:szCs w:val="22"/>
        </w:rPr>
        <w:t xml:space="preserve"> </w:t>
      </w:r>
      <w:r w:rsidR="001E47FA" w:rsidRPr="00B358B9">
        <w:rPr>
          <w:snapToGrid w:val="0"/>
          <w:kern w:val="22"/>
          <w:sz w:val="22"/>
          <w:szCs w:val="22"/>
        </w:rPr>
        <w:t>financing</w:t>
      </w:r>
      <w:r w:rsidR="009873C3" w:rsidRPr="00B358B9">
        <w:rPr>
          <w:snapToGrid w:val="0"/>
          <w:kern w:val="22"/>
          <w:sz w:val="22"/>
          <w:szCs w:val="22"/>
        </w:rPr>
        <w:t xml:space="preserve"> </w:t>
      </w:r>
      <w:r w:rsidR="001E47FA" w:rsidRPr="00B358B9">
        <w:rPr>
          <w:snapToGrid w:val="0"/>
          <w:kern w:val="22"/>
          <w:sz w:val="22"/>
          <w:szCs w:val="22"/>
        </w:rPr>
        <w:t xml:space="preserve">mechanisms </w:t>
      </w:r>
      <w:r w:rsidR="00440D7D" w:rsidRPr="00B358B9">
        <w:rPr>
          <w:snapToGrid w:val="0"/>
          <w:kern w:val="22"/>
          <w:sz w:val="22"/>
          <w:szCs w:val="22"/>
        </w:rPr>
        <w:t>to the design and operation of biodiversity financing mechanisms;</w:t>
      </w:r>
    </w:p>
    <w:p w14:paraId="6B1145AE" w14:textId="4AEB07A2" w:rsidR="00D83491" w:rsidRPr="00B358B9" w:rsidRDefault="00AE645D" w:rsidP="00B358B9">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snapToGrid w:val="0"/>
          <w:kern w:val="22"/>
          <w:sz w:val="22"/>
          <w:szCs w:val="22"/>
        </w:rPr>
      </w:pPr>
      <w:r w:rsidRPr="00B358B9">
        <w:rPr>
          <w:snapToGrid w:val="0"/>
          <w:kern w:val="22"/>
          <w:sz w:val="22"/>
          <w:szCs w:val="22"/>
        </w:rPr>
        <w:t>7.</w:t>
      </w:r>
      <w:r w:rsidRPr="00B358B9">
        <w:rPr>
          <w:snapToGrid w:val="0"/>
          <w:kern w:val="22"/>
          <w:sz w:val="22"/>
          <w:szCs w:val="22"/>
        </w:rPr>
        <w:tab/>
      </w:r>
      <w:r w:rsidR="009275EA" w:rsidRPr="00B358B9">
        <w:rPr>
          <w:i/>
          <w:snapToGrid w:val="0"/>
          <w:kern w:val="22"/>
          <w:sz w:val="22"/>
          <w:szCs w:val="22"/>
        </w:rPr>
        <w:t xml:space="preserve">Requests </w:t>
      </w:r>
      <w:r w:rsidR="009275EA" w:rsidRPr="00B358B9">
        <w:rPr>
          <w:snapToGrid w:val="0"/>
          <w:kern w:val="22"/>
          <w:sz w:val="22"/>
          <w:szCs w:val="22"/>
        </w:rPr>
        <w:t xml:space="preserve">the Executive Secretary to compile further information on the use and value of the </w:t>
      </w:r>
      <w:r w:rsidR="001E47FA" w:rsidRPr="00B358B9">
        <w:rPr>
          <w:snapToGrid w:val="0"/>
          <w:kern w:val="22"/>
          <w:sz w:val="22"/>
          <w:szCs w:val="22"/>
        </w:rPr>
        <w:t>Convention’s voluntary guidelines on safeguards in biodiversity</w:t>
      </w:r>
      <w:r w:rsidR="009873C3" w:rsidRPr="00B358B9">
        <w:rPr>
          <w:snapToGrid w:val="0"/>
          <w:kern w:val="22"/>
          <w:sz w:val="22"/>
          <w:szCs w:val="22"/>
        </w:rPr>
        <w:t xml:space="preserve"> </w:t>
      </w:r>
      <w:r w:rsidR="001E47FA" w:rsidRPr="00B358B9">
        <w:rPr>
          <w:snapToGrid w:val="0"/>
          <w:kern w:val="22"/>
          <w:sz w:val="22"/>
          <w:szCs w:val="22"/>
        </w:rPr>
        <w:t>financing</w:t>
      </w:r>
      <w:r w:rsidR="009873C3" w:rsidRPr="00B358B9">
        <w:rPr>
          <w:snapToGrid w:val="0"/>
          <w:kern w:val="22"/>
          <w:sz w:val="22"/>
          <w:szCs w:val="22"/>
        </w:rPr>
        <w:t xml:space="preserve"> </w:t>
      </w:r>
      <w:r w:rsidR="001E47FA" w:rsidRPr="00B358B9">
        <w:rPr>
          <w:snapToGrid w:val="0"/>
          <w:kern w:val="22"/>
          <w:sz w:val="22"/>
          <w:szCs w:val="22"/>
        </w:rPr>
        <w:t xml:space="preserve">mechanisms </w:t>
      </w:r>
      <w:r w:rsidR="009275EA" w:rsidRPr="00B358B9">
        <w:rPr>
          <w:snapToGrid w:val="0"/>
          <w:kern w:val="22"/>
          <w:sz w:val="22"/>
          <w:szCs w:val="22"/>
        </w:rPr>
        <w:t>and other relevant guidance</w:t>
      </w:r>
      <w:r w:rsidR="00FC62D3" w:rsidRPr="00B358B9">
        <w:rPr>
          <w:snapToGrid w:val="0"/>
          <w:kern w:val="22"/>
          <w:sz w:val="22"/>
          <w:szCs w:val="22"/>
        </w:rPr>
        <w:t xml:space="preserve"> under the Convention</w:t>
      </w:r>
      <w:r w:rsidR="009275EA" w:rsidRPr="00B358B9">
        <w:rPr>
          <w:snapToGrid w:val="0"/>
          <w:kern w:val="22"/>
          <w:sz w:val="22"/>
          <w:szCs w:val="22"/>
        </w:rPr>
        <w:t xml:space="preserve"> by Parties, other stakeholder organizations and international institutions in relation to the development and application of relevant safeguard systems</w:t>
      </w:r>
      <w:r w:rsidR="000C57A3" w:rsidRPr="00B358B9">
        <w:rPr>
          <w:snapToGrid w:val="0"/>
          <w:kern w:val="22"/>
          <w:sz w:val="22"/>
          <w:szCs w:val="22"/>
        </w:rPr>
        <w:t>;</w:t>
      </w:r>
    </w:p>
    <w:p w14:paraId="1D22055D" w14:textId="65735855" w:rsidR="00D83491" w:rsidRPr="00891479" w:rsidRDefault="00D83491" w:rsidP="00B358B9">
      <w:pPr>
        <w:pStyle w:val="ListParagraph"/>
        <w:suppressLineNumbers/>
        <w:suppressAutoHyphens/>
        <w:kinsoku w:val="0"/>
        <w:overflowPunct w:val="0"/>
        <w:autoSpaceDE w:val="0"/>
        <w:autoSpaceDN w:val="0"/>
        <w:adjustRightInd w:val="0"/>
        <w:snapToGrid w:val="0"/>
        <w:spacing w:before="120" w:after="120"/>
        <w:ind w:left="0" w:firstLine="720"/>
        <w:contextualSpacing w:val="0"/>
        <w:jc w:val="both"/>
        <w:rPr>
          <w:iCs/>
          <w:snapToGrid w:val="0"/>
          <w:kern w:val="22"/>
          <w:sz w:val="22"/>
          <w:szCs w:val="22"/>
        </w:rPr>
      </w:pPr>
      <w:r w:rsidRPr="00891479">
        <w:rPr>
          <w:iCs/>
          <w:snapToGrid w:val="0"/>
          <w:kern w:val="22"/>
          <w:szCs w:val="22"/>
        </w:rPr>
        <w:t>8.</w:t>
      </w:r>
      <w:r w:rsidRPr="00891479">
        <w:rPr>
          <w:iCs/>
          <w:snapToGrid w:val="0"/>
          <w:kern w:val="22"/>
          <w:szCs w:val="22"/>
        </w:rPr>
        <w:tab/>
      </w:r>
      <w:r w:rsidR="002E1FDA" w:rsidRPr="00B358B9">
        <w:rPr>
          <w:i/>
          <w:snapToGrid w:val="0"/>
          <w:kern w:val="22"/>
          <w:szCs w:val="22"/>
        </w:rPr>
        <w:t>Also r</w:t>
      </w:r>
      <w:r w:rsidRPr="00B358B9">
        <w:rPr>
          <w:i/>
          <w:snapToGrid w:val="0"/>
          <w:kern w:val="22"/>
          <w:szCs w:val="22"/>
        </w:rPr>
        <w:t>equests</w:t>
      </w:r>
      <w:r w:rsidRPr="00891479">
        <w:rPr>
          <w:iCs/>
          <w:snapToGrid w:val="0"/>
          <w:kern w:val="22"/>
          <w:szCs w:val="22"/>
        </w:rPr>
        <w:t xml:space="preserve"> the Executive Secretary to include, </w:t>
      </w:r>
      <w:r w:rsidR="00545568" w:rsidRPr="00891479">
        <w:rPr>
          <w:iCs/>
          <w:snapToGrid w:val="0"/>
          <w:kern w:val="22"/>
          <w:szCs w:val="22"/>
        </w:rPr>
        <w:t xml:space="preserve">for consideration </w:t>
      </w:r>
      <w:r w:rsidRPr="00891479">
        <w:rPr>
          <w:iCs/>
          <w:snapToGrid w:val="0"/>
          <w:kern w:val="22"/>
          <w:szCs w:val="22"/>
        </w:rPr>
        <w:t xml:space="preserve">as a possible element of work in the fully integrated programme of work </w:t>
      </w:r>
      <w:r w:rsidR="000C57A3" w:rsidRPr="00891479">
        <w:rPr>
          <w:iCs/>
          <w:snapToGrid w:val="0"/>
          <w:kern w:val="22"/>
          <w:szCs w:val="22"/>
        </w:rPr>
        <w:t>on</w:t>
      </w:r>
      <w:r w:rsidRPr="00891479">
        <w:rPr>
          <w:iCs/>
          <w:snapToGrid w:val="0"/>
          <w:kern w:val="22"/>
          <w:szCs w:val="22"/>
        </w:rPr>
        <w:t xml:space="preserve"> </w:t>
      </w:r>
      <w:r w:rsidR="000C57A3" w:rsidRPr="00891479">
        <w:rPr>
          <w:iCs/>
          <w:snapToGrid w:val="0"/>
          <w:kern w:val="22"/>
          <w:szCs w:val="22"/>
        </w:rPr>
        <w:t>A</w:t>
      </w:r>
      <w:r w:rsidRPr="00891479">
        <w:rPr>
          <w:iCs/>
          <w:snapToGrid w:val="0"/>
          <w:kern w:val="22"/>
          <w:szCs w:val="22"/>
        </w:rPr>
        <w:t>rticle 8(j) and related provisions</w:t>
      </w:r>
      <w:r w:rsidR="00234C23" w:rsidRPr="00234C23">
        <w:rPr>
          <w:iCs/>
          <w:snapToGrid w:val="0"/>
          <w:kern w:val="22"/>
          <w:sz w:val="22"/>
          <w:szCs w:val="22"/>
        </w:rPr>
        <w:t xml:space="preserve"> </w:t>
      </w:r>
      <w:r w:rsidR="0030181F">
        <w:rPr>
          <w:iCs/>
          <w:snapToGrid w:val="0"/>
          <w:kern w:val="22"/>
          <w:sz w:val="22"/>
          <w:szCs w:val="22"/>
        </w:rPr>
        <w:t>within</w:t>
      </w:r>
      <w:r w:rsidR="00234C23">
        <w:rPr>
          <w:iCs/>
          <w:snapToGrid w:val="0"/>
          <w:kern w:val="22"/>
          <w:sz w:val="22"/>
          <w:szCs w:val="22"/>
        </w:rPr>
        <w:t xml:space="preserve"> the </w:t>
      </w:r>
      <w:r w:rsidR="00234C23" w:rsidRPr="00474261">
        <w:rPr>
          <w:iCs/>
          <w:snapToGrid w:val="0"/>
          <w:kern w:val="22"/>
          <w:sz w:val="22"/>
          <w:szCs w:val="22"/>
        </w:rPr>
        <w:t>post</w:t>
      </w:r>
      <w:r w:rsidR="00234C23">
        <w:rPr>
          <w:iCs/>
          <w:snapToGrid w:val="0"/>
          <w:kern w:val="22"/>
          <w:sz w:val="22"/>
          <w:szCs w:val="22"/>
        </w:rPr>
        <w:t>-</w:t>
      </w:r>
      <w:r w:rsidR="00234C23" w:rsidRPr="00474261">
        <w:rPr>
          <w:iCs/>
          <w:snapToGrid w:val="0"/>
          <w:kern w:val="22"/>
          <w:sz w:val="22"/>
          <w:szCs w:val="22"/>
        </w:rPr>
        <w:t>2020 biodiversity framework</w:t>
      </w:r>
      <w:r w:rsidRPr="00891479">
        <w:rPr>
          <w:iCs/>
          <w:snapToGrid w:val="0"/>
          <w:kern w:val="22"/>
          <w:szCs w:val="22"/>
        </w:rPr>
        <w:t>, the development of a post</w:t>
      </w:r>
      <w:r w:rsidR="000C57A3" w:rsidRPr="00891479">
        <w:rPr>
          <w:iCs/>
          <w:snapToGrid w:val="0"/>
          <w:kern w:val="22"/>
          <w:szCs w:val="22"/>
        </w:rPr>
        <w:t>-</w:t>
      </w:r>
      <w:r w:rsidRPr="00891479">
        <w:rPr>
          <w:iCs/>
          <w:snapToGrid w:val="0"/>
          <w:kern w:val="22"/>
          <w:szCs w:val="22"/>
        </w:rPr>
        <w:t xml:space="preserve">2020 </w:t>
      </w:r>
      <w:r w:rsidRPr="00B358B9">
        <w:rPr>
          <w:snapToGrid w:val="0"/>
          <w:kern w:val="22"/>
          <w:szCs w:val="22"/>
        </w:rPr>
        <w:t xml:space="preserve">specific </w:t>
      </w:r>
      <w:r w:rsidR="000C57A3" w:rsidRPr="00B358B9">
        <w:rPr>
          <w:snapToGrid w:val="0"/>
          <w:kern w:val="22"/>
          <w:szCs w:val="22"/>
        </w:rPr>
        <w:t>s</w:t>
      </w:r>
      <w:r w:rsidRPr="00B358B9">
        <w:rPr>
          <w:snapToGrid w:val="0"/>
          <w:kern w:val="22"/>
          <w:szCs w:val="22"/>
        </w:rPr>
        <w:t xml:space="preserve">afeguards </w:t>
      </w:r>
      <w:r w:rsidR="000C57A3" w:rsidRPr="00B358B9">
        <w:rPr>
          <w:snapToGrid w:val="0"/>
          <w:kern w:val="22"/>
          <w:szCs w:val="22"/>
        </w:rPr>
        <w:t>f</w:t>
      </w:r>
      <w:r w:rsidRPr="00B358B9">
        <w:rPr>
          <w:snapToGrid w:val="0"/>
          <w:kern w:val="22"/>
          <w:szCs w:val="22"/>
        </w:rPr>
        <w:t xml:space="preserve">ramework </w:t>
      </w:r>
      <w:r w:rsidR="000C57A3" w:rsidRPr="00B358B9">
        <w:rPr>
          <w:snapToGrid w:val="0"/>
          <w:kern w:val="22"/>
          <w:szCs w:val="22"/>
        </w:rPr>
        <w:t xml:space="preserve">on indigenous peoples and local communities under the Convention, </w:t>
      </w:r>
      <w:r w:rsidRPr="00B358B9">
        <w:rPr>
          <w:snapToGrid w:val="0"/>
          <w:kern w:val="22"/>
          <w:szCs w:val="22"/>
        </w:rPr>
        <w:t xml:space="preserve">based on principles, standards and guidelines adopted under the </w:t>
      </w:r>
      <w:r w:rsidR="000C57A3" w:rsidRPr="00B358B9">
        <w:rPr>
          <w:snapToGrid w:val="0"/>
          <w:kern w:val="22"/>
          <w:szCs w:val="22"/>
        </w:rPr>
        <w:t>Convention</w:t>
      </w:r>
      <w:r w:rsidRPr="00B358B9">
        <w:rPr>
          <w:snapToGrid w:val="0"/>
          <w:kern w:val="22"/>
          <w:szCs w:val="22"/>
        </w:rPr>
        <w:t xml:space="preserve">, </w:t>
      </w:r>
      <w:r w:rsidR="0030181F">
        <w:rPr>
          <w:snapToGrid w:val="0"/>
          <w:kern w:val="22"/>
          <w:sz w:val="22"/>
          <w:szCs w:val="22"/>
        </w:rPr>
        <w:t>and</w:t>
      </w:r>
      <w:r w:rsidRPr="00B358B9">
        <w:rPr>
          <w:snapToGrid w:val="0"/>
          <w:kern w:val="22"/>
          <w:szCs w:val="22"/>
        </w:rPr>
        <w:t xml:space="preserve"> addressing any additional gaps </w:t>
      </w:r>
      <w:r w:rsidR="00545568" w:rsidRPr="00B358B9">
        <w:rPr>
          <w:snapToGrid w:val="0"/>
          <w:kern w:val="22"/>
          <w:szCs w:val="22"/>
        </w:rPr>
        <w:t xml:space="preserve">identified, noting that an indicative list of possible elements and tasks will be developed for consideration </w:t>
      </w:r>
      <w:r w:rsidR="000C57A3" w:rsidRPr="00B358B9">
        <w:rPr>
          <w:snapToGrid w:val="0"/>
          <w:kern w:val="22"/>
          <w:szCs w:val="22"/>
        </w:rPr>
        <w:t>by</w:t>
      </w:r>
      <w:r w:rsidR="00545568" w:rsidRPr="00B358B9">
        <w:rPr>
          <w:snapToGrid w:val="0"/>
          <w:kern w:val="22"/>
          <w:szCs w:val="22"/>
        </w:rPr>
        <w:t xml:space="preserve"> the Conference of the Parties</w:t>
      </w:r>
      <w:r w:rsidR="000C57A3" w:rsidRPr="00B358B9">
        <w:rPr>
          <w:snapToGrid w:val="0"/>
          <w:kern w:val="22"/>
          <w:szCs w:val="22"/>
        </w:rPr>
        <w:t xml:space="preserve"> at its</w:t>
      </w:r>
      <w:r w:rsidR="00545568" w:rsidRPr="00B358B9">
        <w:rPr>
          <w:snapToGrid w:val="0"/>
          <w:kern w:val="22"/>
          <w:szCs w:val="22"/>
        </w:rPr>
        <w:t xml:space="preserve"> </w:t>
      </w:r>
      <w:r w:rsidR="000C57A3" w:rsidRPr="00B358B9">
        <w:rPr>
          <w:snapToGrid w:val="0"/>
          <w:kern w:val="22"/>
          <w:szCs w:val="22"/>
        </w:rPr>
        <w:t xml:space="preserve">fourteenth meeting </w:t>
      </w:r>
      <w:r w:rsidR="00545568" w:rsidRPr="00B358B9">
        <w:rPr>
          <w:snapToGrid w:val="0"/>
          <w:kern w:val="22"/>
          <w:szCs w:val="22"/>
        </w:rPr>
        <w:t xml:space="preserve">and </w:t>
      </w:r>
      <w:r w:rsidR="000C57A3" w:rsidRPr="00B358B9">
        <w:rPr>
          <w:snapToGrid w:val="0"/>
          <w:kern w:val="22"/>
          <w:szCs w:val="22"/>
        </w:rPr>
        <w:t xml:space="preserve">by </w:t>
      </w:r>
      <w:r w:rsidR="00545568" w:rsidRPr="00B358B9">
        <w:rPr>
          <w:snapToGrid w:val="0"/>
          <w:kern w:val="22"/>
          <w:szCs w:val="22"/>
        </w:rPr>
        <w:t>the Working Group on Article 8(j) and related provisions</w:t>
      </w:r>
      <w:r w:rsidR="000C57A3" w:rsidRPr="00B358B9">
        <w:rPr>
          <w:snapToGrid w:val="0"/>
          <w:kern w:val="22"/>
          <w:szCs w:val="22"/>
        </w:rPr>
        <w:t xml:space="preserve"> at its eleventh meeting</w:t>
      </w:r>
      <w:r w:rsidR="00545568" w:rsidRPr="00B358B9">
        <w:rPr>
          <w:snapToGrid w:val="0"/>
          <w:kern w:val="22"/>
          <w:szCs w:val="22"/>
        </w:rPr>
        <w:t>.</w:t>
      </w:r>
    </w:p>
    <w:p w14:paraId="3D347CF4" w14:textId="77777777" w:rsidR="001E70DB" w:rsidRPr="00B358B9" w:rsidRDefault="0049798A" w:rsidP="00B358B9">
      <w:pPr>
        <w:keepNext/>
        <w:suppressLineNumbers/>
        <w:suppressAutoHyphens/>
        <w:kinsoku w:val="0"/>
        <w:overflowPunct w:val="0"/>
        <w:autoSpaceDE w:val="0"/>
        <w:autoSpaceDN w:val="0"/>
        <w:adjustRightInd w:val="0"/>
        <w:snapToGrid w:val="0"/>
        <w:spacing w:after="120"/>
        <w:jc w:val="center"/>
        <w:rPr>
          <w:i/>
          <w:snapToGrid w:val="0"/>
          <w:kern w:val="22"/>
          <w:szCs w:val="22"/>
        </w:rPr>
      </w:pPr>
      <w:r w:rsidRPr="00B358B9">
        <w:rPr>
          <w:i/>
          <w:snapToGrid w:val="0"/>
          <w:kern w:val="22"/>
          <w:szCs w:val="22"/>
        </w:rPr>
        <w:br w:type="page"/>
      </w:r>
      <w:r w:rsidR="001E70DB" w:rsidRPr="00B358B9">
        <w:rPr>
          <w:i/>
          <w:snapToGrid w:val="0"/>
          <w:kern w:val="22"/>
          <w:szCs w:val="22"/>
        </w:rPr>
        <w:t>Annex</w:t>
      </w:r>
    </w:p>
    <w:p w14:paraId="21AA7103" w14:textId="77777777" w:rsidR="00C95A25" w:rsidRPr="00B358B9" w:rsidRDefault="00C95A25" w:rsidP="00B358B9">
      <w:pPr>
        <w:keepNext/>
        <w:suppressLineNumbers/>
        <w:suppressAutoHyphens/>
        <w:kinsoku w:val="0"/>
        <w:overflowPunct w:val="0"/>
        <w:autoSpaceDE w:val="0"/>
        <w:autoSpaceDN w:val="0"/>
        <w:adjustRightInd w:val="0"/>
        <w:snapToGrid w:val="0"/>
        <w:jc w:val="center"/>
        <w:rPr>
          <w:b/>
          <w:bCs/>
          <w:caps/>
          <w:snapToGrid w:val="0"/>
          <w:kern w:val="22"/>
          <w:szCs w:val="22"/>
        </w:rPr>
      </w:pPr>
      <w:r w:rsidRPr="00B358B9">
        <w:rPr>
          <w:b/>
          <w:caps/>
          <w:snapToGrid w:val="0"/>
          <w:kern w:val="22"/>
          <w:szCs w:val="22"/>
        </w:rPr>
        <w:t>Assessment of</w:t>
      </w:r>
      <w:r w:rsidRPr="00B358B9">
        <w:rPr>
          <w:b/>
          <w:bCs/>
          <w:caps/>
          <w:snapToGrid w:val="0"/>
          <w:kern w:val="22"/>
          <w:szCs w:val="22"/>
        </w:rPr>
        <w:t xml:space="preserve"> requirements under the Convention on Biological Diversity for safeguards in biodiversity financing mechanisms</w:t>
      </w:r>
    </w:p>
    <w:p w14:paraId="22BE47CC" w14:textId="77777777" w:rsidR="00A271B3" w:rsidRPr="00891479" w:rsidRDefault="001E70DB" w:rsidP="00B358B9">
      <w:pPr>
        <w:suppressLineNumbers/>
        <w:suppressAutoHyphens/>
        <w:kinsoku w:val="0"/>
        <w:overflowPunct w:val="0"/>
        <w:autoSpaceDE w:val="0"/>
        <w:autoSpaceDN w:val="0"/>
        <w:adjustRightInd w:val="0"/>
        <w:snapToGrid w:val="0"/>
        <w:spacing w:before="120" w:after="120"/>
        <w:rPr>
          <w:iCs/>
          <w:snapToGrid w:val="0"/>
          <w:kern w:val="22"/>
          <w:szCs w:val="22"/>
        </w:rPr>
      </w:pPr>
      <w:r w:rsidRPr="00B358B9">
        <w:rPr>
          <w:snapToGrid w:val="0"/>
          <w:kern w:val="22"/>
          <w:szCs w:val="22"/>
        </w:rPr>
        <w:t xml:space="preserve">The following questions </w:t>
      </w:r>
      <w:r w:rsidR="00774FA2" w:rsidRPr="00B358B9">
        <w:rPr>
          <w:snapToGrid w:val="0"/>
          <w:kern w:val="22"/>
          <w:szCs w:val="22"/>
        </w:rPr>
        <w:t xml:space="preserve">may </w:t>
      </w:r>
      <w:r w:rsidRPr="00B358B9">
        <w:rPr>
          <w:snapToGrid w:val="0"/>
          <w:kern w:val="22"/>
          <w:szCs w:val="22"/>
        </w:rPr>
        <w:t xml:space="preserve">be used as a </w:t>
      </w:r>
      <w:r w:rsidR="00774FA2" w:rsidRPr="00891479">
        <w:rPr>
          <w:iCs/>
          <w:snapToGrid w:val="0"/>
          <w:kern w:val="22"/>
          <w:szCs w:val="22"/>
        </w:rPr>
        <w:t>c</w:t>
      </w:r>
      <w:r w:rsidR="00CA4A44" w:rsidRPr="00891479">
        <w:rPr>
          <w:iCs/>
          <w:snapToGrid w:val="0"/>
          <w:kern w:val="22"/>
          <w:szCs w:val="22"/>
        </w:rPr>
        <w:t>hecklist for compliance with requirements of the Convention’s voluntary guidelines on safeguards in biodiversity financing mechanisms.</w:t>
      </w:r>
    </w:p>
    <w:p w14:paraId="78D5306D" w14:textId="77777777" w:rsidR="00A82AD4" w:rsidRPr="00891479" w:rsidRDefault="00CA4A44" w:rsidP="00B358B9">
      <w:pPr>
        <w:suppressLineNumbers/>
        <w:suppressAutoHyphens/>
        <w:kinsoku w:val="0"/>
        <w:overflowPunct w:val="0"/>
        <w:autoSpaceDE w:val="0"/>
        <w:autoSpaceDN w:val="0"/>
        <w:adjustRightInd w:val="0"/>
        <w:snapToGrid w:val="0"/>
        <w:spacing w:before="120" w:after="120"/>
        <w:rPr>
          <w:b/>
          <w:iCs/>
          <w:snapToGrid w:val="0"/>
          <w:kern w:val="22"/>
          <w:szCs w:val="22"/>
        </w:rPr>
      </w:pPr>
      <w:r w:rsidRPr="00891479">
        <w:rPr>
          <w:b/>
          <w:iCs/>
          <w:snapToGrid w:val="0"/>
          <w:kern w:val="22"/>
          <w:szCs w:val="22"/>
        </w:rPr>
        <w:t>Overall question on the purpose of the Convention’s voluntary guidelines on safeguards in biodiversity financing mechanisms</w:t>
      </w:r>
    </w:p>
    <w:p w14:paraId="25AFC534" w14:textId="77777777" w:rsidR="00CA4A44" w:rsidRPr="00891479" w:rsidRDefault="00A82AD4" w:rsidP="00B358B9">
      <w:pPr>
        <w:suppressLineNumbers/>
        <w:suppressAutoHyphens/>
        <w:kinsoku w:val="0"/>
        <w:overflowPunct w:val="0"/>
        <w:autoSpaceDE w:val="0"/>
        <w:autoSpaceDN w:val="0"/>
        <w:adjustRightInd w:val="0"/>
        <w:snapToGrid w:val="0"/>
        <w:spacing w:before="120" w:after="120"/>
        <w:rPr>
          <w:iCs/>
          <w:snapToGrid w:val="0"/>
          <w:kern w:val="22"/>
          <w:szCs w:val="22"/>
        </w:rPr>
      </w:pPr>
      <w:r w:rsidRPr="00891479">
        <w:rPr>
          <w:iCs/>
          <w:snapToGrid w:val="0"/>
          <w:kern w:val="22"/>
          <w:szCs w:val="22"/>
        </w:rPr>
        <w:t>D</w:t>
      </w:r>
      <w:r w:rsidR="00CA4A44" w:rsidRPr="00891479">
        <w:rPr>
          <w:iCs/>
          <w:snapToGrid w:val="0"/>
          <w:kern w:val="22"/>
          <w:szCs w:val="22"/>
        </w:rPr>
        <w:t>oes the financing mechanism have a safeguard system designed to effectively avoid or mitigate its unintended impacts on</w:t>
      </w:r>
      <w:r w:rsidR="00774FA2" w:rsidRPr="00891479">
        <w:rPr>
          <w:iCs/>
          <w:snapToGrid w:val="0"/>
          <w:kern w:val="22"/>
          <w:szCs w:val="22"/>
        </w:rPr>
        <w:t xml:space="preserve"> the</w:t>
      </w:r>
      <w:r w:rsidR="00CA4A44" w:rsidRPr="00891479">
        <w:rPr>
          <w:iCs/>
          <w:snapToGrid w:val="0"/>
          <w:kern w:val="22"/>
          <w:szCs w:val="22"/>
        </w:rPr>
        <w:t xml:space="preserve"> rights and livelihoods </w:t>
      </w:r>
      <w:r w:rsidR="00774FA2" w:rsidRPr="00891479">
        <w:rPr>
          <w:iCs/>
          <w:snapToGrid w:val="0"/>
          <w:kern w:val="22"/>
          <w:szCs w:val="22"/>
        </w:rPr>
        <w:t xml:space="preserve">of indigenous and local communities </w:t>
      </w:r>
      <w:r w:rsidR="00CA4A44" w:rsidRPr="00891479">
        <w:rPr>
          <w:iCs/>
          <w:snapToGrid w:val="0"/>
          <w:kern w:val="22"/>
          <w:szCs w:val="22"/>
        </w:rPr>
        <w:t>and to maximize its opportunities to support them?</w:t>
      </w:r>
    </w:p>
    <w:p w14:paraId="632D1C41" w14:textId="77777777" w:rsidR="00BA4C7E" w:rsidRPr="00891479" w:rsidRDefault="00BA4C7E" w:rsidP="00B358B9">
      <w:pPr>
        <w:suppressLineNumbers/>
        <w:suppressAutoHyphens/>
        <w:kinsoku w:val="0"/>
        <w:overflowPunct w:val="0"/>
        <w:autoSpaceDE w:val="0"/>
        <w:autoSpaceDN w:val="0"/>
        <w:adjustRightInd w:val="0"/>
        <w:snapToGrid w:val="0"/>
        <w:spacing w:before="120" w:after="120"/>
        <w:rPr>
          <w:b/>
          <w:iCs/>
          <w:snapToGrid w:val="0"/>
          <w:kern w:val="22"/>
          <w:szCs w:val="22"/>
        </w:rPr>
      </w:pPr>
      <w:r w:rsidRPr="00891479">
        <w:rPr>
          <w:b/>
          <w:iCs/>
          <w:snapToGrid w:val="0"/>
          <w:kern w:val="22"/>
          <w:szCs w:val="22"/>
        </w:rPr>
        <w:t xml:space="preserve">Guideline A: </w:t>
      </w:r>
      <w:r w:rsidRPr="00B358B9">
        <w:rPr>
          <w:rFonts w:eastAsia="Malgun Gothic"/>
          <w:b/>
          <w:snapToGrid w:val="0"/>
          <w:kern w:val="22"/>
          <w:szCs w:val="22"/>
          <w:lang w:eastAsia="x-none"/>
        </w:rPr>
        <w:t>The role of biodiversity and ecosystem functions for local livelihoods and resilience, as well as biodiversity’s intrinsic values, should be recognized in the selection, design and implementation of biodiversity financing mechanisms.</w:t>
      </w:r>
    </w:p>
    <w:p w14:paraId="54A1C493" w14:textId="77777777"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sidRPr="00891479">
        <w:rPr>
          <w:iCs/>
          <w:snapToGrid w:val="0"/>
          <w:kern w:val="22"/>
          <w:szCs w:val="22"/>
        </w:rPr>
        <w:t>A.1</w:t>
      </w:r>
      <w:r w:rsidR="00A82AD4" w:rsidRPr="00891479">
        <w:rPr>
          <w:iCs/>
          <w:snapToGrid w:val="0"/>
          <w:kern w:val="22"/>
          <w:szCs w:val="22"/>
        </w:rPr>
        <w:tab/>
      </w:r>
      <w:r w:rsidR="00CA4A44" w:rsidRPr="00891479">
        <w:rPr>
          <w:iCs/>
          <w:snapToGrid w:val="0"/>
          <w:kern w:val="22"/>
          <w:szCs w:val="22"/>
        </w:rPr>
        <w:t>Is the role of biodiversity and ecosystem functions for local livelihoods and resilience recognized in the selection, design and implementation of the mechanism?</w:t>
      </w:r>
    </w:p>
    <w:p w14:paraId="5CFF28DF" w14:textId="77777777"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sidRPr="00891479">
        <w:rPr>
          <w:iCs/>
          <w:snapToGrid w:val="0"/>
          <w:kern w:val="22"/>
          <w:szCs w:val="22"/>
        </w:rPr>
        <w:t>A</w:t>
      </w:r>
      <w:r w:rsidR="00A82AD4" w:rsidRPr="00891479">
        <w:rPr>
          <w:iCs/>
          <w:snapToGrid w:val="0"/>
          <w:kern w:val="22"/>
          <w:szCs w:val="22"/>
        </w:rPr>
        <w:t>.</w:t>
      </w:r>
      <w:r w:rsidR="00CA4A44" w:rsidRPr="00891479">
        <w:rPr>
          <w:iCs/>
          <w:snapToGrid w:val="0"/>
          <w:kern w:val="22"/>
          <w:szCs w:val="22"/>
        </w:rPr>
        <w:t>2</w:t>
      </w:r>
      <w:r w:rsidR="00A82AD4" w:rsidRPr="00891479">
        <w:rPr>
          <w:iCs/>
          <w:snapToGrid w:val="0"/>
          <w:kern w:val="22"/>
          <w:szCs w:val="22"/>
        </w:rPr>
        <w:tab/>
      </w:r>
      <w:r w:rsidR="00CA4A44" w:rsidRPr="00891479">
        <w:rPr>
          <w:iCs/>
          <w:snapToGrid w:val="0"/>
          <w:kern w:val="22"/>
          <w:szCs w:val="22"/>
        </w:rPr>
        <w:t>Are biodiversity’s intrinsic values recognized?</w:t>
      </w:r>
    </w:p>
    <w:p w14:paraId="43CFDB50" w14:textId="77777777" w:rsidR="00CA4A44" w:rsidRPr="00891479" w:rsidRDefault="00BA4C7E" w:rsidP="00B358B9">
      <w:pPr>
        <w:suppressLineNumbers/>
        <w:suppressAutoHyphens/>
        <w:kinsoku w:val="0"/>
        <w:overflowPunct w:val="0"/>
        <w:autoSpaceDE w:val="0"/>
        <w:autoSpaceDN w:val="0"/>
        <w:adjustRightInd w:val="0"/>
        <w:snapToGrid w:val="0"/>
        <w:spacing w:before="120" w:after="120"/>
        <w:rPr>
          <w:b/>
          <w:iCs/>
          <w:snapToGrid w:val="0"/>
          <w:kern w:val="22"/>
          <w:szCs w:val="22"/>
        </w:rPr>
      </w:pPr>
      <w:r w:rsidRPr="00891479">
        <w:rPr>
          <w:b/>
          <w:iCs/>
          <w:snapToGrid w:val="0"/>
          <w:kern w:val="22"/>
          <w:szCs w:val="22"/>
        </w:rPr>
        <w:t xml:space="preserve">Guideline B: </w:t>
      </w:r>
      <w:r w:rsidRPr="00B358B9">
        <w:rPr>
          <w:rFonts w:eastAsia="Malgun Gothic"/>
          <w:b/>
          <w:snapToGrid w:val="0"/>
          <w:kern w:val="22"/>
          <w:szCs w:val="22"/>
          <w:lang w:eastAsia="x-none"/>
        </w:rPr>
        <w:t>Rights and responsibilities of actors and/or stakeholders in biodiversity financing mechanisms should be carefully defined, at national level, in a fair and equitable manner, with the effective participation of all actors concerned, including the prior informed consent or approval and involvement of indigenous and local communities, taking into account, the Convention on Biological Diversity and its relevant decisions, guidance and principles and, as appropriate, the United Nations Declaration of the Rights of Indigenous Peoples.</w:t>
      </w:r>
    </w:p>
    <w:p w14:paraId="181D5FE9" w14:textId="77777777"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sidRPr="00891479">
        <w:rPr>
          <w:iCs/>
          <w:snapToGrid w:val="0"/>
          <w:kern w:val="22"/>
          <w:szCs w:val="22"/>
        </w:rPr>
        <w:t>B</w:t>
      </w:r>
      <w:r w:rsidR="00CA4A44" w:rsidRPr="00891479">
        <w:rPr>
          <w:iCs/>
          <w:snapToGrid w:val="0"/>
          <w:kern w:val="22"/>
          <w:szCs w:val="22"/>
        </w:rPr>
        <w:t>.1</w:t>
      </w:r>
      <w:r w:rsidR="00A82AD4" w:rsidRPr="00891479">
        <w:rPr>
          <w:iCs/>
          <w:snapToGrid w:val="0"/>
          <w:kern w:val="22"/>
          <w:szCs w:val="22"/>
        </w:rPr>
        <w:tab/>
      </w:r>
      <w:r w:rsidR="00CA4A44" w:rsidRPr="00891479">
        <w:rPr>
          <w:iCs/>
          <w:snapToGrid w:val="0"/>
          <w:kern w:val="22"/>
          <w:szCs w:val="22"/>
        </w:rPr>
        <w:t>Are the rights and responsibilities of actors and/or stakeholders carefully and equitably defined?</w:t>
      </w:r>
    </w:p>
    <w:p w14:paraId="39F52AF0" w14:textId="77777777"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sidRPr="00891479">
        <w:rPr>
          <w:iCs/>
          <w:snapToGrid w:val="0"/>
          <w:kern w:val="22"/>
          <w:szCs w:val="22"/>
        </w:rPr>
        <w:t>B</w:t>
      </w:r>
      <w:r w:rsidR="00CA4A44" w:rsidRPr="00891479">
        <w:rPr>
          <w:iCs/>
          <w:snapToGrid w:val="0"/>
          <w:kern w:val="22"/>
          <w:szCs w:val="22"/>
        </w:rPr>
        <w:t>.2</w:t>
      </w:r>
      <w:r w:rsidR="00A82AD4" w:rsidRPr="00891479">
        <w:rPr>
          <w:iCs/>
          <w:snapToGrid w:val="0"/>
          <w:kern w:val="22"/>
          <w:szCs w:val="22"/>
        </w:rPr>
        <w:tab/>
      </w:r>
      <w:r w:rsidR="00CA4A44" w:rsidRPr="00891479">
        <w:rPr>
          <w:iCs/>
          <w:snapToGrid w:val="0"/>
          <w:kern w:val="22"/>
          <w:szCs w:val="22"/>
        </w:rPr>
        <w:t>Has there been effective participation of all actors concerned in the definition of such roles and responsibilities?</w:t>
      </w:r>
    </w:p>
    <w:p w14:paraId="0D7D02FF" w14:textId="77777777"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sidRPr="00891479">
        <w:rPr>
          <w:iCs/>
          <w:snapToGrid w:val="0"/>
          <w:kern w:val="22"/>
          <w:szCs w:val="22"/>
        </w:rPr>
        <w:t>B</w:t>
      </w:r>
      <w:r w:rsidR="00CA4A44" w:rsidRPr="00891479">
        <w:rPr>
          <w:iCs/>
          <w:snapToGrid w:val="0"/>
          <w:kern w:val="22"/>
          <w:szCs w:val="22"/>
        </w:rPr>
        <w:t>.3</w:t>
      </w:r>
      <w:r w:rsidR="00A82AD4" w:rsidRPr="00891479">
        <w:rPr>
          <w:iCs/>
          <w:snapToGrid w:val="0"/>
          <w:kern w:val="22"/>
          <w:szCs w:val="22"/>
        </w:rPr>
        <w:tab/>
      </w:r>
      <w:r w:rsidR="00CA4A44" w:rsidRPr="00891479">
        <w:rPr>
          <w:iCs/>
          <w:snapToGrid w:val="0"/>
          <w:kern w:val="22"/>
          <w:szCs w:val="22"/>
        </w:rPr>
        <w:t>Has there been prior informed consent or approval and involvement of indigenous and local communities in the definition of such roles and responsibilities?</w:t>
      </w:r>
    </w:p>
    <w:p w14:paraId="0FE8A0E5" w14:textId="1510929E"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sidRPr="00891479">
        <w:rPr>
          <w:iCs/>
          <w:snapToGrid w:val="0"/>
          <w:kern w:val="22"/>
          <w:szCs w:val="22"/>
        </w:rPr>
        <w:t>B</w:t>
      </w:r>
      <w:r w:rsidR="00CA4A44" w:rsidRPr="00891479">
        <w:rPr>
          <w:iCs/>
          <w:snapToGrid w:val="0"/>
          <w:kern w:val="22"/>
          <w:szCs w:val="22"/>
        </w:rPr>
        <w:t>.4</w:t>
      </w:r>
      <w:r w:rsidR="00A82AD4" w:rsidRPr="00891479">
        <w:rPr>
          <w:iCs/>
          <w:snapToGrid w:val="0"/>
          <w:kern w:val="22"/>
          <w:szCs w:val="22"/>
        </w:rPr>
        <w:tab/>
      </w:r>
      <w:r w:rsidR="00CA4A44" w:rsidRPr="00891479">
        <w:rPr>
          <w:iCs/>
          <w:snapToGrid w:val="0"/>
          <w:kern w:val="22"/>
          <w:szCs w:val="22"/>
        </w:rPr>
        <w:t xml:space="preserve">Has the mechanism </w:t>
      </w:r>
      <w:r w:rsidR="004E3DED" w:rsidRPr="00891479">
        <w:rPr>
          <w:iCs/>
          <w:snapToGrid w:val="0"/>
          <w:kern w:val="22"/>
          <w:szCs w:val="22"/>
        </w:rPr>
        <w:t>considered</w:t>
      </w:r>
      <w:r w:rsidR="00CA4A44" w:rsidRPr="00891479">
        <w:rPr>
          <w:iCs/>
          <w:snapToGrid w:val="0"/>
          <w:kern w:val="22"/>
          <w:szCs w:val="22"/>
        </w:rPr>
        <w:t xml:space="preserve"> the </w:t>
      </w:r>
      <w:r w:rsidR="00AC2A14" w:rsidRPr="00891479">
        <w:rPr>
          <w:iCs/>
          <w:snapToGrid w:val="0"/>
          <w:kern w:val="22"/>
          <w:szCs w:val="22"/>
        </w:rPr>
        <w:t xml:space="preserve">Convention on Biological Diversity </w:t>
      </w:r>
      <w:r w:rsidR="00CA4A44" w:rsidRPr="00891479">
        <w:rPr>
          <w:iCs/>
          <w:snapToGrid w:val="0"/>
          <w:kern w:val="22"/>
          <w:szCs w:val="22"/>
        </w:rPr>
        <w:t>and its relevant decisions, guidance and principles and</w:t>
      </w:r>
      <w:r w:rsidR="00595244" w:rsidRPr="00891479">
        <w:rPr>
          <w:iCs/>
          <w:snapToGrid w:val="0"/>
          <w:kern w:val="22"/>
          <w:szCs w:val="22"/>
        </w:rPr>
        <w:t>,</w:t>
      </w:r>
      <w:r w:rsidR="00CA4A44" w:rsidRPr="00891479">
        <w:rPr>
          <w:iCs/>
          <w:snapToGrid w:val="0"/>
          <w:kern w:val="22"/>
          <w:szCs w:val="22"/>
        </w:rPr>
        <w:t xml:space="preserve"> as appropriate, the United Nations Declaration o</w:t>
      </w:r>
      <w:r w:rsidR="00595244" w:rsidRPr="00891479">
        <w:rPr>
          <w:iCs/>
          <w:snapToGrid w:val="0"/>
          <w:kern w:val="22"/>
          <w:szCs w:val="22"/>
        </w:rPr>
        <w:t>n</w:t>
      </w:r>
      <w:r w:rsidR="00CA4A44" w:rsidRPr="00891479">
        <w:rPr>
          <w:iCs/>
          <w:snapToGrid w:val="0"/>
          <w:kern w:val="22"/>
          <w:szCs w:val="22"/>
        </w:rPr>
        <w:t xml:space="preserve"> the Rights of Indigenous Peoples?</w:t>
      </w:r>
    </w:p>
    <w:p w14:paraId="6A7123C4" w14:textId="77777777" w:rsidR="00BA4C7E" w:rsidRPr="00891479" w:rsidRDefault="00CA4A44" w:rsidP="00B358B9">
      <w:pPr>
        <w:suppressLineNumbers/>
        <w:suppressAutoHyphens/>
        <w:kinsoku w:val="0"/>
        <w:overflowPunct w:val="0"/>
        <w:autoSpaceDE w:val="0"/>
        <w:autoSpaceDN w:val="0"/>
        <w:adjustRightInd w:val="0"/>
        <w:snapToGrid w:val="0"/>
        <w:spacing w:before="120" w:after="120"/>
        <w:rPr>
          <w:b/>
          <w:iCs/>
          <w:snapToGrid w:val="0"/>
          <w:kern w:val="22"/>
          <w:szCs w:val="22"/>
        </w:rPr>
      </w:pPr>
      <w:r w:rsidRPr="00891479">
        <w:rPr>
          <w:b/>
          <w:iCs/>
          <w:snapToGrid w:val="0"/>
          <w:kern w:val="22"/>
          <w:szCs w:val="22"/>
        </w:rPr>
        <w:t xml:space="preserve">Guideline </w:t>
      </w:r>
      <w:r w:rsidR="00BA4C7E" w:rsidRPr="00891479">
        <w:rPr>
          <w:b/>
          <w:iCs/>
          <w:snapToGrid w:val="0"/>
          <w:kern w:val="22"/>
          <w:szCs w:val="22"/>
        </w:rPr>
        <w:t xml:space="preserve">C: </w:t>
      </w:r>
      <w:r w:rsidR="00BA4C7E" w:rsidRPr="00B358B9">
        <w:rPr>
          <w:rFonts w:eastAsia="Malgun Gothic"/>
          <w:b/>
          <w:snapToGrid w:val="0"/>
          <w:kern w:val="22"/>
          <w:szCs w:val="22"/>
          <w:lang w:eastAsia="x-none"/>
        </w:rPr>
        <w:t xml:space="preserve">Safeguards in biodiversity financing mechanisms should be grounded in local circumstances, </w:t>
      </w:r>
      <w:r w:rsidR="008C7F68" w:rsidRPr="00B358B9">
        <w:rPr>
          <w:rFonts w:eastAsia="Malgun Gothic"/>
          <w:b/>
          <w:snapToGrid w:val="0"/>
          <w:kern w:val="22"/>
          <w:szCs w:val="22"/>
          <w:lang w:eastAsia="x-none"/>
        </w:rPr>
        <w:t xml:space="preserve">should </w:t>
      </w:r>
      <w:r w:rsidR="00BA4C7E" w:rsidRPr="00B358B9">
        <w:rPr>
          <w:rFonts w:eastAsia="Malgun Gothic"/>
          <w:b/>
          <w:snapToGrid w:val="0"/>
          <w:kern w:val="22"/>
          <w:szCs w:val="22"/>
          <w:lang w:eastAsia="x-none"/>
        </w:rPr>
        <w:t xml:space="preserve">be developed </w:t>
      </w:r>
      <w:r w:rsidR="008C7F68" w:rsidRPr="00B358B9">
        <w:rPr>
          <w:rFonts w:eastAsia="Malgun Gothic"/>
          <w:b/>
          <w:snapToGrid w:val="0"/>
          <w:kern w:val="22"/>
          <w:szCs w:val="22"/>
          <w:lang w:eastAsia="x-none"/>
        </w:rPr>
        <w:t xml:space="preserve">in consistency </w:t>
      </w:r>
      <w:r w:rsidR="00BA4C7E" w:rsidRPr="00B358B9">
        <w:rPr>
          <w:rFonts w:eastAsia="Malgun Gothic"/>
          <w:b/>
          <w:snapToGrid w:val="0"/>
          <w:kern w:val="22"/>
          <w:szCs w:val="22"/>
          <w:lang w:eastAsia="x-none"/>
        </w:rPr>
        <w:t>with relevant country-driven/specific processes as well as national legislation and priorities, and take into account relevant international agreements, declarations and guidance developed under the Convention on Biological Diversity and</w:t>
      </w:r>
      <w:r w:rsidR="008A3D38" w:rsidRPr="00B358B9">
        <w:rPr>
          <w:rFonts w:eastAsia="Malgun Gothic"/>
          <w:b/>
          <w:snapToGrid w:val="0"/>
          <w:kern w:val="22"/>
          <w:szCs w:val="22"/>
          <w:lang w:eastAsia="x-none"/>
        </w:rPr>
        <w:t>,</w:t>
      </w:r>
      <w:r w:rsidR="00BA4C7E" w:rsidRPr="00B358B9">
        <w:rPr>
          <w:rFonts w:eastAsia="Malgun Gothic"/>
          <w:b/>
          <w:snapToGrid w:val="0"/>
          <w:kern w:val="22"/>
          <w:szCs w:val="22"/>
          <w:lang w:eastAsia="x-none"/>
        </w:rPr>
        <w:t xml:space="preserve"> as appropriate, the United Nations Framework Convention on Climate Change, international human rights treaties and the United Nations Declaration o</w:t>
      </w:r>
      <w:r w:rsidR="008A3D38" w:rsidRPr="00B358B9">
        <w:rPr>
          <w:rFonts w:eastAsia="Malgun Gothic"/>
          <w:b/>
          <w:snapToGrid w:val="0"/>
          <w:kern w:val="22"/>
          <w:szCs w:val="22"/>
          <w:lang w:eastAsia="x-none"/>
        </w:rPr>
        <w:t>n</w:t>
      </w:r>
      <w:r w:rsidR="00BA4C7E" w:rsidRPr="00B358B9">
        <w:rPr>
          <w:rFonts w:eastAsia="Malgun Gothic"/>
          <w:b/>
          <w:snapToGrid w:val="0"/>
          <w:kern w:val="22"/>
          <w:szCs w:val="22"/>
          <w:lang w:eastAsia="x-none"/>
        </w:rPr>
        <w:t xml:space="preserve"> the Rights of Indigenous Peoples, among others.</w:t>
      </w:r>
    </w:p>
    <w:p w14:paraId="11760759" w14:textId="77777777"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sidRPr="00891479">
        <w:rPr>
          <w:iCs/>
          <w:snapToGrid w:val="0"/>
          <w:kern w:val="22"/>
          <w:szCs w:val="22"/>
        </w:rPr>
        <w:t>C</w:t>
      </w:r>
      <w:r w:rsidR="00CA4A44" w:rsidRPr="00891479">
        <w:rPr>
          <w:iCs/>
          <w:snapToGrid w:val="0"/>
          <w:kern w:val="22"/>
          <w:szCs w:val="22"/>
        </w:rPr>
        <w:t>.1</w:t>
      </w:r>
      <w:r w:rsidR="00A82AD4" w:rsidRPr="00891479">
        <w:rPr>
          <w:iCs/>
          <w:snapToGrid w:val="0"/>
          <w:kern w:val="22"/>
          <w:szCs w:val="22"/>
        </w:rPr>
        <w:tab/>
      </w:r>
      <w:r w:rsidR="00CA4A44" w:rsidRPr="00891479">
        <w:rPr>
          <w:iCs/>
          <w:snapToGrid w:val="0"/>
          <w:kern w:val="22"/>
          <w:szCs w:val="22"/>
        </w:rPr>
        <w:t>Are the financing mechanism’s safeguards grounded in local circumstances?</w:t>
      </w:r>
    </w:p>
    <w:p w14:paraId="78049F72" w14:textId="77777777"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sidRPr="00891479">
        <w:rPr>
          <w:iCs/>
          <w:snapToGrid w:val="0"/>
          <w:kern w:val="22"/>
          <w:szCs w:val="22"/>
        </w:rPr>
        <w:t>C</w:t>
      </w:r>
      <w:r w:rsidR="00CA4A44" w:rsidRPr="00891479">
        <w:rPr>
          <w:iCs/>
          <w:snapToGrid w:val="0"/>
          <w:kern w:val="22"/>
          <w:szCs w:val="22"/>
        </w:rPr>
        <w:t>.2</w:t>
      </w:r>
      <w:r w:rsidR="00A82AD4" w:rsidRPr="00891479">
        <w:rPr>
          <w:iCs/>
          <w:snapToGrid w:val="0"/>
          <w:kern w:val="22"/>
          <w:szCs w:val="22"/>
        </w:rPr>
        <w:tab/>
      </w:r>
      <w:r w:rsidR="00CA4A44" w:rsidRPr="00891479">
        <w:rPr>
          <w:iCs/>
          <w:snapToGrid w:val="0"/>
          <w:kern w:val="22"/>
          <w:szCs w:val="22"/>
        </w:rPr>
        <w:t>Are safeguards consistent with relevant country-driven/specific processes as well as national legislation and priorities?</w:t>
      </w:r>
    </w:p>
    <w:p w14:paraId="6465C881" w14:textId="37D573CB"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sidRPr="00891479">
        <w:rPr>
          <w:iCs/>
          <w:snapToGrid w:val="0"/>
          <w:kern w:val="22"/>
          <w:szCs w:val="22"/>
        </w:rPr>
        <w:t>C</w:t>
      </w:r>
      <w:r w:rsidR="00CA4A44" w:rsidRPr="00891479">
        <w:rPr>
          <w:iCs/>
          <w:snapToGrid w:val="0"/>
          <w:kern w:val="22"/>
          <w:szCs w:val="22"/>
        </w:rPr>
        <w:t>.3</w:t>
      </w:r>
      <w:r w:rsidR="00A82AD4" w:rsidRPr="00891479">
        <w:rPr>
          <w:iCs/>
          <w:snapToGrid w:val="0"/>
          <w:kern w:val="22"/>
          <w:szCs w:val="22"/>
        </w:rPr>
        <w:tab/>
      </w:r>
      <w:r w:rsidR="00CA4A44" w:rsidRPr="00891479">
        <w:rPr>
          <w:iCs/>
          <w:snapToGrid w:val="0"/>
          <w:kern w:val="22"/>
          <w:szCs w:val="22"/>
        </w:rPr>
        <w:t xml:space="preserve">Do they </w:t>
      </w:r>
      <w:r w:rsidR="004E3DED" w:rsidRPr="00891479">
        <w:rPr>
          <w:iCs/>
          <w:snapToGrid w:val="0"/>
          <w:kern w:val="22"/>
          <w:szCs w:val="22"/>
        </w:rPr>
        <w:t>consider</w:t>
      </w:r>
      <w:r w:rsidR="00CA4A44" w:rsidRPr="00891479">
        <w:rPr>
          <w:iCs/>
          <w:snapToGrid w:val="0"/>
          <w:kern w:val="22"/>
          <w:szCs w:val="22"/>
        </w:rPr>
        <w:t xml:space="preserve"> the instruments mentioned in point </w:t>
      </w:r>
      <w:r w:rsidR="00F26813" w:rsidRPr="00891479">
        <w:rPr>
          <w:iCs/>
          <w:snapToGrid w:val="0"/>
          <w:kern w:val="22"/>
          <w:szCs w:val="22"/>
        </w:rPr>
        <w:t>B</w:t>
      </w:r>
      <w:r w:rsidR="00CA4A44" w:rsidRPr="00891479">
        <w:rPr>
          <w:iCs/>
          <w:snapToGrid w:val="0"/>
          <w:kern w:val="22"/>
          <w:szCs w:val="22"/>
        </w:rPr>
        <w:t>.4 and the United Nations Framework Convention on Climate Change, international human rights treaties and others, as appropriate?</w:t>
      </w:r>
    </w:p>
    <w:p w14:paraId="2FC9F2E0" w14:textId="77777777" w:rsidR="00BA4C7E" w:rsidRPr="00891479" w:rsidRDefault="00CA4A44" w:rsidP="00B358B9">
      <w:pPr>
        <w:suppressLineNumbers/>
        <w:suppressAutoHyphens/>
        <w:kinsoku w:val="0"/>
        <w:overflowPunct w:val="0"/>
        <w:autoSpaceDE w:val="0"/>
        <w:autoSpaceDN w:val="0"/>
        <w:adjustRightInd w:val="0"/>
        <w:snapToGrid w:val="0"/>
        <w:spacing w:before="120" w:after="120"/>
        <w:rPr>
          <w:b/>
          <w:iCs/>
          <w:snapToGrid w:val="0"/>
          <w:kern w:val="22"/>
          <w:szCs w:val="22"/>
        </w:rPr>
      </w:pPr>
      <w:r w:rsidRPr="00891479">
        <w:rPr>
          <w:b/>
          <w:iCs/>
          <w:snapToGrid w:val="0"/>
          <w:kern w:val="22"/>
          <w:szCs w:val="22"/>
        </w:rPr>
        <w:t xml:space="preserve">Guideline </w:t>
      </w:r>
      <w:r w:rsidR="00BA4C7E" w:rsidRPr="00891479">
        <w:rPr>
          <w:b/>
          <w:iCs/>
          <w:snapToGrid w:val="0"/>
          <w:kern w:val="22"/>
          <w:szCs w:val="22"/>
        </w:rPr>
        <w:t xml:space="preserve">D: </w:t>
      </w:r>
      <w:r w:rsidR="00BA4C7E" w:rsidRPr="00B358B9">
        <w:rPr>
          <w:rFonts w:eastAsia="Malgun Gothic"/>
          <w:b/>
          <w:snapToGrid w:val="0"/>
          <w:kern w:val="22"/>
          <w:szCs w:val="22"/>
        </w:rPr>
        <w:t>Appropriate and effective institutional frameworks are of utmost importance for safeguards to be operational and should be put in place, including enforcement and evaluation mechanisms that will ensure transparency and accountability, as well as compliance with relevant safeguards</w:t>
      </w:r>
    </w:p>
    <w:p w14:paraId="7177586F" w14:textId="77777777"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sidRPr="00891479">
        <w:rPr>
          <w:iCs/>
          <w:snapToGrid w:val="0"/>
          <w:kern w:val="22"/>
          <w:szCs w:val="22"/>
        </w:rPr>
        <w:t>D.1</w:t>
      </w:r>
      <w:r w:rsidRPr="00891479">
        <w:rPr>
          <w:iCs/>
          <w:snapToGrid w:val="0"/>
          <w:kern w:val="22"/>
          <w:szCs w:val="22"/>
        </w:rPr>
        <w:tab/>
      </w:r>
      <w:r w:rsidR="00CA4A44" w:rsidRPr="00891479">
        <w:rPr>
          <w:iCs/>
          <w:snapToGrid w:val="0"/>
          <w:kern w:val="22"/>
          <w:szCs w:val="22"/>
        </w:rPr>
        <w:t>Are appropriate and effective institutional frameworks in place to ensure application of the safeguards?</w:t>
      </w:r>
    </w:p>
    <w:p w14:paraId="0A888B18" w14:textId="77777777"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sidRPr="00891479">
        <w:rPr>
          <w:iCs/>
          <w:snapToGrid w:val="0"/>
          <w:kern w:val="22"/>
          <w:szCs w:val="22"/>
        </w:rPr>
        <w:t>D</w:t>
      </w:r>
      <w:r w:rsidR="00CA4A44" w:rsidRPr="00891479">
        <w:rPr>
          <w:iCs/>
          <w:snapToGrid w:val="0"/>
          <w:kern w:val="22"/>
          <w:szCs w:val="22"/>
        </w:rPr>
        <w:t>.2</w:t>
      </w:r>
      <w:r w:rsidRPr="00891479">
        <w:rPr>
          <w:iCs/>
          <w:snapToGrid w:val="0"/>
          <w:kern w:val="22"/>
          <w:szCs w:val="22"/>
        </w:rPr>
        <w:tab/>
      </w:r>
      <w:r w:rsidR="00CA4A44" w:rsidRPr="00891479">
        <w:rPr>
          <w:iCs/>
          <w:snapToGrid w:val="0"/>
          <w:kern w:val="22"/>
          <w:szCs w:val="22"/>
        </w:rPr>
        <w:t>Does the safeguard system include enforcement and evaluation mechanisms?</w:t>
      </w:r>
    </w:p>
    <w:p w14:paraId="334CD96F" w14:textId="77777777"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sidRPr="00891479">
        <w:rPr>
          <w:iCs/>
          <w:snapToGrid w:val="0"/>
          <w:kern w:val="22"/>
          <w:szCs w:val="22"/>
        </w:rPr>
        <w:t>D</w:t>
      </w:r>
      <w:r w:rsidR="00CA4A44" w:rsidRPr="00891479">
        <w:rPr>
          <w:iCs/>
          <w:snapToGrid w:val="0"/>
          <w:kern w:val="22"/>
          <w:szCs w:val="22"/>
        </w:rPr>
        <w:t>.3</w:t>
      </w:r>
      <w:r w:rsidRPr="00891479">
        <w:rPr>
          <w:iCs/>
          <w:snapToGrid w:val="0"/>
          <w:kern w:val="22"/>
          <w:szCs w:val="22"/>
        </w:rPr>
        <w:tab/>
      </w:r>
      <w:r w:rsidR="00CA4A44" w:rsidRPr="00891479">
        <w:rPr>
          <w:iCs/>
          <w:snapToGrid w:val="0"/>
          <w:kern w:val="22"/>
          <w:szCs w:val="22"/>
        </w:rPr>
        <w:t>Are requirements of transparency and accountability included?</w:t>
      </w:r>
    </w:p>
    <w:p w14:paraId="263E3644" w14:textId="77777777" w:rsidR="00CA4A44" w:rsidRPr="00891479" w:rsidRDefault="004217EB" w:rsidP="00B358B9">
      <w:pPr>
        <w:suppressLineNumbers/>
        <w:suppressAutoHyphens/>
        <w:kinsoku w:val="0"/>
        <w:overflowPunct w:val="0"/>
        <w:autoSpaceDE w:val="0"/>
        <w:autoSpaceDN w:val="0"/>
        <w:adjustRightInd w:val="0"/>
        <w:snapToGrid w:val="0"/>
        <w:spacing w:before="120" w:after="120"/>
        <w:rPr>
          <w:iCs/>
          <w:snapToGrid w:val="0"/>
          <w:kern w:val="22"/>
          <w:szCs w:val="22"/>
        </w:rPr>
      </w:pPr>
      <w:r w:rsidRPr="00891479">
        <w:rPr>
          <w:iCs/>
          <w:snapToGrid w:val="0"/>
          <w:kern w:val="22"/>
          <w:szCs w:val="22"/>
        </w:rPr>
        <w:t>D</w:t>
      </w:r>
      <w:r w:rsidR="00CA4A44" w:rsidRPr="00891479">
        <w:rPr>
          <w:iCs/>
          <w:snapToGrid w:val="0"/>
          <w:kern w:val="22"/>
          <w:szCs w:val="22"/>
        </w:rPr>
        <w:t>.4</w:t>
      </w:r>
      <w:r w:rsidRPr="00891479">
        <w:rPr>
          <w:iCs/>
          <w:snapToGrid w:val="0"/>
          <w:kern w:val="22"/>
          <w:szCs w:val="22"/>
        </w:rPr>
        <w:tab/>
      </w:r>
      <w:r w:rsidR="00A82AD4" w:rsidRPr="00891479">
        <w:rPr>
          <w:iCs/>
          <w:snapToGrid w:val="0"/>
          <w:kern w:val="22"/>
          <w:szCs w:val="22"/>
        </w:rPr>
        <w:t>Are all</w:t>
      </w:r>
      <w:r w:rsidR="00CA4A44" w:rsidRPr="00891479">
        <w:rPr>
          <w:iCs/>
          <w:snapToGrid w:val="0"/>
          <w:kern w:val="22"/>
          <w:szCs w:val="22"/>
        </w:rPr>
        <w:t xml:space="preserve"> stakeholders required </w:t>
      </w:r>
      <w:r w:rsidRPr="00891479">
        <w:rPr>
          <w:iCs/>
          <w:snapToGrid w:val="0"/>
          <w:kern w:val="22"/>
          <w:szCs w:val="22"/>
        </w:rPr>
        <w:t>complying</w:t>
      </w:r>
      <w:r w:rsidR="00CA4A44" w:rsidRPr="00891479">
        <w:rPr>
          <w:iCs/>
          <w:snapToGrid w:val="0"/>
          <w:kern w:val="22"/>
          <w:szCs w:val="22"/>
        </w:rPr>
        <w:t xml:space="preserve"> with safeguards’ provisions?</w:t>
      </w:r>
    </w:p>
    <w:p w14:paraId="3BB4985C" w14:textId="77777777" w:rsidR="00CA4A44" w:rsidRPr="00B358B9" w:rsidRDefault="00CA4A44" w:rsidP="00B358B9">
      <w:pPr>
        <w:pStyle w:val="Para1"/>
        <w:numPr>
          <w:ilvl w:val="0"/>
          <w:numId w:val="0"/>
        </w:numPr>
        <w:suppressLineNumbers/>
        <w:suppressAutoHyphens/>
        <w:kinsoku w:val="0"/>
        <w:overflowPunct w:val="0"/>
        <w:autoSpaceDE w:val="0"/>
        <w:autoSpaceDN w:val="0"/>
        <w:adjustRightInd w:val="0"/>
        <w:snapToGrid w:val="0"/>
        <w:rPr>
          <w:b/>
          <w:kern w:val="22"/>
          <w:szCs w:val="22"/>
        </w:rPr>
      </w:pPr>
      <w:r w:rsidRPr="00B358B9">
        <w:rPr>
          <w:b/>
          <w:kern w:val="22"/>
          <w:szCs w:val="22"/>
        </w:rPr>
        <w:t xml:space="preserve">Additional questions elaborated from the relevant decisions, guidance and principles </w:t>
      </w:r>
      <w:r w:rsidR="00B31983" w:rsidRPr="00B358B9">
        <w:rPr>
          <w:b/>
          <w:kern w:val="22"/>
          <w:szCs w:val="22"/>
        </w:rPr>
        <w:t xml:space="preserve">under the Convention on Biological Diversity </w:t>
      </w:r>
      <w:r w:rsidRPr="00B358B9">
        <w:rPr>
          <w:b/>
          <w:kern w:val="22"/>
          <w:szCs w:val="22"/>
        </w:rPr>
        <w:t>would include</w:t>
      </w:r>
      <w:r w:rsidR="00B31983" w:rsidRPr="00B358B9">
        <w:rPr>
          <w:b/>
          <w:kern w:val="22"/>
          <w:szCs w:val="22"/>
        </w:rPr>
        <w:t xml:space="preserve"> the following</w:t>
      </w:r>
      <w:r w:rsidRPr="00B358B9">
        <w:rPr>
          <w:b/>
          <w:kern w:val="22"/>
          <w:szCs w:val="22"/>
        </w:rPr>
        <w:t>:</w:t>
      </w:r>
    </w:p>
    <w:p w14:paraId="1A45CA1B" w14:textId="77777777" w:rsidR="004217EB" w:rsidRPr="00B358B9" w:rsidRDefault="00CA4A44" w:rsidP="00B358B9">
      <w:pPr>
        <w:pStyle w:val="Para1"/>
        <w:numPr>
          <w:ilvl w:val="0"/>
          <w:numId w:val="19"/>
        </w:numPr>
        <w:suppressLineNumbers/>
        <w:suppressAutoHyphens/>
        <w:kinsoku w:val="0"/>
        <w:overflowPunct w:val="0"/>
        <w:autoSpaceDE w:val="0"/>
        <w:autoSpaceDN w:val="0"/>
        <w:adjustRightInd w:val="0"/>
        <w:snapToGrid w:val="0"/>
        <w:ind w:left="720" w:hanging="720"/>
        <w:rPr>
          <w:kern w:val="22"/>
          <w:szCs w:val="22"/>
        </w:rPr>
      </w:pPr>
      <w:r w:rsidRPr="00B358B9">
        <w:rPr>
          <w:kern w:val="22"/>
          <w:szCs w:val="22"/>
        </w:rPr>
        <w:t>Are there provisions to ensure equity, or reduce risks of inequity, in benefit sharing?</w:t>
      </w:r>
    </w:p>
    <w:p w14:paraId="026728A2" w14:textId="77777777" w:rsidR="004217EB" w:rsidRPr="00B358B9" w:rsidRDefault="00CA4A44" w:rsidP="00B358B9">
      <w:pPr>
        <w:pStyle w:val="Para1"/>
        <w:numPr>
          <w:ilvl w:val="0"/>
          <w:numId w:val="19"/>
        </w:numPr>
        <w:suppressLineNumbers/>
        <w:suppressAutoHyphens/>
        <w:kinsoku w:val="0"/>
        <w:overflowPunct w:val="0"/>
        <w:autoSpaceDE w:val="0"/>
        <w:autoSpaceDN w:val="0"/>
        <w:adjustRightInd w:val="0"/>
        <w:snapToGrid w:val="0"/>
        <w:ind w:left="720" w:hanging="720"/>
        <w:rPr>
          <w:kern w:val="22"/>
          <w:szCs w:val="22"/>
        </w:rPr>
      </w:pPr>
      <w:r w:rsidRPr="00B358B9">
        <w:rPr>
          <w:kern w:val="22"/>
          <w:szCs w:val="22"/>
        </w:rPr>
        <w:t xml:space="preserve">Are cultural impact assessment procedures included in safeguard instruments? Do they specifically include respect for the spiritual values of </w:t>
      </w:r>
      <w:r w:rsidR="00DD3A36" w:rsidRPr="00B358B9">
        <w:rPr>
          <w:kern w:val="22"/>
          <w:szCs w:val="22"/>
        </w:rPr>
        <w:t>indigenous peoples and local communities</w:t>
      </w:r>
      <w:r w:rsidRPr="00B358B9">
        <w:rPr>
          <w:kern w:val="22"/>
          <w:szCs w:val="22"/>
        </w:rPr>
        <w:t>?</w:t>
      </w:r>
    </w:p>
    <w:p w14:paraId="4A8E7284" w14:textId="77777777" w:rsidR="004217EB" w:rsidRPr="00B358B9" w:rsidRDefault="00CA4A44" w:rsidP="00B358B9">
      <w:pPr>
        <w:pStyle w:val="Para1"/>
        <w:numPr>
          <w:ilvl w:val="0"/>
          <w:numId w:val="19"/>
        </w:numPr>
        <w:suppressLineNumbers/>
        <w:suppressAutoHyphens/>
        <w:kinsoku w:val="0"/>
        <w:overflowPunct w:val="0"/>
        <w:autoSpaceDE w:val="0"/>
        <w:autoSpaceDN w:val="0"/>
        <w:adjustRightInd w:val="0"/>
        <w:snapToGrid w:val="0"/>
        <w:ind w:left="720" w:hanging="720"/>
        <w:rPr>
          <w:kern w:val="22"/>
          <w:szCs w:val="22"/>
        </w:rPr>
      </w:pPr>
      <w:r w:rsidRPr="00B358B9">
        <w:rPr>
          <w:kern w:val="22"/>
          <w:szCs w:val="22"/>
        </w:rPr>
        <w:t>Is customary use considered in avoidance of risks?</w:t>
      </w:r>
    </w:p>
    <w:p w14:paraId="55CC1D7A" w14:textId="77777777" w:rsidR="00CA4A44" w:rsidRPr="00B358B9" w:rsidRDefault="00CA4A44" w:rsidP="00B358B9">
      <w:pPr>
        <w:pStyle w:val="Para1"/>
        <w:numPr>
          <w:ilvl w:val="0"/>
          <w:numId w:val="19"/>
        </w:numPr>
        <w:suppressLineNumbers/>
        <w:suppressAutoHyphens/>
        <w:kinsoku w:val="0"/>
        <w:overflowPunct w:val="0"/>
        <w:autoSpaceDE w:val="0"/>
        <w:autoSpaceDN w:val="0"/>
        <w:adjustRightInd w:val="0"/>
        <w:snapToGrid w:val="0"/>
        <w:ind w:left="720" w:hanging="720"/>
        <w:rPr>
          <w:kern w:val="22"/>
          <w:szCs w:val="22"/>
        </w:rPr>
      </w:pPr>
      <w:r w:rsidRPr="00B358B9">
        <w:rPr>
          <w:kern w:val="22"/>
          <w:szCs w:val="22"/>
        </w:rPr>
        <w:t xml:space="preserve">Are there safeguard provisions for risk mitigation and avoidance in relation to </w:t>
      </w:r>
      <w:r w:rsidR="00766B62" w:rsidRPr="00B358B9">
        <w:rPr>
          <w:kern w:val="22"/>
          <w:szCs w:val="22"/>
        </w:rPr>
        <w:t>the</w:t>
      </w:r>
      <w:r w:rsidRPr="00B358B9">
        <w:rPr>
          <w:kern w:val="22"/>
          <w:szCs w:val="22"/>
        </w:rPr>
        <w:t xml:space="preserve"> traditional knowledge</w:t>
      </w:r>
      <w:r w:rsidR="00766B62" w:rsidRPr="00B358B9">
        <w:rPr>
          <w:kern w:val="22"/>
          <w:szCs w:val="22"/>
        </w:rPr>
        <w:t xml:space="preserve"> of indigenous peoples and local communities</w:t>
      </w:r>
      <w:r w:rsidRPr="00B358B9">
        <w:rPr>
          <w:kern w:val="22"/>
          <w:szCs w:val="22"/>
        </w:rPr>
        <w:t>, especially regarding the protection of their knowledge rights?</w:t>
      </w:r>
    </w:p>
    <w:p w14:paraId="1293B4E7" w14:textId="77777777" w:rsidR="00A271B3" w:rsidRPr="00891479" w:rsidRDefault="000B2687" w:rsidP="00B358B9">
      <w:pPr>
        <w:suppressLineNumbers/>
        <w:suppressAutoHyphens/>
        <w:kinsoku w:val="0"/>
        <w:overflowPunct w:val="0"/>
        <w:autoSpaceDE w:val="0"/>
        <w:autoSpaceDN w:val="0"/>
        <w:adjustRightInd w:val="0"/>
        <w:snapToGrid w:val="0"/>
        <w:spacing w:before="120" w:after="120"/>
        <w:ind w:firstLine="709"/>
        <w:jc w:val="center"/>
        <w:rPr>
          <w:iCs/>
          <w:snapToGrid w:val="0"/>
          <w:kern w:val="22"/>
          <w:szCs w:val="22"/>
        </w:rPr>
      </w:pPr>
      <w:r w:rsidRPr="00B358B9">
        <w:rPr>
          <w:snapToGrid w:val="0"/>
          <w:kern w:val="22"/>
          <w:szCs w:val="22"/>
        </w:rPr>
        <w:t>__________</w:t>
      </w:r>
    </w:p>
    <w:sectPr w:rsidR="00A271B3" w:rsidRPr="00891479" w:rsidSect="00CC3D30">
      <w:headerReference w:type="even" r:id="rId21"/>
      <w:headerReference w:type="default" r:id="rId22"/>
      <w:footerReference w:type="even" r:id="rId23"/>
      <w:footerReference w:type="first" r:id="rId24"/>
      <w:type w:val="continuous"/>
      <w:pgSz w:w="11906" w:h="16838" w:code="9"/>
      <w:pgMar w:top="1021" w:right="1349"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C1E51" w14:textId="77777777" w:rsidR="00C043DA" w:rsidRDefault="00C043DA">
      <w:r>
        <w:separator/>
      </w:r>
    </w:p>
  </w:endnote>
  <w:endnote w:type="continuationSeparator" w:id="0">
    <w:p w14:paraId="3B67405C" w14:textId="77777777" w:rsidR="00C043DA" w:rsidRDefault="00C043DA">
      <w:r>
        <w:continuationSeparator/>
      </w:r>
    </w:p>
  </w:endnote>
  <w:endnote w:type="continuationNotice" w:id="1">
    <w:p w14:paraId="0510E0FC" w14:textId="77777777" w:rsidR="00C043DA" w:rsidRDefault="00C04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9242" w14:textId="77777777" w:rsidR="00B85FF3" w:rsidRDefault="00B85FF3" w:rsidP="005A5E7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EA21" w14:textId="77777777" w:rsidR="00B85FF3" w:rsidRDefault="00B85FF3" w:rsidP="005A5E72">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5AA13" w14:textId="77777777" w:rsidR="00C043DA" w:rsidRDefault="00C043DA">
      <w:r>
        <w:separator/>
      </w:r>
    </w:p>
  </w:footnote>
  <w:footnote w:type="continuationSeparator" w:id="0">
    <w:p w14:paraId="241C1484" w14:textId="77777777" w:rsidR="00C043DA" w:rsidRDefault="00C043DA">
      <w:r>
        <w:continuationSeparator/>
      </w:r>
    </w:p>
  </w:footnote>
  <w:footnote w:type="continuationNotice" w:id="1">
    <w:p w14:paraId="4DB8BA0F" w14:textId="77777777" w:rsidR="00C043DA" w:rsidRDefault="00C043DA"/>
  </w:footnote>
  <w:footnote w:id="2">
    <w:p w14:paraId="485722FD" w14:textId="77777777" w:rsidR="006802DE" w:rsidRPr="00B358B9" w:rsidRDefault="006802DE"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t>*</w:t>
      </w:r>
      <w:r w:rsidRPr="00B358B9">
        <w:rPr>
          <w:snapToGrid w:val="0"/>
          <w:kern w:val="18"/>
          <w:szCs w:val="18"/>
          <w:lang w:val="en-GB"/>
        </w:rPr>
        <w:t xml:space="preserve"> </w:t>
      </w:r>
      <w:hyperlink r:id="rId1" w:history="1">
        <w:r w:rsidRPr="00B358B9">
          <w:rPr>
            <w:rStyle w:val="Hyperlink"/>
            <w:snapToGrid w:val="0"/>
            <w:kern w:val="18"/>
            <w:szCs w:val="18"/>
            <w:lang w:val="en-GB"/>
          </w:rPr>
          <w:t>CBD/</w:t>
        </w:r>
        <w:r w:rsidR="00F97D93" w:rsidRPr="00B358B9">
          <w:rPr>
            <w:rStyle w:val="Hyperlink"/>
            <w:snapToGrid w:val="0"/>
            <w:kern w:val="18"/>
            <w:szCs w:val="18"/>
            <w:lang w:val="en-GB"/>
          </w:rPr>
          <w:t>SBI</w:t>
        </w:r>
        <w:r w:rsidRPr="00B358B9">
          <w:rPr>
            <w:rStyle w:val="Hyperlink"/>
            <w:snapToGrid w:val="0"/>
            <w:kern w:val="18"/>
            <w:szCs w:val="18"/>
            <w:lang w:val="en-GB"/>
          </w:rPr>
          <w:t>/</w:t>
        </w:r>
        <w:r w:rsidR="00F97D93" w:rsidRPr="00B358B9">
          <w:rPr>
            <w:rStyle w:val="Hyperlink"/>
            <w:snapToGrid w:val="0"/>
            <w:kern w:val="18"/>
            <w:szCs w:val="18"/>
            <w:lang w:val="en-GB"/>
          </w:rPr>
          <w:t>2</w:t>
        </w:r>
        <w:r w:rsidRPr="00B358B9">
          <w:rPr>
            <w:rStyle w:val="Hyperlink"/>
            <w:snapToGrid w:val="0"/>
            <w:kern w:val="18"/>
            <w:szCs w:val="18"/>
            <w:lang w:val="en-GB"/>
          </w:rPr>
          <w:t>/1</w:t>
        </w:r>
      </w:hyperlink>
      <w:r w:rsidRPr="00B358B9">
        <w:rPr>
          <w:snapToGrid w:val="0"/>
          <w:kern w:val="18"/>
          <w:szCs w:val="18"/>
          <w:lang w:val="en-GB"/>
        </w:rPr>
        <w:t>.</w:t>
      </w:r>
    </w:p>
  </w:footnote>
  <w:footnote w:id="3">
    <w:p w14:paraId="51E6197A" w14:textId="77777777" w:rsidR="005E510D" w:rsidRPr="00B358B9" w:rsidRDefault="005E510D"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r w:rsidRPr="00B358B9">
        <w:rPr>
          <w:iCs/>
          <w:snapToGrid w:val="0"/>
          <w:kern w:val="18"/>
          <w:szCs w:val="18"/>
          <w:lang w:val="en-GB"/>
        </w:rPr>
        <w:t>Elements of methodological guidance for identifying, monitoring, and assessing the contribution of indigenous peoples”</w:t>
      </w:r>
      <w:r w:rsidRPr="00B358B9">
        <w:rPr>
          <w:snapToGrid w:val="0"/>
          <w:kern w:val="18"/>
          <w:szCs w:val="18"/>
          <w:lang w:val="en-GB"/>
        </w:rPr>
        <w:t xml:space="preserve"> (</w:t>
      </w:r>
      <w:hyperlink r:id="rId2" w:history="1">
        <w:r w:rsidRPr="00B358B9">
          <w:rPr>
            <w:rStyle w:val="Hyperlink"/>
            <w:iCs/>
            <w:snapToGrid w:val="0"/>
            <w:kern w:val="18"/>
            <w:szCs w:val="18"/>
            <w:lang w:val="en-GB"/>
          </w:rPr>
          <w:t>CBD/WG8J/10/5</w:t>
        </w:r>
      </w:hyperlink>
      <w:r w:rsidRPr="00B358B9">
        <w:rPr>
          <w:iCs/>
          <w:snapToGrid w:val="0"/>
          <w:kern w:val="18"/>
          <w:szCs w:val="18"/>
          <w:lang w:val="en-GB"/>
        </w:rPr>
        <w:t>) and “</w:t>
      </w:r>
      <w:r w:rsidRPr="00B358B9">
        <w:rPr>
          <w:snapToGrid w:val="0"/>
          <w:kern w:val="18"/>
          <w:szCs w:val="18"/>
          <w:lang w:val="en-GB"/>
        </w:rPr>
        <w:t>Taking the voluntary guidelines on safeguards in biodiversity financing mechanisms into account when selecting, designing and implementing biodiversity financing mechanisms and when developing instrument-specific safeguards”</w:t>
      </w:r>
      <w:r w:rsidRPr="00B358B9">
        <w:rPr>
          <w:iCs/>
          <w:snapToGrid w:val="0"/>
          <w:kern w:val="18"/>
          <w:szCs w:val="18"/>
          <w:lang w:val="en-GB"/>
        </w:rPr>
        <w:t xml:space="preserve"> (</w:t>
      </w:r>
      <w:hyperlink r:id="rId3" w:history="1">
        <w:r w:rsidRPr="00B358B9">
          <w:rPr>
            <w:rStyle w:val="Hyperlink"/>
            <w:iCs/>
            <w:snapToGrid w:val="0"/>
            <w:kern w:val="18"/>
            <w:szCs w:val="18"/>
            <w:lang w:val="en-GB"/>
          </w:rPr>
          <w:t>CBD/WG8J/10/6</w:t>
        </w:r>
      </w:hyperlink>
      <w:r w:rsidRPr="00B358B9">
        <w:rPr>
          <w:iCs/>
          <w:snapToGrid w:val="0"/>
          <w:kern w:val="18"/>
          <w:szCs w:val="18"/>
          <w:lang w:val="en-GB"/>
        </w:rPr>
        <w:t>).</w:t>
      </w:r>
    </w:p>
  </w:footnote>
  <w:footnote w:id="4">
    <w:p w14:paraId="036C47CC" w14:textId="77777777" w:rsidR="00E97C34" w:rsidRPr="00B358B9" w:rsidRDefault="00E97C34"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4" w:history="1">
        <w:r w:rsidRPr="00B358B9">
          <w:rPr>
            <w:rStyle w:val="Hyperlink"/>
            <w:iCs/>
            <w:snapToGrid w:val="0"/>
            <w:kern w:val="18"/>
            <w:szCs w:val="18"/>
            <w:lang w:val="en-GB"/>
          </w:rPr>
          <w:t>CBD/WG8J/10/5</w:t>
        </w:r>
      </w:hyperlink>
      <w:r w:rsidRPr="00B358B9">
        <w:rPr>
          <w:iCs/>
          <w:snapToGrid w:val="0"/>
          <w:kern w:val="18"/>
          <w:szCs w:val="18"/>
          <w:lang w:val="en-GB"/>
        </w:rPr>
        <w:t xml:space="preserve"> and </w:t>
      </w:r>
      <w:hyperlink r:id="rId5" w:history="1">
        <w:r w:rsidRPr="00B358B9">
          <w:rPr>
            <w:rStyle w:val="Hyperlink"/>
            <w:iCs/>
            <w:snapToGrid w:val="0"/>
            <w:kern w:val="18"/>
            <w:szCs w:val="18"/>
            <w:lang w:val="en-GB"/>
          </w:rPr>
          <w:t>CBD/WG8J/10/6</w:t>
        </w:r>
      </w:hyperlink>
    </w:p>
  </w:footnote>
  <w:footnote w:id="5">
    <w:p w14:paraId="2A0E81E0" w14:textId="4778B0D5" w:rsidR="00500857" w:rsidRPr="00B358B9" w:rsidRDefault="00500857"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r w:rsidR="0078292D" w:rsidRPr="00B358B9">
        <w:rPr>
          <w:snapToGrid w:val="0"/>
          <w:kern w:val="18"/>
          <w:szCs w:val="18"/>
          <w:lang w:val="en-GB"/>
        </w:rPr>
        <w:t>R</w:t>
      </w:r>
      <w:r w:rsidRPr="00B358B9">
        <w:rPr>
          <w:snapToGrid w:val="0"/>
          <w:kern w:val="18"/>
          <w:szCs w:val="18"/>
          <w:lang w:val="en-GB"/>
        </w:rPr>
        <w:t xml:space="preserve">ef. No. </w:t>
      </w:r>
      <w:r w:rsidRPr="00B358B9">
        <w:rPr>
          <w:bCs/>
          <w:snapToGrid w:val="0"/>
          <w:kern w:val="18"/>
          <w:szCs w:val="18"/>
          <w:lang w:val="en-GB"/>
        </w:rPr>
        <w:t>SCBD/MCO/DC/VN/JS/GD/JH/87060</w:t>
      </w:r>
      <w:r w:rsidR="0078292D" w:rsidRPr="00B358B9">
        <w:rPr>
          <w:bCs/>
          <w:snapToGrid w:val="0"/>
          <w:kern w:val="18"/>
          <w:szCs w:val="18"/>
          <w:lang w:val="en-GB"/>
        </w:rPr>
        <w:t xml:space="preserve"> </w:t>
      </w:r>
      <w:r w:rsidR="0078292D" w:rsidRPr="00B358B9">
        <w:rPr>
          <w:snapToGrid w:val="0"/>
          <w:kern w:val="18"/>
          <w:szCs w:val="18"/>
          <w:lang w:val="en-GB"/>
        </w:rPr>
        <w:t>(2018-007).</w:t>
      </w:r>
    </w:p>
  </w:footnote>
  <w:footnote w:id="6">
    <w:p w14:paraId="6C0B14DB" w14:textId="2F5B0670" w:rsidR="00586657" w:rsidRPr="00B358B9" w:rsidRDefault="00586657" w:rsidP="00BF3FA7">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r w:rsidR="00407D60" w:rsidRPr="00B358B9">
        <w:rPr>
          <w:snapToGrid w:val="0"/>
          <w:kern w:val="18"/>
          <w:szCs w:val="18"/>
          <w:lang w:val="en-GB"/>
        </w:rPr>
        <w:t xml:space="preserve">Relevant </w:t>
      </w:r>
      <w:r w:rsidR="00500857" w:rsidRPr="00B358B9">
        <w:rPr>
          <w:snapToGrid w:val="0"/>
          <w:kern w:val="18"/>
          <w:szCs w:val="18"/>
          <w:lang w:val="en-GB"/>
        </w:rPr>
        <w:t>s</w:t>
      </w:r>
      <w:r w:rsidRPr="00B358B9">
        <w:rPr>
          <w:snapToGrid w:val="0"/>
          <w:kern w:val="18"/>
          <w:szCs w:val="18"/>
          <w:lang w:val="en-GB"/>
        </w:rPr>
        <w:t>ubmissions were received from: New Zealand; United States of America; Foundation for Aboriginal and Islander Research Action.</w:t>
      </w:r>
    </w:p>
  </w:footnote>
  <w:footnote w:id="7">
    <w:p w14:paraId="3CA8B64F" w14:textId="11AD93CC" w:rsidR="00500857" w:rsidRPr="00B358B9" w:rsidRDefault="00500857"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6" w:history="1">
        <w:r w:rsidRPr="00B358B9">
          <w:rPr>
            <w:rStyle w:val="Hyperlink"/>
            <w:rFonts w:eastAsia="MS Mincho"/>
            <w:snapToGrid w:val="0"/>
            <w:kern w:val="18"/>
            <w:szCs w:val="18"/>
            <w:lang w:val="en-GB"/>
          </w:rPr>
          <w:t>CBD/WG8J/10/INF/10</w:t>
        </w:r>
      </w:hyperlink>
      <w:r w:rsidRPr="00B358B9">
        <w:rPr>
          <w:rStyle w:val="Hyperlink"/>
          <w:rFonts w:eastAsia="MS Mincho"/>
          <w:snapToGrid w:val="0"/>
          <w:kern w:val="18"/>
          <w:szCs w:val="18"/>
          <w:u w:val="none"/>
          <w:lang w:val="en-GB"/>
        </w:rPr>
        <w:t>.</w:t>
      </w:r>
    </w:p>
  </w:footnote>
  <w:footnote w:id="8">
    <w:p w14:paraId="06FC79F7" w14:textId="0C9FCE4D" w:rsidR="00B85FF3" w:rsidRPr="00B358B9" w:rsidRDefault="00B85FF3" w:rsidP="00B358B9">
      <w:pPr>
        <w:pStyle w:val="ListParagraph"/>
        <w:suppressLineNumbers/>
        <w:suppressAutoHyphens/>
        <w:kinsoku w:val="0"/>
        <w:overflowPunct w:val="0"/>
        <w:autoSpaceDE w:val="0"/>
        <w:autoSpaceDN w:val="0"/>
        <w:adjustRightInd w:val="0"/>
        <w:snapToGrid w:val="0"/>
        <w:spacing w:after="60"/>
        <w:ind w:left="0"/>
        <w:contextualSpacing w:val="0"/>
        <w:rPr>
          <w:snapToGrid w:val="0"/>
          <w:kern w:val="18"/>
          <w:sz w:val="18"/>
          <w:szCs w:val="18"/>
        </w:rPr>
      </w:pPr>
      <w:r w:rsidRPr="00B358B9">
        <w:rPr>
          <w:rStyle w:val="FootnoteReference"/>
          <w:snapToGrid w:val="0"/>
          <w:kern w:val="18"/>
          <w:sz w:val="18"/>
          <w:szCs w:val="18"/>
        </w:rPr>
        <w:footnoteRef/>
      </w:r>
      <w:r w:rsidRPr="00B358B9">
        <w:rPr>
          <w:snapToGrid w:val="0"/>
          <w:kern w:val="18"/>
          <w:sz w:val="18"/>
          <w:szCs w:val="18"/>
        </w:rPr>
        <w:t xml:space="preserve"> </w:t>
      </w:r>
      <w:r w:rsidR="00417016" w:rsidRPr="00B358B9">
        <w:rPr>
          <w:snapToGrid w:val="0"/>
          <w:kern w:val="18"/>
          <w:sz w:val="18"/>
          <w:szCs w:val="18"/>
        </w:rPr>
        <w:t xml:space="preserve">The </w:t>
      </w:r>
      <w:r w:rsidRPr="00B358B9">
        <w:rPr>
          <w:snapToGrid w:val="0"/>
          <w:color w:val="000000"/>
          <w:kern w:val="18"/>
          <w:sz w:val="18"/>
          <w:szCs w:val="18"/>
        </w:rPr>
        <w:t>European Union and its Member States together with national contributions from Sweden, th</w:t>
      </w:r>
      <w:r w:rsidR="004E3DED" w:rsidRPr="00B358B9">
        <w:rPr>
          <w:snapToGrid w:val="0"/>
          <w:color w:val="000000"/>
          <w:kern w:val="18"/>
          <w:sz w:val="18"/>
          <w:szCs w:val="18"/>
        </w:rPr>
        <w:t>e Forest People</w:t>
      </w:r>
      <w:r w:rsidR="00417016" w:rsidRPr="00B358B9">
        <w:rPr>
          <w:snapToGrid w:val="0"/>
          <w:color w:val="000000"/>
          <w:kern w:val="18"/>
          <w:sz w:val="18"/>
          <w:szCs w:val="18"/>
        </w:rPr>
        <w:t>s</w:t>
      </w:r>
      <w:r w:rsidR="004E3DED" w:rsidRPr="00B358B9">
        <w:rPr>
          <w:snapToGrid w:val="0"/>
          <w:color w:val="000000"/>
          <w:kern w:val="18"/>
          <w:sz w:val="18"/>
          <w:szCs w:val="18"/>
        </w:rPr>
        <w:t xml:space="preserve"> Programme (FPP), </w:t>
      </w:r>
      <w:r w:rsidRPr="00B358B9">
        <w:rPr>
          <w:snapToGrid w:val="0"/>
          <w:color w:val="000000"/>
          <w:kern w:val="18"/>
          <w:sz w:val="18"/>
          <w:szCs w:val="18"/>
        </w:rPr>
        <w:t>IIFB member organizations; Global Forest Coalition/Community Conservation Resilience Initiative; Indigenous Women’s Network on Biodiversity from Latin America and the Caribbean (RMIB-LAC); and the Stockholm Resilience Centre.</w:t>
      </w:r>
    </w:p>
  </w:footnote>
  <w:footnote w:id="9">
    <w:p w14:paraId="0BA7D4DA" w14:textId="479C9BF9" w:rsidR="00500857" w:rsidRPr="00B358B9" w:rsidRDefault="00500857"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r w:rsidR="00A4020D" w:rsidRPr="00B358B9">
        <w:rPr>
          <w:snapToGrid w:val="0"/>
          <w:kern w:val="18"/>
          <w:szCs w:val="18"/>
          <w:lang w:val="en-GB"/>
        </w:rPr>
        <w:t xml:space="preserve">Ref. No. </w:t>
      </w:r>
      <w:r w:rsidRPr="00B358B9">
        <w:rPr>
          <w:bCs/>
          <w:snapToGrid w:val="0"/>
          <w:color w:val="333333"/>
          <w:kern w:val="18"/>
          <w:szCs w:val="18"/>
          <w:lang w:val="en-GB"/>
        </w:rPr>
        <w:t>SCBD/MCO/DC/VN/JS/GD/JH/87060</w:t>
      </w:r>
      <w:r w:rsidR="0078292D" w:rsidRPr="00B358B9">
        <w:rPr>
          <w:bCs/>
          <w:snapToGrid w:val="0"/>
          <w:color w:val="333333"/>
          <w:kern w:val="18"/>
          <w:szCs w:val="18"/>
          <w:lang w:val="en-GB"/>
        </w:rPr>
        <w:t>.</w:t>
      </w:r>
    </w:p>
  </w:footnote>
  <w:footnote w:id="10">
    <w:p w14:paraId="03F594EA" w14:textId="54AF5DEC"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7" w:history="1">
        <w:r w:rsidRPr="00B358B9">
          <w:rPr>
            <w:rStyle w:val="Hyperlink"/>
            <w:snapToGrid w:val="0"/>
            <w:kern w:val="18"/>
            <w:szCs w:val="18"/>
            <w:lang w:val="en-GB"/>
          </w:rPr>
          <w:t>General Assembly resolution 70/1</w:t>
        </w:r>
      </w:hyperlink>
      <w:r w:rsidR="002F7428" w:rsidRPr="00B358B9">
        <w:rPr>
          <w:snapToGrid w:val="0"/>
          <w:kern w:val="18"/>
          <w:szCs w:val="18"/>
          <w:lang w:val="en-GB"/>
        </w:rPr>
        <w:t>, annex</w:t>
      </w:r>
      <w:r w:rsidR="00843AA4">
        <w:rPr>
          <w:snapToGrid w:val="0"/>
          <w:kern w:val="18"/>
          <w:szCs w:val="18"/>
          <w:lang w:val="en-GB"/>
        </w:rPr>
        <w:t>.</w:t>
      </w:r>
    </w:p>
  </w:footnote>
  <w:footnote w:id="11">
    <w:p w14:paraId="7F5E9212" w14:textId="4385CA93" w:rsidR="002F7428" w:rsidRPr="00B358B9" w:rsidRDefault="002F7428"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r w:rsidR="0078292D" w:rsidRPr="00B358B9">
        <w:rPr>
          <w:rFonts w:eastAsia="Batang"/>
          <w:snapToGrid w:val="0"/>
          <w:kern w:val="18"/>
          <w:szCs w:val="18"/>
          <w:lang w:val="en-GB" w:eastAsia="ko-KR"/>
        </w:rPr>
        <w:t>I</w:t>
      </w:r>
      <w:r w:rsidRPr="00B358B9">
        <w:rPr>
          <w:rFonts w:eastAsia="Batang"/>
          <w:snapToGrid w:val="0"/>
          <w:kern w:val="18"/>
          <w:szCs w:val="18"/>
          <w:lang w:val="en-GB" w:eastAsia="ko-KR"/>
        </w:rPr>
        <w:t xml:space="preserve">n response to </w:t>
      </w:r>
      <w:r w:rsidR="0078292D" w:rsidRPr="00B358B9">
        <w:rPr>
          <w:rFonts w:eastAsia="Batang"/>
          <w:snapToGrid w:val="0"/>
          <w:kern w:val="18"/>
          <w:szCs w:val="18"/>
          <w:lang w:val="en-GB" w:eastAsia="ko-KR"/>
        </w:rPr>
        <w:t xml:space="preserve">notification Ref. No. </w:t>
      </w:r>
      <w:r w:rsidRPr="00B358B9">
        <w:rPr>
          <w:bCs/>
          <w:snapToGrid w:val="0"/>
          <w:color w:val="333333"/>
          <w:kern w:val="18"/>
          <w:szCs w:val="18"/>
          <w:lang w:val="en-GB"/>
        </w:rPr>
        <w:t>SCBD/MCO/DC/VN/JS/GD/JH/87060</w:t>
      </w:r>
      <w:r w:rsidRPr="00B358B9">
        <w:rPr>
          <w:snapToGrid w:val="0"/>
          <w:color w:val="333333"/>
          <w:kern w:val="18"/>
          <w:szCs w:val="18"/>
          <w:lang w:val="en-GB"/>
        </w:rPr>
        <w:t xml:space="preserve"> (2018-007)</w:t>
      </w:r>
      <w:r w:rsidR="0078292D" w:rsidRPr="00B358B9">
        <w:rPr>
          <w:snapToGrid w:val="0"/>
          <w:color w:val="333333"/>
          <w:kern w:val="18"/>
          <w:szCs w:val="18"/>
          <w:lang w:val="en-GB"/>
        </w:rPr>
        <w:t>.</w:t>
      </w:r>
    </w:p>
  </w:footnote>
  <w:footnote w:id="12">
    <w:p w14:paraId="6A16BE2A" w14:textId="66B31840"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8" w:history="1">
        <w:r w:rsidRPr="00B358B9">
          <w:rPr>
            <w:rStyle w:val="Hyperlink"/>
            <w:snapToGrid w:val="0"/>
            <w:kern w:val="18"/>
            <w:szCs w:val="18"/>
            <w:lang w:val="en-GB"/>
          </w:rPr>
          <w:t>General Assembly resolution 61/295</w:t>
        </w:r>
      </w:hyperlink>
      <w:r w:rsidR="002F7428" w:rsidRPr="00B358B9">
        <w:rPr>
          <w:snapToGrid w:val="0"/>
          <w:kern w:val="18"/>
          <w:szCs w:val="18"/>
          <w:lang w:val="en-GB"/>
        </w:rPr>
        <w:t>, annex</w:t>
      </w:r>
      <w:r w:rsidR="00843AA4">
        <w:rPr>
          <w:snapToGrid w:val="0"/>
          <w:kern w:val="18"/>
          <w:szCs w:val="18"/>
          <w:lang w:val="en-GB"/>
        </w:rPr>
        <w:t>.</w:t>
      </w:r>
    </w:p>
  </w:footnote>
  <w:footnote w:id="13">
    <w:p w14:paraId="058A3464"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proofErr w:type="spellStart"/>
      <w:r w:rsidRPr="00B358B9">
        <w:rPr>
          <w:snapToGrid w:val="0"/>
          <w:kern w:val="18"/>
          <w:szCs w:val="18"/>
          <w:lang w:val="en-GB"/>
        </w:rPr>
        <w:t>Ituarte</w:t>
      </w:r>
      <w:proofErr w:type="spellEnd"/>
      <w:r w:rsidRPr="00B358B9">
        <w:rPr>
          <w:snapToGrid w:val="0"/>
          <w:kern w:val="18"/>
          <w:szCs w:val="18"/>
          <w:lang w:val="en-GB"/>
        </w:rPr>
        <w:t xml:space="preserve">-Lima, C., Schultz, M., Hahn, McDermott, C., and Cornell, S., 2014, Biodiversity financing and safeguards: lessons learned and proposed guidelines, Stockholm: </w:t>
      </w:r>
      <w:proofErr w:type="spellStart"/>
      <w:r w:rsidRPr="00B358B9">
        <w:rPr>
          <w:snapToGrid w:val="0"/>
          <w:kern w:val="18"/>
          <w:szCs w:val="18"/>
          <w:lang w:val="en-GB"/>
        </w:rPr>
        <w:t>SwedBio</w:t>
      </w:r>
      <w:proofErr w:type="spellEnd"/>
      <w:r w:rsidRPr="00B358B9">
        <w:rPr>
          <w:snapToGrid w:val="0"/>
          <w:kern w:val="18"/>
          <w:szCs w:val="18"/>
          <w:lang w:val="en-GB"/>
        </w:rPr>
        <w:t xml:space="preserve">/Stockholm Resilience Centre at Stockholm University, published as </w:t>
      </w:r>
      <w:hyperlink r:id="rId9" w:history="1">
        <w:r w:rsidRPr="00B358B9">
          <w:rPr>
            <w:rStyle w:val="Hyperlink"/>
            <w:snapToGrid w:val="0"/>
            <w:kern w:val="18"/>
            <w:szCs w:val="18"/>
            <w:lang w:val="en-GB"/>
          </w:rPr>
          <w:t>CBD/COP/12/INF/27</w:t>
        </w:r>
      </w:hyperlink>
      <w:r w:rsidRPr="00B358B9">
        <w:rPr>
          <w:snapToGrid w:val="0"/>
          <w:kern w:val="18"/>
          <w:szCs w:val="18"/>
          <w:lang w:val="en-GB"/>
        </w:rPr>
        <w:t xml:space="preserve"> for the twelfth meeting of the Conference of the Parties.</w:t>
      </w:r>
    </w:p>
  </w:footnote>
  <w:footnote w:id="14">
    <w:p w14:paraId="22089FB8" w14:textId="65274AB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color w:val="000000"/>
          <w:kern w:val="18"/>
          <w:szCs w:val="18"/>
          <w:lang w:val="en-GB"/>
        </w:rPr>
      </w:pPr>
      <w:r w:rsidRPr="00B358B9">
        <w:rPr>
          <w:rStyle w:val="FootnoteReference"/>
          <w:snapToGrid w:val="0"/>
          <w:color w:val="000000"/>
          <w:kern w:val="18"/>
          <w:sz w:val="18"/>
          <w:szCs w:val="18"/>
          <w:lang w:val="en-GB"/>
        </w:rPr>
        <w:footnoteRef/>
      </w:r>
      <w:r w:rsidRPr="00B358B9">
        <w:rPr>
          <w:snapToGrid w:val="0"/>
          <w:color w:val="000000"/>
          <w:kern w:val="18"/>
          <w:szCs w:val="18"/>
          <w:lang w:val="en-GB"/>
        </w:rPr>
        <w:t xml:space="preserve"> </w:t>
      </w:r>
      <w:r w:rsidR="00D73C44" w:rsidRPr="00B358B9">
        <w:rPr>
          <w:snapToGrid w:val="0"/>
          <w:color w:val="000000"/>
          <w:kern w:val="18"/>
          <w:szCs w:val="18"/>
          <w:lang w:val="en-GB"/>
        </w:rPr>
        <w:t>Ibid</w:t>
      </w:r>
      <w:r w:rsidR="000631F4" w:rsidRPr="00B358B9">
        <w:rPr>
          <w:snapToGrid w:val="0"/>
          <w:color w:val="000000"/>
          <w:kern w:val="18"/>
          <w:szCs w:val="18"/>
          <w:lang w:val="en-GB"/>
        </w:rPr>
        <w:t>.,</w:t>
      </w:r>
      <w:r w:rsidRPr="00B358B9">
        <w:rPr>
          <w:snapToGrid w:val="0"/>
          <w:color w:val="000000"/>
          <w:kern w:val="18"/>
          <w:szCs w:val="18"/>
          <w:lang w:val="en-GB"/>
        </w:rPr>
        <w:t xml:space="preserve"> p. 8</w:t>
      </w:r>
      <w:r w:rsidR="00CE61F0" w:rsidRPr="00B358B9">
        <w:rPr>
          <w:snapToGrid w:val="0"/>
          <w:color w:val="000000"/>
          <w:kern w:val="18"/>
          <w:szCs w:val="18"/>
          <w:lang w:val="en-GB"/>
        </w:rPr>
        <w:t>.</w:t>
      </w:r>
    </w:p>
  </w:footnote>
  <w:footnote w:id="15">
    <w:p w14:paraId="3FE422F2" w14:textId="2F6A4804"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10" w:history="1">
        <w:r w:rsidRPr="00B358B9">
          <w:rPr>
            <w:rStyle w:val="Hyperlink"/>
            <w:kern w:val="18"/>
            <w:szCs w:val="18"/>
          </w:rPr>
          <w:t>UNFCCC decision 1/CP.16</w:t>
        </w:r>
      </w:hyperlink>
      <w:r w:rsidRPr="00B358B9">
        <w:rPr>
          <w:snapToGrid w:val="0"/>
          <w:kern w:val="18"/>
          <w:szCs w:val="18"/>
          <w:lang w:val="en-GB"/>
        </w:rPr>
        <w:t>, appendix I</w:t>
      </w:r>
      <w:r w:rsidR="00CE61F0" w:rsidRPr="00B358B9">
        <w:rPr>
          <w:snapToGrid w:val="0"/>
          <w:kern w:val="18"/>
          <w:szCs w:val="18"/>
          <w:lang w:val="en-GB"/>
        </w:rPr>
        <w:t>.</w:t>
      </w:r>
    </w:p>
  </w:footnote>
  <w:footnote w:id="16">
    <w:p w14:paraId="2E1D743C" w14:textId="396E9AF9"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11" w:history="1">
        <w:r w:rsidR="00CE61F0" w:rsidRPr="00B358B9">
          <w:rPr>
            <w:rStyle w:val="Hyperlink"/>
            <w:snapToGrid w:val="0"/>
            <w:kern w:val="18"/>
            <w:szCs w:val="18"/>
            <w:lang w:val="en-GB"/>
          </w:rPr>
          <w:t>Ibid</w:t>
        </w:r>
      </w:hyperlink>
      <w:r w:rsidR="00CE61F0" w:rsidRPr="00B358B9">
        <w:rPr>
          <w:snapToGrid w:val="0"/>
          <w:kern w:val="18"/>
          <w:szCs w:val="18"/>
          <w:lang w:val="en-GB"/>
        </w:rPr>
        <w:t>.</w:t>
      </w:r>
      <w:r w:rsidRPr="00B358B9">
        <w:rPr>
          <w:snapToGrid w:val="0"/>
          <w:kern w:val="18"/>
          <w:szCs w:val="18"/>
          <w:lang w:val="en-GB"/>
        </w:rPr>
        <w:t>, para. 2</w:t>
      </w:r>
      <w:r w:rsidR="00CE61F0" w:rsidRPr="00B358B9">
        <w:rPr>
          <w:snapToGrid w:val="0"/>
          <w:kern w:val="18"/>
          <w:szCs w:val="18"/>
          <w:lang w:val="en-GB"/>
        </w:rPr>
        <w:t>.</w:t>
      </w:r>
    </w:p>
  </w:footnote>
  <w:footnote w:id="17">
    <w:p w14:paraId="3B00DEDD" w14:textId="0646E18A"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bookmarkStart w:id="9" w:name="_Hlk499304035"/>
      <w:r w:rsidRPr="00B358B9">
        <w:rPr>
          <w:snapToGrid w:val="0"/>
          <w:kern w:val="18"/>
          <w:szCs w:val="18"/>
          <w:lang w:val="en-GB"/>
        </w:rPr>
        <w:fldChar w:fldCharType="begin"/>
      </w:r>
      <w:r w:rsidRPr="00B358B9">
        <w:rPr>
          <w:snapToGrid w:val="0"/>
          <w:kern w:val="18"/>
          <w:szCs w:val="18"/>
          <w:lang w:val="en-GB"/>
        </w:rPr>
        <w:instrText xml:space="preserve"> HYPERLINK "https://www.cbd.int/doc/c/e32d/3f85/3597e40539804b5ea74b0c4b/wg8j-10-inf-07-en.pdf" </w:instrText>
      </w:r>
      <w:r w:rsidRPr="00B358B9">
        <w:rPr>
          <w:snapToGrid w:val="0"/>
          <w:kern w:val="18"/>
          <w:szCs w:val="18"/>
          <w:lang w:val="en-GB"/>
        </w:rPr>
        <w:fldChar w:fldCharType="separate"/>
      </w:r>
      <w:bookmarkStart w:id="10" w:name="_Hlk499304631"/>
      <w:r w:rsidRPr="00B358B9">
        <w:rPr>
          <w:rStyle w:val="Hyperlink"/>
          <w:snapToGrid w:val="0"/>
          <w:kern w:val="18"/>
          <w:szCs w:val="18"/>
          <w:lang w:val="en-GB"/>
        </w:rPr>
        <w:t>CBD/WG8J/10/INF/7</w:t>
      </w:r>
      <w:r w:rsidRPr="00B358B9">
        <w:rPr>
          <w:snapToGrid w:val="0"/>
          <w:kern w:val="18"/>
          <w:szCs w:val="18"/>
          <w:lang w:val="en-GB"/>
        </w:rPr>
        <w:fldChar w:fldCharType="end"/>
      </w:r>
      <w:r w:rsidRPr="00B358B9">
        <w:rPr>
          <w:snapToGrid w:val="0"/>
          <w:kern w:val="18"/>
          <w:szCs w:val="18"/>
          <w:lang w:val="en-GB"/>
        </w:rPr>
        <w:t xml:space="preserve">, annex I, </w:t>
      </w:r>
      <w:bookmarkEnd w:id="10"/>
      <w:r w:rsidRPr="00B358B9">
        <w:rPr>
          <w:snapToGrid w:val="0"/>
          <w:kern w:val="18"/>
          <w:szCs w:val="18"/>
          <w:lang w:val="en-GB"/>
        </w:rPr>
        <w:t xml:space="preserve">provides a summary of relevant safeguard provisions of some CBD Guidelines and instruments </w:t>
      </w:r>
      <w:bookmarkStart w:id="11" w:name="_Hlk498630797"/>
      <w:r w:rsidRPr="00B358B9">
        <w:rPr>
          <w:snapToGrid w:val="0"/>
          <w:kern w:val="18"/>
          <w:szCs w:val="18"/>
          <w:lang w:val="en-GB"/>
        </w:rPr>
        <w:t xml:space="preserve">available under “Principles, Guidelines and Other Tools Developed under the Convention” on the Convention’s webpage at </w:t>
      </w:r>
      <w:hyperlink r:id="rId12" w:history="1">
        <w:r w:rsidRPr="00B358B9">
          <w:rPr>
            <w:rStyle w:val="Hyperlink"/>
            <w:snapToGrid w:val="0"/>
            <w:kern w:val="18"/>
            <w:szCs w:val="18"/>
            <w:lang w:val="en-GB"/>
          </w:rPr>
          <w:t>https://www.cbd.int/guidelines/</w:t>
        </w:r>
      </w:hyperlink>
      <w:bookmarkEnd w:id="9"/>
      <w:bookmarkEnd w:id="11"/>
      <w:r w:rsidR="00E9050D">
        <w:rPr>
          <w:rStyle w:val="Hyperlink"/>
          <w:snapToGrid w:val="0"/>
          <w:kern w:val="18"/>
          <w:szCs w:val="18"/>
          <w:lang w:val="en-GB"/>
        </w:rPr>
        <w:t>.</w:t>
      </w:r>
    </w:p>
  </w:footnote>
  <w:footnote w:id="18">
    <w:p w14:paraId="2B729F8D"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An indicative, non-exhaustive list of questions for a checklist is presented in </w:t>
      </w:r>
      <w:hyperlink r:id="rId13" w:history="1">
        <w:r w:rsidRPr="00B358B9">
          <w:rPr>
            <w:rStyle w:val="Hyperlink"/>
            <w:snapToGrid w:val="0"/>
            <w:kern w:val="18"/>
            <w:szCs w:val="18"/>
            <w:lang w:val="en-GB"/>
          </w:rPr>
          <w:t>CBD/WG8J/10/INF/7</w:t>
        </w:r>
      </w:hyperlink>
      <w:r w:rsidRPr="00B358B9">
        <w:rPr>
          <w:snapToGrid w:val="0"/>
          <w:kern w:val="18"/>
          <w:szCs w:val="18"/>
          <w:lang w:val="en-GB"/>
        </w:rPr>
        <w:t>.</w:t>
      </w:r>
    </w:p>
  </w:footnote>
  <w:footnote w:id="19">
    <w:p w14:paraId="675FA0D6"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A detailed analysis of the evolution of safeguard systems was presented in </w:t>
      </w:r>
      <w:hyperlink r:id="rId14" w:history="1">
        <w:r w:rsidRPr="00B358B9">
          <w:rPr>
            <w:rStyle w:val="Hyperlink"/>
            <w:snapToGrid w:val="0"/>
            <w:kern w:val="18"/>
            <w:szCs w:val="18"/>
            <w:lang w:val="en-GB"/>
          </w:rPr>
          <w:t>UNEP/CBD/COP/12/INF/27</w:t>
        </w:r>
      </w:hyperlink>
      <w:r w:rsidRPr="00B358B9">
        <w:rPr>
          <w:snapToGrid w:val="0"/>
          <w:kern w:val="18"/>
          <w:szCs w:val="18"/>
          <w:lang w:val="en-GB"/>
        </w:rPr>
        <w:t>, which provided substantial support to discussions at the twelfth meeting of the Conference of the Parties, in 2014.</w:t>
      </w:r>
    </w:p>
  </w:footnote>
  <w:footnote w:id="20">
    <w:p w14:paraId="5AAA2FEC"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World Bank’s OD 4.30 of June 1990 and OD 4.20 of September 1991, respectively.</w:t>
      </w:r>
    </w:p>
  </w:footnote>
  <w:footnote w:id="21">
    <w:p w14:paraId="4DFD4614" w14:textId="77C142D0" w:rsidR="00B85FF3" w:rsidRPr="00B358B9" w:rsidRDefault="00B85FF3" w:rsidP="00B358B9">
      <w:pPr>
        <w:pStyle w:val="FootnoteText"/>
        <w:keepLines w:val="0"/>
        <w:suppressLineNumbers/>
        <w:tabs>
          <w:tab w:val="left" w:pos="0"/>
          <w:tab w:val="left" w:pos="270"/>
          <w:tab w:val="left" w:pos="360"/>
          <w:tab w:val="left" w:pos="810"/>
          <w:tab w:val="left" w:pos="990"/>
        </w:tab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15" w:anchor="Safeguard" w:history="1">
        <w:r w:rsidR="00DB682C" w:rsidRPr="00B358B9">
          <w:rPr>
            <w:rStyle w:val="Hyperlink"/>
            <w:snapToGrid w:val="0"/>
            <w:kern w:val="18"/>
            <w:szCs w:val="18"/>
            <w:lang w:val="en-GB"/>
          </w:rPr>
          <w:t>http://www.ifc.org/wps/wcm/connect/topics_ext_content/ifc_external_corporate_site/sustainability-at-ifc/policies-standards/safeguards-pre2006#Safeguard</w:t>
        </w:r>
      </w:hyperlink>
    </w:p>
  </w:footnote>
  <w:footnote w:id="22">
    <w:p w14:paraId="087642D6" w14:textId="12F40E59"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IFC Performance Standards on Environmental and Social Sustainability</w:t>
      </w:r>
      <w:r w:rsidR="0036754C" w:rsidRPr="00B358B9">
        <w:rPr>
          <w:snapToGrid w:val="0"/>
          <w:kern w:val="18"/>
          <w:szCs w:val="18"/>
          <w:lang w:val="en-GB"/>
        </w:rPr>
        <w:t>,</w:t>
      </w:r>
      <w:r w:rsidRPr="00B358B9">
        <w:rPr>
          <w:snapToGrid w:val="0"/>
          <w:kern w:val="18"/>
          <w:szCs w:val="18"/>
          <w:lang w:val="en-GB"/>
        </w:rPr>
        <w:t xml:space="preserve"> 1 January 2012.</w:t>
      </w:r>
    </w:p>
  </w:footnote>
  <w:footnote w:id="23">
    <w:p w14:paraId="3BEECFDA"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The IFC has not issued updates to its safeguard policies and instruments since 2012, but it has produced a series of resources to support implementation, such as toolkits, handbooks and good practice guides. They are available from </w:t>
      </w:r>
      <w:hyperlink r:id="rId16" w:history="1">
        <w:r w:rsidRPr="00B358B9">
          <w:rPr>
            <w:rStyle w:val="Hyperlink"/>
            <w:snapToGrid w:val="0"/>
            <w:kern w:val="18"/>
            <w:szCs w:val="18"/>
            <w:lang w:val="en-GB"/>
          </w:rPr>
          <w:t>http://www.ifc.org/wps/wcm/connect/Topics_Ext_Content/IFC_External_Corporate_Site/Sustainability-At-IFC/</w:t>
        </w:r>
      </w:hyperlink>
    </w:p>
  </w:footnote>
  <w:footnote w:id="24">
    <w:p w14:paraId="53A8BC4E" w14:textId="37D7199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https://www.forestcarbonpartnership.org/common-approach-environmental-and-social-safeguards</w:t>
      </w:r>
    </w:p>
  </w:footnote>
  <w:footnote w:id="25">
    <w:p w14:paraId="0B4CDB93" w14:textId="51FD849B"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GEF/ME/C.52/inf.08.</w:t>
      </w:r>
    </w:p>
  </w:footnote>
  <w:footnote w:id="26">
    <w:p w14:paraId="1E9044B6" w14:textId="05D5047B"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Implementation of the World Bank’s Indigenous Peoples Policy: A Learning Review (FY 2006-2008), August 2011.</w:t>
      </w:r>
    </w:p>
  </w:footnote>
  <w:footnote w:id="27">
    <w:p w14:paraId="1FA8B756" w14:textId="67FBBC11"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The ESF “is the result of the most extensive consultations ever conducted by the World Bank, with nearly four years of analysis and engagement around the world with governments, development experts, and civil society groups, reaching nearly 8,000 stakeholders in 63 countries</w:t>
      </w:r>
      <w:r w:rsidR="00656D54" w:rsidRPr="00B358B9">
        <w:rPr>
          <w:snapToGrid w:val="0"/>
          <w:kern w:val="18"/>
          <w:szCs w:val="18"/>
          <w:lang w:val="en-GB"/>
        </w:rPr>
        <w:t>”</w:t>
      </w:r>
      <w:r w:rsidRPr="00B358B9">
        <w:rPr>
          <w:snapToGrid w:val="0"/>
          <w:kern w:val="18"/>
          <w:szCs w:val="18"/>
          <w:lang w:val="en-GB"/>
        </w:rPr>
        <w:t>. World Bank, Environmental and Social Framework, July 2017.</w:t>
      </w:r>
    </w:p>
  </w:footnote>
  <w:footnote w:id="28">
    <w:p w14:paraId="268E2115" w14:textId="35003913"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17" w:history="1">
        <w:r w:rsidR="0031712D" w:rsidRPr="00B358B9">
          <w:rPr>
            <w:rStyle w:val="Hyperlink"/>
            <w:snapToGrid w:val="0"/>
            <w:kern w:val="18"/>
            <w:szCs w:val="18"/>
            <w:lang w:val="en-GB"/>
          </w:rPr>
          <w:t>http://www.worldbank.org/en/programs/environmental-and-social-policies-for-projects/brief/environmental-and-social-framework-esf-draft-guidance-notes-for-borrowers</w:t>
        </w:r>
      </w:hyperlink>
    </w:p>
  </w:footnote>
  <w:footnote w:id="29">
    <w:p w14:paraId="3597D701"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Ibid., p. ix.</w:t>
      </w:r>
    </w:p>
  </w:footnote>
  <w:footnote w:id="30">
    <w:p w14:paraId="1D2019EE" w14:textId="3F6ABA68"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Guidance Note for ESS7</w:t>
      </w:r>
      <w:r w:rsidR="0036754C" w:rsidRPr="00B358B9">
        <w:rPr>
          <w:snapToGrid w:val="0"/>
          <w:kern w:val="18"/>
          <w:szCs w:val="18"/>
          <w:lang w:val="en-GB"/>
        </w:rPr>
        <w:t>,</w:t>
      </w:r>
      <w:r w:rsidRPr="00B358B9">
        <w:rPr>
          <w:snapToGrid w:val="0"/>
          <w:kern w:val="18"/>
          <w:szCs w:val="18"/>
          <w:lang w:val="en-GB"/>
        </w:rPr>
        <w:t xml:space="preserve"> Indigenous Peoples/Sub-Saharan African Historically Underserved Traditional Local Communities. Draft for public comment, 1 November 2017, p. 12.</w:t>
      </w:r>
    </w:p>
  </w:footnote>
  <w:footnote w:id="31">
    <w:p w14:paraId="738F8DC2"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SD/GN/03.</w:t>
      </w:r>
    </w:p>
  </w:footnote>
  <w:footnote w:id="32">
    <w:p w14:paraId="653E448F"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GEF/ME/C.52/inf. 08.</w:t>
      </w:r>
    </w:p>
  </w:footnote>
  <w:footnote w:id="33">
    <w:p w14:paraId="20D9102C"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GEF/ME/C.52/inf.8. Several parts of this section rely on the findings of the GEF </w:t>
      </w:r>
      <w:r w:rsidR="00A76788" w:rsidRPr="00B358B9">
        <w:rPr>
          <w:snapToGrid w:val="0"/>
          <w:kern w:val="18"/>
          <w:szCs w:val="18"/>
          <w:lang w:val="en-GB"/>
        </w:rPr>
        <w:t>r</w:t>
      </w:r>
      <w:r w:rsidRPr="00B358B9">
        <w:rPr>
          <w:snapToGrid w:val="0"/>
          <w:kern w:val="18"/>
          <w:szCs w:val="18"/>
          <w:lang w:val="en-GB"/>
        </w:rPr>
        <w:t>eview.</w:t>
      </w:r>
    </w:p>
  </w:footnote>
  <w:footnote w:id="34">
    <w:p w14:paraId="424E22E1"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GEF/C.53/07.</w:t>
      </w:r>
    </w:p>
  </w:footnote>
  <w:footnote w:id="35">
    <w:p w14:paraId="4A9CE2BC"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GEF/ME/C.52/inf.</w:t>
      </w:r>
      <w:r w:rsidR="00A76788" w:rsidRPr="00B358B9">
        <w:rPr>
          <w:snapToGrid w:val="0"/>
          <w:kern w:val="18"/>
          <w:szCs w:val="18"/>
          <w:lang w:val="en-GB"/>
        </w:rPr>
        <w:t> </w:t>
      </w:r>
      <w:r w:rsidRPr="00B358B9">
        <w:rPr>
          <w:snapToGrid w:val="0"/>
          <w:kern w:val="18"/>
          <w:szCs w:val="18"/>
          <w:lang w:val="en-GB"/>
        </w:rPr>
        <w:t>08</w:t>
      </w:r>
      <w:r w:rsidR="00A76788" w:rsidRPr="00B358B9">
        <w:rPr>
          <w:snapToGrid w:val="0"/>
          <w:kern w:val="18"/>
          <w:szCs w:val="18"/>
          <w:lang w:val="en-GB"/>
        </w:rPr>
        <w:t>.</w:t>
      </w:r>
    </w:p>
  </w:footnote>
  <w:footnote w:id="36">
    <w:p w14:paraId="7FB32DB2" w14:textId="48DF85FD" w:rsidR="00B85FF3" w:rsidRPr="00B358B9" w:rsidRDefault="00B85FF3" w:rsidP="00406B47">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r w:rsidR="003D0D99">
        <w:rPr>
          <w:snapToGrid w:val="0"/>
          <w:kern w:val="18"/>
          <w:szCs w:val="18"/>
          <w:lang w:val="en-GB"/>
        </w:rPr>
        <w:t>UNFCCC decision 1/CP.21, “Adoption of the Paris Agreement” (</w:t>
      </w:r>
      <w:hyperlink r:id="rId18" w:history="1">
        <w:r w:rsidRPr="00B358B9">
          <w:rPr>
            <w:rStyle w:val="Hyperlink"/>
            <w:snapToGrid w:val="0"/>
            <w:kern w:val="18"/>
            <w:szCs w:val="18"/>
            <w:lang w:val="en-GB"/>
          </w:rPr>
          <w:t>FCCC/CP/2015/10/Add.1</w:t>
        </w:r>
      </w:hyperlink>
      <w:r w:rsidR="003D0D99">
        <w:rPr>
          <w:snapToGrid w:val="0"/>
          <w:kern w:val="18"/>
          <w:szCs w:val="18"/>
          <w:lang w:val="en-GB"/>
        </w:rPr>
        <w:t>)</w:t>
      </w:r>
      <w:r w:rsidRPr="00B358B9">
        <w:rPr>
          <w:snapToGrid w:val="0"/>
          <w:kern w:val="18"/>
          <w:szCs w:val="18"/>
          <w:lang w:val="en-GB"/>
        </w:rPr>
        <w:t>, para</w:t>
      </w:r>
      <w:r w:rsidR="00B6070B" w:rsidRPr="00B358B9">
        <w:rPr>
          <w:snapToGrid w:val="0"/>
          <w:kern w:val="18"/>
          <w:szCs w:val="18"/>
          <w:lang w:val="en-GB"/>
        </w:rPr>
        <w:t>.</w:t>
      </w:r>
      <w:r w:rsidR="00406B47">
        <w:rPr>
          <w:snapToGrid w:val="0"/>
          <w:kern w:val="18"/>
          <w:szCs w:val="18"/>
          <w:lang w:val="en-GB"/>
        </w:rPr>
        <w:t> </w:t>
      </w:r>
      <w:r w:rsidRPr="00B358B9">
        <w:rPr>
          <w:snapToGrid w:val="0"/>
          <w:kern w:val="18"/>
          <w:szCs w:val="18"/>
          <w:lang w:val="en-GB"/>
        </w:rPr>
        <w:t>135.</w:t>
      </w:r>
    </w:p>
  </w:footnote>
  <w:footnote w:id="37">
    <w:p w14:paraId="17ECF8FB" w14:textId="09D199C6"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r w:rsidR="00AF4564">
        <w:rPr>
          <w:snapToGrid w:val="0"/>
          <w:kern w:val="18"/>
          <w:szCs w:val="18"/>
          <w:lang w:val="en-GB"/>
        </w:rPr>
        <w:t xml:space="preserve">UNFCCC decision 2/CP.23, “Local communities and indigenous </w:t>
      </w:r>
      <w:proofErr w:type="gramStart"/>
      <w:r w:rsidR="00AF4564">
        <w:rPr>
          <w:snapToGrid w:val="0"/>
          <w:kern w:val="18"/>
          <w:szCs w:val="18"/>
          <w:lang w:val="en-GB"/>
        </w:rPr>
        <w:t>peoples</w:t>
      </w:r>
      <w:proofErr w:type="gramEnd"/>
      <w:r w:rsidR="00AF4564">
        <w:rPr>
          <w:snapToGrid w:val="0"/>
          <w:kern w:val="18"/>
          <w:szCs w:val="18"/>
          <w:lang w:val="en-GB"/>
        </w:rPr>
        <w:t xml:space="preserve"> platform” (</w:t>
      </w:r>
      <w:hyperlink r:id="rId19" w:history="1">
        <w:r w:rsidRPr="00B358B9">
          <w:rPr>
            <w:rStyle w:val="Hyperlink"/>
            <w:snapToGrid w:val="0"/>
            <w:kern w:val="18"/>
            <w:szCs w:val="18"/>
            <w:lang w:val="en-GB"/>
          </w:rPr>
          <w:t>FCCC/SBSTA/2017/</w:t>
        </w:r>
        <w:r w:rsidR="00AF4564" w:rsidRPr="00AF4564">
          <w:rPr>
            <w:rStyle w:val="Hyperlink"/>
            <w:snapToGrid w:val="0"/>
            <w:kern w:val="18"/>
            <w:szCs w:val="18"/>
            <w:lang w:val="en-GB"/>
          </w:rPr>
          <w:t>11/Add.1</w:t>
        </w:r>
      </w:hyperlink>
      <w:r w:rsidR="00AF4564">
        <w:rPr>
          <w:snapToGrid w:val="0"/>
          <w:kern w:val="18"/>
          <w:szCs w:val="18"/>
          <w:lang w:val="en-GB"/>
        </w:rPr>
        <w:t>)</w:t>
      </w:r>
      <w:r w:rsidRPr="00B358B9">
        <w:rPr>
          <w:snapToGrid w:val="0"/>
          <w:kern w:val="18"/>
          <w:szCs w:val="18"/>
          <w:lang w:val="en-GB"/>
        </w:rPr>
        <w:t>, para</w:t>
      </w:r>
      <w:r w:rsidR="00B6070B" w:rsidRPr="00B358B9">
        <w:rPr>
          <w:snapToGrid w:val="0"/>
          <w:kern w:val="18"/>
          <w:szCs w:val="18"/>
          <w:lang w:val="en-GB"/>
        </w:rPr>
        <w:t>.</w:t>
      </w:r>
      <w:r w:rsidR="00AF4564">
        <w:rPr>
          <w:snapToGrid w:val="0"/>
          <w:kern w:val="18"/>
          <w:szCs w:val="18"/>
          <w:lang w:val="en-GB"/>
        </w:rPr>
        <w:t> </w:t>
      </w:r>
      <w:r w:rsidRPr="00B358B9">
        <w:rPr>
          <w:snapToGrid w:val="0"/>
          <w:kern w:val="18"/>
          <w:szCs w:val="18"/>
          <w:lang w:val="en-GB"/>
        </w:rPr>
        <w:t>6.</w:t>
      </w:r>
    </w:p>
  </w:footnote>
  <w:footnote w:id="38">
    <w:p w14:paraId="79187DA3" w14:textId="2728657D"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20" w:history="1">
        <w:r w:rsidR="003D0D99" w:rsidRPr="00B358B9">
          <w:rPr>
            <w:rStyle w:val="Hyperlink"/>
            <w:snapToGrid w:val="0"/>
            <w:kern w:val="18"/>
            <w:szCs w:val="18"/>
            <w:lang w:val="en-GB"/>
          </w:rPr>
          <w:t>http://bigpicture.unfccc.int/content/climate-finance/what-is-the-financial-mechanism-what-are-the-other-funds.html</w:t>
        </w:r>
      </w:hyperlink>
    </w:p>
  </w:footnote>
  <w:footnote w:id="39">
    <w:p w14:paraId="3B98C8DB" w14:textId="7E1C827D"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r w:rsidR="00321C51" w:rsidRPr="00B358B9">
        <w:rPr>
          <w:snapToGrid w:val="0"/>
          <w:kern w:val="18"/>
          <w:szCs w:val="18"/>
          <w:lang w:val="en-GB"/>
        </w:rPr>
        <w:t>UN</w:t>
      </w:r>
      <w:r w:rsidRPr="00B358B9">
        <w:rPr>
          <w:snapToGrid w:val="0"/>
          <w:kern w:val="18"/>
          <w:szCs w:val="18"/>
          <w:lang w:val="en-GB"/>
        </w:rPr>
        <w:t>FCCC</w:t>
      </w:r>
      <w:r w:rsidR="00321C51" w:rsidRPr="00B358B9">
        <w:rPr>
          <w:snapToGrid w:val="0"/>
          <w:kern w:val="18"/>
          <w:szCs w:val="18"/>
          <w:lang w:val="en-GB"/>
        </w:rPr>
        <w:t xml:space="preserve"> decision 11/CP.23, “Sixth review of the Financial Mechanism”</w:t>
      </w:r>
      <w:r w:rsidR="00321C51" w:rsidRPr="00B358B9">
        <w:rPr>
          <w:szCs w:val="18"/>
        </w:rPr>
        <w:t xml:space="preserve"> </w:t>
      </w:r>
      <w:r w:rsidR="00321C51" w:rsidRPr="00B358B9">
        <w:rPr>
          <w:szCs w:val="18"/>
          <w:lang w:val="en-US"/>
        </w:rPr>
        <w:t>(</w:t>
      </w:r>
      <w:hyperlink r:id="rId21" w:history="1">
        <w:r w:rsidR="00321C51" w:rsidRPr="00B358B9">
          <w:rPr>
            <w:rStyle w:val="Hyperlink"/>
            <w:snapToGrid w:val="0"/>
            <w:kern w:val="18"/>
            <w:szCs w:val="18"/>
            <w:lang w:val="en-GB"/>
          </w:rPr>
          <w:t>FCCC/CP/2017/11/Add.1</w:t>
        </w:r>
      </w:hyperlink>
      <w:r w:rsidR="00321C51" w:rsidRPr="00B358B9">
        <w:rPr>
          <w:snapToGrid w:val="0"/>
          <w:kern w:val="18"/>
          <w:szCs w:val="18"/>
          <w:lang w:val="en-GB"/>
        </w:rPr>
        <w:t>)</w:t>
      </w:r>
      <w:r w:rsidRPr="00B358B9">
        <w:rPr>
          <w:snapToGrid w:val="0"/>
          <w:kern w:val="18"/>
          <w:szCs w:val="18"/>
          <w:lang w:val="en-GB"/>
        </w:rPr>
        <w:t>.</w:t>
      </w:r>
    </w:p>
  </w:footnote>
  <w:footnote w:id="40">
    <w:p w14:paraId="6F5E5019" w14:textId="2646B81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r w:rsidR="00321C51" w:rsidRPr="00B358B9">
        <w:rPr>
          <w:snapToGrid w:val="0"/>
          <w:kern w:val="18"/>
          <w:szCs w:val="18"/>
          <w:lang w:val="en-GB"/>
        </w:rPr>
        <w:t>UN</w:t>
      </w:r>
      <w:r w:rsidRPr="00B358B9">
        <w:rPr>
          <w:snapToGrid w:val="0"/>
          <w:kern w:val="18"/>
          <w:szCs w:val="18"/>
          <w:lang w:val="en-GB"/>
        </w:rPr>
        <w:t>FCCC</w:t>
      </w:r>
      <w:r w:rsidR="00321C51" w:rsidRPr="00B358B9">
        <w:rPr>
          <w:snapToGrid w:val="0"/>
          <w:kern w:val="18"/>
          <w:szCs w:val="18"/>
          <w:lang w:val="en-GB"/>
        </w:rPr>
        <w:t xml:space="preserve"> decision 9/</w:t>
      </w:r>
      <w:r w:rsidRPr="00B358B9">
        <w:rPr>
          <w:snapToGrid w:val="0"/>
          <w:kern w:val="18"/>
          <w:szCs w:val="18"/>
          <w:lang w:val="en-GB"/>
        </w:rPr>
        <w:t>CP</w:t>
      </w:r>
      <w:r w:rsidR="00321C51" w:rsidRPr="00B358B9">
        <w:rPr>
          <w:snapToGrid w:val="0"/>
          <w:kern w:val="18"/>
          <w:szCs w:val="18"/>
          <w:lang w:val="en-GB"/>
        </w:rPr>
        <w:t>.23</w:t>
      </w:r>
      <w:r w:rsidRPr="00B358B9">
        <w:rPr>
          <w:snapToGrid w:val="0"/>
          <w:kern w:val="18"/>
          <w:szCs w:val="18"/>
          <w:lang w:val="en-GB"/>
        </w:rPr>
        <w:t xml:space="preserve">, </w:t>
      </w:r>
      <w:r w:rsidR="00321C51" w:rsidRPr="00B358B9">
        <w:rPr>
          <w:snapToGrid w:val="0"/>
          <w:kern w:val="18"/>
          <w:szCs w:val="18"/>
          <w:lang w:val="en-GB"/>
        </w:rPr>
        <w:t>“Report of the Green Climate Fund and guidance to the Green Climate Fund” (</w:t>
      </w:r>
      <w:hyperlink r:id="rId22" w:history="1">
        <w:r w:rsidR="00321C51" w:rsidRPr="00B358B9">
          <w:rPr>
            <w:rStyle w:val="Hyperlink"/>
            <w:snapToGrid w:val="0"/>
            <w:kern w:val="18"/>
            <w:szCs w:val="18"/>
            <w:lang w:val="en-GB"/>
          </w:rPr>
          <w:t>FCCC/CP/2017/11/Add.1</w:t>
        </w:r>
      </w:hyperlink>
      <w:r w:rsidR="00321C51" w:rsidRPr="00B358B9">
        <w:rPr>
          <w:snapToGrid w:val="0"/>
          <w:kern w:val="18"/>
          <w:szCs w:val="18"/>
          <w:lang w:val="en-GB"/>
        </w:rPr>
        <w:t>)</w:t>
      </w:r>
      <w:r w:rsidRPr="00B358B9">
        <w:rPr>
          <w:snapToGrid w:val="0"/>
          <w:kern w:val="18"/>
          <w:szCs w:val="18"/>
          <w:lang w:val="en-GB"/>
        </w:rPr>
        <w:t>.</w:t>
      </w:r>
    </w:p>
  </w:footnote>
  <w:footnote w:id="41">
    <w:p w14:paraId="1033C76C"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IFC Performance Standards on Environmental and Social Sustainability, </w:t>
      </w:r>
      <w:r w:rsidR="00E5585F" w:rsidRPr="00B358B9">
        <w:rPr>
          <w:snapToGrid w:val="0"/>
          <w:kern w:val="18"/>
          <w:szCs w:val="18"/>
          <w:lang w:val="en-GB"/>
        </w:rPr>
        <w:t>1 January </w:t>
      </w:r>
      <w:r w:rsidRPr="00B358B9">
        <w:rPr>
          <w:snapToGrid w:val="0"/>
          <w:kern w:val="18"/>
          <w:szCs w:val="18"/>
          <w:lang w:val="en-GB"/>
        </w:rPr>
        <w:t>2012.</w:t>
      </w:r>
    </w:p>
  </w:footnote>
  <w:footnote w:id="42">
    <w:p w14:paraId="2D7622EC"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23" w:history="1">
        <w:r w:rsidR="00283707" w:rsidRPr="00B358B9">
          <w:rPr>
            <w:rStyle w:val="Hyperlink"/>
            <w:snapToGrid w:val="0"/>
            <w:kern w:val="18"/>
            <w:szCs w:val="18"/>
            <w:lang w:val="en-GB"/>
          </w:rPr>
          <w:t>http://www.greenclimate.fund/documents/20182/820027/GCF_2017_Inf.02_-_Environmental_and_social_management_system.pdf/fec82d6c-1e68-4398-908e-f32c14f2814f</w:t>
        </w:r>
      </w:hyperlink>
    </w:p>
  </w:footnote>
  <w:footnote w:id="43">
    <w:p w14:paraId="513D28AB" w14:textId="3B9FE127" w:rsidR="000C57A3" w:rsidRPr="00B358B9" w:rsidRDefault="000C57A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24" w:history="1">
        <w:r w:rsidRPr="00B358B9">
          <w:rPr>
            <w:rStyle w:val="Hyperlink"/>
            <w:snapToGrid w:val="0"/>
            <w:kern w:val="18"/>
            <w:szCs w:val="18"/>
            <w:lang w:val="en-GB"/>
          </w:rPr>
          <w:t xml:space="preserve">United Nations, </w:t>
        </w:r>
        <w:r w:rsidRPr="00B358B9">
          <w:rPr>
            <w:rStyle w:val="Hyperlink"/>
            <w:i/>
            <w:iCs/>
            <w:snapToGrid w:val="0"/>
            <w:kern w:val="18"/>
            <w:szCs w:val="18"/>
            <w:lang w:val="en-GB"/>
          </w:rPr>
          <w:t>Treaty Series</w:t>
        </w:r>
        <w:r w:rsidRPr="00B358B9">
          <w:rPr>
            <w:rStyle w:val="Hyperlink"/>
            <w:snapToGrid w:val="0"/>
            <w:kern w:val="18"/>
            <w:szCs w:val="18"/>
            <w:lang w:val="en-GB"/>
          </w:rPr>
          <w:t>, Registration No. I-54113</w:t>
        </w:r>
      </w:hyperlink>
      <w:r w:rsidRPr="00B358B9">
        <w:rPr>
          <w:snapToGrid w:val="0"/>
          <w:kern w:val="18"/>
          <w:szCs w:val="18"/>
          <w:lang w:val="en-GB"/>
        </w:rPr>
        <w:t>.</w:t>
      </w:r>
    </w:p>
  </w:footnote>
  <w:footnote w:id="44">
    <w:p w14:paraId="2826836A"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hyperlink r:id="rId25" w:history="1">
        <w:r w:rsidR="00283707" w:rsidRPr="00B358B9">
          <w:rPr>
            <w:rStyle w:val="Hyperlink"/>
            <w:snapToGrid w:val="0"/>
            <w:kern w:val="18"/>
            <w:szCs w:val="18"/>
            <w:lang w:val="en-GB"/>
          </w:rPr>
          <w:t>https://www.adaptation-fund.org/wp-content/uploads/2013/11/Amended-March-2016_-OPG-ANNEX-3-Environmental-social-policy-March-2016.pdf</w:t>
        </w:r>
      </w:hyperlink>
    </w:p>
  </w:footnote>
  <w:footnote w:id="45">
    <w:p w14:paraId="688C3E84"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26" w:history="1">
        <w:r w:rsidR="00C9390C" w:rsidRPr="00B358B9">
          <w:rPr>
            <w:rStyle w:val="Hyperlink"/>
            <w:snapToGrid w:val="0"/>
            <w:kern w:val="18"/>
            <w:szCs w:val="18"/>
            <w:lang w:val="en-GB"/>
          </w:rPr>
          <w:t>https://www.adaptation-fund.org/document/guidance-document-implementing-entities-compliance-adaptation-fund-environmental-social-policy/</w:t>
        </w:r>
      </w:hyperlink>
      <w:r w:rsidRPr="00B358B9">
        <w:rPr>
          <w:snapToGrid w:val="0"/>
          <w:kern w:val="18"/>
          <w:szCs w:val="18"/>
          <w:lang w:val="en-GB"/>
        </w:rPr>
        <w:t>.</w:t>
      </w:r>
    </w:p>
  </w:footnote>
  <w:footnote w:id="46">
    <w:p w14:paraId="674732F4" w14:textId="02111344" w:rsidR="00B85FF3" w:rsidRPr="00B358B9" w:rsidRDefault="00B85FF3" w:rsidP="00B358B9">
      <w:pPr>
        <w:pStyle w:val="FootnoteText"/>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r w:rsidR="00D13216" w:rsidRPr="00B358B9">
        <w:rPr>
          <w:snapToGrid w:val="0"/>
          <w:kern w:val="18"/>
          <w:szCs w:val="18"/>
          <w:lang w:val="en-GB"/>
        </w:rPr>
        <w:t>UNFCCC decision 1/CP.16, “The Cancun Agreements:  Outcome of the work of the Ad Hoc Working Group on Long-term Cooperative Action under the Convention”, Appendix (</w:t>
      </w:r>
      <w:hyperlink r:id="rId27" w:history="1">
        <w:r w:rsidRPr="00B358B9">
          <w:rPr>
            <w:rStyle w:val="Hyperlink"/>
            <w:kern w:val="18"/>
            <w:szCs w:val="18"/>
          </w:rPr>
          <w:t>FCCC/CP/2010/7/Add.1</w:t>
        </w:r>
      </w:hyperlink>
      <w:r w:rsidR="00D13216" w:rsidRPr="00B358B9">
        <w:rPr>
          <w:snapToGrid w:val="0"/>
          <w:kern w:val="18"/>
          <w:szCs w:val="18"/>
          <w:lang w:val="en-GB"/>
        </w:rPr>
        <w:t>)</w:t>
      </w:r>
      <w:r w:rsidRPr="00B358B9">
        <w:rPr>
          <w:snapToGrid w:val="0"/>
          <w:kern w:val="18"/>
          <w:szCs w:val="18"/>
          <w:lang w:val="en-GB"/>
        </w:rPr>
        <w:t>.</w:t>
      </w:r>
    </w:p>
  </w:footnote>
  <w:footnote w:id="47">
    <w:p w14:paraId="317AB526" w14:textId="198F312C"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http://www.v-c-s.org/project/ccb-program/rules-requirements-and-guidance/updates-to-the-ccb-standards-version-3/. Earlier developments of the standards were reported on in document CBD/COP/12/INF/27 – see Box 4 </w:t>
      </w:r>
      <w:r w:rsidR="0024238A" w:rsidRPr="00B358B9">
        <w:rPr>
          <w:snapToGrid w:val="0"/>
          <w:kern w:val="18"/>
          <w:szCs w:val="18"/>
          <w:lang w:val="en-GB"/>
        </w:rPr>
        <w:t xml:space="preserve">on </w:t>
      </w:r>
      <w:r w:rsidRPr="00B358B9">
        <w:rPr>
          <w:snapToGrid w:val="0"/>
          <w:kern w:val="18"/>
          <w:szCs w:val="18"/>
          <w:lang w:val="en-GB"/>
        </w:rPr>
        <w:t>p.</w:t>
      </w:r>
      <w:r w:rsidR="0024238A" w:rsidRPr="00B358B9">
        <w:rPr>
          <w:snapToGrid w:val="0"/>
          <w:kern w:val="18"/>
          <w:szCs w:val="18"/>
          <w:lang w:val="en-GB"/>
        </w:rPr>
        <w:t> </w:t>
      </w:r>
      <w:r w:rsidRPr="00B358B9">
        <w:rPr>
          <w:snapToGrid w:val="0"/>
          <w:kern w:val="18"/>
          <w:szCs w:val="18"/>
          <w:lang w:val="en-GB"/>
        </w:rPr>
        <w:t xml:space="preserve">11, and footnote 61 </w:t>
      </w:r>
      <w:r w:rsidR="0024238A" w:rsidRPr="00B358B9">
        <w:rPr>
          <w:snapToGrid w:val="0"/>
          <w:kern w:val="18"/>
          <w:szCs w:val="18"/>
          <w:lang w:val="en-GB"/>
        </w:rPr>
        <w:t>o</w:t>
      </w:r>
      <w:r w:rsidRPr="00B358B9">
        <w:rPr>
          <w:snapToGrid w:val="0"/>
          <w:kern w:val="18"/>
          <w:szCs w:val="18"/>
          <w:lang w:val="en-GB"/>
        </w:rPr>
        <w:t>n p.</w:t>
      </w:r>
      <w:r w:rsidR="0024238A" w:rsidRPr="00B358B9">
        <w:rPr>
          <w:snapToGrid w:val="0"/>
          <w:kern w:val="18"/>
          <w:szCs w:val="18"/>
          <w:lang w:val="en-GB"/>
        </w:rPr>
        <w:t> </w:t>
      </w:r>
      <w:r w:rsidRPr="00B358B9">
        <w:rPr>
          <w:snapToGrid w:val="0"/>
          <w:kern w:val="18"/>
          <w:szCs w:val="18"/>
          <w:lang w:val="en-GB"/>
        </w:rPr>
        <w:t xml:space="preserve">15. There have not been updates of the REDD+ SES since </w:t>
      </w:r>
      <w:r w:rsidR="00572165" w:rsidRPr="00B358B9">
        <w:rPr>
          <w:snapToGrid w:val="0"/>
          <w:kern w:val="18"/>
          <w:szCs w:val="18"/>
          <w:lang w:val="en-GB"/>
        </w:rPr>
        <w:t xml:space="preserve">the 2012 </w:t>
      </w:r>
      <w:r w:rsidRPr="00B358B9">
        <w:rPr>
          <w:snapToGrid w:val="0"/>
          <w:kern w:val="18"/>
          <w:szCs w:val="18"/>
          <w:lang w:val="en-GB"/>
        </w:rPr>
        <w:t>version.</w:t>
      </w:r>
    </w:p>
  </w:footnote>
  <w:footnote w:id="48">
    <w:p w14:paraId="4B844BF8" w14:textId="51854EDE"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28" w:history="1">
        <w:r w:rsidR="00B97C5F" w:rsidRPr="00B358B9">
          <w:rPr>
            <w:rStyle w:val="Hyperlink"/>
            <w:snapToGrid w:val="0"/>
            <w:kern w:val="18"/>
            <w:szCs w:val="18"/>
            <w:lang w:val="en-GB"/>
          </w:rPr>
          <w:t>http://www.climate-standards.org/about-ccba/</w:t>
        </w:r>
      </w:hyperlink>
    </w:p>
  </w:footnote>
  <w:footnote w:id="49">
    <w:p w14:paraId="2D6348C7" w14:textId="4F88B193"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29" w:history="1">
        <w:r w:rsidR="00B97C5F" w:rsidRPr="00B358B9">
          <w:rPr>
            <w:rStyle w:val="Hyperlink"/>
            <w:snapToGrid w:val="0"/>
            <w:kern w:val="18"/>
            <w:szCs w:val="18"/>
            <w:lang w:val="en-GB"/>
          </w:rPr>
          <w:t>http://www.v-c-s.org/project/ccb-program/</w:t>
        </w:r>
      </w:hyperlink>
    </w:p>
  </w:footnote>
  <w:footnote w:id="50">
    <w:p w14:paraId="54EBD268" w14:textId="1AA8DD28"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30" w:history="1">
        <w:r w:rsidR="00B97C5F" w:rsidRPr="00B358B9">
          <w:rPr>
            <w:rStyle w:val="Hyperlink"/>
            <w:snapToGrid w:val="0"/>
            <w:kern w:val="18"/>
            <w:szCs w:val="18"/>
            <w:lang w:val="en-GB"/>
          </w:rPr>
          <w:t>http://www.climate-standards.org/ccb-standards/summary-scorecard/</w:t>
        </w:r>
      </w:hyperlink>
    </w:p>
  </w:footnote>
  <w:footnote w:id="51">
    <w:p w14:paraId="75F3D0FF" w14:textId="15A91A16"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31" w:history="1">
        <w:r w:rsidR="00862953" w:rsidRPr="00B358B9">
          <w:rPr>
            <w:rStyle w:val="Hyperlink"/>
            <w:snapToGrid w:val="0"/>
            <w:kern w:val="18"/>
            <w:szCs w:val="18"/>
            <w:lang w:val="en-GB"/>
          </w:rPr>
          <w:t>http://www.v-c-s.org/wp-content/uploads/2017/06/CCB-Standards-v3.1_ENG.pdf</w:t>
        </w:r>
      </w:hyperlink>
      <w:r w:rsidRPr="00B358B9">
        <w:rPr>
          <w:snapToGrid w:val="0"/>
          <w:kern w:val="18"/>
          <w:szCs w:val="18"/>
          <w:lang w:val="en-GB"/>
        </w:rPr>
        <w:t>, p. 7</w:t>
      </w:r>
      <w:r w:rsidR="00DD6C8A" w:rsidRPr="00B358B9">
        <w:rPr>
          <w:snapToGrid w:val="0"/>
          <w:kern w:val="18"/>
          <w:szCs w:val="18"/>
          <w:lang w:val="en-GB"/>
        </w:rPr>
        <w:t>.</w:t>
      </w:r>
    </w:p>
  </w:footnote>
  <w:footnote w:id="52">
    <w:p w14:paraId="25A5B216"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Ib</w:t>
      </w:r>
      <w:r w:rsidR="00315177" w:rsidRPr="00B358B9">
        <w:rPr>
          <w:snapToGrid w:val="0"/>
          <w:kern w:val="18"/>
          <w:szCs w:val="18"/>
          <w:lang w:val="en-GB"/>
        </w:rPr>
        <w:t>i</w:t>
      </w:r>
      <w:r w:rsidRPr="00B358B9">
        <w:rPr>
          <w:snapToGrid w:val="0"/>
          <w:kern w:val="18"/>
          <w:szCs w:val="18"/>
          <w:lang w:val="en-GB"/>
        </w:rPr>
        <w:t>d., p. 4.</w:t>
      </w:r>
    </w:p>
  </w:footnote>
  <w:footnote w:id="53">
    <w:p w14:paraId="60ADBBC0" w14:textId="2C5F58E5"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32" w:history="1">
        <w:r w:rsidR="00862953" w:rsidRPr="00B358B9">
          <w:rPr>
            <w:rStyle w:val="Hyperlink"/>
            <w:snapToGrid w:val="0"/>
            <w:kern w:val="18"/>
            <w:szCs w:val="18"/>
            <w:lang w:val="en-GB"/>
          </w:rPr>
          <w:t>https://globalgoals.goldstandard.org/</w:t>
        </w:r>
      </w:hyperlink>
    </w:p>
  </w:footnote>
  <w:footnote w:id="54">
    <w:p w14:paraId="040892B7" w14:textId="5AB3ACEF"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33" w:history="1">
        <w:r w:rsidR="00862953" w:rsidRPr="00B358B9">
          <w:rPr>
            <w:rStyle w:val="Hyperlink"/>
            <w:snapToGrid w:val="0"/>
            <w:kern w:val="18"/>
            <w:szCs w:val="18"/>
            <w:lang w:val="en-GB"/>
          </w:rPr>
          <w:t>https://globalgoals.goldstandard.org/100/101-4-gold-standard-for-the-global-goals-safeguarding-principles-requirements</w:t>
        </w:r>
      </w:hyperlink>
    </w:p>
  </w:footnote>
  <w:footnote w:id="55">
    <w:p w14:paraId="57F1216A" w14:textId="1A360925"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34" w:history="1">
        <w:r w:rsidR="00862953" w:rsidRPr="00B358B9">
          <w:rPr>
            <w:rStyle w:val="Hyperlink"/>
            <w:snapToGrid w:val="0"/>
            <w:kern w:val="18"/>
            <w:szCs w:val="18"/>
            <w:lang w:val="en-GB"/>
          </w:rPr>
          <w:t>https://globalgoals.goldstandard.org/100/101-3-gold-standard-for-the-global-goal-stakeholder-procedure-requirements-guidelines</w:t>
        </w:r>
      </w:hyperlink>
    </w:p>
  </w:footnote>
  <w:footnote w:id="56">
    <w:p w14:paraId="589BBC6B" w14:textId="256A7082"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35" w:history="1">
        <w:r w:rsidR="00696304" w:rsidRPr="00B358B9">
          <w:rPr>
            <w:rStyle w:val="Hyperlink"/>
            <w:snapToGrid w:val="0"/>
            <w:kern w:val="18"/>
            <w:szCs w:val="18"/>
            <w:lang w:val="en-GB"/>
          </w:rPr>
          <w:t>http://www.v-c-s.org/wp-content/uploads/2016/05/2012-Annual-Report-FINAL.pdf</w:t>
        </w:r>
      </w:hyperlink>
    </w:p>
  </w:footnote>
  <w:footnote w:id="57">
    <w:p w14:paraId="699837B3" w14:textId="2C16D59F"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36" w:history="1">
        <w:r w:rsidR="00696304" w:rsidRPr="00B358B9">
          <w:rPr>
            <w:rStyle w:val="Hyperlink"/>
            <w:snapToGrid w:val="0"/>
            <w:kern w:val="18"/>
            <w:szCs w:val="18"/>
            <w:lang w:val="en-GB"/>
          </w:rPr>
          <w:t>https://www.isealalliance.org/sites/default/files/ISEAL_Mission_Goals_2013.pdf</w:t>
        </w:r>
      </w:hyperlink>
    </w:p>
  </w:footnote>
  <w:footnote w:id="58">
    <w:p w14:paraId="0F9DBE46"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As the GEF Review summarizes, “The adoption of environmental and social safeguard standards among a wide range of international development and finance institutions reflects a broad consensus among governments, development economists, environmental and social experts, civil society groups, and other stakeholders that such policies are critical to achieving sustainable development outcomes and avoiding and/or minimizing social and environmental harm”, GEF/ME/C.52/inf. 08, p. 38.</w:t>
      </w:r>
    </w:p>
  </w:footnote>
  <w:footnote w:id="59">
    <w:p w14:paraId="31993AA7" w14:textId="77777777"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The GEF Review elaborates further on some of the aspects of this architectural and thematic expansion of safeguards. See GEF/ME/C.52/inf. 08, p. 38.</w:t>
      </w:r>
    </w:p>
  </w:footnote>
  <w:footnote w:id="60">
    <w:p w14:paraId="4F8F247B" w14:textId="4EA444FE" w:rsidR="00682A3A" w:rsidRPr="00B358B9" w:rsidRDefault="00682A3A" w:rsidP="00B358B9">
      <w:pPr>
        <w:pStyle w:val="FootnoteText"/>
        <w:keepLines w:val="0"/>
        <w:suppressLineNumbers/>
        <w:suppressAutoHyphens/>
        <w:kinsoku w:val="0"/>
        <w:overflowPunct w:val="0"/>
        <w:autoSpaceDE w:val="0"/>
        <w:autoSpaceDN w:val="0"/>
        <w:adjustRightInd w:val="0"/>
        <w:snapToGrid w:val="0"/>
        <w:ind w:firstLine="0"/>
        <w:jc w:val="left"/>
        <w:rPr>
          <w:szCs w:val="18"/>
          <w:lang w:val="en-GB"/>
        </w:rPr>
      </w:pPr>
      <w:r w:rsidRPr="00B358B9">
        <w:rPr>
          <w:rStyle w:val="FootnoteReference"/>
          <w:sz w:val="18"/>
          <w:szCs w:val="18"/>
          <w:lang w:val="en-GB"/>
        </w:rPr>
        <w:footnoteRef/>
      </w:r>
      <w:r w:rsidRPr="00B358B9">
        <w:rPr>
          <w:szCs w:val="18"/>
          <w:lang w:val="en-GB"/>
        </w:rPr>
        <w:t xml:space="preserve"> </w:t>
      </w:r>
      <w:hyperlink r:id="rId37" w:history="1">
        <w:r w:rsidR="00D23B5D" w:rsidRPr="00B358B9">
          <w:rPr>
            <w:rStyle w:val="Hyperlink"/>
            <w:szCs w:val="18"/>
            <w:lang w:val="en-GB"/>
          </w:rPr>
          <w:t>General Assembly r</w:t>
        </w:r>
        <w:r w:rsidR="00321C51" w:rsidRPr="00B358B9">
          <w:rPr>
            <w:rStyle w:val="Hyperlink"/>
            <w:szCs w:val="18"/>
            <w:lang w:val="en-GB"/>
          </w:rPr>
          <w:t xml:space="preserve">esolution </w:t>
        </w:r>
        <w:r w:rsidR="00D23B5D" w:rsidRPr="00B358B9">
          <w:rPr>
            <w:rStyle w:val="Hyperlink"/>
            <w:szCs w:val="18"/>
            <w:lang w:val="en-GB"/>
          </w:rPr>
          <w:t>217</w:t>
        </w:r>
        <w:r w:rsidR="003A3B4C" w:rsidRPr="00B358B9">
          <w:rPr>
            <w:rStyle w:val="Hyperlink"/>
            <w:szCs w:val="18"/>
            <w:lang w:val="en-GB"/>
          </w:rPr>
          <w:t> </w:t>
        </w:r>
        <w:r w:rsidR="00D23B5D" w:rsidRPr="00B358B9">
          <w:rPr>
            <w:rStyle w:val="Hyperlink"/>
            <w:szCs w:val="18"/>
            <w:lang w:val="en-GB"/>
          </w:rPr>
          <w:t>A</w:t>
        </w:r>
      </w:hyperlink>
      <w:r w:rsidRPr="00B358B9">
        <w:rPr>
          <w:szCs w:val="18"/>
          <w:lang w:val="en-GB"/>
        </w:rPr>
        <w:t>.</w:t>
      </w:r>
    </w:p>
  </w:footnote>
  <w:footnote w:id="61">
    <w:p w14:paraId="5E6BED7C" w14:textId="480D43EC" w:rsidR="00B85FF3" w:rsidRPr="00B358B9" w:rsidRDefault="00B85FF3"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See </w:t>
      </w:r>
      <w:hyperlink r:id="rId38" w:history="1">
        <w:r w:rsidRPr="00B358B9">
          <w:rPr>
            <w:rStyle w:val="Hyperlink"/>
            <w:kern w:val="18"/>
            <w:szCs w:val="18"/>
          </w:rPr>
          <w:t>A/HRC/34/49</w:t>
        </w:r>
      </w:hyperlink>
      <w:r w:rsidRPr="00B358B9">
        <w:rPr>
          <w:snapToGrid w:val="0"/>
          <w:kern w:val="18"/>
          <w:szCs w:val="18"/>
          <w:lang w:val="en-GB"/>
        </w:rPr>
        <w:t xml:space="preserve"> and </w:t>
      </w:r>
      <w:hyperlink r:id="rId39" w:history="1">
        <w:r w:rsidRPr="00B358B9">
          <w:rPr>
            <w:rStyle w:val="Hyperlink"/>
            <w:kern w:val="18"/>
            <w:szCs w:val="18"/>
          </w:rPr>
          <w:t>A/HRC/36/46</w:t>
        </w:r>
      </w:hyperlink>
      <w:r w:rsidR="00181E94" w:rsidRPr="00B358B9">
        <w:rPr>
          <w:snapToGrid w:val="0"/>
          <w:kern w:val="18"/>
          <w:szCs w:val="18"/>
          <w:lang w:val="en-GB"/>
        </w:rPr>
        <w:t>,</w:t>
      </w:r>
      <w:r w:rsidRPr="00B358B9">
        <w:rPr>
          <w:snapToGrid w:val="0"/>
          <w:kern w:val="18"/>
          <w:szCs w:val="18"/>
          <w:lang w:val="en-GB"/>
        </w:rPr>
        <w:t xml:space="preserve"> respectively.</w:t>
      </w:r>
    </w:p>
  </w:footnote>
  <w:footnote w:id="62">
    <w:p w14:paraId="6D829F90" w14:textId="77777777" w:rsidR="001D67B1" w:rsidRPr="00B358B9" w:rsidRDefault="001D67B1" w:rsidP="00B358B9">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lang w:val="en-GB"/>
        </w:rPr>
      </w:pPr>
      <w:r w:rsidRPr="00B358B9">
        <w:rPr>
          <w:rStyle w:val="FootnoteReference"/>
          <w:snapToGrid w:val="0"/>
          <w:kern w:val="18"/>
          <w:sz w:val="18"/>
          <w:szCs w:val="18"/>
          <w:lang w:val="en-GB"/>
        </w:rPr>
        <w:footnoteRef/>
      </w:r>
      <w:r w:rsidRPr="00B358B9">
        <w:rPr>
          <w:snapToGrid w:val="0"/>
          <w:kern w:val="18"/>
          <w:szCs w:val="18"/>
          <w:lang w:val="en-GB"/>
        </w:rPr>
        <w:t xml:space="preserve"> </w:t>
      </w:r>
      <w:hyperlink r:id="rId40" w:history="1">
        <w:r w:rsidRPr="00B358B9">
          <w:rPr>
            <w:rStyle w:val="Hyperlink"/>
            <w:snapToGrid w:val="0"/>
            <w:kern w:val="18"/>
            <w:szCs w:val="18"/>
            <w:lang w:val="en-GB"/>
          </w:rPr>
          <w:t>General Assembly resolution 61/295</w:t>
        </w:r>
      </w:hyperlink>
      <w:r w:rsidRPr="00B358B9">
        <w:rPr>
          <w:snapToGrid w:val="0"/>
          <w:kern w:val="18"/>
          <w:szCs w:val="18"/>
          <w:lang w:val="en-GB"/>
        </w:rPr>
        <w:t>,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92815664"/>
      <w:placeholder>
        <w:docPart w:val="2024B354B2E146BF974E8A38D05DB676"/>
      </w:placeholder>
      <w:dataBinding w:prefixMappings="xmlns:ns0='http://purl.org/dc/elements/1.1/' xmlns:ns1='http://schemas.openxmlformats.org/package/2006/metadata/core-properties' " w:xpath="/ns1:coreProperties[1]/ns0:subject[1]" w:storeItemID="{6C3C8BC8-F283-45AE-878A-BAB7291924A1}"/>
      <w:text/>
    </w:sdtPr>
    <w:sdtEndPr/>
    <w:sdtContent>
      <w:p w14:paraId="07514502" w14:textId="12C7F5A9" w:rsidR="00B85FF3" w:rsidRPr="005A5E72" w:rsidRDefault="00500857" w:rsidP="005A5E72">
        <w:pPr>
          <w:pStyle w:val="Header"/>
          <w:tabs>
            <w:tab w:val="clear" w:pos="4320"/>
            <w:tab w:val="clear" w:pos="8640"/>
          </w:tabs>
          <w:jc w:val="left"/>
          <w:rPr>
            <w:noProof/>
            <w:kern w:val="22"/>
          </w:rPr>
        </w:pPr>
        <w:r>
          <w:rPr>
            <w:noProof/>
            <w:kern w:val="22"/>
          </w:rPr>
          <w:t>CBD/SBI/2/20</w:t>
        </w:r>
      </w:p>
    </w:sdtContent>
  </w:sdt>
  <w:p w14:paraId="53D10DE8" w14:textId="6107FEBA" w:rsidR="00B85FF3" w:rsidRPr="005A5E72" w:rsidRDefault="00B85FF3" w:rsidP="005A5E72">
    <w:pPr>
      <w:pStyle w:val="Header"/>
      <w:tabs>
        <w:tab w:val="clear" w:pos="4320"/>
        <w:tab w:val="clear" w:pos="8640"/>
      </w:tabs>
      <w:spacing w:after="240"/>
      <w:jc w:val="left"/>
      <w:rPr>
        <w:noProof/>
        <w:kern w:val="22"/>
      </w:rPr>
    </w:pPr>
    <w:r w:rsidRPr="005A5E72">
      <w:rPr>
        <w:noProof/>
        <w:kern w:val="22"/>
      </w:rPr>
      <w:t xml:space="preserve">Page </w:t>
    </w:r>
    <w:r w:rsidRPr="005A5E72">
      <w:rPr>
        <w:noProof/>
        <w:kern w:val="22"/>
      </w:rPr>
      <w:fldChar w:fldCharType="begin"/>
    </w:r>
    <w:r w:rsidRPr="005A5E72">
      <w:rPr>
        <w:noProof/>
        <w:kern w:val="22"/>
      </w:rPr>
      <w:instrText xml:space="preserve"> PAGE   \* MERGEFORMAT </w:instrText>
    </w:r>
    <w:r w:rsidRPr="005A5E72">
      <w:rPr>
        <w:noProof/>
        <w:kern w:val="22"/>
      </w:rPr>
      <w:fldChar w:fldCharType="separate"/>
    </w:r>
    <w:r w:rsidR="008A65F4">
      <w:rPr>
        <w:noProof/>
        <w:kern w:val="22"/>
      </w:rPr>
      <w:t>18</w:t>
    </w:r>
    <w:r w:rsidRPr="005A5E72">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11122802"/>
      <w:placeholder>
        <w:docPart w:val="9F18E1D40E9E4C9DACAEAF115DCBAAA7"/>
      </w:placeholder>
      <w:dataBinding w:prefixMappings="xmlns:ns0='http://purl.org/dc/elements/1.1/' xmlns:ns1='http://schemas.openxmlformats.org/package/2006/metadata/core-properties' " w:xpath="/ns1:coreProperties[1]/ns0:subject[1]" w:storeItemID="{6C3C8BC8-F283-45AE-878A-BAB7291924A1}"/>
      <w:text/>
    </w:sdtPr>
    <w:sdtEndPr/>
    <w:sdtContent>
      <w:p w14:paraId="64603F83" w14:textId="1C280FBE" w:rsidR="00B85FF3" w:rsidRPr="005A5E72" w:rsidRDefault="00500857" w:rsidP="005A5E72">
        <w:pPr>
          <w:pStyle w:val="Header"/>
          <w:tabs>
            <w:tab w:val="clear" w:pos="4320"/>
            <w:tab w:val="clear" w:pos="8640"/>
          </w:tabs>
          <w:jc w:val="right"/>
          <w:rPr>
            <w:noProof/>
            <w:kern w:val="22"/>
          </w:rPr>
        </w:pPr>
        <w:r>
          <w:rPr>
            <w:noProof/>
            <w:kern w:val="22"/>
          </w:rPr>
          <w:t>CBD/SBI/2/20</w:t>
        </w:r>
      </w:p>
    </w:sdtContent>
  </w:sdt>
  <w:p w14:paraId="5B7168B1" w14:textId="02692E18" w:rsidR="00B85FF3" w:rsidRPr="005A5E72" w:rsidRDefault="00B85FF3" w:rsidP="005A5E72">
    <w:pPr>
      <w:pStyle w:val="Header"/>
      <w:tabs>
        <w:tab w:val="clear" w:pos="4320"/>
        <w:tab w:val="clear" w:pos="8640"/>
      </w:tabs>
      <w:spacing w:after="240"/>
      <w:jc w:val="right"/>
      <w:rPr>
        <w:noProof/>
        <w:kern w:val="22"/>
      </w:rPr>
    </w:pPr>
    <w:r w:rsidRPr="005A5E72">
      <w:rPr>
        <w:noProof/>
        <w:kern w:val="22"/>
      </w:rPr>
      <w:t xml:space="preserve">Page </w:t>
    </w:r>
    <w:r w:rsidRPr="005A5E72">
      <w:rPr>
        <w:noProof/>
        <w:kern w:val="22"/>
      </w:rPr>
      <w:fldChar w:fldCharType="begin"/>
    </w:r>
    <w:r w:rsidRPr="005A5E72">
      <w:rPr>
        <w:noProof/>
        <w:kern w:val="22"/>
      </w:rPr>
      <w:instrText xml:space="preserve"> PAGE   \* MERGEFORMAT </w:instrText>
    </w:r>
    <w:r w:rsidRPr="005A5E72">
      <w:rPr>
        <w:noProof/>
        <w:kern w:val="22"/>
      </w:rPr>
      <w:fldChar w:fldCharType="separate"/>
    </w:r>
    <w:r w:rsidR="008A65F4">
      <w:rPr>
        <w:noProof/>
        <w:kern w:val="22"/>
      </w:rPr>
      <w:t>19</w:t>
    </w:r>
    <w:r w:rsidRPr="005A5E72">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3A9154E"/>
    <w:multiLevelType w:val="hybridMultilevel"/>
    <w:tmpl w:val="819E06D4"/>
    <w:lvl w:ilvl="0" w:tplc="940E78A4">
      <w:start w:val="1"/>
      <w:numFmt w:val="decimal"/>
      <w:lvlText w:val="%1."/>
      <w:lvlJc w:val="left"/>
      <w:pPr>
        <w:ind w:left="720" w:hanging="360"/>
      </w:pPr>
      <w:rPr>
        <w:i w:val="0"/>
        <w:iCs w:val="0"/>
      </w:rPr>
    </w:lvl>
    <w:lvl w:ilvl="1" w:tplc="352E8682">
      <w:start w:val="1"/>
      <w:numFmt w:val="lowerLetter"/>
      <w:lvlText w:val="(%2)"/>
      <w:lvlJc w:val="left"/>
      <w:pPr>
        <w:ind w:left="2520" w:hanging="1440"/>
      </w:pPr>
      <w:rPr>
        <w:rFonts w:hint="default"/>
        <w:i w:val="0"/>
        <w:iCs w:val="0"/>
      </w:rPr>
    </w:lvl>
    <w:lvl w:ilvl="2" w:tplc="515C9F18">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A22CE3"/>
    <w:multiLevelType w:val="hybridMultilevel"/>
    <w:tmpl w:val="52224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0920C1"/>
    <w:multiLevelType w:val="hybridMultilevel"/>
    <w:tmpl w:val="AB9069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FC5D8C"/>
    <w:multiLevelType w:val="multilevel"/>
    <w:tmpl w:val="3384DFD4"/>
    <w:lvl w:ilvl="0">
      <w:start w:val="1"/>
      <w:numFmt w:val="decimal"/>
      <w:lvlText w:val="%1."/>
      <w:lvlJc w:val="left"/>
      <w:pPr>
        <w:tabs>
          <w:tab w:val="num" w:pos="502"/>
        </w:tabs>
        <w:ind w:left="142" w:firstLine="0"/>
      </w:pPr>
      <w:rPr>
        <w:rFonts w:hint="default"/>
        <w:b w:val="0"/>
        <w:i w:val="0"/>
        <w:sz w:val="22"/>
      </w:rPr>
    </w:lvl>
    <w:lvl w:ilvl="1">
      <w:start w:val="1"/>
      <w:numFmt w:val="lowerLetter"/>
      <w:lvlText w:val="(%2)"/>
      <w:lvlJc w:val="left"/>
      <w:pPr>
        <w:tabs>
          <w:tab w:val="num" w:pos="1440"/>
        </w:tabs>
        <w:ind w:left="0" w:firstLine="720"/>
      </w:pPr>
      <w:rPr>
        <w:rFonts w:hint="default"/>
        <w:b w:val="0"/>
        <w:i w:val="0"/>
        <w:lang w:val="en-GB"/>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61713F0"/>
    <w:multiLevelType w:val="hybridMultilevel"/>
    <w:tmpl w:val="122C5F56"/>
    <w:lvl w:ilvl="0" w:tplc="CAB40D4C">
      <w:start w:val="1"/>
      <w:numFmt w:val="lowerLetter"/>
      <w:lvlText w:val="(%1)"/>
      <w:lvlJc w:val="left"/>
      <w:pPr>
        <w:ind w:left="1429" w:hanging="360"/>
      </w:pPr>
      <w:rPr>
        <w:b w:val="0"/>
      </w:rPr>
    </w:lvl>
    <w:lvl w:ilvl="1" w:tplc="10090019">
      <w:start w:val="1"/>
      <w:numFmt w:val="lowerLetter"/>
      <w:lvlText w:val="%2."/>
      <w:lvlJc w:val="left"/>
      <w:pPr>
        <w:ind w:left="2149" w:hanging="360"/>
      </w:pPr>
    </w:lvl>
    <w:lvl w:ilvl="2" w:tplc="1009001B">
      <w:start w:val="1"/>
      <w:numFmt w:val="lowerRoman"/>
      <w:lvlText w:val="%3."/>
      <w:lvlJc w:val="right"/>
      <w:pPr>
        <w:ind w:left="2869" w:hanging="180"/>
      </w:pPr>
    </w:lvl>
    <w:lvl w:ilvl="3" w:tplc="1009000F">
      <w:start w:val="1"/>
      <w:numFmt w:val="decimal"/>
      <w:lvlText w:val="%4."/>
      <w:lvlJc w:val="left"/>
      <w:pPr>
        <w:ind w:left="3589" w:hanging="360"/>
      </w:pPr>
    </w:lvl>
    <w:lvl w:ilvl="4" w:tplc="10090019">
      <w:start w:val="1"/>
      <w:numFmt w:val="lowerLetter"/>
      <w:lvlText w:val="%5."/>
      <w:lvlJc w:val="left"/>
      <w:pPr>
        <w:ind w:left="4309" w:hanging="360"/>
      </w:pPr>
    </w:lvl>
    <w:lvl w:ilvl="5" w:tplc="1009001B">
      <w:start w:val="1"/>
      <w:numFmt w:val="lowerRoman"/>
      <w:lvlText w:val="%6."/>
      <w:lvlJc w:val="right"/>
      <w:pPr>
        <w:ind w:left="5029" w:hanging="180"/>
      </w:pPr>
    </w:lvl>
    <w:lvl w:ilvl="6" w:tplc="1009000F">
      <w:start w:val="1"/>
      <w:numFmt w:val="decimal"/>
      <w:lvlText w:val="%7."/>
      <w:lvlJc w:val="left"/>
      <w:pPr>
        <w:ind w:left="5749" w:hanging="360"/>
      </w:pPr>
    </w:lvl>
    <w:lvl w:ilvl="7" w:tplc="10090019">
      <w:start w:val="1"/>
      <w:numFmt w:val="lowerLetter"/>
      <w:lvlText w:val="%8."/>
      <w:lvlJc w:val="left"/>
      <w:pPr>
        <w:ind w:left="6469" w:hanging="360"/>
      </w:pPr>
    </w:lvl>
    <w:lvl w:ilvl="8" w:tplc="1009001B">
      <w:start w:val="1"/>
      <w:numFmt w:val="lowerRoman"/>
      <w:lvlText w:val="%9."/>
      <w:lvlJc w:val="right"/>
      <w:pPr>
        <w:ind w:left="7189" w:hanging="180"/>
      </w:pPr>
    </w:lvl>
  </w:abstractNum>
  <w:abstractNum w:abstractNumId="8" w15:restartNumberingAfterBreak="0">
    <w:nsid w:val="489B37A4"/>
    <w:multiLevelType w:val="hybridMultilevel"/>
    <w:tmpl w:val="BA8E836C"/>
    <w:lvl w:ilvl="0" w:tplc="DEEA64F0">
      <w:start w:val="1"/>
      <w:numFmt w:val="decimal"/>
      <w:lvlText w:val="%1."/>
      <w:lvlJc w:val="left"/>
      <w:pPr>
        <w:ind w:left="1440" w:hanging="360"/>
      </w:pPr>
      <w:rPr>
        <w:rFonts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2EDAD750"/>
    <w:lvl w:ilvl="0">
      <w:start w:val="1"/>
      <w:numFmt w:val="decimal"/>
      <w:pStyle w:val="Para1"/>
      <w:lvlText w:val="%1."/>
      <w:lvlJc w:val="left"/>
      <w:pPr>
        <w:tabs>
          <w:tab w:val="num" w:pos="502"/>
        </w:tabs>
        <w:ind w:left="142" w:firstLine="0"/>
      </w:pPr>
      <w:rPr>
        <w:rFonts w:hint="default"/>
        <w:b w:val="0"/>
        <w:i w:val="0"/>
        <w:sz w:val="22"/>
      </w:rPr>
    </w:lvl>
    <w:lvl w:ilvl="1">
      <w:start w:val="1"/>
      <w:numFmt w:val="lowerLetter"/>
      <w:lvlText w:val="%2."/>
      <w:lvlJc w:val="left"/>
      <w:pPr>
        <w:tabs>
          <w:tab w:val="num" w:pos="1440"/>
        </w:tabs>
        <w:ind w:left="0" w:firstLine="720"/>
      </w:pPr>
      <w:rPr>
        <w:rFonts w:hint="default"/>
        <w:b w:val="0"/>
        <w:i w:val="0"/>
        <w:lang w:val="en-GB"/>
      </w:rPr>
    </w:lvl>
    <w:lvl w:ilvl="2">
      <w:start w:val="1"/>
      <w:numFmt w:val="decimal"/>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53185E"/>
    <w:multiLevelType w:val="hybridMultilevel"/>
    <w:tmpl w:val="C030730A"/>
    <w:lvl w:ilvl="0" w:tplc="DC4043B4">
      <w:start w:val="1"/>
      <w:numFmt w:val="upperRoman"/>
      <w:lvlText w:val="%1."/>
      <w:lvlJc w:val="left"/>
      <w:pPr>
        <w:ind w:left="1699" w:hanging="99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569E2BFF"/>
    <w:multiLevelType w:val="hybridMultilevel"/>
    <w:tmpl w:val="13A885DE"/>
    <w:lvl w:ilvl="0" w:tplc="64E4FB7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64E4FB74">
      <w:start w:val="1"/>
      <w:numFmt w:val="decimal"/>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B7784C"/>
    <w:multiLevelType w:val="multilevel"/>
    <w:tmpl w:val="BDE8142E"/>
    <w:lvl w:ilvl="0">
      <w:start w:val="1"/>
      <w:numFmt w:val="decimal"/>
      <w:lvlText w:val="%1."/>
      <w:lvlJc w:val="left"/>
      <w:pPr>
        <w:tabs>
          <w:tab w:val="num" w:pos="502"/>
        </w:tabs>
        <w:ind w:left="142" w:firstLine="0"/>
      </w:pPr>
      <w:rPr>
        <w:rFonts w:hint="default"/>
        <w:b w:val="0"/>
        <w:i w:val="0"/>
        <w:sz w:val="22"/>
      </w:rPr>
    </w:lvl>
    <w:lvl w:ilvl="1">
      <w:start w:val="1"/>
      <w:numFmt w:val="lowerLetter"/>
      <w:lvlText w:val="(%2)"/>
      <w:lvlJc w:val="left"/>
      <w:pPr>
        <w:tabs>
          <w:tab w:val="num" w:pos="1440"/>
        </w:tabs>
        <w:ind w:left="0" w:firstLine="720"/>
      </w:pPr>
      <w:rPr>
        <w:rFonts w:hint="default"/>
        <w:b w:val="0"/>
        <w:i w:val="0"/>
        <w:lang w:val="en-GB"/>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39D5116"/>
    <w:multiLevelType w:val="hybridMultilevel"/>
    <w:tmpl w:val="EC02B8E0"/>
    <w:lvl w:ilvl="0" w:tplc="64E4FB74">
      <w:start w:val="1"/>
      <w:numFmt w:val="decimal"/>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557CFA"/>
    <w:multiLevelType w:val="hybridMultilevel"/>
    <w:tmpl w:val="C4E08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0A202E"/>
    <w:multiLevelType w:val="hybridMultilevel"/>
    <w:tmpl w:val="63787F06"/>
    <w:lvl w:ilvl="0" w:tplc="6502607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0"/>
  </w:num>
  <w:num w:numId="4">
    <w:abstractNumId w:val="6"/>
  </w:num>
  <w:num w:numId="5">
    <w:abstractNumId w:val="9"/>
  </w:num>
  <w:num w:numId="6">
    <w:abstractNumId w:val="11"/>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10"/>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10"/>
    <w:lvlOverride w:ilvl="0">
      <w:startOverride w:val="16"/>
    </w:lvlOverride>
  </w:num>
  <w:num w:numId="22">
    <w:abstractNumId w:val="10"/>
    <w:lvlOverride w:ilvl="0">
      <w:startOverride w:val="23"/>
    </w:lvlOverride>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5"/>
  </w:num>
  <w:num w:numId="40">
    <w:abstractNumId w:val="10"/>
  </w:num>
  <w:num w:numId="41">
    <w:abstractNumId w:val="10"/>
  </w:num>
  <w:num w:numId="42">
    <w:abstractNumId w:val="13"/>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 w:numId="90">
    <w:abstractNumId w:val="10"/>
  </w:num>
  <w:num w:numId="91">
    <w:abstractNumId w:val="10"/>
  </w:num>
  <w:num w:numId="92">
    <w:abstractNumId w:val="10"/>
  </w:num>
  <w:num w:numId="93">
    <w:abstractNumId w:val="10"/>
  </w:num>
  <w:num w:numId="94">
    <w:abstractNumId w:val="10"/>
  </w:num>
  <w:num w:numId="95">
    <w:abstractNumId w:val="10"/>
  </w:num>
  <w:num w:numId="96">
    <w:abstractNumId w:val="10"/>
  </w:num>
  <w:num w:numId="97">
    <w:abstractNumId w:val="10"/>
  </w:num>
  <w:num w:numId="98">
    <w:abstractNumId w:val="10"/>
  </w:num>
  <w:num w:numId="99">
    <w:abstractNumId w:val="10"/>
  </w:num>
  <w:num w:numId="100">
    <w:abstractNumId w:val="10"/>
  </w:num>
  <w:num w:numId="101">
    <w:abstractNumId w:val="10"/>
  </w:num>
  <w:num w:numId="102">
    <w:abstractNumId w:val="10"/>
  </w:num>
  <w:num w:numId="103">
    <w:abstractNumId w:val="10"/>
  </w:num>
  <w:num w:numId="104">
    <w:abstractNumId w:val="10"/>
  </w:num>
  <w:num w:numId="105">
    <w:abstractNumId w:val="10"/>
  </w:num>
  <w:num w:numId="106">
    <w:abstractNumId w:val="10"/>
  </w:num>
  <w:num w:numId="107">
    <w:abstractNumId w:val="14"/>
  </w:num>
  <w:num w:numId="108">
    <w:abstractNumId w:val="12"/>
  </w:num>
  <w:num w:numId="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
  </w:num>
  <w:num w:numId="111">
    <w:abstractNumId w:val="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0F"/>
    <w:rsid w:val="00000FB4"/>
    <w:rsid w:val="00001971"/>
    <w:rsid w:val="00002448"/>
    <w:rsid w:val="000028F4"/>
    <w:rsid w:val="00002C7C"/>
    <w:rsid w:val="00003A66"/>
    <w:rsid w:val="00004E33"/>
    <w:rsid w:val="000059BE"/>
    <w:rsid w:val="00005F43"/>
    <w:rsid w:val="000066FE"/>
    <w:rsid w:val="00006CDB"/>
    <w:rsid w:val="00007A33"/>
    <w:rsid w:val="000101C8"/>
    <w:rsid w:val="00010CCC"/>
    <w:rsid w:val="00010DE2"/>
    <w:rsid w:val="00010F5D"/>
    <w:rsid w:val="000130F9"/>
    <w:rsid w:val="00013A48"/>
    <w:rsid w:val="000149C7"/>
    <w:rsid w:val="00014D17"/>
    <w:rsid w:val="00015717"/>
    <w:rsid w:val="00016903"/>
    <w:rsid w:val="000169E4"/>
    <w:rsid w:val="00021009"/>
    <w:rsid w:val="00022FB8"/>
    <w:rsid w:val="00024033"/>
    <w:rsid w:val="0002427A"/>
    <w:rsid w:val="000243F6"/>
    <w:rsid w:val="00024C34"/>
    <w:rsid w:val="00024ED2"/>
    <w:rsid w:val="00025319"/>
    <w:rsid w:val="000255BE"/>
    <w:rsid w:val="0002588C"/>
    <w:rsid w:val="00025C31"/>
    <w:rsid w:val="00027CDD"/>
    <w:rsid w:val="00031906"/>
    <w:rsid w:val="00031D0D"/>
    <w:rsid w:val="0003279E"/>
    <w:rsid w:val="000330A5"/>
    <w:rsid w:val="0003383C"/>
    <w:rsid w:val="000355EA"/>
    <w:rsid w:val="0003588F"/>
    <w:rsid w:val="000361EC"/>
    <w:rsid w:val="00042CD7"/>
    <w:rsid w:val="00042DB8"/>
    <w:rsid w:val="0004314D"/>
    <w:rsid w:val="00043C1B"/>
    <w:rsid w:val="00045C5D"/>
    <w:rsid w:val="00046633"/>
    <w:rsid w:val="00046F5B"/>
    <w:rsid w:val="00047F27"/>
    <w:rsid w:val="00051B0F"/>
    <w:rsid w:val="00051D05"/>
    <w:rsid w:val="00053269"/>
    <w:rsid w:val="00053A62"/>
    <w:rsid w:val="00053D65"/>
    <w:rsid w:val="00053DBD"/>
    <w:rsid w:val="00053FEB"/>
    <w:rsid w:val="000540BF"/>
    <w:rsid w:val="000548D1"/>
    <w:rsid w:val="00054A44"/>
    <w:rsid w:val="00054B6C"/>
    <w:rsid w:val="0005554D"/>
    <w:rsid w:val="00055DDF"/>
    <w:rsid w:val="00057629"/>
    <w:rsid w:val="00057A84"/>
    <w:rsid w:val="00057D59"/>
    <w:rsid w:val="00057DF1"/>
    <w:rsid w:val="00060116"/>
    <w:rsid w:val="00060C5C"/>
    <w:rsid w:val="00060D39"/>
    <w:rsid w:val="0006171D"/>
    <w:rsid w:val="0006231C"/>
    <w:rsid w:val="00062DCF"/>
    <w:rsid w:val="000631F4"/>
    <w:rsid w:val="000637FB"/>
    <w:rsid w:val="000638D7"/>
    <w:rsid w:val="00065812"/>
    <w:rsid w:val="00065A83"/>
    <w:rsid w:val="00066EA8"/>
    <w:rsid w:val="000676AC"/>
    <w:rsid w:val="0007116D"/>
    <w:rsid w:val="000711E1"/>
    <w:rsid w:val="000714CD"/>
    <w:rsid w:val="0007252D"/>
    <w:rsid w:val="00072CC1"/>
    <w:rsid w:val="00072F3C"/>
    <w:rsid w:val="00073444"/>
    <w:rsid w:val="00073724"/>
    <w:rsid w:val="00074C15"/>
    <w:rsid w:val="00074FB0"/>
    <w:rsid w:val="0007657E"/>
    <w:rsid w:val="00077D88"/>
    <w:rsid w:val="000835DA"/>
    <w:rsid w:val="00084077"/>
    <w:rsid w:val="00084CD5"/>
    <w:rsid w:val="00085DFE"/>
    <w:rsid w:val="000860E6"/>
    <w:rsid w:val="00086720"/>
    <w:rsid w:val="00086814"/>
    <w:rsid w:val="00087941"/>
    <w:rsid w:val="0008794C"/>
    <w:rsid w:val="0009169A"/>
    <w:rsid w:val="00091AED"/>
    <w:rsid w:val="000927F6"/>
    <w:rsid w:val="00092D56"/>
    <w:rsid w:val="0009303B"/>
    <w:rsid w:val="000936C4"/>
    <w:rsid w:val="00093D10"/>
    <w:rsid w:val="000958A1"/>
    <w:rsid w:val="00095912"/>
    <w:rsid w:val="000969C0"/>
    <w:rsid w:val="00097DCE"/>
    <w:rsid w:val="000A006E"/>
    <w:rsid w:val="000A19D2"/>
    <w:rsid w:val="000A1A32"/>
    <w:rsid w:val="000A1F0F"/>
    <w:rsid w:val="000A354E"/>
    <w:rsid w:val="000A6A39"/>
    <w:rsid w:val="000A6B1C"/>
    <w:rsid w:val="000A7222"/>
    <w:rsid w:val="000A760B"/>
    <w:rsid w:val="000A7D72"/>
    <w:rsid w:val="000B0F8C"/>
    <w:rsid w:val="000B17F7"/>
    <w:rsid w:val="000B2687"/>
    <w:rsid w:val="000B27BF"/>
    <w:rsid w:val="000B2841"/>
    <w:rsid w:val="000B31BE"/>
    <w:rsid w:val="000B382F"/>
    <w:rsid w:val="000B5C6C"/>
    <w:rsid w:val="000B5D9E"/>
    <w:rsid w:val="000B7BB8"/>
    <w:rsid w:val="000C0182"/>
    <w:rsid w:val="000C02D6"/>
    <w:rsid w:val="000C0876"/>
    <w:rsid w:val="000C2E94"/>
    <w:rsid w:val="000C4E4E"/>
    <w:rsid w:val="000C4F4C"/>
    <w:rsid w:val="000C57A3"/>
    <w:rsid w:val="000C61FE"/>
    <w:rsid w:val="000C6CDC"/>
    <w:rsid w:val="000C7E69"/>
    <w:rsid w:val="000D1E2C"/>
    <w:rsid w:val="000D4207"/>
    <w:rsid w:val="000D43F2"/>
    <w:rsid w:val="000D4B4C"/>
    <w:rsid w:val="000D4F25"/>
    <w:rsid w:val="000D69CF"/>
    <w:rsid w:val="000D6E8F"/>
    <w:rsid w:val="000E1E38"/>
    <w:rsid w:val="000E2732"/>
    <w:rsid w:val="000E33B9"/>
    <w:rsid w:val="000E4508"/>
    <w:rsid w:val="000E5489"/>
    <w:rsid w:val="000E6075"/>
    <w:rsid w:val="000E72F1"/>
    <w:rsid w:val="000E74DA"/>
    <w:rsid w:val="000F1602"/>
    <w:rsid w:val="000F32C2"/>
    <w:rsid w:val="000F63F9"/>
    <w:rsid w:val="000F65B7"/>
    <w:rsid w:val="000F7AFB"/>
    <w:rsid w:val="0010138E"/>
    <w:rsid w:val="0010163F"/>
    <w:rsid w:val="001026E2"/>
    <w:rsid w:val="001034B5"/>
    <w:rsid w:val="00103891"/>
    <w:rsid w:val="00104762"/>
    <w:rsid w:val="00105908"/>
    <w:rsid w:val="00106233"/>
    <w:rsid w:val="0010745A"/>
    <w:rsid w:val="001079F8"/>
    <w:rsid w:val="001102BD"/>
    <w:rsid w:val="00110CD5"/>
    <w:rsid w:val="00112627"/>
    <w:rsid w:val="00112BFB"/>
    <w:rsid w:val="00114622"/>
    <w:rsid w:val="0011463A"/>
    <w:rsid w:val="001147F0"/>
    <w:rsid w:val="001148B6"/>
    <w:rsid w:val="001160D0"/>
    <w:rsid w:val="001172B1"/>
    <w:rsid w:val="0011748C"/>
    <w:rsid w:val="00121C07"/>
    <w:rsid w:val="0012226E"/>
    <w:rsid w:val="00122690"/>
    <w:rsid w:val="00122DCF"/>
    <w:rsid w:val="0012359F"/>
    <w:rsid w:val="001245B1"/>
    <w:rsid w:val="00124C10"/>
    <w:rsid w:val="00125869"/>
    <w:rsid w:val="00125E64"/>
    <w:rsid w:val="00125FD3"/>
    <w:rsid w:val="001265CA"/>
    <w:rsid w:val="0012731D"/>
    <w:rsid w:val="001302C2"/>
    <w:rsid w:val="00130CD8"/>
    <w:rsid w:val="00131EE2"/>
    <w:rsid w:val="001333BC"/>
    <w:rsid w:val="00134643"/>
    <w:rsid w:val="00134725"/>
    <w:rsid w:val="00135994"/>
    <w:rsid w:val="00136818"/>
    <w:rsid w:val="00136B14"/>
    <w:rsid w:val="00136D12"/>
    <w:rsid w:val="00136D1E"/>
    <w:rsid w:val="00137224"/>
    <w:rsid w:val="001372B5"/>
    <w:rsid w:val="00137D59"/>
    <w:rsid w:val="001401B6"/>
    <w:rsid w:val="0014072D"/>
    <w:rsid w:val="001411DF"/>
    <w:rsid w:val="0014176C"/>
    <w:rsid w:val="0014176D"/>
    <w:rsid w:val="00141E38"/>
    <w:rsid w:val="00142320"/>
    <w:rsid w:val="00142DDA"/>
    <w:rsid w:val="001436F7"/>
    <w:rsid w:val="0014376F"/>
    <w:rsid w:val="00143F1F"/>
    <w:rsid w:val="00146BF9"/>
    <w:rsid w:val="00146D7F"/>
    <w:rsid w:val="00147AC1"/>
    <w:rsid w:val="00151CC6"/>
    <w:rsid w:val="00155D9C"/>
    <w:rsid w:val="0016009E"/>
    <w:rsid w:val="00161127"/>
    <w:rsid w:val="00161158"/>
    <w:rsid w:val="001622F5"/>
    <w:rsid w:val="00162788"/>
    <w:rsid w:val="00162924"/>
    <w:rsid w:val="001630ED"/>
    <w:rsid w:val="00163F0E"/>
    <w:rsid w:val="0016458C"/>
    <w:rsid w:val="00165A18"/>
    <w:rsid w:val="00165C8D"/>
    <w:rsid w:val="00166034"/>
    <w:rsid w:val="001662F3"/>
    <w:rsid w:val="00166CF0"/>
    <w:rsid w:val="00166F0F"/>
    <w:rsid w:val="001678C5"/>
    <w:rsid w:val="00167CAE"/>
    <w:rsid w:val="00167CE5"/>
    <w:rsid w:val="00170CF7"/>
    <w:rsid w:val="00172230"/>
    <w:rsid w:val="00172C56"/>
    <w:rsid w:val="00173AA6"/>
    <w:rsid w:val="00173D16"/>
    <w:rsid w:val="00176CA9"/>
    <w:rsid w:val="00176E3E"/>
    <w:rsid w:val="0017740A"/>
    <w:rsid w:val="0017775B"/>
    <w:rsid w:val="00177F5B"/>
    <w:rsid w:val="001808E1"/>
    <w:rsid w:val="00180A18"/>
    <w:rsid w:val="00181E94"/>
    <w:rsid w:val="00182781"/>
    <w:rsid w:val="0018493F"/>
    <w:rsid w:val="00184A35"/>
    <w:rsid w:val="00184B66"/>
    <w:rsid w:val="001856DE"/>
    <w:rsid w:val="00185D8D"/>
    <w:rsid w:val="00186580"/>
    <w:rsid w:val="0018677A"/>
    <w:rsid w:val="00186E73"/>
    <w:rsid w:val="001871C7"/>
    <w:rsid w:val="00187942"/>
    <w:rsid w:val="00187A60"/>
    <w:rsid w:val="00187E86"/>
    <w:rsid w:val="00190120"/>
    <w:rsid w:val="00190733"/>
    <w:rsid w:val="00190F13"/>
    <w:rsid w:val="001913E2"/>
    <w:rsid w:val="00193991"/>
    <w:rsid w:val="00193DDC"/>
    <w:rsid w:val="00194E32"/>
    <w:rsid w:val="001972B7"/>
    <w:rsid w:val="00197A08"/>
    <w:rsid w:val="00197DD9"/>
    <w:rsid w:val="00197F4E"/>
    <w:rsid w:val="001A1578"/>
    <w:rsid w:val="001A1684"/>
    <w:rsid w:val="001A23CF"/>
    <w:rsid w:val="001A25A6"/>
    <w:rsid w:val="001A26D5"/>
    <w:rsid w:val="001A29E5"/>
    <w:rsid w:val="001A3761"/>
    <w:rsid w:val="001A3C97"/>
    <w:rsid w:val="001A42A1"/>
    <w:rsid w:val="001A44BB"/>
    <w:rsid w:val="001A6A86"/>
    <w:rsid w:val="001B1B95"/>
    <w:rsid w:val="001B23C3"/>
    <w:rsid w:val="001B242B"/>
    <w:rsid w:val="001B286D"/>
    <w:rsid w:val="001B47CC"/>
    <w:rsid w:val="001B567E"/>
    <w:rsid w:val="001B69FC"/>
    <w:rsid w:val="001B6C90"/>
    <w:rsid w:val="001B72E2"/>
    <w:rsid w:val="001B7C01"/>
    <w:rsid w:val="001C0E2F"/>
    <w:rsid w:val="001C1062"/>
    <w:rsid w:val="001C1869"/>
    <w:rsid w:val="001D0EC6"/>
    <w:rsid w:val="001D143C"/>
    <w:rsid w:val="001D1822"/>
    <w:rsid w:val="001D27C1"/>
    <w:rsid w:val="001D2E9D"/>
    <w:rsid w:val="001D3012"/>
    <w:rsid w:val="001D355D"/>
    <w:rsid w:val="001D3E8E"/>
    <w:rsid w:val="001D67B1"/>
    <w:rsid w:val="001D6F78"/>
    <w:rsid w:val="001D78AE"/>
    <w:rsid w:val="001E0F9F"/>
    <w:rsid w:val="001E1878"/>
    <w:rsid w:val="001E2149"/>
    <w:rsid w:val="001E40BA"/>
    <w:rsid w:val="001E47FA"/>
    <w:rsid w:val="001E5BDD"/>
    <w:rsid w:val="001E5D87"/>
    <w:rsid w:val="001E5F6C"/>
    <w:rsid w:val="001E6E09"/>
    <w:rsid w:val="001E70DB"/>
    <w:rsid w:val="001E746B"/>
    <w:rsid w:val="001F2BF3"/>
    <w:rsid w:val="001F2E45"/>
    <w:rsid w:val="001F355D"/>
    <w:rsid w:val="001F380F"/>
    <w:rsid w:val="001F4149"/>
    <w:rsid w:val="001F4B7E"/>
    <w:rsid w:val="001F4FD3"/>
    <w:rsid w:val="001F5938"/>
    <w:rsid w:val="001F68AC"/>
    <w:rsid w:val="001F6B36"/>
    <w:rsid w:val="001F72E1"/>
    <w:rsid w:val="00200095"/>
    <w:rsid w:val="00200609"/>
    <w:rsid w:val="002008CD"/>
    <w:rsid w:val="00200C45"/>
    <w:rsid w:val="00201EDB"/>
    <w:rsid w:val="002024E6"/>
    <w:rsid w:val="00202655"/>
    <w:rsid w:val="0020382A"/>
    <w:rsid w:val="00204630"/>
    <w:rsid w:val="00204DC3"/>
    <w:rsid w:val="0020559C"/>
    <w:rsid w:val="00206047"/>
    <w:rsid w:val="002066F3"/>
    <w:rsid w:val="00207845"/>
    <w:rsid w:val="0021020B"/>
    <w:rsid w:val="0021036D"/>
    <w:rsid w:val="00210F1C"/>
    <w:rsid w:val="002154CB"/>
    <w:rsid w:val="00215FB4"/>
    <w:rsid w:val="002168F0"/>
    <w:rsid w:val="002171E4"/>
    <w:rsid w:val="00217910"/>
    <w:rsid w:val="002179AE"/>
    <w:rsid w:val="00221678"/>
    <w:rsid w:val="002223A2"/>
    <w:rsid w:val="00222712"/>
    <w:rsid w:val="002247AC"/>
    <w:rsid w:val="002247EA"/>
    <w:rsid w:val="00224D32"/>
    <w:rsid w:val="00224E21"/>
    <w:rsid w:val="002250AF"/>
    <w:rsid w:val="0022577B"/>
    <w:rsid w:val="00225E23"/>
    <w:rsid w:val="00227407"/>
    <w:rsid w:val="00227606"/>
    <w:rsid w:val="002277F2"/>
    <w:rsid w:val="002311D0"/>
    <w:rsid w:val="00231763"/>
    <w:rsid w:val="00231A12"/>
    <w:rsid w:val="00231ACF"/>
    <w:rsid w:val="00232229"/>
    <w:rsid w:val="00233240"/>
    <w:rsid w:val="00233A2A"/>
    <w:rsid w:val="00233BF3"/>
    <w:rsid w:val="00233DCB"/>
    <w:rsid w:val="0023474F"/>
    <w:rsid w:val="00234C23"/>
    <w:rsid w:val="002354E5"/>
    <w:rsid w:val="002357D0"/>
    <w:rsid w:val="00236AE3"/>
    <w:rsid w:val="00236F16"/>
    <w:rsid w:val="00237853"/>
    <w:rsid w:val="00237E60"/>
    <w:rsid w:val="00240582"/>
    <w:rsid w:val="002416E6"/>
    <w:rsid w:val="002418F5"/>
    <w:rsid w:val="0024238A"/>
    <w:rsid w:val="00244751"/>
    <w:rsid w:val="00244C24"/>
    <w:rsid w:val="002456B7"/>
    <w:rsid w:val="00245E02"/>
    <w:rsid w:val="00246E22"/>
    <w:rsid w:val="00246EAF"/>
    <w:rsid w:val="002473A0"/>
    <w:rsid w:val="002477FD"/>
    <w:rsid w:val="002478F2"/>
    <w:rsid w:val="002501A1"/>
    <w:rsid w:val="00251429"/>
    <w:rsid w:val="00251C32"/>
    <w:rsid w:val="00251E69"/>
    <w:rsid w:val="002528D8"/>
    <w:rsid w:val="002530D8"/>
    <w:rsid w:val="00253A9F"/>
    <w:rsid w:val="00253E24"/>
    <w:rsid w:val="00253FBE"/>
    <w:rsid w:val="00254367"/>
    <w:rsid w:val="00255006"/>
    <w:rsid w:val="00256384"/>
    <w:rsid w:val="002568B2"/>
    <w:rsid w:val="00256B22"/>
    <w:rsid w:val="00256BBF"/>
    <w:rsid w:val="002575ED"/>
    <w:rsid w:val="00260107"/>
    <w:rsid w:val="00261BFB"/>
    <w:rsid w:val="00261CA9"/>
    <w:rsid w:val="00262A61"/>
    <w:rsid w:val="00263171"/>
    <w:rsid w:val="002641A2"/>
    <w:rsid w:val="002650AF"/>
    <w:rsid w:val="00265593"/>
    <w:rsid w:val="00266631"/>
    <w:rsid w:val="00266B15"/>
    <w:rsid w:val="00266F34"/>
    <w:rsid w:val="002712C2"/>
    <w:rsid w:val="002716E8"/>
    <w:rsid w:val="00272ECE"/>
    <w:rsid w:val="0027350E"/>
    <w:rsid w:val="00273C9C"/>
    <w:rsid w:val="00275836"/>
    <w:rsid w:val="00275AFC"/>
    <w:rsid w:val="00275BA1"/>
    <w:rsid w:val="00276E45"/>
    <w:rsid w:val="002800CD"/>
    <w:rsid w:val="00280FC6"/>
    <w:rsid w:val="0028189D"/>
    <w:rsid w:val="002818CE"/>
    <w:rsid w:val="00282EE5"/>
    <w:rsid w:val="0028309B"/>
    <w:rsid w:val="00283707"/>
    <w:rsid w:val="00283CBC"/>
    <w:rsid w:val="0028412B"/>
    <w:rsid w:val="00284F79"/>
    <w:rsid w:val="002857A7"/>
    <w:rsid w:val="0028581F"/>
    <w:rsid w:val="002868D5"/>
    <w:rsid w:val="002874D6"/>
    <w:rsid w:val="0028765B"/>
    <w:rsid w:val="00290A5C"/>
    <w:rsid w:val="00292B39"/>
    <w:rsid w:val="00295AD7"/>
    <w:rsid w:val="002972D8"/>
    <w:rsid w:val="002A0782"/>
    <w:rsid w:val="002A07D6"/>
    <w:rsid w:val="002A18D2"/>
    <w:rsid w:val="002A3813"/>
    <w:rsid w:val="002A44B3"/>
    <w:rsid w:val="002A45F5"/>
    <w:rsid w:val="002A5777"/>
    <w:rsid w:val="002A602E"/>
    <w:rsid w:val="002A63BA"/>
    <w:rsid w:val="002A71E7"/>
    <w:rsid w:val="002B0050"/>
    <w:rsid w:val="002B07F0"/>
    <w:rsid w:val="002B11B7"/>
    <w:rsid w:val="002B1611"/>
    <w:rsid w:val="002B1697"/>
    <w:rsid w:val="002B1E17"/>
    <w:rsid w:val="002B36B1"/>
    <w:rsid w:val="002B3713"/>
    <w:rsid w:val="002B3AAC"/>
    <w:rsid w:val="002B4CD7"/>
    <w:rsid w:val="002B5426"/>
    <w:rsid w:val="002B7B15"/>
    <w:rsid w:val="002B7DB2"/>
    <w:rsid w:val="002C05FC"/>
    <w:rsid w:val="002C06D1"/>
    <w:rsid w:val="002C082F"/>
    <w:rsid w:val="002C0965"/>
    <w:rsid w:val="002C246E"/>
    <w:rsid w:val="002C2FCA"/>
    <w:rsid w:val="002C33C8"/>
    <w:rsid w:val="002C36C6"/>
    <w:rsid w:val="002C3B17"/>
    <w:rsid w:val="002C4070"/>
    <w:rsid w:val="002C48C2"/>
    <w:rsid w:val="002C5B27"/>
    <w:rsid w:val="002C65D7"/>
    <w:rsid w:val="002C6B8D"/>
    <w:rsid w:val="002C7812"/>
    <w:rsid w:val="002C7973"/>
    <w:rsid w:val="002D1B19"/>
    <w:rsid w:val="002D2B46"/>
    <w:rsid w:val="002D2C2E"/>
    <w:rsid w:val="002D2D6D"/>
    <w:rsid w:val="002D3B78"/>
    <w:rsid w:val="002D4BBB"/>
    <w:rsid w:val="002D560A"/>
    <w:rsid w:val="002D765C"/>
    <w:rsid w:val="002E17A2"/>
    <w:rsid w:val="002E1FDA"/>
    <w:rsid w:val="002E2D9B"/>
    <w:rsid w:val="002E391D"/>
    <w:rsid w:val="002E5E8D"/>
    <w:rsid w:val="002E600E"/>
    <w:rsid w:val="002E70DD"/>
    <w:rsid w:val="002E7EC6"/>
    <w:rsid w:val="002F063A"/>
    <w:rsid w:val="002F085C"/>
    <w:rsid w:val="002F1332"/>
    <w:rsid w:val="002F2AC6"/>
    <w:rsid w:val="002F3C4E"/>
    <w:rsid w:val="002F4582"/>
    <w:rsid w:val="002F57CC"/>
    <w:rsid w:val="002F5ECA"/>
    <w:rsid w:val="002F6B85"/>
    <w:rsid w:val="002F7428"/>
    <w:rsid w:val="002F7943"/>
    <w:rsid w:val="002F7C49"/>
    <w:rsid w:val="00300B44"/>
    <w:rsid w:val="0030181F"/>
    <w:rsid w:val="0030248D"/>
    <w:rsid w:val="003024F6"/>
    <w:rsid w:val="003030CC"/>
    <w:rsid w:val="00303488"/>
    <w:rsid w:val="00303953"/>
    <w:rsid w:val="003049CF"/>
    <w:rsid w:val="003054D3"/>
    <w:rsid w:val="003057DC"/>
    <w:rsid w:val="0030582B"/>
    <w:rsid w:val="00305F9D"/>
    <w:rsid w:val="00306912"/>
    <w:rsid w:val="00306EC9"/>
    <w:rsid w:val="00307335"/>
    <w:rsid w:val="0030742F"/>
    <w:rsid w:val="003078D3"/>
    <w:rsid w:val="00307AE6"/>
    <w:rsid w:val="0031160C"/>
    <w:rsid w:val="00311A6C"/>
    <w:rsid w:val="00312CDD"/>
    <w:rsid w:val="00312D78"/>
    <w:rsid w:val="00312F50"/>
    <w:rsid w:val="00314999"/>
    <w:rsid w:val="00315177"/>
    <w:rsid w:val="003163FB"/>
    <w:rsid w:val="003164C1"/>
    <w:rsid w:val="0031712D"/>
    <w:rsid w:val="00317BEA"/>
    <w:rsid w:val="00317E98"/>
    <w:rsid w:val="0032072D"/>
    <w:rsid w:val="0032114D"/>
    <w:rsid w:val="003212E4"/>
    <w:rsid w:val="00321C51"/>
    <w:rsid w:val="003235C0"/>
    <w:rsid w:val="00323C95"/>
    <w:rsid w:val="00323D31"/>
    <w:rsid w:val="003241B8"/>
    <w:rsid w:val="0032430C"/>
    <w:rsid w:val="0032511F"/>
    <w:rsid w:val="00326A56"/>
    <w:rsid w:val="00326BED"/>
    <w:rsid w:val="00327B21"/>
    <w:rsid w:val="00330326"/>
    <w:rsid w:val="0033077E"/>
    <w:rsid w:val="003320EF"/>
    <w:rsid w:val="0033248C"/>
    <w:rsid w:val="00332D41"/>
    <w:rsid w:val="00332F41"/>
    <w:rsid w:val="00333FFD"/>
    <w:rsid w:val="003340AB"/>
    <w:rsid w:val="0034016B"/>
    <w:rsid w:val="00341FBC"/>
    <w:rsid w:val="00345F87"/>
    <w:rsid w:val="0034606B"/>
    <w:rsid w:val="003474AE"/>
    <w:rsid w:val="0034780B"/>
    <w:rsid w:val="00350D51"/>
    <w:rsid w:val="00350EDE"/>
    <w:rsid w:val="003518DF"/>
    <w:rsid w:val="00352058"/>
    <w:rsid w:val="00352380"/>
    <w:rsid w:val="003525F2"/>
    <w:rsid w:val="0035273A"/>
    <w:rsid w:val="00352B81"/>
    <w:rsid w:val="00352ED5"/>
    <w:rsid w:val="00355C89"/>
    <w:rsid w:val="0035651A"/>
    <w:rsid w:val="003571B4"/>
    <w:rsid w:val="00357FAC"/>
    <w:rsid w:val="00360F6D"/>
    <w:rsid w:val="00360FB1"/>
    <w:rsid w:val="00361CBD"/>
    <w:rsid w:val="00362523"/>
    <w:rsid w:val="0036253A"/>
    <w:rsid w:val="00362557"/>
    <w:rsid w:val="00362C2F"/>
    <w:rsid w:val="00362FA9"/>
    <w:rsid w:val="00363346"/>
    <w:rsid w:val="00364323"/>
    <w:rsid w:val="003653E9"/>
    <w:rsid w:val="00365AE8"/>
    <w:rsid w:val="0036754C"/>
    <w:rsid w:val="003677A1"/>
    <w:rsid w:val="00370D4A"/>
    <w:rsid w:val="00370D54"/>
    <w:rsid w:val="00371A95"/>
    <w:rsid w:val="00372086"/>
    <w:rsid w:val="003721AC"/>
    <w:rsid w:val="003722E1"/>
    <w:rsid w:val="00372F18"/>
    <w:rsid w:val="00375216"/>
    <w:rsid w:val="0037661B"/>
    <w:rsid w:val="00376FA4"/>
    <w:rsid w:val="0037704A"/>
    <w:rsid w:val="00377942"/>
    <w:rsid w:val="00377BE4"/>
    <w:rsid w:val="003826C6"/>
    <w:rsid w:val="00382E8A"/>
    <w:rsid w:val="003830C4"/>
    <w:rsid w:val="003831DF"/>
    <w:rsid w:val="00383E71"/>
    <w:rsid w:val="003846DA"/>
    <w:rsid w:val="003846DF"/>
    <w:rsid w:val="00386E8D"/>
    <w:rsid w:val="00390D22"/>
    <w:rsid w:val="00391E5D"/>
    <w:rsid w:val="0039205B"/>
    <w:rsid w:val="00395EA6"/>
    <w:rsid w:val="0039643D"/>
    <w:rsid w:val="00396764"/>
    <w:rsid w:val="00396F33"/>
    <w:rsid w:val="00397675"/>
    <w:rsid w:val="00397D2A"/>
    <w:rsid w:val="003A0FE6"/>
    <w:rsid w:val="003A12A7"/>
    <w:rsid w:val="003A1534"/>
    <w:rsid w:val="003A2570"/>
    <w:rsid w:val="003A266C"/>
    <w:rsid w:val="003A341F"/>
    <w:rsid w:val="003A3B4C"/>
    <w:rsid w:val="003A505B"/>
    <w:rsid w:val="003B1BE2"/>
    <w:rsid w:val="003B2163"/>
    <w:rsid w:val="003B27C8"/>
    <w:rsid w:val="003B2C78"/>
    <w:rsid w:val="003B3AA5"/>
    <w:rsid w:val="003B3DF4"/>
    <w:rsid w:val="003B3FF7"/>
    <w:rsid w:val="003B49EA"/>
    <w:rsid w:val="003B4AFB"/>
    <w:rsid w:val="003B5C61"/>
    <w:rsid w:val="003B73DF"/>
    <w:rsid w:val="003B7802"/>
    <w:rsid w:val="003C0118"/>
    <w:rsid w:val="003C0B66"/>
    <w:rsid w:val="003C0D69"/>
    <w:rsid w:val="003C1C2B"/>
    <w:rsid w:val="003C2B6C"/>
    <w:rsid w:val="003C386E"/>
    <w:rsid w:val="003C453C"/>
    <w:rsid w:val="003C47E8"/>
    <w:rsid w:val="003C4FFA"/>
    <w:rsid w:val="003C5C88"/>
    <w:rsid w:val="003C7089"/>
    <w:rsid w:val="003C780E"/>
    <w:rsid w:val="003C7C8C"/>
    <w:rsid w:val="003D0D99"/>
    <w:rsid w:val="003D1C0B"/>
    <w:rsid w:val="003D2343"/>
    <w:rsid w:val="003D23B9"/>
    <w:rsid w:val="003D3407"/>
    <w:rsid w:val="003D4DCA"/>
    <w:rsid w:val="003D54AF"/>
    <w:rsid w:val="003D54CE"/>
    <w:rsid w:val="003D5CE0"/>
    <w:rsid w:val="003D6619"/>
    <w:rsid w:val="003D6ECE"/>
    <w:rsid w:val="003D7D82"/>
    <w:rsid w:val="003E095B"/>
    <w:rsid w:val="003E22D9"/>
    <w:rsid w:val="003E2ED8"/>
    <w:rsid w:val="003E35B3"/>
    <w:rsid w:val="003E3951"/>
    <w:rsid w:val="003E45D7"/>
    <w:rsid w:val="003E4930"/>
    <w:rsid w:val="003E5282"/>
    <w:rsid w:val="003E5665"/>
    <w:rsid w:val="003E5730"/>
    <w:rsid w:val="003E5E74"/>
    <w:rsid w:val="003E62C1"/>
    <w:rsid w:val="003E6AF6"/>
    <w:rsid w:val="003E6E25"/>
    <w:rsid w:val="003E7679"/>
    <w:rsid w:val="003E79F0"/>
    <w:rsid w:val="003E7B55"/>
    <w:rsid w:val="003E7DC4"/>
    <w:rsid w:val="003F0969"/>
    <w:rsid w:val="003F12B6"/>
    <w:rsid w:val="003F26F3"/>
    <w:rsid w:val="003F3A20"/>
    <w:rsid w:val="003F4A07"/>
    <w:rsid w:val="003F4B15"/>
    <w:rsid w:val="003F5C8A"/>
    <w:rsid w:val="003F60D2"/>
    <w:rsid w:val="003F6289"/>
    <w:rsid w:val="003F62D8"/>
    <w:rsid w:val="003F65F3"/>
    <w:rsid w:val="00400139"/>
    <w:rsid w:val="004018F0"/>
    <w:rsid w:val="00401C47"/>
    <w:rsid w:val="00403DCB"/>
    <w:rsid w:val="00406B47"/>
    <w:rsid w:val="00406F4E"/>
    <w:rsid w:val="00407953"/>
    <w:rsid w:val="00407AF3"/>
    <w:rsid w:val="00407BF5"/>
    <w:rsid w:val="00407D60"/>
    <w:rsid w:val="004100C5"/>
    <w:rsid w:val="004112E0"/>
    <w:rsid w:val="004114E9"/>
    <w:rsid w:val="004118D4"/>
    <w:rsid w:val="00412A8F"/>
    <w:rsid w:val="00412C62"/>
    <w:rsid w:val="00412FAE"/>
    <w:rsid w:val="00413667"/>
    <w:rsid w:val="00413A92"/>
    <w:rsid w:val="00414559"/>
    <w:rsid w:val="00414785"/>
    <w:rsid w:val="004148CB"/>
    <w:rsid w:val="00415B07"/>
    <w:rsid w:val="00417016"/>
    <w:rsid w:val="00417F96"/>
    <w:rsid w:val="0042052D"/>
    <w:rsid w:val="00420859"/>
    <w:rsid w:val="00421398"/>
    <w:rsid w:val="0042156C"/>
    <w:rsid w:val="004217EB"/>
    <w:rsid w:val="00421B87"/>
    <w:rsid w:val="004226F4"/>
    <w:rsid w:val="00423D73"/>
    <w:rsid w:val="00426C2B"/>
    <w:rsid w:val="004301C6"/>
    <w:rsid w:val="00430FEF"/>
    <w:rsid w:val="00431816"/>
    <w:rsid w:val="00431FB8"/>
    <w:rsid w:val="0043246C"/>
    <w:rsid w:val="00432CC1"/>
    <w:rsid w:val="00432DE2"/>
    <w:rsid w:val="0043318E"/>
    <w:rsid w:val="004332E1"/>
    <w:rsid w:val="0043455D"/>
    <w:rsid w:val="0043652E"/>
    <w:rsid w:val="004366C9"/>
    <w:rsid w:val="00436730"/>
    <w:rsid w:val="0043680B"/>
    <w:rsid w:val="00436815"/>
    <w:rsid w:val="00436C31"/>
    <w:rsid w:val="00436C72"/>
    <w:rsid w:val="00437860"/>
    <w:rsid w:val="00437EC2"/>
    <w:rsid w:val="004402E5"/>
    <w:rsid w:val="004403A7"/>
    <w:rsid w:val="00440586"/>
    <w:rsid w:val="00440D7D"/>
    <w:rsid w:val="00440E78"/>
    <w:rsid w:val="0044241D"/>
    <w:rsid w:val="00443469"/>
    <w:rsid w:val="004441DE"/>
    <w:rsid w:val="004444D4"/>
    <w:rsid w:val="00444F8C"/>
    <w:rsid w:val="00445BB8"/>
    <w:rsid w:val="0044658C"/>
    <w:rsid w:val="00446AA9"/>
    <w:rsid w:val="00447C59"/>
    <w:rsid w:val="00451F0D"/>
    <w:rsid w:val="004528BA"/>
    <w:rsid w:val="00453445"/>
    <w:rsid w:val="004538C0"/>
    <w:rsid w:val="00454274"/>
    <w:rsid w:val="004548D8"/>
    <w:rsid w:val="004556A4"/>
    <w:rsid w:val="0045642D"/>
    <w:rsid w:val="00460385"/>
    <w:rsid w:val="00461537"/>
    <w:rsid w:val="004616B6"/>
    <w:rsid w:val="004623A4"/>
    <w:rsid w:val="004626DC"/>
    <w:rsid w:val="004632CF"/>
    <w:rsid w:val="0046437E"/>
    <w:rsid w:val="00464D46"/>
    <w:rsid w:val="0046525A"/>
    <w:rsid w:val="00465E6E"/>
    <w:rsid w:val="00465E91"/>
    <w:rsid w:val="0046609D"/>
    <w:rsid w:val="00467858"/>
    <w:rsid w:val="00467C04"/>
    <w:rsid w:val="004701F9"/>
    <w:rsid w:val="00471975"/>
    <w:rsid w:val="004735F1"/>
    <w:rsid w:val="00474D9C"/>
    <w:rsid w:val="00476016"/>
    <w:rsid w:val="0047604E"/>
    <w:rsid w:val="00476FB2"/>
    <w:rsid w:val="00481A7A"/>
    <w:rsid w:val="00482EA6"/>
    <w:rsid w:val="00483DF2"/>
    <w:rsid w:val="00483FEE"/>
    <w:rsid w:val="0048651B"/>
    <w:rsid w:val="00487F40"/>
    <w:rsid w:val="00490281"/>
    <w:rsid w:val="0049031F"/>
    <w:rsid w:val="004904BC"/>
    <w:rsid w:val="00490679"/>
    <w:rsid w:val="00490C4B"/>
    <w:rsid w:val="004917A6"/>
    <w:rsid w:val="00493133"/>
    <w:rsid w:val="0049349F"/>
    <w:rsid w:val="00495DE6"/>
    <w:rsid w:val="004967FA"/>
    <w:rsid w:val="00496C26"/>
    <w:rsid w:val="00496E04"/>
    <w:rsid w:val="00497433"/>
    <w:rsid w:val="0049798A"/>
    <w:rsid w:val="00497EA2"/>
    <w:rsid w:val="004A0130"/>
    <w:rsid w:val="004A0361"/>
    <w:rsid w:val="004A2E46"/>
    <w:rsid w:val="004A2F41"/>
    <w:rsid w:val="004A32D6"/>
    <w:rsid w:val="004A39C8"/>
    <w:rsid w:val="004A49A0"/>
    <w:rsid w:val="004A56C7"/>
    <w:rsid w:val="004A5D02"/>
    <w:rsid w:val="004A6014"/>
    <w:rsid w:val="004B0029"/>
    <w:rsid w:val="004B06AC"/>
    <w:rsid w:val="004B0C85"/>
    <w:rsid w:val="004B260E"/>
    <w:rsid w:val="004B271A"/>
    <w:rsid w:val="004B28B5"/>
    <w:rsid w:val="004B3035"/>
    <w:rsid w:val="004B3528"/>
    <w:rsid w:val="004B446A"/>
    <w:rsid w:val="004B46AF"/>
    <w:rsid w:val="004B49CF"/>
    <w:rsid w:val="004B4E97"/>
    <w:rsid w:val="004B523B"/>
    <w:rsid w:val="004B5E74"/>
    <w:rsid w:val="004B6036"/>
    <w:rsid w:val="004B61B8"/>
    <w:rsid w:val="004B6734"/>
    <w:rsid w:val="004B697C"/>
    <w:rsid w:val="004B69BE"/>
    <w:rsid w:val="004B750F"/>
    <w:rsid w:val="004C0441"/>
    <w:rsid w:val="004C0F24"/>
    <w:rsid w:val="004C1AD1"/>
    <w:rsid w:val="004C1BED"/>
    <w:rsid w:val="004C29D8"/>
    <w:rsid w:val="004C4753"/>
    <w:rsid w:val="004C7CFE"/>
    <w:rsid w:val="004D046D"/>
    <w:rsid w:val="004D1C53"/>
    <w:rsid w:val="004D1F3B"/>
    <w:rsid w:val="004D271D"/>
    <w:rsid w:val="004D2802"/>
    <w:rsid w:val="004D2B97"/>
    <w:rsid w:val="004D5FCC"/>
    <w:rsid w:val="004D7064"/>
    <w:rsid w:val="004D7445"/>
    <w:rsid w:val="004D7590"/>
    <w:rsid w:val="004D7A17"/>
    <w:rsid w:val="004D7B5B"/>
    <w:rsid w:val="004D7E3E"/>
    <w:rsid w:val="004D7E67"/>
    <w:rsid w:val="004E0CEB"/>
    <w:rsid w:val="004E15E7"/>
    <w:rsid w:val="004E1BF8"/>
    <w:rsid w:val="004E1C30"/>
    <w:rsid w:val="004E2033"/>
    <w:rsid w:val="004E32B2"/>
    <w:rsid w:val="004E3DED"/>
    <w:rsid w:val="004E3FDB"/>
    <w:rsid w:val="004E4555"/>
    <w:rsid w:val="004E59D0"/>
    <w:rsid w:val="004E6143"/>
    <w:rsid w:val="004E615C"/>
    <w:rsid w:val="004E6C6A"/>
    <w:rsid w:val="004E7125"/>
    <w:rsid w:val="004E7AF9"/>
    <w:rsid w:val="004F0BF8"/>
    <w:rsid w:val="004F0F04"/>
    <w:rsid w:val="004F22C0"/>
    <w:rsid w:val="004F27EA"/>
    <w:rsid w:val="004F3047"/>
    <w:rsid w:val="004F4973"/>
    <w:rsid w:val="004F4E17"/>
    <w:rsid w:val="004F7F18"/>
    <w:rsid w:val="00500075"/>
    <w:rsid w:val="00500857"/>
    <w:rsid w:val="00500D30"/>
    <w:rsid w:val="00501029"/>
    <w:rsid w:val="00501288"/>
    <w:rsid w:val="00501370"/>
    <w:rsid w:val="00502D33"/>
    <w:rsid w:val="00503605"/>
    <w:rsid w:val="0050369A"/>
    <w:rsid w:val="005036FD"/>
    <w:rsid w:val="00503E57"/>
    <w:rsid w:val="00505414"/>
    <w:rsid w:val="005059D1"/>
    <w:rsid w:val="005060EE"/>
    <w:rsid w:val="005061FB"/>
    <w:rsid w:val="005062B4"/>
    <w:rsid w:val="0050639F"/>
    <w:rsid w:val="005067DB"/>
    <w:rsid w:val="00506847"/>
    <w:rsid w:val="00507725"/>
    <w:rsid w:val="0050794D"/>
    <w:rsid w:val="005103A0"/>
    <w:rsid w:val="00511161"/>
    <w:rsid w:val="005111AD"/>
    <w:rsid w:val="00512B0B"/>
    <w:rsid w:val="00512BB7"/>
    <w:rsid w:val="005137D4"/>
    <w:rsid w:val="00513D6A"/>
    <w:rsid w:val="00513E2A"/>
    <w:rsid w:val="0051431A"/>
    <w:rsid w:val="00514A6D"/>
    <w:rsid w:val="005154FA"/>
    <w:rsid w:val="00515764"/>
    <w:rsid w:val="00515987"/>
    <w:rsid w:val="005168EA"/>
    <w:rsid w:val="00520A8A"/>
    <w:rsid w:val="00520BB4"/>
    <w:rsid w:val="005218EB"/>
    <w:rsid w:val="00521AB6"/>
    <w:rsid w:val="005224A0"/>
    <w:rsid w:val="00522EA6"/>
    <w:rsid w:val="005231FE"/>
    <w:rsid w:val="0052345F"/>
    <w:rsid w:val="005234B6"/>
    <w:rsid w:val="0052355D"/>
    <w:rsid w:val="00523F4D"/>
    <w:rsid w:val="005242AD"/>
    <w:rsid w:val="00524927"/>
    <w:rsid w:val="00524BA7"/>
    <w:rsid w:val="00525069"/>
    <w:rsid w:val="00526421"/>
    <w:rsid w:val="00526963"/>
    <w:rsid w:val="005307CE"/>
    <w:rsid w:val="005317E7"/>
    <w:rsid w:val="00532CF4"/>
    <w:rsid w:val="00533023"/>
    <w:rsid w:val="0053681F"/>
    <w:rsid w:val="00540420"/>
    <w:rsid w:val="005405B9"/>
    <w:rsid w:val="00541B95"/>
    <w:rsid w:val="00543644"/>
    <w:rsid w:val="00543903"/>
    <w:rsid w:val="005444A9"/>
    <w:rsid w:val="00545568"/>
    <w:rsid w:val="00545E28"/>
    <w:rsid w:val="005469C8"/>
    <w:rsid w:val="00546DF1"/>
    <w:rsid w:val="00547957"/>
    <w:rsid w:val="005513E8"/>
    <w:rsid w:val="0055177A"/>
    <w:rsid w:val="00552379"/>
    <w:rsid w:val="00552C0D"/>
    <w:rsid w:val="00552F9A"/>
    <w:rsid w:val="005545E9"/>
    <w:rsid w:val="005557A5"/>
    <w:rsid w:val="005558E8"/>
    <w:rsid w:val="005567B3"/>
    <w:rsid w:val="00556BFC"/>
    <w:rsid w:val="00556C37"/>
    <w:rsid w:val="005570CC"/>
    <w:rsid w:val="0056008E"/>
    <w:rsid w:val="00561BC5"/>
    <w:rsid w:val="00564C45"/>
    <w:rsid w:val="005651CC"/>
    <w:rsid w:val="005652DA"/>
    <w:rsid w:val="00565542"/>
    <w:rsid w:val="00565948"/>
    <w:rsid w:val="005659CD"/>
    <w:rsid w:val="00565BEB"/>
    <w:rsid w:val="00566346"/>
    <w:rsid w:val="005668CF"/>
    <w:rsid w:val="00570237"/>
    <w:rsid w:val="0057095B"/>
    <w:rsid w:val="00570D2D"/>
    <w:rsid w:val="005720CD"/>
    <w:rsid w:val="00572165"/>
    <w:rsid w:val="00572A82"/>
    <w:rsid w:val="00572D5E"/>
    <w:rsid w:val="005731D2"/>
    <w:rsid w:val="00573655"/>
    <w:rsid w:val="0057487C"/>
    <w:rsid w:val="00575C63"/>
    <w:rsid w:val="00576BC6"/>
    <w:rsid w:val="00577195"/>
    <w:rsid w:val="0058135A"/>
    <w:rsid w:val="0058275A"/>
    <w:rsid w:val="005843B5"/>
    <w:rsid w:val="00584F38"/>
    <w:rsid w:val="00585198"/>
    <w:rsid w:val="00586657"/>
    <w:rsid w:val="00586A4F"/>
    <w:rsid w:val="00586F9C"/>
    <w:rsid w:val="005870D8"/>
    <w:rsid w:val="005902CF"/>
    <w:rsid w:val="005904CE"/>
    <w:rsid w:val="00590F4F"/>
    <w:rsid w:val="00592AD0"/>
    <w:rsid w:val="00594030"/>
    <w:rsid w:val="0059486C"/>
    <w:rsid w:val="00595244"/>
    <w:rsid w:val="005962F8"/>
    <w:rsid w:val="00596467"/>
    <w:rsid w:val="00596549"/>
    <w:rsid w:val="00596B3B"/>
    <w:rsid w:val="0059720E"/>
    <w:rsid w:val="00597300"/>
    <w:rsid w:val="005A0324"/>
    <w:rsid w:val="005A06D0"/>
    <w:rsid w:val="005A109E"/>
    <w:rsid w:val="005A140B"/>
    <w:rsid w:val="005A1D09"/>
    <w:rsid w:val="005A243C"/>
    <w:rsid w:val="005A3CB2"/>
    <w:rsid w:val="005A3D92"/>
    <w:rsid w:val="005A46D6"/>
    <w:rsid w:val="005A4992"/>
    <w:rsid w:val="005A5162"/>
    <w:rsid w:val="005A54FC"/>
    <w:rsid w:val="005A571E"/>
    <w:rsid w:val="005A5732"/>
    <w:rsid w:val="005A574D"/>
    <w:rsid w:val="005A5E72"/>
    <w:rsid w:val="005A728B"/>
    <w:rsid w:val="005B03FF"/>
    <w:rsid w:val="005B0843"/>
    <w:rsid w:val="005B0C00"/>
    <w:rsid w:val="005B0DCE"/>
    <w:rsid w:val="005B1814"/>
    <w:rsid w:val="005B1A96"/>
    <w:rsid w:val="005B1E89"/>
    <w:rsid w:val="005B1FD6"/>
    <w:rsid w:val="005B21FB"/>
    <w:rsid w:val="005B3D85"/>
    <w:rsid w:val="005B4586"/>
    <w:rsid w:val="005B5407"/>
    <w:rsid w:val="005B5C75"/>
    <w:rsid w:val="005B6E83"/>
    <w:rsid w:val="005B7524"/>
    <w:rsid w:val="005B78CE"/>
    <w:rsid w:val="005C034B"/>
    <w:rsid w:val="005C0386"/>
    <w:rsid w:val="005C0AEC"/>
    <w:rsid w:val="005C17D3"/>
    <w:rsid w:val="005C25EE"/>
    <w:rsid w:val="005C2A47"/>
    <w:rsid w:val="005C3E10"/>
    <w:rsid w:val="005C4E35"/>
    <w:rsid w:val="005C4E9D"/>
    <w:rsid w:val="005C5CE1"/>
    <w:rsid w:val="005C6618"/>
    <w:rsid w:val="005D0951"/>
    <w:rsid w:val="005D0B13"/>
    <w:rsid w:val="005D320E"/>
    <w:rsid w:val="005D32BB"/>
    <w:rsid w:val="005D33C2"/>
    <w:rsid w:val="005D468A"/>
    <w:rsid w:val="005D4CBC"/>
    <w:rsid w:val="005D6097"/>
    <w:rsid w:val="005D74B5"/>
    <w:rsid w:val="005E01FE"/>
    <w:rsid w:val="005E03E2"/>
    <w:rsid w:val="005E12BA"/>
    <w:rsid w:val="005E1CEE"/>
    <w:rsid w:val="005E29E4"/>
    <w:rsid w:val="005E4DD1"/>
    <w:rsid w:val="005E510D"/>
    <w:rsid w:val="005F1448"/>
    <w:rsid w:val="005F32DF"/>
    <w:rsid w:val="005F3A11"/>
    <w:rsid w:val="005F5391"/>
    <w:rsid w:val="005F589F"/>
    <w:rsid w:val="005F666F"/>
    <w:rsid w:val="005F6BED"/>
    <w:rsid w:val="0060049F"/>
    <w:rsid w:val="00600A0B"/>
    <w:rsid w:val="00600CBE"/>
    <w:rsid w:val="00601FA4"/>
    <w:rsid w:val="0060252F"/>
    <w:rsid w:val="00602BBA"/>
    <w:rsid w:val="00602E35"/>
    <w:rsid w:val="006046B4"/>
    <w:rsid w:val="00605C38"/>
    <w:rsid w:val="0060648E"/>
    <w:rsid w:val="0061132D"/>
    <w:rsid w:val="006128A2"/>
    <w:rsid w:val="0061330C"/>
    <w:rsid w:val="00613373"/>
    <w:rsid w:val="00613706"/>
    <w:rsid w:val="00615B02"/>
    <w:rsid w:val="006170A8"/>
    <w:rsid w:val="006170FB"/>
    <w:rsid w:val="00617980"/>
    <w:rsid w:val="006219AB"/>
    <w:rsid w:val="0062255C"/>
    <w:rsid w:val="006229F7"/>
    <w:rsid w:val="00623500"/>
    <w:rsid w:val="00623F81"/>
    <w:rsid w:val="00624C20"/>
    <w:rsid w:val="00625E4E"/>
    <w:rsid w:val="00627FE2"/>
    <w:rsid w:val="00630C66"/>
    <w:rsid w:val="00630F8B"/>
    <w:rsid w:val="0063117F"/>
    <w:rsid w:val="006330E4"/>
    <w:rsid w:val="00634A4A"/>
    <w:rsid w:val="0063584A"/>
    <w:rsid w:val="0063604A"/>
    <w:rsid w:val="006362D5"/>
    <w:rsid w:val="006379C8"/>
    <w:rsid w:val="00640076"/>
    <w:rsid w:val="00641BD7"/>
    <w:rsid w:val="00642257"/>
    <w:rsid w:val="00642B8A"/>
    <w:rsid w:val="00643055"/>
    <w:rsid w:val="00643834"/>
    <w:rsid w:val="00643F4B"/>
    <w:rsid w:val="00644AC5"/>
    <w:rsid w:val="00644D85"/>
    <w:rsid w:val="006451A9"/>
    <w:rsid w:val="00645375"/>
    <w:rsid w:val="00646103"/>
    <w:rsid w:val="00646FDD"/>
    <w:rsid w:val="00647547"/>
    <w:rsid w:val="00647945"/>
    <w:rsid w:val="00647BEC"/>
    <w:rsid w:val="00647FDE"/>
    <w:rsid w:val="00652119"/>
    <w:rsid w:val="0065236D"/>
    <w:rsid w:val="006542EA"/>
    <w:rsid w:val="006544FA"/>
    <w:rsid w:val="0065456C"/>
    <w:rsid w:val="006548AB"/>
    <w:rsid w:val="00654B36"/>
    <w:rsid w:val="00655374"/>
    <w:rsid w:val="00656D54"/>
    <w:rsid w:val="00656EB5"/>
    <w:rsid w:val="00657020"/>
    <w:rsid w:val="006605CB"/>
    <w:rsid w:val="00661028"/>
    <w:rsid w:val="00661B55"/>
    <w:rsid w:val="00661DEE"/>
    <w:rsid w:val="0066215B"/>
    <w:rsid w:val="00662EFD"/>
    <w:rsid w:val="00663795"/>
    <w:rsid w:val="00663F0C"/>
    <w:rsid w:val="00665929"/>
    <w:rsid w:val="00666B34"/>
    <w:rsid w:val="006676EF"/>
    <w:rsid w:val="00667ADA"/>
    <w:rsid w:val="00667E18"/>
    <w:rsid w:val="00670C0A"/>
    <w:rsid w:val="00670DA9"/>
    <w:rsid w:val="006714A6"/>
    <w:rsid w:val="00673EAD"/>
    <w:rsid w:val="00674890"/>
    <w:rsid w:val="00674DC2"/>
    <w:rsid w:val="006758A8"/>
    <w:rsid w:val="00676857"/>
    <w:rsid w:val="00676E4D"/>
    <w:rsid w:val="0067728E"/>
    <w:rsid w:val="006802DE"/>
    <w:rsid w:val="00680D0E"/>
    <w:rsid w:val="00680FA7"/>
    <w:rsid w:val="0068169A"/>
    <w:rsid w:val="0068239F"/>
    <w:rsid w:val="00682658"/>
    <w:rsid w:val="00682A3A"/>
    <w:rsid w:val="006836BC"/>
    <w:rsid w:val="006842BD"/>
    <w:rsid w:val="0068493A"/>
    <w:rsid w:val="00684960"/>
    <w:rsid w:val="00684A41"/>
    <w:rsid w:val="00685B9F"/>
    <w:rsid w:val="006868D5"/>
    <w:rsid w:val="00686970"/>
    <w:rsid w:val="006876BF"/>
    <w:rsid w:val="00687D69"/>
    <w:rsid w:val="0069051F"/>
    <w:rsid w:val="0069095A"/>
    <w:rsid w:val="00691530"/>
    <w:rsid w:val="00692541"/>
    <w:rsid w:val="006928A4"/>
    <w:rsid w:val="00692ACD"/>
    <w:rsid w:val="0069472D"/>
    <w:rsid w:val="00695061"/>
    <w:rsid w:val="006952F4"/>
    <w:rsid w:val="00696304"/>
    <w:rsid w:val="0069649A"/>
    <w:rsid w:val="00696A07"/>
    <w:rsid w:val="00696AB4"/>
    <w:rsid w:val="00696EBD"/>
    <w:rsid w:val="00697B28"/>
    <w:rsid w:val="006A01B9"/>
    <w:rsid w:val="006A0A80"/>
    <w:rsid w:val="006A0E22"/>
    <w:rsid w:val="006A0EC2"/>
    <w:rsid w:val="006A12BF"/>
    <w:rsid w:val="006A2F74"/>
    <w:rsid w:val="006A4010"/>
    <w:rsid w:val="006A4658"/>
    <w:rsid w:val="006A47F8"/>
    <w:rsid w:val="006A5282"/>
    <w:rsid w:val="006A6470"/>
    <w:rsid w:val="006A7B78"/>
    <w:rsid w:val="006A7FA9"/>
    <w:rsid w:val="006B033F"/>
    <w:rsid w:val="006B03C6"/>
    <w:rsid w:val="006B0883"/>
    <w:rsid w:val="006B440C"/>
    <w:rsid w:val="006B4600"/>
    <w:rsid w:val="006B53A2"/>
    <w:rsid w:val="006B5450"/>
    <w:rsid w:val="006B675B"/>
    <w:rsid w:val="006B6A43"/>
    <w:rsid w:val="006B7EC5"/>
    <w:rsid w:val="006C1145"/>
    <w:rsid w:val="006C276C"/>
    <w:rsid w:val="006C58A2"/>
    <w:rsid w:val="006C65FB"/>
    <w:rsid w:val="006C7342"/>
    <w:rsid w:val="006C7A6C"/>
    <w:rsid w:val="006C7EF3"/>
    <w:rsid w:val="006D077C"/>
    <w:rsid w:val="006D12EE"/>
    <w:rsid w:val="006D1729"/>
    <w:rsid w:val="006D1EF6"/>
    <w:rsid w:val="006D27ED"/>
    <w:rsid w:val="006D296D"/>
    <w:rsid w:val="006D29D3"/>
    <w:rsid w:val="006D2D6D"/>
    <w:rsid w:val="006D31F5"/>
    <w:rsid w:val="006D4258"/>
    <w:rsid w:val="006D49CE"/>
    <w:rsid w:val="006D5080"/>
    <w:rsid w:val="006D522B"/>
    <w:rsid w:val="006D524D"/>
    <w:rsid w:val="006D537D"/>
    <w:rsid w:val="006D54D8"/>
    <w:rsid w:val="006D66FA"/>
    <w:rsid w:val="006D6FAF"/>
    <w:rsid w:val="006D72D7"/>
    <w:rsid w:val="006D7B2C"/>
    <w:rsid w:val="006E0C7D"/>
    <w:rsid w:val="006E1228"/>
    <w:rsid w:val="006E1391"/>
    <w:rsid w:val="006E1A45"/>
    <w:rsid w:val="006E1AA8"/>
    <w:rsid w:val="006E1DF0"/>
    <w:rsid w:val="006E20F5"/>
    <w:rsid w:val="006E28C9"/>
    <w:rsid w:val="006E3B0E"/>
    <w:rsid w:val="006E4058"/>
    <w:rsid w:val="006E4B04"/>
    <w:rsid w:val="006E4E08"/>
    <w:rsid w:val="006E59C2"/>
    <w:rsid w:val="006E5DD1"/>
    <w:rsid w:val="006E603D"/>
    <w:rsid w:val="006E67E5"/>
    <w:rsid w:val="006E6B90"/>
    <w:rsid w:val="006E750A"/>
    <w:rsid w:val="006E7EAD"/>
    <w:rsid w:val="006F0D56"/>
    <w:rsid w:val="006F0E95"/>
    <w:rsid w:val="006F1FB9"/>
    <w:rsid w:val="006F3178"/>
    <w:rsid w:val="006F3C31"/>
    <w:rsid w:val="006F3E0C"/>
    <w:rsid w:val="006F6894"/>
    <w:rsid w:val="006F7A0B"/>
    <w:rsid w:val="00700A89"/>
    <w:rsid w:val="00701641"/>
    <w:rsid w:val="007018AC"/>
    <w:rsid w:val="00702DD3"/>
    <w:rsid w:val="00703B56"/>
    <w:rsid w:val="00703E3E"/>
    <w:rsid w:val="0070552B"/>
    <w:rsid w:val="00707758"/>
    <w:rsid w:val="007100BA"/>
    <w:rsid w:val="007110B9"/>
    <w:rsid w:val="007114D8"/>
    <w:rsid w:val="00711832"/>
    <w:rsid w:val="00713561"/>
    <w:rsid w:val="00713943"/>
    <w:rsid w:val="007144E1"/>
    <w:rsid w:val="007145AD"/>
    <w:rsid w:val="00714B1B"/>
    <w:rsid w:val="00715AEC"/>
    <w:rsid w:val="00715F67"/>
    <w:rsid w:val="007169FD"/>
    <w:rsid w:val="007172DA"/>
    <w:rsid w:val="00720630"/>
    <w:rsid w:val="0072085A"/>
    <w:rsid w:val="00720D80"/>
    <w:rsid w:val="00721F6F"/>
    <w:rsid w:val="00722538"/>
    <w:rsid w:val="0072346E"/>
    <w:rsid w:val="00723A84"/>
    <w:rsid w:val="007242F9"/>
    <w:rsid w:val="00725D82"/>
    <w:rsid w:val="007277E5"/>
    <w:rsid w:val="007279B8"/>
    <w:rsid w:val="00727D69"/>
    <w:rsid w:val="0073021A"/>
    <w:rsid w:val="00730AE3"/>
    <w:rsid w:val="00731B36"/>
    <w:rsid w:val="00733ED2"/>
    <w:rsid w:val="007353B0"/>
    <w:rsid w:val="00735D57"/>
    <w:rsid w:val="00736BC2"/>
    <w:rsid w:val="00736E76"/>
    <w:rsid w:val="0073702C"/>
    <w:rsid w:val="00737156"/>
    <w:rsid w:val="007372F7"/>
    <w:rsid w:val="00737A80"/>
    <w:rsid w:val="00740BAC"/>
    <w:rsid w:val="00740F6D"/>
    <w:rsid w:val="007419B8"/>
    <w:rsid w:val="00742701"/>
    <w:rsid w:val="00742C77"/>
    <w:rsid w:val="00745306"/>
    <w:rsid w:val="0074604F"/>
    <w:rsid w:val="0074787A"/>
    <w:rsid w:val="007500D4"/>
    <w:rsid w:val="00752C9A"/>
    <w:rsid w:val="007534FB"/>
    <w:rsid w:val="00754043"/>
    <w:rsid w:val="00754188"/>
    <w:rsid w:val="00754AD8"/>
    <w:rsid w:val="00755ED1"/>
    <w:rsid w:val="007567F1"/>
    <w:rsid w:val="00756ABC"/>
    <w:rsid w:val="00756EF9"/>
    <w:rsid w:val="00760098"/>
    <w:rsid w:val="0076164C"/>
    <w:rsid w:val="007616E1"/>
    <w:rsid w:val="0076239F"/>
    <w:rsid w:val="00764D61"/>
    <w:rsid w:val="00766B62"/>
    <w:rsid w:val="0076733D"/>
    <w:rsid w:val="00770FA4"/>
    <w:rsid w:val="00772741"/>
    <w:rsid w:val="00774CE6"/>
    <w:rsid w:val="00774FA2"/>
    <w:rsid w:val="00775976"/>
    <w:rsid w:val="00776D22"/>
    <w:rsid w:val="00777F25"/>
    <w:rsid w:val="00780C24"/>
    <w:rsid w:val="00780F62"/>
    <w:rsid w:val="0078161F"/>
    <w:rsid w:val="007824B4"/>
    <w:rsid w:val="0078292D"/>
    <w:rsid w:val="00783746"/>
    <w:rsid w:val="00783CC0"/>
    <w:rsid w:val="00785337"/>
    <w:rsid w:val="007861D7"/>
    <w:rsid w:val="0078753C"/>
    <w:rsid w:val="0079033F"/>
    <w:rsid w:val="00790CB8"/>
    <w:rsid w:val="00790F10"/>
    <w:rsid w:val="007917E5"/>
    <w:rsid w:val="00791CD4"/>
    <w:rsid w:val="00792649"/>
    <w:rsid w:val="00792D70"/>
    <w:rsid w:val="00794FC4"/>
    <w:rsid w:val="00795189"/>
    <w:rsid w:val="00796154"/>
    <w:rsid w:val="007978B0"/>
    <w:rsid w:val="00797E67"/>
    <w:rsid w:val="007A3343"/>
    <w:rsid w:val="007A3526"/>
    <w:rsid w:val="007A3C1B"/>
    <w:rsid w:val="007A40C9"/>
    <w:rsid w:val="007A4930"/>
    <w:rsid w:val="007A54CF"/>
    <w:rsid w:val="007A6AC7"/>
    <w:rsid w:val="007A6FD2"/>
    <w:rsid w:val="007B0E25"/>
    <w:rsid w:val="007B1F9B"/>
    <w:rsid w:val="007B29C5"/>
    <w:rsid w:val="007B2FEE"/>
    <w:rsid w:val="007B33F6"/>
    <w:rsid w:val="007B48FE"/>
    <w:rsid w:val="007B5137"/>
    <w:rsid w:val="007B5FC1"/>
    <w:rsid w:val="007B6BE1"/>
    <w:rsid w:val="007B74ED"/>
    <w:rsid w:val="007B75C0"/>
    <w:rsid w:val="007C1042"/>
    <w:rsid w:val="007C20B3"/>
    <w:rsid w:val="007C2466"/>
    <w:rsid w:val="007C4204"/>
    <w:rsid w:val="007C474E"/>
    <w:rsid w:val="007C49B4"/>
    <w:rsid w:val="007C4C79"/>
    <w:rsid w:val="007C5F56"/>
    <w:rsid w:val="007C6B87"/>
    <w:rsid w:val="007C6BE7"/>
    <w:rsid w:val="007C7C08"/>
    <w:rsid w:val="007D01B2"/>
    <w:rsid w:val="007D1991"/>
    <w:rsid w:val="007D1C12"/>
    <w:rsid w:val="007D2C1D"/>
    <w:rsid w:val="007D3618"/>
    <w:rsid w:val="007D3C6C"/>
    <w:rsid w:val="007D4679"/>
    <w:rsid w:val="007D481D"/>
    <w:rsid w:val="007D56B1"/>
    <w:rsid w:val="007D5892"/>
    <w:rsid w:val="007D5A27"/>
    <w:rsid w:val="007D5E22"/>
    <w:rsid w:val="007D60A7"/>
    <w:rsid w:val="007D64B8"/>
    <w:rsid w:val="007D79BD"/>
    <w:rsid w:val="007E004D"/>
    <w:rsid w:val="007E0C9E"/>
    <w:rsid w:val="007E1005"/>
    <w:rsid w:val="007E341F"/>
    <w:rsid w:val="007E4EE5"/>
    <w:rsid w:val="007E5425"/>
    <w:rsid w:val="007E55B3"/>
    <w:rsid w:val="007E612B"/>
    <w:rsid w:val="007E70FC"/>
    <w:rsid w:val="007F077E"/>
    <w:rsid w:val="007F0A20"/>
    <w:rsid w:val="007F11ED"/>
    <w:rsid w:val="007F20CE"/>
    <w:rsid w:val="007F218D"/>
    <w:rsid w:val="007F2C23"/>
    <w:rsid w:val="007F4F80"/>
    <w:rsid w:val="007F5CD1"/>
    <w:rsid w:val="007F638C"/>
    <w:rsid w:val="007F6E35"/>
    <w:rsid w:val="007F70F9"/>
    <w:rsid w:val="007F7326"/>
    <w:rsid w:val="007F79E0"/>
    <w:rsid w:val="007F79EB"/>
    <w:rsid w:val="0080055A"/>
    <w:rsid w:val="008006FA"/>
    <w:rsid w:val="0080079E"/>
    <w:rsid w:val="00800854"/>
    <w:rsid w:val="00801007"/>
    <w:rsid w:val="008023B3"/>
    <w:rsid w:val="00802951"/>
    <w:rsid w:val="00802C0E"/>
    <w:rsid w:val="0080377E"/>
    <w:rsid w:val="008048C7"/>
    <w:rsid w:val="00805703"/>
    <w:rsid w:val="00805DEE"/>
    <w:rsid w:val="00805E29"/>
    <w:rsid w:val="00806E28"/>
    <w:rsid w:val="008101CE"/>
    <w:rsid w:val="008101D7"/>
    <w:rsid w:val="008110B7"/>
    <w:rsid w:val="008115A8"/>
    <w:rsid w:val="00811CED"/>
    <w:rsid w:val="00812ED7"/>
    <w:rsid w:val="00813843"/>
    <w:rsid w:val="008145FA"/>
    <w:rsid w:val="00815204"/>
    <w:rsid w:val="00815255"/>
    <w:rsid w:val="00815953"/>
    <w:rsid w:val="00815DB9"/>
    <w:rsid w:val="00817C5F"/>
    <w:rsid w:val="008213DF"/>
    <w:rsid w:val="00821DA6"/>
    <w:rsid w:val="008238EB"/>
    <w:rsid w:val="008241A0"/>
    <w:rsid w:val="00825343"/>
    <w:rsid w:val="0082560B"/>
    <w:rsid w:val="00826801"/>
    <w:rsid w:val="00827436"/>
    <w:rsid w:val="00827947"/>
    <w:rsid w:val="00827FA7"/>
    <w:rsid w:val="00830ADB"/>
    <w:rsid w:val="008324FC"/>
    <w:rsid w:val="00833451"/>
    <w:rsid w:val="00836536"/>
    <w:rsid w:val="008373CD"/>
    <w:rsid w:val="00837B4F"/>
    <w:rsid w:val="008405F7"/>
    <w:rsid w:val="00841B75"/>
    <w:rsid w:val="00842016"/>
    <w:rsid w:val="00842111"/>
    <w:rsid w:val="00842235"/>
    <w:rsid w:val="00842812"/>
    <w:rsid w:val="008428E7"/>
    <w:rsid w:val="00843AA4"/>
    <w:rsid w:val="00843FF1"/>
    <w:rsid w:val="00844AD8"/>
    <w:rsid w:val="00844DA5"/>
    <w:rsid w:val="00845FE2"/>
    <w:rsid w:val="0084635F"/>
    <w:rsid w:val="0084701C"/>
    <w:rsid w:val="00851A4F"/>
    <w:rsid w:val="00852435"/>
    <w:rsid w:val="00852A57"/>
    <w:rsid w:val="00853718"/>
    <w:rsid w:val="00853CBF"/>
    <w:rsid w:val="00853D63"/>
    <w:rsid w:val="00853F08"/>
    <w:rsid w:val="00854A3C"/>
    <w:rsid w:val="008556E4"/>
    <w:rsid w:val="00855916"/>
    <w:rsid w:val="00855944"/>
    <w:rsid w:val="00855F25"/>
    <w:rsid w:val="008577A8"/>
    <w:rsid w:val="00857A75"/>
    <w:rsid w:val="008601D0"/>
    <w:rsid w:val="00861005"/>
    <w:rsid w:val="00861AAF"/>
    <w:rsid w:val="0086269A"/>
    <w:rsid w:val="00862953"/>
    <w:rsid w:val="008629D0"/>
    <w:rsid w:val="00863CE3"/>
    <w:rsid w:val="008640A0"/>
    <w:rsid w:val="00864399"/>
    <w:rsid w:val="00864E90"/>
    <w:rsid w:val="00865015"/>
    <w:rsid w:val="008658F9"/>
    <w:rsid w:val="008659B7"/>
    <w:rsid w:val="00865C15"/>
    <w:rsid w:val="0086631A"/>
    <w:rsid w:val="0086784A"/>
    <w:rsid w:val="00870A55"/>
    <w:rsid w:val="00870EC4"/>
    <w:rsid w:val="00871BBA"/>
    <w:rsid w:val="00872032"/>
    <w:rsid w:val="008723DD"/>
    <w:rsid w:val="008725F9"/>
    <w:rsid w:val="00872C13"/>
    <w:rsid w:val="00872E0D"/>
    <w:rsid w:val="00873083"/>
    <w:rsid w:val="00873BBC"/>
    <w:rsid w:val="00874F67"/>
    <w:rsid w:val="00875625"/>
    <w:rsid w:val="00881BFC"/>
    <w:rsid w:val="00881CCA"/>
    <w:rsid w:val="00881F7F"/>
    <w:rsid w:val="00882ABB"/>
    <w:rsid w:val="00883D6A"/>
    <w:rsid w:val="008842CF"/>
    <w:rsid w:val="00884907"/>
    <w:rsid w:val="00884C69"/>
    <w:rsid w:val="00886D7B"/>
    <w:rsid w:val="008870BD"/>
    <w:rsid w:val="008872B0"/>
    <w:rsid w:val="00887F94"/>
    <w:rsid w:val="0089041F"/>
    <w:rsid w:val="008905ED"/>
    <w:rsid w:val="00891479"/>
    <w:rsid w:val="0089162C"/>
    <w:rsid w:val="00891AB1"/>
    <w:rsid w:val="00891AEF"/>
    <w:rsid w:val="0089308D"/>
    <w:rsid w:val="008930E7"/>
    <w:rsid w:val="0089341B"/>
    <w:rsid w:val="00893DA2"/>
    <w:rsid w:val="00894542"/>
    <w:rsid w:val="00896A78"/>
    <w:rsid w:val="0089794D"/>
    <w:rsid w:val="008A3C27"/>
    <w:rsid w:val="008A3D38"/>
    <w:rsid w:val="008A64BE"/>
    <w:rsid w:val="008A65F4"/>
    <w:rsid w:val="008A71F6"/>
    <w:rsid w:val="008A7F8F"/>
    <w:rsid w:val="008B03FD"/>
    <w:rsid w:val="008B1384"/>
    <w:rsid w:val="008B144C"/>
    <w:rsid w:val="008B1CA0"/>
    <w:rsid w:val="008B1D1B"/>
    <w:rsid w:val="008B1F91"/>
    <w:rsid w:val="008B1FF7"/>
    <w:rsid w:val="008B232B"/>
    <w:rsid w:val="008B2556"/>
    <w:rsid w:val="008B28B9"/>
    <w:rsid w:val="008B39D5"/>
    <w:rsid w:val="008B3FED"/>
    <w:rsid w:val="008B5DD7"/>
    <w:rsid w:val="008B6D98"/>
    <w:rsid w:val="008C0C1B"/>
    <w:rsid w:val="008C0EA9"/>
    <w:rsid w:val="008C1FF0"/>
    <w:rsid w:val="008C200F"/>
    <w:rsid w:val="008C38A7"/>
    <w:rsid w:val="008C43B5"/>
    <w:rsid w:val="008C4812"/>
    <w:rsid w:val="008C65CE"/>
    <w:rsid w:val="008C69B8"/>
    <w:rsid w:val="008C6D7E"/>
    <w:rsid w:val="008C7F68"/>
    <w:rsid w:val="008D0DFE"/>
    <w:rsid w:val="008D0F5F"/>
    <w:rsid w:val="008D1E6A"/>
    <w:rsid w:val="008D288F"/>
    <w:rsid w:val="008D28A2"/>
    <w:rsid w:val="008D59AE"/>
    <w:rsid w:val="008D59CC"/>
    <w:rsid w:val="008D6583"/>
    <w:rsid w:val="008D6791"/>
    <w:rsid w:val="008D7361"/>
    <w:rsid w:val="008E0F6D"/>
    <w:rsid w:val="008E1DFE"/>
    <w:rsid w:val="008E2257"/>
    <w:rsid w:val="008E471C"/>
    <w:rsid w:val="008E4BD0"/>
    <w:rsid w:val="008E4F50"/>
    <w:rsid w:val="008E7DC2"/>
    <w:rsid w:val="008F2431"/>
    <w:rsid w:val="008F2A0E"/>
    <w:rsid w:val="008F32EC"/>
    <w:rsid w:val="008F40E9"/>
    <w:rsid w:val="008F4A78"/>
    <w:rsid w:val="008F4C80"/>
    <w:rsid w:val="008F5F94"/>
    <w:rsid w:val="008F6CB9"/>
    <w:rsid w:val="008F72EF"/>
    <w:rsid w:val="00900602"/>
    <w:rsid w:val="00900BA0"/>
    <w:rsid w:val="00901CF7"/>
    <w:rsid w:val="00902835"/>
    <w:rsid w:val="009033CE"/>
    <w:rsid w:val="00903582"/>
    <w:rsid w:val="0090420A"/>
    <w:rsid w:val="00905488"/>
    <w:rsid w:val="00906F90"/>
    <w:rsid w:val="00907C2C"/>
    <w:rsid w:val="00910DFE"/>
    <w:rsid w:val="00910E49"/>
    <w:rsid w:val="00911062"/>
    <w:rsid w:val="00911CC2"/>
    <w:rsid w:val="00912DF1"/>
    <w:rsid w:val="00914075"/>
    <w:rsid w:val="00914306"/>
    <w:rsid w:val="009143DB"/>
    <w:rsid w:val="0092054C"/>
    <w:rsid w:val="0092089B"/>
    <w:rsid w:val="00920CAB"/>
    <w:rsid w:val="00920FCF"/>
    <w:rsid w:val="009213EC"/>
    <w:rsid w:val="0092149F"/>
    <w:rsid w:val="0092172E"/>
    <w:rsid w:val="00921D8F"/>
    <w:rsid w:val="00922674"/>
    <w:rsid w:val="009229BC"/>
    <w:rsid w:val="00922A73"/>
    <w:rsid w:val="009230BF"/>
    <w:rsid w:val="0092366F"/>
    <w:rsid w:val="00924FD4"/>
    <w:rsid w:val="00925E3B"/>
    <w:rsid w:val="009262FD"/>
    <w:rsid w:val="00926439"/>
    <w:rsid w:val="009275EA"/>
    <w:rsid w:val="009278D0"/>
    <w:rsid w:val="00930CDC"/>
    <w:rsid w:val="00930EA9"/>
    <w:rsid w:val="00932C6A"/>
    <w:rsid w:val="00932EF5"/>
    <w:rsid w:val="00933DDD"/>
    <w:rsid w:val="00933FB8"/>
    <w:rsid w:val="00934AB4"/>
    <w:rsid w:val="00935D6E"/>
    <w:rsid w:val="009363AB"/>
    <w:rsid w:val="00936D7C"/>
    <w:rsid w:val="009372C5"/>
    <w:rsid w:val="009377C0"/>
    <w:rsid w:val="00940A89"/>
    <w:rsid w:val="00940ED1"/>
    <w:rsid w:val="0094271D"/>
    <w:rsid w:val="00943C7D"/>
    <w:rsid w:val="00944499"/>
    <w:rsid w:val="00944B08"/>
    <w:rsid w:val="00944EA3"/>
    <w:rsid w:val="00946B7A"/>
    <w:rsid w:val="00947716"/>
    <w:rsid w:val="00947A9E"/>
    <w:rsid w:val="00950D71"/>
    <w:rsid w:val="00951529"/>
    <w:rsid w:val="00951981"/>
    <w:rsid w:val="00951BB8"/>
    <w:rsid w:val="009521C7"/>
    <w:rsid w:val="00952EC2"/>
    <w:rsid w:val="0095399B"/>
    <w:rsid w:val="009542B3"/>
    <w:rsid w:val="00954905"/>
    <w:rsid w:val="00955FEA"/>
    <w:rsid w:val="00956C11"/>
    <w:rsid w:val="00956E62"/>
    <w:rsid w:val="009570C0"/>
    <w:rsid w:val="00960A69"/>
    <w:rsid w:val="00960EDC"/>
    <w:rsid w:val="009611AF"/>
    <w:rsid w:val="0096181E"/>
    <w:rsid w:val="0096227E"/>
    <w:rsid w:val="00962ECE"/>
    <w:rsid w:val="009641B6"/>
    <w:rsid w:val="00964EF7"/>
    <w:rsid w:val="00964F50"/>
    <w:rsid w:val="009652BB"/>
    <w:rsid w:val="00965343"/>
    <w:rsid w:val="009658EA"/>
    <w:rsid w:val="00966906"/>
    <w:rsid w:val="00966A18"/>
    <w:rsid w:val="0096705F"/>
    <w:rsid w:val="0096764E"/>
    <w:rsid w:val="00967683"/>
    <w:rsid w:val="00970154"/>
    <w:rsid w:val="00972247"/>
    <w:rsid w:val="009729E3"/>
    <w:rsid w:val="00973097"/>
    <w:rsid w:val="0097311A"/>
    <w:rsid w:val="00975480"/>
    <w:rsid w:val="00977062"/>
    <w:rsid w:val="00977A51"/>
    <w:rsid w:val="00980860"/>
    <w:rsid w:val="00980ACD"/>
    <w:rsid w:val="00981121"/>
    <w:rsid w:val="009819D7"/>
    <w:rsid w:val="00981A8F"/>
    <w:rsid w:val="00981A95"/>
    <w:rsid w:val="00982F8A"/>
    <w:rsid w:val="00983A3A"/>
    <w:rsid w:val="00985077"/>
    <w:rsid w:val="00986795"/>
    <w:rsid w:val="009871F6"/>
    <w:rsid w:val="009873BF"/>
    <w:rsid w:val="009873C3"/>
    <w:rsid w:val="0098766D"/>
    <w:rsid w:val="00987941"/>
    <w:rsid w:val="009911B8"/>
    <w:rsid w:val="00991533"/>
    <w:rsid w:val="00991B68"/>
    <w:rsid w:val="00992D78"/>
    <w:rsid w:val="00993F5B"/>
    <w:rsid w:val="0099549F"/>
    <w:rsid w:val="00995923"/>
    <w:rsid w:val="00996037"/>
    <w:rsid w:val="009A1111"/>
    <w:rsid w:val="009A18B5"/>
    <w:rsid w:val="009A1AB9"/>
    <w:rsid w:val="009A2504"/>
    <w:rsid w:val="009A26E0"/>
    <w:rsid w:val="009A3F27"/>
    <w:rsid w:val="009A3F42"/>
    <w:rsid w:val="009A5607"/>
    <w:rsid w:val="009A5830"/>
    <w:rsid w:val="009A5987"/>
    <w:rsid w:val="009A627E"/>
    <w:rsid w:val="009B115E"/>
    <w:rsid w:val="009B153C"/>
    <w:rsid w:val="009B186A"/>
    <w:rsid w:val="009B1D52"/>
    <w:rsid w:val="009B2179"/>
    <w:rsid w:val="009B29DA"/>
    <w:rsid w:val="009B30D9"/>
    <w:rsid w:val="009B421A"/>
    <w:rsid w:val="009B497D"/>
    <w:rsid w:val="009B6063"/>
    <w:rsid w:val="009B655A"/>
    <w:rsid w:val="009C0BC5"/>
    <w:rsid w:val="009C14AD"/>
    <w:rsid w:val="009C25A7"/>
    <w:rsid w:val="009C3360"/>
    <w:rsid w:val="009C4E43"/>
    <w:rsid w:val="009C7DA3"/>
    <w:rsid w:val="009D06CA"/>
    <w:rsid w:val="009D118F"/>
    <w:rsid w:val="009D28F0"/>
    <w:rsid w:val="009D315C"/>
    <w:rsid w:val="009D4806"/>
    <w:rsid w:val="009D59BE"/>
    <w:rsid w:val="009D68BB"/>
    <w:rsid w:val="009D76E7"/>
    <w:rsid w:val="009E0114"/>
    <w:rsid w:val="009E1488"/>
    <w:rsid w:val="009E167E"/>
    <w:rsid w:val="009E1A3F"/>
    <w:rsid w:val="009E2915"/>
    <w:rsid w:val="009E4450"/>
    <w:rsid w:val="009E60E3"/>
    <w:rsid w:val="009E6A85"/>
    <w:rsid w:val="009E6BED"/>
    <w:rsid w:val="009E6ED9"/>
    <w:rsid w:val="009E6EDE"/>
    <w:rsid w:val="009F026D"/>
    <w:rsid w:val="009F0F31"/>
    <w:rsid w:val="009F17D2"/>
    <w:rsid w:val="009F2224"/>
    <w:rsid w:val="009F2388"/>
    <w:rsid w:val="009F289E"/>
    <w:rsid w:val="009F388C"/>
    <w:rsid w:val="009F44E9"/>
    <w:rsid w:val="009F4A74"/>
    <w:rsid w:val="009F4BD0"/>
    <w:rsid w:val="009F4FC4"/>
    <w:rsid w:val="009F54DF"/>
    <w:rsid w:val="009F54F6"/>
    <w:rsid w:val="009F63B7"/>
    <w:rsid w:val="009F6AC9"/>
    <w:rsid w:val="009F6BED"/>
    <w:rsid w:val="009F760E"/>
    <w:rsid w:val="00A006D9"/>
    <w:rsid w:val="00A0080F"/>
    <w:rsid w:val="00A01074"/>
    <w:rsid w:val="00A01236"/>
    <w:rsid w:val="00A023BA"/>
    <w:rsid w:val="00A04019"/>
    <w:rsid w:val="00A05176"/>
    <w:rsid w:val="00A055B2"/>
    <w:rsid w:val="00A05760"/>
    <w:rsid w:val="00A06262"/>
    <w:rsid w:val="00A06D04"/>
    <w:rsid w:val="00A07ABC"/>
    <w:rsid w:val="00A11F35"/>
    <w:rsid w:val="00A124AE"/>
    <w:rsid w:val="00A12B4D"/>
    <w:rsid w:val="00A14529"/>
    <w:rsid w:val="00A147C0"/>
    <w:rsid w:val="00A14812"/>
    <w:rsid w:val="00A14D45"/>
    <w:rsid w:val="00A1516A"/>
    <w:rsid w:val="00A1692F"/>
    <w:rsid w:val="00A171F2"/>
    <w:rsid w:val="00A205E3"/>
    <w:rsid w:val="00A20624"/>
    <w:rsid w:val="00A20D4B"/>
    <w:rsid w:val="00A225E5"/>
    <w:rsid w:val="00A24B2D"/>
    <w:rsid w:val="00A2540E"/>
    <w:rsid w:val="00A259BA"/>
    <w:rsid w:val="00A25D52"/>
    <w:rsid w:val="00A25E8C"/>
    <w:rsid w:val="00A264DD"/>
    <w:rsid w:val="00A26ADC"/>
    <w:rsid w:val="00A271B3"/>
    <w:rsid w:val="00A30082"/>
    <w:rsid w:val="00A303E3"/>
    <w:rsid w:val="00A30F71"/>
    <w:rsid w:val="00A3104C"/>
    <w:rsid w:val="00A311C3"/>
    <w:rsid w:val="00A31889"/>
    <w:rsid w:val="00A31E06"/>
    <w:rsid w:val="00A32A37"/>
    <w:rsid w:val="00A32E2F"/>
    <w:rsid w:val="00A33E0B"/>
    <w:rsid w:val="00A34A0F"/>
    <w:rsid w:val="00A34BE3"/>
    <w:rsid w:val="00A3586F"/>
    <w:rsid w:val="00A36755"/>
    <w:rsid w:val="00A37167"/>
    <w:rsid w:val="00A376AB"/>
    <w:rsid w:val="00A3785B"/>
    <w:rsid w:val="00A379A0"/>
    <w:rsid w:val="00A4020D"/>
    <w:rsid w:val="00A40431"/>
    <w:rsid w:val="00A40BC7"/>
    <w:rsid w:val="00A41418"/>
    <w:rsid w:val="00A42A9B"/>
    <w:rsid w:val="00A43A57"/>
    <w:rsid w:val="00A43AB9"/>
    <w:rsid w:val="00A43C22"/>
    <w:rsid w:val="00A43CAB"/>
    <w:rsid w:val="00A43CD5"/>
    <w:rsid w:val="00A4431D"/>
    <w:rsid w:val="00A44C52"/>
    <w:rsid w:val="00A4554D"/>
    <w:rsid w:val="00A46380"/>
    <w:rsid w:val="00A47C9E"/>
    <w:rsid w:val="00A5048E"/>
    <w:rsid w:val="00A522A3"/>
    <w:rsid w:val="00A52828"/>
    <w:rsid w:val="00A529BD"/>
    <w:rsid w:val="00A52C26"/>
    <w:rsid w:val="00A54227"/>
    <w:rsid w:val="00A55994"/>
    <w:rsid w:val="00A560F0"/>
    <w:rsid w:val="00A5639E"/>
    <w:rsid w:val="00A5663B"/>
    <w:rsid w:val="00A56714"/>
    <w:rsid w:val="00A56CF1"/>
    <w:rsid w:val="00A572F7"/>
    <w:rsid w:val="00A578CF"/>
    <w:rsid w:val="00A63313"/>
    <w:rsid w:val="00A648D3"/>
    <w:rsid w:val="00A64EA6"/>
    <w:rsid w:val="00A6567C"/>
    <w:rsid w:val="00A659C8"/>
    <w:rsid w:val="00A65C02"/>
    <w:rsid w:val="00A66D74"/>
    <w:rsid w:val="00A66F4C"/>
    <w:rsid w:val="00A67670"/>
    <w:rsid w:val="00A70155"/>
    <w:rsid w:val="00A709AD"/>
    <w:rsid w:val="00A718D0"/>
    <w:rsid w:val="00A72FE4"/>
    <w:rsid w:val="00A73034"/>
    <w:rsid w:val="00A73291"/>
    <w:rsid w:val="00A734AF"/>
    <w:rsid w:val="00A75D95"/>
    <w:rsid w:val="00A76756"/>
    <w:rsid w:val="00A76788"/>
    <w:rsid w:val="00A76D60"/>
    <w:rsid w:val="00A80102"/>
    <w:rsid w:val="00A805CD"/>
    <w:rsid w:val="00A80EDF"/>
    <w:rsid w:val="00A82AD4"/>
    <w:rsid w:val="00A8387B"/>
    <w:rsid w:val="00A8407A"/>
    <w:rsid w:val="00A85449"/>
    <w:rsid w:val="00A85E73"/>
    <w:rsid w:val="00A86891"/>
    <w:rsid w:val="00A91118"/>
    <w:rsid w:val="00A9234C"/>
    <w:rsid w:val="00A9237B"/>
    <w:rsid w:val="00A93082"/>
    <w:rsid w:val="00A934C4"/>
    <w:rsid w:val="00A941DB"/>
    <w:rsid w:val="00A94EDB"/>
    <w:rsid w:val="00A94F3E"/>
    <w:rsid w:val="00A955A2"/>
    <w:rsid w:val="00A95638"/>
    <w:rsid w:val="00A95BDF"/>
    <w:rsid w:val="00A96114"/>
    <w:rsid w:val="00A96218"/>
    <w:rsid w:val="00A967FF"/>
    <w:rsid w:val="00A970C2"/>
    <w:rsid w:val="00A974B2"/>
    <w:rsid w:val="00AA03A5"/>
    <w:rsid w:val="00AA0DFE"/>
    <w:rsid w:val="00AA108F"/>
    <w:rsid w:val="00AA260C"/>
    <w:rsid w:val="00AA39EC"/>
    <w:rsid w:val="00AA41E9"/>
    <w:rsid w:val="00AA5944"/>
    <w:rsid w:val="00AA6C12"/>
    <w:rsid w:val="00AA7E2C"/>
    <w:rsid w:val="00AB03ED"/>
    <w:rsid w:val="00AB08F7"/>
    <w:rsid w:val="00AB1688"/>
    <w:rsid w:val="00AB1BD7"/>
    <w:rsid w:val="00AB2429"/>
    <w:rsid w:val="00AB27B1"/>
    <w:rsid w:val="00AB5186"/>
    <w:rsid w:val="00AB6FAF"/>
    <w:rsid w:val="00AC006C"/>
    <w:rsid w:val="00AC078E"/>
    <w:rsid w:val="00AC0934"/>
    <w:rsid w:val="00AC0B37"/>
    <w:rsid w:val="00AC23A6"/>
    <w:rsid w:val="00AC23C5"/>
    <w:rsid w:val="00AC29C8"/>
    <w:rsid w:val="00AC2A14"/>
    <w:rsid w:val="00AC2E7B"/>
    <w:rsid w:val="00AC3350"/>
    <w:rsid w:val="00AC37E7"/>
    <w:rsid w:val="00AC471A"/>
    <w:rsid w:val="00AC62F4"/>
    <w:rsid w:val="00AC6DC5"/>
    <w:rsid w:val="00AD0F14"/>
    <w:rsid w:val="00AD1306"/>
    <w:rsid w:val="00AD1BB7"/>
    <w:rsid w:val="00AD2686"/>
    <w:rsid w:val="00AD3103"/>
    <w:rsid w:val="00AD3201"/>
    <w:rsid w:val="00AD364D"/>
    <w:rsid w:val="00AD4B12"/>
    <w:rsid w:val="00AD6466"/>
    <w:rsid w:val="00AE01F6"/>
    <w:rsid w:val="00AE1C04"/>
    <w:rsid w:val="00AE2B3E"/>
    <w:rsid w:val="00AE3F0F"/>
    <w:rsid w:val="00AE3FAD"/>
    <w:rsid w:val="00AE4FE4"/>
    <w:rsid w:val="00AE5309"/>
    <w:rsid w:val="00AE5824"/>
    <w:rsid w:val="00AE645D"/>
    <w:rsid w:val="00AE7388"/>
    <w:rsid w:val="00AF09B0"/>
    <w:rsid w:val="00AF1A2B"/>
    <w:rsid w:val="00AF3FD7"/>
    <w:rsid w:val="00AF401A"/>
    <w:rsid w:val="00AF4564"/>
    <w:rsid w:val="00AF6804"/>
    <w:rsid w:val="00AF6DCC"/>
    <w:rsid w:val="00AF73C0"/>
    <w:rsid w:val="00AF79AC"/>
    <w:rsid w:val="00AF7DAC"/>
    <w:rsid w:val="00AF7FC4"/>
    <w:rsid w:val="00B01EBA"/>
    <w:rsid w:val="00B02CA2"/>
    <w:rsid w:val="00B03232"/>
    <w:rsid w:val="00B05065"/>
    <w:rsid w:val="00B0532D"/>
    <w:rsid w:val="00B05D59"/>
    <w:rsid w:val="00B05EF8"/>
    <w:rsid w:val="00B06031"/>
    <w:rsid w:val="00B06066"/>
    <w:rsid w:val="00B06177"/>
    <w:rsid w:val="00B10A34"/>
    <w:rsid w:val="00B115E0"/>
    <w:rsid w:val="00B12652"/>
    <w:rsid w:val="00B13926"/>
    <w:rsid w:val="00B13DB9"/>
    <w:rsid w:val="00B147A7"/>
    <w:rsid w:val="00B14CD7"/>
    <w:rsid w:val="00B14E00"/>
    <w:rsid w:val="00B151E2"/>
    <w:rsid w:val="00B1591D"/>
    <w:rsid w:val="00B15999"/>
    <w:rsid w:val="00B168FA"/>
    <w:rsid w:val="00B169B4"/>
    <w:rsid w:val="00B16BC6"/>
    <w:rsid w:val="00B244B7"/>
    <w:rsid w:val="00B2586C"/>
    <w:rsid w:val="00B26161"/>
    <w:rsid w:val="00B26A12"/>
    <w:rsid w:val="00B26CD1"/>
    <w:rsid w:val="00B30297"/>
    <w:rsid w:val="00B303B7"/>
    <w:rsid w:val="00B3046A"/>
    <w:rsid w:val="00B307B1"/>
    <w:rsid w:val="00B30B2F"/>
    <w:rsid w:val="00B30ED2"/>
    <w:rsid w:val="00B31983"/>
    <w:rsid w:val="00B31C88"/>
    <w:rsid w:val="00B3221E"/>
    <w:rsid w:val="00B33F54"/>
    <w:rsid w:val="00B34E08"/>
    <w:rsid w:val="00B358B9"/>
    <w:rsid w:val="00B377D7"/>
    <w:rsid w:val="00B37CB9"/>
    <w:rsid w:val="00B40723"/>
    <w:rsid w:val="00B4115D"/>
    <w:rsid w:val="00B42A35"/>
    <w:rsid w:val="00B42AC4"/>
    <w:rsid w:val="00B43D9B"/>
    <w:rsid w:val="00B445B9"/>
    <w:rsid w:val="00B45CDE"/>
    <w:rsid w:val="00B45D81"/>
    <w:rsid w:val="00B47311"/>
    <w:rsid w:val="00B479BC"/>
    <w:rsid w:val="00B502F6"/>
    <w:rsid w:val="00B50693"/>
    <w:rsid w:val="00B51369"/>
    <w:rsid w:val="00B51B8B"/>
    <w:rsid w:val="00B52888"/>
    <w:rsid w:val="00B53690"/>
    <w:rsid w:val="00B54D9F"/>
    <w:rsid w:val="00B54EB9"/>
    <w:rsid w:val="00B55634"/>
    <w:rsid w:val="00B55909"/>
    <w:rsid w:val="00B55F4B"/>
    <w:rsid w:val="00B565B9"/>
    <w:rsid w:val="00B57BA9"/>
    <w:rsid w:val="00B6070B"/>
    <w:rsid w:val="00B60FF2"/>
    <w:rsid w:val="00B6157E"/>
    <w:rsid w:val="00B62281"/>
    <w:rsid w:val="00B634FD"/>
    <w:rsid w:val="00B63D66"/>
    <w:rsid w:val="00B64143"/>
    <w:rsid w:val="00B648BA"/>
    <w:rsid w:val="00B65102"/>
    <w:rsid w:val="00B6519F"/>
    <w:rsid w:val="00B65257"/>
    <w:rsid w:val="00B65727"/>
    <w:rsid w:val="00B65995"/>
    <w:rsid w:val="00B65B14"/>
    <w:rsid w:val="00B65D80"/>
    <w:rsid w:val="00B65DD3"/>
    <w:rsid w:val="00B701FE"/>
    <w:rsid w:val="00B706A4"/>
    <w:rsid w:val="00B70F85"/>
    <w:rsid w:val="00B719B9"/>
    <w:rsid w:val="00B71E01"/>
    <w:rsid w:val="00B72978"/>
    <w:rsid w:val="00B7617E"/>
    <w:rsid w:val="00B7798B"/>
    <w:rsid w:val="00B8050C"/>
    <w:rsid w:val="00B81A77"/>
    <w:rsid w:val="00B81D72"/>
    <w:rsid w:val="00B82518"/>
    <w:rsid w:val="00B83419"/>
    <w:rsid w:val="00B83521"/>
    <w:rsid w:val="00B837D6"/>
    <w:rsid w:val="00B84324"/>
    <w:rsid w:val="00B85AC5"/>
    <w:rsid w:val="00B85FF3"/>
    <w:rsid w:val="00B86180"/>
    <w:rsid w:val="00B86C64"/>
    <w:rsid w:val="00B87160"/>
    <w:rsid w:val="00B90432"/>
    <w:rsid w:val="00B90DF5"/>
    <w:rsid w:val="00B914D7"/>
    <w:rsid w:val="00B91E8B"/>
    <w:rsid w:val="00B92396"/>
    <w:rsid w:val="00B938F6"/>
    <w:rsid w:val="00B94D5A"/>
    <w:rsid w:val="00B963C6"/>
    <w:rsid w:val="00B967B6"/>
    <w:rsid w:val="00B967DA"/>
    <w:rsid w:val="00B97C5F"/>
    <w:rsid w:val="00BA015C"/>
    <w:rsid w:val="00BA026E"/>
    <w:rsid w:val="00BA0ACE"/>
    <w:rsid w:val="00BA1CEE"/>
    <w:rsid w:val="00BA2D66"/>
    <w:rsid w:val="00BA38AE"/>
    <w:rsid w:val="00BA469B"/>
    <w:rsid w:val="00BA4C7E"/>
    <w:rsid w:val="00BA57D0"/>
    <w:rsid w:val="00BA687B"/>
    <w:rsid w:val="00BA6928"/>
    <w:rsid w:val="00BA6BAC"/>
    <w:rsid w:val="00BA7E1A"/>
    <w:rsid w:val="00BB0AAA"/>
    <w:rsid w:val="00BB1B9E"/>
    <w:rsid w:val="00BB2412"/>
    <w:rsid w:val="00BB2C1F"/>
    <w:rsid w:val="00BB384E"/>
    <w:rsid w:val="00BB3E98"/>
    <w:rsid w:val="00BB3FE6"/>
    <w:rsid w:val="00BB5C1E"/>
    <w:rsid w:val="00BB5F93"/>
    <w:rsid w:val="00BB6581"/>
    <w:rsid w:val="00BB6F9B"/>
    <w:rsid w:val="00BC09F5"/>
    <w:rsid w:val="00BC0B12"/>
    <w:rsid w:val="00BC0FD6"/>
    <w:rsid w:val="00BC1119"/>
    <w:rsid w:val="00BC113F"/>
    <w:rsid w:val="00BC261A"/>
    <w:rsid w:val="00BC3146"/>
    <w:rsid w:val="00BC4915"/>
    <w:rsid w:val="00BD08F0"/>
    <w:rsid w:val="00BD0A39"/>
    <w:rsid w:val="00BD1291"/>
    <w:rsid w:val="00BD1CE0"/>
    <w:rsid w:val="00BD24CA"/>
    <w:rsid w:val="00BD3EEF"/>
    <w:rsid w:val="00BD6637"/>
    <w:rsid w:val="00BD78E4"/>
    <w:rsid w:val="00BD7AA4"/>
    <w:rsid w:val="00BE076F"/>
    <w:rsid w:val="00BE0B44"/>
    <w:rsid w:val="00BE0C92"/>
    <w:rsid w:val="00BE1222"/>
    <w:rsid w:val="00BE1A7E"/>
    <w:rsid w:val="00BE29F2"/>
    <w:rsid w:val="00BE306B"/>
    <w:rsid w:val="00BE34F3"/>
    <w:rsid w:val="00BE386C"/>
    <w:rsid w:val="00BE43CC"/>
    <w:rsid w:val="00BE4CBC"/>
    <w:rsid w:val="00BE62BB"/>
    <w:rsid w:val="00BE70EC"/>
    <w:rsid w:val="00BF0BF7"/>
    <w:rsid w:val="00BF1059"/>
    <w:rsid w:val="00BF18CD"/>
    <w:rsid w:val="00BF2390"/>
    <w:rsid w:val="00BF2FAC"/>
    <w:rsid w:val="00BF3FA7"/>
    <w:rsid w:val="00BF42E0"/>
    <w:rsid w:val="00BF4D65"/>
    <w:rsid w:val="00BF6A66"/>
    <w:rsid w:val="00BF7692"/>
    <w:rsid w:val="00C00281"/>
    <w:rsid w:val="00C008C9"/>
    <w:rsid w:val="00C01148"/>
    <w:rsid w:val="00C0123C"/>
    <w:rsid w:val="00C01907"/>
    <w:rsid w:val="00C01943"/>
    <w:rsid w:val="00C01E1E"/>
    <w:rsid w:val="00C043DA"/>
    <w:rsid w:val="00C04B6F"/>
    <w:rsid w:val="00C051F3"/>
    <w:rsid w:val="00C058F2"/>
    <w:rsid w:val="00C05DF5"/>
    <w:rsid w:val="00C06555"/>
    <w:rsid w:val="00C06AF6"/>
    <w:rsid w:val="00C06F57"/>
    <w:rsid w:val="00C10CEC"/>
    <w:rsid w:val="00C110A1"/>
    <w:rsid w:val="00C12C9F"/>
    <w:rsid w:val="00C13F02"/>
    <w:rsid w:val="00C160BB"/>
    <w:rsid w:val="00C165F1"/>
    <w:rsid w:val="00C21132"/>
    <w:rsid w:val="00C216E3"/>
    <w:rsid w:val="00C22084"/>
    <w:rsid w:val="00C23136"/>
    <w:rsid w:val="00C234C3"/>
    <w:rsid w:val="00C239F8"/>
    <w:rsid w:val="00C25013"/>
    <w:rsid w:val="00C27CD9"/>
    <w:rsid w:val="00C301EB"/>
    <w:rsid w:val="00C31FC0"/>
    <w:rsid w:val="00C32C64"/>
    <w:rsid w:val="00C34CF8"/>
    <w:rsid w:val="00C3544B"/>
    <w:rsid w:val="00C36094"/>
    <w:rsid w:val="00C3711D"/>
    <w:rsid w:val="00C37404"/>
    <w:rsid w:val="00C37DDF"/>
    <w:rsid w:val="00C4036F"/>
    <w:rsid w:val="00C40ED4"/>
    <w:rsid w:val="00C429C1"/>
    <w:rsid w:val="00C434B4"/>
    <w:rsid w:val="00C43A64"/>
    <w:rsid w:val="00C44A34"/>
    <w:rsid w:val="00C45FA2"/>
    <w:rsid w:val="00C46E22"/>
    <w:rsid w:val="00C47726"/>
    <w:rsid w:val="00C477E7"/>
    <w:rsid w:val="00C47CF9"/>
    <w:rsid w:val="00C5192E"/>
    <w:rsid w:val="00C521EA"/>
    <w:rsid w:val="00C52A33"/>
    <w:rsid w:val="00C52E64"/>
    <w:rsid w:val="00C53653"/>
    <w:rsid w:val="00C5423E"/>
    <w:rsid w:val="00C54CA3"/>
    <w:rsid w:val="00C55777"/>
    <w:rsid w:val="00C56093"/>
    <w:rsid w:val="00C5692E"/>
    <w:rsid w:val="00C57096"/>
    <w:rsid w:val="00C602AB"/>
    <w:rsid w:val="00C605E0"/>
    <w:rsid w:val="00C60D3F"/>
    <w:rsid w:val="00C627C2"/>
    <w:rsid w:val="00C63948"/>
    <w:rsid w:val="00C644D3"/>
    <w:rsid w:val="00C64D07"/>
    <w:rsid w:val="00C65387"/>
    <w:rsid w:val="00C65813"/>
    <w:rsid w:val="00C67208"/>
    <w:rsid w:val="00C672FF"/>
    <w:rsid w:val="00C678A4"/>
    <w:rsid w:val="00C67CD0"/>
    <w:rsid w:val="00C708A0"/>
    <w:rsid w:val="00C711C6"/>
    <w:rsid w:val="00C72607"/>
    <w:rsid w:val="00C726D9"/>
    <w:rsid w:val="00C729D6"/>
    <w:rsid w:val="00C7442F"/>
    <w:rsid w:val="00C74891"/>
    <w:rsid w:val="00C7541E"/>
    <w:rsid w:val="00C77252"/>
    <w:rsid w:val="00C80034"/>
    <w:rsid w:val="00C80255"/>
    <w:rsid w:val="00C81ADB"/>
    <w:rsid w:val="00C81F1F"/>
    <w:rsid w:val="00C82019"/>
    <w:rsid w:val="00C83123"/>
    <w:rsid w:val="00C83D4B"/>
    <w:rsid w:val="00C84D7D"/>
    <w:rsid w:val="00C84E04"/>
    <w:rsid w:val="00C85EAF"/>
    <w:rsid w:val="00C860A8"/>
    <w:rsid w:val="00C90831"/>
    <w:rsid w:val="00C9173B"/>
    <w:rsid w:val="00C9280A"/>
    <w:rsid w:val="00C930BD"/>
    <w:rsid w:val="00C9390C"/>
    <w:rsid w:val="00C93951"/>
    <w:rsid w:val="00C94D43"/>
    <w:rsid w:val="00C95A25"/>
    <w:rsid w:val="00C97BA1"/>
    <w:rsid w:val="00CA00F3"/>
    <w:rsid w:val="00CA1A60"/>
    <w:rsid w:val="00CA20A5"/>
    <w:rsid w:val="00CA22F9"/>
    <w:rsid w:val="00CA3975"/>
    <w:rsid w:val="00CA4A44"/>
    <w:rsid w:val="00CA56DC"/>
    <w:rsid w:val="00CA5CAE"/>
    <w:rsid w:val="00CA620D"/>
    <w:rsid w:val="00CA6635"/>
    <w:rsid w:val="00CA75EB"/>
    <w:rsid w:val="00CA7832"/>
    <w:rsid w:val="00CB03C2"/>
    <w:rsid w:val="00CB084E"/>
    <w:rsid w:val="00CB2713"/>
    <w:rsid w:val="00CB3074"/>
    <w:rsid w:val="00CB5805"/>
    <w:rsid w:val="00CB6821"/>
    <w:rsid w:val="00CB7A46"/>
    <w:rsid w:val="00CB7E49"/>
    <w:rsid w:val="00CC1081"/>
    <w:rsid w:val="00CC11DC"/>
    <w:rsid w:val="00CC1225"/>
    <w:rsid w:val="00CC2B0A"/>
    <w:rsid w:val="00CC3162"/>
    <w:rsid w:val="00CC3D30"/>
    <w:rsid w:val="00CC40DA"/>
    <w:rsid w:val="00CC4674"/>
    <w:rsid w:val="00CC4A6A"/>
    <w:rsid w:val="00CC4C9A"/>
    <w:rsid w:val="00CC5BF6"/>
    <w:rsid w:val="00CC5E19"/>
    <w:rsid w:val="00CC69CA"/>
    <w:rsid w:val="00CC77C3"/>
    <w:rsid w:val="00CC783E"/>
    <w:rsid w:val="00CC7A18"/>
    <w:rsid w:val="00CC7B76"/>
    <w:rsid w:val="00CC7C2B"/>
    <w:rsid w:val="00CC7D38"/>
    <w:rsid w:val="00CC7F99"/>
    <w:rsid w:val="00CD1024"/>
    <w:rsid w:val="00CD1903"/>
    <w:rsid w:val="00CD1BFF"/>
    <w:rsid w:val="00CD4564"/>
    <w:rsid w:val="00CD4BA9"/>
    <w:rsid w:val="00CD75DA"/>
    <w:rsid w:val="00CE0613"/>
    <w:rsid w:val="00CE0D62"/>
    <w:rsid w:val="00CE1472"/>
    <w:rsid w:val="00CE2C9B"/>
    <w:rsid w:val="00CE34E3"/>
    <w:rsid w:val="00CE3611"/>
    <w:rsid w:val="00CE46EF"/>
    <w:rsid w:val="00CE51A1"/>
    <w:rsid w:val="00CE5E87"/>
    <w:rsid w:val="00CE6086"/>
    <w:rsid w:val="00CE61F0"/>
    <w:rsid w:val="00CE75BD"/>
    <w:rsid w:val="00CE7A9E"/>
    <w:rsid w:val="00CF0A7E"/>
    <w:rsid w:val="00CF0D44"/>
    <w:rsid w:val="00CF1D0C"/>
    <w:rsid w:val="00CF2B30"/>
    <w:rsid w:val="00CF2BD5"/>
    <w:rsid w:val="00CF3B7F"/>
    <w:rsid w:val="00CF5014"/>
    <w:rsid w:val="00CF5BF2"/>
    <w:rsid w:val="00CF5E1F"/>
    <w:rsid w:val="00CF696B"/>
    <w:rsid w:val="00CF70A2"/>
    <w:rsid w:val="00CF792D"/>
    <w:rsid w:val="00D00AFD"/>
    <w:rsid w:val="00D030E2"/>
    <w:rsid w:val="00D0315C"/>
    <w:rsid w:val="00D0324C"/>
    <w:rsid w:val="00D103B5"/>
    <w:rsid w:val="00D10726"/>
    <w:rsid w:val="00D10CBA"/>
    <w:rsid w:val="00D10EF7"/>
    <w:rsid w:val="00D12E74"/>
    <w:rsid w:val="00D13050"/>
    <w:rsid w:val="00D13216"/>
    <w:rsid w:val="00D15273"/>
    <w:rsid w:val="00D16555"/>
    <w:rsid w:val="00D1701C"/>
    <w:rsid w:val="00D209F7"/>
    <w:rsid w:val="00D21122"/>
    <w:rsid w:val="00D2123B"/>
    <w:rsid w:val="00D21B66"/>
    <w:rsid w:val="00D21ED8"/>
    <w:rsid w:val="00D222B1"/>
    <w:rsid w:val="00D22CD6"/>
    <w:rsid w:val="00D2304B"/>
    <w:rsid w:val="00D23085"/>
    <w:rsid w:val="00D23B5D"/>
    <w:rsid w:val="00D23C07"/>
    <w:rsid w:val="00D23F19"/>
    <w:rsid w:val="00D23FCA"/>
    <w:rsid w:val="00D2406D"/>
    <w:rsid w:val="00D241CB"/>
    <w:rsid w:val="00D242C3"/>
    <w:rsid w:val="00D24E21"/>
    <w:rsid w:val="00D25A25"/>
    <w:rsid w:val="00D26109"/>
    <w:rsid w:val="00D26161"/>
    <w:rsid w:val="00D27BD0"/>
    <w:rsid w:val="00D3031D"/>
    <w:rsid w:val="00D30785"/>
    <w:rsid w:val="00D30F1D"/>
    <w:rsid w:val="00D31DB6"/>
    <w:rsid w:val="00D3233D"/>
    <w:rsid w:val="00D34680"/>
    <w:rsid w:val="00D34D01"/>
    <w:rsid w:val="00D34D7C"/>
    <w:rsid w:val="00D35608"/>
    <w:rsid w:val="00D36062"/>
    <w:rsid w:val="00D365B3"/>
    <w:rsid w:val="00D36996"/>
    <w:rsid w:val="00D37FCA"/>
    <w:rsid w:val="00D403B1"/>
    <w:rsid w:val="00D40D16"/>
    <w:rsid w:val="00D41464"/>
    <w:rsid w:val="00D42503"/>
    <w:rsid w:val="00D443A6"/>
    <w:rsid w:val="00D4500F"/>
    <w:rsid w:val="00D45400"/>
    <w:rsid w:val="00D455AC"/>
    <w:rsid w:val="00D45860"/>
    <w:rsid w:val="00D45A3F"/>
    <w:rsid w:val="00D45C97"/>
    <w:rsid w:val="00D47DC4"/>
    <w:rsid w:val="00D51A4D"/>
    <w:rsid w:val="00D5281E"/>
    <w:rsid w:val="00D52B7B"/>
    <w:rsid w:val="00D52CAB"/>
    <w:rsid w:val="00D53D3C"/>
    <w:rsid w:val="00D53FB2"/>
    <w:rsid w:val="00D54A0A"/>
    <w:rsid w:val="00D55338"/>
    <w:rsid w:val="00D56224"/>
    <w:rsid w:val="00D57050"/>
    <w:rsid w:val="00D572E4"/>
    <w:rsid w:val="00D57792"/>
    <w:rsid w:val="00D57887"/>
    <w:rsid w:val="00D60802"/>
    <w:rsid w:val="00D613FF"/>
    <w:rsid w:val="00D618B4"/>
    <w:rsid w:val="00D62F9B"/>
    <w:rsid w:val="00D6372F"/>
    <w:rsid w:val="00D64806"/>
    <w:rsid w:val="00D64D4B"/>
    <w:rsid w:val="00D6530F"/>
    <w:rsid w:val="00D65998"/>
    <w:rsid w:val="00D6626C"/>
    <w:rsid w:val="00D6739E"/>
    <w:rsid w:val="00D70776"/>
    <w:rsid w:val="00D73412"/>
    <w:rsid w:val="00D7360B"/>
    <w:rsid w:val="00D73AB7"/>
    <w:rsid w:val="00D73C44"/>
    <w:rsid w:val="00D74A14"/>
    <w:rsid w:val="00D76CBB"/>
    <w:rsid w:val="00D77457"/>
    <w:rsid w:val="00D774AF"/>
    <w:rsid w:val="00D77AAB"/>
    <w:rsid w:val="00D82483"/>
    <w:rsid w:val="00D83491"/>
    <w:rsid w:val="00D83ED5"/>
    <w:rsid w:val="00D8540A"/>
    <w:rsid w:val="00D8573C"/>
    <w:rsid w:val="00D86558"/>
    <w:rsid w:val="00D86EA9"/>
    <w:rsid w:val="00D8783D"/>
    <w:rsid w:val="00D90EA4"/>
    <w:rsid w:val="00D911FB"/>
    <w:rsid w:val="00D912A4"/>
    <w:rsid w:val="00D9173E"/>
    <w:rsid w:val="00D93D9C"/>
    <w:rsid w:val="00D94A98"/>
    <w:rsid w:val="00D9542D"/>
    <w:rsid w:val="00D95832"/>
    <w:rsid w:val="00D95CD2"/>
    <w:rsid w:val="00D964F9"/>
    <w:rsid w:val="00D96B58"/>
    <w:rsid w:val="00DA0C07"/>
    <w:rsid w:val="00DA222F"/>
    <w:rsid w:val="00DA235B"/>
    <w:rsid w:val="00DA3DC0"/>
    <w:rsid w:val="00DA3F2D"/>
    <w:rsid w:val="00DA5BB2"/>
    <w:rsid w:val="00DA5D08"/>
    <w:rsid w:val="00DA6536"/>
    <w:rsid w:val="00DA7039"/>
    <w:rsid w:val="00DB18B2"/>
    <w:rsid w:val="00DB1EB1"/>
    <w:rsid w:val="00DB3EAF"/>
    <w:rsid w:val="00DB4346"/>
    <w:rsid w:val="00DB4784"/>
    <w:rsid w:val="00DB5EDF"/>
    <w:rsid w:val="00DB61F1"/>
    <w:rsid w:val="00DB682C"/>
    <w:rsid w:val="00DB7F7B"/>
    <w:rsid w:val="00DC1181"/>
    <w:rsid w:val="00DC3AF0"/>
    <w:rsid w:val="00DC4750"/>
    <w:rsid w:val="00DC4ADD"/>
    <w:rsid w:val="00DC5662"/>
    <w:rsid w:val="00DC58F1"/>
    <w:rsid w:val="00DC66DC"/>
    <w:rsid w:val="00DC7510"/>
    <w:rsid w:val="00DC789F"/>
    <w:rsid w:val="00DC7EDF"/>
    <w:rsid w:val="00DD00BC"/>
    <w:rsid w:val="00DD0CFD"/>
    <w:rsid w:val="00DD1445"/>
    <w:rsid w:val="00DD151B"/>
    <w:rsid w:val="00DD240D"/>
    <w:rsid w:val="00DD2698"/>
    <w:rsid w:val="00DD2DF4"/>
    <w:rsid w:val="00DD3265"/>
    <w:rsid w:val="00DD370D"/>
    <w:rsid w:val="00DD3A36"/>
    <w:rsid w:val="00DD4F1C"/>
    <w:rsid w:val="00DD5CF5"/>
    <w:rsid w:val="00DD626F"/>
    <w:rsid w:val="00DD66AD"/>
    <w:rsid w:val="00DD6875"/>
    <w:rsid w:val="00DD6C8A"/>
    <w:rsid w:val="00DD7722"/>
    <w:rsid w:val="00DD7AE2"/>
    <w:rsid w:val="00DE3983"/>
    <w:rsid w:val="00DE3BB2"/>
    <w:rsid w:val="00DE40E1"/>
    <w:rsid w:val="00DE6F79"/>
    <w:rsid w:val="00DE721B"/>
    <w:rsid w:val="00DE749B"/>
    <w:rsid w:val="00DF0A11"/>
    <w:rsid w:val="00DF0CC1"/>
    <w:rsid w:val="00DF3632"/>
    <w:rsid w:val="00DF5A14"/>
    <w:rsid w:val="00DF667F"/>
    <w:rsid w:val="00DF677C"/>
    <w:rsid w:val="00E005FD"/>
    <w:rsid w:val="00E00BBC"/>
    <w:rsid w:val="00E00CF6"/>
    <w:rsid w:val="00E011E2"/>
    <w:rsid w:val="00E01A0F"/>
    <w:rsid w:val="00E02A22"/>
    <w:rsid w:val="00E02DB3"/>
    <w:rsid w:val="00E04376"/>
    <w:rsid w:val="00E04D5C"/>
    <w:rsid w:val="00E0550F"/>
    <w:rsid w:val="00E07D54"/>
    <w:rsid w:val="00E07D9A"/>
    <w:rsid w:val="00E11048"/>
    <w:rsid w:val="00E12D98"/>
    <w:rsid w:val="00E13046"/>
    <w:rsid w:val="00E1456D"/>
    <w:rsid w:val="00E1475D"/>
    <w:rsid w:val="00E151E3"/>
    <w:rsid w:val="00E20DC9"/>
    <w:rsid w:val="00E25371"/>
    <w:rsid w:val="00E25D7B"/>
    <w:rsid w:val="00E25E69"/>
    <w:rsid w:val="00E268AE"/>
    <w:rsid w:val="00E26CA6"/>
    <w:rsid w:val="00E318ED"/>
    <w:rsid w:val="00E328F2"/>
    <w:rsid w:val="00E3391F"/>
    <w:rsid w:val="00E33CA2"/>
    <w:rsid w:val="00E34564"/>
    <w:rsid w:val="00E35CF5"/>
    <w:rsid w:val="00E368EE"/>
    <w:rsid w:val="00E36A4C"/>
    <w:rsid w:val="00E36F4C"/>
    <w:rsid w:val="00E40360"/>
    <w:rsid w:val="00E4284E"/>
    <w:rsid w:val="00E42932"/>
    <w:rsid w:val="00E429AA"/>
    <w:rsid w:val="00E42DC3"/>
    <w:rsid w:val="00E43B0D"/>
    <w:rsid w:val="00E43C22"/>
    <w:rsid w:val="00E446BB"/>
    <w:rsid w:val="00E44B2F"/>
    <w:rsid w:val="00E45C47"/>
    <w:rsid w:val="00E46A25"/>
    <w:rsid w:val="00E47E44"/>
    <w:rsid w:val="00E505F4"/>
    <w:rsid w:val="00E505FC"/>
    <w:rsid w:val="00E5089E"/>
    <w:rsid w:val="00E51CC0"/>
    <w:rsid w:val="00E51FE2"/>
    <w:rsid w:val="00E529BF"/>
    <w:rsid w:val="00E5403C"/>
    <w:rsid w:val="00E54911"/>
    <w:rsid w:val="00E54FD7"/>
    <w:rsid w:val="00E550B4"/>
    <w:rsid w:val="00E556C6"/>
    <w:rsid w:val="00E5585F"/>
    <w:rsid w:val="00E55F28"/>
    <w:rsid w:val="00E56442"/>
    <w:rsid w:val="00E56707"/>
    <w:rsid w:val="00E57149"/>
    <w:rsid w:val="00E617A3"/>
    <w:rsid w:val="00E62397"/>
    <w:rsid w:val="00E62B2D"/>
    <w:rsid w:val="00E63133"/>
    <w:rsid w:val="00E63A8C"/>
    <w:rsid w:val="00E64B5F"/>
    <w:rsid w:val="00E65532"/>
    <w:rsid w:val="00E65FF9"/>
    <w:rsid w:val="00E669DC"/>
    <w:rsid w:val="00E67DFF"/>
    <w:rsid w:val="00E71028"/>
    <w:rsid w:val="00E71413"/>
    <w:rsid w:val="00E7193C"/>
    <w:rsid w:val="00E72A6B"/>
    <w:rsid w:val="00E73194"/>
    <w:rsid w:val="00E77476"/>
    <w:rsid w:val="00E801BC"/>
    <w:rsid w:val="00E80C03"/>
    <w:rsid w:val="00E8220F"/>
    <w:rsid w:val="00E833F0"/>
    <w:rsid w:val="00E8462F"/>
    <w:rsid w:val="00E85C9A"/>
    <w:rsid w:val="00E8773D"/>
    <w:rsid w:val="00E9050D"/>
    <w:rsid w:val="00E9088C"/>
    <w:rsid w:val="00E90A1B"/>
    <w:rsid w:val="00E90D1C"/>
    <w:rsid w:val="00E9132E"/>
    <w:rsid w:val="00E944AD"/>
    <w:rsid w:val="00E94CC7"/>
    <w:rsid w:val="00E95313"/>
    <w:rsid w:val="00E95E0C"/>
    <w:rsid w:val="00E96A9F"/>
    <w:rsid w:val="00E973E5"/>
    <w:rsid w:val="00E97C34"/>
    <w:rsid w:val="00EA0081"/>
    <w:rsid w:val="00EA064C"/>
    <w:rsid w:val="00EA0DD9"/>
    <w:rsid w:val="00EA2219"/>
    <w:rsid w:val="00EA231C"/>
    <w:rsid w:val="00EA312B"/>
    <w:rsid w:val="00EA33F9"/>
    <w:rsid w:val="00EA457F"/>
    <w:rsid w:val="00EA4A88"/>
    <w:rsid w:val="00EA6103"/>
    <w:rsid w:val="00EA7525"/>
    <w:rsid w:val="00EA7F36"/>
    <w:rsid w:val="00EB0992"/>
    <w:rsid w:val="00EB111C"/>
    <w:rsid w:val="00EB1780"/>
    <w:rsid w:val="00EB2403"/>
    <w:rsid w:val="00EB398B"/>
    <w:rsid w:val="00EB4313"/>
    <w:rsid w:val="00EB43F2"/>
    <w:rsid w:val="00EB4FA2"/>
    <w:rsid w:val="00EB780A"/>
    <w:rsid w:val="00EB78BD"/>
    <w:rsid w:val="00EC0BA1"/>
    <w:rsid w:val="00EC1793"/>
    <w:rsid w:val="00EC17F5"/>
    <w:rsid w:val="00EC1DC8"/>
    <w:rsid w:val="00EC30FB"/>
    <w:rsid w:val="00EC351F"/>
    <w:rsid w:val="00EC3AC8"/>
    <w:rsid w:val="00EC4117"/>
    <w:rsid w:val="00EC45EC"/>
    <w:rsid w:val="00EC61AB"/>
    <w:rsid w:val="00EC6EBC"/>
    <w:rsid w:val="00EC736D"/>
    <w:rsid w:val="00EC776E"/>
    <w:rsid w:val="00EC7A48"/>
    <w:rsid w:val="00ED1A84"/>
    <w:rsid w:val="00ED219A"/>
    <w:rsid w:val="00ED34D1"/>
    <w:rsid w:val="00ED3733"/>
    <w:rsid w:val="00ED49FB"/>
    <w:rsid w:val="00ED4ACA"/>
    <w:rsid w:val="00ED4D9C"/>
    <w:rsid w:val="00ED57FE"/>
    <w:rsid w:val="00ED5B78"/>
    <w:rsid w:val="00ED6022"/>
    <w:rsid w:val="00ED64FD"/>
    <w:rsid w:val="00ED6611"/>
    <w:rsid w:val="00EE4410"/>
    <w:rsid w:val="00EE492A"/>
    <w:rsid w:val="00EE4D03"/>
    <w:rsid w:val="00EE5524"/>
    <w:rsid w:val="00EE57F4"/>
    <w:rsid w:val="00EE5F67"/>
    <w:rsid w:val="00EE5FA2"/>
    <w:rsid w:val="00EE632E"/>
    <w:rsid w:val="00EF0E63"/>
    <w:rsid w:val="00EF2369"/>
    <w:rsid w:val="00EF4898"/>
    <w:rsid w:val="00EF5795"/>
    <w:rsid w:val="00EF579B"/>
    <w:rsid w:val="00EF5918"/>
    <w:rsid w:val="00EF5A12"/>
    <w:rsid w:val="00EF5B44"/>
    <w:rsid w:val="00EF7615"/>
    <w:rsid w:val="00EF7923"/>
    <w:rsid w:val="00F01B05"/>
    <w:rsid w:val="00F02066"/>
    <w:rsid w:val="00F033F5"/>
    <w:rsid w:val="00F04116"/>
    <w:rsid w:val="00F0492C"/>
    <w:rsid w:val="00F05797"/>
    <w:rsid w:val="00F06449"/>
    <w:rsid w:val="00F06910"/>
    <w:rsid w:val="00F07037"/>
    <w:rsid w:val="00F07AFD"/>
    <w:rsid w:val="00F107DE"/>
    <w:rsid w:val="00F117D9"/>
    <w:rsid w:val="00F12A79"/>
    <w:rsid w:val="00F13356"/>
    <w:rsid w:val="00F13585"/>
    <w:rsid w:val="00F13827"/>
    <w:rsid w:val="00F13F19"/>
    <w:rsid w:val="00F1405D"/>
    <w:rsid w:val="00F15FEF"/>
    <w:rsid w:val="00F16431"/>
    <w:rsid w:val="00F17781"/>
    <w:rsid w:val="00F205D5"/>
    <w:rsid w:val="00F22739"/>
    <w:rsid w:val="00F22DBD"/>
    <w:rsid w:val="00F23A89"/>
    <w:rsid w:val="00F25190"/>
    <w:rsid w:val="00F258BB"/>
    <w:rsid w:val="00F25963"/>
    <w:rsid w:val="00F26813"/>
    <w:rsid w:val="00F26C30"/>
    <w:rsid w:val="00F274D4"/>
    <w:rsid w:val="00F27A71"/>
    <w:rsid w:val="00F27AC4"/>
    <w:rsid w:val="00F30392"/>
    <w:rsid w:val="00F30633"/>
    <w:rsid w:val="00F30B04"/>
    <w:rsid w:val="00F31BD5"/>
    <w:rsid w:val="00F324B8"/>
    <w:rsid w:val="00F3342A"/>
    <w:rsid w:val="00F33476"/>
    <w:rsid w:val="00F33B5D"/>
    <w:rsid w:val="00F37B7D"/>
    <w:rsid w:val="00F37E09"/>
    <w:rsid w:val="00F40107"/>
    <w:rsid w:val="00F41B79"/>
    <w:rsid w:val="00F41E41"/>
    <w:rsid w:val="00F42998"/>
    <w:rsid w:val="00F42F3F"/>
    <w:rsid w:val="00F434D8"/>
    <w:rsid w:val="00F43ED4"/>
    <w:rsid w:val="00F448A3"/>
    <w:rsid w:val="00F44DBB"/>
    <w:rsid w:val="00F461A1"/>
    <w:rsid w:val="00F47462"/>
    <w:rsid w:val="00F47595"/>
    <w:rsid w:val="00F47912"/>
    <w:rsid w:val="00F507C9"/>
    <w:rsid w:val="00F51FFA"/>
    <w:rsid w:val="00F54A93"/>
    <w:rsid w:val="00F55AC4"/>
    <w:rsid w:val="00F55C93"/>
    <w:rsid w:val="00F55E8B"/>
    <w:rsid w:val="00F570A3"/>
    <w:rsid w:val="00F57242"/>
    <w:rsid w:val="00F5736A"/>
    <w:rsid w:val="00F62B53"/>
    <w:rsid w:val="00F6364A"/>
    <w:rsid w:val="00F63873"/>
    <w:rsid w:val="00F63A96"/>
    <w:rsid w:val="00F63EAE"/>
    <w:rsid w:val="00F6416E"/>
    <w:rsid w:val="00F6535C"/>
    <w:rsid w:val="00F65862"/>
    <w:rsid w:val="00F659A7"/>
    <w:rsid w:val="00F66604"/>
    <w:rsid w:val="00F6689D"/>
    <w:rsid w:val="00F66AD0"/>
    <w:rsid w:val="00F706EE"/>
    <w:rsid w:val="00F719E2"/>
    <w:rsid w:val="00F74B85"/>
    <w:rsid w:val="00F756A9"/>
    <w:rsid w:val="00F75A58"/>
    <w:rsid w:val="00F7692E"/>
    <w:rsid w:val="00F76A4D"/>
    <w:rsid w:val="00F77417"/>
    <w:rsid w:val="00F77E11"/>
    <w:rsid w:val="00F8056C"/>
    <w:rsid w:val="00F80FC6"/>
    <w:rsid w:val="00F83415"/>
    <w:rsid w:val="00F86A9C"/>
    <w:rsid w:val="00F870C6"/>
    <w:rsid w:val="00F873ED"/>
    <w:rsid w:val="00F90313"/>
    <w:rsid w:val="00F92F9E"/>
    <w:rsid w:val="00F93385"/>
    <w:rsid w:val="00F937EE"/>
    <w:rsid w:val="00F93EA8"/>
    <w:rsid w:val="00F94AF0"/>
    <w:rsid w:val="00F95B3F"/>
    <w:rsid w:val="00F95C1E"/>
    <w:rsid w:val="00F96427"/>
    <w:rsid w:val="00F97D93"/>
    <w:rsid w:val="00FA08AB"/>
    <w:rsid w:val="00FA0FFF"/>
    <w:rsid w:val="00FA12B5"/>
    <w:rsid w:val="00FA2DD2"/>
    <w:rsid w:val="00FA3F21"/>
    <w:rsid w:val="00FA5543"/>
    <w:rsid w:val="00FA71CD"/>
    <w:rsid w:val="00FA74C1"/>
    <w:rsid w:val="00FA74CC"/>
    <w:rsid w:val="00FA7A2E"/>
    <w:rsid w:val="00FB0F75"/>
    <w:rsid w:val="00FB406C"/>
    <w:rsid w:val="00FB45FF"/>
    <w:rsid w:val="00FB4C39"/>
    <w:rsid w:val="00FB51BB"/>
    <w:rsid w:val="00FB55D1"/>
    <w:rsid w:val="00FB58CF"/>
    <w:rsid w:val="00FB5F34"/>
    <w:rsid w:val="00FB74C7"/>
    <w:rsid w:val="00FC0727"/>
    <w:rsid w:val="00FC1111"/>
    <w:rsid w:val="00FC11FA"/>
    <w:rsid w:val="00FC1379"/>
    <w:rsid w:val="00FC147E"/>
    <w:rsid w:val="00FC17BD"/>
    <w:rsid w:val="00FC1BAC"/>
    <w:rsid w:val="00FC2285"/>
    <w:rsid w:val="00FC36DB"/>
    <w:rsid w:val="00FC3FB7"/>
    <w:rsid w:val="00FC4625"/>
    <w:rsid w:val="00FC48BF"/>
    <w:rsid w:val="00FC4BC7"/>
    <w:rsid w:val="00FC62D3"/>
    <w:rsid w:val="00FC6CDC"/>
    <w:rsid w:val="00FD1693"/>
    <w:rsid w:val="00FD2FBC"/>
    <w:rsid w:val="00FD30FC"/>
    <w:rsid w:val="00FD34CE"/>
    <w:rsid w:val="00FD44EB"/>
    <w:rsid w:val="00FD4A66"/>
    <w:rsid w:val="00FD4E42"/>
    <w:rsid w:val="00FD5088"/>
    <w:rsid w:val="00FD5168"/>
    <w:rsid w:val="00FD5490"/>
    <w:rsid w:val="00FD5906"/>
    <w:rsid w:val="00FD5AD4"/>
    <w:rsid w:val="00FD6330"/>
    <w:rsid w:val="00FD7A9F"/>
    <w:rsid w:val="00FE328E"/>
    <w:rsid w:val="00FE53A1"/>
    <w:rsid w:val="00FE661E"/>
    <w:rsid w:val="00FE6665"/>
    <w:rsid w:val="00FE7BDA"/>
    <w:rsid w:val="00FE7D85"/>
    <w:rsid w:val="00FE7FFA"/>
    <w:rsid w:val="00FF0E2F"/>
    <w:rsid w:val="00FF1C69"/>
    <w:rsid w:val="00FF1CFE"/>
    <w:rsid w:val="00FF2DDD"/>
    <w:rsid w:val="00FF3594"/>
    <w:rsid w:val="00FF4C93"/>
    <w:rsid w:val="00FF4D3A"/>
    <w:rsid w:val="00FF4FAE"/>
    <w:rsid w:val="00FF51C7"/>
    <w:rsid w:val="00FF6131"/>
    <w:rsid w:val="00FF6687"/>
    <w:rsid w:val="00FF6BDE"/>
    <w:rsid w:val="00FF6CE0"/>
    <w:rsid w:val="00FF7A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A34FADA"/>
  <w15:docId w15:val="{806D3DAF-29C3-4BA8-9B7F-B976DFDD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val="x-none"/>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3"/>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uiPriority w:val="99"/>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AC2E7B"/>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rsid w:val="00E5403C"/>
    <w:pPr>
      <w:spacing w:before="120" w:after="120"/>
      <w:jc w:val="left"/>
    </w:pPr>
    <w:rPr>
      <w:rFonts w:eastAsia="Batang"/>
      <w:b/>
      <w:i/>
      <w:snapToGrid w:val="0"/>
      <w:lang w:eastAsia="ko-KR"/>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NormalWeb">
    <w:name w:val="Normal (Web)"/>
    <w:basedOn w:val="Normal"/>
    <w:uiPriority w:val="99"/>
    <w:rsid w:val="009E6ED9"/>
    <w:pPr>
      <w:spacing w:before="100" w:beforeAutospacing="1" w:after="100" w:afterAutospacing="1"/>
      <w:jc w:val="left"/>
    </w:pPr>
    <w:rPr>
      <w:rFonts w:ascii="Verdana" w:eastAsia="Arial Unicode MS" w:hAnsi="Verdana"/>
      <w:color w:val="000000"/>
      <w:sz w:val="18"/>
      <w:szCs w:val="18"/>
      <w:lang w:val="en-US"/>
    </w:rPr>
  </w:style>
  <w:style w:type="paragraph" w:customStyle="1" w:styleId="goal">
    <w:name w:val="goal"/>
    <w:basedOn w:val="BodyText2"/>
    <w:rsid w:val="009E6ED9"/>
    <w:pPr>
      <w:tabs>
        <w:tab w:val="clear" w:pos="-1440"/>
        <w:tab w:val="clear" w:pos="-720"/>
        <w:tab w:val="clear" w:pos="0"/>
        <w:tab w:val="clear" w:pos="720"/>
        <w:tab w:val="clear" w:pos="1080"/>
        <w:tab w:val="clear" w:pos="1440"/>
      </w:tabs>
      <w:suppressAutoHyphens w:val="0"/>
      <w:spacing w:line="240" w:lineRule="auto"/>
      <w:ind w:left="0" w:firstLine="0"/>
    </w:pPr>
    <w:rPr>
      <w:rFonts w:ascii="Times New Roman Bold" w:hAnsi="Times New Roman Bold"/>
      <w:b/>
      <w:bCs/>
    </w:rPr>
  </w:style>
  <w:style w:type="character" w:styleId="Hyperlink">
    <w:name w:val="Hyperlink"/>
    <w:rsid w:val="009E6ED9"/>
    <w:rPr>
      <w:color w:val="0000FF"/>
      <w:sz w:val="18"/>
      <w:u w:val="single"/>
    </w:rPr>
  </w:style>
  <w:style w:type="character" w:styleId="Emphasis">
    <w:name w:val="Emphasis"/>
    <w:uiPriority w:val="20"/>
    <w:qFormat/>
    <w:rsid w:val="0009169A"/>
    <w:rPr>
      <w:i/>
      <w:iCs/>
    </w:rPr>
  </w:style>
  <w:style w:type="paragraph" w:customStyle="1" w:styleId="Default">
    <w:name w:val="Default"/>
    <w:rsid w:val="009F388C"/>
    <w:pPr>
      <w:autoSpaceDE w:val="0"/>
      <w:autoSpaceDN w:val="0"/>
      <w:adjustRightInd w:val="0"/>
    </w:pPr>
    <w:rPr>
      <w:color w:val="000000"/>
      <w:sz w:val="24"/>
      <w:szCs w:val="24"/>
    </w:rPr>
  </w:style>
  <w:style w:type="character" w:customStyle="1" w:styleId="SCOTT">
    <w:name w:val="SCOTT"/>
    <w:semiHidden/>
    <w:rsid w:val="006F1FB9"/>
    <w:rPr>
      <w:rFonts w:ascii="Palatino Linotype" w:hAnsi="Palatino Linotype"/>
      <w:b w:val="0"/>
      <w:bCs w:val="0"/>
      <w:i w:val="0"/>
      <w:iCs w:val="0"/>
      <w:strike w:val="0"/>
      <w:color w:val="008000"/>
      <w:sz w:val="24"/>
      <w:szCs w:val="24"/>
      <w:u w:val="none"/>
    </w:rPr>
  </w:style>
  <w:style w:type="paragraph" w:customStyle="1" w:styleId="headingrec">
    <w:name w:val="headingrec"/>
    <w:basedOn w:val="Normal"/>
    <w:rsid w:val="006F1FB9"/>
    <w:pPr>
      <w:keepNext/>
      <w:spacing w:before="120" w:after="120"/>
      <w:jc w:val="center"/>
    </w:pPr>
    <w:rPr>
      <w:b/>
      <w:bCs/>
      <w:i/>
      <w:iCs/>
      <w:szCs w:val="22"/>
      <w:lang w:val="en-US"/>
    </w:rPr>
  </w:style>
  <w:style w:type="paragraph" w:styleId="BalloonText">
    <w:name w:val="Balloon Text"/>
    <w:basedOn w:val="Normal"/>
    <w:semiHidden/>
    <w:rsid w:val="00EB4FA2"/>
    <w:rPr>
      <w:rFonts w:ascii="Tahoma" w:hAnsi="Tahoma" w:cs="Tahoma"/>
      <w:sz w:val="16"/>
      <w:szCs w:val="16"/>
    </w:rPr>
  </w:style>
  <w:style w:type="paragraph" w:customStyle="1" w:styleId="RKnormal">
    <w:name w:val="RKnormal"/>
    <w:basedOn w:val="Normal"/>
    <w:rsid w:val="005651CC"/>
    <w:pPr>
      <w:tabs>
        <w:tab w:val="left" w:pos="2835"/>
      </w:tabs>
      <w:overflowPunct w:val="0"/>
      <w:autoSpaceDE w:val="0"/>
      <w:autoSpaceDN w:val="0"/>
      <w:adjustRightInd w:val="0"/>
      <w:spacing w:line="240" w:lineRule="atLeast"/>
      <w:jc w:val="left"/>
      <w:textAlignment w:val="baseline"/>
    </w:pPr>
    <w:rPr>
      <w:rFonts w:ascii="OrigGarmnd BT" w:hAnsi="OrigGarmnd BT"/>
      <w:sz w:val="24"/>
      <w:szCs w:val="20"/>
      <w:lang w:val="sv-SE"/>
    </w:rPr>
  </w:style>
  <w:style w:type="paragraph" w:styleId="CommentSubject">
    <w:name w:val="annotation subject"/>
    <w:basedOn w:val="CommentText"/>
    <w:next w:val="CommentText"/>
    <w:semiHidden/>
    <w:rsid w:val="00377942"/>
    <w:pPr>
      <w:spacing w:after="0" w:line="240" w:lineRule="auto"/>
    </w:pPr>
    <w:rPr>
      <w:b/>
      <w:bCs/>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43652E"/>
    <w:rPr>
      <w:sz w:val="18"/>
      <w:szCs w:val="24"/>
      <w:lang w:eastAsia="en-US"/>
    </w:rPr>
  </w:style>
  <w:style w:type="paragraph" w:customStyle="1" w:styleId="para10">
    <w:name w:val="para1"/>
    <w:basedOn w:val="Normal"/>
    <w:uiPriority w:val="99"/>
    <w:rsid w:val="00DD7AE2"/>
    <w:pPr>
      <w:tabs>
        <w:tab w:val="num" w:pos="360"/>
      </w:tabs>
      <w:snapToGrid w:val="0"/>
      <w:spacing w:before="120" w:after="120"/>
    </w:pPr>
    <w:rPr>
      <w:szCs w:val="22"/>
      <w:lang w:val="en-US"/>
    </w:rPr>
  </w:style>
  <w:style w:type="character" w:customStyle="1" w:styleId="Heading1Char">
    <w:name w:val="Heading 1 Char"/>
    <w:link w:val="Heading1"/>
    <w:rsid w:val="00A8387B"/>
    <w:rPr>
      <w:b/>
      <w:caps/>
      <w:sz w:val="22"/>
      <w:szCs w:val="24"/>
      <w:lang w:eastAsia="en-US"/>
    </w:rPr>
  </w:style>
  <w:style w:type="paragraph" w:customStyle="1" w:styleId="recommendation">
    <w:name w:val="recommendation"/>
    <w:basedOn w:val="Heading2"/>
    <w:qFormat/>
    <w:rsid w:val="00CC1081"/>
    <w:rPr>
      <w:lang w:eastAsia="x-none"/>
    </w:rPr>
  </w:style>
  <w:style w:type="character" w:customStyle="1" w:styleId="CommentTextChar">
    <w:name w:val="Comment Text Char"/>
    <w:link w:val="CommentText"/>
    <w:uiPriority w:val="99"/>
    <w:semiHidden/>
    <w:rsid w:val="004B6734"/>
    <w:rPr>
      <w:sz w:val="22"/>
      <w:szCs w:val="24"/>
      <w:lang w:eastAsia="en-US"/>
    </w:rPr>
  </w:style>
  <w:style w:type="character" w:styleId="LineNumber">
    <w:name w:val="line number"/>
    <w:rsid w:val="008373CD"/>
  </w:style>
  <w:style w:type="table" w:styleId="TableGrid">
    <w:name w:val="Table Grid"/>
    <w:basedOn w:val="TableNormal"/>
    <w:uiPriority w:val="39"/>
    <w:rsid w:val="0039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F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sv-SE" w:eastAsia="sv-SE"/>
    </w:rPr>
  </w:style>
  <w:style w:type="character" w:customStyle="1" w:styleId="HTMLPreformattedChar">
    <w:name w:val="HTML Preformatted Char"/>
    <w:link w:val="HTMLPreformatted"/>
    <w:uiPriority w:val="99"/>
    <w:rsid w:val="00CF5BF2"/>
    <w:rPr>
      <w:rFonts w:ascii="Courier New" w:hAnsi="Courier New" w:cs="Courier New"/>
      <w:lang w:val="sv-SE" w:eastAsia="sv-SE"/>
    </w:rPr>
  </w:style>
  <w:style w:type="paragraph" w:styleId="Revision">
    <w:name w:val="Revision"/>
    <w:hidden/>
    <w:uiPriority w:val="99"/>
    <w:semiHidden/>
    <w:rsid w:val="00CF5BF2"/>
    <w:rPr>
      <w:sz w:val="22"/>
      <w:szCs w:val="24"/>
      <w:lang w:val="en-GB"/>
    </w:rPr>
  </w:style>
  <w:style w:type="paragraph" w:customStyle="1" w:styleId="p1">
    <w:name w:val="p1"/>
    <w:basedOn w:val="Normal"/>
    <w:rsid w:val="00754188"/>
    <w:pPr>
      <w:jc w:val="left"/>
    </w:pPr>
    <w:rPr>
      <w:rFonts w:ascii="Times" w:eastAsia="Calibri" w:hAnsi="Times"/>
      <w:sz w:val="16"/>
      <w:szCs w:val="16"/>
      <w:lang w:val="sv-SE" w:eastAsia="sv-SE"/>
    </w:rPr>
  </w:style>
  <w:style w:type="character" w:customStyle="1" w:styleId="apple-converted-space">
    <w:name w:val="apple-converted-space"/>
    <w:rsid w:val="00754188"/>
  </w:style>
  <w:style w:type="paragraph" w:styleId="ListParagraph">
    <w:name w:val="List Paragraph"/>
    <w:basedOn w:val="Normal"/>
    <w:uiPriority w:val="34"/>
    <w:qFormat/>
    <w:rsid w:val="003F62D8"/>
    <w:pPr>
      <w:ind w:left="720"/>
      <w:contextualSpacing/>
      <w:jc w:val="left"/>
    </w:pPr>
    <w:rPr>
      <w:sz w:val="24"/>
      <w:lang w:eastAsia="en-CA"/>
    </w:rPr>
  </w:style>
  <w:style w:type="table" w:customStyle="1" w:styleId="TableGrid1">
    <w:name w:val="Table Grid1"/>
    <w:basedOn w:val="TableNormal"/>
    <w:next w:val="TableGrid"/>
    <w:uiPriority w:val="39"/>
    <w:rsid w:val="008A71F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223A2"/>
    <w:rPr>
      <w:color w:val="808080"/>
      <w:shd w:val="clear" w:color="auto" w:fill="E6E6E6"/>
    </w:rPr>
  </w:style>
  <w:style w:type="table" w:customStyle="1" w:styleId="TableNormal1">
    <w:name w:val="Table Normal1"/>
    <w:rsid w:val="008101CE"/>
    <w:pPr>
      <w:pBdr>
        <w:top w:val="nil"/>
        <w:left w:val="nil"/>
        <w:bottom w:val="nil"/>
        <w:right w:val="nil"/>
        <w:between w:val="nil"/>
        <w:bar w:val="nil"/>
      </w:pBdr>
    </w:pPr>
    <w:rPr>
      <w:rFonts w:eastAsia="Arial Unicode MS"/>
      <w:bdr w:val="nil"/>
      <w:lang w:val="fr-FR" w:eastAsia="fr-FR"/>
    </w:rPr>
    <w:tblPr>
      <w:tblInd w:w="0" w:type="dxa"/>
      <w:tblCellMar>
        <w:top w:w="0" w:type="dxa"/>
        <w:left w:w="0" w:type="dxa"/>
        <w:bottom w:w="0" w:type="dxa"/>
        <w:right w:w="0" w:type="dxa"/>
      </w:tblCellMar>
    </w:tblPr>
  </w:style>
  <w:style w:type="paragraph" w:customStyle="1" w:styleId="Corps">
    <w:name w:val="Corps"/>
    <w:rsid w:val="008101C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fr-FR"/>
    </w:rPr>
  </w:style>
  <w:style w:type="character" w:customStyle="1" w:styleId="UnresolvedMention2">
    <w:name w:val="Unresolved Mention2"/>
    <w:uiPriority w:val="99"/>
    <w:semiHidden/>
    <w:unhideWhenUsed/>
    <w:rsid w:val="00261BFB"/>
    <w:rPr>
      <w:color w:val="808080"/>
      <w:shd w:val="clear" w:color="auto" w:fill="E6E6E6"/>
    </w:rPr>
  </w:style>
  <w:style w:type="character" w:customStyle="1" w:styleId="st1">
    <w:name w:val="st1"/>
    <w:rsid w:val="001C0E2F"/>
  </w:style>
  <w:style w:type="character" w:styleId="PlaceholderText">
    <w:name w:val="Placeholder Text"/>
    <w:basedOn w:val="DefaultParagraphFont"/>
    <w:uiPriority w:val="99"/>
    <w:semiHidden/>
    <w:rsid w:val="00500857"/>
    <w:rPr>
      <w:color w:val="808080"/>
    </w:rPr>
  </w:style>
  <w:style w:type="character" w:customStyle="1" w:styleId="UnresolvedMention3">
    <w:name w:val="Unresolved Mention3"/>
    <w:basedOn w:val="DefaultParagraphFont"/>
    <w:uiPriority w:val="99"/>
    <w:semiHidden/>
    <w:unhideWhenUsed/>
    <w:rsid w:val="000C57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7578">
      <w:bodyDiv w:val="1"/>
      <w:marLeft w:val="0"/>
      <w:marRight w:val="0"/>
      <w:marTop w:val="0"/>
      <w:marBottom w:val="0"/>
      <w:divBdr>
        <w:top w:val="none" w:sz="0" w:space="0" w:color="auto"/>
        <w:left w:val="none" w:sz="0" w:space="0" w:color="auto"/>
        <w:bottom w:val="none" w:sz="0" w:space="0" w:color="auto"/>
        <w:right w:val="none" w:sz="0" w:space="0" w:color="auto"/>
      </w:divBdr>
    </w:div>
    <w:div w:id="90198692">
      <w:bodyDiv w:val="1"/>
      <w:marLeft w:val="0"/>
      <w:marRight w:val="0"/>
      <w:marTop w:val="0"/>
      <w:marBottom w:val="0"/>
      <w:divBdr>
        <w:top w:val="none" w:sz="0" w:space="0" w:color="auto"/>
        <w:left w:val="none" w:sz="0" w:space="0" w:color="auto"/>
        <w:bottom w:val="none" w:sz="0" w:space="0" w:color="auto"/>
        <w:right w:val="none" w:sz="0" w:space="0" w:color="auto"/>
      </w:divBdr>
      <w:divsChild>
        <w:div w:id="166095829">
          <w:marLeft w:val="0"/>
          <w:marRight w:val="0"/>
          <w:marTop w:val="0"/>
          <w:marBottom w:val="0"/>
          <w:divBdr>
            <w:top w:val="none" w:sz="0" w:space="0" w:color="auto"/>
            <w:left w:val="none" w:sz="0" w:space="0" w:color="auto"/>
            <w:bottom w:val="none" w:sz="0" w:space="0" w:color="auto"/>
            <w:right w:val="none" w:sz="0" w:space="0" w:color="auto"/>
          </w:divBdr>
          <w:divsChild>
            <w:div w:id="1364476022">
              <w:marLeft w:val="0"/>
              <w:marRight w:val="0"/>
              <w:marTop w:val="0"/>
              <w:marBottom w:val="0"/>
              <w:divBdr>
                <w:top w:val="none" w:sz="0" w:space="0" w:color="auto"/>
                <w:left w:val="none" w:sz="0" w:space="0" w:color="auto"/>
                <w:bottom w:val="none" w:sz="0" w:space="0" w:color="auto"/>
                <w:right w:val="none" w:sz="0" w:space="0" w:color="auto"/>
              </w:divBdr>
              <w:divsChild>
                <w:div w:id="54859309">
                  <w:marLeft w:val="0"/>
                  <w:marRight w:val="0"/>
                  <w:marTop w:val="0"/>
                  <w:marBottom w:val="0"/>
                  <w:divBdr>
                    <w:top w:val="none" w:sz="0" w:space="0" w:color="auto"/>
                    <w:left w:val="none" w:sz="0" w:space="0" w:color="auto"/>
                    <w:bottom w:val="none" w:sz="0" w:space="0" w:color="auto"/>
                    <w:right w:val="none" w:sz="0" w:space="0" w:color="auto"/>
                  </w:divBdr>
                  <w:divsChild>
                    <w:div w:id="327363974">
                      <w:marLeft w:val="3000"/>
                      <w:marRight w:val="0"/>
                      <w:marTop w:val="0"/>
                      <w:marBottom w:val="0"/>
                      <w:divBdr>
                        <w:top w:val="none" w:sz="0" w:space="0" w:color="auto"/>
                        <w:left w:val="none" w:sz="0" w:space="0" w:color="auto"/>
                        <w:bottom w:val="none" w:sz="0" w:space="0" w:color="auto"/>
                        <w:right w:val="none" w:sz="0" w:space="0" w:color="auto"/>
                      </w:divBdr>
                      <w:divsChild>
                        <w:div w:id="384722057">
                          <w:marLeft w:val="0"/>
                          <w:marRight w:val="0"/>
                          <w:marTop w:val="0"/>
                          <w:marBottom w:val="0"/>
                          <w:divBdr>
                            <w:top w:val="none" w:sz="0" w:space="0" w:color="auto"/>
                            <w:left w:val="none" w:sz="0" w:space="0" w:color="auto"/>
                            <w:bottom w:val="single" w:sz="48" w:space="0" w:color="FFFFFF"/>
                            <w:right w:val="none" w:sz="0" w:space="0" w:color="auto"/>
                          </w:divBdr>
                          <w:divsChild>
                            <w:div w:id="754329443">
                              <w:marLeft w:val="0"/>
                              <w:marRight w:val="0"/>
                              <w:marTop w:val="0"/>
                              <w:marBottom w:val="0"/>
                              <w:divBdr>
                                <w:top w:val="none" w:sz="0" w:space="0" w:color="auto"/>
                                <w:left w:val="none" w:sz="0" w:space="0" w:color="auto"/>
                                <w:bottom w:val="none" w:sz="0" w:space="0" w:color="auto"/>
                                <w:right w:val="none" w:sz="0" w:space="0" w:color="auto"/>
                              </w:divBdr>
                              <w:divsChild>
                                <w:div w:id="682557484">
                                  <w:marLeft w:val="0"/>
                                  <w:marRight w:val="0"/>
                                  <w:marTop w:val="0"/>
                                  <w:marBottom w:val="0"/>
                                  <w:divBdr>
                                    <w:top w:val="none" w:sz="0" w:space="0" w:color="auto"/>
                                    <w:left w:val="none" w:sz="0" w:space="0" w:color="auto"/>
                                    <w:bottom w:val="none" w:sz="0" w:space="0" w:color="auto"/>
                                    <w:right w:val="none" w:sz="0" w:space="0" w:color="auto"/>
                                  </w:divBdr>
                                  <w:divsChild>
                                    <w:div w:id="85080509">
                                      <w:marLeft w:val="0"/>
                                      <w:marRight w:val="0"/>
                                      <w:marTop w:val="0"/>
                                      <w:marBottom w:val="0"/>
                                      <w:divBdr>
                                        <w:top w:val="none" w:sz="0" w:space="0" w:color="auto"/>
                                        <w:left w:val="none" w:sz="0" w:space="0" w:color="auto"/>
                                        <w:bottom w:val="none" w:sz="0" w:space="0" w:color="auto"/>
                                        <w:right w:val="none" w:sz="0" w:space="0" w:color="auto"/>
                                      </w:divBdr>
                                      <w:divsChild>
                                        <w:div w:id="683558296">
                                          <w:marLeft w:val="0"/>
                                          <w:marRight w:val="0"/>
                                          <w:marTop w:val="0"/>
                                          <w:marBottom w:val="0"/>
                                          <w:divBdr>
                                            <w:top w:val="none" w:sz="0" w:space="0" w:color="auto"/>
                                            <w:left w:val="none" w:sz="0" w:space="0" w:color="auto"/>
                                            <w:bottom w:val="none" w:sz="0" w:space="0" w:color="auto"/>
                                            <w:right w:val="none" w:sz="0" w:space="0" w:color="auto"/>
                                          </w:divBdr>
                                          <w:divsChild>
                                            <w:div w:id="169179045">
                                              <w:marLeft w:val="0"/>
                                              <w:marRight w:val="0"/>
                                              <w:marTop w:val="0"/>
                                              <w:marBottom w:val="0"/>
                                              <w:divBdr>
                                                <w:top w:val="none" w:sz="0" w:space="0" w:color="auto"/>
                                                <w:left w:val="none" w:sz="0" w:space="0" w:color="auto"/>
                                                <w:bottom w:val="none" w:sz="0" w:space="0" w:color="auto"/>
                                                <w:right w:val="none" w:sz="0" w:space="0" w:color="auto"/>
                                              </w:divBdr>
                                              <w:divsChild>
                                                <w:div w:id="1381395721">
                                                  <w:marLeft w:val="0"/>
                                                  <w:marRight w:val="0"/>
                                                  <w:marTop w:val="0"/>
                                                  <w:marBottom w:val="0"/>
                                                  <w:divBdr>
                                                    <w:top w:val="none" w:sz="0" w:space="0" w:color="auto"/>
                                                    <w:left w:val="none" w:sz="0" w:space="0" w:color="auto"/>
                                                    <w:bottom w:val="none" w:sz="0" w:space="0" w:color="auto"/>
                                                    <w:right w:val="none" w:sz="0" w:space="0" w:color="auto"/>
                                                  </w:divBdr>
                                                  <w:divsChild>
                                                    <w:div w:id="2420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5240">
      <w:bodyDiv w:val="1"/>
      <w:marLeft w:val="0"/>
      <w:marRight w:val="0"/>
      <w:marTop w:val="0"/>
      <w:marBottom w:val="0"/>
      <w:divBdr>
        <w:top w:val="none" w:sz="0" w:space="0" w:color="auto"/>
        <w:left w:val="none" w:sz="0" w:space="0" w:color="auto"/>
        <w:bottom w:val="none" w:sz="0" w:space="0" w:color="auto"/>
        <w:right w:val="none" w:sz="0" w:space="0" w:color="auto"/>
      </w:divBdr>
      <w:divsChild>
        <w:div w:id="1223248448">
          <w:marLeft w:val="0"/>
          <w:marRight w:val="0"/>
          <w:marTop w:val="0"/>
          <w:marBottom w:val="0"/>
          <w:divBdr>
            <w:top w:val="none" w:sz="0" w:space="0" w:color="auto"/>
            <w:left w:val="none" w:sz="0" w:space="0" w:color="auto"/>
            <w:bottom w:val="none" w:sz="0" w:space="0" w:color="auto"/>
            <w:right w:val="none" w:sz="0" w:space="0" w:color="auto"/>
          </w:divBdr>
          <w:divsChild>
            <w:div w:id="2053265067">
              <w:marLeft w:val="0"/>
              <w:marRight w:val="0"/>
              <w:marTop w:val="0"/>
              <w:marBottom w:val="0"/>
              <w:divBdr>
                <w:top w:val="none" w:sz="0" w:space="0" w:color="auto"/>
                <w:left w:val="none" w:sz="0" w:space="0" w:color="auto"/>
                <w:bottom w:val="none" w:sz="0" w:space="0" w:color="auto"/>
                <w:right w:val="none" w:sz="0" w:space="0" w:color="auto"/>
              </w:divBdr>
              <w:divsChild>
                <w:div w:id="296572335">
                  <w:marLeft w:val="0"/>
                  <w:marRight w:val="0"/>
                  <w:marTop w:val="0"/>
                  <w:marBottom w:val="0"/>
                  <w:divBdr>
                    <w:top w:val="none" w:sz="0" w:space="0" w:color="auto"/>
                    <w:left w:val="none" w:sz="0" w:space="0" w:color="auto"/>
                    <w:bottom w:val="none" w:sz="0" w:space="0" w:color="auto"/>
                    <w:right w:val="none" w:sz="0" w:space="0" w:color="auto"/>
                  </w:divBdr>
                </w:div>
                <w:div w:id="742029729">
                  <w:marLeft w:val="0"/>
                  <w:marRight w:val="0"/>
                  <w:marTop w:val="0"/>
                  <w:marBottom w:val="0"/>
                  <w:divBdr>
                    <w:top w:val="none" w:sz="0" w:space="0" w:color="auto"/>
                    <w:left w:val="none" w:sz="0" w:space="0" w:color="auto"/>
                    <w:bottom w:val="none" w:sz="0" w:space="0" w:color="auto"/>
                    <w:right w:val="none" w:sz="0" w:space="0" w:color="auto"/>
                  </w:divBdr>
                  <w:divsChild>
                    <w:div w:id="1620528022">
                      <w:marLeft w:val="0"/>
                      <w:marRight w:val="0"/>
                      <w:marTop w:val="0"/>
                      <w:marBottom w:val="0"/>
                      <w:divBdr>
                        <w:top w:val="none" w:sz="0" w:space="0" w:color="auto"/>
                        <w:left w:val="none" w:sz="0" w:space="0" w:color="auto"/>
                        <w:bottom w:val="none" w:sz="0" w:space="0" w:color="auto"/>
                        <w:right w:val="none" w:sz="0" w:space="0" w:color="auto"/>
                      </w:divBdr>
                      <w:divsChild>
                        <w:div w:id="11079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05057">
      <w:bodyDiv w:val="1"/>
      <w:marLeft w:val="0"/>
      <w:marRight w:val="0"/>
      <w:marTop w:val="0"/>
      <w:marBottom w:val="0"/>
      <w:divBdr>
        <w:top w:val="none" w:sz="0" w:space="0" w:color="auto"/>
        <w:left w:val="none" w:sz="0" w:space="0" w:color="auto"/>
        <w:bottom w:val="none" w:sz="0" w:space="0" w:color="auto"/>
        <w:right w:val="none" w:sz="0" w:space="0" w:color="auto"/>
      </w:divBdr>
    </w:div>
    <w:div w:id="531069615">
      <w:bodyDiv w:val="1"/>
      <w:marLeft w:val="0"/>
      <w:marRight w:val="0"/>
      <w:marTop w:val="0"/>
      <w:marBottom w:val="0"/>
      <w:divBdr>
        <w:top w:val="none" w:sz="0" w:space="0" w:color="auto"/>
        <w:left w:val="none" w:sz="0" w:space="0" w:color="auto"/>
        <w:bottom w:val="none" w:sz="0" w:space="0" w:color="auto"/>
        <w:right w:val="none" w:sz="0" w:space="0" w:color="auto"/>
      </w:divBdr>
    </w:div>
    <w:div w:id="555162718">
      <w:bodyDiv w:val="1"/>
      <w:marLeft w:val="0"/>
      <w:marRight w:val="0"/>
      <w:marTop w:val="0"/>
      <w:marBottom w:val="0"/>
      <w:divBdr>
        <w:top w:val="none" w:sz="0" w:space="0" w:color="auto"/>
        <w:left w:val="none" w:sz="0" w:space="0" w:color="auto"/>
        <w:bottom w:val="none" w:sz="0" w:space="0" w:color="auto"/>
        <w:right w:val="none" w:sz="0" w:space="0" w:color="auto"/>
      </w:divBdr>
    </w:div>
    <w:div w:id="584188863">
      <w:bodyDiv w:val="1"/>
      <w:marLeft w:val="0"/>
      <w:marRight w:val="0"/>
      <w:marTop w:val="0"/>
      <w:marBottom w:val="0"/>
      <w:divBdr>
        <w:top w:val="none" w:sz="0" w:space="0" w:color="auto"/>
        <w:left w:val="none" w:sz="0" w:space="0" w:color="auto"/>
        <w:bottom w:val="none" w:sz="0" w:space="0" w:color="auto"/>
        <w:right w:val="none" w:sz="0" w:space="0" w:color="auto"/>
      </w:divBdr>
    </w:div>
    <w:div w:id="666976578">
      <w:bodyDiv w:val="1"/>
      <w:marLeft w:val="0"/>
      <w:marRight w:val="0"/>
      <w:marTop w:val="0"/>
      <w:marBottom w:val="0"/>
      <w:divBdr>
        <w:top w:val="none" w:sz="0" w:space="0" w:color="auto"/>
        <w:left w:val="none" w:sz="0" w:space="0" w:color="auto"/>
        <w:bottom w:val="none" w:sz="0" w:space="0" w:color="auto"/>
        <w:right w:val="none" w:sz="0" w:space="0" w:color="auto"/>
      </w:divBdr>
    </w:div>
    <w:div w:id="774786179">
      <w:bodyDiv w:val="1"/>
      <w:marLeft w:val="0"/>
      <w:marRight w:val="0"/>
      <w:marTop w:val="0"/>
      <w:marBottom w:val="0"/>
      <w:divBdr>
        <w:top w:val="none" w:sz="0" w:space="0" w:color="auto"/>
        <w:left w:val="none" w:sz="0" w:space="0" w:color="auto"/>
        <w:bottom w:val="none" w:sz="0" w:space="0" w:color="auto"/>
        <w:right w:val="none" w:sz="0" w:space="0" w:color="auto"/>
      </w:divBdr>
    </w:div>
    <w:div w:id="861556420">
      <w:bodyDiv w:val="1"/>
      <w:marLeft w:val="0"/>
      <w:marRight w:val="0"/>
      <w:marTop w:val="0"/>
      <w:marBottom w:val="0"/>
      <w:divBdr>
        <w:top w:val="none" w:sz="0" w:space="0" w:color="auto"/>
        <w:left w:val="none" w:sz="0" w:space="0" w:color="auto"/>
        <w:bottom w:val="none" w:sz="0" w:space="0" w:color="auto"/>
        <w:right w:val="none" w:sz="0" w:space="0" w:color="auto"/>
      </w:divBdr>
      <w:divsChild>
        <w:div w:id="408887578">
          <w:marLeft w:val="0"/>
          <w:marRight w:val="0"/>
          <w:marTop w:val="0"/>
          <w:marBottom w:val="0"/>
          <w:divBdr>
            <w:top w:val="none" w:sz="0" w:space="0" w:color="auto"/>
            <w:left w:val="none" w:sz="0" w:space="0" w:color="auto"/>
            <w:bottom w:val="none" w:sz="0" w:space="0" w:color="auto"/>
            <w:right w:val="none" w:sz="0" w:space="0" w:color="auto"/>
          </w:divBdr>
        </w:div>
        <w:div w:id="123231673">
          <w:marLeft w:val="0"/>
          <w:marRight w:val="0"/>
          <w:marTop w:val="0"/>
          <w:marBottom w:val="0"/>
          <w:divBdr>
            <w:top w:val="none" w:sz="0" w:space="0" w:color="auto"/>
            <w:left w:val="none" w:sz="0" w:space="0" w:color="auto"/>
            <w:bottom w:val="none" w:sz="0" w:space="0" w:color="auto"/>
            <w:right w:val="none" w:sz="0" w:space="0" w:color="auto"/>
          </w:divBdr>
        </w:div>
        <w:div w:id="752819902">
          <w:marLeft w:val="0"/>
          <w:marRight w:val="0"/>
          <w:marTop w:val="0"/>
          <w:marBottom w:val="0"/>
          <w:divBdr>
            <w:top w:val="none" w:sz="0" w:space="0" w:color="auto"/>
            <w:left w:val="none" w:sz="0" w:space="0" w:color="auto"/>
            <w:bottom w:val="none" w:sz="0" w:space="0" w:color="auto"/>
            <w:right w:val="none" w:sz="0" w:space="0" w:color="auto"/>
          </w:divBdr>
        </w:div>
        <w:div w:id="1819106155">
          <w:marLeft w:val="0"/>
          <w:marRight w:val="0"/>
          <w:marTop w:val="0"/>
          <w:marBottom w:val="0"/>
          <w:divBdr>
            <w:top w:val="none" w:sz="0" w:space="0" w:color="auto"/>
            <w:left w:val="none" w:sz="0" w:space="0" w:color="auto"/>
            <w:bottom w:val="none" w:sz="0" w:space="0" w:color="auto"/>
            <w:right w:val="none" w:sz="0" w:space="0" w:color="auto"/>
          </w:divBdr>
        </w:div>
      </w:divsChild>
    </w:div>
    <w:div w:id="867836000">
      <w:bodyDiv w:val="1"/>
      <w:marLeft w:val="0"/>
      <w:marRight w:val="0"/>
      <w:marTop w:val="0"/>
      <w:marBottom w:val="0"/>
      <w:divBdr>
        <w:top w:val="none" w:sz="0" w:space="0" w:color="auto"/>
        <w:left w:val="none" w:sz="0" w:space="0" w:color="auto"/>
        <w:bottom w:val="none" w:sz="0" w:space="0" w:color="auto"/>
        <w:right w:val="none" w:sz="0" w:space="0" w:color="auto"/>
      </w:divBdr>
      <w:divsChild>
        <w:div w:id="815804154">
          <w:marLeft w:val="0"/>
          <w:marRight w:val="0"/>
          <w:marTop w:val="0"/>
          <w:marBottom w:val="0"/>
          <w:divBdr>
            <w:top w:val="none" w:sz="0" w:space="0" w:color="auto"/>
            <w:left w:val="none" w:sz="0" w:space="0" w:color="auto"/>
            <w:bottom w:val="none" w:sz="0" w:space="0" w:color="auto"/>
            <w:right w:val="none" w:sz="0" w:space="0" w:color="auto"/>
          </w:divBdr>
        </w:div>
        <w:div w:id="1006900343">
          <w:marLeft w:val="0"/>
          <w:marRight w:val="0"/>
          <w:marTop w:val="0"/>
          <w:marBottom w:val="0"/>
          <w:divBdr>
            <w:top w:val="none" w:sz="0" w:space="0" w:color="auto"/>
            <w:left w:val="none" w:sz="0" w:space="0" w:color="auto"/>
            <w:bottom w:val="none" w:sz="0" w:space="0" w:color="auto"/>
            <w:right w:val="none" w:sz="0" w:space="0" w:color="auto"/>
          </w:divBdr>
        </w:div>
      </w:divsChild>
    </w:div>
    <w:div w:id="906037642">
      <w:bodyDiv w:val="1"/>
      <w:marLeft w:val="0"/>
      <w:marRight w:val="0"/>
      <w:marTop w:val="0"/>
      <w:marBottom w:val="0"/>
      <w:divBdr>
        <w:top w:val="none" w:sz="0" w:space="0" w:color="auto"/>
        <w:left w:val="none" w:sz="0" w:space="0" w:color="auto"/>
        <w:bottom w:val="none" w:sz="0" w:space="0" w:color="auto"/>
        <w:right w:val="none" w:sz="0" w:space="0" w:color="auto"/>
      </w:divBdr>
    </w:div>
    <w:div w:id="909464390">
      <w:bodyDiv w:val="1"/>
      <w:marLeft w:val="0"/>
      <w:marRight w:val="0"/>
      <w:marTop w:val="0"/>
      <w:marBottom w:val="0"/>
      <w:divBdr>
        <w:top w:val="none" w:sz="0" w:space="0" w:color="auto"/>
        <w:left w:val="none" w:sz="0" w:space="0" w:color="auto"/>
        <w:bottom w:val="none" w:sz="0" w:space="0" w:color="auto"/>
        <w:right w:val="none" w:sz="0" w:space="0" w:color="auto"/>
      </w:divBdr>
      <w:divsChild>
        <w:div w:id="405340471">
          <w:marLeft w:val="0"/>
          <w:marRight w:val="0"/>
          <w:marTop w:val="0"/>
          <w:marBottom w:val="0"/>
          <w:divBdr>
            <w:top w:val="none" w:sz="0" w:space="0" w:color="auto"/>
            <w:left w:val="none" w:sz="0" w:space="0" w:color="auto"/>
            <w:bottom w:val="none" w:sz="0" w:space="0" w:color="auto"/>
            <w:right w:val="none" w:sz="0" w:space="0" w:color="auto"/>
          </w:divBdr>
          <w:divsChild>
            <w:div w:id="1082068700">
              <w:marLeft w:val="0"/>
              <w:marRight w:val="0"/>
              <w:marTop w:val="0"/>
              <w:marBottom w:val="0"/>
              <w:divBdr>
                <w:top w:val="none" w:sz="0" w:space="0" w:color="auto"/>
                <w:left w:val="none" w:sz="0" w:space="0" w:color="auto"/>
                <w:bottom w:val="none" w:sz="0" w:space="0" w:color="auto"/>
                <w:right w:val="none" w:sz="0" w:space="0" w:color="auto"/>
              </w:divBdr>
              <w:divsChild>
                <w:div w:id="569465897">
                  <w:marLeft w:val="0"/>
                  <w:marRight w:val="0"/>
                  <w:marTop w:val="0"/>
                  <w:marBottom w:val="0"/>
                  <w:divBdr>
                    <w:top w:val="none" w:sz="0" w:space="0" w:color="auto"/>
                    <w:left w:val="none" w:sz="0" w:space="0" w:color="auto"/>
                    <w:bottom w:val="none" w:sz="0" w:space="0" w:color="auto"/>
                    <w:right w:val="none" w:sz="0" w:space="0" w:color="auto"/>
                  </w:divBdr>
                  <w:divsChild>
                    <w:div w:id="2011594461">
                      <w:marLeft w:val="0"/>
                      <w:marRight w:val="0"/>
                      <w:marTop w:val="0"/>
                      <w:marBottom w:val="0"/>
                      <w:divBdr>
                        <w:top w:val="none" w:sz="0" w:space="0" w:color="auto"/>
                        <w:left w:val="none" w:sz="0" w:space="0" w:color="auto"/>
                        <w:bottom w:val="none" w:sz="0" w:space="0" w:color="auto"/>
                        <w:right w:val="none" w:sz="0" w:space="0" w:color="auto"/>
                      </w:divBdr>
                      <w:divsChild>
                        <w:div w:id="2141879578">
                          <w:marLeft w:val="0"/>
                          <w:marRight w:val="0"/>
                          <w:marTop w:val="0"/>
                          <w:marBottom w:val="0"/>
                          <w:divBdr>
                            <w:top w:val="none" w:sz="0" w:space="0" w:color="auto"/>
                            <w:left w:val="none" w:sz="0" w:space="0" w:color="auto"/>
                            <w:bottom w:val="none" w:sz="0" w:space="0" w:color="auto"/>
                            <w:right w:val="none" w:sz="0" w:space="0" w:color="auto"/>
                          </w:divBdr>
                          <w:divsChild>
                            <w:div w:id="366415673">
                              <w:marLeft w:val="0"/>
                              <w:marRight w:val="0"/>
                              <w:marTop w:val="0"/>
                              <w:marBottom w:val="0"/>
                              <w:divBdr>
                                <w:top w:val="none" w:sz="0" w:space="0" w:color="auto"/>
                                <w:left w:val="none" w:sz="0" w:space="0" w:color="auto"/>
                                <w:bottom w:val="none" w:sz="0" w:space="0" w:color="auto"/>
                                <w:right w:val="none" w:sz="0" w:space="0" w:color="auto"/>
                              </w:divBdr>
                              <w:divsChild>
                                <w:div w:id="1611159795">
                                  <w:marLeft w:val="0"/>
                                  <w:marRight w:val="0"/>
                                  <w:marTop w:val="0"/>
                                  <w:marBottom w:val="0"/>
                                  <w:divBdr>
                                    <w:top w:val="none" w:sz="0" w:space="0" w:color="auto"/>
                                    <w:left w:val="none" w:sz="0" w:space="0" w:color="auto"/>
                                    <w:bottom w:val="none" w:sz="0" w:space="0" w:color="auto"/>
                                    <w:right w:val="none" w:sz="0" w:space="0" w:color="auto"/>
                                  </w:divBdr>
                                  <w:divsChild>
                                    <w:div w:id="5013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958048">
      <w:bodyDiv w:val="1"/>
      <w:marLeft w:val="0"/>
      <w:marRight w:val="0"/>
      <w:marTop w:val="0"/>
      <w:marBottom w:val="0"/>
      <w:divBdr>
        <w:top w:val="none" w:sz="0" w:space="0" w:color="auto"/>
        <w:left w:val="none" w:sz="0" w:space="0" w:color="auto"/>
        <w:bottom w:val="none" w:sz="0" w:space="0" w:color="auto"/>
        <w:right w:val="none" w:sz="0" w:space="0" w:color="auto"/>
      </w:divBdr>
      <w:divsChild>
        <w:div w:id="538594828">
          <w:marLeft w:val="0"/>
          <w:marRight w:val="0"/>
          <w:marTop w:val="0"/>
          <w:marBottom w:val="0"/>
          <w:divBdr>
            <w:top w:val="none" w:sz="0" w:space="0" w:color="auto"/>
            <w:left w:val="none" w:sz="0" w:space="0" w:color="auto"/>
            <w:bottom w:val="none" w:sz="0" w:space="0" w:color="auto"/>
            <w:right w:val="none" w:sz="0" w:space="0" w:color="auto"/>
          </w:divBdr>
          <w:divsChild>
            <w:div w:id="1628117872">
              <w:marLeft w:val="0"/>
              <w:marRight w:val="0"/>
              <w:marTop w:val="0"/>
              <w:marBottom w:val="0"/>
              <w:divBdr>
                <w:top w:val="none" w:sz="0" w:space="0" w:color="auto"/>
                <w:left w:val="none" w:sz="0" w:space="0" w:color="auto"/>
                <w:bottom w:val="none" w:sz="0" w:space="0" w:color="auto"/>
                <w:right w:val="none" w:sz="0" w:space="0" w:color="auto"/>
              </w:divBdr>
              <w:divsChild>
                <w:div w:id="1497453733">
                  <w:marLeft w:val="0"/>
                  <w:marRight w:val="0"/>
                  <w:marTop w:val="0"/>
                  <w:marBottom w:val="0"/>
                  <w:divBdr>
                    <w:top w:val="none" w:sz="0" w:space="0" w:color="auto"/>
                    <w:left w:val="none" w:sz="0" w:space="0" w:color="auto"/>
                    <w:bottom w:val="none" w:sz="0" w:space="0" w:color="auto"/>
                    <w:right w:val="none" w:sz="0" w:space="0" w:color="auto"/>
                  </w:divBdr>
                  <w:divsChild>
                    <w:div w:id="9306394">
                      <w:marLeft w:val="3000"/>
                      <w:marRight w:val="0"/>
                      <w:marTop w:val="0"/>
                      <w:marBottom w:val="0"/>
                      <w:divBdr>
                        <w:top w:val="none" w:sz="0" w:space="0" w:color="auto"/>
                        <w:left w:val="none" w:sz="0" w:space="0" w:color="auto"/>
                        <w:bottom w:val="none" w:sz="0" w:space="0" w:color="auto"/>
                        <w:right w:val="none" w:sz="0" w:space="0" w:color="auto"/>
                      </w:divBdr>
                      <w:divsChild>
                        <w:div w:id="1779989316">
                          <w:marLeft w:val="0"/>
                          <w:marRight w:val="0"/>
                          <w:marTop w:val="0"/>
                          <w:marBottom w:val="0"/>
                          <w:divBdr>
                            <w:top w:val="none" w:sz="0" w:space="0" w:color="auto"/>
                            <w:left w:val="none" w:sz="0" w:space="0" w:color="auto"/>
                            <w:bottom w:val="single" w:sz="48" w:space="0" w:color="FFFFFF"/>
                            <w:right w:val="none" w:sz="0" w:space="0" w:color="auto"/>
                          </w:divBdr>
                          <w:divsChild>
                            <w:div w:id="1859272274">
                              <w:marLeft w:val="0"/>
                              <w:marRight w:val="0"/>
                              <w:marTop w:val="0"/>
                              <w:marBottom w:val="0"/>
                              <w:divBdr>
                                <w:top w:val="none" w:sz="0" w:space="0" w:color="auto"/>
                                <w:left w:val="none" w:sz="0" w:space="0" w:color="auto"/>
                                <w:bottom w:val="none" w:sz="0" w:space="0" w:color="auto"/>
                                <w:right w:val="none" w:sz="0" w:space="0" w:color="auto"/>
                              </w:divBdr>
                              <w:divsChild>
                                <w:div w:id="147718814">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0"/>
                                      <w:divBdr>
                                        <w:top w:val="none" w:sz="0" w:space="0" w:color="auto"/>
                                        <w:left w:val="none" w:sz="0" w:space="0" w:color="auto"/>
                                        <w:bottom w:val="none" w:sz="0" w:space="0" w:color="auto"/>
                                        <w:right w:val="none" w:sz="0" w:space="0" w:color="auto"/>
                                      </w:divBdr>
                                      <w:divsChild>
                                        <w:div w:id="1379471426">
                                          <w:marLeft w:val="0"/>
                                          <w:marRight w:val="0"/>
                                          <w:marTop w:val="0"/>
                                          <w:marBottom w:val="0"/>
                                          <w:divBdr>
                                            <w:top w:val="none" w:sz="0" w:space="0" w:color="auto"/>
                                            <w:left w:val="none" w:sz="0" w:space="0" w:color="auto"/>
                                            <w:bottom w:val="none" w:sz="0" w:space="0" w:color="auto"/>
                                            <w:right w:val="none" w:sz="0" w:space="0" w:color="auto"/>
                                          </w:divBdr>
                                          <w:divsChild>
                                            <w:div w:id="1077674036">
                                              <w:marLeft w:val="0"/>
                                              <w:marRight w:val="0"/>
                                              <w:marTop w:val="0"/>
                                              <w:marBottom w:val="0"/>
                                              <w:divBdr>
                                                <w:top w:val="none" w:sz="0" w:space="0" w:color="auto"/>
                                                <w:left w:val="none" w:sz="0" w:space="0" w:color="auto"/>
                                                <w:bottom w:val="none" w:sz="0" w:space="0" w:color="auto"/>
                                                <w:right w:val="none" w:sz="0" w:space="0" w:color="auto"/>
                                              </w:divBdr>
                                              <w:divsChild>
                                                <w:div w:id="946497622">
                                                  <w:marLeft w:val="0"/>
                                                  <w:marRight w:val="0"/>
                                                  <w:marTop w:val="0"/>
                                                  <w:marBottom w:val="0"/>
                                                  <w:divBdr>
                                                    <w:top w:val="none" w:sz="0" w:space="0" w:color="auto"/>
                                                    <w:left w:val="none" w:sz="0" w:space="0" w:color="auto"/>
                                                    <w:bottom w:val="none" w:sz="0" w:space="0" w:color="auto"/>
                                                    <w:right w:val="none" w:sz="0" w:space="0" w:color="auto"/>
                                                  </w:divBdr>
                                                  <w:divsChild>
                                                    <w:div w:id="1551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300420">
      <w:bodyDiv w:val="1"/>
      <w:marLeft w:val="0"/>
      <w:marRight w:val="0"/>
      <w:marTop w:val="0"/>
      <w:marBottom w:val="0"/>
      <w:divBdr>
        <w:top w:val="none" w:sz="0" w:space="0" w:color="auto"/>
        <w:left w:val="none" w:sz="0" w:space="0" w:color="auto"/>
        <w:bottom w:val="none" w:sz="0" w:space="0" w:color="auto"/>
        <w:right w:val="none" w:sz="0" w:space="0" w:color="auto"/>
      </w:divBdr>
      <w:divsChild>
        <w:div w:id="1504929911">
          <w:marLeft w:val="0"/>
          <w:marRight w:val="0"/>
          <w:marTop w:val="0"/>
          <w:marBottom w:val="0"/>
          <w:divBdr>
            <w:top w:val="none" w:sz="0" w:space="0" w:color="auto"/>
            <w:left w:val="none" w:sz="0" w:space="0" w:color="auto"/>
            <w:bottom w:val="none" w:sz="0" w:space="0" w:color="auto"/>
            <w:right w:val="none" w:sz="0" w:space="0" w:color="auto"/>
          </w:divBdr>
        </w:div>
        <w:div w:id="991955404">
          <w:marLeft w:val="0"/>
          <w:marRight w:val="0"/>
          <w:marTop w:val="0"/>
          <w:marBottom w:val="0"/>
          <w:divBdr>
            <w:top w:val="none" w:sz="0" w:space="0" w:color="auto"/>
            <w:left w:val="none" w:sz="0" w:space="0" w:color="auto"/>
            <w:bottom w:val="none" w:sz="0" w:space="0" w:color="auto"/>
            <w:right w:val="none" w:sz="0" w:space="0" w:color="auto"/>
          </w:divBdr>
        </w:div>
        <w:div w:id="1428307494">
          <w:marLeft w:val="0"/>
          <w:marRight w:val="0"/>
          <w:marTop w:val="0"/>
          <w:marBottom w:val="0"/>
          <w:divBdr>
            <w:top w:val="none" w:sz="0" w:space="0" w:color="auto"/>
            <w:left w:val="none" w:sz="0" w:space="0" w:color="auto"/>
            <w:bottom w:val="none" w:sz="0" w:space="0" w:color="auto"/>
            <w:right w:val="none" w:sz="0" w:space="0" w:color="auto"/>
          </w:divBdr>
        </w:div>
        <w:div w:id="1297296259">
          <w:marLeft w:val="0"/>
          <w:marRight w:val="0"/>
          <w:marTop w:val="0"/>
          <w:marBottom w:val="0"/>
          <w:divBdr>
            <w:top w:val="none" w:sz="0" w:space="0" w:color="auto"/>
            <w:left w:val="none" w:sz="0" w:space="0" w:color="auto"/>
            <w:bottom w:val="none" w:sz="0" w:space="0" w:color="auto"/>
            <w:right w:val="none" w:sz="0" w:space="0" w:color="auto"/>
          </w:divBdr>
        </w:div>
      </w:divsChild>
    </w:div>
    <w:div w:id="1446778011">
      <w:bodyDiv w:val="1"/>
      <w:marLeft w:val="0"/>
      <w:marRight w:val="0"/>
      <w:marTop w:val="0"/>
      <w:marBottom w:val="0"/>
      <w:divBdr>
        <w:top w:val="none" w:sz="0" w:space="0" w:color="auto"/>
        <w:left w:val="none" w:sz="0" w:space="0" w:color="auto"/>
        <w:bottom w:val="none" w:sz="0" w:space="0" w:color="auto"/>
        <w:right w:val="none" w:sz="0" w:space="0" w:color="auto"/>
      </w:divBdr>
      <w:divsChild>
        <w:div w:id="1698502483">
          <w:marLeft w:val="0"/>
          <w:marRight w:val="0"/>
          <w:marTop w:val="0"/>
          <w:marBottom w:val="0"/>
          <w:divBdr>
            <w:top w:val="none" w:sz="0" w:space="0" w:color="auto"/>
            <w:left w:val="none" w:sz="0" w:space="0" w:color="auto"/>
            <w:bottom w:val="none" w:sz="0" w:space="0" w:color="auto"/>
            <w:right w:val="none" w:sz="0" w:space="0" w:color="auto"/>
          </w:divBdr>
          <w:divsChild>
            <w:div w:id="1844707461">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300"/>
                  <w:marTop w:val="0"/>
                  <w:marBottom w:val="0"/>
                  <w:divBdr>
                    <w:top w:val="none" w:sz="0" w:space="0" w:color="auto"/>
                    <w:left w:val="none" w:sz="0" w:space="0" w:color="auto"/>
                    <w:bottom w:val="none" w:sz="0" w:space="0" w:color="auto"/>
                    <w:right w:val="none" w:sz="0" w:space="0" w:color="auto"/>
                  </w:divBdr>
                  <w:divsChild>
                    <w:div w:id="1598757718">
                      <w:marLeft w:val="0"/>
                      <w:marRight w:val="0"/>
                      <w:marTop w:val="0"/>
                      <w:marBottom w:val="0"/>
                      <w:divBdr>
                        <w:top w:val="none" w:sz="0" w:space="0" w:color="auto"/>
                        <w:left w:val="none" w:sz="0" w:space="0" w:color="auto"/>
                        <w:bottom w:val="none" w:sz="0" w:space="0" w:color="auto"/>
                        <w:right w:val="none" w:sz="0" w:space="0" w:color="auto"/>
                      </w:divBdr>
                      <w:divsChild>
                        <w:div w:id="238028873">
                          <w:marLeft w:val="0"/>
                          <w:marRight w:val="0"/>
                          <w:marTop w:val="0"/>
                          <w:marBottom w:val="0"/>
                          <w:divBdr>
                            <w:top w:val="none" w:sz="0" w:space="0" w:color="auto"/>
                            <w:left w:val="none" w:sz="0" w:space="0" w:color="auto"/>
                            <w:bottom w:val="none" w:sz="0" w:space="0" w:color="auto"/>
                            <w:right w:val="none" w:sz="0" w:space="0" w:color="auto"/>
                          </w:divBdr>
                          <w:divsChild>
                            <w:div w:id="1188443977">
                              <w:marLeft w:val="0"/>
                              <w:marRight w:val="0"/>
                              <w:marTop w:val="0"/>
                              <w:marBottom w:val="0"/>
                              <w:divBdr>
                                <w:top w:val="none" w:sz="0" w:space="0" w:color="auto"/>
                                <w:left w:val="none" w:sz="0" w:space="0" w:color="auto"/>
                                <w:bottom w:val="none" w:sz="0" w:space="0" w:color="auto"/>
                                <w:right w:val="none" w:sz="0" w:space="0" w:color="auto"/>
                              </w:divBdr>
                              <w:divsChild>
                                <w:div w:id="451555163">
                                  <w:marLeft w:val="0"/>
                                  <w:marRight w:val="0"/>
                                  <w:marTop w:val="0"/>
                                  <w:marBottom w:val="0"/>
                                  <w:divBdr>
                                    <w:top w:val="none" w:sz="0" w:space="0" w:color="auto"/>
                                    <w:left w:val="none" w:sz="0" w:space="0" w:color="auto"/>
                                    <w:bottom w:val="none" w:sz="0" w:space="0" w:color="auto"/>
                                    <w:right w:val="none" w:sz="0" w:space="0" w:color="auto"/>
                                  </w:divBdr>
                                  <w:divsChild>
                                    <w:div w:id="661662317">
                                      <w:marLeft w:val="0"/>
                                      <w:marRight w:val="0"/>
                                      <w:marTop w:val="0"/>
                                      <w:marBottom w:val="0"/>
                                      <w:divBdr>
                                        <w:top w:val="none" w:sz="0" w:space="0" w:color="auto"/>
                                        <w:left w:val="none" w:sz="0" w:space="0" w:color="auto"/>
                                        <w:bottom w:val="none" w:sz="0" w:space="0" w:color="auto"/>
                                        <w:right w:val="none" w:sz="0" w:space="0" w:color="auto"/>
                                      </w:divBdr>
                                      <w:divsChild>
                                        <w:div w:id="2052604583">
                                          <w:marLeft w:val="0"/>
                                          <w:marRight w:val="0"/>
                                          <w:marTop w:val="0"/>
                                          <w:marBottom w:val="0"/>
                                          <w:divBdr>
                                            <w:top w:val="none" w:sz="0" w:space="0" w:color="auto"/>
                                            <w:left w:val="none" w:sz="0" w:space="0" w:color="auto"/>
                                            <w:bottom w:val="none" w:sz="0" w:space="0" w:color="auto"/>
                                            <w:right w:val="none" w:sz="0" w:space="0" w:color="auto"/>
                                          </w:divBdr>
                                          <w:divsChild>
                                            <w:div w:id="1592592087">
                                              <w:marLeft w:val="0"/>
                                              <w:marRight w:val="0"/>
                                              <w:marTop w:val="0"/>
                                              <w:marBottom w:val="0"/>
                                              <w:divBdr>
                                                <w:top w:val="none" w:sz="0" w:space="0" w:color="auto"/>
                                                <w:left w:val="none" w:sz="0" w:space="0" w:color="auto"/>
                                                <w:bottom w:val="none" w:sz="0" w:space="0" w:color="auto"/>
                                                <w:right w:val="none" w:sz="0" w:space="0" w:color="auto"/>
                                              </w:divBdr>
                                              <w:divsChild>
                                                <w:div w:id="1280185888">
                                                  <w:marLeft w:val="0"/>
                                                  <w:marRight w:val="0"/>
                                                  <w:marTop w:val="0"/>
                                                  <w:marBottom w:val="0"/>
                                                  <w:divBdr>
                                                    <w:top w:val="none" w:sz="0" w:space="0" w:color="auto"/>
                                                    <w:left w:val="none" w:sz="0" w:space="0" w:color="auto"/>
                                                    <w:bottom w:val="none" w:sz="0" w:space="0" w:color="auto"/>
                                                    <w:right w:val="none" w:sz="0" w:space="0" w:color="auto"/>
                                                  </w:divBdr>
                                                  <w:divsChild>
                                                    <w:div w:id="345719231">
                                                      <w:marLeft w:val="0"/>
                                                      <w:marRight w:val="0"/>
                                                      <w:marTop w:val="0"/>
                                                      <w:marBottom w:val="0"/>
                                                      <w:divBdr>
                                                        <w:top w:val="none" w:sz="0" w:space="0" w:color="auto"/>
                                                        <w:left w:val="none" w:sz="0" w:space="0" w:color="auto"/>
                                                        <w:bottom w:val="none" w:sz="0" w:space="0" w:color="auto"/>
                                                        <w:right w:val="none" w:sz="0" w:space="0" w:color="auto"/>
                                                      </w:divBdr>
                                                    </w:div>
                                                    <w:div w:id="15003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309562">
      <w:bodyDiv w:val="1"/>
      <w:marLeft w:val="0"/>
      <w:marRight w:val="0"/>
      <w:marTop w:val="0"/>
      <w:marBottom w:val="0"/>
      <w:divBdr>
        <w:top w:val="none" w:sz="0" w:space="0" w:color="auto"/>
        <w:left w:val="none" w:sz="0" w:space="0" w:color="auto"/>
        <w:bottom w:val="none" w:sz="0" w:space="0" w:color="auto"/>
        <w:right w:val="none" w:sz="0" w:space="0" w:color="auto"/>
      </w:divBdr>
    </w:div>
    <w:div w:id="1609700430">
      <w:bodyDiv w:val="1"/>
      <w:marLeft w:val="0"/>
      <w:marRight w:val="0"/>
      <w:marTop w:val="0"/>
      <w:marBottom w:val="0"/>
      <w:divBdr>
        <w:top w:val="none" w:sz="0" w:space="0" w:color="auto"/>
        <w:left w:val="none" w:sz="0" w:space="0" w:color="auto"/>
        <w:bottom w:val="none" w:sz="0" w:space="0" w:color="auto"/>
        <w:right w:val="none" w:sz="0" w:space="0" w:color="auto"/>
      </w:divBdr>
      <w:divsChild>
        <w:div w:id="2013335235">
          <w:marLeft w:val="0"/>
          <w:marRight w:val="0"/>
          <w:marTop w:val="0"/>
          <w:marBottom w:val="0"/>
          <w:divBdr>
            <w:top w:val="none" w:sz="0" w:space="0" w:color="auto"/>
            <w:left w:val="none" w:sz="0" w:space="0" w:color="auto"/>
            <w:bottom w:val="none" w:sz="0" w:space="0" w:color="auto"/>
            <w:right w:val="none" w:sz="0" w:space="0" w:color="auto"/>
          </w:divBdr>
          <w:divsChild>
            <w:div w:id="1230766310">
              <w:marLeft w:val="0"/>
              <w:marRight w:val="0"/>
              <w:marTop w:val="0"/>
              <w:marBottom w:val="0"/>
              <w:divBdr>
                <w:top w:val="none" w:sz="0" w:space="0" w:color="auto"/>
                <w:left w:val="none" w:sz="0" w:space="0" w:color="auto"/>
                <w:bottom w:val="none" w:sz="0" w:space="0" w:color="auto"/>
                <w:right w:val="none" w:sz="0" w:space="0" w:color="auto"/>
              </w:divBdr>
              <w:divsChild>
                <w:div w:id="1465731559">
                  <w:marLeft w:val="0"/>
                  <w:marRight w:val="300"/>
                  <w:marTop w:val="0"/>
                  <w:marBottom w:val="0"/>
                  <w:divBdr>
                    <w:top w:val="none" w:sz="0" w:space="0" w:color="auto"/>
                    <w:left w:val="none" w:sz="0" w:space="0" w:color="auto"/>
                    <w:bottom w:val="none" w:sz="0" w:space="0" w:color="auto"/>
                    <w:right w:val="none" w:sz="0" w:space="0" w:color="auto"/>
                  </w:divBdr>
                  <w:divsChild>
                    <w:div w:id="653728478">
                      <w:marLeft w:val="0"/>
                      <w:marRight w:val="0"/>
                      <w:marTop w:val="0"/>
                      <w:marBottom w:val="0"/>
                      <w:divBdr>
                        <w:top w:val="none" w:sz="0" w:space="0" w:color="auto"/>
                        <w:left w:val="none" w:sz="0" w:space="0" w:color="auto"/>
                        <w:bottom w:val="none" w:sz="0" w:space="0" w:color="auto"/>
                        <w:right w:val="none" w:sz="0" w:space="0" w:color="auto"/>
                      </w:divBdr>
                      <w:divsChild>
                        <w:div w:id="497308115">
                          <w:marLeft w:val="0"/>
                          <w:marRight w:val="0"/>
                          <w:marTop w:val="0"/>
                          <w:marBottom w:val="0"/>
                          <w:divBdr>
                            <w:top w:val="none" w:sz="0" w:space="0" w:color="auto"/>
                            <w:left w:val="none" w:sz="0" w:space="0" w:color="auto"/>
                            <w:bottom w:val="none" w:sz="0" w:space="0" w:color="auto"/>
                            <w:right w:val="none" w:sz="0" w:space="0" w:color="auto"/>
                          </w:divBdr>
                          <w:divsChild>
                            <w:div w:id="1413697505">
                              <w:marLeft w:val="0"/>
                              <w:marRight w:val="0"/>
                              <w:marTop w:val="0"/>
                              <w:marBottom w:val="0"/>
                              <w:divBdr>
                                <w:top w:val="none" w:sz="0" w:space="0" w:color="auto"/>
                                <w:left w:val="none" w:sz="0" w:space="0" w:color="auto"/>
                                <w:bottom w:val="none" w:sz="0" w:space="0" w:color="auto"/>
                                <w:right w:val="none" w:sz="0" w:space="0" w:color="auto"/>
                              </w:divBdr>
                              <w:divsChild>
                                <w:div w:id="2144274978">
                                  <w:marLeft w:val="0"/>
                                  <w:marRight w:val="0"/>
                                  <w:marTop w:val="0"/>
                                  <w:marBottom w:val="0"/>
                                  <w:divBdr>
                                    <w:top w:val="none" w:sz="0" w:space="0" w:color="auto"/>
                                    <w:left w:val="none" w:sz="0" w:space="0" w:color="auto"/>
                                    <w:bottom w:val="none" w:sz="0" w:space="0" w:color="auto"/>
                                    <w:right w:val="none" w:sz="0" w:space="0" w:color="auto"/>
                                  </w:divBdr>
                                  <w:divsChild>
                                    <w:div w:id="1540623521">
                                      <w:marLeft w:val="0"/>
                                      <w:marRight w:val="0"/>
                                      <w:marTop w:val="0"/>
                                      <w:marBottom w:val="0"/>
                                      <w:divBdr>
                                        <w:top w:val="none" w:sz="0" w:space="0" w:color="auto"/>
                                        <w:left w:val="none" w:sz="0" w:space="0" w:color="auto"/>
                                        <w:bottom w:val="none" w:sz="0" w:space="0" w:color="auto"/>
                                        <w:right w:val="none" w:sz="0" w:space="0" w:color="auto"/>
                                      </w:divBdr>
                                      <w:divsChild>
                                        <w:div w:id="944653759">
                                          <w:marLeft w:val="0"/>
                                          <w:marRight w:val="0"/>
                                          <w:marTop w:val="0"/>
                                          <w:marBottom w:val="0"/>
                                          <w:divBdr>
                                            <w:top w:val="none" w:sz="0" w:space="0" w:color="auto"/>
                                            <w:left w:val="none" w:sz="0" w:space="0" w:color="auto"/>
                                            <w:bottom w:val="none" w:sz="0" w:space="0" w:color="auto"/>
                                            <w:right w:val="none" w:sz="0" w:space="0" w:color="auto"/>
                                          </w:divBdr>
                                          <w:divsChild>
                                            <w:div w:id="2006281812">
                                              <w:marLeft w:val="0"/>
                                              <w:marRight w:val="0"/>
                                              <w:marTop w:val="0"/>
                                              <w:marBottom w:val="0"/>
                                              <w:divBdr>
                                                <w:top w:val="none" w:sz="0" w:space="0" w:color="auto"/>
                                                <w:left w:val="none" w:sz="0" w:space="0" w:color="auto"/>
                                                <w:bottom w:val="none" w:sz="0" w:space="0" w:color="auto"/>
                                                <w:right w:val="none" w:sz="0" w:space="0" w:color="auto"/>
                                              </w:divBdr>
                                              <w:divsChild>
                                                <w:div w:id="1288661660">
                                                  <w:marLeft w:val="0"/>
                                                  <w:marRight w:val="0"/>
                                                  <w:marTop w:val="0"/>
                                                  <w:marBottom w:val="0"/>
                                                  <w:divBdr>
                                                    <w:top w:val="none" w:sz="0" w:space="0" w:color="auto"/>
                                                    <w:left w:val="none" w:sz="0" w:space="0" w:color="auto"/>
                                                    <w:bottom w:val="none" w:sz="0" w:space="0" w:color="auto"/>
                                                    <w:right w:val="none" w:sz="0" w:space="0" w:color="auto"/>
                                                  </w:divBdr>
                                                  <w:divsChild>
                                                    <w:div w:id="1266378034">
                                                      <w:marLeft w:val="0"/>
                                                      <w:marRight w:val="0"/>
                                                      <w:marTop w:val="0"/>
                                                      <w:marBottom w:val="0"/>
                                                      <w:divBdr>
                                                        <w:top w:val="none" w:sz="0" w:space="0" w:color="auto"/>
                                                        <w:left w:val="none" w:sz="0" w:space="0" w:color="auto"/>
                                                        <w:bottom w:val="none" w:sz="0" w:space="0" w:color="auto"/>
                                                        <w:right w:val="none" w:sz="0" w:space="0" w:color="auto"/>
                                                      </w:divBdr>
                                                    </w:div>
                                                    <w:div w:id="13613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324006">
      <w:bodyDiv w:val="1"/>
      <w:marLeft w:val="0"/>
      <w:marRight w:val="0"/>
      <w:marTop w:val="0"/>
      <w:marBottom w:val="0"/>
      <w:divBdr>
        <w:top w:val="none" w:sz="0" w:space="0" w:color="auto"/>
        <w:left w:val="none" w:sz="0" w:space="0" w:color="auto"/>
        <w:bottom w:val="none" w:sz="0" w:space="0" w:color="auto"/>
        <w:right w:val="none" w:sz="0" w:space="0" w:color="auto"/>
      </w:divBdr>
      <w:divsChild>
        <w:div w:id="1605260059">
          <w:marLeft w:val="0"/>
          <w:marRight w:val="0"/>
          <w:marTop w:val="0"/>
          <w:marBottom w:val="0"/>
          <w:divBdr>
            <w:top w:val="none" w:sz="0" w:space="0" w:color="auto"/>
            <w:left w:val="none" w:sz="0" w:space="0" w:color="auto"/>
            <w:bottom w:val="none" w:sz="0" w:space="0" w:color="auto"/>
            <w:right w:val="none" w:sz="0" w:space="0" w:color="auto"/>
          </w:divBdr>
          <w:divsChild>
            <w:div w:id="1039621402">
              <w:marLeft w:val="0"/>
              <w:marRight w:val="0"/>
              <w:marTop w:val="0"/>
              <w:marBottom w:val="0"/>
              <w:divBdr>
                <w:top w:val="none" w:sz="0" w:space="0" w:color="auto"/>
                <w:left w:val="none" w:sz="0" w:space="0" w:color="auto"/>
                <w:bottom w:val="none" w:sz="0" w:space="0" w:color="auto"/>
                <w:right w:val="none" w:sz="0" w:space="0" w:color="auto"/>
              </w:divBdr>
              <w:divsChild>
                <w:div w:id="45689650">
                  <w:marLeft w:val="0"/>
                  <w:marRight w:val="300"/>
                  <w:marTop w:val="0"/>
                  <w:marBottom w:val="0"/>
                  <w:divBdr>
                    <w:top w:val="none" w:sz="0" w:space="0" w:color="auto"/>
                    <w:left w:val="none" w:sz="0" w:space="0" w:color="auto"/>
                    <w:bottom w:val="none" w:sz="0" w:space="0" w:color="auto"/>
                    <w:right w:val="none" w:sz="0" w:space="0" w:color="auto"/>
                  </w:divBdr>
                  <w:divsChild>
                    <w:div w:id="1698580708">
                      <w:marLeft w:val="0"/>
                      <w:marRight w:val="0"/>
                      <w:marTop w:val="0"/>
                      <w:marBottom w:val="0"/>
                      <w:divBdr>
                        <w:top w:val="none" w:sz="0" w:space="0" w:color="auto"/>
                        <w:left w:val="none" w:sz="0" w:space="0" w:color="auto"/>
                        <w:bottom w:val="none" w:sz="0" w:space="0" w:color="auto"/>
                        <w:right w:val="none" w:sz="0" w:space="0" w:color="auto"/>
                      </w:divBdr>
                      <w:divsChild>
                        <w:div w:id="2077238290">
                          <w:marLeft w:val="0"/>
                          <w:marRight w:val="0"/>
                          <w:marTop w:val="0"/>
                          <w:marBottom w:val="0"/>
                          <w:divBdr>
                            <w:top w:val="none" w:sz="0" w:space="0" w:color="auto"/>
                            <w:left w:val="none" w:sz="0" w:space="0" w:color="auto"/>
                            <w:bottom w:val="none" w:sz="0" w:space="0" w:color="auto"/>
                            <w:right w:val="none" w:sz="0" w:space="0" w:color="auto"/>
                          </w:divBdr>
                          <w:divsChild>
                            <w:div w:id="1530412920">
                              <w:marLeft w:val="0"/>
                              <w:marRight w:val="0"/>
                              <w:marTop w:val="0"/>
                              <w:marBottom w:val="0"/>
                              <w:divBdr>
                                <w:top w:val="none" w:sz="0" w:space="0" w:color="auto"/>
                                <w:left w:val="none" w:sz="0" w:space="0" w:color="auto"/>
                                <w:bottom w:val="none" w:sz="0" w:space="0" w:color="auto"/>
                                <w:right w:val="none" w:sz="0" w:space="0" w:color="auto"/>
                              </w:divBdr>
                              <w:divsChild>
                                <w:div w:id="999887665">
                                  <w:marLeft w:val="0"/>
                                  <w:marRight w:val="0"/>
                                  <w:marTop w:val="0"/>
                                  <w:marBottom w:val="0"/>
                                  <w:divBdr>
                                    <w:top w:val="none" w:sz="0" w:space="0" w:color="auto"/>
                                    <w:left w:val="none" w:sz="0" w:space="0" w:color="auto"/>
                                    <w:bottom w:val="none" w:sz="0" w:space="0" w:color="auto"/>
                                    <w:right w:val="none" w:sz="0" w:space="0" w:color="auto"/>
                                  </w:divBdr>
                                  <w:divsChild>
                                    <w:div w:id="1847404908">
                                      <w:marLeft w:val="0"/>
                                      <w:marRight w:val="0"/>
                                      <w:marTop w:val="0"/>
                                      <w:marBottom w:val="0"/>
                                      <w:divBdr>
                                        <w:top w:val="none" w:sz="0" w:space="0" w:color="auto"/>
                                        <w:left w:val="none" w:sz="0" w:space="0" w:color="auto"/>
                                        <w:bottom w:val="none" w:sz="0" w:space="0" w:color="auto"/>
                                        <w:right w:val="none" w:sz="0" w:space="0" w:color="auto"/>
                                      </w:divBdr>
                                      <w:divsChild>
                                        <w:div w:id="1092817560">
                                          <w:marLeft w:val="0"/>
                                          <w:marRight w:val="0"/>
                                          <w:marTop w:val="0"/>
                                          <w:marBottom w:val="0"/>
                                          <w:divBdr>
                                            <w:top w:val="none" w:sz="0" w:space="0" w:color="auto"/>
                                            <w:left w:val="none" w:sz="0" w:space="0" w:color="auto"/>
                                            <w:bottom w:val="none" w:sz="0" w:space="0" w:color="auto"/>
                                            <w:right w:val="none" w:sz="0" w:space="0" w:color="auto"/>
                                          </w:divBdr>
                                          <w:divsChild>
                                            <w:div w:id="284238402">
                                              <w:marLeft w:val="0"/>
                                              <w:marRight w:val="0"/>
                                              <w:marTop w:val="0"/>
                                              <w:marBottom w:val="0"/>
                                              <w:divBdr>
                                                <w:top w:val="none" w:sz="0" w:space="0" w:color="auto"/>
                                                <w:left w:val="none" w:sz="0" w:space="0" w:color="auto"/>
                                                <w:bottom w:val="none" w:sz="0" w:space="0" w:color="auto"/>
                                                <w:right w:val="none" w:sz="0" w:space="0" w:color="auto"/>
                                              </w:divBdr>
                                              <w:divsChild>
                                                <w:div w:id="1661617554">
                                                  <w:marLeft w:val="0"/>
                                                  <w:marRight w:val="0"/>
                                                  <w:marTop w:val="0"/>
                                                  <w:marBottom w:val="0"/>
                                                  <w:divBdr>
                                                    <w:top w:val="none" w:sz="0" w:space="0" w:color="auto"/>
                                                    <w:left w:val="none" w:sz="0" w:space="0" w:color="auto"/>
                                                    <w:bottom w:val="none" w:sz="0" w:space="0" w:color="auto"/>
                                                    <w:right w:val="none" w:sz="0" w:space="0" w:color="auto"/>
                                                  </w:divBdr>
                                                  <w:divsChild>
                                                    <w:div w:id="563957110">
                                                      <w:marLeft w:val="0"/>
                                                      <w:marRight w:val="0"/>
                                                      <w:marTop w:val="0"/>
                                                      <w:marBottom w:val="0"/>
                                                      <w:divBdr>
                                                        <w:top w:val="none" w:sz="0" w:space="0" w:color="auto"/>
                                                        <w:left w:val="none" w:sz="0" w:space="0" w:color="auto"/>
                                                        <w:bottom w:val="none" w:sz="0" w:space="0" w:color="auto"/>
                                                        <w:right w:val="none" w:sz="0" w:space="0" w:color="auto"/>
                                                      </w:divBdr>
                                                    </w:div>
                                                    <w:div w:id="12596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10616">
      <w:bodyDiv w:val="1"/>
      <w:marLeft w:val="0"/>
      <w:marRight w:val="0"/>
      <w:marTop w:val="0"/>
      <w:marBottom w:val="0"/>
      <w:divBdr>
        <w:top w:val="none" w:sz="0" w:space="0" w:color="auto"/>
        <w:left w:val="none" w:sz="0" w:space="0" w:color="auto"/>
        <w:bottom w:val="none" w:sz="0" w:space="0" w:color="auto"/>
        <w:right w:val="none" w:sz="0" w:space="0" w:color="auto"/>
      </w:divBdr>
    </w:div>
    <w:div w:id="1784617931">
      <w:bodyDiv w:val="1"/>
      <w:marLeft w:val="0"/>
      <w:marRight w:val="0"/>
      <w:marTop w:val="0"/>
      <w:marBottom w:val="0"/>
      <w:divBdr>
        <w:top w:val="none" w:sz="0" w:space="0" w:color="auto"/>
        <w:left w:val="none" w:sz="0" w:space="0" w:color="auto"/>
        <w:bottom w:val="none" w:sz="0" w:space="0" w:color="auto"/>
        <w:right w:val="none" w:sz="0" w:space="0" w:color="auto"/>
      </w:divBdr>
      <w:divsChild>
        <w:div w:id="1032002215">
          <w:marLeft w:val="0"/>
          <w:marRight w:val="0"/>
          <w:marTop w:val="0"/>
          <w:marBottom w:val="0"/>
          <w:divBdr>
            <w:top w:val="none" w:sz="0" w:space="0" w:color="auto"/>
            <w:left w:val="none" w:sz="0" w:space="0" w:color="auto"/>
            <w:bottom w:val="none" w:sz="0" w:space="0" w:color="auto"/>
            <w:right w:val="none" w:sz="0" w:space="0" w:color="auto"/>
          </w:divBdr>
        </w:div>
        <w:div w:id="2028217436">
          <w:marLeft w:val="0"/>
          <w:marRight w:val="0"/>
          <w:marTop w:val="0"/>
          <w:marBottom w:val="0"/>
          <w:divBdr>
            <w:top w:val="none" w:sz="0" w:space="0" w:color="auto"/>
            <w:left w:val="none" w:sz="0" w:space="0" w:color="auto"/>
            <w:bottom w:val="none" w:sz="0" w:space="0" w:color="auto"/>
            <w:right w:val="none" w:sz="0" w:space="0" w:color="auto"/>
          </w:divBdr>
        </w:div>
        <w:div w:id="1829859302">
          <w:marLeft w:val="0"/>
          <w:marRight w:val="0"/>
          <w:marTop w:val="0"/>
          <w:marBottom w:val="0"/>
          <w:divBdr>
            <w:top w:val="none" w:sz="0" w:space="0" w:color="auto"/>
            <w:left w:val="none" w:sz="0" w:space="0" w:color="auto"/>
            <w:bottom w:val="none" w:sz="0" w:space="0" w:color="auto"/>
            <w:right w:val="none" w:sz="0" w:space="0" w:color="auto"/>
          </w:divBdr>
        </w:div>
      </w:divsChild>
    </w:div>
    <w:div w:id="1857496359">
      <w:bodyDiv w:val="1"/>
      <w:marLeft w:val="0"/>
      <w:marRight w:val="0"/>
      <w:marTop w:val="0"/>
      <w:marBottom w:val="0"/>
      <w:divBdr>
        <w:top w:val="none" w:sz="0" w:space="0" w:color="auto"/>
        <w:left w:val="none" w:sz="0" w:space="0" w:color="auto"/>
        <w:bottom w:val="none" w:sz="0" w:space="0" w:color="auto"/>
        <w:right w:val="none" w:sz="0" w:space="0" w:color="auto"/>
      </w:divBdr>
    </w:div>
    <w:div w:id="19247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recommendations/wg8j-10/wg8j-10-rec-04-en.pdf" TargetMode="External"/><Relationship Id="rId18" Type="http://schemas.openxmlformats.org/officeDocument/2006/relationships/hyperlink" Target="https://www.cbd.int/doc/decisions/cop-09/cop-09-dec-11-en.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bd.int/doc/decisions/cop-13/cop-13-dec-20-en.pdf" TargetMode="External"/><Relationship Id="rId17" Type="http://schemas.openxmlformats.org/officeDocument/2006/relationships/hyperlink" Target="https://www.cbd.int/doc/decisions/cop-10/cop-10-dec-03-e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decisions/cop-11/cop-11-dec-19-en.pdf" TargetMode="External"/><Relationship Id="rId20" Type="http://schemas.openxmlformats.org/officeDocument/2006/relationships/hyperlink" Target="https://www.cbd.int/doc/meetings/cop/cop-12/information/cop-12-inf-27-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3-en.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bd.int/doc/meetings/cop/cop-12/information/cop-12-inf-27-en.pdf"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cbd.int/doc/c/e32d/3f85/3597e40539804b5ea74b0c4b/wg8j-10-inf-07-en.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09/cop-09-dec-11-en.pdf" TargetMode="External"/><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N06/512/07/pdf/N0651207.pdf?OpenElement" TargetMode="External"/><Relationship Id="rId13" Type="http://schemas.openxmlformats.org/officeDocument/2006/relationships/hyperlink" Target="https://www.cbd.int/doc/c/e32d/3f85/3597e40539804b5ea74b0c4b/wg8j-10-inf-07-en.pdf" TargetMode="External"/><Relationship Id="rId18" Type="http://schemas.openxmlformats.org/officeDocument/2006/relationships/hyperlink" Target="https://documents-dds-ny.un.org/doc/UNDOC/GEN/G16/015/38/pdf/G1601538.pdf?OpenElement" TargetMode="External"/><Relationship Id="rId26" Type="http://schemas.openxmlformats.org/officeDocument/2006/relationships/hyperlink" Target="https://www.adaptation-fund.org/document/guidance-document-implementing-entities-compliance-adaptation-fund-environmental-social-policy/" TargetMode="External"/><Relationship Id="rId39" Type="http://schemas.openxmlformats.org/officeDocument/2006/relationships/hyperlink" Target="https://documents-dds-ny.un.org/doc/UNDOC/GEN/G17/021/68/pdf/G1702168.pdf?OpenElement" TargetMode="External"/><Relationship Id="rId3" Type="http://schemas.openxmlformats.org/officeDocument/2006/relationships/hyperlink" Target="https://www.cbd.int/doc/c/c156/72ff/b9f3d590c7150bc15f6a23f4/wg8j-10-06-en.pdf" TargetMode="External"/><Relationship Id="rId21" Type="http://schemas.openxmlformats.org/officeDocument/2006/relationships/hyperlink" Target="https://unfccc.int/sites/default/files/resource/docs/2017/cop23/eng/11a01.pdf?download" TargetMode="External"/><Relationship Id="rId34" Type="http://schemas.openxmlformats.org/officeDocument/2006/relationships/hyperlink" Target="https://globalgoals.goldstandard.org/100/101-3-gold-standard-for-the-global-goal-stakeholder-procedure-requirements-guidelines" TargetMode="External"/><Relationship Id="rId7" Type="http://schemas.openxmlformats.org/officeDocument/2006/relationships/hyperlink" Target="https://documents-dds-ny.un.org/doc/UNDOC/GEN/N15/291/89/pdf/N1529189.pdf?OpenElement" TargetMode="External"/><Relationship Id="rId12" Type="http://schemas.openxmlformats.org/officeDocument/2006/relationships/hyperlink" Target="https://www.cbd.int/guidelines/" TargetMode="External"/><Relationship Id="rId17" Type="http://schemas.openxmlformats.org/officeDocument/2006/relationships/hyperlink" Target="http://www.worldbank.org/en/programs/environmental-and-social-policies-for-projects/brief/environmental-and-social-framework-esf-draft-guidance-notes-for-borrowers" TargetMode="External"/><Relationship Id="rId25" Type="http://schemas.openxmlformats.org/officeDocument/2006/relationships/hyperlink" Target="https://www.adaptation-fund.org/wp-content/uploads/2013/11/Amended-March-2016_-OPG-ANNEX-3-Environmental-social-policy-March-2016.pdf" TargetMode="External"/><Relationship Id="rId33" Type="http://schemas.openxmlformats.org/officeDocument/2006/relationships/hyperlink" Target="https://globalgoals.goldstandard.org/100/101-4-gold-standard-for-the-global-goals-safeguarding-principles-requirements" TargetMode="External"/><Relationship Id="rId38" Type="http://schemas.openxmlformats.org/officeDocument/2006/relationships/hyperlink" Target="https://documents-dds-ny.un.org/doc/UNDOC/GEN/G17/009/97/pdf/G1700997.pdf?OpenElement" TargetMode="External"/><Relationship Id="rId2" Type="http://schemas.openxmlformats.org/officeDocument/2006/relationships/hyperlink" Target="https://www.cbd.int/doc/c/5ae3/177a/9c20f79d172c5eec0cd6e0a6/wg8j-10-05-en.pdf" TargetMode="External"/><Relationship Id="rId16" Type="http://schemas.openxmlformats.org/officeDocument/2006/relationships/hyperlink" Target="http://www.ifc.org/wps/wcm/connect/Topics_Ext_Content/IFC_External_Corporate_Site/Sustainability-At-IFC/" TargetMode="External"/><Relationship Id="rId20" Type="http://schemas.openxmlformats.org/officeDocument/2006/relationships/hyperlink" Target="http://bigpicture.unfccc.int/content/climate-finance/what-is-the-financial-mechanism-what-are-the-other-funds.html" TargetMode="External"/><Relationship Id="rId29" Type="http://schemas.openxmlformats.org/officeDocument/2006/relationships/hyperlink" Target="http://www.v-c-s.org/project/ccb-program/" TargetMode="External"/><Relationship Id="rId1" Type="http://schemas.openxmlformats.org/officeDocument/2006/relationships/hyperlink" Target="https://www.cbd.int/doc/meetings/tk/wg8j-10/official/wg8j-10-01-en.pdf" TargetMode="External"/><Relationship Id="rId6" Type="http://schemas.openxmlformats.org/officeDocument/2006/relationships/hyperlink" Target="https://www.cbd.int/doc/c/6832/674e/ff060212e0c87899e7557608/wg8j-10-inf-10-en.pdf" TargetMode="External"/><Relationship Id="rId11" Type="http://schemas.openxmlformats.org/officeDocument/2006/relationships/hyperlink" Target="https://unfccc.int/sites/default/files/resource/docs/2010/cop16/eng/07a01.pdf?download" TargetMode="External"/><Relationship Id="rId24" Type="http://schemas.openxmlformats.org/officeDocument/2006/relationships/hyperlink" Target="https://treaties.un.org/doc/Treaties/2016/02/20160215%2006-03%20PM/Ch_XXVII-7-d.pdf" TargetMode="External"/><Relationship Id="rId32" Type="http://schemas.openxmlformats.org/officeDocument/2006/relationships/hyperlink" Target="https://globalgoals.goldstandard.org/" TargetMode="External"/><Relationship Id="rId37" Type="http://schemas.openxmlformats.org/officeDocument/2006/relationships/hyperlink" Target="http://www.un.org/en/universal-declaration-human-rights/index.html" TargetMode="External"/><Relationship Id="rId40" Type="http://schemas.openxmlformats.org/officeDocument/2006/relationships/hyperlink" Target="http://www.un.org/esa/socdev/unpfii/documents/DRIPS_en.pdf" TargetMode="External"/><Relationship Id="rId5" Type="http://schemas.openxmlformats.org/officeDocument/2006/relationships/hyperlink" Target="https://www.cbd.int/doc/c/c156/72ff/b9f3d590c7150bc15f6a23f4/wg8j-10-06-en.pdf" TargetMode="External"/><Relationship Id="rId15" Type="http://schemas.openxmlformats.org/officeDocument/2006/relationships/hyperlink" Target="http://www.ifc.org/wps/wcm/connect/topics_ext_content/ifc_external_corporate_site/sustainability-at-ifc/policies-standards/safeguards-pre2006" TargetMode="External"/><Relationship Id="rId23" Type="http://schemas.openxmlformats.org/officeDocument/2006/relationships/hyperlink" Target="http://www.greenclimate.fund/documents/20182/820027/GCF_2017_Inf.02_-_Environmental_and_social_management_system.pdf/fec82d6c-1e68-4398-908e-f32c14f2814f" TargetMode="External"/><Relationship Id="rId28" Type="http://schemas.openxmlformats.org/officeDocument/2006/relationships/hyperlink" Target="http://www.climate-standards.org/about-ccba/" TargetMode="External"/><Relationship Id="rId36" Type="http://schemas.openxmlformats.org/officeDocument/2006/relationships/hyperlink" Target="https://www.isealalliance.org/sites/default/files/ISEAL_Mission_Goals_2013.pdf" TargetMode="External"/><Relationship Id="rId10" Type="http://schemas.openxmlformats.org/officeDocument/2006/relationships/hyperlink" Target="https://unfccc.int/sites/default/files/resource/docs/2010/cop16/eng/07a01.pdf?download" TargetMode="External"/><Relationship Id="rId19" Type="http://schemas.openxmlformats.org/officeDocument/2006/relationships/hyperlink" Target="https://unfccc.int/sites/default/files/resource/docs/2017/cop23/eng/11a01.pdf?download" TargetMode="External"/><Relationship Id="rId31" Type="http://schemas.openxmlformats.org/officeDocument/2006/relationships/hyperlink" Target="http://www.v-c-s.org/wp-content/uploads/2017/06/CCB-Standards-v3.1_ENG.pdf" TargetMode="External"/><Relationship Id="rId4" Type="http://schemas.openxmlformats.org/officeDocument/2006/relationships/hyperlink" Target="https://www.cbd.int/doc/c/5ae3/177a/9c20f79d172c5eec0cd6e0a6/wg8j-10-05-en.pdf" TargetMode="External"/><Relationship Id="rId9" Type="http://schemas.openxmlformats.org/officeDocument/2006/relationships/hyperlink" Target="https://www.cbd.int/doc/meetings/cop/cop-12/information/cop-12-inf-27-en.pdf" TargetMode="External"/><Relationship Id="rId14" Type="http://schemas.openxmlformats.org/officeDocument/2006/relationships/hyperlink" Target="https://www.cbd.int/doc/meetings/cop/cop-12/information/cop-12-inf-27-en.pdf" TargetMode="External"/><Relationship Id="rId22" Type="http://schemas.openxmlformats.org/officeDocument/2006/relationships/hyperlink" Target="https://unfccc.int/sites/default/files/resource/docs/2017/cop23/eng/11a01.pdf?download" TargetMode="External"/><Relationship Id="rId27" Type="http://schemas.openxmlformats.org/officeDocument/2006/relationships/hyperlink" Target="https://unfccc.int/sites/default/files/resource/docs/2010/cop16/eng/07a01.pdf?download" TargetMode="External"/><Relationship Id="rId30" Type="http://schemas.openxmlformats.org/officeDocument/2006/relationships/hyperlink" Target="http://www.climate-standards.org/ccb-standards/summary-scorecard/" TargetMode="External"/><Relationship Id="rId35" Type="http://schemas.openxmlformats.org/officeDocument/2006/relationships/hyperlink" Target="http://www.v-c-s.org/wp-content/uploads/2016/05/2012-Annual-Report-FINAL.pdf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Local%20Settings\Temporary%20Internet%20Files\OLK1\template-8j.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4E0E4C936A4EC18D4ABD3E52F8D96B"/>
        <w:category>
          <w:name w:val="General"/>
          <w:gallery w:val="placeholder"/>
        </w:category>
        <w:types>
          <w:type w:val="bbPlcHdr"/>
        </w:types>
        <w:behaviors>
          <w:behavior w:val="content"/>
        </w:behaviors>
        <w:guid w:val="{75C7985A-7EF1-4F5A-A3E6-1DE73AD5DEE3}"/>
      </w:docPartPr>
      <w:docPartBody>
        <w:p w:rsidR="002809D8" w:rsidRDefault="00521474">
          <w:r w:rsidRPr="000A7028">
            <w:rPr>
              <w:rStyle w:val="PlaceholderText"/>
            </w:rPr>
            <w:t>[Subject]</w:t>
          </w:r>
        </w:p>
      </w:docPartBody>
    </w:docPart>
    <w:docPart>
      <w:docPartPr>
        <w:name w:val="1C54B2F02ADC418294646D58D88CB34C"/>
        <w:category>
          <w:name w:val="General"/>
          <w:gallery w:val="placeholder"/>
        </w:category>
        <w:types>
          <w:type w:val="bbPlcHdr"/>
        </w:types>
        <w:behaviors>
          <w:behavior w:val="content"/>
        </w:behaviors>
        <w:guid w:val="{F4F5C9DF-0BAC-4633-9D7D-5CAFBD46C0D0}"/>
      </w:docPartPr>
      <w:docPartBody>
        <w:p w:rsidR="002809D8" w:rsidRDefault="00521474">
          <w:r w:rsidRPr="000A7028">
            <w:rPr>
              <w:rStyle w:val="PlaceholderText"/>
            </w:rPr>
            <w:t>[Title]</w:t>
          </w:r>
        </w:p>
      </w:docPartBody>
    </w:docPart>
    <w:docPart>
      <w:docPartPr>
        <w:name w:val="2024B354B2E146BF974E8A38D05DB676"/>
        <w:category>
          <w:name w:val="General"/>
          <w:gallery w:val="placeholder"/>
        </w:category>
        <w:types>
          <w:type w:val="bbPlcHdr"/>
        </w:types>
        <w:behaviors>
          <w:behavior w:val="content"/>
        </w:behaviors>
        <w:guid w:val="{D9163153-874C-465D-84A5-95835026D0B6}"/>
      </w:docPartPr>
      <w:docPartBody>
        <w:p w:rsidR="002809D8" w:rsidRDefault="00521474">
          <w:r w:rsidRPr="000A7028">
            <w:rPr>
              <w:rStyle w:val="PlaceholderText"/>
            </w:rPr>
            <w:t>[Subject]</w:t>
          </w:r>
        </w:p>
      </w:docPartBody>
    </w:docPart>
    <w:docPart>
      <w:docPartPr>
        <w:name w:val="9F18E1D40E9E4C9DACAEAF115DCBAAA7"/>
        <w:category>
          <w:name w:val="General"/>
          <w:gallery w:val="placeholder"/>
        </w:category>
        <w:types>
          <w:type w:val="bbPlcHdr"/>
        </w:types>
        <w:behaviors>
          <w:behavior w:val="content"/>
        </w:behaviors>
        <w:guid w:val="{3B27B819-493A-4D5B-BFC4-35794B223D8A}"/>
      </w:docPartPr>
      <w:docPartBody>
        <w:p w:rsidR="002809D8" w:rsidRDefault="00521474">
          <w:r w:rsidRPr="000A702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74"/>
    <w:rsid w:val="002809D8"/>
    <w:rsid w:val="005214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4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9143-F05B-4841-B6C2-20182386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template-8j.dot</Template>
  <TotalTime>4</TotalTime>
  <Pages>19</Pages>
  <Words>10066</Words>
  <Characters>57380</Characters>
  <Application>Microsoft Office Word</Application>
  <DocSecurity>0</DocSecurity>
  <Lines>478</Lines>
  <Paragraphs>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Taking the voluntary guidelines on safeguards in biodiversity financing mechanisms into account when selecting, designing and implementing biodiversity financing mechanisms and when developing instrument-specific safeguards</vt:lpstr>
      <vt:lpstr>Integration of Article 8(j) and provisions related to indigenous peoples and local communities in the work of the Convention and its Protocols</vt:lpstr>
    </vt:vector>
  </TitlesOfParts>
  <Company>Biodiversity</Company>
  <LinksUpToDate>false</LinksUpToDate>
  <CharactersWithSpaces>67312</CharactersWithSpaces>
  <SharedDoc>false</SharedDoc>
  <HyperlinkBase/>
  <HLinks>
    <vt:vector size="150" baseType="variant">
      <vt:variant>
        <vt:i4>5701643</vt:i4>
      </vt:variant>
      <vt:variant>
        <vt:i4>24</vt:i4>
      </vt:variant>
      <vt:variant>
        <vt:i4>0</vt:i4>
      </vt:variant>
      <vt:variant>
        <vt:i4>5</vt:i4>
      </vt:variant>
      <vt:variant>
        <vt:lpwstr>https://www.cbd.int/doc/meetings/cop/cop-12/information/cop-12-inf-27-en.pdf</vt:lpwstr>
      </vt:variant>
      <vt:variant>
        <vt:lpwstr/>
      </vt:variant>
      <vt:variant>
        <vt:i4>3670132</vt:i4>
      </vt:variant>
      <vt:variant>
        <vt:i4>21</vt:i4>
      </vt:variant>
      <vt:variant>
        <vt:i4>0</vt:i4>
      </vt:variant>
      <vt:variant>
        <vt:i4>5</vt:i4>
      </vt:variant>
      <vt:variant>
        <vt:lpwstr>https://www.cbd.int/doc/c/e32d/3f85/3597e40539804b5ea74b0c4b/wg8j-10-inf-07-en.pdf</vt:lpwstr>
      </vt:variant>
      <vt:variant>
        <vt:lpwstr/>
      </vt:variant>
      <vt:variant>
        <vt:i4>131143</vt:i4>
      </vt:variant>
      <vt:variant>
        <vt:i4>18</vt:i4>
      </vt:variant>
      <vt:variant>
        <vt:i4>0</vt:i4>
      </vt:variant>
      <vt:variant>
        <vt:i4>5</vt:i4>
      </vt:variant>
      <vt:variant>
        <vt:lpwstr>https://www.cbd.int/doc/decisions/cop-09/cop-09-dec-11-en.pdf</vt:lpwstr>
      </vt:variant>
      <vt:variant>
        <vt:lpwstr/>
      </vt:variant>
      <vt:variant>
        <vt:i4>524366</vt:i4>
      </vt:variant>
      <vt:variant>
        <vt:i4>15</vt:i4>
      </vt:variant>
      <vt:variant>
        <vt:i4>0</vt:i4>
      </vt:variant>
      <vt:variant>
        <vt:i4>5</vt:i4>
      </vt:variant>
      <vt:variant>
        <vt:lpwstr>https://www.cbd.int/doc/decisions/cop-10/cop-10-dec-03-en.pdf</vt:lpwstr>
      </vt:variant>
      <vt:variant>
        <vt:lpwstr/>
      </vt:variant>
      <vt:variant>
        <vt:i4>196686</vt:i4>
      </vt:variant>
      <vt:variant>
        <vt:i4>12</vt:i4>
      </vt:variant>
      <vt:variant>
        <vt:i4>0</vt:i4>
      </vt:variant>
      <vt:variant>
        <vt:i4>5</vt:i4>
      </vt:variant>
      <vt:variant>
        <vt:lpwstr>https://www.cbd.int/doc/decisions/cop-11/cop-11-dec-19-en.pdf</vt:lpwstr>
      </vt:variant>
      <vt:variant>
        <vt:lpwstr/>
      </vt:variant>
      <vt:variant>
        <vt:i4>5701643</vt:i4>
      </vt:variant>
      <vt:variant>
        <vt:i4>9</vt:i4>
      </vt:variant>
      <vt:variant>
        <vt:i4>0</vt:i4>
      </vt:variant>
      <vt:variant>
        <vt:i4>5</vt:i4>
      </vt:variant>
      <vt:variant>
        <vt:lpwstr>https://www.cbd.int/doc/meetings/cop/cop-12/information/cop-12-inf-27-en.pdf</vt:lpwstr>
      </vt:variant>
      <vt:variant>
        <vt:lpwstr/>
      </vt:variant>
      <vt:variant>
        <vt:i4>524367</vt:i4>
      </vt:variant>
      <vt:variant>
        <vt:i4>3</vt:i4>
      </vt:variant>
      <vt:variant>
        <vt:i4>0</vt:i4>
      </vt:variant>
      <vt:variant>
        <vt:i4>5</vt:i4>
      </vt:variant>
      <vt:variant>
        <vt:lpwstr>https://www.cbd.int/doc/decisions/cop-13/cop-13-dec-20-en.pdf</vt:lpwstr>
      </vt:variant>
      <vt:variant>
        <vt:lpwstr/>
      </vt:variant>
      <vt:variant>
        <vt:i4>655436</vt:i4>
      </vt:variant>
      <vt:variant>
        <vt:i4>0</vt:i4>
      </vt:variant>
      <vt:variant>
        <vt:i4>0</vt:i4>
      </vt:variant>
      <vt:variant>
        <vt:i4>5</vt:i4>
      </vt:variant>
      <vt:variant>
        <vt:lpwstr>https://www.cbd.int/doc/decisions/cop-12/cop-12-dec-03-en.pdf</vt:lpwstr>
      </vt:variant>
      <vt:variant>
        <vt:lpwstr/>
      </vt:variant>
      <vt:variant>
        <vt:i4>5111855</vt:i4>
      </vt:variant>
      <vt:variant>
        <vt:i4>48</vt:i4>
      </vt:variant>
      <vt:variant>
        <vt:i4>0</vt:i4>
      </vt:variant>
      <vt:variant>
        <vt:i4>5</vt:i4>
      </vt:variant>
      <vt:variant>
        <vt:lpwstr>http://www.un.org/esa/socdev/unpfii/documents/DRIPS_en.pdf</vt:lpwstr>
      </vt:variant>
      <vt:variant>
        <vt:lpwstr/>
      </vt:variant>
      <vt:variant>
        <vt:i4>5505117</vt:i4>
      </vt:variant>
      <vt:variant>
        <vt:i4>45</vt:i4>
      </vt:variant>
      <vt:variant>
        <vt:i4>0</vt:i4>
      </vt:variant>
      <vt:variant>
        <vt:i4>5</vt:i4>
      </vt:variant>
      <vt:variant>
        <vt:lpwstr>https://www.adaptation-fund.org/document/guidance-document-implementing-entities-compliance-adaptation-fund-environmental-social-policy/</vt:lpwstr>
      </vt:variant>
      <vt:variant>
        <vt:lpwstr/>
      </vt:variant>
      <vt:variant>
        <vt:i4>3604493</vt:i4>
      </vt:variant>
      <vt:variant>
        <vt:i4>42</vt:i4>
      </vt:variant>
      <vt:variant>
        <vt:i4>0</vt:i4>
      </vt:variant>
      <vt:variant>
        <vt:i4>5</vt:i4>
      </vt:variant>
      <vt:variant>
        <vt:lpwstr>https://www.adaptation-fund.org/wp-content/uploads/2013/11/Amended-March-2016_-OPG-ANNEX-3-Environmental-social-policy-March-2016.pdf</vt:lpwstr>
      </vt:variant>
      <vt:variant>
        <vt:lpwstr/>
      </vt:variant>
      <vt:variant>
        <vt:i4>1114183</vt:i4>
      </vt:variant>
      <vt:variant>
        <vt:i4>39</vt:i4>
      </vt:variant>
      <vt:variant>
        <vt:i4>0</vt:i4>
      </vt:variant>
      <vt:variant>
        <vt:i4>5</vt:i4>
      </vt:variant>
      <vt:variant>
        <vt:lpwstr>http://www.greenclimate.fund/documents/20182/820027/GCF_2017_Inf.02_-_Environmental_and_social_management_system.pdf/fec82d6c-1e68-4398-908e-f32c14f2814f</vt:lpwstr>
      </vt:variant>
      <vt:variant>
        <vt:lpwstr/>
      </vt:variant>
      <vt:variant>
        <vt:i4>7274584</vt:i4>
      </vt:variant>
      <vt:variant>
        <vt:i4>36</vt:i4>
      </vt:variant>
      <vt:variant>
        <vt:i4>0</vt:i4>
      </vt:variant>
      <vt:variant>
        <vt:i4>5</vt:i4>
      </vt:variant>
      <vt:variant>
        <vt:lpwstr>http://www.ifc.org/wps/wcm/connect/Topics_Ext_Content/IFC_External_Corporate_Site/Sustainability-At-IFC/</vt:lpwstr>
      </vt:variant>
      <vt:variant>
        <vt:lpwstr/>
      </vt:variant>
      <vt:variant>
        <vt:i4>5701643</vt:i4>
      </vt:variant>
      <vt:variant>
        <vt:i4>33</vt:i4>
      </vt:variant>
      <vt:variant>
        <vt:i4>0</vt:i4>
      </vt:variant>
      <vt:variant>
        <vt:i4>5</vt:i4>
      </vt:variant>
      <vt:variant>
        <vt:lpwstr>https://www.cbd.int/doc/meetings/cop/cop-12/information/cop-12-inf-27-en.pdf</vt:lpwstr>
      </vt:variant>
      <vt:variant>
        <vt:lpwstr/>
      </vt:variant>
      <vt:variant>
        <vt:i4>3670132</vt:i4>
      </vt:variant>
      <vt:variant>
        <vt:i4>30</vt:i4>
      </vt:variant>
      <vt:variant>
        <vt:i4>0</vt:i4>
      </vt:variant>
      <vt:variant>
        <vt:i4>5</vt:i4>
      </vt:variant>
      <vt:variant>
        <vt:lpwstr>https://www.cbd.int/doc/c/e32d/3f85/3597e40539804b5ea74b0c4b/wg8j-10-inf-07-en.pdf</vt:lpwstr>
      </vt:variant>
      <vt:variant>
        <vt:lpwstr/>
      </vt:variant>
      <vt:variant>
        <vt:i4>2424893</vt:i4>
      </vt:variant>
      <vt:variant>
        <vt:i4>27</vt:i4>
      </vt:variant>
      <vt:variant>
        <vt:i4>0</vt:i4>
      </vt:variant>
      <vt:variant>
        <vt:i4>5</vt:i4>
      </vt:variant>
      <vt:variant>
        <vt:lpwstr>https://www.cbd.int/guidelines/</vt:lpwstr>
      </vt:variant>
      <vt:variant>
        <vt:lpwstr/>
      </vt:variant>
      <vt:variant>
        <vt:i4>3670132</vt:i4>
      </vt:variant>
      <vt:variant>
        <vt:i4>24</vt:i4>
      </vt:variant>
      <vt:variant>
        <vt:i4>0</vt:i4>
      </vt:variant>
      <vt:variant>
        <vt:i4>5</vt:i4>
      </vt:variant>
      <vt:variant>
        <vt:lpwstr>https://www.cbd.int/doc/c/e32d/3f85/3597e40539804b5ea74b0c4b/wg8j-10-inf-07-en.pdf</vt:lpwstr>
      </vt:variant>
      <vt:variant>
        <vt:lpwstr/>
      </vt:variant>
      <vt:variant>
        <vt:i4>5701643</vt:i4>
      </vt:variant>
      <vt:variant>
        <vt:i4>21</vt:i4>
      </vt:variant>
      <vt:variant>
        <vt:i4>0</vt:i4>
      </vt:variant>
      <vt:variant>
        <vt:i4>5</vt:i4>
      </vt:variant>
      <vt:variant>
        <vt:lpwstr>https://www.cbd.int/doc/meetings/cop/cop-12/information/cop-12-inf-27-en.pdf</vt:lpwstr>
      </vt:variant>
      <vt:variant>
        <vt:lpwstr/>
      </vt:variant>
      <vt:variant>
        <vt:i4>5767176</vt:i4>
      </vt:variant>
      <vt:variant>
        <vt:i4>18</vt:i4>
      </vt:variant>
      <vt:variant>
        <vt:i4>0</vt:i4>
      </vt:variant>
      <vt:variant>
        <vt:i4>5</vt:i4>
      </vt:variant>
      <vt:variant>
        <vt:lpwstr>https://documents-dds-ny.un.org/doc/UNDOC/GEN/N06/512/07/pdf/N0651207.pdf?OpenElement</vt:lpwstr>
      </vt:variant>
      <vt:variant>
        <vt:lpwstr/>
      </vt:variant>
      <vt:variant>
        <vt:i4>6029324</vt:i4>
      </vt:variant>
      <vt:variant>
        <vt:i4>15</vt:i4>
      </vt:variant>
      <vt:variant>
        <vt:i4>0</vt:i4>
      </vt:variant>
      <vt:variant>
        <vt:i4>5</vt:i4>
      </vt:variant>
      <vt:variant>
        <vt:lpwstr>https://documents-dds-ny.un.org/doc/UNDOC/GEN/N15/291/89/pdf/N1529189.pdf?OpenElement</vt:lpwstr>
      </vt:variant>
      <vt:variant>
        <vt:lpwstr/>
      </vt:variant>
      <vt:variant>
        <vt:i4>3801147</vt:i4>
      </vt:variant>
      <vt:variant>
        <vt:i4>12</vt:i4>
      </vt:variant>
      <vt:variant>
        <vt:i4>0</vt:i4>
      </vt:variant>
      <vt:variant>
        <vt:i4>5</vt:i4>
      </vt:variant>
      <vt:variant>
        <vt:lpwstr>https://www.cbd.int/doc/c/c156/72ff/b9f3d590c7150bc15f6a23f4/wg8j-10-06-en.pdf</vt:lpwstr>
      </vt:variant>
      <vt:variant>
        <vt:lpwstr/>
      </vt:variant>
      <vt:variant>
        <vt:i4>6750308</vt:i4>
      </vt:variant>
      <vt:variant>
        <vt:i4>9</vt:i4>
      </vt:variant>
      <vt:variant>
        <vt:i4>0</vt:i4>
      </vt:variant>
      <vt:variant>
        <vt:i4>5</vt:i4>
      </vt:variant>
      <vt:variant>
        <vt:lpwstr>https://www.cbd.int/doc/c/5ae3/177a/9c20f79d172c5eec0cd6e0a6/wg8j-10-05-en.pdf</vt:lpwstr>
      </vt:variant>
      <vt:variant>
        <vt:lpwstr/>
      </vt:variant>
      <vt:variant>
        <vt:i4>3801147</vt:i4>
      </vt:variant>
      <vt:variant>
        <vt:i4>6</vt:i4>
      </vt:variant>
      <vt:variant>
        <vt:i4>0</vt:i4>
      </vt:variant>
      <vt:variant>
        <vt:i4>5</vt:i4>
      </vt:variant>
      <vt:variant>
        <vt:lpwstr>https://www.cbd.int/doc/c/c156/72ff/b9f3d590c7150bc15f6a23f4/wg8j-10-06-en.pdf</vt:lpwstr>
      </vt:variant>
      <vt:variant>
        <vt:lpwstr/>
      </vt:variant>
      <vt:variant>
        <vt:i4>6750308</vt:i4>
      </vt:variant>
      <vt:variant>
        <vt:i4>3</vt:i4>
      </vt:variant>
      <vt:variant>
        <vt:i4>0</vt:i4>
      </vt:variant>
      <vt:variant>
        <vt:i4>5</vt:i4>
      </vt:variant>
      <vt:variant>
        <vt:lpwstr>https://www.cbd.int/doc/c/5ae3/177a/9c20f79d172c5eec0cd6e0a6/wg8j-10-05-en.pdf</vt:lpwstr>
      </vt:variant>
      <vt:variant>
        <vt:lpwstr/>
      </vt:variant>
      <vt:variant>
        <vt:i4>8126566</vt:i4>
      </vt:variant>
      <vt:variant>
        <vt:i4>0</vt:i4>
      </vt:variant>
      <vt:variant>
        <vt:i4>0</vt:i4>
      </vt:variant>
      <vt:variant>
        <vt:i4>5</vt:i4>
      </vt:variant>
      <vt:variant>
        <vt:lpwstr>https://www.cbd.int/doc/meetings/tk/wg8j-10/official/wg8j-10-01-en.pdf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the voluntary guidelines on safeguards in biodiversity financing mechanisms into account when selecting, designing and implementing biodiversity financing mechanisms and when developing instrument-specific safeguards</dc:title>
  <dc:subject>CBD/SBI/2/20</dc:subject>
  <dc:creator>SCBD</dc:creator>
  <cp:lastModifiedBy>veronique lefebvre</cp:lastModifiedBy>
  <cp:revision>8</cp:revision>
  <cp:lastPrinted>2017-11-29T20:17:00Z</cp:lastPrinted>
  <dcterms:created xsi:type="dcterms:W3CDTF">2018-05-10T18:11:00Z</dcterms:created>
  <dcterms:modified xsi:type="dcterms:W3CDTF">2018-05-11T14:33:00Z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