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207A6E" w:rsidRPr="00385560" w:rsidTr="003D5B83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</w:tcPr>
          <w:p w:rsidR="00207A6E" w:rsidRPr="00385560" w:rsidRDefault="008605ED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Cambria" w:eastAsia="MS Mincho" w:hAnsi="Cambria"/>
                <w:snapToGrid w:val="0"/>
                <w:kern w:val="22"/>
              </w:rPr>
            </w:pPr>
            <w:r w:rsidRPr="00385560">
              <w:rPr>
                <w:rFonts w:ascii="Cambria" w:eastAsia="MS Mincho" w:hAnsi="Cambria"/>
                <w:noProof/>
                <w:snapToGrid w:val="0"/>
                <w:kern w:val="22"/>
                <w:lang w:val="fr-FR" w:eastAsia="fr-FR"/>
              </w:rPr>
              <w:drawing>
                <wp:inline distT="0" distB="0" distL="0" distR="0" wp14:anchorId="475957E4" wp14:editId="498DA68F">
                  <wp:extent cx="476250" cy="400050"/>
                  <wp:effectExtent l="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</w:tcPr>
          <w:p w:rsidR="00207A6E" w:rsidRPr="00385560" w:rsidRDefault="008605ED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Cambria" w:eastAsia="MS Mincho" w:hAnsi="Cambria"/>
                <w:snapToGrid w:val="0"/>
                <w:kern w:val="22"/>
              </w:rPr>
            </w:pPr>
            <w:r w:rsidRPr="00385560">
              <w:rPr>
                <w:rFonts w:ascii="Cambria" w:eastAsia="MS Mincho" w:hAnsi="Cambria"/>
                <w:noProof/>
                <w:snapToGrid w:val="0"/>
                <w:kern w:val="22"/>
                <w:lang w:val="fr-FR" w:eastAsia="fr-FR"/>
              </w:rPr>
              <w:drawing>
                <wp:inline distT="0" distB="0" distL="0" distR="0" wp14:anchorId="380CC498" wp14:editId="5CDEDC40">
                  <wp:extent cx="342900" cy="400050"/>
                  <wp:effectExtent l="0" t="0" r="0" b="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  <w:shd w:val="clear" w:color="auto" w:fill="auto"/>
          </w:tcPr>
          <w:p w:rsidR="00207A6E" w:rsidRPr="00385560" w:rsidRDefault="00207A6E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MS Mincho" w:hAnsi="Arial" w:cs="Arial"/>
                <w:b/>
                <w:snapToGrid w:val="0"/>
                <w:kern w:val="22"/>
                <w:sz w:val="32"/>
                <w:szCs w:val="32"/>
              </w:rPr>
            </w:pPr>
            <w:r w:rsidRPr="00385560">
              <w:rPr>
                <w:rFonts w:ascii="Arial" w:eastAsia="MS Mincho" w:hAnsi="Arial" w:cs="Arial"/>
                <w:b/>
                <w:snapToGrid w:val="0"/>
                <w:kern w:val="22"/>
                <w:sz w:val="32"/>
                <w:szCs w:val="32"/>
              </w:rPr>
              <w:t>CBD</w:t>
            </w:r>
          </w:p>
        </w:tc>
      </w:tr>
    </w:tbl>
    <w:p w:rsidR="003D5B83" w:rsidRPr="00385560" w:rsidRDefault="003D5B83" w:rsidP="0038556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vanish/>
          <w:kern w:val="22"/>
        </w:rPr>
      </w:pPr>
    </w:p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F16F02" w:rsidRPr="00A57D5A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:rsidR="00F16F02" w:rsidRPr="00385560" w:rsidRDefault="00F16F02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</w:p>
          <w:p w:rsidR="00F16F02" w:rsidRPr="00EE4574" w:rsidRDefault="00D92C7B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 w:rsidRPr="004217E5">
              <w:rPr>
                <w:bCs/>
                <w:noProof/>
                <w:szCs w:val="22"/>
                <w:lang w:val="fr-FR" w:eastAsia="fr-FR"/>
              </w:rPr>
              <w:drawing>
                <wp:inline distT="0" distB="0" distL="0" distR="0" wp14:anchorId="3F7A9DFC" wp14:editId="5E0BAF73">
                  <wp:extent cx="2855595" cy="1080135"/>
                  <wp:effectExtent l="0" t="0" r="1905" b="5715"/>
                  <wp:docPr id="3" name="Picture 3" descr="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F02" w:rsidRPr="0070113D" w:rsidRDefault="00F16F02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snapToGrid w:val="0"/>
                <w:kern w:val="22"/>
                <w:sz w:val="32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F16F02" w:rsidRPr="00385560" w:rsidRDefault="00F16F02" w:rsidP="00385560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F16F02" w:rsidRPr="00A57D5A" w:rsidRDefault="00F16F02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/>
              <w:rPr>
                <w:snapToGrid w:val="0"/>
                <w:kern w:val="22"/>
                <w:szCs w:val="22"/>
                <w:lang w:val="fr-FR"/>
              </w:rPr>
            </w:pPr>
            <w:r w:rsidRPr="00A57D5A">
              <w:rPr>
                <w:snapToGrid w:val="0"/>
                <w:kern w:val="22"/>
                <w:szCs w:val="22"/>
                <w:lang w:val="fr-FR"/>
              </w:rPr>
              <w:t>Distr.</w:t>
            </w:r>
          </w:p>
          <w:p w:rsidR="00F16F02" w:rsidRPr="00A57D5A" w:rsidRDefault="00A57D5A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/>
              <w:rPr>
                <w:snapToGrid w:val="0"/>
                <w:kern w:val="22"/>
                <w:szCs w:val="22"/>
                <w:lang w:val="fr-FR"/>
              </w:rPr>
            </w:pPr>
            <w:r>
              <w:rPr>
                <w:snapToGrid w:val="0"/>
                <w:kern w:val="22"/>
                <w:szCs w:val="22"/>
                <w:lang w:val="fr-FR"/>
              </w:rPr>
              <w:t>GÉ</w:t>
            </w:r>
            <w:r w:rsidRPr="00A57D5A">
              <w:rPr>
                <w:snapToGrid w:val="0"/>
                <w:kern w:val="22"/>
                <w:szCs w:val="22"/>
                <w:lang w:val="fr-FR"/>
              </w:rPr>
              <w:t>N</w:t>
            </w:r>
            <w:r>
              <w:rPr>
                <w:snapToGrid w:val="0"/>
                <w:kern w:val="22"/>
                <w:szCs w:val="22"/>
                <w:lang w:val="fr-FR"/>
              </w:rPr>
              <w:t>É</w:t>
            </w:r>
            <w:r w:rsidR="00F16F02" w:rsidRPr="00A57D5A">
              <w:rPr>
                <w:snapToGrid w:val="0"/>
                <w:kern w:val="22"/>
                <w:szCs w:val="22"/>
                <w:lang w:val="fr-FR"/>
              </w:rPr>
              <w:t>RAL</w:t>
            </w:r>
            <w:r w:rsidRPr="00A57D5A">
              <w:rPr>
                <w:snapToGrid w:val="0"/>
                <w:kern w:val="22"/>
                <w:szCs w:val="22"/>
                <w:lang w:val="fr-FR"/>
              </w:rPr>
              <w:t>E</w:t>
            </w:r>
          </w:p>
          <w:p w:rsidR="00F16F02" w:rsidRPr="00A57D5A" w:rsidRDefault="00F16F02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/>
              <w:rPr>
                <w:snapToGrid w:val="0"/>
                <w:kern w:val="22"/>
                <w:szCs w:val="22"/>
                <w:lang w:val="fr-FR"/>
              </w:rPr>
            </w:pPr>
          </w:p>
          <w:p w:rsidR="00F16F02" w:rsidRPr="00A57D5A" w:rsidRDefault="00D51069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/>
              <w:rPr>
                <w:snapToGrid w:val="0"/>
                <w:kern w:val="22"/>
                <w:szCs w:val="22"/>
                <w:lang w:val="fr-FR"/>
              </w:rPr>
            </w:pPr>
            <w:r w:rsidRPr="00A57D5A">
              <w:rPr>
                <w:snapToGrid w:val="0"/>
                <w:kern w:val="22"/>
                <w:szCs w:val="22"/>
                <w:lang w:val="fr-FR"/>
              </w:rPr>
              <w:t>CBD/SB</w:t>
            </w:r>
            <w:r w:rsidR="00843FF1" w:rsidRPr="00A57D5A">
              <w:rPr>
                <w:snapToGrid w:val="0"/>
                <w:kern w:val="22"/>
                <w:szCs w:val="22"/>
                <w:lang w:val="fr-FR"/>
              </w:rPr>
              <w:t>I/</w:t>
            </w:r>
            <w:r w:rsidR="002E0627" w:rsidRPr="00A57D5A">
              <w:rPr>
                <w:snapToGrid w:val="0"/>
                <w:kern w:val="22"/>
                <w:szCs w:val="22"/>
                <w:lang w:val="fr-FR"/>
              </w:rPr>
              <w:t>2/</w:t>
            </w:r>
            <w:r w:rsidR="00C91927" w:rsidRPr="00A57D5A">
              <w:rPr>
                <w:snapToGrid w:val="0"/>
                <w:kern w:val="22"/>
                <w:szCs w:val="22"/>
                <w:lang w:val="fr-FR"/>
              </w:rPr>
              <w:t>1</w:t>
            </w:r>
            <w:r w:rsidR="00F25CEE" w:rsidRPr="00A57D5A">
              <w:rPr>
                <w:snapToGrid w:val="0"/>
                <w:kern w:val="22"/>
                <w:szCs w:val="22"/>
                <w:lang w:val="fr-FR"/>
              </w:rPr>
              <w:t>5</w:t>
            </w:r>
          </w:p>
          <w:p w:rsidR="00F16F02" w:rsidRPr="00A57D5A" w:rsidRDefault="00B26763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/>
              <w:rPr>
                <w:snapToGrid w:val="0"/>
                <w:kern w:val="22"/>
                <w:szCs w:val="22"/>
                <w:lang w:val="fr-FR"/>
              </w:rPr>
            </w:pPr>
            <w:r w:rsidRPr="00A57D5A">
              <w:rPr>
                <w:snapToGrid w:val="0"/>
                <w:kern w:val="22"/>
                <w:szCs w:val="22"/>
                <w:lang w:val="fr-FR"/>
              </w:rPr>
              <w:t>2</w:t>
            </w:r>
            <w:r w:rsidR="0073740F" w:rsidRPr="00A57D5A">
              <w:rPr>
                <w:snapToGrid w:val="0"/>
                <w:kern w:val="22"/>
                <w:szCs w:val="22"/>
                <w:lang w:val="fr-FR"/>
              </w:rPr>
              <w:t>5</w:t>
            </w:r>
            <w:r w:rsidR="00A57D5A" w:rsidRPr="00A57D5A">
              <w:rPr>
                <w:snapToGrid w:val="0"/>
                <w:kern w:val="22"/>
                <w:szCs w:val="22"/>
                <w:lang w:val="fr-FR"/>
              </w:rPr>
              <w:t xml:space="preserve"> mai 201</w:t>
            </w:r>
            <w:r w:rsidR="00D15589" w:rsidRPr="00A57D5A">
              <w:rPr>
                <w:snapToGrid w:val="0"/>
                <w:kern w:val="22"/>
                <w:szCs w:val="22"/>
                <w:lang w:val="fr-FR"/>
              </w:rPr>
              <w:t>8</w:t>
            </w:r>
          </w:p>
          <w:p w:rsidR="00F16F02" w:rsidRPr="00A57D5A" w:rsidRDefault="00F16F02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/>
              <w:rPr>
                <w:snapToGrid w:val="0"/>
                <w:kern w:val="22"/>
                <w:szCs w:val="22"/>
                <w:lang w:val="fr-FR"/>
              </w:rPr>
            </w:pPr>
          </w:p>
          <w:p w:rsidR="00A57D5A" w:rsidRDefault="00A57D5A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/>
              <w:rPr>
                <w:snapToGrid w:val="0"/>
                <w:kern w:val="22"/>
                <w:szCs w:val="22"/>
                <w:lang w:val="fr-FR"/>
              </w:rPr>
            </w:pPr>
          </w:p>
          <w:p w:rsidR="00A57D5A" w:rsidRDefault="00A57D5A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/>
              <w:rPr>
                <w:snapToGrid w:val="0"/>
                <w:kern w:val="22"/>
                <w:szCs w:val="22"/>
                <w:lang w:val="fr-FR"/>
              </w:rPr>
            </w:pPr>
            <w:r>
              <w:rPr>
                <w:snapToGrid w:val="0"/>
                <w:kern w:val="22"/>
                <w:szCs w:val="22"/>
                <w:lang w:val="fr-FR"/>
              </w:rPr>
              <w:t>FRANÇAIS</w:t>
            </w:r>
          </w:p>
          <w:p w:rsidR="00F16F02" w:rsidRPr="00A57D5A" w:rsidRDefault="00F16F02" w:rsidP="0038556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/>
              <w:rPr>
                <w:snapToGrid w:val="0"/>
                <w:kern w:val="22"/>
                <w:szCs w:val="22"/>
                <w:u w:val="single"/>
                <w:lang w:val="fr-FR"/>
              </w:rPr>
            </w:pPr>
            <w:r w:rsidRPr="00A57D5A">
              <w:rPr>
                <w:snapToGrid w:val="0"/>
                <w:kern w:val="22"/>
                <w:szCs w:val="22"/>
                <w:lang w:val="fr-FR"/>
              </w:rPr>
              <w:t>ORIGINAL</w:t>
            </w:r>
            <w:r w:rsidR="00A57D5A">
              <w:rPr>
                <w:snapToGrid w:val="0"/>
                <w:kern w:val="22"/>
                <w:szCs w:val="22"/>
                <w:lang w:val="fr-FR"/>
              </w:rPr>
              <w:t xml:space="preserve"> : A</w:t>
            </w:r>
            <w:r w:rsidRPr="00A57D5A">
              <w:rPr>
                <w:snapToGrid w:val="0"/>
                <w:kern w:val="22"/>
                <w:szCs w:val="22"/>
                <w:lang w:val="fr-FR"/>
              </w:rPr>
              <w:t>NGL</w:t>
            </w:r>
            <w:r w:rsidR="00A57D5A">
              <w:rPr>
                <w:snapToGrid w:val="0"/>
                <w:kern w:val="22"/>
                <w:szCs w:val="22"/>
                <w:lang w:val="fr-FR"/>
              </w:rPr>
              <w:t>A</w:t>
            </w:r>
            <w:r w:rsidRPr="00A57D5A">
              <w:rPr>
                <w:snapToGrid w:val="0"/>
                <w:kern w:val="22"/>
                <w:szCs w:val="22"/>
                <w:lang w:val="fr-FR"/>
              </w:rPr>
              <w:t>IS</w:t>
            </w:r>
          </w:p>
        </w:tc>
      </w:tr>
    </w:tbl>
    <w:p w:rsidR="00CA6B87" w:rsidRPr="00A57D5A" w:rsidRDefault="00A57D5A" w:rsidP="00385560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398"/>
        <w:rPr>
          <w:kern w:val="22"/>
          <w:szCs w:val="22"/>
          <w:lang w:val="fr-FR"/>
        </w:rPr>
      </w:pPr>
      <w:r w:rsidRPr="00A57D5A">
        <w:rPr>
          <w:kern w:val="22"/>
          <w:lang w:val="fr-FR"/>
        </w:rPr>
        <w:t>ORGANE SUBSIDIAIRE CHARGÉ DE L’APPLICATION</w:t>
      </w:r>
    </w:p>
    <w:p w:rsidR="00D51069" w:rsidRPr="00A57D5A" w:rsidRDefault="00A57D5A" w:rsidP="0038556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fr-FR" w:eastAsia="nb-NO"/>
        </w:rPr>
      </w:pPr>
      <w:r w:rsidRPr="00A57D5A">
        <w:rPr>
          <w:snapToGrid w:val="0"/>
          <w:kern w:val="22"/>
          <w:szCs w:val="22"/>
          <w:lang w:val="fr-FR" w:eastAsia="nb-NO"/>
        </w:rPr>
        <w:t>Deuxième</w:t>
      </w:r>
      <w:r w:rsidR="00D51069" w:rsidRPr="00A57D5A">
        <w:rPr>
          <w:snapToGrid w:val="0"/>
          <w:kern w:val="22"/>
          <w:szCs w:val="22"/>
          <w:lang w:val="fr-FR" w:eastAsia="nb-NO"/>
        </w:rPr>
        <w:t xml:space="preserve"> </w:t>
      </w:r>
      <w:r w:rsidRPr="00A57D5A">
        <w:rPr>
          <w:snapToGrid w:val="0"/>
          <w:kern w:val="22"/>
          <w:szCs w:val="22"/>
          <w:lang w:val="fr-FR" w:eastAsia="nb-NO"/>
        </w:rPr>
        <w:t>réunion</w:t>
      </w:r>
    </w:p>
    <w:p w:rsidR="00CA6B87" w:rsidRPr="00A57D5A" w:rsidRDefault="00A57D5A" w:rsidP="0038556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fr-FR" w:eastAsia="nb-NO"/>
        </w:rPr>
      </w:pPr>
      <w:r w:rsidRPr="00A57D5A">
        <w:rPr>
          <w:snapToGrid w:val="0"/>
          <w:kern w:val="22"/>
          <w:szCs w:val="22"/>
          <w:lang w:val="fr-FR" w:eastAsia="nb-NO"/>
        </w:rPr>
        <w:t>Montré</w:t>
      </w:r>
      <w:r w:rsidR="00D51069" w:rsidRPr="00A57D5A">
        <w:rPr>
          <w:snapToGrid w:val="0"/>
          <w:kern w:val="22"/>
          <w:szCs w:val="22"/>
          <w:lang w:val="fr-FR" w:eastAsia="nb-NO"/>
        </w:rPr>
        <w:t>al</w:t>
      </w:r>
      <w:r w:rsidR="00CA6B87" w:rsidRPr="00A57D5A">
        <w:rPr>
          <w:snapToGrid w:val="0"/>
          <w:kern w:val="22"/>
          <w:szCs w:val="22"/>
          <w:lang w:val="fr-FR" w:eastAsia="nb-NO"/>
        </w:rPr>
        <w:t xml:space="preserve">, </w:t>
      </w:r>
      <w:r w:rsidR="00D51069" w:rsidRPr="00A57D5A">
        <w:rPr>
          <w:snapToGrid w:val="0"/>
          <w:kern w:val="22"/>
          <w:szCs w:val="22"/>
          <w:lang w:val="fr-FR" w:eastAsia="nb-NO"/>
        </w:rPr>
        <w:t xml:space="preserve">Canada, </w:t>
      </w:r>
      <w:r w:rsidR="002E0627" w:rsidRPr="00A57D5A">
        <w:rPr>
          <w:snapToGrid w:val="0"/>
          <w:kern w:val="22"/>
          <w:szCs w:val="22"/>
          <w:lang w:val="fr-FR" w:eastAsia="nb-NO"/>
        </w:rPr>
        <w:t>9-13</w:t>
      </w:r>
      <w:r w:rsidRPr="00A57D5A">
        <w:rPr>
          <w:snapToGrid w:val="0"/>
          <w:kern w:val="22"/>
          <w:szCs w:val="22"/>
          <w:lang w:val="fr-FR" w:eastAsia="nb-NO"/>
        </w:rPr>
        <w:t xml:space="preserve"> juillet</w:t>
      </w:r>
      <w:r w:rsidR="00D15589" w:rsidRPr="00A57D5A">
        <w:rPr>
          <w:snapToGrid w:val="0"/>
          <w:kern w:val="22"/>
          <w:szCs w:val="22"/>
          <w:lang w:val="fr-FR" w:eastAsia="nb-NO"/>
        </w:rPr>
        <w:t xml:space="preserve"> 2018</w:t>
      </w:r>
    </w:p>
    <w:p w:rsidR="00CA6B87" w:rsidRPr="00A57D5A" w:rsidRDefault="00A57D5A" w:rsidP="00A57D5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rPr>
          <w:snapToGrid w:val="0"/>
          <w:kern w:val="22"/>
          <w:szCs w:val="22"/>
          <w:lang w:val="fr-FR" w:eastAsia="nb-NO"/>
        </w:rPr>
      </w:pPr>
      <w:r w:rsidRPr="00A57D5A">
        <w:rPr>
          <w:snapToGrid w:val="0"/>
          <w:kern w:val="22"/>
          <w:szCs w:val="22"/>
          <w:lang w:val="fr-FR" w:eastAsia="nb-NO"/>
        </w:rPr>
        <w:t xml:space="preserve">Point </w:t>
      </w:r>
      <w:r w:rsidR="00CE3C3C" w:rsidRPr="00A57D5A">
        <w:rPr>
          <w:snapToGrid w:val="0"/>
          <w:kern w:val="22"/>
          <w:szCs w:val="22"/>
          <w:lang w:val="fr-FR" w:eastAsia="nb-NO"/>
        </w:rPr>
        <w:t>14</w:t>
      </w:r>
      <w:r w:rsidRPr="00A57D5A">
        <w:rPr>
          <w:snapToGrid w:val="0"/>
          <w:kern w:val="22"/>
          <w:szCs w:val="22"/>
          <w:lang w:val="fr-FR" w:eastAsia="nb-NO"/>
        </w:rPr>
        <w:t xml:space="preserve"> de l’ordre du jour provisoire</w:t>
      </w:r>
      <w:r w:rsidR="00D51069" w:rsidRPr="00A57D5A">
        <w:rPr>
          <w:rStyle w:val="FootnoteReference"/>
          <w:snapToGrid w:val="0"/>
          <w:kern w:val="22"/>
          <w:szCs w:val="22"/>
          <w:u w:val="none"/>
          <w:lang w:val="fr-FR" w:eastAsia="nb-NO"/>
        </w:rPr>
        <w:footnoteReference w:customMarkFollows="1" w:id="1"/>
        <w:t>*</w:t>
      </w:r>
    </w:p>
    <w:p w:rsidR="00406BC6" w:rsidRPr="00A57D5A" w:rsidRDefault="000E408E" w:rsidP="00385560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ascii="Times New Roman Bold" w:hAnsi="Times New Roman Bold" w:cs="Times New Roman Bold"/>
          <w:snapToGrid w:val="0"/>
          <w:kern w:val="22"/>
          <w:lang w:val="fr-FR"/>
        </w:rPr>
      </w:pPr>
      <w:sdt>
        <w:sdtPr>
          <w:rPr>
            <w:rFonts w:ascii="Times New Roman Bold" w:hAnsi="Times New Roman Bold" w:cs="Times New Roman Bold"/>
            <w:bCs/>
            <w:lang w:val="fr-FR"/>
          </w:rPr>
          <w:alias w:val="Title"/>
          <w:tag w:val=""/>
          <w:id w:val="848682589"/>
          <w:placeholder>
            <w:docPart w:val="F4AFBC8C6548485C98839CC7DBDC9B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0E408E">
            <w:rPr>
              <w:rFonts w:ascii="Times New Roman Bold" w:hAnsi="Times New Roman Bold" w:cs="Times New Roman Bold"/>
              <w:bCs/>
              <w:lang w:val="fr-FR"/>
            </w:rPr>
            <w:t>Approches intÉgrÉes pour les questions</w:t>
          </w:r>
          <w:r w:rsidR="00526459">
            <w:rPr>
              <w:rFonts w:ascii="Times New Roman Bold" w:hAnsi="Times New Roman Bold" w:cs="Times New Roman Bold"/>
              <w:bCs/>
              <w:lang w:val="fr-FR"/>
            </w:rPr>
            <w:t xml:space="preserve"> concernant</w:t>
          </w:r>
          <w:r>
            <w:rPr>
              <w:rFonts w:ascii="Times New Roman Bold" w:hAnsi="Times New Roman Bold" w:cs="Times New Roman Bold"/>
              <w:bCs/>
              <w:lang w:val="fr-FR"/>
            </w:rPr>
            <w:t xml:space="preserve"> </w:t>
          </w:r>
          <w:r w:rsidRPr="000E408E">
            <w:rPr>
              <w:rFonts w:ascii="Times New Roman Bold" w:hAnsi="Times New Roman Bold" w:cs="Times New Roman Bold"/>
              <w:bCs/>
              <w:lang w:val="fr-FR"/>
            </w:rPr>
            <w:t>À</w:t>
          </w:r>
          <w:r w:rsidR="00526459">
            <w:rPr>
              <w:rFonts w:ascii="Times New Roman Bold" w:hAnsi="Times New Roman Bold" w:cs="Times New Roman Bold"/>
              <w:bCs/>
              <w:lang w:val="fr-FR"/>
            </w:rPr>
            <w:t xml:space="preserve"> La fois</w:t>
          </w:r>
          <w:r w:rsidRPr="000E408E">
            <w:rPr>
              <w:rFonts w:ascii="Times New Roman Bold" w:hAnsi="Times New Roman Bold" w:cs="Times New Roman Bold"/>
              <w:bCs/>
              <w:lang w:val="fr-FR"/>
            </w:rPr>
            <w:t xml:space="preserve"> les </w:t>
          </w:r>
          <w:r>
            <w:rPr>
              <w:rFonts w:ascii="Times New Roman Bold" w:hAnsi="Times New Roman Bold" w:cs="Times New Roman Bold"/>
              <w:bCs/>
              <w:lang w:val="fr-FR"/>
            </w:rPr>
            <w:t xml:space="preserve">dispositions relatives </w:t>
          </w:r>
          <w:r w:rsidRPr="0077766A">
            <w:rPr>
              <w:rFonts w:ascii="Times New Roman Bold" w:hAnsi="Times New Roman Bold" w:cs="Times New Roman Bold"/>
              <w:bCs/>
              <w:lang w:val="fr-FR"/>
            </w:rPr>
            <w:t>À</w:t>
          </w:r>
          <w:r w:rsidRPr="000E408E">
            <w:rPr>
              <w:rFonts w:ascii="Times New Roman Bold" w:hAnsi="Times New Roman Bold" w:cs="Times New Roman Bold"/>
              <w:bCs/>
              <w:lang w:val="fr-FR"/>
            </w:rPr>
            <w:t xml:space="preserve"> la prÉvention des risques biotechnologiques de la Convention et les dispositions du Protocole de Cartagena</w:t>
          </w:r>
        </w:sdtContent>
      </w:sdt>
    </w:p>
    <w:p w:rsidR="00EF44CA" w:rsidRPr="00A57D5A" w:rsidRDefault="00A57D5A" w:rsidP="00A57D5A">
      <w:pPr>
        <w:pStyle w:val="Heading2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/>
        <w:rPr>
          <w:b w:val="0"/>
          <w:i/>
          <w:snapToGrid w:val="0"/>
          <w:kern w:val="22"/>
          <w:lang w:val="fr-FR"/>
        </w:rPr>
      </w:pPr>
      <w:r w:rsidRPr="00A57D5A">
        <w:rPr>
          <w:b w:val="0"/>
          <w:i/>
          <w:snapToGrid w:val="0"/>
          <w:kern w:val="22"/>
          <w:lang w:val="fr-FR"/>
        </w:rPr>
        <w:t>Note de la Secrétaire exécutive</w:t>
      </w:r>
    </w:p>
    <w:p w:rsidR="00246E61" w:rsidRPr="00BA7936" w:rsidRDefault="00246E61" w:rsidP="00A57D5A">
      <w:pPr>
        <w:keepNext/>
        <w:kinsoku w:val="0"/>
        <w:overflowPunct w:val="0"/>
        <w:autoSpaceDE w:val="0"/>
        <w:autoSpaceDN w:val="0"/>
        <w:adjustRightInd w:val="0"/>
        <w:snapToGrid w:val="0"/>
        <w:spacing w:before="240" w:after="120"/>
        <w:jc w:val="center"/>
        <w:rPr>
          <w:rFonts w:ascii="Times New Roman Bold" w:hAnsi="Times New Roman Bold" w:cs="Times New Roman Bold"/>
          <w:b/>
          <w:bCs/>
          <w:caps/>
          <w:lang w:val="fr-FR"/>
        </w:rPr>
      </w:pPr>
      <w:r w:rsidRPr="00BA7936">
        <w:rPr>
          <w:rFonts w:ascii="Times New Roman Bold" w:hAnsi="Times New Roman Bold" w:cs="Times New Roman Bold"/>
          <w:b/>
          <w:bCs/>
          <w:caps/>
          <w:lang w:val="fr-FR"/>
        </w:rPr>
        <w:t>Introduction</w:t>
      </w:r>
    </w:p>
    <w:p w:rsidR="009E5F7E" w:rsidRPr="00A57D5A" w:rsidRDefault="00A57D5A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 w:rsidRPr="00A57D5A">
        <w:rPr>
          <w:kern w:val="22"/>
          <w:lang w:val="fr-FR"/>
        </w:rPr>
        <w:t>Au paragraphe 10 de la décision</w:t>
      </w:r>
      <w:r w:rsidR="009E5F7E" w:rsidRPr="00A57D5A">
        <w:rPr>
          <w:kern w:val="22"/>
          <w:lang w:val="fr-FR"/>
        </w:rPr>
        <w:t xml:space="preserve"> </w:t>
      </w:r>
      <w:hyperlink r:id="rId11" w:history="1">
        <w:r w:rsidR="009E5F7E" w:rsidRPr="00A57D5A">
          <w:rPr>
            <w:rStyle w:val="Hyperlink"/>
            <w:kern w:val="22"/>
            <w:lang w:val="fr-FR"/>
          </w:rPr>
          <w:t>BS-VII/5</w:t>
        </w:r>
      </w:hyperlink>
      <w:r>
        <w:rPr>
          <w:kern w:val="22"/>
          <w:lang w:val="fr-FR"/>
        </w:rPr>
        <w:t>, l</w:t>
      </w:r>
      <w:r w:rsidRPr="00A57D5A">
        <w:rPr>
          <w:kern w:val="22"/>
          <w:lang w:val="fr-FR"/>
        </w:rPr>
        <w:t>a Conférence des Parties</w:t>
      </w:r>
      <w:r w:rsidR="009E5F7E" w:rsidRPr="00A57D5A">
        <w:rPr>
          <w:kern w:val="22"/>
          <w:lang w:val="fr-FR"/>
        </w:rPr>
        <w:t xml:space="preserve"> </w:t>
      </w:r>
      <w:r w:rsidRPr="00A57D5A">
        <w:rPr>
          <w:kern w:val="22"/>
          <w:lang w:val="fr-FR"/>
        </w:rPr>
        <w:t>siégeant en tant que réunion des</w:t>
      </w:r>
      <w:r w:rsidR="009E5F7E" w:rsidRPr="00A57D5A">
        <w:rPr>
          <w:kern w:val="22"/>
          <w:lang w:val="fr-FR"/>
        </w:rPr>
        <w:t xml:space="preserve"> Parties </w:t>
      </w:r>
      <w:r>
        <w:rPr>
          <w:kern w:val="22"/>
          <w:lang w:val="fr-FR"/>
        </w:rPr>
        <w:t>au Pro</w:t>
      </w:r>
      <w:r w:rsidRPr="00A57D5A">
        <w:rPr>
          <w:kern w:val="22"/>
          <w:lang w:val="fr-FR"/>
        </w:rPr>
        <w:t>tocole de Cartagena</w:t>
      </w:r>
      <w:r w:rsidR="009E5F7E" w:rsidRPr="00A57D5A">
        <w:rPr>
          <w:kern w:val="22"/>
          <w:lang w:val="fr-FR"/>
        </w:rPr>
        <w:t xml:space="preserve"> </w:t>
      </w:r>
      <w:r w:rsidRPr="00A57D5A">
        <w:rPr>
          <w:kern w:val="22"/>
          <w:lang w:val="fr-FR"/>
        </w:rPr>
        <w:t>sur la prévention des risques biotechnologiques</w:t>
      </w:r>
      <w:r w:rsidR="000E408E">
        <w:rPr>
          <w:kern w:val="22"/>
          <w:lang w:val="fr-FR"/>
        </w:rPr>
        <w:t xml:space="preserve"> a prié instamment</w:t>
      </w:r>
      <w:r>
        <w:rPr>
          <w:kern w:val="22"/>
          <w:lang w:val="fr-FR"/>
        </w:rPr>
        <w:t xml:space="preserve"> les</w:t>
      </w:r>
      <w:r w:rsidR="009E5F7E" w:rsidRPr="00A57D5A">
        <w:rPr>
          <w:kern w:val="22"/>
          <w:lang w:val="fr-FR"/>
        </w:rPr>
        <w:t xml:space="preserve"> Parties</w:t>
      </w:r>
      <w:r w:rsidRPr="00A57D5A">
        <w:rPr>
          <w:kern w:val="22"/>
          <w:lang w:val="fr-FR"/>
        </w:rPr>
        <w:t xml:space="preserve"> et </w:t>
      </w:r>
      <w:r>
        <w:rPr>
          <w:kern w:val="22"/>
          <w:lang w:val="fr-FR"/>
        </w:rPr>
        <w:t>invité les</w:t>
      </w:r>
      <w:r w:rsidR="009E5F7E" w:rsidRPr="00A57D5A">
        <w:rPr>
          <w:kern w:val="22"/>
          <w:lang w:val="fr-FR"/>
        </w:rPr>
        <w:t xml:space="preserve"> </w:t>
      </w:r>
      <w:r>
        <w:rPr>
          <w:kern w:val="22"/>
          <w:lang w:val="fr-FR"/>
        </w:rPr>
        <w:t>autres gouvernements à</w:t>
      </w:r>
      <w:r w:rsidR="009E5F7E" w:rsidRPr="00A57D5A">
        <w:rPr>
          <w:kern w:val="22"/>
          <w:lang w:val="fr-FR"/>
        </w:rPr>
        <w:t xml:space="preserve"> in</w:t>
      </w:r>
      <w:r>
        <w:rPr>
          <w:kern w:val="22"/>
          <w:lang w:val="fr-FR"/>
        </w:rPr>
        <w:t>tégrer</w:t>
      </w:r>
      <w:r w:rsidRPr="00A57D5A">
        <w:rPr>
          <w:kern w:val="22"/>
          <w:lang w:val="fr-FR"/>
        </w:rPr>
        <w:t xml:space="preserve"> et </w:t>
      </w:r>
      <w:r>
        <w:rPr>
          <w:kern w:val="22"/>
          <w:lang w:val="fr-FR"/>
        </w:rPr>
        <w:t>à accorder u</w:t>
      </w:r>
      <w:r w:rsidR="000E408E">
        <w:rPr>
          <w:kern w:val="22"/>
          <w:lang w:val="fr-FR"/>
        </w:rPr>
        <w:t xml:space="preserve">ne priorité </w:t>
      </w:r>
      <w:r>
        <w:rPr>
          <w:kern w:val="22"/>
          <w:lang w:val="fr-FR"/>
        </w:rPr>
        <w:t>à la</w:t>
      </w:r>
      <w:r w:rsidRPr="00A57D5A">
        <w:rPr>
          <w:kern w:val="22"/>
          <w:lang w:val="fr-FR"/>
        </w:rPr>
        <w:t xml:space="preserve"> prévention des risques biotechnologiques</w:t>
      </w:r>
      <w:r w:rsidR="000867CA">
        <w:rPr>
          <w:kern w:val="22"/>
          <w:lang w:val="fr-FR"/>
        </w:rPr>
        <w:t xml:space="preserve"> dans leurs stratégi</w:t>
      </w:r>
      <w:r w:rsidR="000E408E">
        <w:rPr>
          <w:kern w:val="22"/>
          <w:lang w:val="fr-FR"/>
        </w:rPr>
        <w:t>es et plans d’action nationaux po</w:t>
      </w:r>
      <w:r w:rsidR="000867CA">
        <w:rPr>
          <w:kern w:val="22"/>
          <w:lang w:val="fr-FR"/>
        </w:rPr>
        <w:t>ur la diversité biologique</w:t>
      </w:r>
      <w:r w:rsidR="00BA3820" w:rsidRPr="00A57D5A">
        <w:rPr>
          <w:kern w:val="22"/>
          <w:lang w:val="fr-FR"/>
        </w:rPr>
        <w:t xml:space="preserve"> (</w:t>
      </w:r>
      <w:r w:rsidRPr="00A57D5A">
        <w:rPr>
          <w:kern w:val="22"/>
          <w:lang w:val="fr-FR"/>
        </w:rPr>
        <w:t>SPANB</w:t>
      </w:r>
      <w:r w:rsidR="00BA3820" w:rsidRPr="00A57D5A">
        <w:rPr>
          <w:kern w:val="22"/>
          <w:lang w:val="fr-FR"/>
        </w:rPr>
        <w:t>)</w:t>
      </w:r>
      <w:r w:rsidR="009E5F7E" w:rsidRPr="00A57D5A">
        <w:rPr>
          <w:kern w:val="22"/>
          <w:lang w:val="fr-FR"/>
        </w:rPr>
        <w:t>,</w:t>
      </w:r>
      <w:r w:rsidRPr="00A57D5A">
        <w:rPr>
          <w:kern w:val="22"/>
          <w:lang w:val="fr-FR"/>
        </w:rPr>
        <w:t xml:space="preserve"> et </w:t>
      </w:r>
      <w:r w:rsidR="000E408E">
        <w:rPr>
          <w:kern w:val="22"/>
          <w:lang w:val="fr-FR"/>
        </w:rPr>
        <w:t xml:space="preserve">dans </w:t>
      </w:r>
      <w:r w:rsidR="000867CA">
        <w:rPr>
          <w:kern w:val="22"/>
          <w:lang w:val="fr-FR"/>
        </w:rPr>
        <w:t>les plans et programmes de développement nationaux</w:t>
      </w:r>
      <w:r w:rsidR="009E5F7E" w:rsidRPr="00A57D5A">
        <w:rPr>
          <w:kern w:val="22"/>
          <w:lang w:val="fr-FR"/>
        </w:rPr>
        <w:t xml:space="preserve">, </w:t>
      </w:r>
      <w:r w:rsidR="000867CA">
        <w:rPr>
          <w:kern w:val="22"/>
          <w:lang w:val="fr-FR"/>
        </w:rPr>
        <w:t>s</w:t>
      </w:r>
      <w:bookmarkStart w:id="0" w:name="_GoBack"/>
      <w:bookmarkEnd w:id="0"/>
      <w:r w:rsidR="000867CA">
        <w:rPr>
          <w:kern w:val="22"/>
          <w:lang w:val="fr-FR"/>
        </w:rPr>
        <w:t>elon qu’il convient</w:t>
      </w:r>
      <w:r w:rsidR="009E5F7E" w:rsidRPr="00A57D5A">
        <w:rPr>
          <w:kern w:val="22"/>
          <w:lang w:val="fr-FR"/>
        </w:rPr>
        <w:t>.</w:t>
      </w:r>
    </w:p>
    <w:p w:rsidR="009E5F7E" w:rsidRPr="00A57D5A" w:rsidRDefault="000867CA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>
        <w:rPr>
          <w:kern w:val="22"/>
          <w:lang w:val="fr-FR"/>
        </w:rPr>
        <w:t>Au paragraphe 9 de la</w:t>
      </w:r>
      <w:r w:rsidR="009E5F7E" w:rsidRPr="00A57D5A">
        <w:rPr>
          <w:kern w:val="22"/>
          <w:lang w:val="fr-FR"/>
        </w:rPr>
        <w:t xml:space="preserve"> </w:t>
      </w:r>
      <w:r w:rsidR="00A57D5A" w:rsidRPr="00A57D5A">
        <w:rPr>
          <w:kern w:val="22"/>
          <w:lang w:val="fr-FR"/>
        </w:rPr>
        <w:t>décision</w:t>
      </w:r>
      <w:r w:rsidR="009E5F7E" w:rsidRPr="00A57D5A">
        <w:rPr>
          <w:kern w:val="22"/>
          <w:lang w:val="fr-FR"/>
        </w:rPr>
        <w:t xml:space="preserve"> </w:t>
      </w:r>
      <w:hyperlink r:id="rId12" w:history="1">
        <w:r w:rsidR="009E5F7E" w:rsidRPr="00A57D5A">
          <w:rPr>
            <w:rStyle w:val="Hyperlink"/>
            <w:kern w:val="22"/>
            <w:lang w:val="fr-FR"/>
          </w:rPr>
          <w:t>XII/29</w:t>
        </w:r>
      </w:hyperlink>
      <w:r>
        <w:rPr>
          <w:kern w:val="22"/>
          <w:lang w:val="fr-FR"/>
        </w:rPr>
        <w:t>, l</w:t>
      </w:r>
      <w:r w:rsidR="00A57D5A" w:rsidRPr="00A57D5A">
        <w:rPr>
          <w:kern w:val="22"/>
          <w:lang w:val="fr-FR"/>
        </w:rPr>
        <w:t>a Conférence des Parties</w:t>
      </w:r>
      <w:r w:rsidR="009E5F7E" w:rsidRPr="00A57D5A">
        <w:rPr>
          <w:kern w:val="22"/>
          <w:lang w:val="fr-FR"/>
        </w:rPr>
        <w:t xml:space="preserve"> </w:t>
      </w:r>
      <w:r>
        <w:rPr>
          <w:kern w:val="22"/>
          <w:lang w:val="fr-FR"/>
        </w:rPr>
        <w:t>a encouragé les Parties à</w:t>
      </w:r>
      <w:r w:rsidR="009E5F7E" w:rsidRPr="00A57D5A">
        <w:rPr>
          <w:kern w:val="22"/>
          <w:lang w:val="fr-FR"/>
        </w:rPr>
        <w:t xml:space="preserve"> </w:t>
      </w:r>
      <w:r>
        <w:rPr>
          <w:kern w:val="22"/>
          <w:lang w:val="fr-FR"/>
        </w:rPr>
        <w:t>intégrer</w:t>
      </w:r>
      <w:r w:rsidR="009E5F7E" w:rsidRPr="00A57D5A">
        <w:rPr>
          <w:kern w:val="22"/>
          <w:lang w:val="fr-FR"/>
        </w:rPr>
        <w:t xml:space="preserve"> </w:t>
      </w:r>
      <w:r w:rsidR="00A57D5A" w:rsidRPr="00A57D5A">
        <w:rPr>
          <w:kern w:val="22"/>
          <w:lang w:val="fr-FR"/>
        </w:rPr>
        <w:t xml:space="preserve">la prévention des risques biotechnologiques et </w:t>
      </w:r>
      <w:r>
        <w:rPr>
          <w:kern w:val="22"/>
          <w:lang w:val="fr-FR"/>
        </w:rPr>
        <w:t>l’accès et le partage des avantages dans les</w:t>
      </w:r>
      <w:r w:rsidR="009E5F7E" w:rsidRPr="00A57D5A">
        <w:rPr>
          <w:kern w:val="22"/>
          <w:lang w:val="fr-FR"/>
        </w:rPr>
        <w:t xml:space="preserve"> </w:t>
      </w:r>
      <w:r w:rsidR="00A57D5A" w:rsidRPr="00A57D5A">
        <w:rPr>
          <w:kern w:val="22"/>
          <w:lang w:val="fr-FR"/>
        </w:rPr>
        <w:t>SPANB</w:t>
      </w:r>
      <w:r w:rsidR="009E5F7E" w:rsidRPr="00A57D5A">
        <w:rPr>
          <w:kern w:val="22"/>
          <w:lang w:val="fr-FR"/>
        </w:rPr>
        <w:t xml:space="preserve">, </w:t>
      </w:r>
      <w:r w:rsidR="000E408E">
        <w:rPr>
          <w:kern w:val="22"/>
          <w:lang w:val="fr-FR"/>
        </w:rPr>
        <w:t xml:space="preserve">les </w:t>
      </w:r>
      <w:r>
        <w:rPr>
          <w:kern w:val="22"/>
          <w:lang w:val="fr-FR"/>
        </w:rPr>
        <w:t>progra</w:t>
      </w:r>
      <w:r w:rsidR="000E408E">
        <w:rPr>
          <w:kern w:val="22"/>
          <w:lang w:val="fr-FR"/>
        </w:rPr>
        <w:t>mmes de développement nationaux</w:t>
      </w:r>
      <w:r w:rsidR="00A57D5A" w:rsidRPr="00A57D5A">
        <w:rPr>
          <w:kern w:val="22"/>
          <w:lang w:val="fr-FR"/>
        </w:rPr>
        <w:t xml:space="preserve"> et </w:t>
      </w:r>
      <w:r w:rsidR="000E408E">
        <w:rPr>
          <w:kern w:val="22"/>
          <w:lang w:val="fr-FR"/>
        </w:rPr>
        <w:t xml:space="preserve">les </w:t>
      </w:r>
      <w:r>
        <w:rPr>
          <w:kern w:val="22"/>
          <w:lang w:val="fr-FR"/>
        </w:rPr>
        <w:t>autres politiques</w:t>
      </w:r>
      <w:r w:rsidR="000E408E">
        <w:rPr>
          <w:kern w:val="22"/>
          <w:lang w:val="fr-FR"/>
        </w:rPr>
        <w:t xml:space="preserve"> générales</w:t>
      </w:r>
      <w:r>
        <w:rPr>
          <w:kern w:val="22"/>
          <w:lang w:val="fr-FR"/>
        </w:rPr>
        <w:t>, plans et programmes sectoriels et intersectoriels pertinents</w:t>
      </w:r>
      <w:r w:rsidR="00786B2B" w:rsidRPr="00A57D5A">
        <w:rPr>
          <w:rFonts w:eastAsia="MS Mincho"/>
          <w:iCs/>
          <w:kern w:val="22"/>
          <w:szCs w:val="22"/>
          <w:lang w:val="fr-FR"/>
        </w:rPr>
        <w:t xml:space="preserve">, </w:t>
      </w:r>
      <w:r>
        <w:rPr>
          <w:rFonts w:eastAsia="MS Mincho"/>
          <w:iCs/>
          <w:kern w:val="22"/>
          <w:szCs w:val="22"/>
          <w:lang w:val="fr-FR"/>
        </w:rPr>
        <w:t>selon qu’il convient</w:t>
      </w:r>
      <w:r w:rsidR="00786B2B" w:rsidRPr="00A57D5A">
        <w:rPr>
          <w:rFonts w:eastAsia="MS Mincho"/>
          <w:iCs/>
          <w:kern w:val="22"/>
          <w:szCs w:val="22"/>
          <w:lang w:val="fr-FR"/>
        </w:rPr>
        <w:t xml:space="preserve">, </w:t>
      </w:r>
      <w:r w:rsidR="000E408E">
        <w:rPr>
          <w:rFonts w:eastAsia="MS Mincho"/>
          <w:iCs/>
          <w:kern w:val="22"/>
          <w:szCs w:val="22"/>
          <w:lang w:val="fr-FR"/>
        </w:rPr>
        <w:t xml:space="preserve">en tenant compte </w:t>
      </w:r>
      <w:r>
        <w:rPr>
          <w:rFonts w:eastAsia="MS Mincho"/>
          <w:iCs/>
          <w:kern w:val="22"/>
          <w:szCs w:val="22"/>
          <w:lang w:val="fr-FR"/>
        </w:rPr>
        <w:t>des</w:t>
      </w:r>
      <w:r w:rsidR="00786B2B" w:rsidRPr="00A57D5A">
        <w:rPr>
          <w:rFonts w:eastAsia="MS Mincho"/>
          <w:iCs/>
          <w:kern w:val="22"/>
          <w:szCs w:val="22"/>
          <w:lang w:val="fr-FR"/>
        </w:rPr>
        <w:t xml:space="preserve"> </w:t>
      </w:r>
      <w:r>
        <w:rPr>
          <w:rFonts w:eastAsia="MS Mincho"/>
          <w:iCs/>
          <w:kern w:val="22"/>
          <w:szCs w:val="22"/>
          <w:lang w:val="fr-FR"/>
        </w:rPr>
        <w:t xml:space="preserve">circonstances, </w:t>
      </w:r>
      <w:r w:rsidR="000E408E">
        <w:rPr>
          <w:rFonts w:eastAsia="MS Mincho"/>
          <w:iCs/>
          <w:kern w:val="22"/>
          <w:szCs w:val="22"/>
          <w:lang w:val="fr-FR"/>
        </w:rPr>
        <w:t xml:space="preserve">de la </w:t>
      </w:r>
      <w:r>
        <w:rPr>
          <w:rFonts w:eastAsia="MS Mincho"/>
          <w:iCs/>
          <w:kern w:val="22"/>
          <w:szCs w:val="22"/>
          <w:lang w:val="fr-FR"/>
        </w:rPr>
        <w:t>lé</w:t>
      </w:r>
      <w:r w:rsidR="00786B2B" w:rsidRPr="00A57D5A">
        <w:rPr>
          <w:rFonts w:eastAsia="MS Mincho"/>
          <w:iCs/>
          <w:kern w:val="22"/>
          <w:szCs w:val="22"/>
          <w:lang w:val="fr-FR"/>
        </w:rPr>
        <w:t>gislation</w:t>
      </w:r>
      <w:r w:rsidR="00A57D5A" w:rsidRPr="00A57D5A">
        <w:rPr>
          <w:rFonts w:eastAsia="MS Mincho"/>
          <w:iCs/>
          <w:kern w:val="22"/>
          <w:szCs w:val="22"/>
          <w:lang w:val="fr-FR"/>
        </w:rPr>
        <w:t xml:space="preserve"> et </w:t>
      </w:r>
      <w:r w:rsidR="000E408E">
        <w:rPr>
          <w:rFonts w:eastAsia="MS Mincho"/>
          <w:iCs/>
          <w:kern w:val="22"/>
          <w:szCs w:val="22"/>
          <w:lang w:val="fr-FR"/>
        </w:rPr>
        <w:t xml:space="preserve">des </w:t>
      </w:r>
      <w:r>
        <w:rPr>
          <w:rFonts w:eastAsia="MS Mincho"/>
          <w:iCs/>
          <w:kern w:val="22"/>
          <w:szCs w:val="22"/>
          <w:lang w:val="fr-FR"/>
        </w:rPr>
        <w:t>priorités nationales</w:t>
      </w:r>
      <w:r w:rsidR="00786B2B" w:rsidRPr="00A57D5A">
        <w:rPr>
          <w:rFonts w:eastAsia="MS Mincho"/>
          <w:iCs/>
          <w:kern w:val="22"/>
          <w:szCs w:val="22"/>
          <w:lang w:val="fr-FR"/>
        </w:rPr>
        <w:t>.</w:t>
      </w:r>
    </w:p>
    <w:p w:rsidR="009E5F7E" w:rsidRPr="00A57D5A" w:rsidRDefault="00F70CAC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>
        <w:rPr>
          <w:kern w:val="22"/>
          <w:lang w:val="fr-FR"/>
        </w:rPr>
        <w:t>De plus</w:t>
      </w:r>
      <w:r w:rsidR="000867CA">
        <w:rPr>
          <w:kern w:val="22"/>
          <w:lang w:val="fr-FR"/>
        </w:rPr>
        <w:t>, au</w:t>
      </w:r>
      <w:r w:rsidR="009E5F7E" w:rsidRPr="00A57D5A">
        <w:rPr>
          <w:kern w:val="22"/>
          <w:lang w:val="fr-FR"/>
        </w:rPr>
        <w:t xml:space="preserve"> </w:t>
      </w:r>
      <w:r w:rsidR="00786B2B" w:rsidRPr="00A57D5A">
        <w:rPr>
          <w:kern w:val="22"/>
          <w:lang w:val="fr-FR"/>
        </w:rPr>
        <w:t>paragraph</w:t>
      </w:r>
      <w:r w:rsidR="000867CA">
        <w:rPr>
          <w:kern w:val="22"/>
          <w:lang w:val="fr-FR"/>
        </w:rPr>
        <w:t>e 1 de la</w:t>
      </w:r>
      <w:r w:rsidR="009E5F7E" w:rsidRPr="00A57D5A">
        <w:rPr>
          <w:kern w:val="22"/>
          <w:lang w:val="fr-FR"/>
        </w:rPr>
        <w:t xml:space="preserve"> </w:t>
      </w:r>
      <w:r w:rsidR="00A57D5A" w:rsidRPr="00A57D5A">
        <w:rPr>
          <w:kern w:val="22"/>
          <w:lang w:val="fr-FR"/>
        </w:rPr>
        <w:t>décision</w:t>
      </w:r>
      <w:r w:rsidR="009E5F7E" w:rsidRPr="00A57D5A">
        <w:rPr>
          <w:kern w:val="22"/>
          <w:lang w:val="fr-FR"/>
        </w:rPr>
        <w:t xml:space="preserve"> </w:t>
      </w:r>
      <w:hyperlink r:id="rId13" w:history="1">
        <w:r w:rsidR="009E5F7E" w:rsidRPr="00A57D5A">
          <w:rPr>
            <w:rStyle w:val="Hyperlink"/>
            <w:kern w:val="22"/>
            <w:lang w:val="fr-FR"/>
          </w:rPr>
          <w:t>XII</w:t>
        </w:r>
        <w:r w:rsidR="009E5F7E" w:rsidRPr="00A57D5A">
          <w:rPr>
            <w:rStyle w:val="Hyperlink"/>
            <w:kern w:val="22"/>
            <w:lang w:val="fr-FR"/>
          </w:rPr>
          <w:t>I</w:t>
        </w:r>
        <w:r w:rsidR="009E5F7E" w:rsidRPr="00A57D5A">
          <w:rPr>
            <w:rStyle w:val="Hyperlink"/>
            <w:kern w:val="22"/>
            <w:lang w:val="fr-FR"/>
          </w:rPr>
          <w:t>/26</w:t>
        </w:r>
      </w:hyperlink>
      <w:r w:rsidR="000867CA">
        <w:rPr>
          <w:kern w:val="22"/>
          <w:lang w:val="fr-FR"/>
        </w:rPr>
        <w:t xml:space="preserve"> sur</w:t>
      </w:r>
      <w:r w:rsidR="009E5F7E" w:rsidRPr="00A57D5A">
        <w:rPr>
          <w:kern w:val="22"/>
          <w:lang w:val="fr-FR"/>
        </w:rPr>
        <w:t xml:space="preserve"> </w:t>
      </w:r>
      <w:r w:rsidR="000867CA">
        <w:rPr>
          <w:kern w:val="22"/>
          <w:lang w:val="fr-FR"/>
        </w:rPr>
        <w:t>le renforcement de l’intégration</w:t>
      </w:r>
      <w:r w:rsidR="009E5F7E" w:rsidRPr="00A57D5A">
        <w:rPr>
          <w:kern w:val="22"/>
          <w:lang w:val="fr-FR"/>
        </w:rPr>
        <w:t xml:space="preserve"> </w:t>
      </w:r>
      <w:r w:rsidR="00526459">
        <w:rPr>
          <w:kern w:val="22"/>
          <w:lang w:val="fr-FR"/>
        </w:rPr>
        <w:t xml:space="preserve">entre </w:t>
      </w:r>
      <w:r w:rsidR="000867CA">
        <w:rPr>
          <w:kern w:val="22"/>
          <w:lang w:val="fr-FR"/>
        </w:rPr>
        <w:t xml:space="preserve">la </w:t>
      </w:r>
      <w:r w:rsidR="009E5F7E" w:rsidRPr="00A57D5A">
        <w:rPr>
          <w:kern w:val="22"/>
          <w:lang w:val="fr-FR"/>
        </w:rPr>
        <w:t>Convention</w:t>
      </w:r>
      <w:r w:rsidR="00A57D5A" w:rsidRPr="00A57D5A">
        <w:rPr>
          <w:kern w:val="22"/>
          <w:lang w:val="fr-FR"/>
        </w:rPr>
        <w:t xml:space="preserve"> et </w:t>
      </w:r>
      <w:r w:rsidR="000867CA">
        <w:rPr>
          <w:kern w:val="22"/>
          <w:lang w:val="fr-FR"/>
        </w:rPr>
        <w:t>se</w:t>
      </w:r>
      <w:r w:rsidR="009E5F7E" w:rsidRPr="00A57D5A">
        <w:rPr>
          <w:kern w:val="22"/>
          <w:lang w:val="fr-FR"/>
        </w:rPr>
        <w:t>s Protocol</w:t>
      </w:r>
      <w:r w:rsidR="000867CA">
        <w:rPr>
          <w:kern w:val="22"/>
          <w:lang w:val="fr-FR"/>
        </w:rPr>
        <w:t>e</w:t>
      </w:r>
      <w:r w:rsidR="009E5F7E" w:rsidRPr="00A57D5A">
        <w:rPr>
          <w:kern w:val="22"/>
          <w:lang w:val="fr-FR"/>
        </w:rPr>
        <w:t>s</w:t>
      </w:r>
      <w:r w:rsidR="00A57D5A" w:rsidRPr="00A57D5A">
        <w:rPr>
          <w:kern w:val="22"/>
          <w:lang w:val="fr-FR"/>
        </w:rPr>
        <w:t xml:space="preserve"> et </w:t>
      </w:r>
      <w:r w:rsidR="000867CA">
        <w:rPr>
          <w:kern w:val="22"/>
          <w:lang w:val="fr-FR"/>
        </w:rPr>
        <w:t>l’organisation des</w:t>
      </w:r>
      <w:r w:rsidR="009E5F7E" w:rsidRPr="00A57D5A">
        <w:rPr>
          <w:kern w:val="22"/>
          <w:lang w:val="fr-FR"/>
        </w:rPr>
        <w:t xml:space="preserve"> </w:t>
      </w:r>
      <w:r w:rsidR="00A57D5A" w:rsidRPr="00A57D5A">
        <w:rPr>
          <w:kern w:val="22"/>
          <w:lang w:val="fr-FR"/>
        </w:rPr>
        <w:t>réunion</w:t>
      </w:r>
      <w:r w:rsidR="000867CA">
        <w:rPr>
          <w:kern w:val="22"/>
          <w:lang w:val="fr-FR"/>
        </w:rPr>
        <w:t>s, l</w:t>
      </w:r>
      <w:r w:rsidR="00A57D5A" w:rsidRPr="00A57D5A">
        <w:rPr>
          <w:kern w:val="22"/>
          <w:lang w:val="fr-FR"/>
        </w:rPr>
        <w:t>a Conférence des Parties</w:t>
      </w:r>
      <w:r w:rsidR="000867CA">
        <w:rPr>
          <w:kern w:val="22"/>
          <w:lang w:val="fr-FR"/>
        </w:rPr>
        <w:t xml:space="preserve"> a demandé à la</w:t>
      </w:r>
      <w:r w:rsidR="009E5F7E" w:rsidRPr="00A57D5A">
        <w:rPr>
          <w:kern w:val="22"/>
          <w:lang w:val="fr-FR"/>
        </w:rPr>
        <w:t xml:space="preserve"> </w:t>
      </w:r>
      <w:r w:rsidR="00A57D5A">
        <w:rPr>
          <w:kern w:val="22"/>
          <w:lang w:val="fr-FR"/>
        </w:rPr>
        <w:t>Secrétaire exécutive</w:t>
      </w:r>
      <w:r w:rsidR="000867CA">
        <w:rPr>
          <w:kern w:val="22"/>
          <w:lang w:val="fr-FR"/>
        </w:rPr>
        <w:t xml:space="preserve"> de pré</w:t>
      </w:r>
      <w:r w:rsidR="009E5F7E" w:rsidRPr="00A57D5A">
        <w:rPr>
          <w:kern w:val="22"/>
          <w:lang w:val="fr-FR"/>
        </w:rPr>
        <w:t>pare</w:t>
      </w:r>
      <w:r w:rsidR="000867CA">
        <w:rPr>
          <w:kern w:val="22"/>
          <w:lang w:val="fr-FR"/>
        </w:rPr>
        <w:t xml:space="preserve">r une </w:t>
      </w:r>
      <w:r w:rsidR="009E5F7E" w:rsidRPr="00A57D5A">
        <w:rPr>
          <w:kern w:val="22"/>
          <w:lang w:val="fr-FR"/>
        </w:rPr>
        <w:t xml:space="preserve">note </w:t>
      </w:r>
      <w:r w:rsidR="00526459">
        <w:rPr>
          <w:kern w:val="22"/>
          <w:lang w:val="fr-FR"/>
        </w:rPr>
        <w:t>sur les moyens éventuels de</w:t>
      </w:r>
      <w:r w:rsidR="000867CA">
        <w:rPr>
          <w:kern w:val="22"/>
          <w:lang w:val="fr-FR"/>
        </w:rPr>
        <w:t xml:space="preserve"> promouvoir des</w:t>
      </w:r>
      <w:r w:rsidR="009E5F7E" w:rsidRPr="00A57D5A">
        <w:rPr>
          <w:kern w:val="22"/>
          <w:lang w:val="fr-FR"/>
        </w:rPr>
        <w:t xml:space="preserve"> </w:t>
      </w:r>
      <w:r w:rsidR="00A57D5A" w:rsidRPr="00A57D5A">
        <w:rPr>
          <w:kern w:val="22"/>
          <w:lang w:val="fr-FR"/>
        </w:rPr>
        <w:t>approches intégrées</w:t>
      </w:r>
      <w:r w:rsidR="000867CA">
        <w:rPr>
          <w:kern w:val="22"/>
          <w:lang w:val="fr-FR"/>
        </w:rPr>
        <w:t xml:space="preserve"> pour les</w:t>
      </w:r>
      <w:r w:rsidR="00A57D5A">
        <w:rPr>
          <w:kern w:val="22"/>
          <w:lang w:val="fr-FR"/>
        </w:rPr>
        <w:t xml:space="preserve"> questions</w:t>
      </w:r>
      <w:r w:rsidR="00526459">
        <w:rPr>
          <w:kern w:val="22"/>
          <w:lang w:val="fr-FR"/>
        </w:rPr>
        <w:t xml:space="preserve"> concernant à la fois</w:t>
      </w:r>
      <w:r w:rsidR="000867CA">
        <w:rPr>
          <w:kern w:val="22"/>
          <w:lang w:val="fr-FR"/>
        </w:rPr>
        <w:t xml:space="preserve"> les</w:t>
      </w:r>
      <w:r w:rsidR="009E5F7E" w:rsidRPr="00A57D5A">
        <w:rPr>
          <w:kern w:val="22"/>
          <w:lang w:val="fr-FR"/>
        </w:rPr>
        <w:t xml:space="preserve"> </w:t>
      </w:r>
      <w:r w:rsidR="00A57D5A" w:rsidRPr="00A57D5A">
        <w:rPr>
          <w:kern w:val="22"/>
          <w:lang w:val="fr-FR"/>
        </w:rPr>
        <w:t>dispositions relatives à la prévention des risques biotechnologiques</w:t>
      </w:r>
      <w:r w:rsidR="000867CA">
        <w:rPr>
          <w:kern w:val="22"/>
          <w:lang w:val="fr-FR"/>
        </w:rPr>
        <w:t xml:space="preserve"> de la</w:t>
      </w:r>
      <w:r w:rsidR="009E5F7E" w:rsidRPr="00A57D5A">
        <w:rPr>
          <w:kern w:val="22"/>
          <w:lang w:val="fr-FR"/>
        </w:rPr>
        <w:t xml:space="preserve"> </w:t>
      </w:r>
      <w:hyperlink r:id="rId14" w:history="1">
        <w:r w:rsidR="009E5F7E" w:rsidRPr="00A57D5A">
          <w:rPr>
            <w:rStyle w:val="Hyperlink"/>
            <w:kern w:val="22"/>
            <w:lang w:val="fr-FR"/>
          </w:rPr>
          <w:t>Conve</w:t>
        </w:r>
        <w:r w:rsidR="009E5F7E" w:rsidRPr="00A57D5A">
          <w:rPr>
            <w:rStyle w:val="Hyperlink"/>
            <w:kern w:val="22"/>
            <w:lang w:val="fr-FR"/>
          </w:rPr>
          <w:t>n</w:t>
        </w:r>
        <w:r w:rsidR="009E5F7E" w:rsidRPr="00A57D5A">
          <w:rPr>
            <w:rStyle w:val="Hyperlink"/>
            <w:kern w:val="22"/>
            <w:lang w:val="fr-FR"/>
          </w:rPr>
          <w:t>tion</w:t>
        </w:r>
      </w:hyperlink>
      <w:r w:rsidR="00A57D5A" w:rsidRPr="00A57D5A">
        <w:rPr>
          <w:kern w:val="22"/>
          <w:lang w:val="fr-FR"/>
        </w:rPr>
        <w:t xml:space="preserve"> et </w:t>
      </w:r>
      <w:r w:rsidR="000867CA">
        <w:rPr>
          <w:kern w:val="22"/>
          <w:lang w:val="fr-FR"/>
        </w:rPr>
        <w:t>les</w:t>
      </w:r>
      <w:r w:rsidR="009E5F7E" w:rsidRPr="00A57D5A">
        <w:rPr>
          <w:kern w:val="22"/>
          <w:lang w:val="fr-FR"/>
        </w:rPr>
        <w:t xml:space="preserve"> </w:t>
      </w:r>
      <w:r w:rsidR="00A57D5A">
        <w:rPr>
          <w:kern w:val="22"/>
          <w:lang w:val="fr-FR"/>
        </w:rPr>
        <w:t>dispositions</w:t>
      </w:r>
      <w:r w:rsidR="000867CA">
        <w:rPr>
          <w:kern w:val="22"/>
          <w:lang w:val="fr-FR"/>
        </w:rPr>
        <w:t xml:space="preserve"> du</w:t>
      </w:r>
      <w:r w:rsidR="009E5F7E" w:rsidRPr="00A57D5A">
        <w:rPr>
          <w:kern w:val="22"/>
          <w:lang w:val="fr-FR"/>
        </w:rPr>
        <w:t xml:space="preserve"> </w:t>
      </w:r>
      <w:hyperlink r:id="rId15" w:history="1">
        <w:r w:rsidR="00A57D5A" w:rsidRPr="00A57D5A">
          <w:rPr>
            <w:rStyle w:val="Hyperlink"/>
            <w:kern w:val="22"/>
            <w:lang w:val="fr-FR"/>
          </w:rPr>
          <w:t>Protocole de Cartagena</w:t>
        </w:r>
      </w:hyperlink>
      <w:r w:rsidR="009E5F7E" w:rsidRPr="00A57D5A">
        <w:rPr>
          <w:kern w:val="22"/>
          <w:lang w:val="fr-FR"/>
        </w:rPr>
        <w:t xml:space="preserve">, </w:t>
      </w:r>
      <w:r w:rsidR="00526459">
        <w:rPr>
          <w:kern w:val="22"/>
          <w:lang w:val="fr-FR"/>
        </w:rPr>
        <w:t>en tenant compte</w:t>
      </w:r>
      <w:r w:rsidR="000867CA">
        <w:rPr>
          <w:kern w:val="22"/>
          <w:lang w:val="fr-FR"/>
        </w:rPr>
        <w:t xml:space="preserve"> de l’article 8 </w:t>
      </w:r>
      <w:r w:rsidR="009E5F7E" w:rsidRPr="00A57D5A">
        <w:rPr>
          <w:kern w:val="22"/>
          <w:lang w:val="fr-FR"/>
        </w:rPr>
        <w:t>g)</w:t>
      </w:r>
      <w:r w:rsidR="00A57D5A" w:rsidRPr="00A57D5A">
        <w:rPr>
          <w:kern w:val="22"/>
          <w:lang w:val="fr-FR"/>
        </w:rPr>
        <w:t xml:space="preserve"> et </w:t>
      </w:r>
      <w:r w:rsidR="000867CA">
        <w:rPr>
          <w:kern w:val="22"/>
          <w:lang w:val="fr-FR"/>
        </w:rPr>
        <w:t>du paragraphe 4 de l’a</w:t>
      </w:r>
      <w:r w:rsidR="009E5F7E" w:rsidRPr="00A57D5A">
        <w:rPr>
          <w:kern w:val="22"/>
          <w:lang w:val="fr-FR"/>
        </w:rPr>
        <w:t>rt</w:t>
      </w:r>
      <w:r w:rsidR="000867CA">
        <w:rPr>
          <w:kern w:val="22"/>
          <w:lang w:val="fr-FR"/>
        </w:rPr>
        <w:t>icle 19</w:t>
      </w:r>
      <w:r w:rsidR="009E5F7E" w:rsidRPr="00A57D5A">
        <w:rPr>
          <w:kern w:val="22"/>
          <w:lang w:val="fr-FR"/>
        </w:rPr>
        <w:t xml:space="preserve"> </w:t>
      </w:r>
      <w:r w:rsidR="00A57D5A" w:rsidRPr="00A57D5A">
        <w:rPr>
          <w:kern w:val="22"/>
          <w:lang w:val="fr-FR"/>
        </w:rPr>
        <w:t>de la Con</w:t>
      </w:r>
      <w:r w:rsidR="009E5F7E" w:rsidRPr="00A57D5A">
        <w:rPr>
          <w:kern w:val="22"/>
          <w:lang w:val="fr-FR"/>
        </w:rPr>
        <w:t>vention,</w:t>
      </w:r>
      <w:r w:rsidR="00A57D5A" w:rsidRPr="00A57D5A">
        <w:rPr>
          <w:kern w:val="22"/>
          <w:lang w:val="fr-FR"/>
        </w:rPr>
        <w:t xml:space="preserve"> et </w:t>
      </w:r>
      <w:r w:rsidR="000867CA">
        <w:rPr>
          <w:kern w:val="22"/>
          <w:lang w:val="fr-FR"/>
        </w:rPr>
        <w:t>d’autres</w:t>
      </w:r>
      <w:r w:rsidR="00A57D5A">
        <w:rPr>
          <w:kern w:val="22"/>
          <w:lang w:val="fr-FR"/>
        </w:rPr>
        <w:t xml:space="preserve"> questions</w:t>
      </w:r>
      <w:r w:rsidR="00526459">
        <w:rPr>
          <w:kern w:val="22"/>
          <w:lang w:val="fr-FR"/>
        </w:rPr>
        <w:t xml:space="preserve"> qui intéressent à la fois </w:t>
      </w:r>
      <w:r w:rsidR="000867CA">
        <w:rPr>
          <w:kern w:val="22"/>
          <w:lang w:val="fr-FR"/>
        </w:rPr>
        <w:t>la</w:t>
      </w:r>
      <w:r w:rsidR="009E5F7E" w:rsidRPr="00A57D5A">
        <w:rPr>
          <w:kern w:val="22"/>
          <w:lang w:val="fr-FR"/>
        </w:rPr>
        <w:t xml:space="preserve"> Convention</w:t>
      </w:r>
      <w:r w:rsidR="00A57D5A" w:rsidRPr="00A57D5A">
        <w:rPr>
          <w:kern w:val="22"/>
          <w:lang w:val="fr-FR"/>
        </w:rPr>
        <w:t xml:space="preserve"> et </w:t>
      </w:r>
      <w:r w:rsidR="000867CA">
        <w:rPr>
          <w:kern w:val="22"/>
          <w:lang w:val="fr-FR"/>
        </w:rPr>
        <w:t>le</w:t>
      </w:r>
      <w:r w:rsidR="009E5F7E" w:rsidRPr="00A57D5A">
        <w:rPr>
          <w:kern w:val="22"/>
          <w:lang w:val="fr-FR"/>
        </w:rPr>
        <w:t xml:space="preserve"> </w:t>
      </w:r>
      <w:r w:rsidR="00A57D5A" w:rsidRPr="00A57D5A">
        <w:rPr>
          <w:kern w:val="22"/>
          <w:lang w:val="fr-FR"/>
        </w:rPr>
        <w:t>Protocole de Cartagena</w:t>
      </w:r>
      <w:r w:rsidR="009E5F7E" w:rsidRPr="00A57D5A">
        <w:rPr>
          <w:kern w:val="22"/>
          <w:lang w:val="fr-FR"/>
        </w:rPr>
        <w:t xml:space="preserve">, </w:t>
      </w:r>
      <w:r w:rsidR="000867CA">
        <w:rPr>
          <w:kern w:val="22"/>
          <w:lang w:val="fr-FR"/>
        </w:rPr>
        <w:t>pour examen par l’</w:t>
      </w:r>
      <w:r w:rsidR="00A57D5A" w:rsidRPr="00A57D5A">
        <w:rPr>
          <w:kern w:val="22"/>
          <w:lang w:val="fr-FR"/>
        </w:rPr>
        <w:t>Organe subsidiaire chargé de l’application</w:t>
      </w:r>
      <w:r w:rsidR="009E5F7E" w:rsidRPr="00A57D5A">
        <w:rPr>
          <w:kern w:val="22"/>
          <w:lang w:val="fr-FR"/>
        </w:rPr>
        <w:t xml:space="preserve"> </w:t>
      </w:r>
      <w:r w:rsidR="000867CA">
        <w:rPr>
          <w:kern w:val="22"/>
          <w:lang w:val="fr-FR"/>
        </w:rPr>
        <w:t>à sa</w:t>
      </w:r>
      <w:r w:rsidR="009E5F7E" w:rsidRPr="00A57D5A">
        <w:rPr>
          <w:kern w:val="22"/>
          <w:lang w:val="fr-FR"/>
        </w:rPr>
        <w:t xml:space="preserve"> </w:t>
      </w:r>
      <w:r w:rsidR="000867CA">
        <w:rPr>
          <w:kern w:val="22"/>
          <w:lang w:val="fr-FR"/>
        </w:rPr>
        <w:t>deuxième</w:t>
      </w:r>
      <w:r w:rsidR="009E5F7E" w:rsidRPr="00A57D5A">
        <w:rPr>
          <w:kern w:val="22"/>
          <w:lang w:val="fr-FR"/>
        </w:rPr>
        <w:t xml:space="preserve"> </w:t>
      </w:r>
      <w:r w:rsidR="00A57D5A" w:rsidRPr="00A57D5A">
        <w:rPr>
          <w:kern w:val="22"/>
          <w:lang w:val="fr-FR"/>
        </w:rPr>
        <w:t>réunion</w:t>
      </w:r>
      <w:r w:rsidR="00526459">
        <w:rPr>
          <w:kern w:val="22"/>
          <w:lang w:val="fr-FR"/>
        </w:rPr>
        <w:t>,</w:t>
      </w:r>
      <w:r w:rsidR="00A57D5A" w:rsidRPr="00A57D5A">
        <w:rPr>
          <w:kern w:val="22"/>
          <w:lang w:val="fr-FR"/>
        </w:rPr>
        <w:t xml:space="preserve"> et </w:t>
      </w:r>
      <w:r w:rsidR="000867CA">
        <w:rPr>
          <w:kern w:val="22"/>
          <w:lang w:val="fr-FR"/>
        </w:rPr>
        <w:t xml:space="preserve">par la </w:t>
      </w:r>
      <w:r w:rsidR="00A57D5A" w:rsidRPr="00A57D5A">
        <w:rPr>
          <w:kern w:val="22"/>
          <w:lang w:val="fr-FR"/>
        </w:rPr>
        <w:t>Conférence des Parties</w:t>
      </w:r>
      <w:r w:rsidR="009E5F7E" w:rsidRPr="00A57D5A">
        <w:rPr>
          <w:kern w:val="22"/>
          <w:lang w:val="fr-FR"/>
        </w:rPr>
        <w:t xml:space="preserve"> </w:t>
      </w:r>
      <w:r w:rsidR="000867CA">
        <w:rPr>
          <w:kern w:val="22"/>
          <w:lang w:val="fr-FR"/>
        </w:rPr>
        <w:t>à sa</w:t>
      </w:r>
      <w:r w:rsidR="009E5F7E" w:rsidRPr="00A57D5A">
        <w:rPr>
          <w:kern w:val="22"/>
          <w:lang w:val="fr-FR"/>
        </w:rPr>
        <w:t xml:space="preserve"> </w:t>
      </w:r>
      <w:r w:rsidR="00A57D5A" w:rsidRPr="00A57D5A">
        <w:rPr>
          <w:kern w:val="22"/>
          <w:lang w:val="fr-FR"/>
        </w:rPr>
        <w:t>quatorzième</w:t>
      </w:r>
      <w:r w:rsidR="009E5F7E" w:rsidRPr="00A57D5A">
        <w:rPr>
          <w:kern w:val="22"/>
          <w:lang w:val="fr-FR"/>
        </w:rPr>
        <w:t xml:space="preserve"> </w:t>
      </w:r>
      <w:r w:rsidR="00A57D5A" w:rsidRPr="00A57D5A">
        <w:rPr>
          <w:kern w:val="22"/>
          <w:lang w:val="fr-FR"/>
        </w:rPr>
        <w:t>réunion</w:t>
      </w:r>
      <w:r w:rsidR="00591BC9" w:rsidRPr="00A57D5A">
        <w:rPr>
          <w:kern w:val="22"/>
          <w:lang w:val="fr-FR"/>
        </w:rPr>
        <w:t>.</w:t>
      </w:r>
    </w:p>
    <w:p w:rsidR="00495DED" w:rsidRPr="000867CA" w:rsidRDefault="000867CA" w:rsidP="008A4E67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rPr>
          <w:kern w:val="22"/>
          <w:lang w:val="fr-FR"/>
        </w:rPr>
      </w:pPr>
      <w:r>
        <w:rPr>
          <w:kern w:val="22"/>
          <w:lang w:val="fr-FR"/>
        </w:rPr>
        <w:t>Le pré</w:t>
      </w:r>
      <w:r w:rsidR="00CD337E" w:rsidRPr="00A57D5A">
        <w:rPr>
          <w:kern w:val="22"/>
          <w:lang w:val="fr-FR"/>
        </w:rPr>
        <w:t xml:space="preserve">sent </w:t>
      </w:r>
      <w:r w:rsidR="00222E55" w:rsidRPr="00A57D5A">
        <w:rPr>
          <w:kern w:val="22"/>
          <w:lang w:val="fr-FR"/>
        </w:rPr>
        <w:t>docu</w:t>
      </w:r>
      <w:r w:rsidR="00526459">
        <w:rPr>
          <w:kern w:val="22"/>
          <w:lang w:val="fr-FR"/>
        </w:rPr>
        <w:t>ment examine l</w:t>
      </w:r>
      <w:r>
        <w:rPr>
          <w:kern w:val="22"/>
          <w:lang w:val="fr-FR"/>
        </w:rPr>
        <w:t>a</w:t>
      </w:r>
      <w:r w:rsidR="00222E55" w:rsidRPr="00A57D5A">
        <w:rPr>
          <w:kern w:val="22"/>
          <w:lang w:val="fr-FR"/>
        </w:rPr>
        <w:t xml:space="preserve"> </w:t>
      </w:r>
      <w:r w:rsidR="00A57D5A" w:rsidRPr="00A57D5A">
        <w:rPr>
          <w:kern w:val="22"/>
          <w:lang w:val="fr-FR"/>
        </w:rPr>
        <w:t>relation</w:t>
      </w:r>
      <w:r w:rsidR="00222E55" w:rsidRPr="00A57D5A">
        <w:rPr>
          <w:kern w:val="22"/>
          <w:lang w:val="fr-FR"/>
        </w:rPr>
        <w:t xml:space="preserve"> </w:t>
      </w:r>
      <w:r w:rsidR="00A57D5A" w:rsidRPr="00A57D5A">
        <w:rPr>
          <w:kern w:val="22"/>
          <w:lang w:val="fr-FR"/>
        </w:rPr>
        <w:t>entre</w:t>
      </w:r>
      <w:r>
        <w:rPr>
          <w:kern w:val="22"/>
          <w:lang w:val="fr-FR"/>
        </w:rPr>
        <w:t xml:space="preserve"> les</w:t>
      </w:r>
      <w:r w:rsidR="00222E55" w:rsidRPr="00A57D5A">
        <w:rPr>
          <w:kern w:val="22"/>
          <w:lang w:val="fr-FR"/>
        </w:rPr>
        <w:t xml:space="preserve"> </w:t>
      </w:r>
      <w:r w:rsidR="00526459">
        <w:rPr>
          <w:kern w:val="22"/>
          <w:lang w:val="fr-FR"/>
        </w:rPr>
        <w:t xml:space="preserve">dispositions concernant </w:t>
      </w:r>
      <w:r w:rsidR="00A57D5A" w:rsidRPr="00A57D5A">
        <w:rPr>
          <w:kern w:val="22"/>
          <w:lang w:val="fr-FR"/>
        </w:rPr>
        <w:t>la prévention des risques biotechnologiques</w:t>
      </w:r>
      <w:r w:rsidR="00222E55" w:rsidRPr="00A57D5A">
        <w:rPr>
          <w:kern w:val="22"/>
          <w:lang w:val="fr-FR"/>
        </w:rPr>
        <w:t xml:space="preserve"> </w:t>
      </w:r>
      <w:r w:rsidR="00A57D5A" w:rsidRPr="00A57D5A">
        <w:rPr>
          <w:kern w:val="22"/>
          <w:lang w:val="fr-FR"/>
        </w:rPr>
        <w:t>de la Con</w:t>
      </w:r>
      <w:r w:rsidR="0009324F" w:rsidRPr="00A57D5A">
        <w:rPr>
          <w:kern w:val="22"/>
          <w:lang w:val="fr-FR"/>
        </w:rPr>
        <w:t>vention</w:t>
      </w:r>
      <w:r w:rsidR="00A57D5A" w:rsidRPr="00A57D5A">
        <w:rPr>
          <w:kern w:val="22"/>
          <w:lang w:val="fr-FR"/>
        </w:rPr>
        <w:t xml:space="preserve"> et </w:t>
      </w:r>
      <w:r w:rsidR="00D27709">
        <w:rPr>
          <w:kern w:val="22"/>
          <w:lang w:val="fr-FR"/>
        </w:rPr>
        <w:t>le</w:t>
      </w:r>
      <w:r w:rsidR="00222E55" w:rsidRPr="00A57D5A">
        <w:rPr>
          <w:kern w:val="22"/>
          <w:lang w:val="fr-FR"/>
        </w:rPr>
        <w:t xml:space="preserve"> </w:t>
      </w:r>
      <w:r w:rsidR="00A57D5A" w:rsidRPr="00A57D5A">
        <w:rPr>
          <w:kern w:val="22"/>
          <w:lang w:val="fr-FR"/>
        </w:rPr>
        <w:t>Protocole de Cartagena</w:t>
      </w:r>
      <w:r w:rsidR="00222E55" w:rsidRPr="00A57D5A">
        <w:rPr>
          <w:kern w:val="22"/>
          <w:lang w:val="fr-FR"/>
        </w:rPr>
        <w:t xml:space="preserve">. </w:t>
      </w:r>
      <w:r w:rsidR="00526459">
        <w:rPr>
          <w:kern w:val="22"/>
          <w:lang w:val="fr-FR"/>
        </w:rPr>
        <w:t xml:space="preserve">Conformément au </w:t>
      </w:r>
      <w:r>
        <w:rPr>
          <w:kern w:val="22"/>
          <w:lang w:val="fr-FR"/>
        </w:rPr>
        <w:t xml:space="preserve">paragraphe 2 de la </w:t>
      </w:r>
      <w:r w:rsidR="00A57D5A" w:rsidRPr="000867CA">
        <w:rPr>
          <w:kern w:val="22"/>
          <w:lang w:val="fr-FR"/>
        </w:rPr>
        <w:t>décision</w:t>
      </w:r>
      <w:r>
        <w:rPr>
          <w:kern w:val="22"/>
          <w:lang w:val="fr-FR"/>
        </w:rPr>
        <w:t xml:space="preserve"> XIII/26, les questions pluridisciplinaires</w:t>
      </w:r>
      <w:r w:rsidR="00526459">
        <w:rPr>
          <w:kern w:val="22"/>
          <w:lang w:val="fr-FR"/>
        </w:rPr>
        <w:t xml:space="preserve"> abordées</w:t>
      </w:r>
      <w:r>
        <w:rPr>
          <w:kern w:val="22"/>
          <w:lang w:val="fr-FR"/>
        </w:rPr>
        <w:t xml:space="preserve"> au titre de la</w:t>
      </w:r>
      <w:r w:rsidR="00222E55" w:rsidRPr="000867CA">
        <w:rPr>
          <w:kern w:val="22"/>
          <w:lang w:val="fr-FR"/>
        </w:rPr>
        <w:t xml:space="preserve"> Convention</w:t>
      </w:r>
      <w:r w:rsidR="00A57D5A" w:rsidRPr="000867CA">
        <w:rPr>
          <w:kern w:val="22"/>
          <w:lang w:val="fr-FR"/>
        </w:rPr>
        <w:t xml:space="preserve"> et </w:t>
      </w:r>
      <w:r>
        <w:rPr>
          <w:kern w:val="22"/>
          <w:lang w:val="fr-FR"/>
        </w:rPr>
        <w:t>de ses</w:t>
      </w:r>
      <w:r w:rsidR="00222E55" w:rsidRPr="000867CA">
        <w:rPr>
          <w:kern w:val="22"/>
          <w:lang w:val="fr-FR"/>
        </w:rPr>
        <w:t xml:space="preserve"> Proto</w:t>
      </w:r>
      <w:r w:rsidR="003F159B" w:rsidRPr="000867CA">
        <w:rPr>
          <w:kern w:val="22"/>
          <w:lang w:val="fr-FR"/>
        </w:rPr>
        <w:t>col</w:t>
      </w:r>
      <w:r>
        <w:rPr>
          <w:kern w:val="22"/>
          <w:lang w:val="fr-FR"/>
        </w:rPr>
        <w:t>e</w:t>
      </w:r>
      <w:r w:rsidR="003F159B" w:rsidRPr="000867CA">
        <w:rPr>
          <w:kern w:val="22"/>
          <w:lang w:val="fr-FR"/>
        </w:rPr>
        <w:t xml:space="preserve">s, </w:t>
      </w:r>
      <w:r w:rsidR="00526459">
        <w:rPr>
          <w:kern w:val="22"/>
          <w:lang w:val="fr-FR"/>
        </w:rPr>
        <w:t>comme le</w:t>
      </w:r>
      <w:r>
        <w:rPr>
          <w:kern w:val="22"/>
          <w:lang w:val="fr-FR"/>
        </w:rPr>
        <w:t xml:space="preserve"> renforcement des capacités</w:t>
      </w:r>
      <w:r w:rsidR="005B6A14" w:rsidRPr="000867CA">
        <w:rPr>
          <w:kern w:val="22"/>
          <w:lang w:val="fr-FR"/>
        </w:rPr>
        <w:t xml:space="preserve">, </w:t>
      </w:r>
      <w:r>
        <w:rPr>
          <w:kern w:val="22"/>
          <w:lang w:val="fr-FR"/>
        </w:rPr>
        <w:t>le mécanisme de financement</w:t>
      </w:r>
      <w:r w:rsidR="00A57D5A" w:rsidRPr="000867CA">
        <w:rPr>
          <w:kern w:val="22"/>
          <w:lang w:val="fr-FR"/>
        </w:rPr>
        <w:t xml:space="preserve"> et </w:t>
      </w:r>
      <w:r>
        <w:rPr>
          <w:kern w:val="22"/>
          <w:lang w:val="fr-FR"/>
        </w:rPr>
        <w:t>la mobilis</w:t>
      </w:r>
      <w:r w:rsidR="00222E55" w:rsidRPr="000867CA">
        <w:rPr>
          <w:kern w:val="22"/>
          <w:lang w:val="fr-FR"/>
        </w:rPr>
        <w:t>ation</w:t>
      </w:r>
      <w:r>
        <w:rPr>
          <w:kern w:val="22"/>
          <w:lang w:val="fr-FR"/>
        </w:rPr>
        <w:t xml:space="preserve"> des ressources</w:t>
      </w:r>
      <w:r w:rsidR="00BB4BD0" w:rsidRPr="000867CA">
        <w:rPr>
          <w:kern w:val="22"/>
          <w:lang w:val="fr-FR"/>
        </w:rPr>
        <w:t>,</w:t>
      </w:r>
      <w:r w:rsidR="00A57D5A" w:rsidRPr="000867CA">
        <w:rPr>
          <w:kern w:val="22"/>
          <w:lang w:val="fr-FR"/>
        </w:rPr>
        <w:t xml:space="preserve"> et </w:t>
      </w:r>
      <w:r>
        <w:rPr>
          <w:kern w:val="22"/>
          <w:lang w:val="fr-FR"/>
        </w:rPr>
        <w:t>l’établissement de</w:t>
      </w:r>
      <w:r w:rsidR="00526459">
        <w:rPr>
          <w:kern w:val="22"/>
          <w:lang w:val="fr-FR"/>
        </w:rPr>
        <w:t>s</w:t>
      </w:r>
      <w:r>
        <w:rPr>
          <w:kern w:val="22"/>
          <w:lang w:val="fr-FR"/>
        </w:rPr>
        <w:t xml:space="preserve"> rapports nationaux, seront examiné</w:t>
      </w:r>
      <w:r w:rsidR="00526459">
        <w:rPr>
          <w:kern w:val="22"/>
          <w:lang w:val="fr-FR"/>
        </w:rPr>
        <w:t>e</w:t>
      </w:r>
      <w:r>
        <w:rPr>
          <w:kern w:val="22"/>
          <w:lang w:val="fr-FR"/>
        </w:rPr>
        <w:t>s par l’</w:t>
      </w:r>
      <w:r w:rsidR="00A57D5A" w:rsidRPr="000867CA">
        <w:rPr>
          <w:kern w:val="22"/>
          <w:lang w:val="fr-FR"/>
        </w:rPr>
        <w:t>Organe subsidiaire chargé de l’application</w:t>
      </w:r>
      <w:r w:rsidR="003F159B" w:rsidRPr="000867CA">
        <w:rPr>
          <w:kern w:val="22"/>
          <w:lang w:val="fr-FR"/>
        </w:rPr>
        <w:t xml:space="preserve"> </w:t>
      </w:r>
      <w:r w:rsidRPr="000867CA">
        <w:rPr>
          <w:kern w:val="22"/>
          <w:lang w:val="fr-FR"/>
        </w:rPr>
        <w:t>à sa</w:t>
      </w:r>
      <w:r w:rsidR="0075049D" w:rsidRPr="000867CA">
        <w:rPr>
          <w:kern w:val="22"/>
          <w:lang w:val="fr-FR"/>
        </w:rPr>
        <w:t xml:space="preserve"> </w:t>
      </w:r>
      <w:r w:rsidRPr="000867CA">
        <w:rPr>
          <w:kern w:val="22"/>
          <w:lang w:val="fr-FR"/>
        </w:rPr>
        <w:t>deuxième</w:t>
      </w:r>
      <w:r w:rsidR="0075049D" w:rsidRPr="000867CA">
        <w:rPr>
          <w:kern w:val="22"/>
          <w:lang w:val="fr-FR"/>
        </w:rPr>
        <w:t xml:space="preserve"> </w:t>
      </w:r>
      <w:r>
        <w:rPr>
          <w:kern w:val="22"/>
          <w:lang w:val="fr-FR"/>
        </w:rPr>
        <w:t>réunion au titre des points</w:t>
      </w:r>
      <w:r w:rsidR="003F159B" w:rsidRPr="000867CA">
        <w:rPr>
          <w:kern w:val="22"/>
          <w:lang w:val="fr-FR"/>
        </w:rPr>
        <w:t xml:space="preserve"> </w:t>
      </w:r>
      <w:r w:rsidR="005B6A14" w:rsidRPr="000867CA">
        <w:rPr>
          <w:kern w:val="22"/>
          <w:lang w:val="fr-FR"/>
        </w:rPr>
        <w:t>10, 9</w:t>
      </w:r>
      <w:r w:rsidR="00BB4BD0" w:rsidRPr="000867CA">
        <w:rPr>
          <w:kern w:val="22"/>
          <w:lang w:val="fr-FR"/>
        </w:rPr>
        <w:t xml:space="preserve">, </w:t>
      </w:r>
      <w:r w:rsidR="005B6A14" w:rsidRPr="000867CA">
        <w:rPr>
          <w:kern w:val="22"/>
          <w:lang w:val="fr-FR"/>
        </w:rPr>
        <w:t>8</w:t>
      </w:r>
      <w:r w:rsidR="00A57D5A" w:rsidRPr="000867CA">
        <w:rPr>
          <w:kern w:val="22"/>
          <w:lang w:val="fr-FR"/>
        </w:rPr>
        <w:t xml:space="preserve"> et </w:t>
      </w:r>
      <w:r w:rsidR="00387D13" w:rsidRPr="000867CA">
        <w:rPr>
          <w:kern w:val="22"/>
          <w:lang w:val="fr-FR"/>
        </w:rPr>
        <w:t>13</w:t>
      </w:r>
      <w:r>
        <w:rPr>
          <w:kern w:val="22"/>
          <w:lang w:val="fr-FR"/>
        </w:rPr>
        <w:t xml:space="preserve"> de l’ordre du jour,</w:t>
      </w:r>
      <w:r w:rsidR="00BB4BD0" w:rsidRPr="000867CA">
        <w:rPr>
          <w:kern w:val="22"/>
          <w:lang w:val="fr-FR"/>
        </w:rPr>
        <w:t xml:space="preserve"> </w:t>
      </w:r>
      <w:r>
        <w:rPr>
          <w:kern w:val="22"/>
          <w:lang w:val="fr-FR"/>
        </w:rPr>
        <w:t>respectivement</w:t>
      </w:r>
      <w:r w:rsidR="00042999" w:rsidRPr="000867CA">
        <w:rPr>
          <w:kern w:val="22"/>
          <w:lang w:val="fr-FR"/>
        </w:rPr>
        <w:t xml:space="preserve">. </w:t>
      </w:r>
      <w:r w:rsidR="00526459">
        <w:rPr>
          <w:kern w:val="22"/>
          <w:lang w:val="fr-FR"/>
        </w:rPr>
        <w:t xml:space="preserve">Conformément à </w:t>
      </w:r>
      <w:r>
        <w:rPr>
          <w:kern w:val="22"/>
          <w:lang w:val="fr-FR"/>
        </w:rPr>
        <w:t xml:space="preserve">la </w:t>
      </w:r>
      <w:r w:rsidR="00A57D5A" w:rsidRPr="000867CA">
        <w:rPr>
          <w:kern w:val="22"/>
          <w:lang w:val="fr-FR"/>
        </w:rPr>
        <w:t>décision</w:t>
      </w:r>
      <w:r w:rsidR="00042999" w:rsidRPr="000867CA">
        <w:rPr>
          <w:kern w:val="22"/>
          <w:lang w:val="fr-FR"/>
        </w:rPr>
        <w:t xml:space="preserve"> </w:t>
      </w:r>
      <w:hyperlink r:id="rId16" w:history="1">
        <w:r w:rsidR="00042999" w:rsidRPr="000867CA">
          <w:rPr>
            <w:rStyle w:val="Hyperlink"/>
            <w:kern w:val="22"/>
            <w:lang w:val="fr-FR"/>
          </w:rPr>
          <w:t>XII/31</w:t>
        </w:r>
      </w:hyperlink>
      <w:r w:rsidR="00042999" w:rsidRPr="000867CA">
        <w:rPr>
          <w:kern w:val="22"/>
          <w:lang w:val="fr-FR"/>
        </w:rPr>
        <w:t xml:space="preserve">, </w:t>
      </w:r>
      <w:r w:rsidR="00A57D5A" w:rsidRPr="000867CA">
        <w:rPr>
          <w:kern w:val="22"/>
          <w:lang w:val="fr-FR"/>
        </w:rPr>
        <w:t>les questions</w:t>
      </w:r>
      <w:r w:rsidR="00526459">
        <w:rPr>
          <w:kern w:val="22"/>
          <w:lang w:val="fr-FR"/>
        </w:rPr>
        <w:t xml:space="preserve"> liées</w:t>
      </w:r>
      <w:r>
        <w:rPr>
          <w:kern w:val="22"/>
          <w:lang w:val="fr-FR"/>
        </w:rPr>
        <w:t xml:space="preserve"> à l’efficacité des p</w:t>
      </w:r>
      <w:r w:rsidR="00A57D5A" w:rsidRPr="000867CA">
        <w:rPr>
          <w:kern w:val="22"/>
          <w:lang w:val="fr-FR"/>
        </w:rPr>
        <w:t>ro</w:t>
      </w:r>
      <w:r>
        <w:rPr>
          <w:kern w:val="22"/>
          <w:lang w:val="fr-FR"/>
        </w:rPr>
        <w:t xml:space="preserve">cessus </w:t>
      </w:r>
      <w:r w:rsidR="00D27709">
        <w:rPr>
          <w:kern w:val="22"/>
          <w:lang w:val="fr-FR"/>
        </w:rPr>
        <w:t xml:space="preserve">établis </w:t>
      </w:r>
      <w:r w:rsidR="008A4E67">
        <w:rPr>
          <w:kern w:val="22"/>
          <w:lang w:val="fr-FR"/>
        </w:rPr>
        <w:t>au titre de la</w:t>
      </w:r>
      <w:r w:rsidR="00495DED" w:rsidRPr="000867CA">
        <w:rPr>
          <w:kern w:val="22"/>
          <w:lang w:val="fr-FR"/>
        </w:rPr>
        <w:t xml:space="preserve"> </w:t>
      </w:r>
      <w:r w:rsidR="00495DED" w:rsidRPr="000867CA">
        <w:rPr>
          <w:kern w:val="22"/>
          <w:lang w:val="fr-FR"/>
        </w:rPr>
        <w:lastRenderedPageBreak/>
        <w:t>Convention</w:t>
      </w:r>
      <w:r w:rsidR="00A57D5A" w:rsidRPr="000867CA">
        <w:rPr>
          <w:kern w:val="22"/>
          <w:lang w:val="fr-FR"/>
        </w:rPr>
        <w:t xml:space="preserve"> et </w:t>
      </w:r>
      <w:r w:rsidR="008A4E67">
        <w:rPr>
          <w:kern w:val="22"/>
          <w:lang w:val="fr-FR"/>
        </w:rPr>
        <w:t>de ses</w:t>
      </w:r>
      <w:r w:rsidR="00495DED" w:rsidRPr="000867CA">
        <w:rPr>
          <w:kern w:val="22"/>
          <w:lang w:val="fr-FR"/>
        </w:rPr>
        <w:t xml:space="preserve"> Protocol</w:t>
      </w:r>
      <w:r w:rsidR="008A4E67">
        <w:rPr>
          <w:kern w:val="22"/>
          <w:lang w:val="fr-FR"/>
        </w:rPr>
        <w:t>e</w:t>
      </w:r>
      <w:r w:rsidR="00495DED" w:rsidRPr="000867CA">
        <w:rPr>
          <w:kern w:val="22"/>
          <w:lang w:val="fr-FR"/>
        </w:rPr>
        <w:t>s</w:t>
      </w:r>
      <w:r w:rsidR="008A4E67">
        <w:rPr>
          <w:kern w:val="22"/>
          <w:lang w:val="fr-FR"/>
        </w:rPr>
        <w:t xml:space="preserve"> seront examinées par l’</w:t>
      </w:r>
      <w:r w:rsidR="00A57D5A" w:rsidRPr="000867CA">
        <w:rPr>
          <w:kern w:val="22"/>
          <w:lang w:val="fr-FR"/>
        </w:rPr>
        <w:t>Organe subsidiaire chargé de l’application</w:t>
      </w:r>
      <w:r w:rsidR="003115C2" w:rsidRPr="000867CA">
        <w:rPr>
          <w:kern w:val="22"/>
          <w:lang w:val="fr-FR"/>
        </w:rPr>
        <w:t xml:space="preserve"> </w:t>
      </w:r>
      <w:r w:rsidRPr="000867CA">
        <w:rPr>
          <w:kern w:val="22"/>
          <w:lang w:val="fr-FR"/>
        </w:rPr>
        <w:t>à sa</w:t>
      </w:r>
      <w:r w:rsidR="006B75E6" w:rsidRPr="000867CA">
        <w:rPr>
          <w:kern w:val="22"/>
          <w:lang w:val="fr-FR"/>
        </w:rPr>
        <w:t xml:space="preserve"> </w:t>
      </w:r>
      <w:r w:rsidRPr="000867CA">
        <w:rPr>
          <w:kern w:val="22"/>
          <w:lang w:val="fr-FR"/>
        </w:rPr>
        <w:t>deuxième</w:t>
      </w:r>
      <w:r w:rsidR="006B75E6" w:rsidRPr="000867CA">
        <w:rPr>
          <w:kern w:val="22"/>
          <w:lang w:val="fr-FR"/>
        </w:rPr>
        <w:t xml:space="preserve"> </w:t>
      </w:r>
      <w:r w:rsidR="00A57D5A" w:rsidRPr="000867CA">
        <w:rPr>
          <w:kern w:val="22"/>
          <w:lang w:val="fr-FR"/>
        </w:rPr>
        <w:t>réunion</w:t>
      </w:r>
      <w:r w:rsidR="006B75E6" w:rsidRPr="000867CA">
        <w:rPr>
          <w:kern w:val="22"/>
          <w:lang w:val="fr-FR"/>
        </w:rPr>
        <w:t xml:space="preserve"> </w:t>
      </w:r>
      <w:r w:rsidR="008A4E67">
        <w:rPr>
          <w:kern w:val="22"/>
          <w:lang w:val="fr-FR"/>
        </w:rPr>
        <w:t>au titre du point 15 de l’ordre du jour</w:t>
      </w:r>
      <w:r w:rsidR="00495DED" w:rsidRPr="000867CA">
        <w:rPr>
          <w:kern w:val="22"/>
          <w:lang w:val="fr-FR"/>
        </w:rPr>
        <w:t>.</w:t>
      </w:r>
    </w:p>
    <w:p w:rsidR="000A62EE" w:rsidRPr="00A57D5A" w:rsidRDefault="00A57D5A" w:rsidP="00D27709">
      <w:pPr>
        <w:pStyle w:val="Heading1"/>
        <w:numPr>
          <w:ilvl w:val="0"/>
          <w:numId w:val="6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240"/>
        <w:ind w:left="1152" w:hanging="432"/>
        <w:jc w:val="left"/>
        <w:rPr>
          <w:rFonts w:ascii="Times New Roman Bold" w:hAnsi="Times New Roman Bold" w:cs="Times New Roman Bold"/>
          <w:bCs/>
          <w:snapToGrid w:val="0"/>
          <w:kern w:val="22"/>
          <w:lang w:val="fr-FR"/>
        </w:rPr>
      </w:pPr>
      <w:r w:rsidRPr="00A57D5A">
        <w:rPr>
          <w:rFonts w:ascii="Times New Roman Bold" w:hAnsi="Times New Roman Bold" w:cs="Times New Roman Bold"/>
          <w:bCs/>
          <w:snapToGrid w:val="0"/>
          <w:kern w:val="22"/>
          <w:lang w:val="fr-FR"/>
        </w:rPr>
        <w:t>Relation</w:t>
      </w:r>
      <w:r w:rsidR="000A62EE" w:rsidRPr="00A57D5A">
        <w:rPr>
          <w:rFonts w:ascii="Times New Roman Bold" w:hAnsi="Times New Roman Bold" w:cs="Times New Roman Bold"/>
          <w:bCs/>
          <w:snapToGrid w:val="0"/>
          <w:kern w:val="22"/>
          <w:lang w:val="fr-FR"/>
        </w:rPr>
        <w:t xml:space="preserve"> </w:t>
      </w:r>
      <w:r w:rsidRPr="00A57D5A">
        <w:rPr>
          <w:rFonts w:ascii="Times New Roman Bold" w:hAnsi="Times New Roman Bold" w:cs="Times New Roman Bold"/>
          <w:bCs/>
          <w:snapToGrid w:val="0"/>
          <w:kern w:val="22"/>
          <w:lang w:val="fr-FR"/>
        </w:rPr>
        <w:t>entre</w:t>
      </w:r>
      <w:r w:rsidR="008A4E67">
        <w:rPr>
          <w:rFonts w:ascii="Times New Roman Bold" w:hAnsi="Times New Roman Bold" w:cs="Times New Roman Bold"/>
          <w:bCs/>
          <w:snapToGrid w:val="0"/>
          <w:kern w:val="22"/>
          <w:lang w:val="fr-FR"/>
        </w:rPr>
        <w:t xml:space="preserve"> l</w:t>
      </w:r>
      <w:r w:rsidR="000A62EE" w:rsidRPr="00A57D5A">
        <w:rPr>
          <w:rFonts w:ascii="Times New Roman Bold" w:hAnsi="Times New Roman Bold" w:cs="Times New Roman Bold"/>
          <w:bCs/>
          <w:snapToGrid w:val="0"/>
          <w:kern w:val="22"/>
          <w:lang w:val="fr-FR"/>
        </w:rPr>
        <w:t>e</w:t>
      </w:r>
      <w:r w:rsidR="008A4E67">
        <w:rPr>
          <w:rFonts w:ascii="Times New Roman Bold" w:hAnsi="Times New Roman Bold" w:cs="Times New Roman Bold"/>
          <w:bCs/>
          <w:snapToGrid w:val="0"/>
          <w:kern w:val="22"/>
          <w:lang w:val="fr-FR"/>
        </w:rPr>
        <w:t>s</w:t>
      </w:r>
      <w:r w:rsidR="000A62EE" w:rsidRPr="00A57D5A">
        <w:rPr>
          <w:rFonts w:ascii="Times New Roman Bold" w:hAnsi="Times New Roman Bold" w:cs="Times New Roman Bold"/>
          <w:bCs/>
          <w:snapToGrid w:val="0"/>
          <w:kern w:val="22"/>
          <w:lang w:val="fr-FR"/>
        </w:rPr>
        <w:t xml:space="preserve"> </w:t>
      </w:r>
      <w:r w:rsidR="00D27709">
        <w:rPr>
          <w:rFonts w:ascii="Times New Roman Bold" w:hAnsi="Times New Roman Bold" w:cs="Times New Roman Bold"/>
          <w:bCs/>
          <w:snapToGrid w:val="0"/>
          <w:kern w:val="22"/>
          <w:lang w:val="fr-FR"/>
        </w:rPr>
        <w:t>dispositions concernant la prÉ</w:t>
      </w:r>
      <w:r>
        <w:rPr>
          <w:rFonts w:ascii="Times New Roman Bold" w:hAnsi="Times New Roman Bold" w:cs="Times New Roman Bold"/>
          <w:bCs/>
          <w:snapToGrid w:val="0"/>
          <w:kern w:val="22"/>
          <w:lang w:val="fr-FR"/>
        </w:rPr>
        <w:t>vention des risques biotechnologiques</w:t>
      </w:r>
      <w:r w:rsidR="003812A5" w:rsidRPr="00A57D5A">
        <w:rPr>
          <w:rFonts w:ascii="Times New Roman Bold" w:hAnsi="Times New Roman Bold" w:cs="Times New Roman Bold"/>
          <w:bCs/>
          <w:snapToGrid w:val="0"/>
          <w:kern w:val="22"/>
          <w:lang w:val="fr-FR"/>
        </w:rPr>
        <w:t xml:space="preserve"> </w:t>
      </w:r>
      <w:r>
        <w:rPr>
          <w:rFonts w:ascii="Times New Roman Bold" w:hAnsi="Times New Roman Bold" w:cs="Times New Roman Bold"/>
          <w:bCs/>
          <w:snapToGrid w:val="0"/>
          <w:kern w:val="22"/>
          <w:lang w:val="fr-FR"/>
        </w:rPr>
        <w:t>de la Con</w:t>
      </w:r>
      <w:r w:rsidR="00294541" w:rsidRPr="00A57D5A">
        <w:rPr>
          <w:rFonts w:ascii="Times New Roman Bold" w:hAnsi="Times New Roman Bold" w:cs="Times New Roman Bold"/>
          <w:bCs/>
          <w:snapToGrid w:val="0"/>
          <w:kern w:val="22"/>
          <w:lang w:val="fr-FR"/>
        </w:rPr>
        <w:t>vention</w:t>
      </w:r>
      <w:r>
        <w:rPr>
          <w:rFonts w:ascii="Times New Roman Bold" w:hAnsi="Times New Roman Bold" w:cs="Times New Roman Bold"/>
          <w:bCs/>
          <w:snapToGrid w:val="0"/>
          <w:kern w:val="22"/>
          <w:lang w:val="fr-FR"/>
        </w:rPr>
        <w:t xml:space="preserve"> et </w:t>
      </w:r>
      <w:r w:rsidR="00D27709">
        <w:rPr>
          <w:rFonts w:ascii="Times New Roman Bold" w:hAnsi="Times New Roman Bold" w:cs="Times New Roman Bold"/>
          <w:bCs/>
          <w:snapToGrid w:val="0"/>
          <w:kern w:val="22"/>
          <w:lang w:val="fr-FR"/>
        </w:rPr>
        <w:t>le pr</w:t>
      </w:r>
      <w:r w:rsidRPr="00A57D5A">
        <w:rPr>
          <w:rFonts w:ascii="Times New Roman Bold" w:hAnsi="Times New Roman Bold" w:cs="Times New Roman Bold"/>
          <w:bCs/>
          <w:snapToGrid w:val="0"/>
          <w:kern w:val="22"/>
          <w:lang w:val="fr-FR"/>
        </w:rPr>
        <w:t>otocole de Cartagena</w:t>
      </w:r>
    </w:p>
    <w:p w:rsidR="00294541" w:rsidRPr="00A57D5A" w:rsidRDefault="00CD7F09" w:rsidP="008A4E67">
      <w:pPr>
        <w:pStyle w:val="Heading2"/>
        <w:suppressLineNumbers/>
        <w:tabs>
          <w:tab w:val="clear" w:pos="720"/>
          <w:tab w:val="left" w:pos="1418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1276" w:hanging="709"/>
        <w:jc w:val="left"/>
        <w:rPr>
          <w:snapToGrid w:val="0"/>
          <w:kern w:val="22"/>
          <w:lang w:val="fr-FR"/>
        </w:rPr>
      </w:pPr>
      <w:r w:rsidRPr="00A57D5A">
        <w:rPr>
          <w:snapToGrid w:val="0"/>
          <w:kern w:val="22"/>
          <w:lang w:val="fr-FR"/>
        </w:rPr>
        <w:t>A.</w:t>
      </w:r>
      <w:r w:rsidRPr="00A57D5A">
        <w:rPr>
          <w:snapToGrid w:val="0"/>
          <w:kern w:val="22"/>
          <w:lang w:val="fr-FR"/>
        </w:rPr>
        <w:tab/>
      </w:r>
      <w:r w:rsidR="008A4E67">
        <w:rPr>
          <w:snapToGrid w:val="0"/>
          <w:kern w:val="22"/>
          <w:lang w:val="fr-FR"/>
        </w:rPr>
        <w:t xml:space="preserve">Grandes lignes des </w:t>
      </w:r>
      <w:r w:rsidR="00A57D5A" w:rsidRPr="00A57D5A">
        <w:rPr>
          <w:snapToGrid w:val="0"/>
          <w:kern w:val="22"/>
          <w:lang w:val="fr-FR"/>
        </w:rPr>
        <w:t>dispositions relatives à la prévention des risques biotechnologiques</w:t>
      </w:r>
      <w:r w:rsidR="00B26763" w:rsidRPr="00A57D5A">
        <w:rPr>
          <w:snapToGrid w:val="0"/>
          <w:kern w:val="22"/>
          <w:lang w:val="fr-FR"/>
        </w:rPr>
        <w:t xml:space="preserve"> </w:t>
      </w:r>
      <w:r w:rsidR="008A4E67">
        <w:rPr>
          <w:snapToGrid w:val="0"/>
          <w:kern w:val="22"/>
          <w:lang w:val="fr-FR"/>
        </w:rPr>
        <w:t>de</w:t>
      </w:r>
      <w:r w:rsidR="00B26763" w:rsidRPr="00A57D5A">
        <w:rPr>
          <w:snapToGrid w:val="0"/>
          <w:kern w:val="22"/>
          <w:lang w:val="fr-FR"/>
        </w:rPr>
        <w:t xml:space="preserve"> </w:t>
      </w:r>
      <w:r w:rsidR="008A4E67">
        <w:rPr>
          <w:snapToGrid w:val="0"/>
          <w:kern w:val="22"/>
          <w:lang w:val="fr-FR"/>
        </w:rPr>
        <w:t xml:space="preserve">la </w:t>
      </w:r>
      <w:r w:rsidR="00B26763" w:rsidRPr="00A57D5A">
        <w:rPr>
          <w:snapToGrid w:val="0"/>
          <w:kern w:val="22"/>
          <w:lang w:val="fr-FR"/>
        </w:rPr>
        <w:t>Convention</w:t>
      </w:r>
      <w:r w:rsidR="00A57D5A">
        <w:rPr>
          <w:snapToGrid w:val="0"/>
          <w:kern w:val="22"/>
          <w:lang w:val="fr-FR"/>
        </w:rPr>
        <w:t xml:space="preserve"> et </w:t>
      </w:r>
      <w:r w:rsidR="008A4E67">
        <w:rPr>
          <w:snapToGrid w:val="0"/>
          <w:kern w:val="22"/>
          <w:lang w:val="fr-FR"/>
        </w:rPr>
        <w:t>du</w:t>
      </w:r>
      <w:r w:rsidR="00B26763" w:rsidRPr="00A57D5A">
        <w:rPr>
          <w:snapToGrid w:val="0"/>
          <w:kern w:val="22"/>
          <w:lang w:val="fr-FR"/>
        </w:rPr>
        <w:t xml:space="preserve"> </w:t>
      </w:r>
      <w:r w:rsidR="00A57D5A" w:rsidRPr="00A57D5A">
        <w:rPr>
          <w:snapToGrid w:val="0"/>
          <w:kern w:val="22"/>
          <w:lang w:val="fr-FR"/>
        </w:rPr>
        <w:t>Protocole de Cartagena</w:t>
      </w:r>
    </w:p>
    <w:p w:rsidR="00BA7936" w:rsidRDefault="008A4E67" w:rsidP="00BA7936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 w:rsidRPr="00BA7936">
        <w:rPr>
          <w:kern w:val="22"/>
          <w:lang w:val="fr-FR"/>
        </w:rPr>
        <w:t>L’a</w:t>
      </w:r>
      <w:r w:rsidR="00BE3CE9" w:rsidRPr="00BA7936">
        <w:rPr>
          <w:kern w:val="22"/>
          <w:lang w:val="fr-FR"/>
        </w:rPr>
        <w:t xml:space="preserve">rticle </w:t>
      </w:r>
      <w:r w:rsidRPr="00BA7936">
        <w:rPr>
          <w:kern w:val="22"/>
          <w:lang w:val="fr-FR"/>
        </w:rPr>
        <w:t xml:space="preserve">8 </w:t>
      </w:r>
      <w:r w:rsidR="00786B2B" w:rsidRPr="00BA7936">
        <w:rPr>
          <w:kern w:val="22"/>
          <w:lang w:val="fr-FR"/>
        </w:rPr>
        <w:t xml:space="preserve">g) </w:t>
      </w:r>
      <w:r w:rsidR="00A57D5A" w:rsidRPr="00BA7936">
        <w:rPr>
          <w:kern w:val="22"/>
          <w:lang w:val="fr-FR"/>
        </w:rPr>
        <w:t>de la Con</w:t>
      </w:r>
      <w:r w:rsidR="00BA7936" w:rsidRPr="00BA7936">
        <w:rPr>
          <w:kern w:val="22"/>
          <w:lang w:val="fr-FR"/>
        </w:rPr>
        <w:t xml:space="preserve">vention énonce l’obligation pour les Parties de mettre en place ou de maintenir des moyens pour réglementer, gérer ou maîtriser les risques associés à l’utilisation et à la </w:t>
      </w:r>
      <w:r w:rsidR="00BA7936">
        <w:rPr>
          <w:kern w:val="22"/>
          <w:lang w:val="fr-FR"/>
        </w:rPr>
        <w:t>libé</w:t>
      </w:r>
      <w:r w:rsidR="00BA7936" w:rsidRPr="00BA7936">
        <w:rPr>
          <w:kern w:val="22"/>
          <w:lang w:val="fr-FR"/>
        </w:rPr>
        <w:t xml:space="preserve">ration d’organismes vivants </w:t>
      </w:r>
      <w:r w:rsidR="00BA7936">
        <w:rPr>
          <w:kern w:val="22"/>
          <w:lang w:val="fr-FR"/>
        </w:rPr>
        <w:t>modifié</w:t>
      </w:r>
      <w:r w:rsidR="00BA7936" w:rsidRPr="00BA7936">
        <w:rPr>
          <w:kern w:val="22"/>
          <w:lang w:val="fr-FR"/>
        </w:rPr>
        <w:t xml:space="preserve">s </w:t>
      </w:r>
      <w:r w:rsidR="00BA7936">
        <w:rPr>
          <w:kern w:val="22"/>
          <w:lang w:val="fr-FR"/>
        </w:rPr>
        <w:t>ré</w:t>
      </w:r>
      <w:r w:rsidR="00BA7936" w:rsidRPr="00BA7936">
        <w:rPr>
          <w:kern w:val="22"/>
          <w:lang w:val="fr-FR"/>
        </w:rPr>
        <w:t xml:space="preserve">sultant </w:t>
      </w:r>
      <w:r w:rsidR="00BA7936">
        <w:rPr>
          <w:kern w:val="22"/>
          <w:lang w:val="fr-FR"/>
        </w:rPr>
        <w:t>de la</w:t>
      </w:r>
      <w:r w:rsidR="00370E97" w:rsidRPr="00BA7936">
        <w:rPr>
          <w:kern w:val="22"/>
          <w:lang w:val="fr-FR"/>
        </w:rPr>
        <w:t xml:space="preserve"> </w:t>
      </w:r>
      <w:r w:rsidR="00BA7936">
        <w:rPr>
          <w:kern w:val="22"/>
          <w:lang w:val="fr-FR"/>
        </w:rPr>
        <w:t>biotechnologie, qui risquent d’avoir sur l’environnement des impacts défavorables qui pourraient influer sur la</w:t>
      </w:r>
      <w:r w:rsidR="003157E2" w:rsidRPr="00BA7936">
        <w:rPr>
          <w:kern w:val="22"/>
          <w:lang w:val="fr-FR"/>
        </w:rPr>
        <w:t xml:space="preserve"> conservation</w:t>
      </w:r>
      <w:r w:rsidR="00A57D5A" w:rsidRPr="00BA7936">
        <w:rPr>
          <w:kern w:val="22"/>
          <w:lang w:val="fr-FR"/>
        </w:rPr>
        <w:t xml:space="preserve"> et </w:t>
      </w:r>
      <w:r w:rsidR="005A61E5" w:rsidRPr="00BA7936">
        <w:rPr>
          <w:kern w:val="22"/>
          <w:lang w:val="fr-FR"/>
        </w:rPr>
        <w:t>l’utilisation durable</w:t>
      </w:r>
      <w:r w:rsidR="00BA7936">
        <w:rPr>
          <w:kern w:val="22"/>
          <w:lang w:val="fr-FR"/>
        </w:rPr>
        <w:t xml:space="preserve"> de la</w:t>
      </w:r>
      <w:r w:rsidR="003157E2" w:rsidRPr="00BA7936">
        <w:rPr>
          <w:kern w:val="22"/>
          <w:lang w:val="fr-FR"/>
        </w:rPr>
        <w:t xml:space="preserve"> </w:t>
      </w:r>
      <w:r w:rsidR="005A61E5" w:rsidRPr="00BA7936">
        <w:rPr>
          <w:kern w:val="22"/>
          <w:lang w:val="fr-FR"/>
        </w:rPr>
        <w:t>diversité biologique</w:t>
      </w:r>
      <w:r w:rsidR="003157E2" w:rsidRPr="00BA7936">
        <w:rPr>
          <w:kern w:val="22"/>
          <w:lang w:val="fr-FR"/>
        </w:rPr>
        <w:t xml:space="preserve">, </w:t>
      </w:r>
      <w:r w:rsidR="00BA7936">
        <w:rPr>
          <w:kern w:val="22"/>
          <w:lang w:val="fr-FR"/>
        </w:rPr>
        <w:t>compte tenu également des risques pour la santé humaine</w:t>
      </w:r>
      <w:r w:rsidR="00370E97" w:rsidRPr="00BA7936">
        <w:rPr>
          <w:kern w:val="22"/>
          <w:lang w:val="fr-FR"/>
        </w:rPr>
        <w:t>.</w:t>
      </w:r>
    </w:p>
    <w:p w:rsidR="00C1704F" w:rsidRPr="00D27709" w:rsidRDefault="008A4E67" w:rsidP="00BA7936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 w:rsidRPr="00BA7936">
        <w:rPr>
          <w:kern w:val="22"/>
          <w:lang w:val="fr-FR"/>
        </w:rPr>
        <w:t>L’a</w:t>
      </w:r>
      <w:r w:rsidR="003157E2" w:rsidRPr="00BA7936">
        <w:rPr>
          <w:kern w:val="22"/>
          <w:lang w:val="fr-FR"/>
        </w:rPr>
        <w:t xml:space="preserve">rticle 19 </w:t>
      </w:r>
      <w:r w:rsidR="00A57D5A" w:rsidRPr="00BA7936">
        <w:rPr>
          <w:kern w:val="22"/>
          <w:lang w:val="fr-FR"/>
        </w:rPr>
        <w:t>de la Con</w:t>
      </w:r>
      <w:r w:rsidR="003157E2" w:rsidRPr="00BA7936">
        <w:rPr>
          <w:kern w:val="22"/>
          <w:lang w:val="fr-FR"/>
        </w:rPr>
        <w:t>vention</w:t>
      </w:r>
      <w:r w:rsidR="00D27709">
        <w:rPr>
          <w:kern w:val="22"/>
          <w:lang w:val="fr-FR"/>
        </w:rPr>
        <w:t xml:space="preserve"> prévoit</w:t>
      </w:r>
      <w:r w:rsidR="00BA7936" w:rsidRPr="00BA7936">
        <w:rPr>
          <w:kern w:val="22"/>
          <w:lang w:val="fr-FR"/>
        </w:rPr>
        <w:t xml:space="preserve"> des </w:t>
      </w:r>
      <w:r w:rsidR="00A57D5A" w:rsidRPr="00BA7936">
        <w:rPr>
          <w:kern w:val="22"/>
          <w:lang w:val="fr-FR"/>
        </w:rPr>
        <w:t>dispositions</w:t>
      </w:r>
      <w:r w:rsidR="00D27709">
        <w:rPr>
          <w:kern w:val="22"/>
          <w:lang w:val="fr-FR"/>
        </w:rPr>
        <w:t xml:space="preserve"> concernant</w:t>
      </w:r>
      <w:r w:rsidR="00BA7936" w:rsidRPr="00BA7936">
        <w:rPr>
          <w:kern w:val="22"/>
          <w:lang w:val="fr-FR"/>
        </w:rPr>
        <w:t xml:space="preserve"> une participation effective aux </w:t>
      </w:r>
      <w:r w:rsidR="00B523B9" w:rsidRPr="00BA7936">
        <w:rPr>
          <w:kern w:val="22"/>
          <w:lang w:val="fr-FR"/>
        </w:rPr>
        <w:t>activités</w:t>
      </w:r>
      <w:r w:rsidR="00BA7936" w:rsidRPr="00BA7936">
        <w:rPr>
          <w:kern w:val="22"/>
          <w:lang w:val="fr-FR"/>
        </w:rPr>
        <w:t xml:space="preserve"> de </w:t>
      </w:r>
      <w:r w:rsidR="00BA7936" w:rsidRPr="00BA7936">
        <w:rPr>
          <w:kern w:val="22"/>
          <w:szCs w:val="22"/>
          <w:lang w:val="fr-FR"/>
        </w:rPr>
        <w:t>recherche biotechnologique des</w:t>
      </w:r>
      <w:r w:rsidR="001660AB" w:rsidRPr="00BA7936">
        <w:rPr>
          <w:kern w:val="22"/>
          <w:szCs w:val="22"/>
          <w:lang w:val="fr-FR"/>
        </w:rPr>
        <w:t xml:space="preserve"> </w:t>
      </w:r>
      <w:r w:rsidR="003D5B83" w:rsidRPr="00BA7936">
        <w:rPr>
          <w:kern w:val="22"/>
          <w:szCs w:val="22"/>
          <w:lang w:val="fr-FR"/>
        </w:rPr>
        <w:t>Parties</w:t>
      </w:r>
      <w:r w:rsidR="00BA7936" w:rsidRPr="00BA7936">
        <w:rPr>
          <w:kern w:val="22"/>
          <w:szCs w:val="22"/>
          <w:lang w:val="fr-FR"/>
        </w:rPr>
        <w:t xml:space="preserve"> contractantes</w:t>
      </w:r>
      <w:r w:rsidR="003D5B83" w:rsidRPr="00BA7936">
        <w:rPr>
          <w:kern w:val="22"/>
          <w:szCs w:val="22"/>
          <w:lang w:val="fr-FR"/>
        </w:rPr>
        <w:t xml:space="preserve">, </w:t>
      </w:r>
      <w:r w:rsidR="00D27709">
        <w:rPr>
          <w:szCs w:val="22"/>
          <w:lang w:val="fr-FR"/>
        </w:rPr>
        <w:t>en particulier d</w:t>
      </w:r>
      <w:r w:rsidR="00BA7936" w:rsidRPr="00BA7936">
        <w:rPr>
          <w:szCs w:val="22"/>
          <w:lang w:val="fr-FR"/>
        </w:rPr>
        <w:t xml:space="preserve">es pays en développement, qui fournissent les ressources génétiques </w:t>
      </w:r>
      <w:r w:rsidR="00BA7936">
        <w:rPr>
          <w:szCs w:val="22"/>
          <w:lang w:val="fr-FR"/>
        </w:rPr>
        <w:t xml:space="preserve">pour ces activités de recherche </w:t>
      </w:r>
      <w:r w:rsidR="00BA7936">
        <w:rPr>
          <w:kern w:val="22"/>
          <w:lang w:val="fr-FR"/>
        </w:rPr>
        <w:t>(paragraphe</w:t>
      </w:r>
      <w:r w:rsidR="004D4B8E" w:rsidRPr="00BA7936">
        <w:rPr>
          <w:kern w:val="22"/>
          <w:lang w:val="fr-FR"/>
        </w:rPr>
        <w:t> </w:t>
      </w:r>
      <w:r w:rsidR="004431C9" w:rsidRPr="00BA7936">
        <w:rPr>
          <w:kern w:val="22"/>
          <w:lang w:val="fr-FR"/>
        </w:rPr>
        <w:t xml:space="preserve">1), </w:t>
      </w:r>
      <w:r w:rsidR="00D27709">
        <w:rPr>
          <w:kern w:val="22"/>
          <w:lang w:val="fr-FR"/>
        </w:rPr>
        <w:t xml:space="preserve">ainsi que </w:t>
      </w:r>
      <w:r w:rsidR="00BA7936">
        <w:rPr>
          <w:kern w:val="22"/>
          <w:lang w:val="fr-FR"/>
        </w:rPr>
        <w:t>des mesures pour encourager et favoriser l’accès prioritaire, sur une base juste et équitable, des Parties contractantes, en particulier des pays en développement, aux résultats et aux avantages découlant des</w:t>
      </w:r>
      <w:r w:rsidR="004431C9" w:rsidRPr="00BA7936">
        <w:rPr>
          <w:kern w:val="22"/>
          <w:lang w:val="fr-FR"/>
        </w:rPr>
        <w:t xml:space="preserve"> biotechnologies </w:t>
      </w:r>
      <w:r w:rsidR="00BA7936">
        <w:rPr>
          <w:kern w:val="22"/>
          <w:lang w:val="fr-FR"/>
        </w:rPr>
        <w:t>fondées sur les r</w:t>
      </w:r>
      <w:r w:rsidR="005A61E5" w:rsidRPr="00BA7936">
        <w:rPr>
          <w:kern w:val="22"/>
          <w:lang w:val="fr-FR"/>
        </w:rPr>
        <w:t>essources génétiques</w:t>
      </w:r>
      <w:r w:rsidR="00BA7936">
        <w:rPr>
          <w:kern w:val="22"/>
          <w:lang w:val="fr-FR"/>
        </w:rPr>
        <w:t xml:space="preserve"> fournies par ces</w:t>
      </w:r>
      <w:r w:rsidR="003D5B83" w:rsidRPr="00BA7936">
        <w:rPr>
          <w:kern w:val="22"/>
          <w:lang w:val="fr-FR"/>
        </w:rPr>
        <w:t xml:space="preserve"> Parties</w:t>
      </w:r>
      <w:r w:rsidR="004431C9" w:rsidRPr="00BA7936">
        <w:rPr>
          <w:kern w:val="22"/>
          <w:lang w:val="fr-FR"/>
        </w:rPr>
        <w:t xml:space="preserve"> </w:t>
      </w:r>
      <w:r w:rsidR="00BA7936">
        <w:rPr>
          <w:kern w:val="22"/>
          <w:lang w:val="fr-FR"/>
        </w:rPr>
        <w:t>(paragraphe</w:t>
      </w:r>
      <w:r w:rsidR="004D4B8E" w:rsidRPr="00BA7936">
        <w:rPr>
          <w:kern w:val="22"/>
          <w:lang w:val="fr-FR"/>
        </w:rPr>
        <w:t> </w:t>
      </w:r>
      <w:r w:rsidR="004431C9" w:rsidRPr="00BA7936">
        <w:rPr>
          <w:kern w:val="22"/>
          <w:lang w:val="fr-FR"/>
        </w:rPr>
        <w:t>2)</w:t>
      </w:r>
      <w:r w:rsidR="000A5DCB" w:rsidRPr="00BA7936">
        <w:rPr>
          <w:kern w:val="22"/>
          <w:lang w:val="fr-FR"/>
        </w:rPr>
        <w:t xml:space="preserve">. </w:t>
      </w:r>
      <w:r w:rsidR="00D27709">
        <w:rPr>
          <w:kern w:val="22"/>
          <w:lang w:val="fr-FR"/>
        </w:rPr>
        <w:t>Il exige</w:t>
      </w:r>
      <w:r w:rsidR="00BA7936" w:rsidRPr="00BA7936">
        <w:rPr>
          <w:kern w:val="22"/>
          <w:lang w:val="fr-FR"/>
        </w:rPr>
        <w:t xml:space="preserve"> aussi que les </w:t>
      </w:r>
      <w:r w:rsidR="000A5DCB" w:rsidRPr="00BA7936">
        <w:rPr>
          <w:kern w:val="22"/>
          <w:lang w:val="fr-FR"/>
        </w:rPr>
        <w:t>Parties</w:t>
      </w:r>
      <w:r w:rsidR="00D27709">
        <w:rPr>
          <w:kern w:val="22"/>
          <w:lang w:val="fr-FR"/>
        </w:rPr>
        <w:t xml:space="preserve"> contractantes fournissent</w:t>
      </w:r>
      <w:r w:rsidR="00BA7936" w:rsidRPr="00BA7936">
        <w:rPr>
          <w:kern w:val="22"/>
          <w:lang w:val="fr-FR"/>
        </w:rPr>
        <w:t xml:space="preserve"> aux </w:t>
      </w:r>
      <w:r w:rsidR="0071235F" w:rsidRPr="00BA7936">
        <w:rPr>
          <w:kern w:val="22"/>
          <w:lang w:val="fr-FR"/>
        </w:rPr>
        <w:t xml:space="preserve">Parties </w:t>
      </w:r>
      <w:r w:rsidR="00BA7936" w:rsidRPr="00BA7936">
        <w:rPr>
          <w:kern w:val="22"/>
          <w:lang w:val="fr-FR"/>
        </w:rPr>
        <w:t>sur le te</w:t>
      </w:r>
      <w:r w:rsidR="00BA7936">
        <w:rPr>
          <w:kern w:val="22"/>
          <w:lang w:val="fr-FR"/>
        </w:rPr>
        <w:t>rritoire desquelles les organis</w:t>
      </w:r>
      <w:r w:rsidR="00D27709">
        <w:rPr>
          <w:kern w:val="22"/>
          <w:lang w:val="fr-FR"/>
        </w:rPr>
        <w:t>mes vivants modifié</w:t>
      </w:r>
      <w:r w:rsidR="00BA7936" w:rsidRPr="00BA7936">
        <w:rPr>
          <w:kern w:val="22"/>
          <w:lang w:val="fr-FR"/>
        </w:rPr>
        <w:t xml:space="preserve">s sont introduits toute </w:t>
      </w:r>
      <w:r w:rsidR="000A5DCB" w:rsidRPr="00BA7936">
        <w:rPr>
          <w:kern w:val="22"/>
          <w:lang w:val="fr-FR"/>
        </w:rPr>
        <w:t xml:space="preserve">information </w:t>
      </w:r>
      <w:r w:rsidR="00BA7936">
        <w:rPr>
          <w:kern w:val="22"/>
          <w:lang w:val="fr-FR"/>
        </w:rPr>
        <w:t xml:space="preserve">disponible relative à l’utilisation et aux règlements de sécurité exigés en matière de manipulation de ces organismes vivants modifiés, ainsi que des </w:t>
      </w:r>
      <w:r w:rsidR="000A5DCB" w:rsidRPr="00BA7936">
        <w:rPr>
          <w:kern w:val="22"/>
          <w:lang w:val="fr-FR"/>
        </w:rPr>
        <w:t>information</w:t>
      </w:r>
      <w:r w:rsidR="00BA7936">
        <w:rPr>
          <w:kern w:val="22"/>
          <w:lang w:val="fr-FR"/>
        </w:rPr>
        <w:t xml:space="preserve">s sur leur impact défavorable </w:t>
      </w:r>
      <w:r w:rsidR="000A5DCB" w:rsidRPr="00BA7936">
        <w:rPr>
          <w:kern w:val="22"/>
          <w:lang w:val="fr-FR"/>
        </w:rPr>
        <w:t>pot</w:t>
      </w:r>
      <w:r w:rsidR="002B40D2" w:rsidRPr="00BA7936">
        <w:rPr>
          <w:kern w:val="22"/>
          <w:lang w:val="fr-FR"/>
        </w:rPr>
        <w:t>enti</w:t>
      </w:r>
      <w:r w:rsidR="00BA7936">
        <w:rPr>
          <w:kern w:val="22"/>
          <w:lang w:val="fr-FR"/>
        </w:rPr>
        <w:t>el</w:t>
      </w:r>
      <w:r w:rsidR="00D27709">
        <w:rPr>
          <w:kern w:val="22"/>
          <w:lang w:val="fr-FR"/>
        </w:rPr>
        <w:t xml:space="preserve"> (paragraphe</w:t>
      </w:r>
      <w:r w:rsidR="007F1878" w:rsidRPr="00BA7936">
        <w:rPr>
          <w:kern w:val="22"/>
          <w:lang w:val="fr-FR"/>
        </w:rPr>
        <w:t> </w:t>
      </w:r>
      <w:r w:rsidR="008B2EB1" w:rsidRPr="00D27709">
        <w:rPr>
          <w:kern w:val="22"/>
          <w:lang w:val="fr-FR"/>
        </w:rPr>
        <w:t>4</w:t>
      </w:r>
      <w:r w:rsidR="000A5DCB" w:rsidRPr="00D27709">
        <w:rPr>
          <w:kern w:val="22"/>
          <w:lang w:val="fr-FR"/>
        </w:rPr>
        <w:t>)</w:t>
      </w:r>
      <w:r w:rsidR="0071235F" w:rsidRPr="00D27709">
        <w:rPr>
          <w:kern w:val="22"/>
          <w:lang w:val="fr-FR"/>
        </w:rPr>
        <w:t>.</w:t>
      </w:r>
    </w:p>
    <w:p w:rsidR="00370E97" w:rsidRPr="00D83A40" w:rsidRDefault="00D27709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De plus, l</w:t>
      </w:r>
      <w:r w:rsidR="008A4E67" w:rsidRPr="00D83A40">
        <w:rPr>
          <w:kern w:val="22"/>
          <w:szCs w:val="22"/>
          <w:lang w:val="fr-FR"/>
        </w:rPr>
        <w:t>e paragraphe 3 de</w:t>
      </w:r>
      <w:r>
        <w:rPr>
          <w:kern w:val="22"/>
          <w:szCs w:val="22"/>
          <w:lang w:val="fr-FR"/>
        </w:rPr>
        <w:t xml:space="preserve"> l’article 19 fournit</w:t>
      </w:r>
      <w:r w:rsidR="00BA7936" w:rsidRPr="00D83A40">
        <w:rPr>
          <w:kern w:val="22"/>
          <w:szCs w:val="22"/>
          <w:lang w:val="fr-FR"/>
        </w:rPr>
        <w:t xml:space="preserve"> une base pour </w:t>
      </w:r>
      <w:r w:rsidR="00D83A40" w:rsidRPr="00D83A40">
        <w:rPr>
          <w:kern w:val="22"/>
          <w:szCs w:val="22"/>
          <w:lang w:val="fr-FR"/>
        </w:rPr>
        <w:t xml:space="preserve">l’élaboration de ce qui est devenu le </w:t>
      </w:r>
      <w:r w:rsidR="00A57D5A" w:rsidRPr="00D83A40">
        <w:rPr>
          <w:kern w:val="22"/>
          <w:szCs w:val="22"/>
          <w:lang w:val="fr-FR"/>
        </w:rPr>
        <w:t>Protocole de Cartagena</w:t>
      </w:r>
      <w:r w:rsidR="004431C9" w:rsidRPr="00D83A40">
        <w:rPr>
          <w:kern w:val="22"/>
          <w:szCs w:val="22"/>
          <w:lang w:val="fr-FR"/>
        </w:rPr>
        <w:t xml:space="preserve">, </w:t>
      </w:r>
      <w:r w:rsidR="00D83A40" w:rsidRPr="00D83A40">
        <w:rPr>
          <w:kern w:val="22"/>
          <w:szCs w:val="22"/>
          <w:lang w:val="fr-FR"/>
        </w:rPr>
        <w:t xml:space="preserve">lequel est entré en vigueur en </w:t>
      </w:r>
      <w:r w:rsidR="004431C9" w:rsidRPr="00D83A40">
        <w:rPr>
          <w:kern w:val="22"/>
          <w:szCs w:val="22"/>
          <w:lang w:val="fr-FR"/>
        </w:rPr>
        <w:t>2003</w:t>
      </w:r>
      <w:r w:rsidR="00144694" w:rsidRPr="00385560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2"/>
      </w:r>
      <w:r w:rsidR="00D83A40" w:rsidRPr="00D83A40">
        <w:rPr>
          <w:kern w:val="22"/>
          <w:szCs w:val="22"/>
          <w:lang w:val="fr-FR"/>
        </w:rPr>
        <w:t>.</w:t>
      </w:r>
      <w:r w:rsidR="00D83A40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L’</w:t>
      </w:r>
      <w:r w:rsidR="00D83A40" w:rsidRPr="00D83A40">
        <w:rPr>
          <w:kern w:val="22"/>
          <w:szCs w:val="22"/>
          <w:lang w:val="fr-FR"/>
        </w:rPr>
        <w:t xml:space="preserve">objectif </w:t>
      </w:r>
      <w:r>
        <w:rPr>
          <w:kern w:val="22"/>
          <w:szCs w:val="22"/>
          <w:lang w:val="fr-FR"/>
        </w:rPr>
        <w:t xml:space="preserve">du Protocole de Cartagena </w:t>
      </w:r>
      <w:r w:rsidR="00D83A40" w:rsidRPr="00D83A40">
        <w:rPr>
          <w:kern w:val="22"/>
          <w:szCs w:val="22"/>
          <w:lang w:val="fr-FR"/>
        </w:rPr>
        <w:t xml:space="preserve">est de contribuer à assurer un degré adéquat de </w:t>
      </w:r>
      <w:r w:rsidR="00370E97" w:rsidRPr="00D83A40">
        <w:rPr>
          <w:kern w:val="22"/>
          <w:szCs w:val="22"/>
          <w:lang w:val="fr-FR"/>
        </w:rPr>
        <w:t xml:space="preserve">protection </w:t>
      </w:r>
      <w:r w:rsidR="00D83A40" w:rsidRPr="00D83A40">
        <w:rPr>
          <w:kern w:val="22"/>
          <w:szCs w:val="22"/>
          <w:lang w:val="fr-FR"/>
        </w:rPr>
        <w:t xml:space="preserve">pour le transfert, la manipulation et l’utilisation sans danger des organismes vivants </w:t>
      </w:r>
      <w:r w:rsidR="00D83A40">
        <w:rPr>
          <w:kern w:val="22"/>
          <w:szCs w:val="22"/>
          <w:lang w:val="fr-FR"/>
        </w:rPr>
        <w:t>modifié</w:t>
      </w:r>
      <w:r w:rsidR="00D83A40" w:rsidRPr="00D83A40">
        <w:rPr>
          <w:kern w:val="22"/>
          <w:szCs w:val="22"/>
          <w:lang w:val="fr-FR"/>
        </w:rPr>
        <w:t xml:space="preserve">s </w:t>
      </w:r>
      <w:r w:rsidR="00D83A40">
        <w:rPr>
          <w:kern w:val="22"/>
          <w:szCs w:val="22"/>
          <w:lang w:val="fr-FR"/>
        </w:rPr>
        <w:t>ré</w:t>
      </w:r>
      <w:r w:rsidR="00D83A40" w:rsidRPr="00D83A40">
        <w:rPr>
          <w:kern w:val="22"/>
          <w:szCs w:val="22"/>
          <w:lang w:val="fr-FR"/>
        </w:rPr>
        <w:t xml:space="preserve">sultant de la </w:t>
      </w:r>
      <w:r w:rsidR="00D83A40">
        <w:rPr>
          <w:kern w:val="22"/>
          <w:szCs w:val="22"/>
          <w:lang w:val="fr-FR"/>
        </w:rPr>
        <w:t xml:space="preserve">biotechnologie moderne qui peuvent avoir des effets défavorables sur la </w:t>
      </w:r>
      <w:r w:rsidR="00370E97" w:rsidRPr="00D83A40">
        <w:rPr>
          <w:kern w:val="22"/>
          <w:szCs w:val="22"/>
          <w:lang w:val="fr-FR"/>
        </w:rPr>
        <w:t>conservation</w:t>
      </w:r>
      <w:r w:rsidR="00A57D5A" w:rsidRPr="00D83A40">
        <w:rPr>
          <w:kern w:val="22"/>
          <w:szCs w:val="22"/>
          <w:lang w:val="fr-FR"/>
        </w:rPr>
        <w:t xml:space="preserve"> et </w:t>
      </w:r>
      <w:r w:rsidR="005A61E5" w:rsidRPr="00D83A40">
        <w:rPr>
          <w:kern w:val="22"/>
          <w:szCs w:val="22"/>
          <w:lang w:val="fr-FR"/>
        </w:rPr>
        <w:t>l’utilisation durable</w:t>
      </w:r>
      <w:r w:rsidR="00D83A40">
        <w:rPr>
          <w:kern w:val="22"/>
          <w:szCs w:val="22"/>
          <w:lang w:val="fr-FR"/>
        </w:rPr>
        <w:t xml:space="preserve"> de la</w:t>
      </w:r>
      <w:r w:rsidR="00370E97" w:rsidRPr="00D83A40">
        <w:rPr>
          <w:kern w:val="22"/>
          <w:szCs w:val="22"/>
          <w:lang w:val="fr-FR"/>
        </w:rPr>
        <w:t xml:space="preserve"> </w:t>
      </w:r>
      <w:r w:rsidR="005A61E5" w:rsidRPr="00D83A40">
        <w:rPr>
          <w:kern w:val="22"/>
          <w:szCs w:val="22"/>
          <w:lang w:val="fr-FR"/>
        </w:rPr>
        <w:t>diversité biologique</w:t>
      </w:r>
      <w:r w:rsidR="00370E97" w:rsidRPr="00D83A40">
        <w:rPr>
          <w:kern w:val="22"/>
          <w:szCs w:val="22"/>
          <w:lang w:val="fr-FR"/>
        </w:rPr>
        <w:t xml:space="preserve">, </w:t>
      </w:r>
      <w:r w:rsidR="00D83A40">
        <w:rPr>
          <w:kern w:val="22"/>
          <w:szCs w:val="22"/>
          <w:lang w:val="fr-FR"/>
        </w:rPr>
        <w:t>compte tenu également des risques pour la santé humaine, en mettant plus précisément l’accent sur les mouvements transfrontières</w:t>
      </w:r>
      <w:r w:rsidR="00370E97" w:rsidRPr="00D83A40">
        <w:rPr>
          <w:kern w:val="22"/>
          <w:szCs w:val="22"/>
          <w:lang w:val="fr-FR"/>
        </w:rPr>
        <w:t>.</w:t>
      </w:r>
    </w:p>
    <w:p w:rsidR="00C1704F" w:rsidRPr="00D83A40" w:rsidRDefault="006D6443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>
        <w:rPr>
          <w:kern w:val="22"/>
          <w:lang w:val="fr-FR"/>
        </w:rPr>
        <w:t xml:space="preserve">Dans ce </w:t>
      </w:r>
      <w:r w:rsidR="008A4E67" w:rsidRPr="008A4E67">
        <w:rPr>
          <w:kern w:val="22"/>
          <w:lang w:val="fr-FR"/>
        </w:rPr>
        <w:t>contexte</w:t>
      </w:r>
      <w:r w:rsidR="008A4E67">
        <w:rPr>
          <w:kern w:val="22"/>
          <w:lang w:val="fr-FR"/>
        </w:rPr>
        <w:t>, l</w:t>
      </w:r>
      <w:r w:rsidR="001660AB" w:rsidRPr="00A57D5A">
        <w:rPr>
          <w:kern w:val="22"/>
          <w:lang w:val="fr-FR"/>
        </w:rPr>
        <w:t xml:space="preserve">e </w:t>
      </w:r>
      <w:r w:rsidR="00A57D5A" w:rsidRPr="00A57D5A">
        <w:rPr>
          <w:kern w:val="22"/>
          <w:lang w:val="fr-FR"/>
        </w:rPr>
        <w:t>Protocole de Cartagena</w:t>
      </w:r>
      <w:r w:rsidR="001660AB" w:rsidRPr="00A57D5A">
        <w:rPr>
          <w:kern w:val="22"/>
          <w:lang w:val="fr-FR"/>
        </w:rPr>
        <w:t xml:space="preserve"> </w:t>
      </w:r>
      <w:r>
        <w:rPr>
          <w:kern w:val="22"/>
          <w:lang w:val="fr-FR"/>
        </w:rPr>
        <w:t>renforc</w:t>
      </w:r>
      <w:r w:rsidR="008A4E67">
        <w:rPr>
          <w:kern w:val="22"/>
          <w:lang w:val="fr-FR"/>
        </w:rPr>
        <w:t>e et complète les</w:t>
      </w:r>
      <w:r w:rsidR="002B40D2" w:rsidRPr="00A57D5A">
        <w:rPr>
          <w:kern w:val="22"/>
          <w:lang w:val="fr-FR"/>
        </w:rPr>
        <w:t xml:space="preserve"> </w:t>
      </w:r>
      <w:r w:rsidR="00A57D5A" w:rsidRPr="00A57D5A">
        <w:rPr>
          <w:kern w:val="22"/>
          <w:lang w:val="fr-FR"/>
        </w:rPr>
        <w:t>dispositions relatives à la prévention des risques biotechnologiques</w:t>
      </w:r>
      <w:r w:rsidR="004431C9" w:rsidRPr="00A57D5A">
        <w:rPr>
          <w:kern w:val="22"/>
          <w:lang w:val="fr-FR"/>
        </w:rPr>
        <w:t xml:space="preserve"> </w:t>
      </w:r>
      <w:r w:rsidR="00A57D5A" w:rsidRPr="00A57D5A">
        <w:rPr>
          <w:kern w:val="22"/>
          <w:lang w:val="fr-FR"/>
        </w:rPr>
        <w:t>de la Con</w:t>
      </w:r>
      <w:r w:rsidR="004431C9" w:rsidRPr="00A57D5A">
        <w:rPr>
          <w:kern w:val="22"/>
          <w:lang w:val="fr-FR"/>
        </w:rPr>
        <w:t xml:space="preserve">vention. </w:t>
      </w:r>
      <w:r w:rsidR="00D83A40">
        <w:rPr>
          <w:kern w:val="22"/>
          <w:lang w:val="fr-FR"/>
        </w:rPr>
        <w:t>Il existe cependant des différences dans le champ d’application des</w:t>
      </w:r>
      <w:r w:rsidR="004431C9" w:rsidRPr="00A57D5A">
        <w:rPr>
          <w:kern w:val="22"/>
          <w:lang w:val="fr-FR"/>
        </w:rPr>
        <w:t xml:space="preserve"> </w:t>
      </w:r>
      <w:r w:rsidR="00A57D5A" w:rsidRPr="00A57D5A">
        <w:rPr>
          <w:kern w:val="22"/>
          <w:lang w:val="fr-FR"/>
        </w:rPr>
        <w:t>dispositions relatives à la prévention des risques biotechnologiques</w:t>
      </w:r>
      <w:r w:rsidR="004431C9" w:rsidRPr="00A57D5A">
        <w:rPr>
          <w:kern w:val="22"/>
          <w:lang w:val="fr-FR"/>
        </w:rPr>
        <w:t xml:space="preserve"> </w:t>
      </w:r>
      <w:r w:rsidR="009A436D">
        <w:rPr>
          <w:kern w:val="22"/>
          <w:lang w:val="fr-FR"/>
        </w:rPr>
        <w:t>de la Conv</w:t>
      </w:r>
      <w:r w:rsidR="004431C9" w:rsidRPr="00A57D5A">
        <w:rPr>
          <w:kern w:val="22"/>
          <w:lang w:val="fr-FR"/>
        </w:rPr>
        <w:t>ention</w:t>
      </w:r>
      <w:r w:rsidR="00A57D5A" w:rsidRPr="00A57D5A">
        <w:rPr>
          <w:kern w:val="22"/>
          <w:lang w:val="fr-FR"/>
        </w:rPr>
        <w:t xml:space="preserve"> et </w:t>
      </w:r>
      <w:r w:rsidR="00D83A40">
        <w:rPr>
          <w:kern w:val="22"/>
          <w:lang w:val="fr-FR"/>
        </w:rPr>
        <w:t>du</w:t>
      </w:r>
      <w:r w:rsidR="004431C9" w:rsidRPr="00A57D5A">
        <w:rPr>
          <w:kern w:val="22"/>
          <w:lang w:val="fr-FR"/>
        </w:rPr>
        <w:t xml:space="preserve"> Protocol</w:t>
      </w:r>
      <w:r w:rsidR="00D83A40">
        <w:rPr>
          <w:kern w:val="22"/>
          <w:lang w:val="fr-FR"/>
        </w:rPr>
        <w:t>e</w:t>
      </w:r>
      <w:r w:rsidR="004431C9" w:rsidRPr="00A57D5A">
        <w:rPr>
          <w:kern w:val="22"/>
          <w:lang w:val="fr-FR"/>
        </w:rPr>
        <w:t xml:space="preserve">. </w:t>
      </w:r>
      <w:r w:rsidR="00D83A40">
        <w:rPr>
          <w:kern w:val="22"/>
          <w:lang w:val="fr-FR"/>
        </w:rPr>
        <w:t xml:space="preserve">D’un côté, les </w:t>
      </w:r>
      <w:r w:rsidR="00A57D5A" w:rsidRPr="00A57D5A">
        <w:rPr>
          <w:kern w:val="22"/>
          <w:lang w:val="fr-FR"/>
        </w:rPr>
        <w:t>dispositions relatives à la prévention des risques biotechnologiques</w:t>
      </w:r>
      <w:r w:rsidR="004431C9" w:rsidRPr="00A57D5A">
        <w:rPr>
          <w:kern w:val="22"/>
          <w:lang w:val="fr-FR"/>
        </w:rPr>
        <w:t xml:space="preserve"> </w:t>
      </w:r>
      <w:r w:rsidR="00A57D5A" w:rsidRPr="00A57D5A">
        <w:rPr>
          <w:kern w:val="22"/>
          <w:lang w:val="fr-FR"/>
        </w:rPr>
        <w:t>de la Con</w:t>
      </w:r>
      <w:r w:rsidR="00696FE8" w:rsidRPr="00A57D5A">
        <w:rPr>
          <w:kern w:val="22"/>
          <w:lang w:val="fr-FR"/>
        </w:rPr>
        <w:t xml:space="preserve">vention </w:t>
      </w:r>
      <w:r w:rsidR="00D83A40">
        <w:rPr>
          <w:kern w:val="22"/>
          <w:lang w:val="fr-FR"/>
        </w:rPr>
        <w:t xml:space="preserve">concernent des mesures </w:t>
      </w:r>
      <w:r w:rsidR="00696FE8" w:rsidRPr="00A57D5A">
        <w:rPr>
          <w:kern w:val="22"/>
          <w:lang w:val="fr-FR"/>
        </w:rPr>
        <w:t>national</w:t>
      </w:r>
      <w:r w:rsidR="00D83A40">
        <w:rPr>
          <w:kern w:val="22"/>
          <w:lang w:val="fr-FR"/>
        </w:rPr>
        <w:t>es</w:t>
      </w:r>
      <w:r w:rsidR="00A57D5A" w:rsidRPr="00A57D5A">
        <w:rPr>
          <w:kern w:val="22"/>
          <w:lang w:val="fr-FR"/>
        </w:rPr>
        <w:t xml:space="preserve"> et </w:t>
      </w:r>
      <w:r w:rsidR="00696FE8" w:rsidRPr="00A57D5A">
        <w:rPr>
          <w:kern w:val="22"/>
          <w:lang w:val="fr-FR"/>
        </w:rPr>
        <w:t>international</w:t>
      </w:r>
      <w:r>
        <w:rPr>
          <w:kern w:val="22"/>
          <w:lang w:val="fr-FR"/>
        </w:rPr>
        <w:t>es propres à appuyer</w:t>
      </w:r>
      <w:r w:rsidR="00D83A40">
        <w:rPr>
          <w:kern w:val="22"/>
          <w:lang w:val="fr-FR"/>
        </w:rPr>
        <w:t xml:space="preserve"> la réalisation des trois objectif</w:t>
      </w:r>
      <w:r w:rsidR="00696FE8" w:rsidRPr="00A57D5A">
        <w:rPr>
          <w:kern w:val="22"/>
          <w:lang w:val="fr-FR"/>
        </w:rPr>
        <w:t xml:space="preserve">s </w:t>
      </w:r>
      <w:r w:rsidR="00A57D5A" w:rsidRPr="00A57D5A">
        <w:rPr>
          <w:kern w:val="22"/>
          <w:lang w:val="fr-FR"/>
        </w:rPr>
        <w:t>de la Con</w:t>
      </w:r>
      <w:r w:rsidR="00696FE8" w:rsidRPr="00A57D5A">
        <w:rPr>
          <w:kern w:val="22"/>
          <w:lang w:val="fr-FR"/>
        </w:rPr>
        <w:t>vention</w:t>
      </w:r>
      <w:r>
        <w:rPr>
          <w:kern w:val="22"/>
          <w:lang w:val="fr-FR"/>
        </w:rPr>
        <w:t>,</w:t>
      </w:r>
      <w:r w:rsidR="00696FE8" w:rsidRPr="00A57D5A">
        <w:rPr>
          <w:kern w:val="22"/>
          <w:lang w:val="fr-FR"/>
        </w:rPr>
        <w:t xml:space="preserve"> </w:t>
      </w:r>
      <w:r>
        <w:rPr>
          <w:kern w:val="22"/>
          <w:lang w:val="fr-FR"/>
        </w:rPr>
        <w:t>s’appliquant aux</w:t>
      </w:r>
      <w:r w:rsidR="00696FE8" w:rsidRPr="00A57D5A">
        <w:rPr>
          <w:kern w:val="22"/>
          <w:lang w:val="fr-FR"/>
        </w:rPr>
        <w:t xml:space="preserve"> </w:t>
      </w:r>
      <w:r w:rsidR="00D83A40">
        <w:rPr>
          <w:kern w:val="22"/>
          <w:lang w:val="fr-FR"/>
        </w:rPr>
        <w:t>organismes vivants modifiés</w:t>
      </w:r>
      <w:r w:rsidR="00696FE8" w:rsidRPr="00A57D5A">
        <w:rPr>
          <w:kern w:val="22"/>
          <w:lang w:val="fr-FR"/>
        </w:rPr>
        <w:t xml:space="preserve"> </w:t>
      </w:r>
      <w:r>
        <w:rPr>
          <w:kern w:val="22"/>
          <w:lang w:val="fr-FR"/>
        </w:rPr>
        <w:t>ainsi qu’aux élément</w:t>
      </w:r>
      <w:r w:rsidR="00D83A40">
        <w:rPr>
          <w:kern w:val="22"/>
          <w:lang w:val="fr-FR"/>
        </w:rPr>
        <w:t>s et produits non vivants issus de la biotechnologie</w:t>
      </w:r>
      <w:r w:rsidR="00696FE8" w:rsidRPr="00A57D5A">
        <w:rPr>
          <w:kern w:val="22"/>
          <w:lang w:val="fr-FR"/>
        </w:rPr>
        <w:t>.</w:t>
      </w:r>
      <w:r>
        <w:rPr>
          <w:kern w:val="22"/>
          <w:lang w:val="fr-FR"/>
        </w:rPr>
        <w:t xml:space="preserve"> De l’</w:t>
      </w:r>
      <w:r w:rsidR="00D83A40">
        <w:rPr>
          <w:kern w:val="22"/>
          <w:lang w:val="fr-FR"/>
        </w:rPr>
        <w:t>autre côté, le</w:t>
      </w:r>
      <w:r w:rsidR="00696FE8" w:rsidRPr="00A57D5A">
        <w:rPr>
          <w:kern w:val="22"/>
          <w:lang w:val="fr-FR"/>
        </w:rPr>
        <w:t xml:space="preserve"> </w:t>
      </w:r>
      <w:r w:rsidR="00A57D5A" w:rsidRPr="00D83A40">
        <w:rPr>
          <w:kern w:val="22"/>
          <w:lang w:val="fr-FR"/>
        </w:rPr>
        <w:t>Protocole de Cartagena</w:t>
      </w:r>
      <w:r w:rsidR="00D83A40">
        <w:rPr>
          <w:kern w:val="22"/>
          <w:lang w:val="fr-FR"/>
        </w:rPr>
        <w:t xml:space="preserve"> est axé sur les</w:t>
      </w:r>
      <w:r w:rsidR="006100D1" w:rsidRPr="00D83A40">
        <w:rPr>
          <w:kern w:val="22"/>
          <w:lang w:val="fr-FR"/>
        </w:rPr>
        <w:t xml:space="preserve"> </w:t>
      </w:r>
      <w:r w:rsidR="00D83A40" w:rsidRPr="00D83A40">
        <w:rPr>
          <w:kern w:val="22"/>
          <w:lang w:val="fr-FR"/>
        </w:rPr>
        <w:t>mouvements transfrontières</w:t>
      </w:r>
      <w:r w:rsidR="00D83A40">
        <w:rPr>
          <w:kern w:val="22"/>
          <w:lang w:val="fr-FR"/>
        </w:rPr>
        <w:t xml:space="preserve"> d’</w:t>
      </w:r>
      <w:r w:rsidR="00D83A40" w:rsidRPr="00D83A40">
        <w:rPr>
          <w:kern w:val="22"/>
          <w:lang w:val="fr-FR"/>
        </w:rPr>
        <w:t>organismes vivants modifiés</w:t>
      </w:r>
      <w:r w:rsidR="00D83A40">
        <w:rPr>
          <w:kern w:val="22"/>
          <w:lang w:val="fr-FR"/>
        </w:rPr>
        <w:t xml:space="preserve"> qui sont susceptibles d’avoir des effets défavorables sur la </w:t>
      </w:r>
      <w:r w:rsidR="00696FE8" w:rsidRPr="00D83A40">
        <w:rPr>
          <w:kern w:val="22"/>
          <w:lang w:val="fr-FR"/>
        </w:rPr>
        <w:t>conservation</w:t>
      </w:r>
      <w:r w:rsidR="00A57D5A" w:rsidRPr="00D83A40">
        <w:rPr>
          <w:kern w:val="22"/>
          <w:lang w:val="fr-FR"/>
        </w:rPr>
        <w:t xml:space="preserve"> et </w:t>
      </w:r>
      <w:r w:rsidR="005A61E5" w:rsidRPr="00D83A40">
        <w:rPr>
          <w:kern w:val="22"/>
          <w:lang w:val="fr-FR"/>
        </w:rPr>
        <w:t>l’utilisation durable</w:t>
      </w:r>
      <w:r w:rsidR="00D83A40">
        <w:rPr>
          <w:kern w:val="22"/>
          <w:lang w:val="fr-FR"/>
        </w:rPr>
        <w:t xml:space="preserve"> de la </w:t>
      </w:r>
      <w:r w:rsidR="005A61E5" w:rsidRPr="00D83A40">
        <w:rPr>
          <w:kern w:val="22"/>
          <w:lang w:val="fr-FR"/>
        </w:rPr>
        <w:t>diversité biologique</w:t>
      </w:r>
      <w:r w:rsidR="00696FE8" w:rsidRPr="00D83A40">
        <w:rPr>
          <w:kern w:val="22"/>
          <w:lang w:val="fr-FR"/>
        </w:rPr>
        <w:t>.</w:t>
      </w:r>
    </w:p>
    <w:p w:rsidR="001660AB" w:rsidRPr="008A4E67" w:rsidRDefault="008A4E67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 w:rsidRPr="008A4E67">
        <w:rPr>
          <w:kern w:val="22"/>
          <w:lang w:val="fr-FR"/>
        </w:rPr>
        <w:t xml:space="preserve">D’autres </w:t>
      </w:r>
      <w:r w:rsidR="00A57D5A" w:rsidRPr="008A4E67">
        <w:rPr>
          <w:kern w:val="22"/>
          <w:lang w:val="fr-FR"/>
        </w:rPr>
        <w:t>dispositions</w:t>
      </w:r>
      <w:r w:rsidR="00C1704F" w:rsidRPr="008A4E67">
        <w:rPr>
          <w:kern w:val="22"/>
          <w:lang w:val="fr-FR"/>
        </w:rPr>
        <w:t xml:space="preserve"> </w:t>
      </w:r>
      <w:r w:rsidR="00A57D5A" w:rsidRPr="008A4E67">
        <w:rPr>
          <w:kern w:val="22"/>
          <w:lang w:val="fr-FR"/>
        </w:rPr>
        <w:t>de la Con</w:t>
      </w:r>
      <w:r w:rsidR="00C1704F" w:rsidRPr="008A4E67">
        <w:rPr>
          <w:kern w:val="22"/>
          <w:lang w:val="fr-FR"/>
        </w:rPr>
        <w:t xml:space="preserve">vention </w:t>
      </w:r>
      <w:r w:rsidR="006D6443">
        <w:rPr>
          <w:kern w:val="22"/>
          <w:lang w:val="fr-FR"/>
        </w:rPr>
        <w:t>peuvent être en lien</w:t>
      </w:r>
      <w:r>
        <w:rPr>
          <w:kern w:val="22"/>
          <w:lang w:val="fr-FR"/>
        </w:rPr>
        <w:t xml:space="preserve"> également </w:t>
      </w:r>
      <w:r w:rsidR="006D6443">
        <w:rPr>
          <w:kern w:val="22"/>
          <w:lang w:val="fr-FR"/>
        </w:rPr>
        <w:t xml:space="preserve">avec </w:t>
      </w:r>
      <w:r>
        <w:rPr>
          <w:kern w:val="22"/>
          <w:lang w:val="fr-FR"/>
        </w:rPr>
        <w:t>la</w:t>
      </w:r>
      <w:r w:rsidR="00A57D5A" w:rsidRPr="008A4E67">
        <w:rPr>
          <w:kern w:val="22"/>
          <w:lang w:val="fr-FR"/>
        </w:rPr>
        <w:t xml:space="preserve"> prévention des risques biotechnologiques</w:t>
      </w:r>
      <w:r w:rsidR="00C1704F" w:rsidRPr="008A4E67">
        <w:rPr>
          <w:kern w:val="22"/>
          <w:lang w:val="fr-FR"/>
        </w:rPr>
        <w:t xml:space="preserve">, </w:t>
      </w:r>
      <w:r w:rsidR="006D6443">
        <w:rPr>
          <w:kern w:val="22"/>
          <w:lang w:val="fr-FR"/>
        </w:rPr>
        <w:t xml:space="preserve">notamment les dispositions de </w:t>
      </w:r>
      <w:r>
        <w:rPr>
          <w:kern w:val="22"/>
          <w:lang w:val="fr-FR"/>
        </w:rPr>
        <w:t>l’article 7 (i</w:t>
      </w:r>
      <w:r w:rsidR="00C1704F" w:rsidRPr="008A4E67">
        <w:rPr>
          <w:kern w:val="22"/>
          <w:lang w:val="fr-FR"/>
        </w:rPr>
        <w:t>dentification</w:t>
      </w:r>
      <w:r w:rsidR="00A57D5A" w:rsidRPr="008A4E67">
        <w:rPr>
          <w:kern w:val="22"/>
          <w:lang w:val="fr-FR"/>
        </w:rPr>
        <w:t xml:space="preserve"> et </w:t>
      </w:r>
      <w:r>
        <w:rPr>
          <w:kern w:val="22"/>
          <w:lang w:val="fr-FR"/>
        </w:rPr>
        <w:t>surveillance</w:t>
      </w:r>
      <w:r w:rsidR="00C1704F" w:rsidRPr="008A4E67">
        <w:rPr>
          <w:kern w:val="22"/>
          <w:lang w:val="fr-FR"/>
        </w:rPr>
        <w:t xml:space="preserve">), </w:t>
      </w:r>
      <w:r>
        <w:rPr>
          <w:kern w:val="22"/>
          <w:lang w:val="fr-FR"/>
        </w:rPr>
        <w:t>l’article 14 (évaluation de l’i</w:t>
      </w:r>
      <w:r w:rsidR="00C1704F" w:rsidRPr="008A4E67">
        <w:rPr>
          <w:kern w:val="22"/>
          <w:lang w:val="fr-FR"/>
        </w:rPr>
        <w:t xml:space="preserve">mpact </w:t>
      </w:r>
      <w:r w:rsidR="00A57D5A" w:rsidRPr="008A4E67">
        <w:rPr>
          <w:kern w:val="22"/>
          <w:lang w:val="fr-FR"/>
        </w:rPr>
        <w:t xml:space="preserve">et </w:t>
      </w:r>
      <w:r w:rsidR="006D6443">
        <w:rPr>
          <w:kern w:val="22"/>
          <w:lang w:val="fr-FR"/>
        </w:rPr>
        <w:t>réduction des effets défavorable</w:t>
      </w:r>
      <w:r>
        <w:rPr>
          <w:kern w:val="22"/>
          <w:lang w:val="fr-FR"/>
        </w:rPr>
        <w:t>s</w:t>
      </w:r>
      <w:r w:rsidR="00C1704F" w:rsidRPr="008A4E67">
        <w:rPr>
          <w:kern w:val="22"/>
          <w:lang w:val="fr-FR"/>
        </w:rPr>
        <w:t xml:space="preserve">), </w:t>
      </w:r>
      <w:r>
        <w:rPr>
          <w:kern w:val="22"/>
          <w:lang w:val="fr-FR"/>
        </w:rPr>
        <w:t xml:space="preserve">l’article 16 (accès </w:t>
      </w:r>
      <w:r w:rsidR="00A57D5A" w:rsidRPr="008A4E67">
        <w:rPr>
          <w:kern w:val="22"/>
          <w:lang w:val="fr-FR"/>
        </w:rPr>
        <w:t xml:space="preserve">et </w:t>
      </w:r>
      <w:r w:rsidR="00727935" w:rsidRPr="008A4E67">
        <w:rPr>
          <w:kern w:val="22"/>
          <w:lang w:val="fr-FR"/>
        </w:rPr>
        <w:t>t</w:t>
      </w:r>
      <w:r w:rsidR="00C1704F" w:rsidRPr="008A4E67">
        <w:rPr>
          <w:kern w:val="22"/>
          <w:lang w:val="fr-FR"/>
        </w:rPr>
        <w:t>ransfer</w:t>
      </w:r>
      <w:r>
        <w:rPr>
          <w:kern w:val="22"/>
          <w:lang w:val="fr-FR"/>
        </w:rPr>
        <w:t>t de</w:t>
      </w:r>
      <w:r w:rsidR="00C1704F" w:rsidRPr="008A4E67">
        <w:rPr>
          <w:kern w:val="22"/>
          <w:lang w:val="fr-FR"/>
        </w:rPr>
        <w:t xml:space="preserve"> </w:t>
      </w:r>
      <w:r w:rsidR="00727935" w:rsidRPr="008A4E67">
        <w:rPr>
          <w:kern w:val="22"/>
          <w:lang w:val="fr-FR"/>
        </w:rPr>
        <w:t>t</w:t>
      </w:r>
      <w:r>
        <w:rPr>
          <w:kern w:val="22"/>
          <w:lang w:val="fr-FR"/>
        </w:rPr>
        <w:t>echnologie</w:t>
      </w:r>
      <w:r w:rsidR="00C1704F" w:rsidRPr="008A4E67">
        <w:rPr>
          <w:kern w:val="22"/>
          <w:lang w:val="fr-FR"/>
        </w:rPr>
        <w:t xml:space="preserve">), </w:t>
      </w:r>
      <w:r>
        <w:rPr>
          <w:kern w:val="22"/>
          <w:lang w:val="fr-FR"/>
        </w:rPr>
        <w:t>l’article 18 (coopération technique</w:t>
      </w:r>
      <w:r w:rsidR="00A57D5A" w:rsidRPr="008A4E67">
        <w:rPr>
          <w:kern w:val="22"/>
          <w:lang w:val="fr-FR"/>
        </w:rPr>
        <w:t xml:space="preserve"> et </w:t>
      </w:r>
      <w:r w:rsidR="00727935" w:rsidRPr="008A4E67">
        <w:rPr>
          <w:kern w:val="22"/>
          <w:lang w:val="fr-FR"/>
        </w:rPr>
        <w:t>s</w:t>
      </w:r>
      <w:r>
        <w:rPr>
          <w:kern w:val="22"/>
          <w:lang w:val="fr-FR"/>
        </w:rPr>
        <w:t>cientifique</w:t>
      </w:r>
      <w:r w:rsidR="00C1704F" w:rsidRPr="008A4E67">
        <w:rPr>
          <w:kern w:val="22"/>
          <w:lang w:val="fr-FR"/>
        </w:rPr>
        <w:t>),</w:t>
      </w:r>
      <w:r w:rsidR="00A57D5A" w:rsidRPr="008A4E67">
        <w:rPr>
          <w:kern w:val="22"/>
          <w:lang w:val="fr-FR"/>
        </w:rPr>
        <w:t xml:space="preserve"> et </w:t>
      </w:r>
      <w:r>
        <w:rPr>
          <w:kern w:val="22"/>
          <w:lang w:val="fr-FR"/>
        </w:rPr>
        <w:t>l’article 20 (</w:t>
      </w:r>
      <w:r w:rsidR="00727935" w:rsidRPr="008A4E67">
        <w:rPr>
          <w:kern w:val="22"/>
          <w:lang w:val="fr-FR"/>
        </w:rPr>
        <w:t>r</w:t>
      </w:r>
      <w:r w:rsidR="00C1704F" w:rsidRPr="008A4E67">
        <w:rPr>
          <w:kern w:val="22"/>
          <w:lang w:val="fr-FR"/>
        </w:rPr>
        <w:t>es</w:t>
      </w:r>
      <w:r>
        <w:rPr>
          <w:kern w:val="22"/>
          <w:lang w:val="fr-FR"/>
        </w:rPr>
        <w:t>s</w:t>
      </w:r>
      <w:r w:rsidR="00C1704F" w:rsidRPr="008A4E67">
        <w:rPr>
          <w:kern w:val="22"/>
          <w:lang w:val="fr-FR"/>
        </w:rPr>
        <w:t>ources</w:t>
      </w:r>
      <w:r>
        <w:rPr>
          <w:kern w:val="22"/>
          <w:lang w:val="fr-FR"/>
        </w:rPr>
        <w:t xml:space="preserve"> financières</w:t>
      </w:r>
      <w:r w:rsidR="00C1704F" w:rsidRPr="008A4E67">
        <w:rPr>
          <w:kern w:val="22"/>
          <w:lang w:val="fr-FR"/>
        </w:rPr>
        <w:t>).</w:t>
      </w:r>
    </w:p>
    <w:p w:rsidR="00B26763" w:rsidRPr="00A57D5A" w:rsidRDefault="002B40D2" w:rsidP="00385560">
      <w:pPr>
        <w:pStyle w:val="Heading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ascii="Times New Roman Bold" w:hAnsi="Times New Roman Bold" w:cs="Times New Roman Bold"/>
          <w:snapToGrid w:val="0"/>
          <w:kern w:val="22"/>
          <w:lang w:val="fr-FR"/>
        </w:rPr>
      </w:pPr>
      <w:r w:rsidRPr="00A57D5A">
        <w:rPr>
          <w:rFonts w:ascii="Times New Roman Bold" w:hAnsi="Times New Roman Bold" w:cs="Times New Roman Bold"/>
          <w:snapToGrid w:val="0"/>
          <w:kern w:val="22"/>
          <w:lang w:val="fr-FR"/>
        </w:rPr>
        <w:lastRenderedPageBreak/>
        <w:t>B.</w:t>
      </w:r>
      <w:r w:rsidRPr="00A57D5A">
        <w:rPr>
          <w:rFonts w:ascii="Times New Roman Bold" w:hAnsi="Times New Roman Bold" w:cs="Times New Roman Bold"/>
          <w:snapToGrid w:val="0"/>
          <w:kern w:val="22"/>
          <w:lang w:val="fr-FR"/>
        </w:rPr>
        <w:tab/>
      </w:r>
      <w:r w:rsidR="00B07A7D">
        <w:rPr>
          <w:rFonts w:ascii="Times New Roman Bold" w:hAnsi="Times New Roman Bold" w:cs="Times New Roman Bold"/>
          <w:snapToGrid w:val="0"/>
          <w:kern w:val="22"/>
          <w:lang w:val="fr-FR"/>
        </w:rPr>
        <w:t>É</w:t>
      </w:r>
      <w:r w:rsidR="008A4E67">
        <w:rPr>
          <w:rFonts w:ascii="Times New Roman Bold" w:hAnsi="Times New Roman Bold" w:cs="Times New Roman Bold"/>
          <w:snapToGrid w:val="0"/>
          <w:kern w:val="22"/>
          <w:lang w:val="fr-FR"/>
        </w:rPr>
        <w:t>tat d</w:t>
      </w:r>
      <w:r w:rsidR="00B07A7D">
        <w:rPr>
          <w:rFonts w:ascii="Times New Roman Bold" w:hAnsi="Times New Roman Bold" w:cs="Times New Roman Bold"/>
          <w:snapToGrid w:val="0"/>
          <w:kern w:val="22"/>
          <w:lang w:val="fr-FR"/>
        </w:rPr>
        <w:t>’avancement d</w:t>
      </w:r>
      <w:r w:rsidR="008A4E67">
        <w:rPr>
          <w:rFonts w:ascii="Times New Roman Bold" w:hAnsi="Times New Roman Bold" w:cs="Times New Roman Bold"/>
          <w:snapToGrid w:val="0"/>
          <w:kern w:val="22"/>
          <w:lang w:val="fr-FR"/>
        </w:rPr>
        <w:t xml:space="preserve">e la </w:t>
      </w:r>
      <w:r w:rsidR="00B26763" w:rsidRPr="00A57D5A">
        <w:rPr>
          <w:rFonts w:ascii="Times New Roman Bold" w:hAnsi="Times New Roman Bold" w:cs="Times New Roman Bold"/>
          <w:snapToGrid w:val="0"/>
          <w:kern w:val="22"/>
          <w:lang w:val="fr-FR"/>
        </w:rPr>
        <w:t xml:space="preserve">ratification </w:t>
      </w:r>
      <w:r w:rsidR="00A57D5A" w:rsidRPr="00A57D5A">
        <w:rPr>
          <w:rFonts w:ascii="Times New Roman Bold" w:hAnsi="Times New Roman Bold" w:cs="Times New Roman Bold"/>
          <w:snapToGrid w:val="0"/>
          <w:kern w:val="22"/>
          <w:lang w:val="fr-FR"/>
        </w:rPr>
        <w:t>du Protocole de Cartagena</w:t>
      </w:r>
    </w:p>
    <w:p w:rsidR="002154DB" w:rsidRPr="008A4E67" w:rsidRDefault="00B07A7D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 xml:space="preserve">En </w:t>
      </w:r>
      <w:r w:rsidR="008A4E67">
        <w:rPr>
          <w:kern w:val="22"/>
          <w:szCs w:val="22"/>
          <w:lang w:val="fr-FR"/>
        </w:rPr>
        <w:t>mai</w:t>
      </w:r>
      <w:r w:rsidR="006100D1" w:rsidRPr="00A57D5A">
        <w:rPr>
          <w:kern w:val="22"/>
          <w:szCs w:val="22"/>
          <w:lang w:val="fr-FR"/>
        </w:rPr>
        <w:t xml:space="preserve"> </w:t>
      </w:r>
      <w:r w:rsidR="008416B4" w:rsidRPr="00A57D5A">
        <w:rPr>
          <w:kern w:val="22"/>
          <w:szCs w:val="22"/>
          <w:lang w:val="fr-FR"/>
        </w:rPr>
        <w:t>2018</w:t>
      </w:r>
      <w:r w:rsidR="008A4E67">
        <w:rPr>
          <w:kern w:val="22"/>
          <w:szCs w:val="22"/>
          <w:lang w:val="fr-FR"/>
        </w:rPr>
        <w:t>, l</w:t>
      </w:r>
      <w:r w:rsidR="006100D1" w:rsidRPr="00A57D5A">
        <w:rPr>
          <w:kern w:val="22"/>
          <w:szCs w:val="22"/>
          <w:lang w:val="fr-FR"/>
        </w:rPr>
        <w:t xml:space="preserve">e </w:t>
      </w:r>
      <w:r w:rsidR="00A57D5A" w:rsidRPr="00A57D5A">
        <w:rPr>
          <w:kern w:val="22"/>
          <w:szCs w:val="22"/>
          <w:lang w:val="fr-FR"/>
        </w:rPr>
        <w:t>Protocole de Cartagena</w:t>
      </w:r>
      <w:r w:rsidR="006100D1" w:rsidRPr="00A57D5A">
        <w:rPr>
          <w:kern w:val="22"/>
          <w:szCs w:val="22"/>
          <w:lang w:val="fr-FR"/>
        </w:rPr>
        <w:t xml:space="preserve"> </w:t>
      </w:r>
      <w:r w:rsidR="00A57D5A" w:rsidRPr="00A57D5A">
        <w:rPr>
          <w:kern w:val="22"/>
          <w:szCs w:val="22"/>
          <w:lang w:val="fr-FR"/>
        </w:rPr>
        <w:t>sur la prévention des risques biotechnologiques</w:t>
      </w:r>
      <w:r w:rsidR="008A4E67">
        <w:rPr>
          <w:kern w:val="22"/>
          <w:szCs w:val="22"/>
          <w:lang w:val="fr-FR"/>
        </w:rPr>
        <w:t xml:space="preserve"> comptait </w:t>
      </w:r>
      <w:r w:rsidR="006803CF" w:rsidRPr="00A57D5A">
        <w:rPr>
          <w:kern w:val="22"/>
          <w:szCs w:val="22"/>
          <w:lang w:val="fr-FR"/>
        </w:rPr>
        <w:t xml:space="preserve">171 Parties. </w:t>
      </w:r>
      <w:r>
        <w:rPr>
          <w:kern w:val="22"/>
          <w:szCs w:val="22"/>
          <w:lang w:val="fr-FR"/>
        </w:rPr>
        <w:t xml:space="preserve">Au total, </w:t>
      </w:r>
      <w:r w:rsidR="008A4E67">
        <w:rPr>
          <w:kern w:val="22"/>
          <w:szCs w:val="22"/>
          <w:lang w:val="fr-FR"/>
        </w:rPr>
        <w:t xml:space="preserve">25 Parties à la Convention ne sont pas </w:t>
      </w:r>
      <w:r w:rsidR="006803CF" w:rsidRPr="008A4E67">
        <w:rPr>
          <w:kern w:val="22"/>
          <w:szCs w:val="22"/>
          <w:lang w:val="fr-FR"/>
        </w:rPr>
        <w:t xml:space="preserve">Parties </w:t>
      </w:r>
      <w:r w:rsidR="00A57D5A" w:rsidRPr="008A4E67">
        <w:rPr>
          <w:kern w:val="22"/>
          <w:szCs w:val="22"/>
          <w:lang w:val="fr-FR"/>
        </w:rPr>
        <w:t>au Protocole de Cartagena</w:t>
      </w:r>
      <w:r w:rsidR="00C1704F" w:rsidRPr="00385560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3"/>
      </w:r>
      <w:r w:rsidR="008A4E67" w:rsidRPr="008A4E67">
        <w:rPr>
          <w:kern w:val="22"/>
          <w:szCs w:val="22"/>
          <w:lang w:val="fr-FR"/>
        </w:rPr>
        <w:t>.</w:t>
      </w:r>
      <w:r w:rsidR="006803CF" w:rsidRPr="008A4E67">
        <w:rPr>
          <w:kern w:val="22"/>
          <w:szCs w:val="22"/>
          <w:lang w:val="fr-FR"/>
        </w:rPr>
        <w:t xml:space="preserve"> </w:t>
      </w:r>
      <w:r w:rsidR="008A4E67">
        <w:rPr>
          <w:kern w:val="22"/>
          <w:szCs w:val="22"/>
          <w:lang w:val="fr-FR"/>
        </w:rPr>
        <w:t xml:space="preserve">La plupart de ces Parties se trouvent dans la région </w:t>
      </w:r>
      <w:r>
        <w:rPr>
          <w:kern w:val="22"/>
          <w:szCs w:val="22"/>
          <w:lang w:val="fr-FR"/>
        </w:rPr>
        <w:t>Asie-</w:t>
      </w:r>
      <w:r w:rsidR="008A4E67">
        <w:rPr>
          <w:kern w:val="22"/>
          <w:szCs w:val="22"/>
          <w:lang w:val="fr-FR"/>
        </w:rPr>
        <w:t>Pacifique</w:t>
      </w:r>
      <w:r w:rsidR="002154DB" w:rsidRPr="008A4E67">
        <w:rPr>
          <w:kern w:val="22"/>
          <w:szCs w:val="22"/>
          <w:lang w:val="fr-FR"/>
        </w:rPr>
        <w:t xml:space="preserve"> </w:t>
      </w:r>
      <w:r w:rsidR="008A4E67">
        <w:rPr>
          <w:kern w:val="22"/>
          <w:szCs w:val="22"/>
          <w:lang w:val="fr-FR"/>
        </w:rPr>
        <w:t>(8 pay</w:t>
      </w:r>
      <w:r w:rsidR="00C1704F" w:rsidRPr="008A4E67">
        <w:rPr>
          <w:kern w:val="22"/>
          <w:szCs w:val="22"/>
          <w:lang w:val="fr-FR"/>
        </w:rPr>
        <w:t>s)</w:t>
      </w:r>
      <w:r>
        <w:rPr>
          <w:kern w:val="22"/>
          <w:szCs w:val="22"/>
          <w:lang w:val="fr-FR"/>
        </w:rPr>
        <w:t xml:space="preserve"> et le Groupe des Etats </w:t>
      </w:r>
      <w:r w:rsidR="008A4E67">
        <w:rPr>
          <w:kern w:val="22"/>
          <w:szCs w:val="22"/>
          <w:lang w:val="fr-FR"/>
        </w:rPr>
        <w:t>d’Europe occidentale et autres Etats</w:t>
      </w:r>
      <w:r w:rsidR="006100D1" w:rsidRPr="008A4E67">
        <w:rPr>
          <w:kern w:val="22"/>
          <w:szCs w:val="22"/>
          <w:lang w:val="fr-FR"/>
        </w:rPr>
        <w:t xml:space="preserve"> (</w:t>
      </w:r>
      <w:r w:rsidR="008A4E67">
        <w:rPr>
          <w:kern w:val="22"/>
          <w:szCs w:val="22"/>
          <w:lang w:val="fr-FR"/>
        </w:rPr>
        <w:t>7 pays</w:t>
      </w:r>
      <w:r w:rsidR="006100D1" w:rsidRPr="008A4E67">
        <w:rPr>
          <w:kern w:val="22"/>
          <w:szCs w:val="22"/>
          <w:lang w:val="fr-FR"/>
        </w:rPr>
        <w:t>)</w:t>
      </w:r>
      <w:r w:rsidR="0065770C" w:rsidRPr="008A4E67">
        <w:rPr>
          <w:kern w:val="22"/>
          <w:szCs w:val="22"/>
          <w:lang w:val="fr-FR"/>
        </w:rPr>
        <w:t>.</w:t>
      </w:r>
    </w:p>
    <w:p w:rsidR="0065770C" w:rsidRPr="00B523B9" w:rsidRDefault="00B523B9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Au cours des récentes années, les progrè</w:t>
      </w:r>
      <w:r w:rsidR="00B07A7D">
        <w:rPr>
          <w:kern w:val="22"/>
          <w:szCs w:val="22"/>
          <w:lang w:val="fr-FR"/>
        </w:rPr>
        <w:t>s accomplis par les pays en termes de ratification ou d</w:t>
      </w:r>
      <w:r>
        <w:rPr>
          <w:kern w:val="22"/>
          <w:szCs w:val="22"/>
          <w:lang w:val="fr-FR"/>
        </w:rPr>
        <w:t xml:space="preserve">’adhésion </w:t>
      </w:r>
      <w:r w:rsidR="00A57D5A" w:rsidRPr="00B523B9">
        <w:rPr>
          <w:kern w:val="22"/>
          <w:szCs w:val="22"/>
          <w:lang w:val="fr-FR"/>
        </w:rPr>
        <w:t>au Protocole de Cartagena</w:t>
      </w:r>
      <w:r w:rsidR="0065770C" w:rsidRPr="00B523B9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 xml:space="preserve">ont été limités, et le nombre de nouvelles </w:t>
      </w:r>
      <w:r w:rsidR="00475CE3" w:rsidRPr="00B523B9">
        <w:rPr>
          <w:kern w:val="22"/>
          <w:szCs w:val="22"/>
          <w:lang w:val="fr-FR"/>
        </w:rPr>
        <w:t xml:space="preserve">ratifications </w:t>
      </w:r>
      <w:r>
        <w:rPr>
          <w:kern w:val="22"/>
          <w:szCs w:val="22"/>
          <w:lang w:val="fr-FR"/>
        </w:rPr>
        <w:t>a été très faible : 2 </w:t>
      </w:r>
      <w:r w:rsidR="00475CE3" w:rsidRPr="00B523B9">
        <w:rPr>
          <w:kern w:val="22"/>
          <w:szCs w:val="22"/>
          <w:lang w:val="fr-FR"/>
        </w:rPr>
        <w:t>P</w:t>
      </w:r>
      <w:r>
        <w:rPr>
          <w:kern w:val="22"/>
          <w:szCs w:val="22"/>
          <w:lang w:val="fr-FR"/>
        </w:rPr>
        <w:t>arties en 2013; 2 Parties e</w:t>
      </w:r>
      <w:r w:rsidR="00475CE3" w:rsidRPr="00B523B9">
        <w:rPr>
          <w:kern w:val="22"/>
          <w:szCs w:val="22"/>
          <w:lang w:val="fr-FR"/>
        </w:rPr>
        <w:t>n 2014; 2</w:t>
      </w:r>
      <w:r w:rsidR="00B46C93" w:rsidRPr="00B523B9">
        <w:rPr>
          <w:kern w:val="22"/>
          <w:szCs w:val="22"/>
          <w:lang w:val="fr-FR"/>
        </w:rPr>
        <w:t> </w:t>
      </w:r>
      <w:r>
        <w:rPr>
          <w:kern w:val="22"/>
          <w:szCs w:val="22"/>
          <w:lang w:val="fr-FR"/>
        </w:rPr>
        <w:t>Parties en 2015; aucune Partie e</w:t>
      </w:r>
      <w:r w:rsidR="00475CE3" w:rsidRPr="00B523B9">
        <w:rPr>
          <w:kern w:val="22"/>
          <w:szCs w:val="22"/>
          <w:lang w:val="fr-FR"/>
        </w:rPr>
        <w:t>n 2016;</w:t>
      </w:r>
      <w:r w:rsidR="00A57D5A" w:rsidRPr="00B523B9">
        <w:rPr>
          <w:kern w:val="22"/>
          <w:szCs w:val="22"/>
          <w:lang w:val="fr-FR"/>
        </w:rPr>
        <w:t xml:space="preserve"> et </w:t>
      </w:r>
      <w:r>
        <w:rPr>
          <w:kern w:val="22"/>
          <w:szCs w:val="22"/>
          <w:lang w:val="fr-FR"/>
        </w:rPr>
        <w:t>1 Partie e</w:t>
      </w:r>
      <w:r w:rsidR="00475CE3" w:rsidRPr="00B523B9">
        <w:rPr>
          <w:kern w:val="22"/>
          <w:szCs w:val="22"/>
          <w:lang w:val="fr-FR"/>
        </w:rPr>
        <w:t>n 2017.</w:t>
      </w:r>
    </w:p>
    <w:p w:rsidR="009029A0" w:rsidRPr="00B523B9" w:rsidRDefault="00B07A7D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Comme souligné</w:t>
      </w:r>
      <w:r w:rsidR="00B523B9">
        <w:rPr>
          <w:kern w:val="22"/>
          <w:szCs w:val="22"/>
          <w:lang w:val="fr-FR"/>
        </w:rPr>
        <w:t xml:space="preserve"> dans plusieurs </w:t>
      </w:r>
      <w:r w:rsidR="00A57D5A" w:rsidRPr="00B523B9">
        <w:rPr>
          <w:kern w:val="22"/>
          <w:szCs w:val="22"/>
          <w:lang w:val="fr-FR"/>
        </w:rPr>
        <w:t>décision</w:t>
      </w:r>
      <w:r w:rsidR="00F93258" w:rsidRPr="00B523B9">
        <w:rPr>
          <w:kern w:val="22"/>
          <w:szCs w:val="22"/>
          <w:lang w:val="fr-FR"/>
        </w:rPr>
        <w:t>s</w:t>
      </w:r>
      <w:r w:rsidR="00365E9D" w:rsidRPr="00B523B9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 xml:space="preserve">une </w:t>
      </w:r>
      <w:r w:rsidR="00FC6D52" w:rsidRPr="00B523B9">
        <w:rPr>
          <w:kern w:val="22"/>
          <w:szCs w:val="22"/>
          <w:lang w:val="fr-FR"/>
        </w:rPr>
        <w:t>assistance</w:t>
      </w:r>
      <w:r w:rsidR="00B523B9">
        <w:rPr>
          <w:kern w:val="22"/>
          <w:szCs w:val="22"/>
          <w:lang w:val="fr-FR"/>
        </w:rPr>
        <w:t xml:space="preserve"> technique</w:t>
      </w:r>
      <w:r w:rsidR="0041618C" w:rsidRPr="00B523B9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>un</w:t>
      </w:r>
      <w:r w:rsidR="000867CA" w:rsidRPr="00B523B9">
        <w:rPr>
          <w:kern w:val="22"/>
          <w:szCs w:val="22"/>
          <w:lang w:val="fr-FR"/>
        </w:rPr>
        <w:t xml:space="preserve"> renforcement des capacités</w:t>
      </w:r>
      <w:r w:rsidR="00A57D5A" w:rsidRPr="00B523B9">
        <w:rPr>
          <w:kern w:val="22"/>
          <w:szCs w:val="22"/>
          <w:lang w:val="fr-FR"/>
        </w:rPr>
        <w:t xml:space="preserve"> et </w:t>
      </w:r>
      <w:r w:rsidR="00B523B9">
        <w:rPr>
          <w:kern w:val="22"/>
          <w:szCs w:val="22"/>
          <w:lang w:val="fr-FR"/>
        </w:rPr>
        <w:t>de</w:t>
      </w:r>
      <w:r>
        <w:rPr>
          <w:kern w:val="22"/>
          <w:szCs w:val="22"/>
          <w:lang w:val="fr-FR"/>
        </w:rPr>
        <w:t>s</w:t>
      </w:r>
      <w:r w:rsidR="00B523B9">
        <w:rPr>
          <w:kern w:val="22"/>
          <w:szCs w:val="22"/>
          <w:lang w:val="fr-FR"/>
        </w:rPr>
        <w:t xml:space="preserve"> ressources financières</w:t>
      </w:r>
      <w:r w:rsidR="00A2169A" w:rsidRPr="00B523B9">
        <w:rPr>
          <w:kern w:val="22"/>
          <w:szCs w:val="22"/>
          <w:lang w:val="fr-FR"/>
        </w:rPr>
        <w:t xml:space="preserve"> </w:t>
      </w:r>
      <w:r>
        <w:rPr>
          <w:kern w:val="22"/>
          <w:szCs w:val="22"/>
          <w:lang w:val="fr-FR"/>
        </w:rPr>
        <w:t>supplémentaires sont nécessair</w:t>
      </w:r>
      <w:r w:rsidR="00B523B9">
        <w:rPr>
          <w:kern w:val="22"/>
          <w:szCs w:val="22"/>
          <w:lang w:val="fr-FR"/>
        </w:rPr>
        <w:t xml:space="preserve">es pour appuyer la </w:t>
      </w:r>
      <w:r w:rsidR="006F6F44" w:rsidRPr="00B523B9">
        <w:rPr>
          <w:kern w:val="22"/>
          <w:szCs w:val="22"/>
          <w:lang w:val="fr-FR"/>
        </w:rPr>
        <w:t>ratification</w:t>
      </w:r>
      <w:r w:rsidR="00A57D5A" w:rsidRPr="00B523B9">
        <w:rPr>
          <w:kern w:val="22"/>
          <w:szCs w:val="22"/>
          <w:lang w:val="fr-FR"/>
        </w:rPr>
        <w:t xml:space="preserve"> et </w:t>
      </w:r>
      <w:r w:rsidR="00B523B9">
        <w:rPr>
          <w:kern w:val="22"/>
          <w:szCs w:val="22"/>
          <w:lang w:val="fr-FR"/>
        </w:rPr>
        <w:t>l’application</w:t>
      </w:r>
      <w:r w:rsidR="00B26763" w:rsidRPr="00B523B9">
        <w:rPr>
          <w:kern w:val="22"/>
          <w:szCs w:val="22"/>
          <w:lang w:val="fr-FR"/>
        </w:rPr>
        <w:t xml:space="preserve"> </w:t>
      </w:r>
      <w:r w:rsidR="00A57D5A" w:rsidRPr="00B523B9">
        <w:rPr>
          <w:kern w:val="22"/>
          <w:szCs w:val="22"/>
          <w:lang w:val="fr-FR"/>
        </w:rPr>
        <w:t>du Protocole de Cartagena</w:t>
      </w:r>
      <w:r w:rsidR="006F6F44" w:rsidRPr="00B523B9">
        <w:rPr>
          <w:kern w:val="22"/>
          <w:szCs w:val="22"/>
          <w:lang w:val="fr-FR"/>
        </w:rPr>
        <w:t>.</w:t>
      </w:r>
    </w:p>
    <w:p w:rsidR="00B26763" w:rsidRPr="00B523B9" w:rsidRDefault="00B523B9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 w:rsidRPr="00B523B9">
        <w:rPr>
          <w:kern w:val="22"/>
          <w:lang w:val="fr-FR"/>
        </w:rPr>
        <w:t>Cependant</w:t>
      </w:r>
      <w:r w:rsidR="00C1704F" w:rsidRPr="00B523B9">
        <w:rPr>
          <w:kern w:val="22"/>
          <w:lang w:val="fr-FR"/>
        </w:rPr>
        <w:t xml:space="preserve">, </w:t>
      </w:r>
      <w:r>
        <w:rPr>
          <w:kern w:val="22"/>
          <w:lang w:val="fr-FR"/>
        </w:rPr>
        <w:t>un certain nombre de Parties à la</w:t>
      </w:r>
      <w:r w:rsidR="00A42832" w:rsidRPr="00B523B9">
        <w:rPr>
          <w:kern w:val="22"/>
          <w:lang w:val="fr-FR"/>
        </w:rPr>
        <w:t xml:space="preserve"> Convention </w:t>
      </w:r>
      <w:r>
        <w:rPr>
          <w:kern w:val="22"/>
          <w:lang w:val="fr-FR"/>
        </w:rPr>
        <w:t>qui ne sont pas Parties</w:t>
      </w:r>
      <w:r w:rsidR="004D2396" w:rsidRPr="00B523B9">
        <w:rPr>
          <w:kern w:val="22"/>
          <w:lang w:val="fr-FR"/>
        </w:rPr>
        <w:t xml:space="preserve"> </w:t>
      </w:r>
      <w:r w:rsidR="00A57D5A" w:rsidRPr="00B523B9">
        <w:rPr>
          <w:kern w:val="22"/>
          <w:lang w:val="fr-FR"/>
        </w:rPr>
        <w:t>au Protocole de Cartagena</w:t>
      </w:r>
      <w:r w:rsidR="00B531F0">
        <w:rPr>
          <w:kern w:val="22"/>
          <w:lang w:val="fr-FR"/>
        </w:rPr>
        <w:t xml:space="preserve"> disposent déjà de mesures qui régissent</w:t>
      </w:r>
      <w:r>
        <w:rPr>
          <w:kern w:val="22"/>
          <w:lang w:val="fr-FR"/>
        </w:rPr>
        <w:t xml:space="preserve"> </w:t>
      </w:r>
      <w:r w:rsidR="00A57D5A" w:rsidRPr="00B523B9">
        <w:rPr>
          <w:kern w:val="22"/>
          <w:lang w:val="fr-FR"/>
        </w:rPr>
        <w:t>la prévention des risques biotechnologiques</w:t>
      </w:r>
      <w:r w:rsidR="00A42832" w:rsidRPr="00B523B9">
        <w:rPr>
          <w:kern w:val="22"/>
          <w:lang w:val="fr-FR"/>
        </w:rPr>
        <w:t xml:space="preserve">. </w:t>
      </w:r>
      <w:r w:rsidR="00B07A7D">
        <w:rPr>
          <w:kern w:val="22"/>
          <w:lang w:val="fr-FR"/>
        </w:rPr>
        <w:t xml:space="preserve">Nombre de ces Parties </w:t>
      </w:r>
      <w:r w:rsidR="00B531F0">
        <w:rPr>
          <w:kern w:val="22"/>
          <w:lang w:val="fr-FR"/>
        </w:rPr>
        <w:t>ont pris des mesures sur la</w:t>
      </w:r>
      <w:r w:rsidR="00A57D5A" w:rsidRPr="00B523B9">
        <w:rPr>
          <w:kern w:val="22"/>
          <w:lang w:val="fr-FR"/>
        </w:rPr>
        <w:t xml:space="preserve"> prévention des risques biotechnologiques</w:t>
      </w:r>
      <w:r>
        <w:rPr>
          <w:kern w:val="22"/>
          <w:lang w:val="fr-FR"/>
        </w:rPr>
        <w:t xml:space="preserve">, appliquant </w:t>
      </w:r>
      <w:r w:rsidR="00B531F0">
        <w:rPr>
          <w:kern w:val="22"/>
          <w:lang w:val="fr-FR"/>
        </w:rPr>
        <w:t xml:space="preserve">ainsi </w:t>
      </w:r>
      <w:r w:rsidR="00B531F0" w:rsidRPr="00B531F0">
        <w:rPr>
          <w:i/>
          <w:kern w:val="22"/>
          <w:lang w:val="fr-FR"/>
        </w:rPr>
        <w:t>de facto</w:t>
      </w:r>
      <w:r>
        <w:rPr>
          <w:kern w:val="22"/>
          <w:lang w:val="fr-FR"/>
        </w:rPr>
        <w:t xml:space="preserve"> le</w:t>
      </w:r>
      <w:r w:rsidR="00B26763" w:rsidRPr="00B523B9">
        <w:rPr>
          <w:kern w:val="22"/>
          <w:lang w:val="fr-FR"/>
        </w:rPr>
        <w:t xml:space="preserve"> </w:t>
      </w:r>
      <w:r w:rsidR="00A57D5A" w:rsidRPr="00B523B9">
        <w:rPr>
          <w:kern w:val="22"/>
          <w:lang w:val="fr-FR"/>
        </w:rPr>
        <w:t>Protocole de Cartagena</w:t>
      </w:r>
      <w:r w:rsidR="00E637DB" w:rsidRPr="00B523B9">
        <w:rPr>
          <w:kern w:val="22"/>
          <w:lang w:val="fr-FR"/>
        </w:rPr>
        <w:t>,</w:t>
      </w:r>
      <w:r w:rsidR="00A57D5A" w:rsidRPr="00B523B9">
        <w:rPr>
          <w:kern w:val="22"/>
          <w:lang w:val="fr-FR"/>
        </w:rPr>
        <w:t xml:space="preserve"> et </w:t>
      </w:r>
      <w:r w:rsidR="00B531F0">
        <w:rPr>
          <w:kern w:val="22"/>
          <w:lang w:val="fr-FR"/>
        </w:rPr>
        <w:t xml:space="preserve">ont diffusé </w:t>
      </w:r>
      <w:r>
        <w:rPr>
          <w:kern w:val="22"/>
          <w:lang w:val="fr-FR"/>
        </w:rPr>
        <w:t>des</w:t>
      </w:r>
      <w:r w:rsidR="00B26763" w:rsidRPr="00B523B9">
        <w:rPr>
          <w:kern w:val="22"/>
          <w:lang w:val="fr-FR"/>
        </w:rPr>
        <w:t xml:space="preserve"> information</w:t>
      </w:r>
      <w:r w:rsidR="00B531F0">
        <w:rPr>
          <w:kern w:val="22"/>
          <w:lang w:val="fr-FR"/>
        </w:rPr>
        <w:t>s à ce sujet, comme</w:t>
      </w:r>
      <w:r>
        <w:rPr>
          <w:kern w:val="22"/>
          <w:lang w:val="fr-FR"/>
        </w:rPr>
        <w:t xml:space="preserve"> la création de structures</w:t>
      </w:r>
      <w:r w:rsidR="00174CC9" w:rsidRPr="00B523B9">
        <w:rPr>
          <w:kern w:val="22"/>
          <w:lang w:val="fr-FR"/>
        </w:rPr>
        <w:t xml:space="preserve"> </w:t>
      </w:r>
      <w:r>
        <w:rPr>
          <w:kern w:val="22"/>
          <w:lang w:val="fr-FR"/>
        </w:rPr>
        <w:t>institutionnelles</w:t>
      </w:r>
      <w:r w:rsidR="00B531F0">
        <w:rPr>
          <w:kern w:val="22"/>
          <w:lang w:val="fr-FR"/>
        </w:rPr>
        <w:t>,</w:t>
      </w:r>
      <w:r>
        <w:rPr>
          <w:kern w:val="22"/>
          <w:lang w:val="fr-FR"/>
        </w:rPr>
        <w:t xml:space="preserve"> ou l’élaboration ou </w:t>
      </w:r>
      <w:r w:rsidR="00B531F0">
        <w:rPr>
          <w:kern w:val="22"/>
          <w:lang w:val="fr-FR"/>
        </w:rPr>
        <w:t>la révision des</w:t>
      </w:r>
      <w:r>
        <w:rPr>
          <w:kern w:val="22"/>
          <w:lang w:val="fr-FR"/>
        </w:rPr>
        <w:t xml:space="preserve"> mesures nationales sur la </w:t>
      </w:r>
      <w:r w:rsidR="00A57D5A" w:rsidRPr="00B523B9">
        <w:rPr>
          <w:kern w:val="22"/>
          <w:lang w:val="fr-FR"/>
        </w:rPr>
        <w:t>prévention des risques biotechnologiques</w:t>
      </w:r>
      <w:r w:rsidR="00B26763" w:rsidRPr="00B523B9">
        <w:rPr>
          <w:kern w:val="22"/>
          <w:lang w:val="fr-FR"/>
        </w:rPr>
        <w:t xml:space="preserve">, </w:t>
      </w:r>
      <w:r w:rsidR="00B531F0">
        <w:rPr>
          <w:kern w:val="22"/>
          <w:lang w:val="fr-FR"/>
        </w:rPr>
        <w:t>dans leurs</w:t>
      </w:r>
      <w:r>
        <w:rPr>
          <w:kern w:val="22"/>
          <w:lang w:val="fr-FR"/>
        </w:rPr>
        <w:t xml:space="preserve"> </w:t>
      </w:r>
      <w:r w:rsidR="00A57D5A" w:rsidRPr="00B523B9">
        <w:rPr>
          <w:kern w:val="22"/>
          <w:lang w:val="fr-FR"/>
        </w:rPr>
        <w:t>SPANB</w:t>
      </w:r>
      <w:r>
        <w:rPr>
          <w:kern w:val="22"/>
          <w:lang w:val="fr-FR"/>
        </w:rPr>
        <w:t xml:space="preserve"> et/ou </w:t>
      </w:r>
      <w:r w:rsidR="00B531F0">
        <w:rPr>
          <w:kern w:val="22"/>
          <w:lang w:val="fr-FR"/>
        </w:rPr>
        <w:t xml:space="preserve">par le biais </w:t>
      </w:r>
      <w:r>
        <w:rPr>
          <w:kern w:val="22"/>
          <w:lang w:val="fr-FR"/>
        </w:rPr>
        <w:t>du</w:t>
      </w:r>
      <w:r w:rsidR="00B26763" w:rsidRPr="00B523B9">
        <w:rPr>
          <w:kern w:val="22"/>
          <w:lang w:val="fr-FR"/>
        </w:rPr>
        <w:t xml:space="preserve"> </w:t>
      </w:r>
      <w:hyperlink r:id="rId17" w:history="1">
        <w:r w:rsidR="00B531F0">
          <w:rPr>
            <w:rStyle w:val="Hyperlink"/>
            <w:kern w:val="22"/>
            <w:lang w:val="fr-FR"/>
          </w:rPr>
          <w:t>Centre d’échange po</w:t>
        </w:r>
        <w:r>
          <w:rPr>
            <w:rStyle w:val="Hyperlink"/>
            <w:kern w:val="22"/>
            <w:lang w:val="fr-FR"/>
          </w:rPr>
          <w:t>ur l</w:t>
        </w:r>
        <w:r w:rsidR="00A57D5A" w:rsidRPr="00B523B9">
          <w:rPr>
            <w:rStyle w:val="Hyperlink"/>
            <w:kern w:val="22"/>
            <w:lang w:val="fr-FR"/>
          </w:rPr>
          <w:t>a préventi</w:t>
        </w:r>
        <w:r>
          <w:rPr>
            <w:rStyle w:val="Hyperlink"/>
            <w:kern w:val="22"/>
            <w:lang w:val="fr-FR"/>
          </w:rPr>
          <w:t>on des risques biotechnologiqu</w:t>
        </w:r>
        <w:r w:rsidR="00B26763" w:rsidRPr="00B523B9">
          <w:rPr>
            <w:rStyle w:val="Hyperlink"/>
            <w:kern w:val="22"/>
            <w:lang w:val="fr-FR"/>
          </w:rPr>
          <w:t>e</w:t>
        </w:r>
      </w:hyperlink>
      <w:r w:rsidRPr="00B523B9">
        <w:rPr>
          <w:rStyle w:val="Hyperlink"/>
          <w:kern w:val="22"/>
          <w:lang w:val="fr-FR"/>
        </w:rPr>
        <w:t>s</w:t>
      </w:r>
      <w:r w:rsidR="00B26763" w:rsidRPr="00B523B9">
        <w:rPr>
          <w:kern w:val="22"/>
          <w:lang w:val="fr-FR"/>
        </w:rPr>
        <w:t>.</w:t>
      </w:r>
    </w:p>
    <w:p w:rsidR="00226406" w:rsidRPr="00B523B9" w:rsidRDefault="00B523B9" w:rsidP="00B523B9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rPr>
          <w:kern w:val="22"/>
          <w:lang w:val="fr-FR"/>
        </w:rPr>
      </w:pPr>
      <w:r>
        <w:rPr>
          <w:kern w:val="22"/>
          <w:lang w:val="fr-FR"/>
        </w:rPr>
        <w:t>D’autre part</w:t>
      </w:r>
      <w:r w:rsidR="00525039" w:rsidRPr="00B523B9">
        <w:rPr>
          <w:kern w:val="22"/>
          <w:lang w:val="fr-FR"/>
        </w:rPr>
        <w:t>,</w:t>
      </w:r>
      <w:r w:rsidR="009029A0" w:rsidRPr="00B523B9">
        <w:rPr>
          <w:kern w:val="22"/>
          <w:lang w:val="fr-FR"/>
        </w:rPr>
        <w:t xml:space="preserve"> </w:t>
      </w:r>
      <w:r>
        <w:rPr>
          <w:kern w:val="22"/>
          <w:lang w:val="fr-FR"/>
        </w:rPr>
        <w:t xml:space="preserve">les </w:t>
      </w:r>
      <w:r w:rsidR="009029A0" w:rsidRPr="00B523B9">
        <w:rPr>
          <w:kern w:val="22"/>
          <w:lang w:val="fr-FR"/>
        </w:rPr>
        <w:t>Parties</w:t>
      </w:r>
      <w:r>
        <w:rPr>
          <w:kern w:val="22"/>
          <w:lang w:val="fr-FR"/>
        </w:rPr>
        <w:t xml:space="preserve"> à la</w:t>
      </w:r>
      <w:r w:rsidR="00A42832" w:rsidRPr="00B523B9">
        <w:rPr>
          <w:kern w:val="22"/>
          <w:lang w:val="fr-FR"/>
        </w:rPr>
        <w:t xml:space="preserve"> Convention</w:t>
      </w:r>
      <w:r>
        <w:rPr>
          <w:kern w:val="22"/>
          <w:lang w:val="fr-FR"/>
        </w:rPr>
        <w:t xml:space="preserve"> qui ne sont pas Parties</w:t>
      </w:r>
      <w:r w:rsidR="00DB2CC6" w:rsidRPr="00B523B9">
        <w:rPr>
          <w:kern w:val="22"/>
          <w:lang w:val="fr-FR"/>
        </w:rPr>
        <w:t xml:space="preserve"> </w:t>
      </w:r>
      <w:r w:rsidR="00A57D5A" w:rsidRPr="00B523B9">
        <w:rPr>
          <w:kern w:val="22"/>
          <w:lang w:val="fr-FR"/>
        </w:rPr>
        <w:t>au Protocole de Cartagena</w:t>
      </w:r>
      <w:r w:rsidR="00525039" w:rsidRPr="00B523B9">
        <w:rPr>
          <w:kern w:val="22"/>
          <w:lang w:val="fr-FR"/>
        </w:rPr>
        <w:t xml:space="preserve"> </w:t>
      </w:r>
      <w:r w:rsidR="00B531F0">
        <w:rPr>
          <w:kern w:val="22"/>
          <w:lang w:val="fr-FR"/>
        </w:rPr>
        <w:t>doivent</w:t>
      </w:r>
      <w:r>
        <w:rPr>
          <w:kern w:val="22"/>
          <w:lang w:val="fr-FR"/>
        </w:rPr>
        <w:t xml:space="preserve"> s’acquitter de leurs obligations </w:t>
      </w:r>
      <w:r w:rsidR="00B531F0">
        <w:rPr>
          <w:kern w:val="22"/>
          <w:lang w:val="fr-FR"/>
        </w:rPr>
        <w:t>au titre de la Convention en matière de p</w:t>
      </w:r>
      <w:r w:rsidR="00A57D5A" w:rsidRPr="00B523B9">
        <w:rPr>
          <w:kern w:val="22"/>
          <w:lang w:val="fr-FR"/>
        </w:rPr>
        <w:t>révention des risques biotechnologiques</w:t>
      </w:r>
      <w:r w:rsidR="00525039" w:rsidRPr="00B523B9">
        <w:rPr>
          <w:kern w:val="22"/>
          <w:lang w:val="fr-FR"/>
        </w:rPr>
        <w:t>,</w:t>
      </w:r>
      <w:r w:rsidR="009029A0" w:rsidRPr="00B523B9">
        <w:rPr>
          <w:kern w:val="22"/>
          <w:lang w:val="fr-FR"/>
        </w:rPr>
        <w:t xml:space="preserve"> </w:t>
      </w:r>
      <w:r w:rsidR="00B531F0">
        <w:rPr>
          <w:kern w:val="22"/>
          <w:lang w:val="fr-FR"/>
        </w:rPr>
        <w:t>notamment</w:t>
      </w:r>
      <w:r w:rsidR="00012364" w:rsidRPr="00B523B9">
        <w:rPr>
          <w:kern w:val="22"/>
          <w:lang w:val="fr-FR"/>
        </w:rPr>
        <w:t xml:space="preserve"> </w:t>
      </w:r>
      <w:r w:rsidR="00B531F0">
        <w:rPr>
          <w:kern w:val="22"/>
          <w:lang w:val="fr-FR"/>
        </w:rPr>
        <w:t>les obligations énoncé</w:t>
      </w:r>
      <w:r>
        <w:rPr>
          <w:kern w:val="22"/>
          <w:lang w:val="fr-FR"/>
        </w:rPr>
        <w:t>es à l’a</w:t>
      </w:r>
      <w:r w:rsidR="00226406" w:rsidRPr="00B523B9">
        <w:rPr>
          <w:kern w:val="22"/>
          <w:lang w:val="fr-FR"/>
        </w:rPr>
        <w:t xml:space="preserve">rticle </w:t>
      </w:r>
      <w:r w:rsidR="00A42832" w:rsidRPr="00B523B9">
        <w:rPr>
          <w:kern w:val="22"/>
          <w:lang w:val="fr-FR"/>
        </w:rPr>
        <w:t>8</w:t>
      </w:r>
      <w:r>
        <w:rPr>
          <w:kern w:val="22"/>
          <w:lang w:val="fr-FR"/>
        </w:rPr>
        <w:t xml:space="preserve"> </w:t>
      </w:r>
      <w:r w:rsidR="00A42832" w:rsidRPr="00B523B9">
        <w:rPr>
          <w:kern w:val="22"/>
          <w:lang w:val="fr-FR"/>
        </w:rPr>
        <w:t>g</w:t>
      </w:r>
      <w:r w:rsidR="00226406" w:rsidRPr="00B523B9">
        <w:rPr>
          <w:kern w:val="22"/>
          <w:lang w:val="fr-FR"/>
        </w:rPr>
        <w:t>)</w:t>
      </w:r>
      <w:r w:rsidR="00A57D5A" w:rsidRPr="00B523B9">
        <w:rPr>
          <w:kern w:val="22"/>
          <w:lang w:val="fr-FR"/>
        </w:rPr>
        <w:t xml:space="preserve"> et </w:t>
      </w:r>
      <w:r>
        <w:rPr>
          <w:kern w:val="22"/>
          <w:lang w:val="fr-FR"/>
        </w:rPr>
        <w:t xml:space="preserve">au paragraphe 4 de l’article </w:t>
      </w:r>
      <w:r w:rsidR="00A42832" w:rsidRPr="00B523B9">
        <w:rPr>
          <w:kern w:val="22"/>
          <w:lang w:val="fr-FR"/>
        </w:rPr>
        <w:t>19</w:t>
      </w:r>
      <w:r w:rsidR="003E16AD" w:rsidRPr="00B523B9">
        <w:rPr>
          <w:kern w:val="22"/>
          <w:lang w:val="fr-FR"/>
        </w:rPr>
        <w:t>.</w:t>
      </w:r>
    </w:p>
    <w:p w:rsidR="0036390F" w:rsidRPr="00B523B9" w:rsidRDefault="002B40D2" w:rsidP="00385560">
      <w:pPr>
        <w:pStyle w:val="Heading2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1152" w:hanging="432"/>
        <w:jc w:val="left"/>
        <w:rPr>
          <w:snapToGrid w:val="0"/>
          <w:kern w:val="22"/>
          <w:lang w:val="fr-FR"/>
        </w:rPr>
      </w:pPr>
      <w:r w:rsidRPr="00B523B9">
        <w:rPr>
          <w:snapToGrid w:val="0"/>
          <w:kern w:val="22"/>
          <w:lang w:val="fr-FR"/>
        </w:rPr>
        <w:t>C.</w:t>
      </w:r>
      <w:r w:rsidRPr="00B523B9">
        <w:rPr>
          <w:snapToGrid w:val="0"/>
          <w:kern w:val="22"/>
          <w:lang w:val="fr-FR"/>
        </w:rPr>
        <w:tab/>
      </w:r>
      <w:r w:rsidR="00B523B9">
        <w:rPr>
          <w:snapToGrid w:val="0"/>
          <w:kern w:val="22"/>
          <w:lang w:val="fr-FR"/>
        </w:rPr>
        <w:t>Inté</w:t>
      </w:r>
      <w:r w:rsidR="00B523B9" w:rsidRPr="00B523B9">
        <w:rPr>
          <w:snapToGrid w:val="0"/>
          <w:kern w:val="22"/>
          <w:lang w:val="fr-FR"/>
        </w:rPr>
        <w:t xml:space="preserve">gration des </w:t>
      </w:r>
      <w:r w:rsidR="00B523B9">
        <w:rPr>
          <w:snapToGrid w:val="0"/>
          <w:kern w:val="22"/>
          <w:lang w:val="fr-FR"/>
        </w:rPr>
        <w:t>considé</w:t>
      </w:r>
      <w:r w:rsidR="00B531F0">
        <w:rPr>
          <w:snapToGrid w:val="0"/>
          <w:kern w:val="22"/>
          <w:lang w:val="fr-FR"/>
        </w:rPr>
        <w:t>rations relatives</w:t>
      </w:r>
      <w:r w:rsidR="00B523B9" w:rsidRPr="00B523B9">
        <w:rPr>
          <w:snapToGrid w:val="0"/>
          <w:kern w:val="22"/>
          <w:lang w:val="fr-FR"/>
        </w:rPr>
        <w:t xml:space="preserve"> à la</w:t>
      </w:r>
      <w:r w:rsidR="00A57D5A" w:rsidRPr="00B523B9">
        <w:rPr>
          <w:snapToGrid w:val="0"/>
          <w:kern w:val="22"/>
          <w:lang w:val="fr-FR"/>
        </w:rPr>
        <w:t xml:space="preserve"> prévention des risques biotechnologiques</w:t>
      </w:r>
      <w:r w:rsidR="0036390F" w:rsidRPr="00B523B9">
        <w:rPr>
          <w:snapToGrid w:val="0"/>
          <w:kern w:val="22"/>
          <w:lang w:val="fr-FR"/>
        </w:rPr>
        <w:t xml:space="preserve"> </w:t>
      </w:r>
      <w:r w:rsidR="00B523B9">
        <w:rPr>
          <w:snapToGrid w:val="0"/>
          <w:kern w:val="22"/>
          <w:lang w:val="fr-FR"/>
        </w:rPr>
        <w:t>dans les diffé</w:t>
      </w:r>
      <w:r w:rsidR="00467B6D" w:rsidRPr="00B523B9">
        <w:rPr>
          <w:snapToGrid w:val="0"/>
          <w:kern w:val="22"/>
          <w:lang w:val="fr-FR"/>
        </w:rPr>
        <w:t>rent</w:t>
      </w:r>
      <w:r w:rsidR="00B531F0">
        <w:rPr>
          <w:snapToGrid w:val="0"/>
          <w:kern w:val="22"/>
          <w:lang w:val="fr-FR"/>
        </w:rPr>
        <w:t>s domaines d’intervention</w:t>
      </w:r>
      <w:r w:rsidR="00B523B9">
        <w:rPr>
          <w:snapToGrid w:val="0"/>
          <w:kern w:val="22"/>
          <w:lang w:val="fr-FR"/>
        </w:rPr>
        <w:t xml:space="preserve"> </w:t>
      </w:r>
      <w:r w:rsidR="008A4E67" w:rsidRPr="00B523B9">
        <w:rPr>
          <w:snapToGrid w:val="0"/>
          <w:kern w:val="22"/>
          <w:lang w:val="fr-FR"/>
        </w:rPr>
        <w:t>de</w:t>
      </w:r>
      <w:r w:rsidR="00467B6D" w:rsidRPr="00B523B9">
        <w:rPr>
          <w:snapToGrid w:val="0"/>
          <w:kern w:val="22"/>
          <w:lang w:val="fr-FR"/>
        </w:rPr>
        <w:t xml:space="preserve"> </w:t>
      </w:r>
      <w:r w:rsidR="00B523B9">
        <w:rPr>
          <w:snapToGrid w:val="0"/>
          <w:kern w:val="22"/>
          <w:lang w:val="fr-FR"/>
        </w:rPr>
        <w:t xml:space="preserve">la </w:t>
      </w:r>
      <w:r w:rsidR="0036390F" w:rsidRPr="00B523B9">
        <w:rPr>
          <w:snapToGrid w:val="0"/>
          <w:kern w:val="22"/>
          <w:lang w:val="fr-FR"/>
        </w:rPr>
        <w:t>Convention</w:t>
      </w:r>
      <w:r w:rsidR="00A57D5A" w:rsidRPr="00B523B9">
        <w:rPr>
          <w:snapToGrid w:val="0"/>
          <w:kern w:val="22"/>
          <w:lang w:val="fr-FR"/>
        </w:rPr>
        <w:t xml:space="preserve"> et </w:t>
      </w:r>
      <w:r w:rsidR="00B523B9">
        <w:rPr>
          <w:snapToGrid w:val="0"/>
          <w:kern w:val="22"/>
          <w:lang w:val="fr-FR"/>
        </w:rPr>
        <w:t>activités</w:t>
      </w:r>
      <w:r w:rsidR="001E59DD" w:rsidRPr="00B523B9">
        <w:rPr>
          <w:snapToGrid w:val="0"/>
          <w:kern w:val="22"/>
          <w:lang w:val="fr-FR"/>
        </w:rPr>
        <w:t xml:space="preserve"> </w:t>
      </w:r>
      <w:r w:rsidR="004F5F5F">
        <w:rPr>
          <w:snapToGrid w:val="0"/>
          <w:kern w:val="22"/>
          <w:lang w:val="fr-FR"/>
        </w:rPr>
        <w:t>réalisées dans ce but</w:t>
      </w:r>
    </w:p>
    <w:p w:rsidR="001D2387" w:rsidRPr="00B523B9" w:rsidRDefault="00B523B9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 w:rsidRPr="00B523B9">
        <w:rPr>
          <w:kern w:val="22"/>
          <w:lang w:val="fr-FR"/>
        </w:rPr>
        <w:t>L’intégration de</w:t>
      </w:r>
      <w:r w:rsidR="00CF2427" w:rsidRPr="00B523B9">
        <w:rPr>
          <w:kern w:val="22"/>
          <w:lang w:val="fr-FR"/>
        </w:rPr>
        <w:t xml:space="preserve"> </w:t>
      </w:r>
      <w:r w:rsidR="00A57D5A" w:rsidRPr="00B523B9">
        <w:rPr>
          <w:kern w:val="22"/>
          <w:lang w:val="fr-FR"/>
        </w:rPr>
        <w:t>la prévention des risques biotechnologiques</w:t>
      </w:r>
      <w:r w:rsidR="00CF2427" w:rsidRPr="00B523B9">
        <w:rPr>
          <w:kern w:val="22"/>
          <w:lang w:val="fr-FR"/>
        </w:rPr>
        <w:t xml:space="preserve"> </w:t>
      </w:r>
      <w:r w:rsidR="005A61E5">
        <w:rPr>
          <w:kern w:val="22"/>
          <w:lang w:val="fr-FR"/>
        </w:rPr>
        <w:t>dans l’ensemble de la</w:t>
      </w:r>
      <w:r w:rsidR="00CF2427" w:rsidRPr="00B523B9">
        <w:rPr>
          <w:kern w:val="22"/>
          <w:lang w:val="fr-FR"/>
        </w:rPr>
        <w:t xml:space="preserve"> Convention </w:t>
      </w:r>
      <w:r w:rsidR="00B531F0">
        <w:rPr>
          <w:kern w:val="22"/>
          <w:lang w:val="fr-FR"/>
        </w:rPr>
        <w:t>a des répercussion</w:t>
      </w:r>
      <w:r w:rsidR="005A61E5">
        <w:rPr>
          <w:kern w:val="22"/>
          <w:lang w:val="fr-FR"/>
        </w:rPr>
        <w:t xml:space="preserve">s aux niveaux </w:t>
      </w:r>
      <w:r w:rsidR="001D2387" w:rsidRPr="00B523B9">
        <w:rPr>
          <w:kern w:val="22"/>
          <w:lang w:val="fr-FR"/>
        </w:rPr>
        <w:t>intergo</w:t>
      </w:r>
      <w:r w:rsidR="005A61E5">
        <w:rPr>
          <w:kern w:val="22"/>
          <w:lang w:val="fr-FR"/>
        </w:rPr>
        <w:t>u</w:t>
      </w:r>
      <w:r w:rsidR="001D2387" w:rsidRPr="00B523B9">
        <w:rPr>
          <w:kern w:val="22"/>
          <w:lang w:val="fr-FR"/>
        </w:rPr>
        <w:t>vern</w:t>
      </w:r>
      <w:r w:rsidR="005A61E5">
        <w:rPr>
          <w:kern w:val="22"/>
          <w:lang w:val="fr-FR"/>
        </w:rPr>
        <w:t>e</w:t>
      </w:r>
      <w:r w:rsidR="001D2387" w:rsidRPr="00B523B9">
        <w:rPr>
          <w:kern w:val="22"/>
          <w:lang w:val="fr-FR"/>
        </w:rPr>
        <w:t>mental</w:t>
      </w:r>
      <w:r w:rsidR="00A57D5A" w:rsidRPr="00B523B9">
        <w:rPr>
          <w:kern w:val="22"/>
          <w:lang w:val="fr-FR"/>
        </w:rPr>
        <w:t xml:space="preserve"> et </w:t>
      </w:r>
      <w:r w:rsidR="005A61E5">
        <w:rPr>
          <w:kern w:val="22"/>
          <w:lang w:val="fr-FR"/>
        </w:rPr>
        <w:t>national</w:t>
      </w:r>
      <w:r w:rsidR="00CF2427" w:rsidRPr="00B523B9">
        <w:rPr>
          <w:kern w:val="22"/>
          <w:lang w:val="fr-FR"/>
        </w:rPr>
        <w:t>.</w:t>
      </w:r>
    </w:p>
    <w:p w:rsidR="00B561EC" w:rsidRPr="005A61E5" w:rsidRDefault="005A61E5" w:rsidP="00385560">
      <w:pPr>
        <w:pStyle w:val="Para1"/>
        <w:suppressLineNumbers/>
        <w:tabs>
          <w:tab w:val="clear" w:pos="360"/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 w:rsidRPr="005A61E5">
        <w:rPr>
          <w:kern w:val="22"/>
          <w:lang w:val="fr-FR"/>
        </w:rPr>
        <w:t xml:space="preserve">Bien que </w:t>
      </w:r>
      <w:r w:rsidR="00A57D5A" w:rsidRPr="005A61E5">
        <w:rPr>
          <w:kern w:val="22"/>
          <w:lang w:val="fr-FR"/>
        </w:rPr>
        <w:t>la prévention des risques biotechnologiques</w:t>
      </w:r>
      <w:r w:rsidRPr="005A61E5">
        <w:rPr>
          <w:kern w:val="22"/>
          <w:lang w:val="fr-FR"/>
        </w:rPr>
        <w:t xml:space="preserve"> contr</w:t>
      </w:r>
      <w:r>
        <w:rPr>
          <w:kern w:val="22"/>
          <w:lang w:val="fr-FR"/>
        </w:rPr>
        <w:t>ibu</w:t>
      </w:r>
      <w:r w:rsidR="004C440E">
        <w:rPr>
          <w:kern w:val="22"/>
          <w:lang w:val="fr-FR"/>
        </w:rPr>
        <w:t>e à la</w:t>
      </w:r>
      <w:r w:rsidRPr="005A61E5">
        <w:rPr>
          <w:kern w:val="22"/>
          <w:lang w:val="fr-FR"/>
        </w:rPr>
        <w:t xml:space="preserve"> conservation de la</w:t>
      </w:r>
      <w:r w:rsidR="00B561EC" w:rsidRPr="005A61E5">
        <w:rPr>
          <w:kern w:val="22"/>
          <w:lang w:val="fr-FR"/>
        </w:rPr>
        <w:t xml:space="preserve"> </w:t>
      </w:r>
      <w:r w:rsidRPr="005A61E5">
        <w:rPr>
          <w:kern w:val="22"/>
          <w:lang w:val="fr-FR"/>
        </w:rPr>
        <w:t>diversité biologique</w:t>
      </w:r>
      <w:r>
        <w:rPr>
          <w:kern w:val="22"/>
          <w:lang w:val="fr-FR"/>
        </w:rPr>
        <w:t xml:space="preserve"> et à l’utilisation durable de ses éléments constitutifs, </w:t>
      </w:r>
      <w:r w:rsidR="00A57D5A" w:rsidRPr="005A61E5">
        <w:rPr>
          <w:kern w:val="22"/>
          <w:lang w:val="fr-FR"/>
        </w:rPr>
        <w:t xml:space="preserve">et </w:t>
      </w:r>
      <w:r w:rsidR="004066B9">
        <w:rPr>
          <w:kern w:val="22"/>
          <w:lang w:val="fr-FR"/>
        </w:rPr>
        <w:t xml:space="preserve">qu’elle favorise </w:t>
      </w:r>
      <w:r>
        <w:rPr>
          <w:kern w:val="22"/>
          <w:lang w:val="fr-FR"/>
        </w:rPr>
        <w:t>le partage juste et équitable des avantages découlant de l’utilisation des</w:t>
      </w:r>
      <w:r w:rsidR="00505F32" w:rsidRPr="005A61E5">
        <w:rPr>
          <w:kern w:val="22"/>
          <w:lang w:val="fr-FR"/>
        </w:rPr>
        <w:t xml:space="preserve"> </w:t>
      </w:r>
      <w:r>
        <w:rPr>
          <w:kern w:val="22"/>
          <w:lang w:val="fr-FR"/>
        </w:rPr>
        <w:t>ressources génétiques</w:t>
      </w:r>
      <w:r w:rsidR="00505F32" w:rsidRPr="005A61E5">
        <w:rPr>
          <w:kern w:val="22"/>
          <w:lang w:val="fr-FR"/>
        </w:rPr>
        <w:t xml:space="preserve">, </w:t>
      </w:r>
      <w:r w:rsidR="00A57D5A" w:rsidRPr="005A61E5">
        <w:rPr>
          <w:kern w:val="22"/>
          <w:lang w:val="fr-FR"/>
        </w:rPr>
        <w:t>la</w:t>
      </w:r>
      <w:r w:rsidR="004066B9">
        <w:rPr>
          <w:kern w:val="22"/>
          <w:lang w:val="fr-FR"/>
        </w:rPr>
        <w:t xml:space="preserve"> question de la</w:t>
      </w:r>
      <w:r w:rsidR="00A57D5A" w:rsidRPr="005A61E5">
        <w:rPr>
          <w:kern w:val="22"/>
          <w:lang w:val="fr-FR"/>
        </w:rPr>
        <w:t xml:space="preserve"> prévention des risques biotechnologiques</w:t>
      </w:r>
      <w:r w:rsidR="004066B9">
        <w:rPr>
          <w:kern w:val="22"/>
          <w:lang w:val="fr-FR"/>
        </w:rPr>
        <w:t xml:space="preserve"> reste, dans une large mesure, abordée </w:t>
      </w:r>
      <w:r>
        <w:rPr>
          <w:kern w:val="22"/>
          <w:lang w:val="fr-FR"/>
        </w:rPr>
        <w:t>comme une</w:t>
      </w:r>
      <w:r w:rsidR="004066B9">
        <w:rPr>
          <w:kern w:val="22"/>
          <w:lang w:val="fr-FR"/>
        </w:rPr>
        <w:t xml:space="preserve"> question à part, exclusiv</w:t>
      </w:r>
      <w:r>
        <w:rPr>
          <w:kern w:val="22"/>
          <w:lang w:val="fr-FR"/>
        </w:rPr>
        <w:t xml:space="preserve">ement ou principalement dans le cadre du </w:t>
      </w:r>
      <w:r w:rsidR="00A57D5A" w:rsidRPr="005A61E5">
        <w:rPr>
          <w:kern w:val="22"/>
          <w:lang w:val="fr-FR"/>
        </w:rPr>
        <w:t>Protocole de Cartagena</w:t>
      </w:r>
      <w:r w:rsidR="00777198" w:rsidRPr="005A61E5">
        <w:rPr>
          <w:kern w:val="22"/>
          <w:lang w:val="fr-FR"/>
        </w:rPr>
        <w:t xml:space="preserve">. </w:t>
      </w:r>
      <w:r w:rsidRPr="005A61E5">
        <w:rPr>
          <w:kern w:val="22"/>
          <w:lang w:val="fr-FR"/>
        </w:rPr>
        <w:t xml:space="preserve">Ceci a des conséquences en particulier pour les </w:t>
      </w:r>
      <w:r w:rsidR="00C81A43" w:rsidRPr="005A61E5">
        <w:rPr>
          <w:kern w:val="22"/>
          <w:lang w:val="fr-FR"/>
        </w:rPr>
        <w:t xml:space="preserve">Parties </w:t>
      </w:r>
      <w:r w:rsidRPr="005A61E5">
        <w:rPr>
          <w:kern w:val="22"/>
          <w:lang w:val="fr-FR"/>
        </w:rPr>
        <w:t>à la Con</w:t>
      </w:r>
      <w:r w:rsidR="00C81A43" w:rsidRPr="005A61E5">
        <w:rPr>
          <w:kern w:val="22"/>
          <w:lang w:val="fr-FR"/>
        </w:rPr>
        <w:t xml:space="preserve">vention </w:t>
      </w:r>
      <w:r w:rsidRPr="005A61E5">
        <w:rPr>
          <w:kern w:val="22"/>
          <w:lang w:val="fr-FR"/>
        </w:rPr>
        <w:t>qui ne sont pas Par</w:t>
      </w:r>
      <w:r w:rsidR="00C81A43" w:rsidRPr="005A61E5">
        <w:rPr>
          <w:kern w:val="22"/>
          <w:lang w:val="fr-FR"/>
        </w:rPr>
        <w:t xml:space="preserve">ties </w:t>
      </w:r>
      <w:r w:rsidR="00A57D5A" w:rsidRPr="005A61E5">
        <w:rPr>
          <w:kern w:val="22"/>
          <w:lang w:val="fr-FR"/>
        </w:rPr>
        <w:t>au Protocole de Cartagena</w:t>
      </w:r>
      <w:r w:rsidR="00D7780B" w:rsidRPr="005A61E5">
        <w:rPr>
          <w:kern w:val="22"/>
          <w:lang w:val="fr-FR"/>
        </w:rPr>
        <w:t>,</w:t>
      </w:r>
      <w:r w:rsidR="00475CE3" w:rsidRPr="005A61E5">
        <w:rPr>
          <w:kern w:val="22"/>
          <w:lang w:val="fr-FR"/>
        </w:rPr>
        <w:t xml:space="preserve"> </w:t>
      </w:r>
      <w:r>
        <w:rPr>
          <w:kern w:val="22"/>
          <w:lang w:val="fr-FR"/>
        </w:rPr>
        <w:t>ainsi que pour les questions qui ne c</w:t>
      </w:r>
      <w:r w:rsidR="004066B9">
        <w:rPr>
          <w:kern w:val="22"/>
          <w:lang w:val="fr-FR"/>
        </w:rPr>
        <w:t>oncernent pas d</w:t>
      </w:r>
      <w:r>
        <w:rPr>
          <w:kern w:val="22"/>
          <w:lang w:val="fr-FR"/>
        </w:rPr>
        <w:t>es</w:t>
      </w:r>
      <w:r w:rsidR="004066B9">
        <w:rPr>
          <w:kern w:val="22"/>
          <w:lang w:val="fr-FR"/>
        </w:rPr>
        <w:t xml:space="preserve"> mouvements transfrontières ou d</w:t>
      </w:r>
      <w:r>
        <w:rPr>
          <w:kern w:val="22"/>
          <w:lang w:val="fr-FR"/>
        </w:rPr>
        <w:t>es organi</w:t>
      </w:r>
      <w:r w:rsidR="004066B9">
        <w:rPr>
          <w:kern w:val="22"/>
          <w:lang w:val="fr-FR"/>
        </w:rPr>
        <w:t xml:space="preserve">smes vivants modifiés, lesquels sont </w:t>
      </w:r>
      <w:r>
        <w:rPr>
          <w:kern w:val="22"/>
          <w:lang w:val="fr-FR"/>
        </w:rPr>
        <w:t>visés par le</w:t>
      </w:r>
      <w:r w:rsidR="00A57D5A" w:rsidRPr="005A61E5">
        <w:rPr>
          <w:kern w:val="22"/>
          <w:lang w:val="fr-FR"/>
        </w:rPr>
        <w:t xml:space="preserve"> Protocole de Cartagena</w:t>
      </w:r>
      <w:r w:rsidR="00C81A43" w:rsidRPr="005A61E5">
        <w:rPr>
          <w:kern w:val="22"/>
          <w:lang w:val="fr-FR"/>
        </w:rPr>
        <w:t>.</w:t>
      </w:r>
      <w:r w:rsidR="00475CE3" w:rsidRPr="005A61E5">
        <w:rPr>
          <w:kern w:val="22"/>
          <w:lang w:val="fr-FR"/>
        </w:rPr>
        <w:t xml:space="preserve"> </w:t>
      </w:r>
      <w:r w:rsidR="004066B9">
        <w:rPr>
          <w:kern w:val="22"/>
          <w:lang w:val="fr-FR"/>
        </w:rPr>
        <w:t>Cependant</w:t>
      </w:r>
      <w:r>
        <w:rPr>
          <w:kern w:val="22"/>
          <w:lang w:val="fr-FR"/>
        </w:rPr>
        <w:t>, de</w:t>
      </w:r>
      <w:r w:rsidR="004066B9">
        <w:rPr>
          <w:kern w:val="22"/>
          <w:lang w:val="fr-FR"/>
        </w:rPr>
        <w:t>s questions importantes liée</w:t>
      </w:r>
      <w:r>
        <w:rPr>
          <w:kern w:val="22"/>
          <w:lang w:val="fr-FR"/>
        </w:rPr>
        <w:t>s à</w:t>
      </w:r>
      <w:r w:rsidR="00475CE3" w:rsidRPr="005A61E5">
        <w:rPr>
          <w:kern w:val="22"/>
          <w:lang w:val="fr-FR"/>
        </w:rPr>
        <w:t xml:space="preserve"> </w:t>
      </w:r>
      <w:r w:rsidR="00A57D5A" w:rsidRPr="005A61E5">
        <w:rPr>
          <w:kern w:val="22"/>
          <w:lang w:val="fr-FR"/>
        </w:rPr>
        <w:t>la prévention des risques biotechnologiques</w:t>
      </w:r>
      <w:r>
        <w:rPr>
          <w:kern w:val="22"/>
          <w:lang w:val="fr-FR"/>
        </w:rPr>
        <w:t xml:space="preserve"> ont été abordées dans le cadre de la</w:t>
      </w:r>
      <w:r w:rsidR="00475CE3" w:rsidRPr="005A61E5">
        <w:rPr>
          <w:kern w:val="22"/>
          <w:lang w:val="fr-FR"/>
        </w:rPr>
        <w:t xml:space="preserve"> Convention, </w:t>
      </w:r>
      <w:r w:rsidR="004066B9">
        <w:rPr>
          <w:kern w:val="22"/>
          <w:lang w:val="fr-FR"/>
        </w:rPr>
        <w:t>notamment</w:t>
      </w:r>
      <w:r w:rsidR="00475CE3" w:rsidRPr="005A61E5">
        <w:rPr>
          <w:kern w:val="22"/>
          <w:lang w:val="fr-FR"/>
        </w:rPr>
        <w:t xml:space="preserve"> </w:t>
      </w:r>
      <w:r>
        <w:rPr>
          <w:kern w:val="22"/>
          <w:lang w:val="fr-FR"/>
        </w:rPr>
        <w:t xml:space="preserve">les </w:t>
      </w:r>
      <w:r w:rsidR="009676E0" w:rsidRPr="005A61E5">
        <w:rPr>
          <w:kern w:val="22"/>
          <w:lang w:val="fr-FR"/>
        </w:rPr>
        <w:t>technologies</w:t>
      </w:r>
      <w:r w:rsidR="004066B9">
        <w:rPr>
          <w:kern w:val="22"/>
          <w:lang w:val="fr-FR"/>
        </w:rPr>
        <w:t xml:space="preserve"> de réduction</w:t>
      </w:r>
      <w:r>
        <w:rPr>
          <w:kern w:val="22"/>
          <w:lang w:val="fr-FR"/>
        </w:rPr>
        <w:t xml:space="preserve"> de l’utilisation </w:t>
      </w:r>
      <w:r w:rsidR="004066B9">
        <w:rPr>
          <w:kern w:val="22"/>
          <w:lang w:val="fr-FR"/>
        </w:rPr>
        <w:t>des ressources génétiques</w:t>
      </w:r>
      <w:r w:rsidR="009676E0" w:rsidRPr="005A61E5">
        <w:rPr>
          <w:kern w:val="22"/>
          <w:lang w:val="fr-FR"/>
        </w:rPr>
        <w:t xml:space="preserve"> (</w:t>
      </w:r>
      <w:r w:rsidR="00A57D5A" w:rsidRPr="005A61E5">
        <w:rPr>
          <w:kern w:val="22"/>
          <w:lang w:val="fr-FR"/>
        </w:rPr>
        <w:t>décision</w:t>
      </w:r>
      <w:r w:rsidR="009676E0" w:rsidRPr="005A61E5">
        <w:rPr>
          <w:kern w:val="22"/>
          <w:lang w:val="fr-FR"/>
        </w:rPr>
        <w:t xml:space="preserve"> </w:t>
      </w:r>
      <w:hyperlink r:id="rId18" w:history="1">
        <w:r w:rsidR="009676E0" w:rsidRPr="005A61E5">
          <w:rPr>
            <w:rStyle w:val="Hyperlink"/>
            <w:kern w:val="22"/>
            <w:lang w:val="fr-FR"/>
          </w:rPr>
          <w:t>V/</w:t>
        </w:r>
        <w:r w:rsidR="009676E0" w:rsidRPr="005A61E5">
          <w:rPr>
            <w:rStyle w:val="Hyperlink"/>
            <w:kern w:val="22"/>
            <w:lang w:val="fr-FR"/>
          </w:rPr>
          <w:t>5</w:t>
        </w:r>
      </w:hyperlink>
      <w:r w:rsidR="009676E0" w:rsidRPr="005A61E5">
        <w:rPr>
          <w:kern w:val="22"/>
          <w:lang w:val="fr-FR"/>
        </w:rPr>
        <w:t>)</w:t>
      </w:r>
      <w:r w:rsidR="00475CE3" w:rsidRPr="005A61E5">
        <w:rPr>
          <w:kern w:val="22"/>
          <w:lang w:val="fr-FR"/>
        </w:rPr>
        <w:t xml:space="preserve">, </w:t>
      </w:r>
      <w:r>
        <w:rPr>
          <w:kern w:val="22"/>
          <w:lang w:val="fr-FR"/>
        </w:rPr>
        <w:t>les arbres génétiquement modifié</w:t>
      </w:r>
      <w:r w:rsidR="00475CE3" w:rsidRPr="005A61E5">
        <w:rPr>
          <w:kern w:val="22"/>
          <w:lang w:val="fr-FR"/>
        </w:rPr>
        <w:t xml:space="preserve">s </w:t>
      </w:r>
      <w:r w:rsidR="009676E0" w:rsidRPr="005A61E5">
        <w:rPr>
          <w:kern w:val="22"/>
          <w:lang w:val="fr-FR"/>
        </w:rPr>
        <w:t>(</w:t>
      </w:r>
      <w:r w:rsidR="00A57D5A" w:rsidRPr="005A61E5">
        <w:rPr>
          <w:kern w:val="22"/>
          <w:lang w:val="fr-FR"/>
        </w:rPr>
        <w:t>décision</w:t>
      </w:r>
      <w:r w:rsidR="009676E0" w:rsidRPr="005A61E5">
        <w:rPr>
          <w:kern w:val="22"/>
          <w:lang w:val="fr-FR"/>
        </w:rPr>
        <w:t xml:space="preserve"> </w:t>
      </w:r>
      <w:hyperlink r:id="rId19" w:history="1">
        <w:r w:rsidR="009676E0" w:rsidRPr="005A61E5">
          <w:rPr>
            <w:rStyle w:val="Hyperlink"/>
            <w:kern w:val="22"/>
            <w:lang w:val="fr-FR"/>
          </w:rPr>
          <w:t>VI</w:t>
        </w:r>
        <w:r w:rsidR="009676E0" w:rsidRPr="005A61E5">
          <w:rPr>
            <w:rStyle w:val="Hyperlink"/>
            <w:kern w:val="22"/>
            <w:lang w:val="fr-FR"/>
          </w:rPr>
          <w:t>I</w:t>
        </w:r>
        <w:r w:rsidR="009676E0" w:rsidRPr="005A61E5">
          <w:rPr>
            <w:rStyle w:val="Hyperlink"/>
            <w:kern w:val="22"/>
            <w:lang w:val="fr-FR"/>
          </w:rPr>
          <w:t>I/19</w:t>
        </w:r>
      </w:hyperlink>
      <w:r w:rsidR="009676E0" w:rsidRPr="005A61E5">
        <w:rPr>
          <w:kern w:val="22"/>
          <w:lang w:val="fr-FR"/>
        </w:rPr>
        <w:t xml:space="preserve">) </w:t>
      </w:r>
      <w:r>
        <w:rPr>
          <w:kern w:val="22"/>
          <w:lang w:val="fr-FR"/>
        </w:rPr>
        <w:t>et</w:t>
      </w:r>
      <w:r w:rsidR="00475CE3" w:rsidRPr="005A61E5">
        <w:rPr>
          <w:kern w:val="22"/>
          <w:lang w:val="fr-FR"/>
        </w:rPr>
        <w:t>,</w:t>
      </w:r>
      <w:r>
        <w:rPr>
          <w:kern w:val="22"/>
          <w:lang w:val="fr-FR"/>
        </w:rPr>
        <w:t xml:space="preserve"> plus récemment, la biologie de synthèse</w:t>
      </w:r>
      <w:r w:rsidR="00475CE3" w:rsidRPr="005A61E5">
        <w:rPr>
          <w:kern w:val="22"/>
          <w:lang w:val="fr-FR"/>
        </w:rPr>
        <w:t xml:space="preserve"> (</w:t>
      </w:r>
      <w:r w:rsidR="00A57D5A" w:rsidRPr="005A61E5">
        <w:rPr>
          <w:kern w:val="22"/>
          <w:lang w:val="fr-FR"/>
        </w:rPr>
        <w:t>décision</w:t>
      </w:r>
      <w:r w:rsidR="00475CE3" w:rsidRPr="005A61E5">
        <w:rPr>
          <w:kern w:val="22"/>
          <w:lang w:val="fr-FR"/>
        </w:rPr>
        <w:t>s</w:t>
      </w:r>
      <w:r w:rsidR="009676E0" w:rsidRPr="005A61E5">
        <w:rPr>
          <w:kern w:val="22"/>
          <w:lang w:val="fr-FR"/>
        </w:rPr>
        <w:t xml:space="preserve"> </w:t>
      </w:r>
      <w:hyperlink r:id="rId20" w:history="1">
        <w:r w:rsidR="009676E0" w:rsidRPr="005A61E5">
          <w:rPr>
            <w:rStyle w:val="Hyperlink"/>
            <w:kern w:val="22"/>
            <w:lang w:val="fr-FR"/>
          </w:rPr>
          <w:t>XII/24</w:t>
        </w:r>
      </w:hyperlink>
      <w:r w:rsidR="00A57D5A" w:rsidRPr="005A61E5">
        <w:rPr>
          <w:kern w:val="22"/>
          <w:lang w:val="fr-FR"/>
        </w:rPr>
        <w:t xml:space="preserve"> et </w:t>
      </w:r>
      <w:hyperlink r:id="rId21" w:history="1">
        <w:r w:rsidR="009676E0" w:rsidRPr="005A61E5">
          <w:rPr>
            <w:rStyle w:val="Hyperlink"/>
            <w:kern w:val="22"/>
            <w:lang w:val="fr-FR"/>
          </w:rPr>
          <w:t>XIII/17</w:t>
        </w:r>
      </w:hyperlink>
      <w:r w:rsidR="00475CE3" w:rsidRPr="005A61E5">
        <w:rPr>
          <w:kern w:val="22"/>
          <w:lang w:val="fr-FR"/>
        </w:rPr>
        <w:t>).</w:t>
      </w:r>
    </w:p>
    <w:p w:rsidR="000A0135" w:rsidRPr="005A61E5" w:rsidRDefault="004066B9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>
        <w:rPr>
          <w:kern w:val="22"/>
          <w:lang w:val="fr-FR"/>
        </w:rPr>
        <w:t>É</w:t>
      </w:r>
      <w:r w:rsidR="005A61E5">
        <w:rPr>
          <w:kern w:val="22"/>
          <w:lang w:val="fr-FR"/>
        </w:rPr>
        <w:t xml:space="preserve">tant donné leur nature pluridisciplinaire, </w:t>
      </w:r>
      <w:r>
        <w:rPr>
          <w:kern w:val="22"/>
          <w:lang w:val="fr-FR"/>
        </w:rPr>
        <w:t xml:space="preserve">et pour </w:t>
      </w:r>
      <w:r w:rsidR="00AF327B">
        <w:rPr>
          <w:kern w:val="22"/>
          <w:lang w:val="fr-FR"/>
        </w:rPr>
        <w:t>favorise</w:t>
      </w:r>
      <w:r>
        <w:rPr>
          <w:kern w:val="22"/>
          <w:lang w:val="fr-FR"/>
        </w:rPr>
        <w:t>r</w:t>
      </w:r>
      <w:r w:rsidR="005A61E5">
        <w:rPr>
          <w:kern w:val="22"/>
          <w:lang w:val="fr-FR"/>
        </w:rPr>
        <w:t xml:space="preserve"> leu</w:t>
      </w:r>
      <w:r>
        <w:rPr>
          <w:kern w:val="22"/>
          <w:lang w:val="fr-FR"/>
        </w:rPr>
        <w:t>r pleine application au niveau</w:t>
      </w:r>
      <w:r w:rsidR="005A61E5">
        <w:rPr>
          <w:kern w:val="22"/>
          <w:lang w:val="fr-FR"/>
        </w:rPr>
        <w:t xml:space="preserve"> national</w:t>
      </w:r>
      <w:r w:rsidR="000A0135" w:rsidRPr="005A61E5">
        <w:rPr>
          <w:kern w:val="22"/>
          <w:lang w:val="fr-FR"/>
        </w:rPr>
        <w:t xml:space="preserve">, </w:t>
      </w:r>
      <w:r w:rsidR="00A57D5A" w:rsidRPr="005A61E5">
        <w:rPr>
          <w:kern w:val="22"/>
          <w:lang w:val="fr-FR"/>
        </w:rPr>
        <w:t>les questions</w:t>
      </w:r>
      <w:r>
        <w:rPr>
          <w:kern w:val="22"/>
          <w:lang w:val="fr-FR"/>
        </w:rPr>
        <w:t xml:space="preserve"> liées</w:t>
      </w:r>
      <w:r w:rsidR="005A61E5">
        <w:rPr>
          <w:kern w:val="22"/>
          <w:lang w:val="fr-FR"/>
        </w:rPr>
        <w:t xml:space="preserve"> à </w:t>
      </w:r>
      <w:r w:rsidR="00A57D5A" w:rsidRPr="005A61E5">
        <w:rPr>
          <w:kern w:val="22"/>
          <w:lang w:val="fr-FR"/>
        </w:rPr>
        <w:t>la prévention des risques biotechnologiques</w:t>
      </w:r>
      <w:r w:rsidR="005A61E5">
        <w:rPr>
          <w:kern w:val="22"/>
          <w:lang w:val="fr-FR"/>
        </w:rPr>
        <w:t xml:space="preserve"> devraient être exa</w:t>
      </w:r>
      <w:r>
        <w:rPr>
          <w:kern w:val="22"/>
          <w:lang w:val="fr-FR"/>
        </w:rPr>
        <w:t>minées et trait</w:t>
      </w:r>
      <w:r w:rsidR="005A61E5">
        <w:rPr>
          <w:kern w:val="22"/>
          <w:lang w:val="fr-FR"/>
        </w:rPr>
        <w:t>ées dans le cadre de la gestion et de l’utilisation des ressources naturelles dans différents secteurs</w:t>
      </w:r>
      <w:r w:rsidR="000A0135" w:rsidRPr="005A61E5">
        <w:rPr>
          <w:kern w:val="22"/>
          <w:lang w:val="fr-FR"/>
        </w:rPr>
        <w:t xml:space="preserve"> (</w:t>
      </w:r>
      <w:r w:rsidR="006E1951">
        <w:rPr>
          <w:kern w:val="22"/>
          <w:lang w:val="fr-FR"/>
        </w:rPr>
        <w:t>comme</w:t>
      </w:r>
      <w:r w:rsidR="005A61E5">
        <w:rPr>
          <w:kern w:val="22"/>
          <w:lang w:val="fr-FR"/>
        </w:rPr>
        <w:t xml:space="preserve"> l’</w:t>
      </w:r>
      <w:r w:rsidR="000241F5" w:rsidRPr="005A61E5">
        <w:rPr>
          <w:kern w:val="22"/>
          <w:lang w:val="fr-FR"/>
        </w:rPr>
        <w:t>agriculture,</w:t>
      </w:r>
      <w:r w:rsidR="005A61E5">
        <w:rPr>
          <w:kern w:val="22"/>
          <w:lang w:val="fr-FR"/>
        </w:rPr>
        <w:t xml:space="preserve"> la foresterie ou la pêche</w:t>
      </w:r>
      <w:r w:rsidR="000241F5" w:rsidRPr="005A61E5">
        <w:rPr>
          <w:kern w:val="22"/>
          <w:lang w:val="fr-FR"/>
        </w:rPr>
        <w:t>)</w:t>
      </w:r>
      <w:r w:rsidR="006E1951">
        <w:rPr>
          <w:kern w:val="22"/>
          <w:lang w:val="fr-FR"/>
        </w:rPr>
        <w:t xml:space="preserve"> et différents milieux</w:t>
      </w:r>
      <w:r w:rsidR="000241F5" w:rsidRPr="005A61E5">
        <w:rPr>
          <w:kern w:val="22"/>
          <w:lang w:val="fr-FR"/>
        </w:rPr>
        <w:t xml:space="preserve"> (</w:t>
      </w:r>
      <w:r w:rsidR="006E1951">
        <w:rPr>
          <w:kern w:val="22"/>
          <w:lang w:val="fr-FR"/>
        </w:rPr>
        <w:t>tels que les aires marines</w:t>
      </w:r>
      <w:r w:rsidR="005A61E5">
        <w:rPr>
          <w:kern w:val="22"/>
          <w:lang w:val="fr-FR"/>
        </w:rPr>
        <w:t xml:space="preserve"> et d’eau douce, les montagnes ou les aires protégées</w:t>
      </w:r>
      <w:r w:rsidR="000A0135" w:rsidRPr="005A61E5">
        <w:rPr>
          <w:kern w:val="22"/>
          <w:lang w:val="fr-FR"/>
        </w:rPr>
        <w:t>)</w:t>
      </w:r>
      <w:r w:rsidR="006E1951">
        <w:rPr>
          <w:kern w:val="22"/>
          <w:lang w:val="fr-FR"/>
        </w:rPr>
        <w:t>, en tant qu’</w:t>
      </w:r>
      <w:r w:rsidR="005A61E5">
        <w:rPr>
          <w:kern w:val="22"/>
          <w:lang w:val="fr-FR"/>
        </w:rPr>
        <w:t>approche de gestion intégrée</w:t>
      </w:r>
      <w:r w:rsidR="00AF327B">
        <w:rPr>
          <w:kern w:val="22"/>
          <w:lang w:val="fr-FR"/>
        </w:rPr>
        <w:t xml:space="preserve"> pouvant</w:t>
      </w:r>
      <w:r w:rsidR="005A61E5">
        <w:rPr>
          <w:kern w:val="22"/>
          <w:lang w:val="fr-FR"/>
        </w:rPr>
        <w:t xml:space="preserve"> contribuer à la </w:t>
      </w:r>
      <w:r w:rsidR="000A0135" w:rsidRPr="005A61E5">
        <w:rPr>
          <w:kern w:val="22"/>
          <w:lang w:val="fr-FR"/>
        </w:rPr>
        <w:t>conservation</w:t>
      </w:r>
      <w:r w:rsidR="00A57D5A" w:rsidRPr="005A61E5">
        <w:rPr>
          <w:kern w:val="22"/>
          <w:lang w:val="fr-FR"/>
        </w:rPr>
        <w:t xml:space="preserve"> et </w:t>
      </w:r>
      <w:r w:rsidR="005A61E5">
        <w:rPr>
          <w:kern w:val="22"/>
          <w:lang w:val="fr-FR"/>
        </w:rPr>
        <w:t xml:space="preserve">à l’utilisation durable de la </w:t>
      </w:r>
      <w:r w:rsidR="005A61E5" w:rsidRPr="005A61E5">
        <w:rPr>
          <w:kern w:val="22"/>
          <w:lang w:val="fr-FR"/>
        </w:rPr>
        <w:t>diversité biologique</w:t>
      </w:r>
      <w:r w:rsidR="000A0135" w:rsidRPr="005A61E5">
        <w:rPr>
          <w:kern w:val="22"/>
          <w:lang w:val="fr-FR"/>
        </w:rPr>
        <w:t xml:space="preserve">. </w:t>
      </w:r>
      <w:r w:rsidR="00A57D5A" w:rsidRPr="005A61E5">
        <w:rPr>
          <w:kern w:val="22"/>
          <w:lang w:val="fr-FR"/>
        </w:rPr>
        <w:t xml:space="preserve">La prévention des risques </w:t>
      </w:r>
      <w:r w:rsidR="00A57D5A" w:rsidRPr="005A61E5">
        <w:rPr>
          <w:kern w:val="22"/>
          <w:lang w:val="fr-FR"/>
        </w:rPr>
        <w:lastRenderedPageBreak/>
        <w:t>biotechnologiques</w:t>
      </w:r>
      <w:r w:rsidR="005A61E5" w:rsidRPr="005A61E5">
        <w:rPr>
          <w:kern w:val="22"/>
          <w:lang w:val="fr-FR"/>
        </w:rPr>
        <w:t xml:space="preserve"> peut </w:t>
      </w:r>
      <w:r w:rsidR="00AF327B">
        <w:rPr>
          <w:kern w:val="22"/>
          <w:lang w:val="fr-FR"/>
        </w:rPr>
        <w:t xml:space="preserve">aussi être considérée </w:t>
      </w:r>
      <w:r w:rsidR="005A61E5" w:rsidRPr="005A61E5">
        <w:rPr>
          <w:kern w:val="22"/>
          <w:lang w:val="fr-FR"/>
        </w:rPr>
        <w:t xml:space="preserve">comme une série de mesures habilitantes </w:t>
      </w:r>
      <w:r w:rsidR="00AF327B">
        <w:rPr>
          <w:kern w:val="22"/>
          <w:lang w:val="fr-FR"/>
        </w:rPr>
        <w:t xml:space="preserve">pour faire en sorte que la </w:t>
      </w:r>
      <w:r w:rsidR="00AF02EF">
        <w:rPr>
          <w:kern w:val="22"/>
          <w:lang w:val="fr-FR"/>
        </w:rPr>
        <w:t>biotechnologie moder</w:t>
      </w:r>
      <w:r w:rsidR="00AF327B">
        <w:rPr>
          <w:kern w:val="22"/>
          <w:lang w:val="fr-FR"/>
        </w:rPr>
        <w:t>ne soit adoptée et utilisée d’une manière qui contribue à la réalisation des</w:t>
      </w:r>
      <w:r w:rsidR="00AF02EF">
        <w:rPr>
          <w:kern w:val="22"/>
          <w:lang w:val="fr-FR"/>
        </w:rPr>
        <w:t xml:space="preserve"> trois objectifs de</w:t>
      </w:r>
      <w:r w:rsidR="00A57D5A" w:rsidRPr="005A61E5">
        <w:rPr>
          <w:kern w:val="22"/>
          <w:lang w:val="fr-FR"/>
        </w:rPr>
        <w:t xml:space="preserve"> la Con</w:t>
      </w:r>
      <w:r w:rsidR="000A0135" w:rsidRPr="005A61E5">
        <w:rPr>
          <w:kern w:val="22"/>
          <w:lang w:val="fr-FR"/>
        </w:rPr>
        <w:t>vention.</w:t>
      </w:r>
    </w:p>
    <w:p w:rsidR="00294541" w:rsidRPr="00AF02EF" w:rsidRDefault="00AF327B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>
        <w:rPr>
          <w:kern w:val="22"/>
          <w:lang w:val="fr-FR"/>
        </w:rPr>
        <w:t>Certaines initiatives visant à aider</w:t>
      </w:r>
      <w:r w:rsidR="00AF02EF" w:rsidRPr="00AF02EF">
        <w:rPr>
          <w:kern w:val="22"/>
          <w:lang w:val="fr-FR"/>
        </w:rPr>
        <w:t xml:space="preserve"> les</w:t>
      </w:r>
      <w:r w:rsidR="00F17093" w:rsidRPr="00AF02EF">
        <w:rPr>
          <w:kern w:val="22"/>
          <w:lang w:val="fr-FR"/>
        </w:rPr>
        <w:t xml:space="preserve"> </w:t>
      </w:r>
      <w:r w:rsidR="007C4395" w:rsidRPr="00AF02EF">
        <w:rPr>
          <w:kern w:val="22"/>
          <w:lang w:val="fr-FR"/>
        </w:rPr>
        <w:t>Parties</w:t>
      </w:r>
      <w:r>
        <w:rPr>
          <w:kern w:val="22"/>
          <w:lang w:val="fr-FR"/>
        </w:rPr>
        <w:t xml:space="preserve"> à cet égard</w:t>
      </w:r>
      <w:r w:rsidR="00AF02EF">
        <w:rPr>
          <w:kern w:val="22"/>
          <w:lang w:val="fr-FR"/>
        </w:rPr>
        <w:t xml:space="preserve"> ont déjà été entreprises par le Secré</w:t>
      </w:r>
      <w:r w:rsidR="00294541" w:rsidRPr="00AF02EF">
        <w:rPr>
          <w:kern w:val="22"/>
          <w:lang w:val="fr-FR"/>
        </w:rPr>
        <w:t>tariat</w:t>
      </w:r>
      <w:r w:rsidR="00F17093" w:rsidRPr="00AF02EF">
        <w:rPr>
          <w:kern w:val="22"/>
          <w:lang w:val="fr-FR"/>
        </w:rPr>
        <w:t xml:space="preserve">, </w:t>
      </w:r>
      <w:r>
        <w:rPr>
          <w:kern w:val="22"/>
          <w:lang w:val="fr-FR"/>
        </w:rPr>
        <w:t>y compris les initiatives</w:t>
      </w:r>
      <w:r w:rsidR="00AF02EF">
        <w:rPr>
          <w:kern w:val="22"/>
          <w:lang w:val="fr-FR"/>
        </w:rPr>
        <w:t xml:space="preserve"> suivantes </w:t>
      </w:r>
      <w:r w:rsidR="00F17093" w:rsidRPr="00AF02EF">
        <w:rPr>
          <w:kern w:val="22"/>
          <w:lang w:val="fr-FR"/>
        </w:rPr>
        <w:t>:</w:t>
      </w:r>
    </w:p>
    <w:p w:rsidR="001D66A9" w:rsidRPr="000867CA" w:rsidRDefault="00B523B9" w:rsidP="00385560">
      <w:pPr>
        <w:pStyle w:val="Para1"/>
        <w:numPr>
          <w:ilvl w:val="1"/>
          <w:numId w:val="2"/>
        </w:numPr>
        <w:suppressLineNumbers/>
        <w:tabs>
          <w:tab w:val="clear" w:pos="1440"/>
          <w:tab w:val="left" w:pos="117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Activités</w:t>
      </w:r>
      <w:r w:rsidR="00AF02EF">
        <w:rPr>
          <w:kern w:val="22"/>
          <w:szCs w:val="22"/>
          <w:lang w:val="fr-FR"/>
        </w:rPr>
        <w:t xml:space="preserve"> pour faciliter l’intégration de</w:t>
      </w:r>
      <w:r w:rsidR="001D66A9" w:rsidRPr="000867CA">
        <w:rPr>
          <w:kern w:val="22"/>
          <w:szCs w:val="22"/>
          <w:lang w:val="fr-FR"/>
        </w:rPr>
        <w:t xml:space="preserve"> </w:t>
      </w:r>
      <w:r w:rsidR="00A57D5A" w:rsidRPr="000867CA">
        <w:rPr>
          <w:kern w:val="22"/>
          <w:szCs w:val="22"/>
          <w:lang w:val="fr-FR"/>
        </w:rPr>
        <w:t>la prévention des risques biotechnologiques</w:t>
      </w:r>
      <w:r w:rsidR="00AF02EF">
        <w:rPr>
          <w:kern w:val="22"/>
          <w:szCs w:val="22"/>
          <w:lang w:val="fr-FR"/>
        </w:rPr>
        <w:t xml:space="preserve"> dans les</w:t>
      </w:r>
      <w:r w:rsidR="001D66A9" w:rsidRPr="000867CA">
        <w:rPr>
          <w:kern w:val="22"/>
          <w:szCs w:val="22"/>
          <w:lang w:val="fr-FR"/>
        </w:rPr>
        <w:t xml:space="preserve"> </w:t>
      </w:r>
      <w:r w:rsidR="00A57D5A" w:rsidRPr="000867CA">
        <w:rPr>
          <w:kern w:val="22"/>
          <w:szCs w:val="22"/>
          <w:lang w:val="fr-FR"/>
        </w:rPr>
        <w:t xml:space="preserve">SPANB et </w:t>
      </w:r>
      <w:r w:rsidR="00AF02EF">
        <w:rPr>
          <w:kern w:val="22"/>
          <w:szCs w:val="22"/>
          <w:lang w:val="fr-FR"/>
        </w:rPr>
        <w:t xml:space="preserve">les </w:t>
      </w:r>
      <w:r w:rsidR="000867CA" w:rsidRPr="000867CA">
        <w:rPr>
          <w:kern w:val="22"/>
          <w:szCs w:val="22"/>
          <w:lang w:val="fr-FR"/>
        </w:rPr>
        <w:t xml:space="preserve">programmes de développement nationaux </w:t>
      </w:r>
      <w:r w:rsidR="001D66A9" w:rsidRPr="000867CA">
        <w:rPr>
          <w:kern w:val="22"/>
          <w:szCs w:val="22"/>
          <w:lang w:val="fr-FR"/>
        </w:rPr>
        <w:t>;</w:t>
      </w:r>
    </w:p>
    <w:p w:rsidR="00EB3ED2" w:rsidRPr="00AF02EF" w:rsidRDefault="00AF02EF" w:rsidP="00385560">
      <w:pPr>
        <w:pStyle w:val="Para1"/>
        <w:numPr>
          <w:ilvl w:val="1"/>
          <w:numId w:val="2"/>
        </w:numPr>
        <w:suppressLineNumbers/>
        <w:tabs>
          <w:tab w:val="clear" w:pos="1440"/>
          <w:tab w:val="left" w:pos="117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AF02EF">
        <w:rPr>
          <w:kern w:val="22"/>
          <w:szCs w:val="22"/>
          <w:lang w:val="fr-FR"/>
        </w:rPr>
        <w:t>Organisation d’atelier</w:t>
      </w:r>
      <w:r w:rsidR="00EB3ED2" w:rsidRPr="00AF02EF">
        <w:rPr>
          <w:kern w:val="22"/>
          <w:szCs w:val="22"/>
          <w:lang w:val="fr-FR"/>
        </w:rPr>
        <w:t>s</w:t>
      </w:r>
      <w:r>
        <w:rPr>
          <w:kern w:val="22"/>
          <w:szCs w:val="22"/>
          <w:lang w:val="fr-FR"/>
        </w:rPr>
        <w:t xml:space="preserve"> régionaux pour intégrer la </w:t>
      </w:r>
      <w:r w:rsidR="00A57D5A" w:rsidRPr="00AF02EF">
        <w:rPr>
          <w:kern w:val="22"/>
          <w:szCs w:val="22"/>
          <w:lang w:val="fr-FR"/>
        </w:rPr>
        <w:t>prévention des risques biotechnologiques</w:t>
      </w:r>
      <w:r w:rsidR="00EB3ED2" w:rsidRPr="00AF02EF">
        <w:rPr>
          <w:kern w:val="22"/>
          <w:szCs w:val="22"/>
          <w:lang w:val="fr-FR"/>
        </w:rPr>
        <w:t xml:space="preserve"> </w:t>
      </w:r>
      <w:r w:rsidR="00AF327B">
        <w:rPr>
          <w:kern w:val="22"/>
          <w:szCs w:val="22"/>
          <w:lang w:val="fr-FR"/>
        </w:rPr>
        <w:t xml:space="preserve">dans différents </w:t>
      </w:r>
      <w:r>
        <w:rPr>
          <w:kern w:val="22"/>
          <w:szCs w:val="22"/>
          <w:lang w:val="fr-FR"/>
        </w:rPr>
        <w:t>secteurs et entre ces secteu</w:t>
      </w:r>
      <w:r w:rsidR="00EB3ED2" w:rsidRPr="00AF02EF">
        <w:rPr>
          <w:kern w:val="22"/>
          <w:szCs w:val="22"/>
          <w:lang w:val="fr-FR"/>
        </w:rPr>
        <w:t>rs;</w:t>
      </w:r>
    </w:p>
    <w:p w:rsidR="00EB3ED2" w:rsidRPr="00FD57F3" w:rsidRDefault="00AF327B" w:rsidP="00385560">
      <w:pPr>
        <w:pStyle w:val="Para1"/>
        <w:numPr>
          <w:ilvl w:val="1"/>
          <w:numId w:val="2"/>
        </w:numPr>
        <w:suppressLineNumbers/>
        <w:tabs>
          <w:tab w:val="clear" w:pos="1440"/>
          <w:tab w:val="left" w:pos="117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Style w:val="Hyperlink"/>
          <w:color w:val="auto"/>
          <w:kern w:val="22"/>
          <w:szCs w:val="22"/>
          <w:u w:val="none"/>
          <w:lang w:val="fr-FR"/>
        </w:rPr>
      </w:pPr>
      <w:r>
        <w:rPr>
          <w:kern w:val="22"/>
          <w:szCs w:val="22"/>
          <w:lang w:val="fr-FR"/>
        </w:rPr>
        <w:t>É</w:t>
      </w:r>
      <w:r w:rsidR="00FD57F3" w:rsidRPr="00FD57F3">
        <w:rPr>
          <w:kern w:val="22"/>
          <w:szCs w:val="22"/>
          <w:lang w:val="fr-FR"/>
        </w:rPr>
        <w:t>laboration d’une série de</w:t>
      </w:r>
      <w:r w:rsidR="00FD57F3">
        <w:rPr>
          <w:kern w:val="22"/>
          <w:szCs w:val="22"/>
          <w:lang w:val="fr-FR"/>
        </w:rPr>
        <w:t xml:space="preserve"> </w:t>
      </w:r>
      <w:r w:rsidR="00EB3ED2" w:rsidRPr="00FD57F3">
        <w:rPr>
          <w:kern w:val="22"/>
          <w:szCs w:val="22"/>
          <w:lang w:val="fr-FR"/>
        </w:rPr>
        <w:t>modules</w:t>
      </w:r>
      <w:r w:rsidR="00FD57F3">
        <w:rPr>
          <w:kern w:val="22"/>
          <w:szCs w:val="22"/>
          <w:lang w:val="fr-FR"/>
        </w:rPr>
        <w:t xml:space="preserve"> d</w:t>
      </w:r>
      <w:r w:rsidR="00445AAD">
        <w:rPr>
          <w:kern w:val="22"/>
          <w:szCs w:val="22"/>
          <w:lang w:val="fr-FR"/>
        </w:rPr>
        <w:t xml:space="preserve">’apprentissage en ligne portant </w:t>
      </w:r>
      <w:r w:rsidR="00FD57F3">
        <w:rPr>
          <w:kern w:val="22"/>
          <w:szCs w:val="22"/>
          <w:lang w:val="fr-FR"/>
        </w:rPr>
        <w:t xml:space="preserve">sur </w:t>
      </w:r>
      <w:r w:rsidR="00AF02EF" w:rsidRPr="00FD57F3">
        <w:rPr>
          <w:kern w:val="22"/>
          <w:szCs w:val="22"/>
          <w:lang w:val="fr-FR"/>
        </w:rPr>
        <w:t>l’intégration</w:t>
      </w:r>
      <w:r w:rsidR="00EB3ED2" w:rsidRPr="00FD57F3">
        <w:rPr>
          <w:kern w:val="22"/>
          <w:szCs w:val="22"/>
          <w:lang w:val="fr-FR"/>
        </w:rPr>
        <w:t xml:space="preserve"> </w:t>
      </w:r>
      <w:r w:rsidR="00A57D5A" w:rsidRPr="00FD57F3">
        <w:rPr>
          <w:kern w:val="22"/>
          <w:szCs w:val="22"/>
          <w:lang w:val="fr-FR"/>
        </w:rPr>
        <w:t>la prévention des risques biotechnologiques</w:t>
      </w:r>
      <w:r w:rsidR="00FD57F3">
        <w:rPr>
          <w:kern w:val="22"/>
          <w:szCs w:val="22"/>
          <w:lang w:val="fr-FR"/>
        </w:rPr>
        <w:t xml:space="preserve"> dans les</w:t>
      </w:r>
      <w:r w:rsidR="00EB3ED2" w:rsidRPr="00FD57F3">
        <w:rPr>
          <w:kern w:val="22"/>
          <w:szCs w:val="22"/>
          <w:lang w:val="fr-FR"/>
        </w:rPr>
        <w:t xml:space="preserve"> </w:t>
      </w:r>
      <w:r w:rsidR="00A57D5A" w:rsidRPr="00FD57F3">
        <w:rPr>
          <w:kern w:val="22"/>
          <w:szCs w:val="22"/>
          <w:lang w:val="fr-FR"/>
        </w:rPr>
        <w:t>SPANB</w:t>
      </w:r>
      <w:r w:rsidR="002B40D2" w:rsidRPr="00FD57F3">
        <w:rPr>
          <w:kern w:val="22"/>
          <w:szCs w:val="22"/>
          <w:lang w:val="fr-FR"/>
        </w:rPr>
        <w:t>;</w:t>
      </w:r>
    </w:p>
    <w:p w:rsidR="008771A7" w:rsidRPr="00FD57F3" w:rsidRDefault="00445AAD" w:rsidP="00385560">
      <w:pPr>
        <w:pStyle w:val="Para1"/>
        <w:numPr>
          <w:ilvl w:val="1"/>
          <w:numId w:val="2"/>
        </w:numPr>
        <w:suppressLineNumbers/>
        <w:tabs>
          <w:tab w:val="clear" w:pos="1440"/>
          <w:tab w:val="left" w:pos="117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Assurance d’</w:t>
      </w:r>
      <w:r w:rsidR="00FD57F3">
        <w:rPr>
          <w:kern w:val="22"/>
          <w:szCs w:val="22"/>
          <w:lang w:val="fr-FR"/>
        </w:rPr>
        <w:t>une approche coordonnée entre les</w:t>
      </w:r>
      <w:r w:rsidR="0075137E" w:rsidRPr="00FD57F3">
        <w:rPr>
          <w:kern w:val="22"/>
          <w:szCs w:val="22"/>
          <w:lang w:val="fr-FR"/>
        </w:rPr>
        <w:t xml:space="preserve"> </w:t>
      </w:r>
      <w:r w:rsidR="00FD57F3">
        <w:rPr>
          <w:kern w:val="22"/>
          <w:szCs w:val="22"/>
          <w:lang w:val="fr-FR"/>
        </w:rPr>
        <w:t>processu</w:t>
      </w:r>
      <w:r w:rsidR="008771A7" w:rsidRPr="00FD57F3">
        <w:rPr>
          <w:kern w:val="22"/>
          <w:szCs w:val="22"/>
          <w:lang w:val="fr-FR"/>
        </w:rPr>
        <w:t>s</w:t>
      </w:r>
      <w:r w:rsidR="00FD57F3">
        <w:rPr>
          <w:kern w:val="22"/>
          <w:szCs w:val="22"/>
          <w:lang w:val="fr-FR"/>
        </w:rPr>
        <w:t xml:space="preserve"> établis</w:t>
      </w:r>
      <w:r w:rsidR="008771A7" w:rsidRPr="00FD57F3">
        <w:rPr>
          <w:kern w:val="22"/>
          <w:szCs w:val="22"/>
          <w:lang w:val="fr-FR"/>
        </w:rPr>
        <w:t xml:space="preserve"> </w:t>
      </w:r>
      <w:r w:rsidR="008A4E67" w:rsidRPr="00FD57F3">
        <w:rPr>
          <w:kern w:val="22"/>
          <w:szCs w:val="22"/>
          <w:lang w:val="fr-FR"/>
        </w:rPr>
        <w:t>au titre de</w:t>
      </w:r>
      <w:r w:rsidR="008771A7" w:rsidRPr="00FD57F3">
        <w:rPr>
          <w:kern w:val="22"/>
          <w:szCs w:val="22"/>
          <w:lang w:val="fr-FR"/>
        </w:rPr>
        <w:t xml:space="preserve"> </w:t>
      </w:r>
      <w:r w:rsidR="00FD57F3">
        <w:rPr>
          <w:kern w:val="22"/>
          <w:szCs w:val="22"/>
          <w:lang w:val="fr-FR"/>
        </w:rPr>
        <w:t xml:space="preserve">la </w:t>
      </w:r>
      <w:r w:rsidR="008771A7" w:rsidRPr="00FD57F3">
        <w:rPr>
          <w:kern w:val="22"/>
          <w:szCs w:val="22"/>
          <w:lang w:val="fr-FR"/>
        </w:rPr>
        <w:t>Convention</w:t>
      </w:r>
      <w:r w:rsidR="00A57D5A" w:rsidRPr="00FD57F3">
        <w:rPr>
          <w:kern w:val="22"/>
          <w:szCs w:val="22"/>
          <w:lang w:val="fr-FR"/>
        </w:rPr>
        <w:t xml:space="preserve"> et </w:t>
      </w:r>
      <w:r w:rsidR="00FD57F3">
        <w:rPr>
          <w:kern w:val="22"/>
          <w:szCs w:val="22"/>
          <w:lang w:val="fr-FR"/>
        </w:rPr>
        <w:t>du</w:t>
      </w:r>
      <w:r w:rsidR="008771A7" w:rsidRPr="00FD57F3">
        <w:rPr>
          <w:kern w:val="22"/>
          <w:szCs w:val="22"/>
          <w:lang w:val="fr-FR"/>
        </w:rPr>
        <w:t xml:space="preserve"> </w:t>
      </w:r>
      <w:r w:rsidR="00A57D5A" w:rsidRPr="00FD57F3">
        <w:rPr>
          <w:kern w:val="22"/>
          <w:szCs w:val="22"/>
          <w:lang w:val="fr-FR"/>
        </w:rPr>
        <w:t>Protocole de Cartagena</w:t>
      </w:r>
      <w:r w:rsidR="008771A7" w:rsidRPr="00FD57F3">
        <w:rPr>
          <w:kern w:val="22"/>
          <w:szCs w:val="22"/>
          <w:lang w:val="fr-FR"/>
        </w:rPr>
        <w:t xml:space="preserve"> </w:t>
      </w:r>
      <w:r w:rsidR="00FD57F3">
        <w:rPr>
          <w:kern w:val="22"/>
          <w:szCs w:val="22"/>
          <w:lang w:val="fr-FR"/>
        </w:rPr>
        <w:t>en ce qui concerne la biologie de synthèse</w:t>
      </w:r>
      <w:r w:rsidR="0075137E" w:rsidRPr="00FD57F3">
        <w:rPr>
          <w:kern w:val="22"/>
          <w:szCs w:val="22"/>
          <w:lang w:val="fr-FR"/>
        </w:rPr>
        <w:t>;</w:t>
      </w:r>
    </w:p>
    <w:p w:rsidR="00365E9D" w:rsidRPr="00FD57F3" w:rsidRDefault="00445AAD" w:rsidP="00385560">
      <w:pPr>
        <w:pStyle w:val="Para1"/>
        <w:numPr>
          <w:ilvl w:val="1"/>
          <w:numId w:val="2"/>
        </w:numPr>
        <w:suppressLineNumbers/>
        <w:tabs>
          <w:tab w:val="clear" w:pos="1440"/>
          <w:tab w:val="left" w:pos="117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Inclusion d’</w:t>
      </w:r>
      <w:r w:rsidR="00FD57F3" w:rsidRPr="00FD57F3">
        <w:rPr>
          <w:kern w:val="22"/>
          <w:szCs w:val="22"/>
          <w:lang w:val="fr-FR"/>
        </w:rPr>
        <w:t xml:space="preserve">un </w:t>
      </w:r>
      <w:r w:rsidR="00FD57F3">
        <w:rPr>
          <w:kern w:val="22"/>
          <w:szCs w:val="22"/>
          <w:lang w:val="fr-FR"/>
        </w:rPr>
        <w:t>thè</w:t>
      </w:r>
      <w:r w:rsidR="00FD57F3" w:rsidRPr="00FD57F3">
        <w:rPr>
          <w:kern w:val="22"/>
          <w:szCs w:val="22"/>
          <w:lang w:val="fr-FR"/>
        </w:rPr>
        <w:t xml:space="preserve">me sur </w:t>
      </w:r>
      <w:r w:rsidR="00A57D5A" w:rsidRPr="00FD57F3">
        <w:rPr>
          <w:kern w:val="22"/>
          <w:szCs w:val="22"/>
          <w:lang w:val="fr-FR"/>
        </w:rPr>
        <w:t>la prévention des risques biotechnologiques</w:t>
      </w:r>
      <w:r w:rsidR="00FD57F3">
        <w:rPr>
          <w:kern w:val="22"/>
          <w:szCs w:val="22"/>
          <w:lang w:val="fr-FR"/>
        </w:rPr>
        <w:t xml:space="preserve"> dans la « </w:t>
      </w:r>
      <w:r w:rsidR="000A0135" w:rsidRPr="00FD57F3">
        <w:rPr>
          <w:kern w:val="22"/>
          <w:szCs w:val="22"/>
          <w:lang w:val="fr-FR"/>
        </w:rPr>
        <w:t>Plat</w:t>
      </w:r>
      <w:r w:rsidR="00FD57F3">
        <w:rPr>
          <w:kern w:val="22"/>
          <w:szCs w:val="22"/>
          <w:lang w:val="fr-FR"/>
        </w:rPr>
        <w:t>e</w:t>
      </w:r>
      <w:r w:rsidR="000A0135" w:rsidRPr="00FD57F3">
        <w:rPr>
          <w:kern w:val="22"/>
          <w:szCs w:val="22"/>
          <w:lang w:val="fr-FR"/>
        </w:rPr>
        <w:t>form</w:t>
      </w:r>
      <w:r w:rsidR="00FD57F3">
        <w:rPr>
          <w:kern w:val="22"/>
          <w:szCs w:val="22"/>
          <w:lang w:val="fr-FR"/>
        </w:rPr>
        <w:t>e mondiale pour les entreprises et la biodiversité »</w:t>
      </w:r>
      <w:r w:rsidR="000A0135" w:rsidRPr="00385560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4"/>
      </w:r>
      <w:r w:rsidR="00FD57F3">
        <w:rPr>
          <w:kern w:val="22"/>
          <w:szCs w:val="22"/>
          <w:lang w:val="fr-FR"/>
        </w:rPr>
        <w:t>, qui favorise une</w:t>
      </w:r>
      <w:r>
        <w:rPr>
          <w:kern w:val="22"/>
          <w:szCs w:val="22"/>
          <w:lang w:val="fr-FR"/>
        </w:rPr>
        <w:t xml:space="preserve"> collaboration entre le secteur privé le</w:t>
      </w:r>
      <w:r w:rsidR="00FD57F3" w:rsidRPr="00FD57F3">
        <w:rPr>
          <w:kern w:val="22"/>
          <w:szCs w:val="22"/>
          <w:lang w:val="fr-FR"/>
        </w:rPr>
        <w:t xml:space="preserve"> du secteur public pour atteindre les objectifs de la</w:t>
      </w:r>
      <w:r w:rsidR="000A0135" w:rsidRPr="00FD57F3">
        <w:rPr>
          <w:kern w:val="22"/>
          <w:szCs w:val="22"/>
          <w:lang w:val="fr-FR"/>
        </w:rPr>
        <w:t xml:space="preserve"> </w:t>
      </w:r>
      <w:r w:rsidR="00A57D5A" w:rsidRPr="00FD57F3">
        <w:rPr>
          <w:kern w:val="22"/>
          <w:szCs w:val="22"/>
          <w:lang w:val="fr-FR"/>
        </w:rPr>
        <w:t>Con</w:t>
      </w:r>
      <w:r w:rsidR="000A0135" w:rsidRPr="00FD57F3">
        <w:rPr>
          <w:kern w:val="22"/>
          <w:szCs w:val="22"/>
          <w:lang w:val="fr-FR"/>
        </w:rPr>
        <w:t>vention.</w:t>
      </w:r>
    </w:p>
    <w:p w:rsidR="00D03B00" w:rsidRPr="001C27DE" w:rsidRDefault="001C27DE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 w:rsidRPr="001C27DE">
        <w:rPr>
          <w:kern w:val="22"/>
          <w:lang w:val="fr-FR"/>
        </w:rPr>
        <w:t xml:space="preserve">En </w:t>
      </w:r>
      <w:r>
        <w:rPr>
          <w:kern w:val="22"/>
          <w:lang w:val="fr-FR"/>
        </w:rPr>
        <w:t>conséquence</w:t>
      </w:r>
      <w:r w:rsidRPr="001C27DE">
        <w:rPr>
          <w:kern w:val="22"/>
          <w:lang w:val="fr-FR"/>
        </w:rPr>
        <w:t xml:space="preserve"> </w:t>
      </w:r>
      <w:r>
        <w:rPr>
          <w:kern w:val="22"/>
          <w:lang w:val="fr-FR"/>
        </w:rPr>
        <w:t>des initiatives menées</w:t>
      </w:r>
      <w:r w:rsidRPr="001C27DE">
        <w:rPr>
          <w:kern w:val="22"/>
          <w:lang w:val="fr-FR"/>
        </w:rPr>
        <w:t xml:space="preserve"> pour </w:t>
      </w:r>
      <w:r w:rsidR="000867CA" w:rsidRPr="001C27DE">
        <w:rPr>
          <w:kern w:val="22"/>
          <w:lang w:val="fr-FR"/>
        </w:rPr>
        <w:t>intégrer</w:t>
      </w:r>
      <w:r w:rsidR="00D03B00" w:rsidRPr="001C27DE">
        <w:rPr>
          <w:kern w:val="22"/>
          <w:lang w:val="fr-FR"/>
        </w:rPr>
        <w:t xml:space="preserve"> </w:t>
      </w:r>
      <w:r w:rsidR="00A57D5A" w:rsidRPr="001C27DE">
        <w:rPr>
          <w:kern w:val="22"/>
          <w:lang w:val="fr-FR"/>
        </w:rPr>
        <w:t>la prévention des risques biotechnologiques</w:t>
      </w:r>
      <w:r w:rsidR="00D03B00" w:rsidRPr="001C27DE">
        <w:rPr>
          <w:kern w:val="22"/>
          <w:lang w:val="fr-FR"/>
        </w:rPr>
        <w:t xml:space="preserve"> </w:t>
      </w:r>
      <w:r>
        <w:rPr>
          <w:kern w:val="22"/>
          <w:lang w:val="fr-FR"/>
        </w:rPr>
        <w:t xml:space="preserve">dans les stratégies </w:t>
      </w:r>
      <w:r w:rsidR="00D03B00" w:rsidRPr="001C27DE">
        <w:rPr>
          <w:kern w:val="22"/>
          <w:lang w:val="fr-FR"/>
        </w:rPr>
        <w:t>national</w:t>
      </w:r>
      <w:r>
        <w:rPr>
          <w:kern w:val="22"/>
          <w:lang w:val="fr-FR"/>
        </w:rPr>
        <w:t>es pour la diversité biologique, un certain nombre de pays ont inclus des considérations relatives à la</w:t>
      </w:r>
      <w:r w:rsidR="00A57D5A" w:rsidRPr="001C27DE">
        <w:rPr>
          <w:kern w:val="22"/>
          <w:lang w:val="fr-FR"/>
        </w:rPr>
        <w:t xml:space="preserve"> prévention des risques biotechnologiques</w:t>
      </w:r>
      <w:r>
        <w:rPr>
          <w:kern w:val="22"/>
          <w:lang w:val="fr-FR"/>
        </w:rPr>
        <w:t xml:space="preserve"> dans leurs </w:t>
      </w:r>
      <w:r w:rsidR="00A57D5A" w:rsidRPr="001C27DE">
        <w:rPr>
          <w:kern w:val="22"/>
          <w:lang w:val="fr-FR"/>
        </w:rPr>
        <w:t>SPANB</w:t>
      </w:r>
      <w:r>
        <w:rPr>
          <w:kern w:val="22"/>
          <w:lang w:val="fr-FR"/>
        </w:rPr>
        <w:t xml:space="preserve"> révisés</w:t>
      </w:r>
      <w:r w:rsidR="00D03B00" w:rsidRPr="001C27DE">
        <w:rPr>
          <w:kern w:val="22"/>
          <w:lang w:val="fr-FR"/>
        </w:rPr>
        <w:t>.</w:t>
      </w:r>
    </w:p>
    <w:p w:rsidR="00D03B00" w:rsidRPr="00445AAD" w:rsidRDefault="00AF02EF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 w:rsidRPr="00445AAD">
        <w:rPr>
          <w:kern w:val="22"/>
          <w:lang w:val="fr-FR"/>
        </w:rPr>
        <w:t xml:space="preserve">Des </w:t>
      </w:r>
      <w:r w:rsidR="00025645" w:rsidRPr="00445AAD">
        <w:rPr>
          <w:kern w:val="22"/>
          <w:lang w:val="fr-FR"/>
        </w:rPr>
        <w:t>initiative</w:t>
      </w:r>
      <w:r w:rsidR="00D03B00" w:rsidRPr="00445AAD">
        <w:rPr>
          <w:kern w:val="22"/>
          <w:lang w:val="fr-FR"/>
        </w:rPr>
        <w:t>s</w:t>
      </w:r>
      <w:r w:rsidRPr="00445AAD">
        <w:rPr>
          <w:kern w:val="22"/>
          <w:lang w:val="fr-FR"/>
        </w:rPr>
        <w:t xml:space="preserve"> importantes</w:t>
      </w:r>
      <w:r w:rsidR="00445AAD">
        <w:rPr>
          <w:kern w:val="22"/>
          <w:lang w:val="fr-FR"/>
        </w:rPr>
        <w:t xml:space="preserve"> pour traiter</w:t>
      </w:r>
      <w:r w:rsidR="00445AAD" w:rsidRPr="00445AAD">
        <w:rPr>
          <w:kern w:val="22"/>
          <w:lang w:val="fr-FR"/>
        </w:rPr>
        <w:t xml:space="preserve"> les questions ci-dessus sont actuellement financées par le Gouvernement japonais, par le biais du Fonds japonais pour la biodiversité, sous forme de projets de renforcement des capacités nationales pour</w:t>
      </w:r>
      <w:r w:rsidR="00445AAD">
        <w:rPr>
          <w:kern w:val="22"/>
          <w:lang w:val="fr-FR"/>
        </w:rPr>
        <w:t xml:space="preserve"> assurer l’application </w:t>
      </w:r>
      <w:r w:rsidR="00445AAD" w:rsidRPr="00445AAD">
        <w:rPr>
          <w:kern w:val="22"/>
          <w:lang w:val="fr-FR"/>
        </w:rPr>
        <w:t xml:space="preserve">intégrée </w:t>
      </w:r>
      <w:r w:rsidR="00445AAD">
        <w:rPr>
          <w:kern w:val="22"/>
          <w:lang w:val="fr-FR"/>
        </w:rPr>
        <w:t xml:space="preserve">de </w:t>
      </w:r>
      <w:r w:rsidR="00A57D5A" w:rsidRPr="00445AAD">
        <w:rPr>
          <w:kern w:val="22"/>
          <w:lang w:val="fr-FR"/>
        </w:rPr>
        <w:t>la prévention des risques biotechnologiques</w:t>
      </w:r>
      <w:r w:rsidR="00D03B00" w:rsidRPr="00445AAD">
        <w:rPr>
          <w:kern w:val="22"/>
          <w:lang w:val="fr-FR"/>
        </w:rPr>
        <w:t xml:space="preserve"> </w:t>
      </w:r>
      <w:r w:rsidR="00445AAD">
        <w:rPr>
          <w:kern w:val="22"/>
          <w:lang w:val="fr-FR"/>
        </w:rPr>
        <w:t>dans différents secteurs et entre ces secteurs au niveau national</w:t>
      </w:r>
      <w:r w:rsidR="00D03B00" w:rsidRPr="00445AAD">
        <w:rPr>
          <w:kern w:val="22"/>
          <w:lang w:val="fr-FR"/>
        </w:rPr>
        <w:t>.</w:t>
      </w:r>
    </w:p>
    <w:p w:rsidR="00D03B00" w:rsidRPr="00BA7936" w:rsidRDefault="00AF02EF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 w:rsidRPr="00AF02EF">
        <w:rPr>
          <w:kern w:val="22"/>
          <w:lang w:val="fr-FR"/>
        </w:rPr>
        <w:t xml:space="preserve">Un projet </w:t>
      </w:r>
      <w:r w:rsidR="006D5B37" w:rsidRPr="00AF02EF">
        <w:rPr>
          <w:kern w:val="22"/>
          <w:lang w:val="fr-FR"/>
        </w:rPr>
        <w:t>pilot</w:t>
      </w:r>
      <w:r w:rsidRPr="00AF02EF">
        <w:rPr>
          <w:kern w:val="22"/>
          <w:lang w:val="fr-FR"/>
        </w:rPr>
        <w:t>e sur</w:t>
      </w:r>
      <w:r w:rsidR="00C267B8" w:rsidRPr="00AF02EF">
        <w:rPr>
          <w:kern w:val="22"/>
          <w:lang w:val="fr-FR"/>
        </w:rPr>
        <w:t xml:space="preserve"> </w:t>
      </w:r>
      <w:r>
        <w:rPr>
          <w:kern w:val="22"/>
          <w:lang w:val="fr-FR"/>
        </w:rPr>
        <w:t>l’intégration</w:t>
      </w:r>
      <w:r w:rsidR="00C267B8" w:rsidRPr="00AF02EF">
        <w:rPr>
          <w:kern w:val="22"/>
          <w:lang w:val="fr-FR"/>
        </w:rPr>
        <w:t xml:space="preserve"> </w:t>
      </w:r>
      <w:r>
        <w:rPr>
          <w:kern w:val="22"/>
          <w:lang w:val="fr-FR"/>
        </w:rPr>
        <w:t xml:space="preserve">de </w:t>
      </w:r>
      <w:r w:rsidR="00A57D5A" w:rsidRPr="00AF02EF">
        <w:rPr>
          <w:kern w:val="22"/>
          <w:lang w:val="fr-FR"/>
        </w:rPr>
        <w:t>la prévention des risques biotechnologiques</w:t>
      </w:r>
      <w:r>
        <w:rPr>
          <w:kern w:val="22"/>
          <w:lang w:val="fr-FR"/>
        </w:rPr>
        <w:t xml:space="preserve"> a été réalisé e</w:t>
      </w:r>
      <w:r w:rsidR="006D5B37" w:rsidRPr="00AF02EF">
        <w:rPr>
          <w:kern w:val="22"/>
          <w:lang w:val="fr-FR"/>
        </w:rPr>
        <w:t>n 2015-2016</w:t>
      </w:r>
      <w:r w:rsidR="00445AAD">
        <w:rPr>
          <w:kern w:val="22"/>
          <w:lang w:val="fr-FR"/>
        </w:rPr>
        <w:t>;</w:t>
      </w:r>
      <w:r w:rsidR="00BB3DD1">
        <w:rPr>
          <w:kern w:val="22"/>
          <w:lang w:val="fr-FR"/>
        </w:rPr>
        <w:t xml:space="preserve"> neuf</w:t>
      </w:r>
      <w:r w:rsidR="007A6F71" w:rsidRPr="00AF02EF">
        <w:rPr>
          <w:kern w:val="22"/>
          <w:lang w:val="fr-FR"/>
        </w:rPr>
        <w:t xml:space="preserve"> Parties </w:t>
      </w:r>
      <w:r w:rsidR="00A57D5A" w:rsidRPr="00AF02EF">
        <w:rPr>
          <w:kern w:val="22"/>
          <w:lang w:val="fr-FR"/>
        </w:rPr>
        <w:t>au Protocole de Cartagena</w:t>
      </w:r>
      <w:r w:rsidR="00445AAD">
        <w:rPr>
          <w:kern w:val="22"/>
          <w:lang w:val="fr-FR"/>
        </w:rPr>
        <w:t xml:space="preserve"> y ont participé</w:t>
      </w:r>
      <w:r w:rsidR="007A6F71" w:rsidRPr="00AF02EF">
        <w:rPr>
          <w:kern w:val="22"/>
          <w:lang w:val="fr-FR"/>
        </w:rPr>
        <w:t>.</w:t>
      </w:r>
      <w:r w:rsidR="00D03B00" w:rsidRPr="00AF02EF">
        <w:rPr>
          <w:kern w:val="22"/>
          <w:lang w:val="fr-FR"/>
        </w:rPr>
        <w:t xml:space="preserve"> </w:t>
      </w:r>
      <w:r w:rsidR="00445AAD">
        <w:rPr>
          <w:kern w:val="22"/>
          <w:lang w:val="fr-FR"/>
        </w:rPr>
        <w:t>Dans le cadre de</w:t>
      </w:r>
      <w:r w:rsidR="00BB3DD1" w:rsidRPr="00BB3DD1">
        <w:rPr>
          <w:kern w:val="22"/>
          <w:lang w:val="fr-FR"/>
        </w:rPr>
        <w:t xml:space="preserve"> ce projet</w:t>
      </w:r>
      <w:r w:rsidR="00BB3DD1">
        <w:rPr>
          <w:kern w:val="22"/>
          <w:lang w:val="fr-FR"/>
        </w:rPr>
        <w:t xml:space="preserve"> pilote</w:t>
      </w:r>
      <w:r w:rsidR="00D03B00" w:rsidRPr="00BB3DD1">
        <w:rPr>
          <w:kern w:val="22"/>
          <w:lang w:val="fr-FR"/>
        </w:rPr>
        <w:t>,</w:t>
      </w:r>
      <w:r w:rsidR="00BB3DD1">
        <w:rPr>
          <w:kern w:val="22"/>
          <w:lang w:val="fr-FR"/>
        </w:rPr>
        <w:t xml:space="preserve"> les pays participants ont id</w:t>
      </w:r>
      <w:r w:rsidR="00445AAD">
        <w:rPr>
          <w:kern w:val="22"/>
          <w:lang w:val="fr-FR"/>
        </w:rPr>
        <w:t xml:space="preserve">entifié des moyens pour intégrer </w:t>
      </w:r>
      <w:r w:rsidR="00A57D5A" w:rsidRPr="00BB3DD1">
        <w:rPr>
          <w:kern w:val="22"/>
          <w:lang w:val="fr-FR"/>
        </w:rPr>
        <w:t>la prévention des risques biotechnologiques</w:t>
      </w:r>
      <w:r w:rsidR="00445AAD">
        <w:rPr>
          <w:kern w:val="22"/>
          <w:lang w:val="fr-FR"/>
        </w:rPr>
        <w:t xml:space="preserve"> </w:t>
      </w:r>
      <w:r w:rsidR="00BB3DD1">
        <w:rPr>
          <w:kern w:val="22"/>
          <w:lang w:val="fr-FR"/>
        </w:rPr>
        <w:t xml:space="preserve">dans différents cadres juridiques, politiques </w:t>
      </w:r>
      <w:r w:rsidR="00A57D5A" w:rsidRPr="00BB3DD1">
        <w:rPr>
          <w:kern w:val="22"/>
          <w:lang w:val="fr-FR"/>
        </w:rPr>
        <w:t xml:space="preserve">et </w:t>
      </w:r>
      <w:r w:rsidR="00D03B00" w:rsidRPr="00BB3DD1">
        <w:rPr>
          <w:kern w:val="22"/>
          <w:lang w:val="fr-FR"/>
        </w:rPr>
        <w:t>instituti</w:t>
      </w:r>
      <w:r w:rsidR="00BB3DD1">
        <w:rPr>
          <w:kern w:val="22"/>
          <w:lang w:val="fr-FR"/>
        </w:rPr>
        <w:t>onnels</w:t>
      </w:r>
      <w:r w:rsidR="00445AAD" w:rsidRPr="00445AAD">
        <w:rPr>
          <w:kern w:val="22"/>
          <w:lang w:val="fr-FR"/>
        </w:rPr>
        <w:t xml:space="preserve"> </w:t>
      </w:r>
      <w:r w:rsidR="00445AAD">
        <w:rPr>
          <w:kern w:val="22"/>
          <w:lang w:val="fr-FR"/>
        </w:rPr>
        <w:t>sectoriel</w:t>
      </w:r>
      <w:r w:rsidR="00445AAD">
        <w:rPr>
          <w:kern w:val="22"/>
          <w:lang w:val="fr-FR"/>
        </w:rPr>
        <w:t>s</w:t>
      </w:r>
      <w:r w:rsidR="00445AAD" w:rsidRPr="00BB3DD1">
        <w:rPr>
          <w:kern w:val="22"/>
          <w:lang w:val="fr-FR"/>
        </w:rPr>
        <w:t xml:space="preserve"> et </w:t>
      </w:r>
      <w:r w:rsidR="00445AAD">
        <w:rPr>
          <w:kern w:val="22"/>
          <w:lang w:val="fr-FR"/>
        </w:rPr>
        <w:t>intersectoriels</w:t>
      </w:r>
      <w:r w:rsidR="00D03B00" w:rsidRPr="00BB3DD1">
        <w:rPr>
          <w:kern w:val="22"/>
          <w:lang w:val="fr-FR"/>
        </w:rPr>
        <w:t xml:space="preserve">. </w:t>
      </w:r>
      <w:r w:rsidR="00445AAD">
        <w:rPr>
          <w:kern w:val="22"/>
          <w:lang w:val="fr-FR"/>
        </w:rPr>
        <w:t>En documentant les bonnes pratiques nationales, le projet a préparé des mesures nationales et éclairé l’</w:t>
      </w:r>
      <w:r w:rsidR="006F3909">
        <w:rPr>
          <w:kern w:val="22"/>
          <w:lang w:val="fr-FR"/>
        </w:rPr>
        <w:t>élaboration du</w:t>
      </w:r>
      <w:r w:rsidR="00445AAD">
        <w:rPr>
          <w:kern w:val="22"/>
          <w:lang w:val="fr-FR"/>
        </w:rPr>
        <w:t xml:space="preserve"> matériel d’apprentissage en ligne sur </w:t>
      </w:r>
      <w:r w:rsidR="000867CA" w:rsidRPr="00BA7936">
        <w:rPr>
          <w:kern w:val="22"/>
          <w:lang w:val="fr-FR"/>
        </w:rPr>
        <w:t>le renforcement des capacités</w:t>
      </w:r>
      <w:r w:rsidR="006F3909">
        <w:rPr>
          <w:kern w:val="22"/>
          <w:lang w:val="fr-FR"/>
        </w:rPr>
        <w:t>, afin d’</w:t>
      </w:r>
      <w:r w:rsidR="00445AAD">
        <w:rPr>
          <w:kern w:val="22"/>
          <w:lang w:val="fr-FR"/>
        </w:rPr>
        <w:t>aider les Parties à intégrer</w:t>
      </w:r>
      <w:r w:rsidR="00D03B00" w:rsidRPr="00BA7936">
        <w:rPr>
          <w:kern w:val="22"/>
          <w:lang w:val="fr-FR"/>
        </w:rPr>
        <w:t xml:space="preserve"> </w:t>
      </w:r>
      <w:r w:rsidR="00A57D5A" w:rsidRPr="00BA7936">
        <w:rPr>
          <w:kern w:val="22"/>
          <w:lang w:val="fr-FR"/>
        </w:rPr>
        <w:t>la prévention des risques biotechnologiques</w:t>
      </w:r>
      <w:r w:rsidR="00445AAD">
        <w:rPr>
          <w:kern w:val="22"/>
          <w:lang w:val="fr-FR"/>
        </w:rPr>
        <w:t xml:space="preserve"> au niveau national, notamment dans leurs </w:t>
      </w:r>
      <w:r w:rsidR="00A57D5A" w:rsidRPr="00BA7936">
        <w:rPr>
          <w:kern w:val="22"/>
          <w:lang w:val="fr-FR"/>
        </w:rPr>
        <w:t>SPANB</w:t>
      </w:r>
      <w:r w:rsidR="00D03B00" w:rsidRPr="00BA7936">
        <w:rPr>
          <w:kern w:val="22"/>
          <w:lang w:val="fr-FR"/>
        </w:rPr>
        <w:t>.</w:t>
      </w:r>
    </w:p>
    <w:p w:rsidR="00EB3ED2" w:rsidRPr="00BA7936" w:rsidRDefault="00AF02EF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 w:rsidRPr="00BA7936">
        <w:rPr>
          <w:kern w:val="22"/>
          <w:lang w:val="fr-FR"/>
        </w:rPr>
        <w:t>Durant l’exercice biennal</w:t>
      </w:r>
      <w:r w:rsidR="00D37224" w:rsidRPr="00BA7936">
        <w:rPr>
          <w:kern w:val="22"/>
          <w:lang w:val="fr-FR"/>
        </w:rPr>
        <w:t xml:space="preserve"> 2017-2018</w:t>
      </w:r>
      <w:r w:rsidR="00D03B00" w:rsidRPr="00BA7936">
        <w:rPr>
          <w:kern w:val="22"/>
          <w:lang w:val="fr-FR"/>
        </w:rPr>
        <w:t xml:space="preserve">, </w:t>
      </w:r>
      <w:r w:rsidR="006F3909">
        <w:rPr>
          <w:kern w:val="22"/>
          <w:lang w:val="fr-FR"/>
        </w:rPr>
        <w:t>un projet de suivi est réalisé pour rassembler les correspondants nationaux</w:t>
      </w:r>
      <w:r w:rsidR="006D5B37" w:rsidRPr="00BA7936">
        <w:rPr>
          <w:kern w:val="22"/>
          <w:lang w:val="fr-FR"/>
        </w:rPr>
        <w:t xml:space="preserve"> </w:t>
      </w:r>
      <w:r w:rsidR="00A57D5A" w:rsidRPr="00BA7936">
        <w:rPr>
          <w:kern w:val="22"/>
          <w:lang w:val="fr-FR"/>
        </w:rPr>
        <w:t>du Protocole de Cartagena et de la Con</w:t>
      </w:r>
      <w:r w:rsidR="006D5B37" w:rsidRPr="00BA7936">
        <w:rPr>
          <w:kern w:val="22"/>
          <w:lang w:val="fr-FR"/>
        </w:rPr>
        <w:t>vention</w:t>
      </w:r>
      <w:r w:rsidR="006F3909">
        <w:rPr>
          <w:kern w:val="22"/>
          <w:lang w:val="fr-FR"/>
        </w:rPr>
        <w:t>,</w:t>
      </w:r>
      <w:r w:rsidR="00A57D5A" w:rsidRPr="00BA7936">
        <w:rPr>
          <w:kern w:val="22"/>
          <w:lang w:val="fr-FR"/>
        </w:rPr>
        <w:t xml:space="preserve"> et </w:t>
      </w:r>
      <w:r w:rsidR="006F3909">
        <w:rPr>
          <w:kern w:val="22"/>
          <w:lang w:val="fr-FR"/>
        </w:rPr>
        <w:t xml:space="preserve">les </w:t>
      </w:r>
      <w:r w:rsidR="00B21159" w:rsidRPr="00BA7936">
        <w:rPr>
          <w:kern w:val="22"/>
          <w:lang w:val="fr-FR"/>
        </w:rPr>
        <w:t>experts</w:t>
      </w:r>
      <w:r w:rsidR="006F3909">
        <w:rPr>
          <w:kern w:val="22"/>
          <w:lang w:val="fr-FR"/>
        </w:rPr>
        <w:t xml:space="preserve"> juridiques et politiques de </w:t>
      </w:r>
      <w:r w:rsidR="00B21159" w:rsidRPr="00BA7936">
        <w:rPr>
          <w:kern w:val="22"/>
          <w:lang w:val="fr-FR"/>
        </w:rPr>
        <w:t>30 Parties</w:t>
      </w:r>
      <w:r w:rsidR="006F3909">
        <w:rPr>
          <w:kern w:val="22"/>
          <w:lang w:val="fr-FR"/>
        </w:rPr>
        <w:t>, dans une série d’</w:t>
      </w:r>
      <w:r w:rsidRPr="00BA7936">
        <w:rPr>
          <w:kern w:val="22"/>
          <w:lang w:val="fr-FR"/>
        </w:rPr>
        <w:t>atelier</w:t>
      </w:r>
      <w:r w:rsidR="00B21159" w:rsidRPr="00BA7936">
        <w:rPr>
          <w:kern w:val="22"/>
          <w:lang w:val="fr-FR"/>
        </w:rPr>
        <w:t>s</w:t>
      </w:r>
      <w:r w:rsidR="006F3909">
        <w:rPr>
          <w:kern w:val="22"/>
          <w:lang w:val="fr-FR"/>
        </w:rPr>
        <w:t xml:space="preserve"> régionaux visant à mettre au point des actions pour intégrer la </w:t>
      </w:r>
      <w:r w:rsidR="00A57D5A" w:rsidRPr="00BA7936">
        <w:rPr>
          <w:kern w:val="22"/>
          <w:lang w:val="fr-FR"/>
        </w:rPr>
        <w:t>prévention des risques biotechnologiques</w:t>
      </w:r>
      <w:r w:rsidR="00B21159" w:rsidRPr="00BA7936">
        <w:rPr>
          <w:kern w:val="22"/>
          <w:lang w:val="fr-FR"/>
        </w:rPr>
        <w:t xml:space="preserve"> </w:t>
      </w:r>
      <w:r w:rsidR="006F3909">
        <w:rPr>
          <w:kern w:val="22"/>
          <w:lang w:val="fr-FR"/>
        </w:rPr>
        <w:t xml:space="preserve">dans différentes politiques générales, législations et structurelles institutionnelles </w:t>
      </w:r>
      <w:r w:rsidR="00BB3DD1" w:rsidRPr="00BA7936">
        <w:rPr>
          <w:kern w:val="22"/>
          <w:lang w:val="fr-FR"/>
        </w:rPr>
        <w:t>sectoriel</w:t>
      </w:r>
      <w:r w:rsidR="006F3909">
        <w:rPr>
          <w:kern w:val="22"/>
          <w:lang w:val="fr-FR"/>
        </w:rPr>
        <w:t>les</w:t>
      </w:r>
      <w:r w:rsidR="00A57D5A" w:rsidRPr="00BA7936">
        <w:rPr>
          <w:kern w:val="22"/>
          <w:lang w:val="fr-FR"/>
        </w:rPr>
        <w:t xml:space="preserve"> et </w:t>
      </w:r>
      <w:r w:rsidR="006F3909">
        <w:rPr>
          <w:kern w:val="22"/>
          <w:lang w:val="fr-FR"/>
        </w:rPr>
        <w:t>inter</w:t>
      </w:r>
      <w:r w:rsidR="00BB3DD1" w:rsidRPr="00BA7936">
        <w:rPr>
          <w:kern w:val="22"/>
          <w:lang w:val="fr-FR"/>
        </w:rPr>
        <w:t>sectoriel</w:t>
      </w:r>
      <w:r w:rsidR="006F3909">
        <w:rPr>
          <w:kern w:val="22"/>
          <w:lang w:val="fr-FR"/>
        </w:rPr>
        <w:t>les</w:t>
      </w:r>
      <w:r w:rsidR="007A2705" w:rsidRPr="00BA7936">
        <w:rPr>
          <w:kern w:val="22"/>
          <w:lang w:val="fr-FR"/>
        </w:rPr>
        <w:t xml:space="preserve">, </w:t>
      </w:r>
      <w:r w:rsidR="008A4E67" w:rsidRPr="00BA7936">
        <w:rPr>
          <w:kern w:val="22"/>
          <w:lang w:val="fr-FR"/>
        </w:rPr>
        <w:t>y compris</w:t>
      </w:r>
      <w:r w:rsidR="007A2705" w:rsidRPr="00BA7936">
        <w:rPr>
          <w:kern w:val="22"/>
          <w:lang w:val="fr-FR"/>
        </w:rPr>
        <w:t xml:space="preserve"> </w:t>
      </w:r>
      <w:r w:rsidR="006F3909">
        <w:rPr>
          <w:kern w:val="22"/>
          <w:lang w:val="fr-FR"/>
        </w:rPr>
        <w:t xml:space="preserve">les </w:t>
      </w:r>
      <w:r w:rsidR="00A57D5A" w:rsidRPr="00BA7936">
        <w:rPr>
          <w:kern w:val="22"/>
          <w:lang w:val="fr-FR"/>
        </w:rPr>
        <w:t>SPANB</w:t>
      </w:r>
      <w:r w:rsidR="00B21159" w:rsidRPr="00BA7936">
        <w:rPr>
          <w:kern w:val="22"/>
          <w:lang w:val="fr-FR"/>
        </w:rPr>
        <w:t xml:space="preserve">. </w:t>
      </w:r>
      <w:r w:rsidR="006F3909">
        <w:rPr>
          <w:kern w:val="22"/>
          <w:lang w:val="fr-FR"/>
        </w:rPr>
        <w:t xml:space="preserve">Les </w:t>
      </w:r>
      <w:r w:rsidRPr="00BA7936">
        <w:rPr>
          <w:kern w:val="22"/>
          <w:lang w:val="fr-FR"/>
        </w:rPr>
        <w:t>atelier</w:t>
      </w:r>
      <w:r w:rsidR="00B917C7" w:rsidRPr="00BA7936">
        <w:rPr>
          <w:kern w:val="22"/>
          <w:lang w:val="fr-FR"/>
        </w:rPr>
        <w:t>s</w:t>
      </w:r>
      <w:r w:rsidR="006F3909">
        <w:rPr>
          <w:kern w:val="22"/>
          <w:lang w:val="fr-FR"/>
        </w:rPr>
        <w:t xml:space="preserve"> régionaux s’accompagnent d’</w:t>
      </w:r>
      <w:r w:rsidR="00B523B9" w:rsidRPr="00BA7936">
        <w:rPr>
          <w:kern w:val="22"/>
          <w:lang w:val="fr-FR"/>
        </w:rPr>
        <w:t>activités</w:t>
      </w:r>
      <w:r w:rsidR="006F3909">
        <w:rPr>
          <w:kern w:val="22"/>
          <w:lang w:val="fr-FR"/>
        </w:rPr>
        <w:t xml:space="preserve"> menées au niveau national</w:t>
      </w:r>
      <w:r w:rsidR="00B917C7" w:rsidRPr="00BA7936">
        <w:rPr>
          <w:kern w:val="22"/>
          <w:lang w:val="fr-FR"/>
        </w:rPr>
        <w:t xml:space="preserve">. </w:t>
      </w:r>
      <w:r w:rsidR="006F3909">
        <w:rPr>
          <w:kern w:val="22"/>
          <w:lang w:val="fr-FR"/>
        </w:rPr>
        <w:t xml:space="preserve">Un matériel d’apprentissage en ligne sur </w:t>
      </w:r>
      <w:r w:rsidRPr="00BA7936">
        <w:rPr>
          <w:kern w:val="22"/>
          <w:lang w:val="fr-FR"/>
        </w:rPr>
        <w:t>l’intégration</w:t>
      </w:r>
      <w:r w:rsidR="00B917C7" w:rsidRPr="00BA7936">
        <w:rPr>
          <w:kern w:val="22"/>
          <w:lang w:val="fr-FR"/>
        </w:rPr>
        <w:t xml:space="preserve"> </w:t>
      </w:r>
      <w:r w:rsidR="006F3909">
        <w:rPr>
          <w:kern w:val="22"/>
          <w:lang w:val="fr-FR"/>
        </w:rPr>
        <w:t xml:space="preserve">de </w:t>
      </w:r>
      <w:r w:rsidR="00A57D5A" w:rsidRPr="00BA7936">
        <w:rPr>
          <w:kern w:val="22"/>
          <w:lang w:val="fr-FR"/>
        </w:rPr>
        <w:t>la prévention des risques biotechnologiques</w:t>
      </w:r>
      <w:r w:rsidR="00B917C7" w:rsidRPr="00BA7936">
        <w:rPr>
          <w:kern w:val="22"/>
          <w:lang w:val="fr-FR"/>
        </w:rPr>
        <w:t xml:space="preserve"> </w:t>
      </w:r>
      <w:r w:rsidR="006F3909">
        <w:rPr>
          <w:kern w:val="22"/>
          <w:lang w:val="fr-FR"/>
        </w:rPr>
        <w:t>dans la lé</w:t>
      </w:r>
      <w:r w:rsidR="007A6F71" w:rsidRPr="00BA7936">
        <w:rPr>
          <w:kern w:val="22"/>
          <w:lang w:val="fr-FR"/>
        </w:rPr>
        <w:t xml:space="preserve">gislation, </w:t>
      </w:r>
      <w:r w:rsidR="006F3909">
        <w:rPr>
          <w:kern w:val="22"/>
          <w:lang w:val="fr-FR"/>
        </w:rPr>
        <w:t>les politiques générales et les structures institutionnelles nationales a été élaboré, afin d’aider les Parties à intégrer</w:t>
      </w:r>
      <w:r w:rsidR="00286711" w:rsidRPr="00BA7936">
        <w:rPr>
          <w:kern w:val="22"/>
          <w:lang w:val="fr-FR"/>
        </w:rPr>
        <w:t xml:space="preserve"> </w:t>
      </w:r>
      <w:r w:rsidR="00A57D5A" w:rsidRPr="00BA7936">
        <w:rPr>
          <w:kern w:val="22"/>
          <w:lang w:val="fr-FR"/>
        </w:rPr>
        <w:t>la prévention des risques biotechnologiques</w:t>
      </w:r>
      <w:r w:rsidR="006F3909">
        <w:rPr>
          <w:kern w:val="22"/>
          <w:lang w:val="fr-FR"/>
        </w:rPr>
        <w:t xml:space="preserve"> dans différents secteu</w:t>
      </w:r>
      <w:r w:rsidR="00286711" w:rsidRPr="00BA7936">
        <w:rPr>
          <w:kern w:val="22"/>
          <w:lang w:val="fr-FR"/>
        </w:rPr>
        <w:t>rs</w:t>
      </w:r>
      <w:r w:rsidR="00C267B8" w:rsidRPr="00BA7936">
        <w:rPr>
          <w:kern w:val="22"/>
          <w:lang w:val="fr-FR"/>
        </w:rPr>
        <w:t>.</w:t>
      </w:r>
    </w:p>
    <w:p w:rsidR="000A0135" w:rsidRPr="00BB3DD1" w:rsidRDefault="006F3909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>
        <w:rPr>
          <w:kern w:val="22"/>
          <w:lang w:val="fr-FR"/>
        </w:rPr>
        <w:t>Bien qu’un certain nombre de</w:t>
      </w:r>
      <w:r w:rsidR="00AF02EF" w:rsidRPr="00AF02EF">
        <w:rPr>
          <w:kern w:val="22"/>
          <w:lang w:val="fr-FR"/>
        </w:rPr>
        <w:t xml:space="preserve"> progrès aient été accomplis, d’autres mesures doivent </w:t>
      </w:r>
      <w:r w:rsidR="00AF02EF">
        <w:rPr>
          <w:kern w:val="22"/>
          <w:lang w:val="fr-FR"/>
        </w:rPr>
        <w:t xml:space="preserve">être prises pour </w:t>
      </w:r>
      <w:r w:rsidR="000867CA" w:rsidRPr="00AF02EF">
        <w:rPr>
          <w:kern w:val="22"/>
          <w:lang w:val="fr-FR"/>
        </w:rPr>
        <w:t>intégrer</w:t>
      </w:r>
      <w:r w:rsidR="000A0135" w:rsidRPr="00AF02EF">
        <w:rPr>
          <w:kern w:val="22"/>
          <w:lang w:val="fr-FR"/>
        </w:rPr>
        <w:t xml:space="preserve"> </w:t>
      </w:r>
      <w:r w:rsidR="00A57D5A" w:rsidRPr="00AF02EF">
        <w:rPr>
          <w:kern w:val="22"/>
          <w:lang w:val="fr-FR"/>
        </w:rPr>
        <w:t>la prévention des risques biotechnologiques</w:t>
      </w:r>
      <w:r w:rsidR="00AF02EF">
        <w:rPr>
          <w:kern w:val="22"/>
          <w:lang w:val="fr-FR"/>
        </w:rPr>
        <w:t xml:space="preserve"> dans l’ensemble des travaux de</w:t>
      </w:r>
      <w:r w:rsidR="00A57D5A" w:rsidRPr="00AF02EF">
        <w:rPr>
          <w:kern w:val="22"/>
          <w:lang w:val="fr-FR"/>
        </w:rPr>
        <w:t xml:space="preserve"> la Con</w:t>
      </w:r>
      <w:r w:rsidR="000A0135" w:rsidRPr="00AF02EF">
        <w:rPr>
          <w:kern w:val="22"/>
          <w:lang w:val="fr-FR"/>
        </w:rPr>
        <w:t xml:space="preserve">vention. </w:t>
      </w:r>
      <w:r w:rsidR="00AF02EF">
        <w:rPr>
          <w:kern w:val="22"/>
          <w:lang w:val="fr-FR"/>
        </w:rPr>
        <w:t>A titre d’</w:t>
      </w:r>
      <w:r w:rsidR="00EB3AB3">
        <w:rPr>
          <w:kern w:val="22"/>
          <w:lang w:val="fr-FR"/>
        </w:rPr>
        <w:t>exemple, les questions liées</w:t>
      </w:r>
      <w:r w:rsidR="00AF02EF">
        <w:rPr>
          <w:kern w:val="22"/>
          <w:lang w:val="fr-FR"/>
        </w:rPr>
        <w:t xml:space="preserve"> à </w:t>
      </w:r>
      <w:r w:rsidR="00A57D5A" w:rsidRPr="00AF02EF">
        <w:rPr>
          <w:kern w:val="22"/>
          <w:lang w:val="fr-FR"/>
        </w:rPr>
        <w:t>la prévention des risques biotechnologiques</w:t>
      </w:r>
      <w:r w:rsidR="00AF02EF">
        <w:rPr>
          <w:kern w:val="22"/>
          <w:lang w:val="fr-FR"/>
        </w:rPr>
        <w:t xml:space="preserve"> pourraient être exa</w:t>
      </w:r>
      <w:r w:rsidR="00EB3AB3">
        <w:rPr>
          <w:kern w:val="22"/>
          <w:lang w:val="fr-FR"/>
        </w:rPr>
        <w:t>minées de manière plus poussée lors de</w:t>
      </w:r>
      <w:r w:rsidR="00AF02EF">
        <w:rPr>
          <w:kern w:val="22"/>
          <w:lang w:val="fr-FR"/>
        </w:rPr>
        <w:t xml:space="preserve"> l</w:t>
      </w:r>
      <w:r w:rsidR="00EB3AB3">
        <w:rPr>
          <w:kern w:val="22"/>
          <w:lang w:val="fr-FR"/>
        </w:rPr>
        <w:t xml:space="preserve">’examen des questions relatives aux aires protégées ou à </w:t>
      </w:r>
      <w:r w:rsidR="00AF02EF">
        <w:rPr>
          <w:kern w:val="22"/>
          <w:lang w:val="fr-FR"/>
        </w:rPr>
        <w:t>la gestion des forêts, des montagnes et des aires marines, entre autres</w:t>
      </w:r>
      <w:r w:rsidR="00EB3AB3">
        <w:rPr>
          <w:kern w:val="22"/>
          <w:lang w:val="fr-FR"/>
        </w:rPr>
        <w:t>. Il serait possible également d’inclure de manière</w:t>
      </w:r>
      <w:r w:rsidR="00BB3DD1">
        <w:rPr>
          <w:kern w:val="22"/>
          <w:lang w:val="fr-FR"/>
        </w:rPr>
        <w:t xml:space="preserve"> </w:t>
      </w:r>
      <w:r w:rsidR="00EB3AB3">
        <w:rPr>
          <w:kern w:val="22"/>
          <w:lang w:val="fr-FR"/>
        </w:rPr>
        <w:t>plus systématique un élément concernant</w:t>
      </w:r>
      <w:r w:rsidR="00BB3DD1">
        <w:rPr>
          <w:kern w:val="22"/>
          <w:lang w:val="fr-FR"/>
        </w:rPr>
        <w:t xml:space="preserve"> la </w:t>
      </w:r>
      <w:r w:rsidR="00A57D5A" w:rsidRPr="00BB3DD1">
        <w:rPr>
          <w:kern w:val="22"/>
          <w:lang w:val="fr-FR"/>
        </w:rPr>
        <w:t>prévention des risques biotechnologiques</w:t>
      </w:r>
      <w:r w:rsidR="00BB3DD1">
        <w:rPr>
          <w:kern w:val="22"/>
          <w:lang w:val="fr-FR"/>
        </w:rPr>
        <w:t xml:space="preserve"> dans le</w:t>
      </w:r>
      <w:r w:rsidR="00EB3AB3">
        <w:rPr>
          <w:kern w:val="22"/>
          <w:lang w:val="fr-FR"/>
        </w:rPr>
        <w:t xml:space="preserve">s projets </w:t>
      </w:r>
      <w:r w:rsidR="00BB3DD1">
        <w:rPr>
          <w:kern w:val="22"/>
          <w:lang w:val="fr-FR"/>
        </w:rPr>
        <w:t>de</w:t>
      </w:r>
      <w:r w:rsidR="000867CA" w:rsidRPr="00BB3DD1">
        <w:rPr>
          <w:kern w:val="22"/>
          <w:lang w:val="fr-FR"/>
        </w:rPr>
        <w:t xml:space="preserve"> renforcement des capacités</w:t>
      </w:r>
      <w:r w:rsidR="00EB3AB3">
        <w:rPr>
          <w:kern w:val="22"/>
          <w:lang w:val="fr-FR"/>
        </w:rPr>
        <w:t xml:space="preserve"> pertinents</w:t>
      </w:r>
      <w:r w:rsidR="000A0135" w:rsidRPr="00BB3DD1">
        <w:rPr>
          <w:kern w:val="22"/>
          <w:lang w:val="fr-FR"/>
        </w:rPr>
        <w:t>.</w:t>
      </w:r>
    </w:p>
    <w:p w:rsidR="00D55DBD" w:rsidRPr="00AF02EF" w:rsidRDefault="00EB3AB3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>
        <w:rPr>
          <w:kern w:val="22"/>
          <w:lang w:val="fr-FR"/>
        </w:rPr>
        <w:lastRenderedPageBreak/>
        <w:t>Dans ce</w:t>
      </w:r>
      <w:r w:rsidR="00AF02EF" w:rsidRPr="00AF02EF">
        <w:rPr>
          <w:kern w:val="22"/>
          <w:lang w:val="fr-FR"/>
        </w:rPr>
        <w:t xml:space="preserve"> contexte</w:t>
      </w:r>
      <w:r w:rsidR="000A0135" w:rsidRPr="00AF02EF">
        <w:rPr>
          <w:kern w:val="22"/>
          <w:lang w:val="fr-FR"/>
        </w:rPr>
        <w:t xml:space="preserve">, </w:t>
      </w:r>
      <w:r>
        <w:rPr>
          <w:kern w:val="22"/>
          <w:lang w:val="fr-FR"/>
        </w:rPr>
        <w:t>le</w:t>
      </w:r>
      <w:r w:rsidR="000867CA" w:rsidRPr="00AF02EF">
        <w:rPr>
          <w:kern w:val="22"/>
          <w:lang w:val="fr-FR"/>
        </w:rPr>
        <w:t xml:space="preserve"> renforcement de l’intégration</w:t>
      </w:r>
      <w:r>
        <w:rPr>
          <w:kern w:val="22"/>
          <w:lang w:val="fr-FR"/>
        </w:rPr>
        <w:t xml:space="preserve"> entre</w:t>
      </w:r>
      <w:r w:rsidR="000A0135" w:rsidRPr="00AF02EF">
        <w:rPr>
          <w:kern w:val="22"/>
          <w:lang w:val="fr-FR"/>
        </w:rPr>
        <w:t xml:space="preserve"> </w:t>
      </w:r>
      <w:r w:rsidR="00AF02EF">
        <w:rPr>
          <w:kern w:val="22"/>
          <w:lang w:val="fr-FR"/>
        </w:rPr>
        <w:t xml:space="preserve">la </w:t>
      </w:r>
      <w:r w:rsidR="000A0135" w:rsidRPr="00AF02EF">
        <w:rPr>
          <w:kern w:val="22"/>
          <w:lang w:val="fr-FR"/>
        </w:rPr>
        <w:t>Convention</w:t>
      </w:r>
      <w:r w:rsidR="00A57D5A" w:rsidRPr="00AF02EF">
        <w:rPr>
          <w:kern w:val="22"/>
          <w:lang w:val="fr-FR"/>
        </w:rPr>
        <w:t xml:space="preserve"> et </w:t>
      </w:r>
      <w:r>
        <w:rPr>
          <w:kern w:val="22"/>
          <w:lang w:val="fr-FR"/>
        </w:rPr>
        <w:t>le</w:t>
      </w:r>
      <w:r w:rsidR="000A0135" w:rsidRPr="00AF02EF">
        <w:rPr>
          <w:kern w:val="22"/>
          <w:lang w:val="fr-FR"/>
        </w:rPr>
        <w:t xml:space="preserve"> </w:t>
      </w:r>
      <w:r w:rsidR="00A57D5A" w:rsidRPr="00AF02EF">
        <w:rPr>
          <w:kern w:val="22"/>
          <w:lang w:val="fr-FR"/>
        </w:rPr>
        <w:t>Protocole de Cartagena</w:t>
      </w:r>
      <w:r w:rsidR="000A0135" w:rsidRPr="00AF02EF">
        <w:rPr>
          <w:kern w:val="22"/>
          <w:lang w:val="fr-FR"/>
        </w:rPr>
        <w:t xml:space="preserve"> </w:t>
      </w:r>
      <w:r>
        <w:rPr>
          <w:kern w:val="22"/>
          <w:lang w:val="fr-FR"/>
        </w:rPr>
        <w:t>en ce qui concerne l</w:t>
      </w:r>
      <w:r w:rsidR="00AF02EF">
        <w:rPr>
          <w:kern w:val="22"/>
          <w:lang w:val="fr-FR"/>
        </w:rPr>
        <w:t>es</w:t>
      </w:r>
      <w:r w:rsidR="000A0135" w:rsidRPr="00AF02EF">
        <w:rPr>
          <w:kern w:val="22"/>
          <w:lang w:val="fr-FR"/>
        </w:rPr>
        <w:t xml:space="preserve"> </w:t>
      </w:r>
      <w:r w:rsidR="00A57D5A" w:rsidRPr="00AF02EF">
        <w:rPr>
          <w:kern w:val="22"/>
          <w:lang w:val="fr-FR"/>
        </w:rPr>
        <w:t>dispositions relatives à la prévention des risques biotechnologiques</w:t>
      </w:r>
      <w:r w:rsidR="00AF02EF">
        <w:rPr>
          <w:kern w:val="22"/>
          <w:lang w:val="fr-FR"/>
        </w:rPr>
        <w:t xml:space="preserve"> </w:t>
      </w:r>
      <w:r>
        <w:rPr>
          <w:kern w:val="22"/>
          <w:lang w:val="fr-FR"/>
        </w:rPr>
        <w:t>permettrait de contribuer</w:t>
      </w:r>
      <w:r w:rsidR="00AF02EF">
        <w:rPr>
          <w:kern w:val="22"/>
          <w:lang w:val="fr-FR"/>
        </w:rPr>
        <w:t xml:space="preserve"> à la réalisation des</w:t>
      </w:r>
      <w:r w:rsidR="000A0135" w:rsidRPr="00AF02EF">
        <w:rPr>
          <w:kern w:val="22"/>
          <w:lang w:val="fr-FR"/>
        </w:rPr>
        <w:t xml:space="preserve"> </w:t>
      </w:r>
      <w:hyperlink r:id="rId22" w:history="1">
        <w:r>
          <w:rPr>
            <w:rStyle w:val="Hyperlink"/>
            <w:kern w:val="22"/>
            <w:lang w:val="fr-FR"/>
          </w:rPr>
          <w:t>Objectifs d’Aichi pour la b</w:t>
        </w:r>
        <w:r w:rsidR="00AF02EF">
          <w:rPr>
            <w:rStyle w:val="Hyperlink"/>
            <w:kern w:val="22"/>
            <w:lang w:val="fr-FR"/>
          </w:rPr>
          <w:t>iodiver</w:t>
        </w:r>
        <w:r w:rsidR="000A0135" w:rsidRPr="00AF02EF">
          <w:rPr>
            <w:rStyle w:val="Hyperlink"/>
            <w:kern w:val="22"/>
            <w:lang w:val="fr-FR"/>
          </w:rPr>
          <w:t>s</w:t>
        </w:r>
      </w:hyperlink>
      <w:r w:rsidR="00AF02EF" w:rsidRPr="00AF02EF">
        <w:rPr>
          <w:rStyle w:val="Hyperlink"/>
          <w:kern w:val="22"/>
          <w:lang w:val="fr-FR"/>
        </w:rPr>
        <w:t>ité</w:t>
      </w:r>
      <w:r w:rsidR="00A57D5A" w:rsidRPr="00AF02EF">
        <w:rPr>
          <w:kern w:val="22"/>
          <w:lang w:val="fr-FR"/>
        </w:rPr>
        <w:t xml:space="preserve"> et </w:t>
      </w:r>
      <w:r w:rsidR="00AF02EF">
        <w:rPr>
          <w:kern w:val="22"/>
          <w:lang w:val="fr-FR"/>
        </w:rPr>
        <w:t>du</w:t>
      </w:r>
      <w:r w:rsidR="000A0135" w:rsidRPr="00AF02EF">
        <w:rPr>
          <w:kern w:val="22"/>
          <w:lang w:val="fr-FR"/>
        </w:rPr>
        <w:t xml:space="preserve"> </w:t>
      </w:r>
      <w:hyperlink r:id="rId23" w:history="1">
        <w:r w:rsidR="00AF02EF">
          <w:rPr>
            <w:rStyle w:val="Hyperlink"/>
            <w:kern w:val="22"/>
            <w:lang w:val="fr-FR"/>
          </w:rPr>
          <w:t xml:space="preserve">Cadre </w:t>
        </w:r>
        <w:r>
          <w:rPr>
            <w:rStyle w:val="Hyperlink"/>
            <w:kern w:val="22"/>
            <w:lang w:val="fr-FR"/>
          </w:rPr>
          <w:t xml:space="preserve">mondial </w:t>
        </w:r>
        <w:r w:rsidR="00AF02EF">
          <w:rPr>
            <w:rStyle w:val="Hyperlink"/>
            <w:kern w:val="22"/>
            <w:lang w:val="fr-FR"/>
          </w:rPr>
          <w:t xml:space="preserve">pour la biodiversité après </w:t>
        </w:r>
        <w:r w:rsidR="000A0135" w:rsidRPr="00AF02EF">
          <w:rPr>
            <w:rStyle w:val="Hyperlink"/>
            <w:kern w:val="22"/>
            <w:lang w:val="fr-FR"/>
          </w:rPr>
          <w:t>2020</w:t>
        </w:r>
      </w:hyperlink>
      <w:r w:rsidR="000A0135" w:rsidRPr="00AF02EF">
        <w:rPr>
          <w:kern w:val="22"/>
          <w:lang w:val="fr-FR"/>
        </w:rPr>
        <w:t>.</w:t>
      </w:r>
    </w:p>
    <w:p w:rsidR="006F6F44" w:rsidRPr="00385560" w:rsidRDefault="006F6F44" w:rsidP="00AF02EF">
      <w:pPr>
        <w:pStyle w:val="Heading1"/>
        <w:numPr>
          <w:ilvl w:val="0"/>
          <w:numId w:val="6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rFonts w:ascii="Times New Roman Bold" w:hAnsi="Times New Roman Bold" w:cs="Times New Roman Bold"/>
          <w:snapToGrid w:val="0"/>
          <w:kern w:val="22"/>
          <w:szCs w:val="18"/>
        </w:rPr>
      </w:pPr>
      <w:r w:rsidRPr="00385560">
        <w:rPr>
          <w:rFonts w:ascii="Times New Roman Bold" w:hAnsi="Times New Roman Bold" w:cs="Times New Roman Bold"/>
          <w:snapToGrid w:val="0"/>
          <w:kern w:val="22"/>
        </w:rPr>
        <w:t>Conclusion</w:t>
      </w:r>
    </w:p>
    <w:p w:rsidR="006F6F44" w:rsidRPr="00FD57F3" w:rsidRDefault="00EB3AB3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 w:rsidRPr="00EB3AB3">
        <w:rPr>
          <w:kern w:val="22"/>
          <w:lang w:val="fr-FR"/>
        </w:rPr>
        <w:t>En</w:t>
      </w:r>
      <w:r w:rsidR="006F6F44" w:rsidRPr="005A61E5">
        <w:rPr>
          <w:kern w:val="22"/>
          <w:lang w:val="fr-FR"/>
        </w:rPr>
        <w:t xml:space="preserve"> </w:t>
      </w:r>
      <w:r>
        <w:rPr>
          <w:kern w:val="22"/>
          <w:lang w:val="fr-FR"/>
        </w:rPr>
        <w:t>conclusion</w:t>
      </w:r>
      <w:r w:rsidR="006F6F44" w:rsidRPr="005A61E5">
        <w:rPr>
          <w:kern w:val="22"/>
          <w:lang w:val="fr-FR"/>
        </w:rPr>
        <w:t xml:space="preserve">, </w:t>
      </w:r>
      <w:r>
        <w:rPr>
          <w:kern w:val="22"/>
          <w:lang w:val="fr-FR"/>
        </w:rPr>
        <w:t xml:space="preserve">on peut souligner que </w:t>
      </w:r>
      <w:r w:rsidR="00FD57F3">
        <w:rPr>
          <w:kern w:val="22"/>
          <w:lang w:val="fr-FR"/>
        </w:rPr>
        <w:t xml:space="preserve">la plupart des </w:t>
      </w:r>
      <w:r w:rsidR="006F6F44" w:rsidRPr="005A61E5">
        <w:rPr>
          <w:kern w:val="22"/>
          <w:lang w:val="fr-FR"/>
        </w:rPr>
        <w:t xml:space="preserve">Parties </w:t>
      </w:r>
      <w:r w:rsidR="005A61E5" w:rsidRPr="005A61E5">
        <w:rPr>
          <w:kern w:val="22"/>
          <w:lang w:val="fr-FR"/>
        </w:rPr>
        <w:t>à la Con</w:t>
      </w:r>
      <w:r w:rsidR="006F6F44" w:rsidRPr="005A61E5">
        <w:rPr>
          <w:kern w:val="22"/>
          <w:lang w:val="fr-FR"/>
        </w:rPr>
        <w:t>vention</w:t>
      </w:r>
      <w:r w:rsidR="00FE5032" w:rsidRPr="005A61E5">
        <w:rPr>
          <w:kern w:val="22"/>
          <w:lang w:val="fr-FR"/>
        </w:rPr>
        <w:t xml:space="preserve"> </w:t>
      </w:r>
      <w:r w:rsidR="00FD57F3">
        <w:rPr>
          <w:kern w:val="22"/>
          <w:lang w:val="fr-FR"/>
        </w:rPr>
        <w:t>sont aussi</w:t>
      </w:r>
      <w:r w:rsidR="0086456B" w:rsidRPr="005A61E5">
        <w:rPr>
          <w:kern w:val="22"/>
          <w:lang w:val="fr-FR"/>
        </w:rPr>
        <w:t xml:space="preserve"> Parties </w:t>
      </w:r>
      <w:r w:rsidR="00A57D5A" w:rsidRPr="005A61E5">
        <w:rPr>
          <w:kern w:val="22"/>
          <w:lang w:val="fr-FR"/>
        </w:rPr>
        <w:t>au Protocole de Cartagena</w:t>
      </w:r>
      <w:r w:rsidR="00FD57F3">
        <w:rPr>
          <w:kern w:val="22"/>
          <w:lang w:val="fr-FR"/>
        </w:rPr>
        <w:t>. Parmi les</w:t>
      </w:r>
      <w:r w:rsidR="00F93258" w:rsidRPr="005A61E5">
        <w:rPr>
          <w:kern w:val="22"/>
          <w:lang w:val="fr-FR"/>
        </w:rPr>
        <w:t xml:space="preserve"> Parties </w:t>
      </w:r>
      <w:r w:rsidR="005A61E5" w:rsidRPr="005A61E5">
        <w:rPr>
          <w:kern w:val="22"/>
          <w:lang w:val="fr-FR"/>
        </w:rPr>
        <w:t>à la Con</w:t>
      </w:r>
      <w:r w:rsidR="00F93258" w:rsidRPr="005A61E5">
        <w:rPr>
          <w:kern w:val="22"/>
          <w:lang w:val="fr-FR"/>
        </w:rPr>
        <w:t xml:space="preserve">vention </w:t>
      </w:r>
      <w:r w:rsidR="005A61E5">
        <w:rPr>
          <w:kern w:val="22"/>
          <w:lang w:val="fr-FR"/>
        </w:rPr>
        <w:t>qui ne sont pas Par</w:t>
      </w:r>
      <w:r w:rsidR="00F93258" w:rsidRPr="005A61E5">
        <w:rPr>
          <w:kern w:val="22"/>
          <w:lang w:val="fr-FR"/>
        </w:rPr>
        <w:t xml:space="preserve">ties </w:t>
      </w:r>
      <w:r w:rsidR="00A57D5A" w:rsidRPr="005A61E5">
        <w:rPr>
          <w:kern w:val="22"/>
          <w:lang w:val="fr-FR"/>
        </w:rPr>
        <w:t>au Protocole de Cartagena</w:t>
      </w:r>
      <w:r w:rsidR="00FD57F3">
        <w:rPr>
          <w:kern w:val="22"/>
          <w:lang w:val="fr-FR"/>
        </w:rPr>
        <w:t xml:space="preserve">, nombre d’entre elles ont pris des mesures qui régissent </w:t>
      </w:r>
      <w:r w:rsidR="00A57D5A" w:rsidRPr="005A61E5">
        <w:rPr>
          <w:kern w:val="22"/>
          <w:lang w:val="fr-FR"/>
        </w:rPr>
        <w:t>la prévention des risques biotechnologiques</w:t>
      </w:r>
      <w:r>
        <w:rPr>
          <w:kern w:val="22"/>
          <w:lang w:val="fr-FR"/>
        </w:rPr>
        <w:t xml:space="preserve"> et sont compatibles avec le</w:t>
      </w:r>
      <w:r w:rsidR="00F93258" w:rsidRPr="005A61E5">
        <w:rPr>
          <w:kern w:val="22"/>
          <w:lang w:val="fr-FR"/>
        </w:rPr>
        <w:t xml:space="preserve"> </w:t>
      </w:r>
      <w:r w:rsidR="00A57D5A" w:rsidRPr="005A61E5">
        <w:rPr>
          <w:kern w:val="22"/>
          <w:lang w:val="fr-FR"/>
        </w:rPr>
        <w:t>Protocole de Cartagena</w:t>
      </w:r>
      <w:r w:rsidR="00F93258" w:rsidRPr="005A61E5">
        <w:rPr>
          <w:kern w:val="22"/>
          <w:lang w:val="fr-FR"/>
        </w:rPr>
        <w:t xml:space="preserve">, </w:t>
      </w:r>
      <w:r>
        <w:rPr>
          <w:kern w:val="22"/>
          <w:lang w:val="fr-FR"/>
        </w:rPr>
        <w:t xml:space="preserve">ce qui constitue de fait une application du Protocole. D’autre part, nombre de </w:t>
      </w:r>
      <w:r w:rsidR="00FD57F3">
        <w:rPr>
          <w:kern w:val="22"/>
          <w:lang w:val="fr-FR"/>
        </w:rPr>
        <w:t xml:space="preserve">pays </w:t>
      </w:r>
      <w:r>
        <w:rPr>
          <w:kern w:val="22"/>
          <w:lang w:val="fr-FR"/>
        </w:rPr>
        <w:t>ont intégré d</w:t>
      </w:r>
      <w:r w:rsidR="00FD57F3">
        <w:rPr>
          <w:kern w:val="22"/>
          <w:lang w:val="fr-FR"/>
        </w:rPr>
        <w:t xml:space="preserve">es considérations relatives à la </w:t>
      </w:r>
      <w:r w:rsidR="00A57D5A" w:rsidRPr="00FD57F3">
        <w:rPr>
          <w:kern w:val="22"/>
          <w:lang w:val="fr-FR"/>
        </w:rPr>
        <w:t>prévention des risques biotechnologiques</w:t>
      </w:r>
      <w:r w:rsidR="00FD57F3">
        <w:rPr>
          <w:kern w:val="22"/>
          <w:lang w:val="fr-FR"/>
        </w:rPr>
        <w:t xml:space="preserve"> dans</w:t>
      </w:r>
      <w:r>
        <w:rPr>
          <w:kern w:val="22"/>
          <w:lang w:val="fr-FR"/>
        </w:rPr>
        <w:t xml:space="preserve"> leurs</w:t>
      </w:r>
      <w:r w:rsidR="0086456B" w:rsidRPr="00FD57F3">
        <w:rPr>
          <w:kern w:val="22"/>
          <w:lang w:val="fr-FR"/>
        </w:rPr>
        <w:t xml:space="preserve"> </w:t>
      </w:r>
      <w:r w:rsidR="00A57D5A" w:rsidRPr="00FD57F3">
        <w:rPr>
          <w:kern w:val="22"/>
          <w:lang w:val="fr-FR"/>
        </w:rPr>
        <w:t>SPANB</w:t>
      </w:r>
      <w:r w:rsidR="006A0929" w:rsidRPr="00FD57F3">
        <w:rPr>
          <w:kern w:val="22"/>
          <w:lang w:val="fr-FR"/>
        </w:rPr>
        <w:t>.</w:t>
      </w:r>
    </w:p>
    <w:p w:rsidR="00E55657" w:rsidRPr="008A4E67" w:rsidRDefault="00EB3AB3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>
        <w:rPr>
          <w:kern w:val="22"/>
          <w:lang w:val="fr-FR"/>
        </w:rPr>
        <w:t>É</w:t>
      </w:r>
      <w:r w:rsidR="00FD57F3">
        <w:rPr>
          <w:kern w:val="22"/>
          <w:lang w:val="fr-FR"/>
        </w:rPr>
        <w:t xml:space="preserve">tant donné le rôle crucial du </w:t>
      </w:r>
      <w:r w:rsidR="00A57D5A" w:rsidRPr="00FD57F3">
        <w:rPr>
          <w:kern w:val="22"/>
          <w:lang w:val="fr-FR"/>
        </w:rPr>
        <w:t>Protocole de Cartagena</w:t>
      </w:r>
      <w:r w:rsidR="006F6F44" w:rsidRPr="00FD57F3">
        <w:rPr>
          <w:kern w:val="22"/>
          <w:lang w:val="fr-FR"/>
        </w:rPr>
        <w:t xml:space="preserve"> </w:t>
      </w:r>
      <w:r>
        <w:rPr>
          <w:kern w:val="22"/>
          <w:lang w:val="fr-FR"/>
        </w:rPr>
        <w:t>pour favoriser</w:t>
      </w:r>
      <w:r w:rsidR="00413465" w:rsidRPr="00FD57F3">
        <w:rPr>
          <w:kern w:val="22"/>
          <w:lang w:val="fr-FR"/>
        </w:rPr>
        <w:t xml:space="preserve"> </w:t>
      </w:r>
      <w:r w:rsidR="00B523B9" w:rsidRPr="00FD57F3">
        <w:rPr>
          <w:kern w:val="22"/>
          <w:lang w:val="fr-FR"/>
        </w:rPr>
        <w:t>l’application</w:t>
      </w:r>
      <w:r w:rsidR="00FD57F3">
        <w:rPr>
          <w:kern w:val="22"/>
          <w:lang w:val="fr-FR"/>
        </w:rPr>
        <w:t xml:space="preserve"> des</w:t>
      </w:r>
      <w:r w:rsidR="006F6F44" w:rsidRPr="00FD57F3">
        <w:rPr>
          <w:kern w:val="22"/>
          <w:lang w:val="fr-FR"/>
        </w:rPr>
        <w:t xml:space="preserve"> </w:t>
      </w:r>
      <w:r w:rsidR="00A57D5A" w:rsidRPr="00FD57F3">
        <w:rPr>
          <w:kern w:val="22"/>
          <w:lang w:val="fr-FR"/>
        </w:rPr>
        <w:t xml:space="preserve">dispositions </w:t>
      </w:r>
      <w:r>
        <w:rPr>
          <w:kern w:val="22"/>
          <w:lang w:val="fr-FR"/>
        </w:rPr>
        <w:t>de la Convention concernant la</w:t>
      </w:r>
      <w:r w:rsidR="00A57D5A" w:rsidRPr="00FD57F3">
        <w:rPr>
          <w:kern w:val="22"/>
          <w:lang w:val="fr-FR"/>
        </w:rPr>
        <w:t xml:space="preserve"> prévention des risques biotechnologiques</w:t>
      </w:r>
      <w:r w:rsidR="00FD57F3">
        <w:rPr>
          <w:kern w:val="22"/>
          <w:lang w:val="fr-FR"/>
        </w:rPr>
        <w:t xml:space="preserve">, il est dans l’intérêt de toutes les </w:t>
      </w:r>
      <w:r w:rsidR="006F6F44" w:rsidRPr="00FD57F3">
        <w:rPr>
          <w:kern w:val="22"/>
          <w:lang w:val="fr-FR"/>
        </w:rPr>
        <w:t xml:space="preserve">Parties </w:t>
      </w:r>
      <w:r w:rsidR="005A61E5" w:rsidRPr="00FD57F3">
        <w:rPr>
          <w:kern w:val="22"/>
          <w:lang w:val="fr-FR"/>
        </w:rPr>
        <w:t>à la Con</w:t>
      </w:r>
      <w:r w:rsidR="00387D13" w:rsidRPr="00FD57F3">
        <w:rPr>
          <w:kern w:val="22"/>
          <w:lang w:val="fr-FR"/>
        </w:rPr>
        <w:t>vention</w:t>
      </w:r>
      <w:r w:rsidR="00FD57F3">
        <w:rPr>
          <w:kern w:val="22"/>
          <w:lang w:val="fr-FR"/>
        </w:rPr>
        <w:t xml:space="preserve"> de ratifier le</w:t>
      </w:r>
      <w:r w:rsidR="006F6F44" w:rsidRPr="00FD57F3">
        <w:rPr>
          <w:kern w:val="22"/>
          <w:lang w:val="fr-FR"/>
        </w:rPr>
        <w:t xml:space="preserve"> </w:t>
      </w:r>
      <w:r w:rsidR="00A57D5A" w:rsidRPr="00FD57F3">
        <w:rPr>
          <w:kern w:val="22"/>
          <w:lang w:val="fr-FR"/>
        </w:rPr>
        <w:t>Protocole de Cartagena</w:t>
      </w:r>
      <w:r>
        <w:rPr>
          <w:kern w:val="22"/>
          <w:lang w:val="fr-FR"/>
        </w:rPr>
        <w:t>,</w:t>
      </w:r>
      <w:r w:rsidR="0067304D" w:rsidRPr="00FD57F3">
        <w:rPr>
          <w:kern w:val="22"/>
          <w:lang w:val="fr-FR"/>
        </w:rPr>
        <w:t xml:space="preserve"> </w:t>
      </w:r>
      <w:r w:rsidR="00FD57F3">
        <w:rPr>
          <w:kern w:val="22"/>
          <w:lang w:val="fr-FR"/>
        </w:rPr>
        <w:t xml:space="preserve">afin d’appuyer un régime international cohérent sur </w:t>
      </w:r>
      <w:r w:rsidR="00A57D5A" w:rsidRPr="00FD57F3">
        <w:rPr>
          <w:kern w:val="22"/>
          <w:lang w:val="fr-FR"/>
        </w:rPr>
        <w:t>la prévention des risques biotechnologiques</w:t>
      </w:r>
      <w:r w:rsidR="006F6F44" w:rsidRPr="00FD57F3">
        <w:rPr>
          <w:kern w:val="22"/>
          <w:lang w:val="fr-FR"/>
        </w:rPr>
        <w:t>.</w:t>
      </w:r>
      <w:r w:rsidR="009977FB" w:rsidRPr="00FD57F3">
        <w:rPr>
          <w:kern w:val="22"/>
          <w:lang w:val="fr-FR"/>
        </w:rPr>
        <w:t xml:space="preserve"> </w:t>
      </w:r>
      <w:r>
        <w:rPr>
          <w:kern w:val="22"/>
          <w:lang w:val="fr-FR"/>
        </w:rPr>
        <w:t>Des efforts supplémentaires doivent être prodigués pour encourage</w:t>
      </w:r>
      <w:r w:rsidR="00FD57F3">
        <w:rPr>
          <w:kern w:val="22"/>
          <w:lang w:val="fr-FR"/>
        </w:rPr>
        <w:t>r la</w:t>
      </w:r>
      <w:r w:rsidR="009977FB" w:rsidRPr="008A4E67">
        <w:rPr>
          <w:kern w:val="22"/>
          <w:lang w:val="fr-FR"/>
        </w:rPr>
        <w:t xml:space="preserve"> ratification</w:t>
      </w:r>
      <w:r w:rsidR="00A57D5A" w:rsidRPr="008A4E67">
        <w:rPr>
          <w:kern w:val="22"/>
          <w:lang w:val="fr-FR"/>
        </w:rPr>
        <w:t xml:space="preserve"> et </w:t>
      </w:r>
      <w:r w:rsidR="00B523B9">
        <w:rPr>
          <w:kern w:val="22"/>
          <w:lang w:val="fr-FR"/>
        </w:rPr>
        <w:t>l’application</w:t>
      </w:r>
      <w:r w:rsidR="009977FB" w:rsidRPr="008A4E67">
        <w:rPr>
          <w:kern w:val="22"/>
          <w:lang w:val="fr-FR"/>
        </w:rPr>
        <w:t xml:space="preserve"> </w:t>
      </w:r>
      <w:r w:rsidR="00A57D5A" w:rsidRPr="008A4E67">
        <w:rPr>
          <w:kern w:val="22"/>
          <w:lang w:val="fr-FR"/>
        </w:rPr>
        <w:t>du Protocole de Cartagena</w:t>
      </w:r>
      <w:r w:rsidR="009620BE" w:rsidRPr="008A4E67">
        <w:rPr>
          <w:kern w:val="22"/>
          <w:lang w:val="fr-FR"/>
        </w:rPr>
        <w:t xml:space="preserve">, </w:t>
      </w:r>
      <w:r w:rsidR="008A4E67" w:rsidRPr="008A4E67">
        <w:rPr>
          <w:kern w:val="22"/>
          <w:lang w:val="fr-FR"/>
        </w:rPr>
        <w:t>y compris</w:t>
      </w:r>
      <w:r>
        <w:rPr>
          <w:kern w:val="22"/>
          <w:lang w:val="fr-FR"/>
        </w:rPr>
        <w:t xml:space="preserve"> un</w:t>
      </w:r>
      <w:r w:rsidR="000867CA" w:rsidRPr="008A4E67">
        <w:rPr>
          <w:kern w:val="22"/>
          <w:lang w:val="fr-FR"/>
        </w:rPr>
        <w:t xml:space="preserve"> renforcement des capacités</w:t>
      </w:r>
      <w:r w:rsidR="00A57D5A" w:rsidRPr="008A4E67">
        <w:rPr>
          <w:kern w:val="22"/>
          <w:lang w:val="fr-FR"/>
        </w:rPr>
        <w:t xml:space="preserve"> et </w:t>
      </w:r>
      <w:r>
        <w:rPr>
          <w:kern w:val="22"/>
          <w:lang w:val="fr-FR"/>
        </w:rPr>
        <w:t>un appui</w:t>
      </w:r>
      <w:r w:rsidR="00FD57F3">
        <w:rPr>
          <w:kern w:val="22"/>
          <w:lang w:val="fr-FR"/>
        </w:rPr>
        <w:t xml:space="preserve"> financier</w:t>
      </w:r>
      <w:r w:rsidR="009977FB" w:rsidRPr="008A4E67">
        <w:rPr>
          <w:kern w:val="22"/>
          <w:lang w:val="fr-FR"/>
        </w:rPr>
        <w:t>.</w:t>
      </w:r>
    </w:p>
    <w:p w:rsidR="008771A7" w:rsidRPr="005A61E5" w:rsidRDefault="009A436D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>
        <w:rPr>
          <w:kern w:val="22"/>
          <w:lang w:val="fr-FR"/>
        </w:rPr>
        <w:t>Connaissant le potentie</w:t>
      </w:r>
      <w:r w:rsidR="0095393E" w:rsidRPr="005A61E5">
        <w:rPr>
          <w:kern w:val="22"/>
          <w:lang w:val="fr-FR"/>
        </w:rPr>
        <w:t>l</w:t>
      </w:r>
      <w:r>
        <w:rPr>
          <w:kern w:val="22"/>
          <w:lang w:val="fr-FR"/>
        </w:rPr>
        <w:t xml:space="preserve"> de la </w:t>
      </w:r>
      <w:r w:rsidR="0086456B" w:rsidRPr="005A61E5">
        <w:rPr>
          <w:kern w:val="22"/>
          <w:lang w:val="fr-FR"/>
        </w:rPr>
        <w:t>biotechn</w:t>
      </w:r>
      <w:r w:rsidR="00DC27FB">
        <w:rPr>
          <w:kern w:val="22"/>
          <w:lang w:val="fr-FR"/>
        </w:rPr>
        <w:t>ologie moderne pour</w:t>
      </w:r>
      <w:r w:rsidR="0086456B" w:rsidRPr="005A61E5">
        <w:rPr>
          <w:kern w:val="22"/>
          <w:lang w:val="fr-FR"/>
        </w:rPr>
        <w:t xml:space="preserve"> </w:t>
      </w:r>
      <w:r w:rsidR="00DC27FB">
        <w:rPr>
          <w:kern w:val="22"/>
          <w:lang w:val="fr-FR"/>
        </w:rPr>
        <w:t>contribuer</w:t>
      </w:r>
      <w:r>
        <w:rPr>
          <w:kern w:val="22"/>
          <w:lang w:val="fr-FR"/>
        </w:rPr>
        <w:t xml:space="preserve"> à la</w:t>
      </w:r>
      <w:r w:rsidR="0095393E" w:rsidRPr="005A61E5">
        <w:rPr>
          <w:kern w:val="22"/>
          <w:lang w:val="fr-FR"/>
        </w:rPr>
        <w:t xml:space="preserve"> conservation</w:t>
      </w:r>
      <w:r w:rsidR="00A57D5A" w:rsidRPr="005A61E5">
        <w:rPr>
          <w:kern w:val="22"/>
          <w:lang w:val="fr-FR"/>
        </w:rPr>
        <w:t xml:space="preserve"> et </w:t>
      </w:r>
      <w:r>
        <w:rPr>
          <w:kern w:val="22"/>
          <w:lang w:val="fr-FR"/>
        </w:rPr>
        <w:t xml:space="preserve">à </w:t>
      </w:r>
      <w:r w:rsidR="005A61E5" w:rsidRPr="005A61E5">
        <w:rPr>
          <w:kern w:val="22"/>
          <w:lang w:val="fr-FR"/>
        </w:rPr>
        <w:t>l’utilisation durable</w:t>
      </w:r>
      <w:r>
        <w:rPr>
          <w:kern w:val="22"/>
          <w:lang w:val="fr-FR"/>
        </w:rPr>
        <w:t xml:space="preserve"> de la diversité biologique</w:t>
      </w:r>
      <w:r w:rsidR="0086456B" w:rsidRPr="005A61E5">
        <w:rPr>
          <w:kern w:val="22"/>
          <w:lang w:val="fr-FR"/>
        </w:rPr>
        <w:t>,</w:t>
      </w:r>
      <w:r w:rsidR="00A57D5A" w:rsidRPr="005A61E5">
        <w:rPr>
          <w:kern w:val="22"/>
          <w:lang w:val="fr-FR"/>
        </w:rPr>
        <w:t xml:space="preserve"> et </w:t>
      </w:r>
      <w:r w:rsidR="00DC27FB">
        <w:rPr>
          <w:kern w:val="22"/>
          <w:lang w:val="fr-FR"/>
        </w:rPr>
        <w:t xml:space="preserve">vu </w:t>
      </w:r>
      <w:r>
        <w:rPr>
          <w:kern w:val="22"/>
          <w:lang w:val="fr-FR"/>
        </w:rPr>
        <w:t xml:space="preserve">la </w:t>
      </w:r>
      <w:r w:rsidR="0086456B" w:rsidRPr="005A61E5">
        <w:rPr>
          <w:kern w:val="22"/>
          <w:lang w:val="fr-FR"/>
        </w:rPr>
        <w:t>nature</w:t>
      </w:r>
      <w:r>
        <w:rPr>
          <w:kern w:val="22"/>
          <w:lang w:val="fr-FR"/>
        </w:rPr>
        <w:t xml:space="preserve"> pluridisciplinaire d</w:t>
      </w:r>
      <w:r w:rsidR="00A57D5A" w:rsidRPr="005A61E5">
        <w:rPr>
          <w:kern w:val="22"/>
          <w:lang w:val="fr-FR"/>
        </w:rPr>
        <w:t>es questions</w:t>
      </w:r>
      <w:r w:rsidR="00DC27FB">
        <w:rPr>
          <w:kern w:val="22"/>
          <w:lang w:val="fr-FR"/>
        </w:rPr>
        <w:t xml:space="preserve"> liées</w:t>
      </w:r>
      <w:r w:rsidR="0086456B" w:rsidRPr="005A61E5">
        <w:rPr>
          <w:kern w:val="22"/>
          <w:lang w:val="fr-FR"/>
        </w:rPr>
        <w:t xml:space="preserve"> </w:t>
      </w:r>
      <w:r>
        <w:rPr>
          <w:kern w:val="22"/>
          <w:lang w:val="fr-FR"/>
        </w:rPr>
        <w:t xml:space="preserve">à </w:t>
      </w:r>
      <w:r w:rsidR="00A57D5A" w:rsidRPr="005A61E5">
        <w:rPr>
          <w:kern w:val="22"/>
          <w:lang w:val="fr-FR"/>
        </w:rPr>
        <w:t>la prévention des risques biotechnologiques</w:t>
      </w:r>
      <w:r w:rsidR="0095393E" w:rsidRPr="005A61E5">
        <w:rPr>
          <w:kern w:val="22"/>
          <w:lang w:val="fr-FR"/>
        </w:rPr>
        <w:t xml:space="preserve">, </w:t>
      </w:r>
      <w:r w:rsidR="00DC27FB">
        <w:rPr>
          <w:kern w:val="22"/>
          <w:lang w:val="fr-FR"/>
        </w:rPr>
        <w:t xml:space="preserve">il convient d’entreprendre d’autres initiatives </w:t>
      </w:r>
      <w:r>
        <w:rPr>
          <w:kern w:val="22"/>
          <w:lang w:val="fr-FR"/>
        </w:rPr>
        <w:t xml:space="preserve">pour </w:t>
      </w:r>
      <w:r w:rsidR="000867CA" w:rsidRPr="005A61E5">
        <w:rPr>
          <w:kern w:val="22"/>
          <w:lang w:val="fr-FR"/>
        </w:rPr>
        <w:t>intégrer</w:t>
      </w:r>
      <w:r w:rsidR="00C2117E" w:rsidRPr="005A61E5">
        <w:rPr>
          <w:kern w:val="22"/>
          <w:lang w:val="fr-FR"/>
        </w:rPr>
        <w:t xml:space="preserve"> </w:t>
      </w:r>
      <w:r w:rsidR="00A57D5A" w:rsidRPr="005A61E5">
        <w:rPr>
          <w:kern w:val="22"/>
          <w:lang w:val="fr-FR"/>
        </w:rPr>
        <w:t>la prévention des risques biotechnologiques</w:t>
      </w:r>
      <w:r w:rsidR="00C2117E" w:rsidRPr="005A61E5">
        <w:rPr>
          <w:kern w:val="22"/>
          <w:lang w:val="fr-FR"/>
        </w:rPr>
        <w:t xml:space="preserve"> </w:t>
      </w:r>
      <w:r>
        <w:rPr>
          <w:kern w:val="22"/>
          <w:lang w:val="fr-FR"/>
        </w:rPr>
        <w:t>dans les différents</w:t>
      </w:r>
      <w:r w:rsidR="00C2117E" w:rsidRPr="005A61E5">
        <w:rPr>
          <w:kern w:val="22"/>
          <w:lang w:val="fr-FR"/>
        </w:rPr>
        <w:t xml:space="preserve"> programmes </w:t>
      </w:r>
      <w:r>
        <w:rPr>
          <w:kern w:val="22"/>
          <w:lang w:val="fr-FR"/>
        </w:rPr>
        <w:t xml:space="preserve">de travail </w:t>
      </w:r>
      <w:r w:rsidR="00A57D5A" w:rsidRPr="005A61E5">
        <w:rPr>
          <w:kern w:val="22"/>
          <w:lang w:val="fr-FR"/>
        </w:rPr>
        <w:t>de la Con</w:t>
      </w:r>
      <w:r w:rsidR="0009324F" w:rsidRPr="005A61E5">
        <w:rPr>
          <w:kern w:val="22"/>
          <w:lang w:val="fr-FR"/>
        </w:rPr>
        <w:t>vention</w:t>
      </w:r>
      <w:r w:rsidR="00A57D5A" w:rsidRPr="005A61E5">
        <w:rPr>
          <w:kern w:val="22"/>
          <w:lang w:val="fr-FR"/>
        </w:rPr>
        <w:t xml:space="preserve"> et </w:t>
      </w:r>
      <w:r w:rsidR="00DC27FB">
        <w:rPr>
          <w:kern w:val="22"/>
          <w:lang w:val="fr-FR"/>
        </w:rPr>
        <w:t xml:space="preserve">pour </w:t>
      </w:r>
      <w:r>
        <w:rPr>
          <w:kern w:val="22"/>
          <w:lang w:val="fr-FR"/>
        </w:rPr>
        <w:t>aider les Parties d</w:t>
      </w:r>
      <w:r w:rsidR="00DC27FB">
        <w:rPr>
          <w:kern w:val="22"/>
          <w:lang w:val="fr-FR"/>
        </w:rPr>
        <w:t xml:space="preserve">ans leurs initiatives visant à </w:t>
      </w:r>
      <w:r w:rsidR="000867CA" w:rsidRPr="005A61E5">
        <w:rPr>
          <w:kern w:val="22"/>
          <w:lang w:val="fr-FR"/>
        </w:rPr>
        <w:t>intégrer</w:t>
      </w:r>
      <w:r w:rsidR="0038232A" w:rsidRPr="005A61E5">
        <w:rPr>
          <w:kern w:val="22"/>
          <w:lang w:val="fr-FR"/>
        </w:rPr>
        <w:t xml:space="preserve"> </w:t>
      </w:r>
      <w:r w:rsidR="00A57D5A" w:rsidRPr="005A61E5">
        <w:rPr>
          <w:kern w:val="22"/>
          <w:lang w:val="fr-FR"/>
        </w:rPr>
        <w:t>la prévention des risques biotechnologiques</w:t>
      </w:r>
      <w:r>
        <w:rPr>
          <w:kern w:val="22"/>
          <w:lang w:val="fr-FR"/>
        </w:rPr>
        <w:t xml:space="preserve"> dans différents secteurs au niveau national</w:t>
      </w:r>
      <w:r w:rsidR="00C2117E" w:rsidRPr="005A61E5">
        <w:rPr>
          <w:kern w:val="22"/>
          <w:lang w:val="fr-FR"/>
        </w:rPr>
        <w:t>.</w:t>
      </w:r>
    </w:p>
    <w:p w:rsidR="00440A3A" w:rsidRPr="00FD57F3" w:rsidRDefault="00DC27FB" w:rsidP="00FD57F3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rPr>
          <w:kern w:val="22"/>
          <w:lang w:val="fr-FR"/>
        </w:rPr>
      </w:pPr>
      <w:r>
        <w:rPr>
          <w:kern w:val="22"/>
          <w:lang w:val="fr-FR"/>
        </w:rPr>
        <w:t xml:space="preserve">Il serait possible de </w:t>
      </w:r>
      <w:r w:rsidR="002635CB">
        <w:rPr>
          <w:kern w:val="22"/>
          <w:lang w:val="fr-FR"/>
        </w:rPr>
        <w:t>promouvoir</w:t>
      </w:r>
      <w:r>
        <w:rPr>
          <w:kern w:val="22"/>
          <w:lang w:val="fr-FR"/>
        </w:rPr>
        <w:t xml:space="preserve"> une plus grande</w:t>
      </w:r>
      <w:r w:rsidR="00FD57F3">
        <w:rPr>
          <w:kern w:val="22"/>
          <w:lang w:val="fr-FR"/>
        </w:rPr>
        <w:t xml:space="preserve"> inté</w:t>
      </w:r>
      <w:r w:rsidR="00B267ED" w:rsidRPr="00FD57F3">
        <w:rPr>
          <w:kern w:val="22"/>
          <w:lang w:val="fr-FR"/>
        </w:rPr>
        <w:t>gration</w:t>
      </w:r>
      <w:r>
        <w:rPr>
          <w:kern w:val="22"/>
          <w:lang w:val="fr-FR"/>
        </w:rPr>
        <w:t xml:space="preserve"> </w:t>
      </w:r>
      <w:r w:rsidR="00FD57F3">
        <w:rPr>
          <w:kern w:val="22"/>
          <w:lang w:val="fr-FR"/>
        </w:rPr>
        <w:t xml:space="preserve">de </w:t>
      </w:r>
      <w:r w:rsidR="00A57D5A" w:rsidRPr="00FD57F3">
        <w:rPr>
          <w:kern w:val="22"/>
          <w:lang w:val="fr-FR"/>
        </w:rPr>
        <w:t>la prévention des risques biotechnologiques</w:t>
      </w:r>
      <w:r w:rsidR="00B267ED" w:rsidRPr="00FD57F3">
        <w:rPr>
          <w:kern w:val="22"/>
          <w:lang w:val="fr-FR"/>
        </w:rPr>
        <w:t xml:space="preserve"> </w:t>
      </w:r>
      <w:r w:rsidR="00FD57F3">
        <w:rPr>
          <w:kern w:val="22"/>
          <w:lang w:val="fr-FR"/>
        </w:rPr>
        <w:t xml:space="preserve">dans les différents </w:t>
      </w:r>
      <w:r w:rsidR="00A42832" w:rsidRPr="00FD57F3">
        <w:rPr>
          <w:kern w:val="22"/>
          <w:lang w:val="fr-FR"/>
        </w:rPr>
        <w:t xml:space="preserve">programmes </w:t>
      </w:r>
      <w:r w:rsidR="00FD57F3">
        <w:rPr>
          <w:kern w:val="22"/>
          <w:lang w:val="fr-FR"/>
        </w:rPr>
        <w:t xml:space="preserve">de travail </w:t>
      </w:r>
      <w:r w:rsidR="00A57D5A" w:rsidRPr="00FD57F3">
        <w:rPr>
          <w:kern w:val="22"/>
          <w:lang w:val="fr-FR"/>
        </w:rPr>
        <w:t>de la Con</w:t>
      </w:r>
      <w:r w:rsidR="00B267ED" w:rsidRPr="00FD57F3">
        <w:rPr>
          <w:kern w:val="22"/>
          <w:lang w:val="fr-FR"/>
        </w:rPr>
        <w:t>vention</w:t>
      </w:r>
      <w:r>
        <w:rPr>
          <w:kern w:val="22"/>
          <w:lang w:val="fr-FR"/>
        </w:rPr>
        <w:t xml:space="preserve"> </w:t>
      </w:r>
      <w:r w:rsidR="00FD57F3">
        <w:rPr>
          <w:kern w:val="22"/>
          <w:lang w:val="fr-FR"/>
        </w:rPr>
        <w:t xml:space="preserve">en ajoutant des considérations relatives à la </w:t>
      </w:r>
      <w:r w:rsidR="00A57D5A" w:rsidRPr="00FD57F3">
        <w:rPr>
          <w:kern w:val="22"/>
          <w:lang w:val="fr-FR"/>
        </w:rPr>
        <w:t>prévention des risques biotechnologiques</w:t>
      </w:r>
      <w:r w:rsidR="00FD57F3">
        <w:rPr>
          <w:kern w:val="22"/>
          <w:lang w:val="fr-FR"/>
        </w:rPr>
        <w:t xml:space="preserve"> dans le cadre mondial pour la biodiversité après </w:t>
      </w:r>
      <w:r w:rsidR="00B267ED" w:rsidRPr="00FD57F3">
        <w:rPr>
          <w:kern w:val="22"/>
          <w:lang w:val="fr-FR"/>
        </w:rPr>
        <w:t>2020</w:t>
      </w:r>
      <w:r w:rsidR="00FD57F3">
        <w:rPr>
          <w:kern w:val="22"/>
          <w:lang w:val="fr-FR"/>
        </w:rPr>
        <w:t xml:space="preserve"> et dans le modèle de rapport</w:t>
      </w:r>
      <w:r w:rsidR="00B267ED" w:rsidRPr="00FD57F3">
        <w:rPr>
          <w:kern w:val="22"/>
          <w:lang w:val="fr-FR"/>
        </w:rPr>
        <w:t xml:space="preserve"> </w:t>
      </w:r>
      <w:r w:rsidR="00FD57F3">
        <w:rPr>
          <w:kern w:val="22"/>
          <w:lang w:val="fr-FR"/>
        </w:rPr>
        <w:t>national</w:t>
      </w:r>
      <w:r w:rsidR="002635CB">
        <w:rPr>
          <w:kern w:val="22"/>
          <w:lang w:val="fr-FR"/>
        </w:rPr>
        <w:t xml:space="preserve"> établi</w:t>
      </w:r>
      <w:r w:rsidR="00FD57F3">
        <w:rPr>
          <w:kern w:val="22"/>
          <w:lang w:val="fr-FR"/>
        </w:rPr>
        <w:t xml:space="preserve"> </w:t>
      </w:r>
      <w:r w:rsidR="008A4E67" w:rsidRPr="00FD57F3">
        <w:rPr>
          <w:kern w:val="22"/>
          <w:lang w:val="fr-FR"/>
        </w:rPr>
        <w:t>au titre de</w:t>
      </w:r>
      <w:r w:rsidR="009977FB" w:rsidRPr="00FD57F3">
        <w:rPr>
          <w:kern w:val="22"/>
          <w:lang w:val="fr-FR"/>
        </w:rPr>
        <w:t xml:space="preserve"> </w:t>
      </w:r>
      <w:r w:rsidR="00FD57F3">
        <w:rPr>
          <w:kern w:val="22"/>
          <w:lang w:val="fr-FR"/>
        </w:rPr>
        <w:t xml:space="preserve">la </w:t>
      </w:r>
      <w:r w:rsidR="009977FB" w:rsidRPr="00FD57F3">
        <w:rPr>
          <w:kern w:val="22"/>
          <w:lang w:val="fr-FR"/>
        </w:rPr>
        <w:t>Convention</w:t>
      </w:r>
      <w:r w:rsidR="00B267ED" w:rsidRPr="00FD57F3">
        <w:rPr>
          <w:kern w:val="22"/>
          <w:lang w:val="fr-FR"/>
        </w:rPr>
        <w:t>.</w:t>
      </w:r>
    </w:p>
    <w:p w:rsidR="00AE5298" w:rsidRPr="00385560" w:rsidRDefault="00440A3A" w:rsidP="00385560">
      <w:pPr>
        <w:pStyle w:val="Heading1"/>
        <w:suppressLineNumbers/>
        <w:tabs>
          <w:tab w:val="clear" w:pos="720"/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ascii="Times New Roman Bold" w:hAnsi="Times New Roman Bold" w:cs="Times New Roman Bold"/>
          <w:bCs/>
          <w:snapToGrid w:val="0"/>
          <w:kern w:val="22"/>
        </w:rPr>
      </w:pPr>
      <w:r w:rsidRPr="00385560">
        <w:rPr>
          <w:rFonts w:ascii="Times New Roman Bold" w:hAnsi="Times New Roman Bold" w:cs="Times New Roman Bold"/>
          <w:bCs/>
          <w:snapToGrid w:val="0"/>
          <w:kern w:val="22"/>
        </w:rPr>
        <w:t>I</w:t>
      </w:r>
      <w:r w:rsidR="008771A7" w:rsidRPr="00385560">
        <w:rPr>
          <w:rFonts w:ascii="Times New Roman Bold" w:hAnsi="Times New Roman Bold" w:cs="Times New Roman Bold"/>
          <w:bCs/>
          <w:snapToGrid w:val="0"/>
          <w:kern w:val="22"/>
        </w:rPr>
        <w:t>II.</w:t>
      </w:r>
      <w:r w:rsidR="00DC4747" w:rsidRPr="00385560">
        <w:rPr>
          <w:rFonts w:ascii="Times New Roman Bold" w:hAnsi="Times New Roman Bold" w:cs="Times New Roman Bold"/>
          <w:bCs/>
          <w:snapToGrid w:val="0"/>
          <w:kern w:val="22"/>
        </w:rPr>
        <w:tab/>
      </w:r>
      <w:r w:rsidR="00A57D5A">
        <w:rPr>
          <w:rFonts w:ascii="Times New Roman Bold" w:hAnsi="Times New Roman Bold" w:cs="Times New Roman Bold"/>
          <w:bCs/>
          <w:snapToGrid w:val="0"/>
          <w:kern w:val="22"/>
        </w:rPr>
        <w:t>Projet de recommandation</w:t>
      </w:r>
    </w:p>
    <w:p w:rsidR="00440A3A" w:rsidRPr="00FD57F3" w:rsidRDefault="00FD57F3" w:rsidP="00385560">
      <w:pPr>
        <w:pStyle w:val="Para1"/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FR"/>
        </w:rPr>
      </w:pPr>
      <w:r w:rsidRPr="00FD57F3">
        <w:rPr>
          <w:kern w:val="22"/>
          <w:lang w:val="fr-FR"/>
        </w:rPr>
        <w:t>L’</w:t>
      </w:r>
      <w:r w:rsidR="00A57D5A" w:rsidRPr="00FD57F3">
        <w:rPr>
          <w:kern w:val="22"/>
          <w:lang w:val="fr-FR"/>
        </w:rPr>
        <w:t>Organe subsidiaire chargé de l’application</w:t>
      </w:r>
      <w:r w:rsidR="00440A3A" w:rsidRPr="00FD57F3">
        <w:rPr>
          <w:kern w:val="22"/>
          <w:lang w:val="fr-FR"/>
        </w:rPr>
        <w:t xml:space="preserve"> </w:t>
      </w:r>
      <w:r w:rsidRPr="00FD57F3">
        <w:rPr>
          <w:kern w:val="22"/>
          <w:lang w:val="fr-FR"/>
        </w:rPr>
        <w:t>souhaitera peut-</w:t>
      </w:r>
      <w:r>
        <w:rPr>
          <w:kern w:val="22"/>
          <w:lang w:val="fr-FR"/>
        </w:rPr>
        <w:t>être recomma</w:t>
      </w:r>
      <w:r w:rsidR="00D1789D" w:rsidRPr="00FD57F3">
        <w:rPr>
          <w:kern w:val="22"/>
          <w:lang w:val="fr-FR"/>
        </w:rPr>
        <w:t>nd</w:t>
      </w:r>
      <w:r>
        <w:rPr>
          <w:kern w:val="22"/>
          <w:lang w:val="fr-FR"/>
        </w:rPr>
        <w:t>er que la</w:t>
      </w:r>
      <w:r w:rsidR="00A57D5A" w:rsidRPr="00FD57F3">
        <w:rPr>
          <w:kern w:val="22"/>
          <w:lang w:val="fr-FR"/>
        </w:rPr>
        <w:t xml:space="preserve"> Conférence des Parties</w:t>
      </w:r>
      <w:r>
        <w:rPr>
          <w:kern w:val="22"/>
          <w:lang w:val="fr-FR"/>
        </w:rPr>
        <w:t xml:space="preserve"> adopte,</w:t>
      </w:r>
      <w:r w:rsidR="00D1789D" w:rsidRPr="00FD57F3">
        <w:rPr>
          <w:kern w:val="22"/>
          <w:lang w:val="fr-FR"/>
        </w:rPr>
        <w:t xml:space="preserve"> </w:t>
      </w:r>
      <w:r w:rsidR="000867CA" w:rsidRPr="00FD57F3">
        <w:rPr>
          <w:kern w:val="22"/>
          <w:lang w:val="fr-FR"/>
        </w:rPr>
        <w:t>à sa</w:t>
      </w:r>
      <w:r w:rsidR="00A60C03" w:rsidRPr="00FD57F3">
        <w:rPr>
          <w:kern w:val="22"/>
          <w:lang w:val="fr-FR"/>
        </w:rPr>
        <w:t xml:space="preserve"> </w:t>
      </w:r>
      <w:r w:rsidR="00A57D5A" w:rsidRPr="00FD57F3">
        <w:rPr>
          <w:kern w:val="22"/>
          <w:lang w:val="fr-FR"/>
        </w:rPr>
        <w:t>quatorzième</w:t>
      </w:r>
      <w:r w:rsidR="00A60C03" w:rsidRPr="00FD57F3">
        <w:rPr>
          <w:kern w:val="22"/>
          <w:lang w:val="fr-FR"/>
        </w:rPr>
        <w:t xml:space="preserve"> </w:t>
      </w:r>
      <w:r w:rsidR="00A57D5A" w:rsidRPr="00FD57F3">
        <w:rPr>
          <w:kern w:val="22"/>
          <w:lang w:val="fr-FR"/>
        </w:rPr>
        <w:t>réunion</w:t>
      </w:r>
      <w:r>
        <w:rPr>
          <w:kern w:val="22"/>
          <w:lang w:val="fr-FR"/>
        </w:rPr>
        <w:t xml:space="preserve">, une </w:t>
      </w:r>
      <w:r w:rsidR="00A57D5A" w:rsidRPr="00FD57F3">
        <w:rPr>
          <w:kern w:val="22"/>
          <w:lang w:val="fr-FR"/>
        </w:rPr>
        <w:t>décision</w:t>
      </w:r>
      <w:r w:rsidR="00412BA2">
        <w:rPr>
          <w:kern w:val="22"/>
          <w:lang w:val="fr-FR"/>
        </w:rPr>
        <w:t xml:space="preserve"> </w:t>
      </w:r>
      <w:r>
        <w:rPr>
          <w:kern w:val="22"/>
          <w:lang w:val="fr-FR"/>
        </w:rPr>
        <w:t>libellée comme suit</w:t>
      </w:r>
      <w:r w:rsidR="00440A3A" w:rsidRPr="00FD57F3">
        <w:rPr>
          <w:kern w:val="22"/>
          <w:lang w:val="fr-FR"/>
        </w:rPr>
        <w:t>:</w:t>
      </w:r>
    </w:p>
    <w:p w:rsidR="00440A3A" w:rsidRPr="00A57D5A" w:rsidRDefault="00A57D5A" w:rsidP="00385560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rFonts w:eastAsia="Calibri"/>
          <w:i/>
          <w:kern w:val="22"/>
          <w:lang w:val="fr-FR"/>
        </w:rPr>
      </w:pPr>
      <w:r w:rsidRPr="00A57D5A">
        <w:rPr>
          <w:rFonts w:eastAsia="Calibri"/>
          <w:i/>
          <w:kern w:val="22"/>
          <w:lang w:val="fr-FR"/>
        </w:rPr>
        <w:t>La Conférence des Parties</w:t>
      </w:r>
      <w:r w:rsidR="00A42832" w:rsidRPr="00A57D5A">
        <w:rPr>
          <w:rFonts w:eastAsia="Calibri"/>
          <w:i/>
          <w:kern w:val="22"/>
          <w:lang w:val="fr-FR"/>
        </w:rPr>
        <w:t>,</w:t>
      </w:r>
    </w:p>
    <w:p w:rsidR="00440A3A" w:rsidRPr="005A61E5" w:rsidRDefault="00FD57F3" w:rsidP="00385560">
      <w:pPr>
        <w:pStyle w:val="Para1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rFonts w:eastAsia="Calibri"/>
          <w:kern w:val="22"/>
          <w:lang w:val="fr-FR"/>
        </w:rPr>
      </w:pPr>
      <w:r>
        <w:rPr>
          <w:rFonts w:eastAsia="Calibri"/>
          <w:i/>
          <w:kern w:val="22"/>
          <w:lang w:val="fr-FR"/>
        </w:rPr>
        <w:t>Prie instamment</w:t>
      </w:r>
      <w:r w:rsidR="00440A3A" w:rsidRPr="005A61E5">
        <w:rPr>
          <w:rFonts w:eastAsia="Calibri"/>
          <w:kern w:val="22"/>
          <w:lang w:val="fr-FR"/>
        </w:rPr>
        <w:t xml:space="preserve"> </w:t>
      </w:r>
      <w:r>
        <w:rPr>
          <w:rFonts w:eastAsia="Calibri"/>
          <w:kern w:val="22"/>
          <w:lang w:val="fr-FR"/>
        </w:rPr>
        <w:t xml:space="preserve">les </w:t>
      </w:r>
      <w:r w:rsidR="00440A3A" w:rsidRPr="005A61E5">
        <w:rPr>
          <w:rFonts w:eastAsia="Calibri"/>
          <w:kern w:val="22"/>
          <w:lang w:val="fr-FR"/>
        </w:rPr>
        <w:t xml:space="preserve">Parties </w:t>
      </w:r>
      <w:r w:rsidR="005A61E5">
        <w:rPr>
          <w:rFonts w:eastAsia="Calibri"/>
          <w:kern w:val="22"/>
          <w:lang w:val="fr-FR"/>
        </w:rPr>
        <w:t>à la Con</w:t>
      </w:r>
      <w:r>
        <w:rPr>
          <w:rFonts w:eastAsia="Calibri"/>
          <w:kern w:val="22"/>
          <w:lang w:val="fr-FR"/>
        </w:rPr>
        <w:t>vention sur la d</w:t>
      </w:r>
      <w:r w:rsidR="005A61E5" w:rsidRPr="005A61E5">
        <w:rPr>
          <w:rFonts w:eastAsia="Calibri"/>
          <w:kern w:val="22"/>
          <w:lang w:val="fr-FR"/>
        </w:rPr>
        <w:t>iversité biologique</w:t>
      </w:r>
      <w:r w:rsidR="00440A3A" w:rsidRPr="005A61E5">
        <w:rPr>
          <w:rFonts w:eastAsia="Calibri"/>
          <w:kern w:val="22"/>
          <w:lang w:val="fr-FR"/>
        </w:rPr>
        <w:t xml:space="preserve"> </w:t>
      </w:r>
      <w:r w:rsidR="002635CB">
        <w:rPr>
          <w:rFonts w:eastAsia="Calibri"/>
          <w:kern w:val="22"/>
          <w:lang w:val="fr-FR"/>
        </w:rPr>
        <w:t>qui ne l’ont pas encore fait de</w:t>
      </w:r>
      <w:r>
        <w:rPr>
          <w:rFonts w:eastAsia="Calibri"/>
          <w:kern w:val="22"/>
          <w:lang w:val="fr-FR"/>
        </w:rPr>
        <w:t xml:space="preserve"> déposer leur instrument de</w:t>
      </w:r>
      <w:r w:rsidR="00440A3A" w:rsidRPr="005A61E5">
        <w:rPr>
          <w:rFonts w:eastAsia="Calibri"/>
          <w:kern w:val="22"/>
          <w:lang w:val="fr-FR"/>
        </w:rPr>
        <w:t xml:space="preserve"> ratification, </w:t>
      </w:r>
      <w:r>
        <w:rPr>
          <w:rFonts w:eastAsia="Calibri"/>
          <w:kern w:val="22"/>
          <w:lang w:val="fr-FR"/>
        </w:rPr>
        <w:t>d’acceptation</w:t>
      </w:r>
      <w:r w:rsidR="001D66A9" w:rsidRPr="005A61E5">
        <w:rPr>
          <w:rFonts w:eastAsia="Calibri"/>
          <w:kern w:val="22"/>
          <w:lang w:val="fr-FR"/>
        </w:rPr>
        <w:t>,</w:t>
      </w:r>
      <w:r w:rsidR="00440A3A" w:rsidRPr="005A61E5">
        <w:rPr>
          <w:rFonts w:eastAsia="Calibri"/>
          <w:kern w:val="22"/>
          <w:lang w:val="fr-FR"/>
        </w:rPr>
        <w:t xml:space="preserve"> </w:t>
      </w:r>
      <w:r>
        <w:rPr>
          <w:rFonts w:eastAsia="Calibri"/>
          <w:kern w:val="22"/>
          <w:lang w:val="fr-FR"/>
        </w:rPr>
        <w:t>d’approbation ou d’adhés</w:t>
      </w:r>
      <w:r w:rsidR="00440A3A" w:rsidRPr="005A61E5">
        <w:rPr>
          <w:rFonts w:eastAsia="Calibri"/>
          <w:kern w:val="22"/>
          <w:lang w:val="fr-FR"/>
        </w:rPr>
        <w:t xml:space="preserve">ion </w:t>
      </w:r>
      <w:r w:rsidR="00A57D5A" w:rsidRPr="005A61E5">
        <w:rPr>
          <w:rFonts w:eastAsia="Calibri"/>
          <w:kern w:val="22"/>
          <w:lang w:val="fr-FR"/>
        </w:rPr>
        <w:t>au Protocole de Cartagena</w:t>
      </w:r>
      <w:r w:rsidR="00440A3A" w:rsidRPr="005A61E5">
        <w:rPr>
          <w:rFonts w:eastAsia="Calibri"/>
          <w:kern w:val="22"/>
          <w:lang w:val="fr-FR"/>
        </w:rPr>
        <w:t xml:space="preserve"> </w:t>
      </w:r>
      <w:r>
        <w:rPr>
          <w:rFonts w:eastAsia="Calibri"/>
          <w:kern w:val="22"/>
          <w:lang w:val="fr-FR"/>
        </w:rPr>
        <w:t xml:space="preserve">dans les meilleurs </w:t>
      </w:r>
      <w:r w:rsidR="002635CB">
        <w:rPr>
          <w:rFonts w:eastAsia="Calibri"/>
          <w:kern w:val="22"/>
          <w:lang w:val="fr-FR"/>
        </w:rPr>
        <w:t xml:space="preserve">délais, et de prendre des dispositions en vue de </w:t>
      </w:r>
      <w:r>
        <w:rPr>
          <w:rFonts w:eastAsia="Calibri"/>
          <w:kern w:val="22"/>
          <w:lang w:val="fr-FR"/>
        </w:rPr>
        <w:t xml:space="preserve">son </w:t>
      </w:r>
      <w:r w:rsidR="00B523B9" w:rsidRPr="005A61E5">
        <w:rPr>
          <w:rFonts w:eastAsia="Calibri"/>
          <w:kern w:val="22"/>
          <w:lang w:val="fr-FR"/>
        </w:rPr>
        <w:t>application</w:t>
      </w:r>
      <w:r w:rsidR="00440A3A" w:rsidRPr="005A61E5">
        <w:rPr>
          <w:rFonts w:eastAsia="Calibri"/>
          <w:kern w:val="22"/>
          <w:lang w:val="fr-FR"/>
        </w:rPr>
        <w:t xml:space="preserve">, </w:t>
      </w:r>
      <w:r w:rsidR="002635CB">
        <w:rPr>
          <w:rFonts w:eastAsia="Calibri"/>
          <w:kern w:val="22"/>
          <w:lang w:val="fr-FR"/>
        </w:rPr>
        <w:t xml:space="preserve">notamment </w:t>
      </w:r>
      <w:r>
        <w:rPr>
          <w:rFonts w:eastAsia="Calibri"/>
          <w:kern w:val="22"/>
          <w:lang w:val="fr-FR"/>
        </w:rPr>
        <w:t xml:space="preserve">en </w:t>
      </w:r>
      <w:r w:rsidR="009A436D">
        <w:rPr>
          <w:rFonts w:eastAsia="Calibri"/>
          <w:kern w:val="22"/>
          <w:lang w:val="fr-FR"/>
        </w:rPr>
        <w:t xml:space="preserve">mettant en place des </w:t>
      </w:r>
      <w:r w:rsidR="00440A3A" w:rsidRPr="005A61E5">
        <w:rPr>
          <w:rFonts w:eastAsia="Calibri"/>
          <w:kern w:val="22"/>
          <w:lang w:val="fr-FR"/>
        </w:rPr>
        <w:t>structures</w:t>
      </w:r>
      <w:r w:rsidR="009A436D">
        <w:rPr>
          <w:rFonts w:eastAsia="Calibri"/>
          <w:kern w:val="22"/>
          <w:lang w:val="fr-FR"/>
        </w:rPr>
        <w:t xml:space="preserve"> institutionnelles</w:t>
      </w:r>
      <w:r w:rsidR="00A57D5A" w:rsidRPr="005A61E5">
        <w:rPr>
          <w:rFonts w:eastAsia="Calibri"/>
          <w:kern w:val="22"/>
          <w:lang w:val="fr-FR"/>
        </w:rPr>
        <w:t xml:space="preserve"> et </w:t>
      </w:r>
      <w:r w:rsidR="009A436D">
        <w:rPr>
          <w:rFonts w:eastAsia="Calibri"/>
          <w:kern w:val="22"/>
          <w:lang w:val="fr-FR"/>
        </w:rPr>
        <w:t>des mesures lé</w:t>
      </w:r>
      <w:r w:rsidR="00440A3A" w:rsidRPr="005A61E5">
        <w:rPr>
          <w:rFonts w:eastAsia="Calibri"/>
          <w:kern w:val="22"/>
          <w:lang w:val="fr-FR"/>
        </w:rPr>
        <w:t>gislative</w:t>
      </w:r>
      <w:r w:rsidR="009A436D">
        <w:rPr>
          <w:rFonts w:eastAsia="Calibri"/>
          <w:kern w:val="22"/>
          <w:lang w:val="fr-FR"/>
        </w:rPr>
        <w:t>s</w:t>
      </w:r>
      <w:r w:rsidR="00440A3A" w:rsidRPr="005A61E5">
        <w:rPr>
          <w:rFonts w:eastAsia="Calibri"/>
          <w:kern w:val="22"/>
          <w:lang w:val="fr-FR"/>
        </w:rPr>
        <w:t>, administrative</w:t>
      </w:r>
      <w:r w:rsidR="009A436D">
        <w:rPr>
          <w:rFonts w:eastAsia="Calibri"/>
          <w:kern w:val="22"/>
          <w:lang w:val="fr-FR"/>
        </w:rPr>
        <w:t>s</w:t>
      </w:r>
      <w:r w:rsidR="00A57D5A" w:rsidRPr="005A61E5">
        <w:rPr>
          <w:rFonts w:eastAsia="Calibri"/>
          <w:kern w:val="22"/>
          <w:lang w:val="fr-FR"/>
        </w:rPr>
        <w:t xml:space="preserve"> et</w:t>
      </w:r>
      <w:r w:rsidR="009A436D">
        <w:rPr>
          <w:rFonts w:eastAsia="Calibri"/>
          <w:kern w:val="22"/>
          <w:lang w:val="fr-FR"/>
        </w:rPr>
        <w:t xml:space="preserve"> de politique générale</w:t>
      </w:r>
      <w:r w:rsidR="00A57D5A" w:rsidRPr="005A61E5">
        <w:rPr>
          <w:rFonts w:eastAsia="Calibri"/>
          <w:kern w:val="22"/>
          <w:lang w:val="fr-FR"/>
        </w:rPr>
        <w:t xml:space="preserve"> sur la prévention des risques biotechnologiques</w:t>
      </w:r>
      <w:r w:rsidR="009620BE" w:rsidRPr="005A61E5">
        <w:rPr>
          <w:rFonts w:eastAsia="Calibri"/>
          <w:kern w:val="22"/>
          <w:lang w:val="fr-FR"/>
        </w:rPr>
        <w:t>;</w:t>
      </w:r>
    </w:p>
    <w:p w:rsidR="00A42832" w:rsidRPr="005A61E5" w:rsidRDefault="009A436D" w:rsidP="00385560">
      <w:pPr>
        <w:pStyle w:val="Para1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rFonts w:eastAsia="Calibri"/>
          <w:kern w:val="22"/>
          <w:lang w:val="fr-FR"/>
        </w:rPr>
      </w:pPr>
      <w:r>
        <w:rPr>
          <w:rFonts w:eastAsia="Calibri"/>
          <w:i/>
          <w:kern w:val="22"/>
          <w:lang w:val="fr-FR"/>
        </w:rPr>
        <w:t>Rappelle</w:t>
      </w:r>
      <w:r w:rsidR="009977FB" w:rsidRPr="005A61E5">
        <w:rPr>
          <w:rFonts w:eastAsia="Calibri"/>
          <w:kern w:val="22"/>
          <w:lang w:val="fr-FR"/>
        </w:rPr>
        <w:t xml:space="preserve"> </w:t>
      </w:r>
      <w:r>
        <w:rPr>
          <w:rFonts w:eastAsia="Calibri"/>
          <w:kern w:val="22"/>
          <w:lang w:val="fr-FR"/>
        </w:rPr>
        <w:t xml:space="preserve">aux </w:t>
      </w:r>
      <w:r w:rsidR="00A42832" w:rsidRPr="005A61E5">
        <w:rPr>
          <w:rFonts w:eastAsia="Calibri"/>
          <w:kern w:val="22"/>
          <w:lang w:val="fr-FR"/>
        </w:rPr>
        <w:t xml:space="preserve">Parties </w:t>
      </w:r>
      <w:r w:rsidR="005A61E5">
        <w:rPr>
          <w:rFonts w:eastAsia="Calibri"/>
          <w:kern w:val="22"/>
          <w:lang w:val="fr-FR"/>
        </w:rPr>
        <w:t>à la Con</w:t>
      </w:r>
      <w:r>
        <w:rPr>
          <w:rFonts w:eastAsia="Calibri"/>
          <w:kern w:val="22"/>
          <w:lang w:val="fr-FR"/>
        </w:rPr>
        <w:t>vention sur la d</w:t>
      </w:r>
      <w:r w:rsidR="005A61E5" w:rsidRPr="005A61E5">
        <w:rPr>
          <w:rFonts w:eastAsia="Calibri"/>
          <w:kern w:val="22"/>
          <w:lang w:val="fr-FR"/>
        </w:rPr>
        <w:t>iversité biologique</w:t>
      </w:r>
      <w:r w:rsidR="00A42832" w:rsidRPr="005A61E5">
        <w:rPr>
          <w:rFonts w:eastAsia="Calibri"/>
          <w:kern w:val="22"/>
          <w:lang w:val="fr-FR"/>
        </w:rPr>
        <w:t xml:space="preserve"> </w:t>
      </w:r>
      <w:r w:rsidR="005A61E5">
        <w:rPr>
          <w:rFonts w:eastAsia="Calibri"/>
          <w:kern w:val="22"/>
          <w:lang w:val="fr-FR"/>
        </w:rPr>
        <w:t>qui ne sont pas Par</w:t>
      </w:r>
      <w:r w:rsidR="00A42832" w:rsidRPr="005A61E5">
        <w:rPr>
          <w:rFonts w:eastAsia="Calibri"/>
          <w:kern w:val="22"/>
          <w:lang w:val="fr-FR"/>
        </w:rPr>
        <w:t xml:space="preserve">ties </w:t>
      </w:r>
      <w:r w:rsidR="00A57D5A" w:rsidRPr="005A61E5">
        <w:rPr>
          <w:rFonts w:eastAsia="Calibri"/>
          <w:kern w:val="22"/>
          <w:lang w:val="fr-FR"/>
        </w:rPr>
        <w:t>au Protocole de Cartagena</w:t>
      </w:r>
      <w:r>
        <w:rPr>
          <w:rFonts w:eastAsia="Calibri"/>
          <w:kern w:val="22"/>
          <w:lang w:val="fr-FR"/>
        </w:rPr>
        <w:t xml:space="preserve"> leurs obligations en matière de</w:t>
      </w:r>
      <w:r w:rsidR="009977FB" w:rsidRPr="005A61E5">
        <w:rPr>
          <w:rFonts w:eastAsia="Calibri"/>
          <w:kern w:val="22"/>
          <w:lang w:val="fr-FR"/>
        </w:rPr>
        <w:t xml:space="preserve"> </w:t>
      </w:r>
      <w:r w:rsidR="00A57D5A" w:rsidRPr="005A61E5">
        <w:rPr>
          <w:rFonts w:eastAsia="Calibri"/>
          <w:kern w:val="22"/>
          <w:lang w:val="fr-FR"/>
        </w:rPr>
        <w:t>prévention des risques biotechnologiques</w:t>
      </w:r>
      <w:r>
        <w:rPr>
          <w:rFonts w:eastAsia="Calibri"/>
          <w:kern w:val="22"/>
          <w:lang w:val="fr-FR"/>
        </w:rPr>
        <w:t xml:space="preserve"> </w:t>
      </w:r>
      <w:r w:rsidR="008A4E67" w:rsidRPr="005A61E5">
        <w:rPr>
          <w:rFonts w:eastAsia="Calibri"/>
          <w:kern w:val="22"/>
          <w:lang w:val="fr-FR"/>
        </w:rPr>
        <w:t>au titre de</w:t>
      </w:r>
      <w:r w:rsidR="009977FB" w:rsidRPr="005A61E5">
        <w:rPr>
          <w:rFonts w:eastAsia="Calibri"/>
          <w:kern w:val="22"/>
          <w:lang w:val="fr-FR"/>
        </w:rPr>
        <w:t xml:space="preserve"> </w:t>
      </w:r>
      <w:r>
        <w:rPr>
          <w:rFonts w:eastAsia="Calibri"/>
          <w:kern w:val="22"/>
          <w:lang w:val="fr-FR"/>
        </w:rPr>
        <w:t xml:space="preserve">la </w:t>
      </w:r>
      <w:r w:rsidR="009977FB" w:rsidRPr="005A61E5">
        <w:rPr>
          <w:rFonts w:eastAsia="Calibri"/>
          <w:kern w:val="22"/>
          <w:lang w:val="fr-FR"/>
        </w:rPr>
        <w:t>Convention</w:t>
      </w:r>
      <w:r w:rsidR="00591D07" w:rsidRPr="005A61E5">
        <w:rPr>
          <w:rFonts w:eastAsia="Calibri"/>
          <w:kern w:val="22"/>
          <w:lang w:val="fr-FR"/>
        </w:rPr>
        <w:t>,</w:t>
      </w:r>
      <w:r w:rsidR="00A57D5A" w:rsidRPr="005A61E5">
        <w:rPr>
          <w:rFonts w:eastAsia="Calibri"/>
          <w:kern w:val="22"/>
          <w:lang w:val="fr-FR"/>
        </w:rPr>
        <w:t xml:space="preserve"> et </w:t>
      </w:r>
      <w:r>
        <w:rPr>
          <w:rFonts w:eastAsia="Calibri"/>
          <w:i/>
          <w:kern w:val="22"/>
          <w:lang w:val="fr-FR"/>
        </w:rPr>
        <w:t>invite</w:t>
      </w:r>
      <w:r w:rsidR="009977FB" w:rsidRPr="005A61E5">
        <w:rPr>
          <w:rFonts w:eastAsia="Calibri"/>
          <w:i/>
          <w:kern w:val="22"/>
          <w:lang w:val="fr-FR"/>
        </w:rPr>
        <w:t xml:space="preserve"> </w:t>
      </w:r>
      <w:r>
        <w:rPr>
          <w:rFonts w:eastAsia="Calibri"/>
          <w:kern w:val="22"/>
          <w:lang w:val="fr-FR"/>
        </w:rPr>
        <w:t xml:space="preserve">ces Parties à </w:t>
      </w:r>
      <w:r w:rsidR="001D66A9" w:rsidRPr="005A61E5">
        <w:rPr>
          <w:rFonts w:eastAsia="Calibri"/>
          <w:kern w:val="22"/>
          <w:lang w:val="fr-FR"/>
        </w:rPr>
        <w:t>continue</w:t>
      </w:r>
      <w:r>
        <w:rPr>
          <w:rFonts w:eastAsia="Calibri"/>
          <w:kern w:val="22"/>
          <w:lang w:val="fr-FR"/>
        </w:rPr>
        <w:t>r de</w:t>
      </w:r>
      <w:r w:rsidR="002635CB">
        <w:rPr>
          <w:rFonts w:eastAsia="Calibri"/>
          <w:kern w:val="22"/>
          <w:lang w:val="fr-FR"/>
        </w:rPr>
        <w:t xml:space="preserve"> trans</w:t>
      </w:r>
      <w:r>
        <w:rPr>
          <w:rFonts w:eastAsia="Calibri"/>
          <w:kern w:val="22"/>
          <w:lang w:val="fr-FR"/>
        </w:rPr>
        <w:t xml:space="preserve">mettre des </w:t>
      </w:r>
      <w:r w:rsidR="001D66A9" w:rsidRPr="005A61E5">
        <w:rPr>
          <w:rFonts w:eastAsia="Calibri"/>
          <w:kern w:val="22"/>
          <w:lang w:val="fr-FR"/>
        </w:rPr>
        <w:t>information</w:t>
      </w:r>
      <w:r w:rsidR="002635CB">
        <w:rPr>
          <w:rFonts w:eastAsia="Calibri"/>
          <w:kern w:val="22"/>
          <w:lang w:val="fr-FR"/>
        </w:rPr>
        <w:t>s a</w:t>
      </w:r>
      <w:r>
        <w:rPr>
          <w:rFonts w:eastAsia="Calibri"/>
          <w:kern w:val="22"/>
          <w:lang w:val="fr-FR"/>
        </w:rPr>
        <w:t>u Centre d’échange pour l</w:t>
      </w:r>
      <w:r w:rsidR="00A57D5A" w:rsidRPr="005A61E5">
        <w:rPr>
          <w:rFonts w:eastAsia="Calibri"/>
          <w:kern w:val="22"/>
          <w:lang w:val="fr-FR"/>
        </w:rPr>
        <w:t xml:space="preserve">a prévention des risques biotechnologiques et </w:t>
      </w:r>
      <w:r>
        <w:rPr>
          <w:rFonts w:eastAsia="Calibri"/>
          <w:kern w:val="22"/>
          <w:lang w:val="fr-FR"/>
        </w:rPr>
        <w:t>à remettre le quatrième rapport national</w:t>
      </w:r>
      <w:r w:rsidR="009620BE" w:rsidRPr="005A61E5">
        <w:rPr>
          <w:rFonts w:eastAsia="Calibri"/>
          <w:kern w:val="22"/>
          <w:lang w:val="fr-FR"/>
        </w:rPr>
        <w:t xml:space="preserve"> </w:t>
      </w:r>
      <w:r>
        <w:rPr>
          <w:rFonts w:eastAsia="Calibri"/>
          <w:kern w:val="22"/>
          <w:lang w:val="fr-FR"/>
        </w:rPr>
        <w:t>au titre du</w:t>
      </w:r>
      <w:r w:rsidR="009620BE" w:rsidRPr="005A61E5">
        <w:rPr>
          <w:rFonts w:eastAsia="Calibri"/>
          <w:kern w:val="22"/>
          <w:lang w:val="fr-FR"/>
        </w:rPr>
        <w:t xml:space="preserve"> </w:t>
      </w:r>
      <w:r w:rsidR="00A57D5A" w:rsidRPr="005A61E5">
        <w:rPr>
          <w:rFonts w:eastAsia="Calibri"/>
          <w:kern w:val="22"/>
          <w:lang w:val="fr-FR"/>
        </w:rPr>
        <w:t>Protocole de Cartagena</w:t>
      </w:r>
      <w:r w:rsidR="009620BE" w:rsidRPr="005A61E5">
        <w:rPr>
          <w:rFonts w:eastAsia="Calibri"/>
          <w:kern w:val="22"/>
          <w:lang w:val="fr-FR"/>
        </w:rPr>
        <w:t>;</w:t>
      </w:r>
    </w:p>
    <w:p w:rsidR="00D1789D" w:rsidRPr="00B523B9" w:rsidRDefault="00D7780B" w:rsidP="00385560">
      <w:pPr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rPr>
          <w:snapToGrid w:val="0"/>
          <w:kern w:val="22"/>
          <w:lang w:val="fr-FR"/>
        </w:rPr>
      </w:pPr>
      <w:r w:rsidRPr="00B523B9">
        <w:rPr>
          <w:i/>
          <w:snapToGrid w:val="0"/>
          <w:kern w:val="22"/>
          <w:lang w:val="fr-FR"/>
        </w:rPr>
        <w:t>Invite</w:t>
      </w:r>
      <w:r w:rsidRPr="00B523B9">
        <w:rPr>
          <w:snapToGrid w:val="0"/>
          <w:kern w:val="22"/>
          <w:lang w:val="fr-FR"/>
        </w:rPr>
        <w:t xml:space="preserve"> </w:t>
      </w:r>
      <w:r w:rsidR="009A436D">
        <w:rPr>
          <w:snapToGrid w:val="0"/>
          <w:kern w:val="22"/>
          <w:lang w:val="fr-FR"/>
        </w:rPr>
        <w:t>les gouvernement</w:t>
      </w:r>
      <w:r w:rsidR="009620BE" w:rsidRPr="00B523B9">
        <w:rPr>
          <w:snapToGrid w:val="0"/>
          <w:kern w:val="22"/>
          <w:lang w:val="fr-FR"/>
        </w:rPr>
        <w:t>s</w:t>
      </w:r>
      <w:r w:rsidR="00A57D5A" w:rsidRPr="00B523B9">
        <w:rPr>
          <w:snapToGrid w:val="0"/>
          <w:kern w:val="22"/>
          <w:lang w:val="fr-FR"/>
        </w:rPr>
        <w:t xml:space="preserve"> et </w:t>
      </w:r>
      <w:r w:rsidR="009A436D">
        <w:rPr>
          <w:snapToGrid w:val="0"/>
          <w:kern w:val="22"/>
          <w:lang w:val="fr-FR"/>
        </w:rPr>
        <w:t>les organisation</w:t>
      </w:r>
      <w:r w:rsidRPr="00B523B9">
        <w:rPr>
          <w:snapToGrid w:val="0"/>
          <w:kern w:val="22"/>
          <w:lang w:val="fr-FR"/>
        </w:rPr>
        <w:t xml:space="preserve">s </w:t>
      </w:r>
      <w:r w:rsidR="009A436D">
        <w:rPr>
          <w:snapToGrid w:val="0"/>
          <w:kern w:val="22"/>
          <w:lang w:val="fr-FR"/>
        </w:rPr>
        <w:t>compétentes à fournir un appui technique et financier pour répondre aux besoins</w:t>
      </w:r>
      <w:r w:rsidR="002635CB">
        <w:rPr>
          <w:snapToGrid w:val="0"/>
          <w:kern w:val="22"/>
          <w:lang w:val="fr-FR"/>
        </w:rPr>
        <w:t xml:space="preserve"> en matière d’activités </w:t>
      </w:r>
      <w:r w:rsidR="009A436D">
        <w:rPr>
          <w:snapToGrid w:val="0"/>
          <w:kern w:val="22"/>
          <w:lang w:val="fr-FR"/>
        </w:rPr>
        <w:t xml:space="preserve">de création et de </w:t>
      </w:r>
      <w:r w:rsidR="000867CA" w:rsidRPr="00B523B9">
        <w:rPr>
          <w:snapToGrid w:val="0"/>
          <w:kern w:val="22"/>
          <w:lang w:val="fr-FR"/>
        </w:rPr>
        <w:t>renforcement des capacités</w:t>
      </w:r>
      <w:r w:rsidRPr="00B523B9">
        <w:rPr>
          <w:snapToGrid w:val="0"/>
          <w:kern w:val="22"/>
          <w:lang w:val="fr-FR"/>
        </w:rPr>
        <w:t xml:space="preserve">, </w:t>
      </w:r>
      <w:r w:rsidR="009A436D">
        <w:rPr>
          <w:snapToGrid w:val="0"/>
          <w:kern w:val="22"/>
          <w:lang w:val="fr-FR"/>
        </w:rPr>
        <w:t>ainsi que</w:t>
      </w:r>
      <w:r w:rsidRPr="00B523B9">
        <w:rPr>
          <w:snapToGrid w:val="0"/>
          <w:kern w:val="22"/>
          <w:lang w:val="fr-FR"/>
        </w:rPr>
        <w:t xml:space="preserve"> </w:t>
      </w:r>
      <w:r w:rsidR="009A436D">
        <w:rPr>
          <w:snapToGrid w:val="0"/>
          <w:kern w:val="22"/>
          <w:lang w:val="fr-FR"/>
        </w:rPr>
        <w:t>de</w:t>
      </w:r>
      <w:r w:rsidR="002635CB">
        <w:rPr>
          <w:snapToGrid w:val="0"/>
          <w:kern w:val="22"/>
          <w:lang w:val="fr-FR"/>
        </w:rPr>
        <w:t>s</w:t>
      </w:r>
      <w:r w:rsidR="009A436D">
        <w:rPr>
          <w:snapToGrid w:val="0"/>
          <w:kern w:val="22"/>
          <w:lang w:val="fr-FR"/>
        </w:rPr>
        <w:t xml:space="preserve"> </w:t>
      </w:r>
      <w:r w:rsidR="00B523B9" w:rsidRPr="00B523B9">
        <w:rPr>
          <w:snapToGrid w:val="0"/>
          <w:kern w:val="22"/>
          <w:lang w:val="fr-FR"/>
        </w:rPr>
        <w:t>ressources financières</w:t>
      </w:r>
      <w:r w:rsidR="002635CB">
        <w:rPr>
          <w:snapToGrid w:val="0"/>
          <w:kern w:val="22"/>
          <w:lang w:val="fr-FR"/>
        </w:rPr>
        <w:t xml:space="preserve"> pour </w:t>
      </w:r>
      <w:r w:rsidR="009A436D">
        <w:rPr>
          <w:snapToGrid w:val="0"/>
          <w:kern w:val="22"/>
          <w:lang w:val="fr-FR"/>
        </w:rPr>
        <w:t xml:space="preserve">appuyer la </w:t>
      </w:r>
      <w:r w:rsidRPr="00B523B9">
        <w:rPr>
          <w:snapToGrid w:val="0"/>
          <w:kern w:val="22"/>
          <w:lang w:val="fr-FR"/>
        </w:rPr>
        <w:t>ratification</w:t>
      </w:r>
      <w:r w:rsidR="00A57D5A" w:rsidRPr="00B523B9">
        <w:rPr>
          <w:snapToGrid w:val="0"/>
          <w:kern w:val="22"/>
          <w:lang w:val="fr-FR"/>
        </w:rPr>
        <w:t xml:space="preserve"> et </w:t>
      </w:r>
      <w:r w:rsidR="00B523B9" w:rsidRPr="00B523B9">
        <w:rPr>
          <w:snapToGrid w:val="0"/>
          <w:kern w:val="22"/>
          <w:lang w:val="fr-FR"/>
        </w:rPr>
        <w:t>l’application</w:t>
      </w:r>
      <w:r w:rsidRPr="00B523B9">
        <w:rPr>
          <w:snapToGrid w:val="0"/>
          <w:kern w:val="22"/>
          <w:lang w:val="fr-FR"/>
        </w:rPr>
        <w:t xml:space="preserve"> </w:t>
      </w:r>
      <w:r w:rsidR="00A57D5A" w:rsidRPr="00B523B9">
        <w:rPr>
          <w:snapToGrid w:val="0"/>
          <w:kern w:val="22"/>
          <w:lang w:val="fr-FR"/>
        </w:rPr>
        <w:t>du Protocole de Cartage</w:t>
      </w:r>
      <w:r w:rsidR="002635CB">
        <w:rPr>
          <w:snapToGrid w:val="0"/>
          <w:kern w:val="22"/>
          <w:lang w:val="fr-FR"/>
        </w:rPr>
        <w:t>na</w:t>
      </w:r>
      <w:r w:rsidR="009620BE" w:rsidRPr="00B523B9">
        <w:rPr>
          <w:snapToGrid w:val="0"/>
          <w:kern w:val="22"/>
          <w:lang w:val="fr-FR"/>
        </w:rPr>
        <w:t>;</w:t>
      </w:r>
    </w:p>
    <w:p w:rsidR="0004001B" w:rsidRPr="009A436D" w:rsidRDefault="002635CB" w:rsidP="00385560">
      <w:pPr>
        <w:pStyle w:val="Para1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rFonts w:eastAsia="Calibri"/>
          <w:kern w:val="22"/>
          <w:lang w:val="fr-FR"/>
        </w:rPr>
      </w:pPr>
      <w:r>
        <w:rPr>
          <w:rFonts w:eastAsia="Calibri"/>
          <w:i/>
          <w:kern w:val="22"/>
          <w:lang w:val="fr-FR"/>
        </w:rPr>
        <w:lastRenderedPageBreak/>
        <w:t>Accepte</w:t>
      </w:r>
      <w:r w:rsidR="009A436D">
        <w:rPr>
          <w:rFonts w:eastAsia="Calibri"/>
          <w:kern w:val="22"/>
          <w:lang w:val="fr-FR"/>
        </w:rPr>
        <w:t xml:space="preserve"> d’envisager d’ajouter des considérations relatives à la</w:t>
      </w:r>
      <w:r w:rsidR="00A57D5A" w:rsidRPr="009A436D">
        <w:rPr>
          <w:rFonts w:eastAsia="Calibri"/>
          <w:kern w:val="22"/>
          <w:lang w:val="fr-FR"/>
        </w:rPr>
        <w:t xml:space="preserve"> prévention des risques biotechnologiques</w:t>
      </w:r>
      <w:r w:rsidR="009A436D">
        <w:rPr>
          <w:rFonts w:eastAsia="Calibri"/>
          <w:kern w:val="22"/>
          <w:lang w:val="fr-FR"/>
        </w:rPr>
        <w:t xml:space="preserve"> dans le</w:t>
      </w:r>
      <w:r w:rsidR="001D66A9" w:rsidRPr="009A436D">
        <w:rPr>
          <w:rFonts w:eastAsia="Calibri"/>
          <w:kern w:val="22"/>
          <w:lang w:val="fr-FR"/>
        </w:rPr>
        <w:t xml:space="preserve"> </w:t>
      </w:r>
      <w:r w:rsidR="009A436D">
        <w:rPr>
          <w:rFonts w:eastAsia="Calibri"/>
          <w:kern w:val="22"/>
          <w:lang w:val="fr-FR"/>
        </w:rPr>
        <w:t>cadre mondial pour la biodiversité</w:t>
      </w:r>
      <w:r w:rsidR="00A57D5A" w:rsidRPr="009A436D">
        <w:rPr>
          <w:rFonts w:eastAsia="Calibri"/>
          <w:kern w:val="22"/>
          <w:lang w:val="fr-FR"/>
        </w:rPr>
        <w:t xml:space="preserve"> </w:t>
      </w:r>
      <w:r w:rsidR="009A436D">
        <w:rPr>
          <w:rFonts w:eastAsia="Calibri"/>
          <w:kern w:val="22"/>
          <w:lang w:val="fr-FR"/>
        </w:rPr>
        <w:t xml:space="preserve">après 2020 </w:t>
      </w:r>
      <w:r w:rsidR="00A57D5A" w:rsidRPr="009A436D">
        <w:rPr>
          <w:rFonts w:eastAsia="Calibri"/>
          <w:kern w:val="22"/>
          <w:lang w:val="fr-FR"/>
        </w:rPr>
        <w:t xml:space="preserve">et </w:t>
      </w:r>
      <w:r w:rsidR="009A436D">
        <w:rPr>
          <w:rFonts w:eastAsia="Calibri"/>
          <w:kern w:val="22"/>
          <w:lang w:val="fr-FR"/>
        </w:rPr>
        <w:t>le modèle de rapport national au titre de la Conv</w:t>
      </w:r>
      <w:r w:rsidR="008771A7" w:rsidRPr="009A436D">
        <w:rPr>
          <w:rFonts w:eastAsia="Calibri"/>
          <w:kern w:val="22"/>
          <w:lang w:val="fr-FR"/>
        </w:rPr>
        <w:t>ention,</w:t>
      </w:r>
      <w:r w:rsidR="00A57D5A" w:rsidRPr="009A436D">
        <w:rPr>
          <w:rFonts w:eastAsia="Calibri"/>
          <w:kern w:val="22"/>
          <w:lang w:val="fr-FR"/>
        </w:rPr>
        <w:t xml:space="preserve"> et </w:t>
      </w:r>
      <w:r w:rsidR="009A436D">
        <w:rPr>
          <w:rFonts w:eastAsia="Calibri"/>
          <w:kern w:val="22"/>
          <w:lang w:val="fr-FR"/>
        </w:rPr>
        <w:t>d’autres domaines de travail de la Conv</w:t>
      </w:r>
      <w:r w:rsidR="00D1789D" w:rsidRPr="009A436D">
        <w:rPr>
          <w:rFonts w:eastAsia="Calibri"/>
          <w:kern w:val="22"/>
          <w:lang w:val="fr-FR"/>
        </w:rPr>
        <w:t>ention</w:t>
      </w:r>
      <w:r w:rsidR="009620BE" w:rsidRPr="009A436D">
        <w:rPr>
          <w:rFonts w:eastAsia="Calibri"/>
          <w:kern w:val="22"/>
          <w:lang w:val="fr-FR"/>
        </w:rPr>
        <w:t>;</w:t>
      </w:r>
    </w:p>
    <w:p w:rsidR="00C91927" w:rsidRPr="009A436D" w:rsidRDefault="009A436D" w:rsidP="00385560">
      <w:pPr>
        <w:pStyle w:val="Para1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rFonts w:eastAsia="Calibri"/>
          <w:kern w:val="22"/>
          <w:lang w:val="fr-FR"/>
        </w:rPr>
      </w:pPr>
      <w:r>
        <w:rPr>
          <w:rFonts w:eastAsia="Calibri"/>
          <w:i/>
          <w:kern w:val="22"/>
          <w:lang w:val="fr-FR"/>
        </w:rPr>
        <w:t>Prie</w:t>
      </w:r>
      <w:r>
        <w:rPr>
          <w:rFonts w:eastAsia="Calibri"/>
          <w:kern w:val="22"/>
          <w:lang w:val="fr-FR"/>
        </w:rPr>
        <w:t xml:space="preserve"> la</w:t>
      </w:r>
      <w:r w:rsidR="0004001B" w:rsidRPr="009A436D">
        <w:rPr>
          <w:rFonts w:eastAsia="Calibri"/>
          <w:kern w:val="22"/>
          <w:lang w:val="fr-FR"/>
        </w:rPr>
        <w:t xml:space="preserve"> </w:t>
      </w:r>
      <w:r w:rsidR="00A57D5A" w:rsidRPr="009A436D">
        <w:rPr>
          <w:rFonts w:eastAsia="Calibri"/>
          <w:kern w:val="22"/>
          <w:lang w:val="fr-FR"/>
        </w:rPr>
        <w:t>Secrétaire exécutive</w:t>
      </w:r>
      <w:r>
        <w:rPr>
          <w:rFonts w:eastAsia="Calibri"/>
          <w:kern w:val="22"/>
          <w:lang w:val="fr-FR"/>
        </w:rPr>
        <w:t xml:space="preserve"> de poursuivre ses initiatives en faveur de l’intégration de</w:t>
      </w:r>
      <w:r w:rsidR="0004001B" w:rsidRPr="009A436D">
        <w:rPr>
          <w:rFonts w:eastAsia="Calibri"/>
          <w:kern w:val="22"/>
          <w:lang w:val="fr-FR"/>
        </w:rPr>
        <w:t xml:space="preserve"> </w:t>
      </w:r>
      <w:r w:rsidR="00A57D5A" w:rsidRPr="009A436D">
        <w:rPr>
          <w:rFonts w:eastAsia="Calibri"/>
          <w:kern w:val="22"/>
          <w:lang w:val="fr-FR"/>
        </w:rPr>
        <w:t>la prévention des risques biotechnologiques</w:t>
      </w:r>
      <w:r>
        <w:rPr>
          <w:rFonts w:eastAsia="Calibri"/>
          <w:kern w:val="22"/>
          <w:lang w:val="fr-FR"/>
        </w:rPr>
        <w:t xml:space="preserve"> dans tous les</w:t>
      </w:r>
      <w:r w:rsidR="0004001B" w:rsidRPr="009A436D">
        <w:rPr>
          <w:rFonts w:eastAsia="Calibri"/>
          <w:kern w:val="22"/>
          <w:lang w:val="fr-FR"/>
        </w:rPr>
        <w:t xml:space="preserve"> </w:t>
      </w:r>
      <w:r>
        <w:rPr>
          <w:rFonts w:eastAsia="Calibri"/>
          <w:kern w:val="22"/>
          <w:lang w:val="fr-FR"/>
        </w:rPr>
        <w:t>programmes de travail du Secré</w:t>
      </w:r>
      <w:r w:rsidR="0004001B" w:rsidRPr="009A436D">
        <w:rPr>
          <w:rFonts w:eastAsia="Calibri"/>
          <w:kern w:val="22"/>
          <w:lang w:val="fr-FR"/>
        </w:rPr>
        <w:t>tariat</w:t>
      </w:r>
      <w:r w:rsidR="002635CB">
        <w:rPr>
          <w:rFonts w:eastAsia="Calibri"/>
          <w:kern w:val="22"/>
          <w:lang w:val="fr-FR"/>
        </w:rPr>
        <w:t>,</w:t>
      </w:r>
      <w:r w:rsidR="00A57D5A" w:rsidRPr="009A436D">
        <w:rPr>
          <w:rFonts w:eastAsia="Calibri"/>
          <w:kern w:val="22"/>
          <w:lang w:val="fr-FR"/>
        </w:rPr>
        <w:t xml:space="preserve"> et </w:t>
      </w:r>
      <w:r>
        <w:rPr>
          <w:rFonts w:eastAsia="Calibri"/>
          <w:kern w:val="22"/>
          <w:lang w:val="fr-FR"/>
        </w:rPr>
        <w:t>de</w:t>
      </w:r>
      <w:r w:rsidR="009977FB" w:rsidRPr="009A436D">
        <w:rPr>
          <w:rFonts w:eastAsia="Calibri"/>
          <w:kern w:val="22"/>
          <w:lang w:val="fr-FR"/>
        </w:rPr>
        <w:t xml:space="preserve"> </w:t>
      </w:r>
      <w:r w:rsidR="00CF3124" w:rsidRPr="009A436D">
        <w:rPr>
          <w:rFonts w:eastAsia="Calibri"/>
          <w:kern w:val="22"/>
          <w:lang w:val="fr-FR"/>
        </w:rPr>
        <w:t>continue</w:t>
      </w:r>
      <w:r w:rsidR="002635CB">
        <w:rPr>
          <w:rFonts w:eastAsia="Calibri"/>
          <w:kern w:val="22"/>
          <w:lang w:val="fr-FR"/>
        </w:rPr>
        <w:t>r d’aider</w:t>
      </w:r>
      <w:r>
        <w:rPr>
          <w:rFonts w:eastAsia="Calibri"/>
          <w:kern w:val="22"/>
          <w:lang w:val="fr-FR"/>
        </w:rPr>
        <w:t xml:space="preserve"> les</w:t>
      </w:r>
      <w:r w:rsidR="00CF3124" w:rsidRPr="009A436D">
        <w:rPr>
          <w:kern w:val="22"/>
          <w:lang w:val="fr-FR"/>
        </w:rPr>
        <w:t xml:space="preserve"> Parties </w:t>
      </w:r>
      <w:r>
        <w:rPr>
          <w:kern w:val="22"/>
          <w:lang w:val="fr-FR"/>
        </w:rPr>
        <w:t xml:space="preserve">dans leurs </w:t>
      </w:r>
      <w:r w:rsidR="002635CB">
        <w:rPr>
          <w:kern w:val="22"/>
          <w:lang w:val="fr-FR"/>
        </w:rPr>
        <w:t>initiatives visant à</w:t>
      </w:r>
      <w:r>
        <w:rPr>
          <w:kern w:val="22"/>
          <w:lang w:val="fr-FR"/>
        </w:rPr>
        <w:t xml:space="preserve"> </w:t>
      </w:r>
      <w:r w:rsidR="000867CA" w:rsidRPr="009A436D">
        <w:rPr>
          <w:kern w:val="22"/>
          <w:lang w:val="fr-FR"/>
        </w:rPr>
        <w:t>intégrer</w:t>
      </w:r>
      <w:r w:rsidR="00CF3124" w:rsidRPr="009A436D">
        <w:rPr>
          <w:kern w:val="22"/>
          <w:lang w:val="fr-FR"/>
        </w:rPr>
        <w:t xml:space="preserve"> </w:t>
      </w:r>
      <w:r w:rsidR="00A57D5A" w:rsidRPr="009A436D">
        <w:rPr>
          <w:kern w:val="22"/>
          <w:lang w:val="fr-FR"/>
        </w:rPr>
        <w:t>la prévention des risques biotechnologiques</w:t>
      </w:r>
      <w:r w:rsidR="00CF3124" w:rsidRPr="009A436D">
        <w:rPr>
          <w:kern w:val="22"/>
          <w:lang w:val="fr-FR"/>
        </w:rPr>
        <w:t xml:space="preserve"> </w:t>
      </w:r>
      <w:r>
        <w:rPr>
          <w:kern w:val="22"/>
          <w:lang w:val="fr-FR"/>
        </w:rPr>
        <w:t>dans différents secteurs au niveau national</w:t>
      </w:r>
      <w:r w:rsidR="0004001B" w:rsidRPr="009A436D">
        <w:rPr>
          <w:rFonts w:eastAsia="Calibri"/>
          <w:kern w:val="22"/>
          <w:lang w:val="fr-FR"/>
        </w:rPr>
        <w:t>.</w:t>
      </w:r>
    </w:p>
    <w:p w:rsidR="00440A3A" w:rsidRPr="00385560" w:rsidRDefault="00C91927" w:rsidP="00385560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kern w:val="22"/>
        </w:rPr>
      </w:pPr>
      <w:r w:rsidRPr="00385560">
        <w:rPr>
          <w:kern w:val="22"/>
        </w:rPr>
        <w:t>__________</w:t>
      </w:r>
    </w:p>
    <w:sectPr w:rsidR="00440A3A" w:rsidRPr="00385560" w:rsidSect="00CA1572">
      <w:headerReference w:type="even" r:id="rId24"/>
      <w:headerReference w:type="default" r:id="rId25"/>
      <w:footerReference w:type="even" r:id="rId26"/>
      <w:footerReference w:type="default" r:id="rId27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2EC" w:rsidRDefault="006A42EC">
      <w:r>
        <w:separator/>
      </w:r>
    </w:p>
  </w:endnote>
  <w:endnote w:type="continuationSeparator" w:id="0">
    <w:p w:rsidR="006A42EC" w:rsidRDefault="006A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6D" w:rsidRDefault="009A436D" w:rsidP="00385560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6D" w:rsidRDefault="009A436D" w:rsidP="00385560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2EC" w:rsidRDefault="006A42EC">
      <w:r>
        <w:separator/>
      </w:r>
    </w:p>
  </w:footnote>
  <w:footnote w:type="continuationSeparator" w:id="0">
    <w:p w:rsidR="006A42EC" w:rsidRDefault="006A42EC">
      <w:r>
        <w:continuationSeparator/>
      </w:r>
    </w:p>
  </w:footnote>
  <w:footnote w:id="1">
    <w:p w:rsidR="009A436D" w:rsidRPr="00BA7936" w:rsidRDefault="009A436D" w:rsidP="00385560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kern w:val="18"/>
          <w:lang w:val="fr-FR"/>
        </w:rPr>
      </w:pPr>
      <w:r w:rsidRPr="00BA7936">
        <w:rPr>
          <w:rStyle w:val="FootnoteReference"/>
          <w:kern w:val="18"/>
          <w:u w:val="none"/>
          <w:lang w:val="fr-FR"/>
        </w:rPr>
        <w:t>*</w:t>
      </w:r>
      <w:r w:rsidRPr="00BA7936">
        <w:rPr>
          <w:kern w:val="18"/>
          <w:lang w:val="fr-FR"/>
        </w:rPr>
        <w:t xml:space="preserve"> </w:t>
      </w:r>
      <w:hyperlink r:id="rId1" w:history="1">
        <w:r w:rsidRPr="00BA7936">
          <w:rPr>
            <w:rStyle w:val="Hyperlink"/>
            <w:kern w:val="18"/>
            <w:lang w:val="fr-FR"/>
          </w:rPr>
          <w:t>CB</w:t>
        </w:r>
        <w:r w:rsidRPr="00BA7936">
          <w:rPr>
            <w:rStyle w:val="Hyperlink"/>
            <w:kern w:val="18"/>
            <w:lang w:val="fr-FR"/>
          </w:rPr>
          <w:t>D</w:t>
        </w:r>
        <w:r w:rsidRPr="00BA7936">
          <w:rPr>
            <w:rStyle w:val="Hyperlink"/>
            <w:kern w:val="18"/>
            <w:lang w:val="fr-FR"/>
          </w:rPr>
          <w:t>/SBI/</w:t>
        </w:r>
        <w:r w:rsidRPr="00BA7936">
          <w:rPr>
            <w:rStyle w:val="Hyperlink"/>
            <w:kern w:val="18"/>
            <w:lang w:val="fr-FR"/>
          </w:rPr>
          <w:t>2</w:t>
        </w:r>
        <w:r w:rsidRPr="00BA7936">
          <w:rPr>
            <w:rStyle w:val="Hyperlink"/>
            <w:kern w:val="18"/>
            <w:lang w:val="fr-FR"/>
          </w:rPr>
          <w:t>/1</w:t>
        </w:r>
      </w:hyperlink>
      <w:r w:rsidRPr="00BA7936">
        <w:rPr>
          <w:kern w:val="18"/>
          <w:lang w:val="fr-FR"/>
        </w:rPr>
        <w:t>.</w:t>
      </w:r>
    </w:p>
  </w:footnote>
  <w:footnote w:id="2">
    <w:p w:rsidR="009A436D" w:rsidRPr="008A4E67" w:rsidRDefault="009A436D" w:rsidP="00144694">
      <w:pPr>
        <w:pStyle w:val="FootnoteText"/>
        <w:ind w:firstLine="0"/>
        <w:rPr>
          <w:lang w:val="fr-FR"/>
        </w:rPr>
      </w:pPr>
      <w:r w:rsidRPr="00385560">
        <w:rPr>
          <w:rStyle w:val="FootnoteReference"/>
          <w:u w:val="none"/>
          <w:vertAlign w:val="superscript"/>
        </w:rPr>
        <w:footnoteRef/>
      </w:r>
      <w:r w:rsidRPr="008A4E67">
        <w:rPr>
          <w:lang w:val="fr-FR"/>
        </w:rPr>
        <w:t xml:space="preserve"> Organisation des Nations Unies, </w:t>
      </w:r>
      <w:r>
        <w:rPr>
          <w:i/>
          <w:iCs/>
          <w:lang w:val="fr-FR"/>
        </w:rPr>
        <w:t>Recueil des traités</w:t>
      </w:r>
      <w:r w:rsidRPr="008A4E67">
        <w:rPr>
          <w:lang w:val="fr-FR"/>
        </w:rPr>
        <w:t xml:space="preserve">, </w:t>
      </w:r>
      <w:hyperlink r:id="rId2" w:history="1">
        <w:r w:rsidRPr="008A4E67">
          <w:rPr>
            <w:rStyle w:val="Hyperlink"/>
            <w:lang w:val="fr-FR"/>
          </w:rPr>
          <w:t>vol. 2226</w:t>
        </w:r>
      </w:hyperlink>
      <w:r w:rsidRPr="008A4E67">
        <w:rPr>
          <w:lang w:val="fr-FR"/>
        </w:rPr>
        <w:t>, No. 30619.</w:t>
      </w:r>
    </w:p>
  </w:footnote>
  <w:footnote w:id="3">
    <w:p w:rsidR="009A436D" w:rsidRPr="008A4E67" w:rsidRDefault="009A436D" w:rsidP="00385560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kern w:val="18"/>
          <w:lang w:val="fr-FR"/>
        </w:rPr>
      </w:pPr>
      <w:r w:rsidRPr="00385560">
        <w:rPr>
          <w:rStyle w:val="FootnoteReference"/>
          <w:kern w:val="18"/>
          <w:u w:val="none"/>
          <w:vertAlign w:val="superscript"/>
        </w:rPr>
        <w:footnoteRef/>
      </w:r>
      <w:r w:rsidRPr="008A4E67">
        <w:rPr>
          <w:kern w:val="18"/>
          <w:lang w:val="fr-FR"/>
        </w:rPr>
        <w:t xml:space="preserve"> Andorre, Argentine, Australie, Brunei Darussalam, Canada, Chili, îles Cook, Guinée é</w:t>
      </w:r>
      <w:r>
        <w:rPr>
          <w:kern w:val="18"/>
          <w:lang w:val="fr-FR"/>
        </w:rPr>
        <w:t>quatoriale, Haïti, Is</w:t>
      </w:r>
      <w:r w:rsidRPr="008A4E67">
        <w:rPr>
          <w:kern w:val="18"/>
          <w:lang w:val="fr-FR"/>
        </w:rPr>
        <w:t>land</w:t>
      </w:r>
      <w:r>
        <w:rPr>
          <w:kern w:val="18"/>
          <w:lang w:val="fr-FR"/>
        </w:rPr>
        <w:t xml:space="preserve">e, Israël, Liechtenstein, Micronésie (Etats fédérés de), Monaco, Népal, </w:t>
      </w:r>
      <w:r w:rsidR="004066B9">
        <w:rPr>
          <w:kern w:val="18"/>
          <w:lang w:val="fr-FR"/>
        </w:rPr>
        <w:t xml:space="preserve">Ouzbékistan, </w:t>
      </w:r>
      <w:r>
        <w:rPr>
          <w:kern w:val="18"/>
          <w:lang w:val="fr-FR"/>
        </w:rPr>
        <w:t>Fédé</w:t>
      </w:r>
      <w:r w:rsidRPr="008A4E67">
        <w:rPr>
          <w:kern w:val="18"/>
          <w:lang w:val="fr-FR"/>
        </w:rPr>
        <w:t>ration</w:t>
      </w:r>
      <w:r>
        <w:rPr>
          <w:kern w:val="18"/>
          <w:lang w:val="fr-FR"/>
        </w:rPr>
        <w:t xml:space="preserve"> de Russie</w:t>
      </w:r>
      <w:r w:rsidRPr="008A4E67">
        <w:rPr>
          <w:kern w:val="18"/>
          <w:lang w:val="fr-FR"/>
        </w:rPr>
        <w:t>, San Marino, Sao Tome et Principe, Sierra </w:t>
      </w:r>
      <w:r>
        <w:rPr>
          <w:kern w:val="18"/>
          <w:lang w:val="fr-FR"/>
        </w:rPr>
        <w:t>Leone, Singapour, Sud Sou</w:t>
      </w:r>
      <w:r w:rsidRPr="008A4E67">
        <w:rPr>
          <w:kern w:val="18"/>
          <w:lang w:val="fr-FR"/>
        </w:rPr>
        <w:t>dan,</w:t>
      </w:r>
      <w:r>
        <w:rPr>
          <w:kern w:val="18"/>
          <w:lang w:val="fr-FR"/>
        </w:rPr>
        <w:t xml:space="preserve"> Timor-Leste, Tuvalu </w:t>
      </w:r>
      <w:r w:rsidRPr="008A4E67">
        <w:rPr>
          <w:kern w:val="18"/>
          <w:lang w:val="fr-FR"/>
        </w:rPr>
        <w:t>et Vanuatu.</w:t>
      </w:r>
    </w:p>
  </w:footnote>
  <w:footnote w:id="4">
    <w:p w:rsidR="009A436D" w:rsidRPr="00BA7936" w:rsidRDefault="009A436D" w:rsidP="00385560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rPr>
          <w:kern w:val="18"/>
          <w:lang w:val="fr-FR"/>
        </w:rPr>
      </w:pPr>
      <w:r w:rsidRPr="00385560">
        <w:rPr>
          <w:rStyle w:val="FootnoteReference"/>
          <w:kern w:val="18"/>
          <w:u w:val="none"/>
          <w:vertAlign w:val="superscript"/>
        </w:rPr>
        <w:footnoteRef/>
      </w:r>
      <w:r w:rsidRPr="00BA7936">
        <w:rPr>
          <w:kern w:val="18"/>
          <w:lang w:val="fr-FR"/>
        </w:rPr>
        <w:t xml:space="preserve"> </w:t>
      </w:r>
      <w:hyperlink r:id="rId3" w:history="1">
        <w:r w:rsidRPr="00BA7936">
          <w:rPr>
            <w:rStyle w:val="Hyperlink"/>
            <w:kern w:val="18"/>
            <w:lang w:val="fr-FR"/>
          </w:rPr>
          <w:t>https://www.cbd.int/business/bc.shtml</w:t>
        </w:r>
      </w:hyperlink>
      <w:r w:rsidRPr="00BA7936">
        <w:rPr>
          <w:kern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6D" w:rsidRPr="003E25E3" w:rsidRDefault="009A436D" w:rsidP="00385560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  <w:r w:rsidRPr="00385560">
      <w:rPr>
        <w:noProof/>
        <w:kern w:val="22"/>
      </w:rPr>
      <w:t>CBD/SBI/2/15</w:t>
    </w:r>
  </w:p>
  <w:p w:rsidR="009A436D" w:rsidRPr="003E25E3" w:rsidRDefault="009A436D" w:rsidP="00385560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  <w:r w:rsidRPr="003E25E3">
      <w:rPr>
        <w:noProof/>
        <w:kern w:val="22"/>
      </w:rPr>
      <w:t xml:space="preserve">Page </w:t>
    </w:r>
    <w:r w:rsidRPr="003E25E3">
      <w:rPr>
        <w:noProof/>
        <w:kern w:val="22"/>
      </w:rPr>
      <w:fldChar w:fldCharType="begin"/>
    </w:r>
    <w:r w:rsidRPr="00385560">
      <w:rPr>
        <w:noProof/>
        <w:kern w:val="22"/>
      </w:rPr>
      <w:instrText xml:space="preserve"> PAGE   \* MERGEFORMAT </w:instrText>
    </w:r>
    <w:r w:rsidRPr="003E25E3">
      <w:rPr>
        <w:noProof/>
        <w:kern w:val="22"/>
      </w:rPr>
      <w:fldChar w:fldCharType="separate"/>
    </w:r>
    <w:r w:rsidR="004C440E">
      <w:rPr>
        <w:noProof/>
        <w:kern w:val="22"/>
      </w:rPr>
      <w:t>2</w:t>
    </w:r>
    <w:r w:rsidRPr="003E25E3">
      <w:rPr>
        <w:noProof/>
        <w:kern w:val="22"/>
      </w:rPr>
      <w:fldChar w:fldCharType="end"/>
    </w:r>
  </w:p>
  <w:p w:rsidR="009A436D" w:rsidRPr="0070113D" w:rsidRDefault="009A436D" w:rsidP="00385560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6D" w:rsidRPr="00CE57A7" w:rsidRDefault="009A436D" w:rsidP="00385560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</w:rPr>
    </w:pPr>
    <w:r w:rsidRPr="00385560">
      <w:rPr>
        <w:noProof/>
        <w:kern w:val="22"/>
      </w:rPr>
      <w:t>CBD/SBI/2/15</w:t>
    </w:r>
  </w:p>
  <w:p w:rsidR="009A436D" w:rsidRPr="00CE57A7" w:rsidRDefault="009A436D" w:rsidP="00385560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</w:rPr>
    </w:pPr>
    <w:r w:rsidRPr="00CE57A7">
      <w:rPr>
        <w:noProof/>
        <w:kern w:val="22"/>
      </w:rPr>
      <w:t xml:space="preserve">Page </w:t>
    </w:r>
    <w:r w:rsidRPr="00CE57A7">
      <w:rPr>
        <w:noProof/>
        <w:kern w:val="22"/>
      </w:rPr>
      <w:fldChar w:fldCharType="begin"/>
    </w:r>
    <w:r w:rsidRPr="00385560">
      <w:rPr>
        <w:noProof/>
        <w:kern w:val="22"/>
      </w:rPr>
      <w:instrText xml:space="preserve"> PAGE   \* MERGEFORMAT </w:instrText>
    </w:r>
    <w:r w:rsidRPr="00CE57A7">
      <w:rPr>
        <w:noProof/>
        <w:kern w:val="22"/>
      </w:rPr>
      <w:fldChar w:fldCharType="separate"/>
    </w:r>
    <w:r w:rsidR="004C440E">
      <w:rPr>
        <w:noProof/>
        <w:kern w:val="22"/>
      </w:rPr>
      <w:t>5</w:t>
    </w:r>
    <w:r w:rsidRPr="00CE57A7">
      <w:rPr>
        <w:noProof/>
        <w:kern w:val="22"/>
      </w:rPr>
      <w:fldChar w:fldCharType="end"/>
    </w:r>
  </w:p>
  <w:p w:rsidR="009A436D" w:rsidRPr="00CE57A7" w:rsidRDefault="009A436D" w:rsidP="00385560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77A60"/>
    <w:multiLevelType w:val="hybridMultilevel"/>
    <w:tmpl w:val="079E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E0442B4"/>
    <w:multiLevelType w:val="multilevel"/>
    <w:tmpl w:val="0A4C6BA0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  <w:lang w:val="fr-F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0423B12"/>
    <w:multiLevelType w:val="hybridMultilevel"/>
    <w:tmpl w:val="A836A3CC"/>
    <w:lvl w:ilvl="0" w:tplc="F8F0A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B"/>
    <w:rsid w:val="0000278D"/>
    <w:rsid w:val="00003070"/>
    <w:rsid w:val="00003495"/>
    <w:rsid w:val="0000533E"/>
    <w:rsid w:val="00006FA3"/>
    <w:rsid w:val="00010192"/>
    <w:rsid w:val="00011421"/>
    <w:rsid w:val="00012364"/>
    <w:rsid w:val="00020B29"/>
    <w:rsid w:val="000219AC"/>
    <w:rsid w:val="0002202C"/>
    <w:rsid w:val="000241F5"/>
    <w:rsid w:val="00025645"/>
    <w:rsid w:val="000258A6"/>
    <w:rsid w:val="000268FA"/>
    <w:rsid w:val="00031D24"/>
    <w:rsid w:val="00032643"/>
    <w:rsid w:val="00034271"/>
    <w:rsid w:val="000376B1"/>
    <w:rsid w:val="00037873"/>
    <w:rsid w:val="0004001B"/>
    <w:rsid w:val="00042999"/>
    <w:rsid w:val="00052450"/>
    <w:rsid w:val="00054381"/>
    <w:rsid w:val="000550B5"/>
    <w:rsid w:val="000576B1"/>
    <w:rsid w:val="00061A5B"/>
    <w:rsid w:val="000701E5"/>
    <w:rsid w:val="000711E1"/>
    <w:rsid w:val="00073708"/>
    <w:rsid w:val="00074F9E"/>
    <w:rsid w:val="000808F1"/>
    <w:rsid w:val="00082D29"/>
    <w:rsid w:val="000867CA"/>
    <w:rsid w:val="0009324F"/>
    <w:rsid w:val="000A0135"/>
    <w:rsid w:val="000A5DCB"/>
    <w:rsid w:val="000A62EE"/>
    <w:rsid w:val="000A7BE1"/>
    <w:rsid w:val="000B42B4"/>
    <w:rsid w:val="000C0AE0"/>
    <w:rsid w:val="000C36FF"/>
    <w:rsid w:val="000C7209"/>
    <w:rsid w:val="000D2010"/>
    <w:rsid w:val="000D2BDE"/>
    <w:rsid w:val="000D7CA9"/>
    <w:rsid w:val="000E408E"/>
    <w:rsid w:val="000E637D"/>
    <w:rsid w:val="000E7E6A"/>
    <w:rsid w:val="000F63AB"/>
    <w:rsid w:val="000F7A43"/>
    <w:rsid w:val="001028BF"/>
    <w:rsid w:val="00103095"/>
    <w:rsid w:val="001070A1"/>
    <w:rsid w:val="0012214B"/>
    <w:rsid w:val="00126374"/>
    <w:rsid w:val="001337B6"/>
    <w:rsid w:val="001412F0"/>
    <w:rsid w:val="00144694"/>
    <w:rsid w:val="0015012D"/>
    <w:rsid w:val="00152888"/>
    <w:rsid w:val="001660AB"/>
    <w:rsid w:val="00166367"/>
    <w:rsid w:val="00171E5A"/>
    <w:rsid w:val="0017247F"/>
    <w:rsid w:val="00174CC9"/>
    <w:rsid w:val="00181B21"/>
    <w:rsid w:val="00184EB0"/>
    <w:rsid w:val="00192CC1"/>
    <w:rsid w:val="00192E06"/>
    <w:rsid w:val="001A1B76"/>
    <w:rsid w:val="001A1CC4"/>
    <w:rsid w:val="001A5072"/>
    <w:rsid w:val="001B0612"/>
    <w:rsid w:val="001C27DE"/>
    <w:rsid w:val="001C321F"/>
    <w:rsid w:val="001D2387"/>
    <w:rsid w:val="001D66A9"/>
    <w:rsid w:val="001D6AFD"/>
    <w:rsid w:val="001E59DD"/>
    <w:rsid w:val="001E7625"/>
    <w:rsid w:val="001F016C"/>
    <w:rsid w:val="001F1A27"/>
    <w:rsid w:val="001F2C52"/>
    <w:rsid w:val="001F2D27"/>
    <w:rsid w:val="001F3D27"/>
    <w:rsid w:val="001F6379"/>
    <w:rsid w:val="002037DF"/>
    <w:rsid w:val="00204415"/>
    <w:rsid w:val="002071FA"/>
    <w:rsid w:val="00207A6E"/>
    <w:rsid w:val="002154DB"/>
    <w:rsid w:val="00217F58"/>
    <w:rsid w:val="00222E55"/>
    <w:rsid w:val="00222EB7"/>
    <w:rsid w:val="00224297"/>
    <w:rsid w:val="00224B92"/>
    <w:rsid w:val="00226406"/>
    <w:rsid w:val="00230862"/>
    <w:rsid w:val="002357E1"/>
    <w:rsid w:val="00246E61"/>
    <w:rsid w:val="00252897"/>
    <w:rsid w:val="002620D0"/>
    <w:rsid w:val="00262F0B"/>
    <w:rsid w:val="002635CB"/>
    <w:rsid w:val="0027701F"/>
    <w:rsid w:val="002843DE"/>
    <w:rsid w:val="002848EB"/>
    <w:rsid w:val="00284FCE"/>
    <w:rsid w:val="00286711"/>
    <w:rsid w:val="00286903"/>
    <w:rsid w:val="00287606"/>
    <w:rsid w:val="00294541"/>
    <w:rsid w:val="002A0EED"/>
    <w:rsid w:val="002B0942"/>
    <w:rsid w:val="002B40D2"/>
    <w:rsid w:val="002C4BDB"/>
    <w:rsid w:val="002C7752"/>
    <w:rsid w:val="002D05B6"/>
    <w:rsid w:val="002D1A9C"/>
    <w:rsid w:val="002D2725"/>
    <w:rsid w:val="002D4673"/>
    <w:rsid w:val="002D7824"/>
    <w:rsid w:val="002E0627"/>
    <w:rsid w:val="002E153C"/>
    <w:rsid w:val="002E2FF9"/>
    <w:rsid w:val="002E4F76"/>
    <w:rsid w:val="00300AF8"/>
    <w:rsid w:val="00304DA9"/>
    <w:rsid w:val="00306099"/>
    <w:rsid w:val="003115C2"/>
    <w:rsid w:val="0031427C"/>
    <w:rsid w:val="003157E2"/>
    <w:rsid w:val="003210FF"/>
    <w:rsid w:val="00325DE3"/>
    <w:rsid w:val="00331628"/>
    <w:rsid w:val="00336766"/>
    <w:rsid w:val="0034478E"/>
    <w:rsid w:val="00345278"/>
    <w:rsid w:val="00353291"/>
    <w:rsid w:val="0036390F"/>
    <w:rsid w:val="00365E9D"/>
    <w:rsid w:val="00370E97"/>
    <w:rsid w:val="0037792F"/>
    <w:rsid w:val="003812A5"/>
    <w:rsid w:val="00381BFF"/>
    <w:rsid w:val="0038232A"/>
    <w:rsid w:val="00383510"/>
    <w:rsid w:val="00385560"/>
    <w:rsid w:val="00387D13"/>
    <w:rsid w:val="003926ED"/>
    <w:rsid w:val="00393E0E"/>
    <w:rsid w:val="003B10B9"/>
    <w:rsid w:val="003B322A"/>
    <w:rsid w:val="003C113F"/>
    <w:rsid w:val="003D30FD"/>
    <w:rsid w:val="003D5B83"/>
    <w:rsid w:val="003E16AD"/>
    <w:rsid w:val="003E25E3"/>
    <w:rsid w:val="003E2DAE"/>
    <w:rsid w:val="003E5398"/>
    <w:rsid w:val="003F159B"/>
    <w:rsid w:val="003F6E44"/>
    <w:rsid w:val="004066B9"/>
    <w:rsid w:val="00406BC6"/>
    <w:rsid w:val="00412BA2"/>
    <w:rsid w:val="00413465"/>
    <w:rsid w:val="0041522F"/>
    <w:rsid w:val="0041618C"/>
    <w:rsid w:val="0042079D"/>
    <w:rsid w:val="00440A3A"/>
    <w:rsid w:val="004431C9"/>
    <w:rsid w:val="0044424E"/>
    <w:rsid w:val="00445AAD"/>
    <w:rsid w:val="004603EA"/>
    <w:rsid w:val="00467B6D"/>
    <w:rsid w:val="00473C62"/>
    <w:rsid w:val="00475CE3"/>
    <w:rsid w:val="0048335C"/>
    <w:rsid w:val="00483E87"/>
    <w:rsid w:val="00487C34"/>
    <w:rsid w:val="004943BA"/>
    <w:rsid w:val="00495DED"/>
    <w:rsid w:val="004A54A4"/>
    <w:rsid w:val="004B07C7"/>
    <w:rsid w:val="004B597A"/>
    <w:rsid w:val="004C440E"/>
    <w:rsid w:val="004D1C32"/>
    <w:rsid w:val="004D2396"/>
    <w:rsid w:val="004D4B8E"/>
    <w:rsid w:val="004E466B"/>
    <w:rsid w:val="004F5F5F"/>
    <w:rsid w:val="00500530"/>
    <w:rsid w:val="005032C9"/>
    <w:rsid w:val="00505F32"/>
    <w:rsid w:val="00511340"/>
    <w:rsid w:val="00516C26"/>
    <w:rsid w:val="005232C0"/>
    <w:rsid w:val="00525039"/>
    <w:rsid w:val="00526459"/>
    <w:rsid w:val="00532455"/>
    <w:rsid w:val="00532E21"/>
    <w:rsid w:val="00534FE7"/>
    <w:rsid w:val="00536D95"/>
    <w:rsid w:val="005440A6"/>
    <w:rsid w:val="00550D4E"/>
    <w:rsid w:val="00551CCF"/>
    <w:rsid w:val="00553DA8"/>
    <w:rsid w:val="00560784"/>
    <w:rsid w:val="00565FB8"/>
    <w:rsid w:val="005666BD"/>
    <w:rsid w:val="005675C1"/>
    <w:rsid w:val="005711BC"/>
    <w:rsid w:val="00572A4B"/>
    <w:rsid w:val="005755D8"/>
    <w:rsid w:val="005826D2"/>
    <w:rsid w:val="00587051"/>
    <w:rsid w:val="00591B7F"/>
    <w:rsid w:val="00591BC9"/>
    <w:rsid w:val="00591D07"/>
    <w:rsid w:val="005955D2"/>
    <w:rsid w:val="005A4284"/>
    <w:rsid w:val="005A61E5"/>
    <w:rsid w:val="005B0525"/>
    <w:rsid w:val="005B6A14"/>
    <w:rsid w:val="005C1ECF"/>
    <w:rsid w:val="005C607E"/>
    <w:rsid w:val="005D139C"/>
    <w:rsid w:val="005E52B8"/>
    <w:rsid w:val="005F4C74"/>
    <w:rsid w:val="0060690B"/>
    <w:rsid w:val="006100D1"/>
    <w:rsid w:val="0061763C"/>
    <w:rsid w:val="006260D5"/>
    <w:rsid w:val="00634F02"/>
    <w:rsid w:val="0063629B"/>
    <w:rsid w:val="00647807"/>
    <w:rsid w:val="00647F7A"/>
    <w:rsid w:val="006507F2"/>
    <w:rsid w:val="006531B0"/>
    <w:rsid w:val="0065770C"/>
    <w:rsid w:val="006651A4"/>
    <w:rsid w:val="0067304D"/>
    <w:rsid w:val="00673DD5"/>
    <w:rsid w:val="006803CF"/>
    <w:rsid w:val="006844A1"/>
    <w:rsid w:val="0068607C"/>
    <w:rsid w:val="00690847"/>
    <w:rsid w:val="00696FE8"/>
    <w:rsid w:val="006A066D"/>
    <w:rsid w:val="006A0929"/>
    <w:rsid w:val="006A3DF7"/>
    <w:rsid w:val="006A42EC"/>
    <w:rsid w:val="006B074E"/>
    <w:rsid w:val="006B2BD5"/>
    <w:rsid w:val="006B75E6"/>
    <w:rsid w:val="006C1650"/>
    <w:rsid w:val="006C3635"/>
    <w:rsid w:val="006C713A"/>
    <w:rsid w:val="006D0E3D"/>
    <w:rsid w:val="006D5B37"/>
    <w:rsid w:val="006D6443"/>
    <w:rsid w:val="006E1951"/>
    <w:rsid w:val="006F284C"/>
    <w:rsid w:val="006F3909"/>
    <w:rsid w:val="006F6F44"/>
    <w:rsid w:val="006F7227"/>
    <w:rsid w:val="0070113D"/>
    <w:rsid w:val="00702366"/>
    <w:rsid w:val="0071235F"/>
    <w:rsid w:val="00712E26"/>
    <w:rsid w:val="007146A1"/>
    <w:rsid w:val="007163BC"/>
    <w:rsid w:val="00727935"/>
    <w:rsid w:val="00730AE3"/>
    <w:rsid w:val="007310B3"/>
    <w:rsid w:val="00736BC2"/>
    <w:rsid w:val="0073740F"/>
    <w:rsid w:val="00742B23"/>
    <w:rsid w:val="0074597D"/>
    <w:rsid w:val="0075049D"/>
    <w:rsid w:val="0075137E"/>
    <w:rsid w:val="00757E33"/>
    <w:rsid w:val="00760850"/>
    <w:rsid w:val="00772B17"/>
    <w:rsid w:val="0077314D"/>
    <w:rsid w:val="00773721"/>
    <w:rsid w:val="00777198"/>
    <w:rsid w:val="00786B2B"/>
    <w:rsid w:val="0079325E"/>
    <w:rsid w:val="00796737"/>
    <w:rsid w:val="00797309"/>
    <w:rsid w:val="007A2705"/>
    <w:rsid w:val="007A6F71"/>
    <w:rsid w:val="007B0E07"/>
    <w:rsid w:val="007B1587"/>
    <w:rsid w:val="007B56D6"/>
    <w:rsid w:val="007C4395"/>
    <w:rsid w:val="007C50CD"/>
    <w:rsid w:val="007C5285"/>
    <w:rsid w:val="007C633B"/>
    <w:rsid w:val="007D3182"/>
    <w:rsid w:val="007D345E"/>
    <w:rsid w:val="007D39D2"/>
    <w:rsid w:val="007D4C76"/>
    <w:rsid w:val="007E1D22"/>
    <w:rsid w:val="007E1E34"/>
    <w:rsid w:val="007E61BD"/>
    <w:rsid w:val="007F1878"/>
    <w:rsid w:val="007F226A"/>
    <w:rsid w:val="00800706"/>
    <w:rsid w:val="008015BD"/>
    <w:rsid w:val="00825524"/>
    <w:rsid w:val="0083211E"/>
    <w:rsid w:val="00837114"/>
    <w:rsid w:val="00840108"/>
    <w:rsid w:val="008416B4"/>
    <w:rsid w:val="008427BC"/>
    <w:rsid w:val="00843728"/>
    <w:rsid w:val="00843FF1"/>
    <w:rsid w:val="00846BA5"/>
    <w:rsid w:val="00855856"/>
    <w:rsid w:val="008605ED"/>
    <w:rsid w:val="008638FF"/>
    <w:rsid w:val="0086456B"/>
    <w:rsid w:val="00870D40"/>
    <w:rsid w:val="00876C07"/>
    <w:rsid w:val="008771A7"/>
    <w:rsid w:val="00884C4C"/>
    <w:rsid w:val="008910C7"/>
    <w:rsid w:val="0089149F"/>
    <w:rsid w:val="00892B9F"/>
    <w:rsid w:val="00897A84"/>
    <w:rsid w:val="008A0CE1"/>
    <w:rsid w:val="008A28DD"/>
    <w:rsid w:val="008A3382"/>
    <w:rsid w:val="008A4E67"/>
    <w:rsid w:val="008A7963"/>
    <w:rsid w:val="008B2EB1"/>
    <w:rsid w:val="008B558C"/>
    <w:rsid w:val="008B641B"/>
    <w:rsid w:val="008C013C"/>
    <w:rsid w:val="008C1E35"/>
    <w:rsid w:val="008C6725"/>
    <w:rsid w:val="008D30B6"/>
    <w:rsid w:val="008D3507"/>
    <w:rsid w:val="008D5AA2"/>
    <w:rsid w:val="008E1ADE"/>
    <w:rsid w:val="008E2968"/>
    <w:rsid w:val="008E4887"/>
    <w:rsid w:val="008E5F84"/>
    <w:rsid w:val="008E7500"/>
    <w:rsid w:val="008F1780"/>
    <w:rsid w:val="008F4687"/>
    <w:rsid w:val="008F78C2"/>
    <w:rsid w:val="009029A0"/>
    <w:rsid w:val="00904DE8"/>
    <w:rsid w:val="009067F8"/>
    <w:rsid w:val="009163BE"/>
    <w:rsid w:val="0091673D"/>
    <w:rsid w:val="00922EAD"/>
    <w:rsid w:val="0092794B"/>
    <w:rsid w:val="009466CA"/>
    <w:rsid w:val="00951BF6"/>
    <w:rsid w:val="00953856"/>
    <w:rsid w:val="0095393E"/>
    <w:rsid w:val="009554D5"/>
    <w:rsid w:val="009620BE"/>
    <w:rsid w:val="00967075"/>
    <w:rsid w:val="009676E0"/>
    <w:rsid w:val="009721C5"/>
    <w:rsid w:val="00976DA6"/>
    <w:rsid w:val="009955DF"/>
    <w:rsid w:val="00996074"/>
    <w:rsid w:val="009977FB"/>
    <w:rsid w:val="009A1E1D"/>
    <w:rsid w:val="009A3E71"/>
    <w:rsid w:val="009A436D"/>
    <w:rsid w:val="009B10DF"/>
    <w:rsid w:val="009B269A"/>
    <w:rsid w:val="009B523C"/>
    <w:rsid w:val="009B5E1D"/>
    <w:rsid w:val="009D2F92"/>
    <w:rsid w:val="009D57DD"/>
    <w:rsid w:val="009E0D5C"/>
    <w:rsid w:val="009E2B79"/>
    <w:rsid w:val="009E5F7E"/>
    <w:rsid w:val="009E62EF"/>
    <w:rsid w:val="00A0383E"/>
    <w:rsid w:val="00A10051"/>
    <w:rsid w:val="00A12D9A"/>
    <w:rsid w:val="00A1562D"/>
    <w:rsid w:val="00A20F36"/>
    <w:rsid w:val="00A2169A"/>
    <w:rsid w:val="00A24442"/>
    <w:rsid w:val="00A30DAD"/>
    <w:rsid w:val="00A35A22"/>
    <w:rsid w:val="00A42777"/>
    <w:rsid w:val="00A42832"/>
    <w:rsid w:val="00A5218D"/>
    <w:rsid w:val="00A57D5A"/>
    <w:rsid w:val="00A60C03"/>
    <w:rsid w:val="00A75BD0"/>
    <w:rsid w:val="00A77DD9"/>
    <w:rsid w:val="00A8047B"/>
    <w:rsid w:val="00A876B6"/>
    <w:rsid w:val="00A935F9"/>
    <w:rsid w:val="00A954A4"/>
    <w:rsid w:val="00AA014E"/>
    <w:rsid w:val="00AA4365"/>
    <w:rsid w:val="00AA4BF4"/>
    <w:rsid w:val="00AC1E69"/>
    <w:rsid w:val="00AC378D"/>
    <w:rsid w:val="00AD2B2A"/>
    <w:rsid w:val="00AD6F26"/>
    <w:rsid w:val="00AE30BB"/>
    <w:rsid w:val="00AE5298"/>
    <w:rsid w:val="00AF02EF"/>
    <w:rsid w:val="00AF327B"/>
    <w:rsid w:val="00B067A7"/>
    <w:rsid w:val="00B07A7D"/>
    <w:rsid w:val="00B106D9"/>
    <w:rsid w:val="00B11906"/>
    <w:rsid w:val="00B21159"/>
    <w:rsid w:val="00B2340C"/>
    <w:rsid w:val="00B26763"/>
    <w:rsid w:val="00B267ED"/>
    <w:rsid w:val="00B271A0"/>
    <w:rsid w:val="00B3299A"/>
    <w:rsid w:val="00B41132"/>
    <w:rsid w:val="00B42D05"/>
    <w:rsid w:val="00B4436B"/>
    <w:rsid w:val="00B46C93"/>
    <w:rsid w:val="00B523B9"/>
    <w:rsid w:val="00B531F0"/>
    <w:rsid w:val="00B561EC"/>
    <w:rsid w:val="00B56B11"/>
    <w:rsid w:val="00B65D7E"/>
    <w:rsid w:val="00B75568"/>
    <w:rsid w:val="00B8515D"/>
    <w:rsid w:val="00B85F9B"/>
    <w:rsid w:val="00B90D53"/>
    <w:rsid w:val="00B917C7"/>
    <w:rsid w:val="00B923EF"/>
    <w:rsid w:val="00B93A43"/>
    <w:rsid w:val="00B957C7"/>
    <w:rsid w:val="00BA1498"/>
    <w:rsid w:val="00BA1A03"/>
    <w:rsid w:val="00BA3233"/>
    <w:rsid w:val="00BA3820"/>
    <w:rsid w:val="00BA7936"/>
    <w:rsid w:val="00BB3357"/>
    <w:rsid w:val="00BB3DD1"/>
    <w:rsid w:val="00BB4BD0"/>
    <w:rsid w:val="00BC547D"/>
    <w:rsid w:val="00BC7AD6"/>
    <w:rsid w:val="00BD7DC2"/>
    <w:rsid w:val="00BE14F2"/>
    <w:rsid w:val="00BE37A4"/>
    <w:rsid w:val="00BE3CE9"/>
    <w:rsid w:val="00BE45DE"/>
    <w:rsid w:val="00C017A3"/>
    <w:rsid w:val="00C05456"/>
    <w:rsid w:val="00C065DF"/>
    <w:rsid w:val="00C07597"/>
    <w:rsid w:val="00C076A9"/>
    <w:rsid w:val="00C15BBB"/>
    <w:rsid w:val="00C1704F"/>
    <w:rsid w:val="00C2117E"/>
    <w:rsid w:val="00C235E7"/>
    <w:rsid w:val="00C267B8"/>
    <w:rsid w:val="00C31FC0"/>
    <w:rsid w:val="00C32427"/>
    <w:rsid w:val="00C36325"/>
    <w:rsid w:val="00C37FF1"/>
    <w:rsid w:val="00C41958"/>
    <w:rsid w:val="00C41A18"/>
    <w:rsid w:val="00C433B7"/>
    <w:rsid w:val="00C43DED"/>
    <w:rsid w:val="00C507CD"/>
    <w:rsid w:val="00C71E38"/>
    <w:rsid w:val="00C73CE2"/>
    <w:rsid w:val="00C7493C"/>
    <w:rsid w:val="00C81A43"/>
    <w:rsid w:val="00C85EA4"/>
    <w:rsid w:val="00C912FE"/>
    <w:rsid w:val="00C91927"/>
    <w:rsid w:val="00C95AF5"/>
    <w:rsid w:val="00CA1572"/>
    <w:rsid w:val="00CA1B6A"/>
    <w:rsid w:val="00CA6B87"/>
    <w:rsid w:val="00CC2031"/>
    <w:rsid w:val="00CC4C87"/>
    <w:rsid w:val="00CC51ED"/>
    <w:rsid w:val="00CD337E"/>
    <w:rsid w:val="00CD7F09"/>
    <w:rsid w:val="00CE3C3C"/>
    <w:rsid w:val="00CE51C3"/>
    <w:rsid w:val="00CE57A7"/>
    <w:rsid w:val="00CF1759"/>
    <w:rsid w:val="00CF2427"/>
    <w:rsid w:val="00CF3124"/>
    <w:rsid w:val="00CF4F69"/>
    <w:rsid w:val="00D03B00"/>
    <w:rsid w:val="00D04312"/>
    <w:rsid w:val="00D15589"/>
    <w:rsid w:val="00D1762A"/>
    <w:rsid w:val="00D1789D"/>
    <w:rsid w:val="00D22AE8"/>
    <w:rsid w:val="00D23A92"/>
    <w:rsid w:val="00D25589"/>
    <w:rsid w:val="00D27709"/>
    <w:rsid w:val="00D3505C"/>
    <w:rsid w:val="00D37224"/>
    <w:rsid w:val="00D41040"/>
    <w:rsid w:val="00D432AD"/>
    <w:rsid w:val="00D44F5C"/>
    <w:rsid w:val="00D50188"/>
    <w:rsid w:val="00D51069"/>
    <w:rsid w:val="00D55DBD"/>
    <w:rsid w:val="00D572AE"/>
    <w:rsid w:val="00D617B1"/>
    <w:rsid w:val="00D7780B"/>
    <w:rsid w:val="00D77E75"/>
    <w:rsid w:val="00D8117C"/>
    <w:rsid w:val="00D83A40"/>
    <w:rsid w:val="00D87075"/>
    <w:rsid w:val="00D92C7B"/>
    <w:rsid w:val="00D94539"/>
    <w:rsid w:val="00D9485E"/>
    <w:rsid w:val="00D9537D"/>
    <w:rsid w:val="00DB2CC6"/>
    <w:rsid w:val="00DB2F58"/>
    <w:rsid w:val="00DC27FB"/>
    <w:rsid w:val="00DC2A74"/>
    <w:rsid w:val="00DC4747"/>
    <w:rsid w:val="00DD52CC"/>
    <w:rsid w:val="00DE1EE8"/>
    <w:rsid w:val="00DE308B"/>
    <w:rsid w:val="00DE70E4"/>
    <w:rsid w:val="00E0227F"/>
    <w:rsid w:val="00E05380"/>
    <w:rsid w:val="00E07BD7"/>
    <w:rsid w:val="00E1048F"/>
    <w:rsid w:val="00E22B4E"/>
    <w:rsid w:val="00E315D5"/>
    <w:rsid w:val="00E37A7A"/>
    <w:rsid w:val="00E47630"/>
    <w:rsid w:val="00E55657"/>
    <w:rsid w:val="00E55B3B"/>
    <w:rsid w:val="00E55E91"/>
    <w:rsid w:val="00E637DB"/>
    <w:rsid w:val="00E758CF"/>
    <w:rsid w:val="00E8078E"/>
    <w:rsid w:val="00E83011"/>
    <w:rsid w:val="00E83704"/>
    <w:rsid w:val="00E92A9D"/>
    <w:rsid w:val="00E93875"/>
    <w:rsid w:val="00E95090"/>
    <w:rsid w:val="00E97268"/>
    <w:rsid w:val="00EA5F45"/>
    <w:rsid w:val="00EA7525"/>
    <w:rsid w:val="00EB3AB3"/>
    <w:rsid w:val="00EB3ED2"/>
    <w:rsid w:val="00EB6C99"/>
    <w:rsid w:val="00EB74CB"/>
    <w:rsid w:val="00EC0891"/>
    <w:rsid w:val="00EC56E4"/>
    <w:rsid w:val="00EC7E9D"/>
    <w:rsid w:val="00EC7F0F"/>
    <w:rsid w:val="00EE4574"/>
    <w:rsid w:val="00EE51DB"/>
    <w:rsid w:val="00EE75F9"/>
    <w:rsid w:val="00EF1374"/>
    <w:rsid w:val="00EF34F4"/>
    <w:rsid w:val="00EF44CA"/>
    <w:rsid w:val="00EF7A75"/>
    <w:rsid w:val="00F00A67"/>
    <w:rsid w:val="00F07688"/>
    <w:rsid w:val="00F13DC0"/>
    <w:rsid w:val="00F13E77"/>
    <w:rsid w:val="00F14485"/>
    <w:rsid w:val="00F15426"/>
    <w:rsid w:val="00F16F02"/>
    <w:rsid w:val="00F17093"/>
    <w:rsid w:val="00F211E6"/>
    <w:rsid w:val="00F22E38"/>
    <w:rsid w:val="00F251F6"/>
    <w:rsid w:val="00F25CEE"/>
    <w:rsid w:val="00F26A60"/>
    <w:rsid w:val="00F26B0A"/>
    <w:rsid w:val="00F3437E"/>
    <w:rsid w:val="00F465B6"/>
    <w:rsid w:val="00F51757"/>
    <w:rsid w:val="00F55E22"/>
    <w:rsid w:val="00F602BA"/>
    <w:rsid w:val="00F64CB9"/>
    <w:rsid w:val="00F67181"/>
    <w:rsid w:val="00F70CAC"/>
    <w:rsid w:val="00F771F1"/>
    <w:rsid w:val="00F77628"/>
    <w:rsid w:val="00F81D9E"/>
    <w:rsid w:val="00F838DD"/>
    <w:rsid w:val="00F90072"/>
    <w:rsid w:val="00F93258"/>
    <w:rsid w:val="00F93DC6"/>
    <w:rsid w:val="00F94184"/>
    <w:rsid w:val="00FA5BF9"/>
    <w:rsid w:val="00FA6AA4"/>
    <w:rsid w:val="00FB3B70"/>
    <w:rsid w:val="00FB6B0F"/>
    <w:rsid w:val="00FC6159"/>
    <w:rsid w:val="00FC6D52"/>
    <w:rsid w:val="00FD061C"/>
    <w:rsid w:val="00FD57F3"/>
    <w:rsid w:val="00FE09E3"/>
    <w:rsid w:val="00FE24FC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78978A-C783-496E-8841-3A3A5BB0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F13DC0"/>
    <w:pPr>
      <w:numPr>
        <w:numId w:val="2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="Cambria" w:eastAsia="MS Mincho" w:hAnsi="Cambr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7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bd.int/doc/decisions/cop-13/cop-13-dec-26-fr.pdf" TargetMode="External"/><Relationship Id="rId18" Type="http://schemas.openxmlformats.org/officeDocument/2006/relationships/hyperlink" Target="https://www.cbd.int/decision/cop/default.shtml?id=7147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cbd.int/doc/decisions/cop-13/cop-13-dec-17-fr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cop-12/cop-12-dec-29-fr.pdf" TargetMode="External"/><Relationship Id="rId17" Type="http://schemas.openxmlformats.org/officeDocument/2006/relationships/hyperlink" Target="http://bch.cbd.int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cbd.int/doc/decisions/cop-12/cop-12-dec-31-fr.pdf" TargetMode="External"/><Relationship Id="rId20" Type="http://schemas.openxmlformats.org/officeDocument/2006/relationships/hyperlink" Target="https://www.cbd.int/doc/decisions/cop-12/cop-12-dec-24-fr.pdf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mop-07/mop-07-dec-05-fr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ch.cbd.int/protocol/text/" TargetMode="External"/><Relationship Id="rId23" Type="http://schemas.openxmlformats.org/officeDocument/2006/relationships/hyperlink" Target="https://www.cbd.int/post2020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cbd.int/doc/decisions/cop-08/cop-08-dec-19-fr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cbd.int/convention/text/" TargetMode="External"/><Relationship Id="rId22" Type="http://schemas.openxmlformats.org/officeDocument/2006/relationships/hyperlink" Target="https://www.cbd.int/sp/targets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business/bc.shtml" TargetMode="External"/><Relationship Id="rId2" Type="http://schemas.openxmlformats.org/officeDocument/2006/relationships/hyperlink" Target="https://treaties.un.org/doc/Publication/UNTS/Volume%202226/v2226.pdf" TargetMode="External"/><Relationship Id="rId1" Type="http://schemas.openxmlformats.org/officeDocument/2006/relationships/hyperlink" Target="https://www.cbd.int/doc/c/c418/4b06/65b26745a1c1a1793cc5ea40/sbi-02-01-fr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AFBC8C6548485C98839CC7DBDC9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0D3A-DB92-485B-89DC-516B3B2BBD52}"/>
      </w:docPartPr>
      <w:docPartBody>
        <w:p w:rsidR="00D420BF" w:rsidRDefault="00487806">
          <w:r w:rsidRPr="00DC4F3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06"/>
    <w:rsid w:val="00062395"/>
    <w:rsid w:val="00487806"/>
    <w:rsid w:val="008D2501"/>
    <w:rsid w:val="00AE0D1C"/>
    <w:rsid w:val="00D4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67"/>
    <w:rsid w:val="004878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2DB25A-CA05-489C-8D56-6B9B53DB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281</TotalTime>
  <Pages>6</Pages>
  <Words>3126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Approches intégrées pour les questions situees A L’interface entre les dispositions relatives à la prévention des risques biotechnologiques de la Convention et les dispositions du Protocole de Cartagena</vt:lpstr>
    </vt:vector>
  </TitlesOfParts>
  <Company>Biodiversity</Company>
  <LinksUpToDate>false</LinksUpToDate>
  <CharactersWithSpaces>20285</CharactersWithSpaces>
  <SharedDoc>false</SharedDoc>
  <HyperlinkBase/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https://www.cbd.int/business/bc.shtml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Approches intÉgrÉes pour les questions concernant À La fois les dispositions relatives À la prÉvention des risques biotechnologiques de la Convention et les dispositions du Protocole de Cartagena</dc:title>
  <dc:subject>CBD/SBI/2/XX</dc:subject>
  <dc:creator>SCBD</dc:creator>
  <cp:lastModifiedBy>Finn Kinley</cp:lastModifiedBy>
  <cp:revision>15</cp:revision>
  <cp:lastPrinted>2018-05-25T17:06:00Z</cp:lastPrinted>
  <dcterms:created xsi:type="dcterms:W3CDTF">2018-05-30T21:25:00Z</dcterms:created>
  <dcterms:modified xsi:type="dcterms:W3CDTF">2018-06-07T02:28:00Z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SUBSIDIARY BODY ON IMPLEMENTATION</vt:lpwstr>
  </property>
</Properties>
</file>