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ayout w:type="fixed"/>
        <w:tblLook w:val="0000" w:firstRow="0" w:lastRow="0" w:firstColumn="0" w:lastColumn="0" w:noHBand="0" w:noVBand="0"/>
      </w:tblPr>
      <w:tblGrid>
        <w:gridCol w:w="19"/>
        <w:gridCol w:w="1307"/>
        <w:gridCol w:w="1221"/>
        <w:gridCol w:w="2930"/>
        <w:gridCol w:w="282"/>
        <w:gridCol w:w="3817"/>
      </w:tblGrid>
      <w:tr w:rsidR="00CD7A59" w:rsidRPr="002B72DB">
        <w:tblPrEx>
          <w:tblCellMar>
            <w:top w:w="0" w:type="dxa"/>
            <w:bottom w:w="0" w:type="dxa"/>
          </w:tblCellMar>
        </w:tblPrEx>
        <w:trPr>
          <w:gridBefore w:val="1"/>
          <w:wBefore w:w="19" w:type="dxa"/>
        </w:trPr>
        <w:tc>
          <w:tcPr>
            <w:tcW w:w="1307" w:type="dxa"/>
            <w:tcBorders>
              <w:bottom w:val="single" w:sz="12" w:space="0" w:color="000000"/>
            </w:tcBorders>
          </w:tcPr>
          <w:p w:rsidR="00CD7A59" w:rsidRPr="002B72DB" w:rsidRDefault="00CD7A59">
            <w:pPr>
              <w:rPr>
                <w:kern w:val="22"/>
                <w:lang w:val="es-ES_tradnl"/>
              </w:rPr>
            </w:pPr>
            <w:bookmarkStart w:id="0" w:name="_GoBack"/>
            <w:bookmarkEnd w:id="0"/>
            <w:r w:rsidRPr="002B72DB">
              <w:rPr>
                <w:noProof/>
                <w:kern w:val="22"/>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5pt;margin-top:5.45pt;width:39pt;height:45.75pt;z-index:251658240;mso-position-vertical-relative:page" o:allowoverlap="f">
                  <v:imagedata r:id="rId8" o:title=""/>
                  <w10:wrap type="square" anchory="page"/>
                  <w10:anchorlock/>
                </v:shape>
              </w:pict>
            </w:r>
          </w:p>
        </w:tc>
        <w:tc>
          <w:tcPr>
            <w:tcW w:w="1221" w:type="dxa"/>
            <w:tcBorders>
              <w:bottom w:val="single" w:sz="12" w:space="0" w:color="000000"/>
            </w:tcBorders>
          </w:tcPr>
          <w:p w:rsidR="00CD7A59" w:rsidRPr="002B72DB" w:rsidRDefault="00CD7A59">
            <w:pPr>
              <w:rPr>
                <w:kern w:val="22"/>
                <w:lang w:val="es-ES_tradnl"/>
              </w:rPr>
            </w:pPr>
            <w:r w:rsidRPr="002B72DB">
              <w:rPr>
                <w:noProof/>
                <w:kern w:val="22"/>
                <w:sz w:val="20"/>
                <w:lang w:val="es-ES_tradnl"/>
              </w:rPr>
              <w:pict>
                <v:shape id="_x0000_s1026" type="#_x0000_t75" style="position:absolute;left:0;text-align:left;margin-left:-2.05pt;margin-top:.05pt;width:64.8pt;height:45.9pt;z-index:251657216;mso-position-horizontal-relative:text;mso-position-vertical-relative:page" o:allowoverlap="f" fillcolor="window">
                  <v:imagedata r:id="rId9" o:title="" cropleft="2944f" cropright="2944f"/>
                  <w10:wrap type="square" anchory="page"/>
                  <w10:anchorlock/>
                </v:shape>
              </w:pict>
            </w:r>
          </w:p>
        </w:tc>
        <w:tc>
          <w:tcPr>
            <w:tcW w:w="7029" w:type="dxa"/>
            <w:gridSpan w:val="3"/>
            <w:tcBorders>
              <w:bottom w:val="single" w:sz="12" w:space="0" w:color="000000"/>
            </w:tcBorders>
          </w:tcPr>
          <w:p w:rsidR="00CD7A59" w:rsidRPr="002B72DB" w:rsidRDefault="00CD7A59">
            <w:pPr>
              <w:jc w:val="right"/>
              <w:rPr>
                <w:rFonts w:ascii="Univers" w:hAnsi="Univers"/>
                <w:b/>
                <w:kern w:val="22"/>
                <w:sz w:val="32"/>
                <w:lang w:val="es-ES_tradnl"/>
              </w:rPr>
            </w:pPr>
            <w:r w:rsidRPr="002B72DB">
              <w:rPr>
                <w:rFonts w:ascii="Univers" w:hAnsi="Univers"/>
                <w:b/>
                <w:kern w:val="22"/>
                <w:sz w:val="32"/>
                <w:lang w:val="es-ES_tradnl"/>
              </w:rPr>
              <w:t>CBD</w:t>
            </w:r>
          </w:p>
          <w:p w:rsidR="00CD7A59" w:rsidRPr="002B72DB" w:rsidRDefault="00CD7A59">
            <w:pPr>
              <w:rPr>
                <w:rFonts w:ascii="Univers" w:hAnsi="Univers"/>
                <w:b/>
                <w:kern w:val="22"/>
                <w:sz w:val="32"/>
                <w:lang w:val="es-ES_tradnl"/>
              </w:rPr>
            </w:pPr>
          </w:p>
        </w:tc>
      </w:tr>
      <w:tr w:rsidR="00CD7A59" w:rsidRPr="002B72DB">
        <w:tblPrEx>
          <w:tblCellMar>
            <w:top w:w="0" w:type="dxa"/>
            <w:bottom w:w="0" w:type="dxa"/>
          </w:tblCellMar>
        </w:tblPrEx>
        <w:trPr>
          <w:trHeight w:val="1693"/>
        </w:trPr>
        <w:tc>
          <w:tcPr>
            <w:tcW w:w="5477" w:type="dxa"/>
            <w:gridSpan w:val="4"/>
          </w:tcPr>
          <w:p w:rsidR="00CD7A59" w:rsidRPr="002B72DB" w:rsidRDefault="00CD7A59">
            <w:pPr>
              <w:rPr>
                <w:kern w:val="22"/>
                <w:lang w:val="es-ES_tradnl"/>
              </w:rPr>
            </w:pPr>
            <w:r w:rsidRPr="002B72DB">
              <w:rPr>
                <w:i/>
                <w:lang w:val="es-ES_tradnl"/>
              </w:rPr>
              <w:pict>
                <v:shape id="_x0000_i1025" type="#_x0000_t75" style="width:212.25pt;height:84.75pt">
                  <v:imagedata r:id="rId10" o:title="cbd-logo-web-black-es"/>
                </v:shape>
              </w:pict>
            </w:r>
          </w:p>
        </w:tc>
        <w:tc>
          <w:tcPr>
            <w:tcW w:w="282" w:type="dxa"/>
          </w:tcPr>
          <w:p w:rsidR="00CD7A59" w:rsidRPr="002B72DB" w:rsidRDefault="00CD7A59">
            <w:pPr>
              <w:rPr>
                <w:kern w:val="22"/>
                <w:lang w:val="es-ES_tradnl"/>
              </w:rPr>
            </w:pPr>
          </w:p>
        </w:tc>
        <w:tc>
          <w:tcPr>
            <w:tcW w:w="3817" w:type="dxa"/>
          </w:tcPr>
          <w:p w:rsidR="00CD7A59" w:rsidRPr="002B72DB" w:rsidRDefault="00CD7A59">
            <w:pPr>
              <w:suppressAutoHyphens/>
              <w:ind w:left="762"/>
              <w:rPr>
                <w:kern w:val="22"/>
                <w:lang w:val="es-ES_tradnl"/>
              </w:rPr>
            </w:pPr>
            <w:r w:rsidRPr="002B72DB">
              <w:rPr>
                <w:kern w:val="22"/>
                <w:lang w:val="es-ES_tradnl"/>
              </w:rPr>
              <w:t>Distr.</w:t>
            </w:r>
          </w:p>
          <w:p w:rsidR="00CD7A59" w:rsidRPr="002B72DB" w:rsidRDefault="00CD7A59">
            <w:pPr>
              <w:suppressAutoHyphens/>
              <w:ind w:left="762"/>
              <w:rPr>
                <w:kern w:val="22"/>
                <w:lang w:val="es-ES_tradnl"/>
              </w:rPr>
            </w:pPr>
            <w:r w:rsidRPr="002B72DB">
              <w:rPr>
                <w:kern w:val="22"/>
                <w:lang w:val="es-ES_tradnl"/>
              </w:rPr>
              <w:t>GENERAL</w:t>
            </w:r>
          </w:p>
          <w:p w:rsidR="00CD7A59" w:rsidRPr="002B72DB" w:rsidRDefault="00CD7A59">
            <w:pPr>
              <w:suppressAutoHyphens/>
              <w:ind w:left="762"/>
              <w:rPr>
                <w:kern w:val="22"/>
                <w:lang w:val="es-ES_tradnl"/>
              </w:rPr>
            </w:pPr>
          </w:p>
          <w:p w:rsidR="00CD7A59" w:rsidRPr="002B72DB" w:rsidRDefault="006D5E6A">
            <w:pPr>
              <w:suppressAutoHyphens/>
              <w:ind w:left="762"/>
              <w:rPr>
                <w:kern w:val="22"/>
                <w:lang w:val="es-ES_tradnl"/>
              </w:rPr>
            </w:pPr>
            <w:r w:rsidRPr="002B72DB">
              <w:rPr>
                <w:kern w:val="22"/>
                <w:lang w:val="es-ES_tradnl"/>
              </w:rPr>
              <w:t>CBD/SBI/2/2/Add.2</w:t>
            </w:r>
          </w:p>
          <w:p w:rsidR="00CD7A59" w:rsidRPr="002B72DB" w:rsidRDefault="00B17B60">
            <w:pPr>
              <w:suppressAutoHyphens/>
              <w:ind w:left="762"/>
              <w:rPr>
                <w:kern w:val="22"/>
                <w:lang w:val="es-ES_tradnl"/>
              </w:rPr>
            </w:pPr>
            <w:r w:rsidRPr="002B72DB">
              <w:rPr>
                <w:kern w:val="22"/>
                <w:lang w:val="es-ES_tradnl"/>
              </w:rPr>
              <w:t xml:space="preserve">13 de marzo de </w:t>
            </w:r>
            <w:r w:rsidR="00CD7A59" w:rsidRPr="002B72DB">
              <w:rPr>
                <w:kern w:val="22"/>
                <w:lang w:val="es-ES_tradnl"/>
              </w:rPr>
              <w:t>201</w:t>
            </w:r>
            <w:r w:rsidRPr="002B72DB">
              <w:rPr>
                <w:kern w:val="22"/>
                <w:lang w:val="es-ES_tradnl"/>
              </w:rPr>
              <w:t>8</w:t>
            </w:r>
          </w:p>
          <w:p w:rsidR="00CD7A59" w:rsidRPr="002B72DB" w:rsidRDefault="00CD7A59">
            <w:pPr>
              <w:pStyle w:val="Footer"/>
              <w:tabs>
                <w:tab w:val="clear" w:pos="4320"/>
                <w:tab w:val="clear" w:pos="8640"/>
              </w:tabs>
              <w:ind w:left="762"/>
              <w:rPr>
                <w:rFonts w:cs="Angsana New"/>
                <w:kern w:val="22"/>
                <w:lang w:val="es-ES_tradnl"/>
              </w:rPr>
            </w:pPr>
          </w:p>
          <w:p w:rsidR="00CD7A59" w:rsidRPr="002B72DB" w:rsidRDefault="00CD7A59">
            <w:pPr>
              <w:ind w:left="762"/>
              <w:rPr>
                <w:rFonts w:ascii="Courier New" w:hAnsi="Courier New"/>
                <w:kern w:val="22"/>
                <w:lang w:val="es-ES_tradnl"/>
              </w:rPr>
            </w:pPr>
            <w:r w:rsidRPr="002B72DB">
              <w:rPr>
                <w:lang w:val="es-ES_tradnl"/>
              </w:rPr>
              <w:t>ESPAÑOL</w:t>
            </w:r>
            <w:r w:rsidRPr="002B72DB">
              <w:rPr>
                <w:lang w:val="es-ES_tradnl"/>
              </w:rPr>
              <w:br/>
              <w:t>ORIGINAL:  INGLÉS</w:t>
            </w:r>
          </w:p>
        </w:tc>
      </w:tr>
    </w:tbl>
    <w:p w:rsidR="00CD7A59" w:rsidRPr="002B72DB" w:rsidRDefault="0029097F">
      <w:pPr>
        <w:pStyle w:val="Cornernotation"/>
        <w:suppressLineNumbers/>
        <w:suppressAutoHyphens/>
        <w:rPr>
          <w:lang w:val="es-ES_tradnl"/>
        </w:rPr>
      </w:pPr>
      <w:r w:rsidRPr="002B72DB">
        <w:rPr>
          <w:lang w:val="es-ES_tradnl"/>
        </w:rPr>
        <w:t>ÓRGANO SUBSIDIARIO SOBRE LA APLICACIÓN</w:t>
      </w:r>
    </w:p>
    <w:p w:rsidR="00CD7A59" w:rsidRPr="002B72DB" w:rsidRDefault="0029097F">
      <w:pPr>
        <w:pStyle w:val="Cornernotation"/>
        <w:suppressLineNumbers/>
        <w:suppressAutoHyphens/>
        <w:rPr>
          <w:lang w:val="es-ES_tradnl"/>
        </w:rPr>
      </w:pPr>
      <w:r w:rsidRPr="002B72DB">
        <w:rPr>
          <w:lang w:val="es-ES_tradnl"/>
        </w:rPr>
        <w:t xml:space="preserve">Segunda </w:t>
      </w:r>
      <w:r w:rsidR="00CD7A59" w:rsidRPr="002B72DB">
        <w:rPr>
          <w:lang w:val="es-ES_tradnl"/>
        </w:rPr>
        <w:t>reunión</w:t>
      </w:r>
    </w:p>
    <w:p w:rsidR="00CD7A59" w:rsidRPr="002B72DB" w:rsidRDefault="0029097F">
      <w:pPr>
        <w:pStyle w:val="Cornernotation"/>
        <w:suppressLineNumbers/>
        <w:suppressAutoHyphens/>
        <w:rPr>
          <w:rFonts w:cs="Times New Roman"/>
          <w:snapToGrid w:val="0"/>
          <w:kern w:val="22"/>
          <w:szCs w:val="22"/>
          <w:lang w:val="es-ES_tradnl"/>
        </w:rPr>
      </w:pPr>
      <w:r w:rsidRPr="002B72DB">
        <w:rPr>
          <w:lang w:val="es-ES_tradnl"/>
        </w:rPr>
        <w:t>Montreal</w:t>
      </w:r>
      <w:r w:rsidR="00CD7A59" w:rsidRPr="002B72DB">
        <w:rPr>
          <w:lang w:val="es-ES_tradnl"/>
        </w:rPr>
        <w:t xml:space="preserve">, </w:t>
      </w:r>
      <w:r w:rsidRPr="002B72DB">
        <w:rPr>
          <w:lang w:val="es-ES_tradnl"/>
        </w:rPr>
        <w:t>Canadá</w:t>
      </w:r>
      <w:r w:rsidR="00CD7A59" w:rsidRPr="002B72DB">
        <w:rPr>
          <w:lang w:val="es-ES_tradnl"/>
        </w:rPr>
        <w:t xml:space="preserve">, </w:t>
      </w:r>
      <w:r w:rsidR="00B17B60" w:rsidRPr="002B72DB">
        <w:rPr>
          <w:snapToGrid w:val="0"/>
          <w:kern w:val="22"/>
          <w:szCs w:val="22"/>
          <w:lang w:val="es-ES_tradnl" w:eastAsia="nb-NO"/>
        </w:rPr>
        <w:t xml:space="preserve">9 a 13 de julio de </w:t>
      </w:r>
      <w:r w:rsidR="00CD7A59" w:rsidRPr="002B72DB">
        <w:rPr>
          <w:lang w:val="es-ES_tradnl"/>
        </w:rPr>
        <w:t>201</w:t>
      </w:r>
      <w:r w:rsidR="00B17B60" w:rsidRPr="002B72DB">
        <w:rPr>
          <w:lang w:val="es-ES_tradnl"/>
        </w:rPr>
        <w:t>8</w:t>
      </w:r>
    </w:p>
    <w:p w:rsidR="00CD7A59" w:rsidRPr="002B72DB" w:rsidRDefault="00CD7A59">
      <w:pPr>
        <w:pStyle w:val="Cornernotation"/>
        <w:suppressLineNumbers/>
        <w:suppressAutoHyphens/>
        <w:rPr>
          <w:rFonts w:cs="Times New Roman"/>
          <w:snapToGrid w:val="0"/>
          <w:kern w:val="22"/>
          <w:szCs w:val="22"/>
          <w:lang w:val="es-ES_tradnl"/>
        </w:rPr>
      </w:pPr>
      <w:r w:rsidRPr="002B72DB">
        <w:rPr>
          <w:rFonts w:cs="Times New Roman"/>
          <w:snapToGrid w:val="0"/>
          <w:kern w:val="22"/>
          <w:szCs w:val="22"/>
          <w:lang w:val="es-ES_tradnl"/>
        </w:rPr>
        <w:t xml:space="preserve">Tema </w:t>
      </w:r>
      <w:r w:rsidR="0029097F" w:rsidRPr="002B72DB">
        <w:rPr>
          <w:rFonts w:cs="Times New Roman"/>
          <w:snapToGrid w:val="0"/>
          <w:kern w:val="22"/>
          <w:szCs w:val="22"/>
          <w:lang w:val="es-ES_tradnl"/>
        </w:rPr>
        <w:t>3</w:t>
      </w:r>
      <w:r w:rsidRPr="002B72DB">
        <w:rPr>
          <w:rFonts w:cs="Times New Roman"/>
          <w:snapToGrid w:val="0"/>
          <w:kern w:val="22"/>
          <w:szCs w:val="22"/>
          <w:lang w:val="es-ES_tradnl"/>
        </w:rPr>
        <w:t xml:space="preserve"> del programa provisional</w:t>
      </w:r>
      <w:r w:rsidRPr="002B72DB">
        <w:rPr>
          <w:rStyle w:val="FootnoteReference"/>
          <w:rFonts w:cs="Times New Roman"/>
          <w:snapToGrid w:val="0"/>
          <w:kern w:val="22"/>
          <w:szCs w:val="22"/>
          <w:u w:val="none"/>
          <w:lang w:val="es-ES_tradnl"/>
        </w:rPr>
        <w:footnoteReference w:customMarkFollows="1" w:id="1"/>
        <w:t>*</w:t>
      </w:r>
    </w:p>
    <w:p w:rsidR="00CD7A59" w:rsidRPr="002B72DB" w:rsidRDefault="00CD7A59">
      <w:pPr>
        <w:pStyle w:val="Heading2"/>
        <w:suppressLineNumbers/>
        <w:tabs>
          <w:tab w:val="clear" w:pos="720"/>
        </w:tabs>
        <w:suppressAutoHyphens/>
        <w:spacing w:before="240"/>
        <w:rPr>
          <w:rFonts w:ascii="Times New Roman Bold" w:hAnsi="Times New Roman Bold"/>
          <w:i w:val="0"/>
          <w:caps/>
          <w:kern w:val="22"/>
          <w:szCs w:val="22"/>
          <w:lang w:val="es-ES_tradnl"/>
        </w:rPr>
      </w:pPr>
      <w:r w:rsidRPr="002B72DB">
        <w:rPr>
          <w:rFonts w:ascii="Times New Roman Bold" w:hAnsi="Times New Roman Bold"/>
          <w:i w:val="0"/>
          <w:caps/>
          <w:kern w:val="22"/>
          <w:szCs w:val="22"/>
          <w:lang w:val="es-ES_tradnl"/>
        </w:rPr>
        <w:t>ANÁLISIS DE LA CONTRIBUCIÓN DE LOS OBJETIVOS ESTABLECIDOS POR LAS PARTES Y LOS AVANCES HACIA EL LOGRO DE LAS METAS DE AIC</w:t>
      </w:r>
      <w:r w:rsidR="00673DEE">
        <w:rPr>
          <w:rFonts w:ascii="Times New Roman Bold" w:hAnsi="Times New Roman Bold"/>
          <w:i w:val="0"/>
          <w:caps/>
          <w:kern w:val="22"/>
          <w:szCs w:val="22"/>
          <w:lang w:val="es-ES_tradnl"/>
        </w:rPr>
        <w:t>HI PARA LA DIVERSIDAD BIOLÓGICA</w:t>
      </w:r>
    </w:p>
    <w:p w:rsidR="00CD7A59" w:rsidRPr="002B72DB" w:rsidRDefault="00CD7A59">
      <w:pPr>
        <w:pStyle w:val="Heading2"/>
        <w:suppressLineNumbers/>
        <w:tabs>
          <w:tab w:val="clear" w:pos="720"/>
        </w:tabs>
        <w:suppressAutoHyphens/>
        <w:rPr>
          <w:b w:val="0"/>
          <w:kern w:val="22"/>
          <w:szCs w:val="22"/>
          <w:lang w:val="es-ES_tradnl"/>
        </w:rPr>
      </w:pPr>
      <w:r w:rsidRPr="002B72DB">
        <w:rPr>
          <w:b w:val="0"/>
          <w:kern w:val="22"/>
          <w:szCs w:val="22"/>
          <w:lang w:val="es-ES_tradnl"/>
        </w:rPr>
        <w:t>Nota del Secretario Ejecutivo</w:t>
      </w:r>
    </w:p>
    <w:p w:rsidR="00CD7A59" w:rsidRPr="002B72DB" w:rsidRDefault="00CD7A59">
      <w:pPr>
        <w:suppressLineNumbers/>
        <w:tabs>
          <w:tab w:val="left" w:pos="0"/>
        </w:tabs>
        <w:suppressAutoHyphens/>
        <w:spacing w:before="120" w:after="120"/>
        <w:jc w:val="center"/>
        <w:rPr>
          <w:rFonts w:cs="Times New Roman"/>
          <w:b/>
          <w:bCs/>
          <w:lang w:val="es-ES_tradnl"/>
        </w:rPr>
      </w:pPr>
      <w:r w:rsidRPr="002B72DB">
        <w:rPr>
          <w:rFonts w:cs="Times New Roman"/>
          <w:b/>
          <w:bCs/>
          <w:lang w:val="es-ES_tradnl"/>
        </w:rPr>
        <w:t>ANTECEDENTES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Al adoptar el Plan Estratégico para la Diversidad Biológica 2011-2020, la Conferencia de las Partes en el Convenio sobre la Diversidad Biológica invitó a las Partes a establecer sus propias metas nacionales, tomando el Plan Estratégico como marco flexible y de conformidad con las necesidades y prioridades nacionales sin olvidar las contribuciones nacionales al logro de las metas mundiales de Aichi para la diversidad biológica. Se instó además a las Partes a revisar, y actualizar y modificar según proceda, sus estrategias y planes de acción nacionales de diversidad biológica (EPANB), con arreglo al Plan Estratégico y la orientación adoptada en la </w:t>
      </w:r>
      <w:hyperlink r:id="rId11">
        <w:hyperlink r:id="rId12" w:history="1">
          <w:r w:rsidR="002E0901">
            <w:rPr>
              <w:rStyle w:val="Hyperlink"/>
              <w:rFonts w:eastAsia="Malgun Gothic"/>
              <w:lang w:val="es-ES"/>
            </w:rPr>
            <w:t>decisió</w:t>
          </w:r>
          <w:r w:rsidR="002E0901" w:rsidRPr="002E0901">
            <w:rPr>
              <w:rStyle w:val="Hyperlink"/>
              <w:rFonts w:eastAsia="Malgun Gothic"/>
              <w:lang w:val="es-ES"/>
            </w:rPr>
            <w:t>n IX/9</w:t>
          </w:r>
        </w:hyperlink>
      </w:hyperlink>
      <w:r w:rsidRPr="002B72DB">
        <w:rPr>
          <w:lang w:val="es-ES_tradnl"/>
        </w:rPr>
        <w:t>, incluso mediante la integración de sus metas nacionales en sus EPANB, adoptadas como instrumento de política</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rFonts w:eastAsia="Malgun Gothic" w:cs="Times New Roman"/>
          <w:kern w:val="22"/>
          <w:szCs w:val="22"/>
          <w:lang w:val="es-ES_tradnl"/>
        </w:rPr>
        <w:t xml:space="preserve">En su </w:t>
      </w:r>
      <w:hyperlink r:id="rId13" w:history="1">
        <w:r w:rsidR="002E0901" w:rsidRPr="002E0901">
          <w:rPr>
            <w:rStyle w:val="Hyperlink"/>
            <w:rFonts w:eastAsia="Malgun Gothic"/>
            <w:kern w:val="22"/>
            <w:szCs w:val="22"/>
            <w:lang w:val="es-ES"/>
          </w:rPr>
          <w:t>decisi</w:t>
        </w:r>
        <w:r w:rsidR="002E0901">
          <w:rPr>
            <w:rStyle w:val="Hyperlink"/>
            <w:rFonts w:eastAsia="Malgun Gothic"/>
            <w:kern w:val="22"/>
            <w:szCs w:val="22"/>
            <w:lang w:val="es-ES"/>
          </w:rPr>
          <w:t>ó</w:t>
        </w:r>
        <w:r w:rsidR="002E0901" w:rsidRPr="002E0901">
          <w:rPr>
            <w:rStyle w:val="Hyperlink"/>
            <w:rFonts w:eastAsia="Malgun Gothic"/>
            <w:kern w:val="22"/>
            <w:szCs w:val="22"/>
            <w:lang w:val="es-ES"/>
          </w:rPr>
          <w:t>n XIII/1</w:t>
        </w:r>
      </w:hyperlink>
      <w:r w:rsidRPr="002B72DB">
        <w:rPr>
          <w:rFonts w:eastAsia="Malgun Gothic" w:cs="Times New Roman"/>
          <w:kern w:val="22"/>
          <w:szCs w:val="22"/>
          <w:lang w:val="es-ES_tradnl"/>
        </w:rPr>
        <w:t xml:space="preserve">, </w:t>
      </w:r>
      <w:r w:rsidR="0029097F" w:rsidRPr="002B72DB">
        <w:rPr>
          <w:rFonts w:eastAsia="Malgun Gothic" w:cs="Times New Roman"/>
          <w:kern w:val="22"/>
          <w:szCs w:val="22"/>
          <w:lang w:val="es-ES_tradnl"/>
        </w:rPr>
        <w:t xml:space="preserve">la Conferencia de las Partes instó a las Partes que todavía no habían actualizado y aplicado </w:t>
      </w:r>
      <w:r w:rsidR="000E7B09" w:rsidRPr="002B72DB">
        <w:rPr>
          <w:rFonts w:eastAsia="Malgun Gothic" w:cs="Times New Roman"/>
          <w:kern w:val="22"/>
          <w:szCs w:val="22"/>
          <w:lang w:val="es-ES_tradnl"/>
        </w:rPr>
        <w:t>sus estrategias y planes de acción nacionales de diversidad biológica, a hacerlo a la mayor brevedad posible</w:t>
      </w:r>
      <w:r w:rsidR="0029097F" w:rsidRPr="002B72DB">
        <w:rPr>
          <w:rFonts w:eastAsia="Malgun Gothic" w:cs="Times New Roman"/>
          <w:kern w:val="22"/>
          <w:szCs w:val="22"/>
          <w:lang w:val="es-ES_tradnl"/>
        </w:rPr>
        <w:t xml:space="preserve">, </w:t>
      </w:r>
      <w:r w:rsidR="000E7B09" w:rsidRPr="002B72DB">
        <w:rPr>
          <w:rFonts w:eastAsia="Malgun Gothic" w:cs="Times New Roman"/>
          <w:kern w:val="22"/>
          <w:szCs w:val="22"/>
          <w:lang w:val="es-ES_tradnl"/>
        </w:rPr>
        <w:t>de conform</w:t>
      </w:r>
      <w:r w:rsidR="00F36034" w:rsidRPr="002B72DB">
        <w:rPr>
          <w:rFonts w:eastAsia="Malgun Gothic" w:cs="Times New Roman"/>
          <w:kern w:val="22"/>
          <w:szCs w:val="22"/>
          <w:lang w:val="es-ES_tradnl"/>
        </w:rPr>
        <w:t xml:space="preserve">idad </w:t>
      </w:r>
      <w:r w:rsidR="000E7B09" w:rsidRPr="002B72DB">
        <w:rPr>
          <w:rFonts w:eastAsia="Malgun Gothic" w:cs="Times New Roman"/>
          <w:kern w:val="22"/>
          <w:szCs w:val="22"/>
          <w:lang w:val="es-ES_tradnl"/>
        </w:rPr>
        <w:t xml:space="preserve">con la decisión </w:t>
      </w:r>
      <w:hyperlink r:id="rId14" w:history="1">
        <w:r w:rsidR="0029097F" w:rsidRPr="002B72DB">
          <w:rPr>
            <w:rStyle w:val="Hyperlink"/>
            <w:kern w:val="22"/>
            <w:szCs w:val="22"/>
            <w:lang w:val="es-ES_tradnl"/>
          </w:rPr>
          <w:t>XI/2</w:t>
        </w:r>
      </w:hyperlink>
      <w:r w:rsidRPr="002B72DB">
        <w:rPr>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Entre la décima reunión de la Conferencia de las Partes y el </w:t>
      </w:r>
      <w:r w:rsidR="000E7B09" w:rsidRPr="002B72DB">
        <w:rPr>
          <w:lang w:val="es-ES_tradnl"/>
        </w:rPr>
        <w:t>14 de marzo de 2018</w:t>
      </w:r>
      <w:r w:rsidRPr="002B72DB">
        <w:rPr>
          <w:lang w:val="es-ES_tradnl"/>
        </w:rPr>
        <w:t xml:space="preserve">, la Secretaría del Convenio sobre la Diversidad Biológica ha recibido </w:t>
      </w:r>
      <w:r w:rsidR="000E7B09" w:rsidRPr="002B72DB">
        <w:rPr>
          <w:lang w:val="es-ES_tradnl"/>
        </w:rPr>
        <w:t xml:space="preserve">154 </w:t>
      </w:r>
      <w:r w:rsidRPr="002B72DB">
        <w:rPr>
          <w:lang w:val="es-ES_tradnl"/>
        </w:rPr>
        <w:t>nuevas EPANB</w:t>
      </w:r>
      <w:r w:rsidRPr="002B72DB">
        <w:rPr>
          <w:vertAlign w:val="superscript"/>
          <w:lang w:val="es-ES_tradnl"/>
        </w:rPr>
        <w:footnoteReference w:id="2"/>
      </w:r>
      <w:r w:rsidRPr="002B72DB">
        <w:rPr>
          <w:rFonts w:eastAsia="Malgun Gothic" w:cs="Times New Roman"/>
          <w:kern w:val="22"/>
          <w:szCs w:val="22"/>
          <w:lang w:val="es-ES_tradnl"/>
        </w:rPr>
        <w:t xml:space="preserve">. </w:t>
      </w:r>
      <w:r w:rsidR="000E7B09" w:rsidRPr="002B72DB">
        <w:rPr>
          <w:rFonts w:eastAsia="Malgun Gothic" w:cs="Times New Roman"/>
          <w:kern w:val="22"/>
          <w:szCs w:val="22"/>
          <w:lang w:val="es-ES_tradnl"/>
        </w:rPr>
        <w:t>De ellas, 15</w:t>
      </w:r>
      <w:r w:rsidR="007A5206" w:rsidRPr="002B72DB">
        <w:rPr>
          <w:rFonts w:eastAsia="Malgun Gothic" w:cs="Times New Roman"/>
          <w:kern w:val="22"/>
          <w:szCs w:val="22"/>
          <w:lang w:val="es-ES_tradnl"/>
        </w:rPr>
        <w:t xml:space="preserve"> </w:t>
      </w:r>
      <w:r w:rsidRPr="002B72DB">
        <w:rPr>
          <w:rFonts w:eastAsia="Malgun Gothic" w:cs="Times New Roman"/>
          <w:kern w:val="22"/>
          <w:szCs w:val="22"/>
          <w:lang w:val="es-ES_tradnl"/>
        </w:rPr>
        <w:t>son las primeras EPANB del país correspondiente. Información adicional sobre la actualización y el análisis de las estrategias y planes de acción nacionales de diversidad biológica</w:t>
      </w:r>
      <w:r w:rsidRPr="002B72DB">
        <w:rPr>
          <w:rFonts w:cs="Times New Roman"/>
          <w:kern w:val="22"/>
          <w:szCs w:val="22"/>
          <w:lang w:val="es-ES_tradnl"/>
        </w:rPr>
        <w:t xml:space="preserve"> </w:t>
      </w:r>
      <w:r w:rsidRPr="002B72DB">
        <w:rPr>
          <w:lang w:val="es-ES_tradnl"/>
        </w:rPr>
        <w:t>recibidas después de la aprobación del Plan Estratégico para la Diversidad Biológica 2011-2020 está incluida en el documento</w:t>
      </w:r>
      <w:r w:rsidRPr="002B72DB">
        <w:rPr>
          <w:rFonts w:cs="Times New Roman"/>
          <w:kern w:val="22"/>
          <w:szCs w:val="22"/>
          <w:lang w:val="es-ES_tradnl"/>
        </w:rPr>
        <w:t xml:space="preserve"> </w:t>
      </w:r>
      <w:r w:rsidR="000E7B09" w:rsidRPr="002B72DB">
        <w:rPr>
          <w:rFonts w:eastAsia="Malgun Gothic"/>
          <w:kern w:val="22"/>
          <w:szCs w:val="22"/>
          <w:lang w:val="es-ES_tradnl"/>
        </w:rPr>
        <w:t>CBD/SBI/2/2/Add.1</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Al adoptar el Plan Estratégico, la Conferencia de las Partes (decisión X/2) también señaló la necesidad de mantener su aplicación bajo revisión. Los informes nacionales son una de las principales fuentes de información para hacerlo. En la decisión </w:t>
      </w:r>
      <w:hyperlink r:id="rId15" w:history="1">
        <w:r w:rsidR="002E0901" w:rsidRPr="002E0901">
          <w:rPr>
            <w:rStyle w:val="Hyperlink"/>
            <w:rFonts w:eastAsia="Malgun Gothic"/>
            <w:kern w:val="22"/>
            <w:szCs w:val="22"/>
            <w:lang w:val="es-ES"/>
          </w:rPr>
          <w:t>X/10</w:t>
        </w:r>
      </w:hyperlink>
      <w:r w:rsidRPr="002B72DB">
        <w:rPr>
          <w:lang w:val="es-ES_tradnl"/>
        </w:rPr>
        <w:t>, la Conferencia de las Partes pidió a estas que presentaran su quinto informe nacional como muy tarde el 31 de marzo de 2014</w:t>
      </w:r>
      <w:r w:rsidRPr="002B72DB">
        <w:rPr>
          <w:rFonts w:eastAsia="Malgun Gothic" w:cs="Times New Roman"/>
          <w:kern w:val="22"/>
          <w:szCs w:val="22"/>
          <w:lang w:val="es-ES_tradnl"/>
        </w:rPr>
        <w:t xml:space="preserve">. Posteriormente, el </w:t>
      </w:r>
      <w:r w:rsidRPr="002B72DB">
        <w:rPr>
          <w:rFonts w:eastAsia="Malgun Gothic" w:cs="Times New Roman"/>
          <w:kern w:val="22"/>
          <w:szCs w:val="22"/>
          <w:lang w:val="es-ES_tradnl"/>
        </w:rPr>
        <w:lastRenderedPageBreak/>
        <w:t xml:space="preserve">Órgano Subsidiario sobre la Aplicación, en la </w:t>
      </w:r>
      <w:hyperlink r:id="rId16" w:history="1">
        <w:r w:rsidR="002E0901" w:rsidRPr="002E0901">
          <w:rPr>
            <w:rStyle w:val="Hyperlink"/>
            <w:rFonts w:eastAsia="Malgun Gothic"/>
            <w:lang w:val="es-ES"/>
          </w:rPr>
          <w:t>recom</w:t>
        </w:r>
        <w:r w:rsidR="002E0901">
          <w:rPr>
            <w:rStyle w:val="Hyperlink"/>
            <w:rFonts w:eastAsia="Malgun Gothic"/>
            <w:lang w:val="es-ES"/>
          </w:rPr>
          <w:t>endación</w:t>
        </w:r>
        <w:r w:rsidR="002E0901" w:rsidRPr="002E0901">
          <w:rPr>
            <w:rStyle w:val="Hyperlink"/>
            <w:rFonts w:eastAsia="Malgun Gothic"/>
            <w:lang w:val="es-ES"/>
          </w:rPr>
          <w:t xml:space="preserve"> 1/1</w:t>
        </w:r>
      </w:hyperlink>
      <w:r w:rsidRPr="002B72DB">
        <w:rPr>
          <w:rFonts w:eastAsia="Malgun Gothic" w:cs="Times New Roman"/>
          <w:kern w:val="22"/>
          <w:szCs w:val="22"/>
          <w:lang w:val="es-ES_tradnl"/>
        </w:rPr>
        <w:t xml:space="preserve">, subrayaba que la revisión eficaz de los progresos hacia la aplicación del Plan Estratégico para la Diversidad Biológica </w:t>
      </w:r>
      <w:r w:rsidRPr="002B72DB">
        <w:rPr>
          <w:lang w:val="es-ES_tradnl"/>
        </w:rPr>
        <w:t>2011-2020 depend</w:t>
      </w:r>
      <w:r w:rsidR="000E7B09" w:rsidRPr="002B72DB">
        <w:rPr>
          <w:lang w:val="es-ES_tradnl"/>
        </w:rPr>
        <w:t>ía</w:t>
      </w:r>
      <w:r w:rsidRPr="002B72DB">
        <w:rPr>
          <w:lang w:val="es-ES_tradnl"/>
        </w:rPr>
        <w:t xml:space="preserve"> de la presentación de las Partes de la información en los plazos establecidos, y recordando las decisiones </w:t>
      </w:r>
      <w:hyperlink r:id="rId17" w:history="1">
        <w:r w:rsidR="00D87D50" w:rsidRPr="00D87D50">
          <w:rPr>
            <w:rStyle w:val="Hyperlink"/>
            <w:kern w:val="22"/>
            <w:szCs w:val="22"/>
            <w:lang w:val="es-ES"/>
          </w:rPr>
          <w:t>XI/3</w:t>
        </w:r>
      </w:hyperlink>
      <w:r w:rsidR="00D87D50" w:rsidRPr="00D87D50">
        <w:rPr>
          <w:kern w:val="22"/>
          <w:szCs w:val="22"/>
          <w:lang w:val="es-ES"/>
        </w:rPr>
        <w:t xml:space="preserve"> </w:t>
      </w:r>
      <w:r w:rsidR="00D87D50">
        <w:rPr>
          <w:kern w:val="22"/>
          <w:szCs w:val="22"/>
          <w:lang w:val="es-ES"/>
        </w:rPr>
        <w:t>y</w:t>
      </w:r>
      <w:r w:rsidR="00D87D50" w:rsidRPr="00D87D50">
        <w:rPr>
          <w:kern w:val="22"/>
          <w:szCs w:val="22"/>
          <w:lang w:val="es-ES"/>
        </w:rPr>
        <w:t xml:space="preserve"> </w:t>
      </w:r>
      <w:hyperlink r:id="rId18" w:history="1">
        <w:r w:rsidR="00D87D50" w:rsidRPr="00D87D50">
          <w:rPr>
            <w:rStyle w:val="Hyperlink"/>
            <w:kern w:val="22"/>
            <w:szCs w:val="22"/>
            <w:lang w:val="es-ES"/>
          </w:rPr>
          <w:t>XII/2</w:t>
        </w:r>
      </w:hyperlink>
      <w:r w:rsidRPr="002E0901">
        <w:rPr>
          <w:rStyle w:val="Hyperlink"/>
          <w:lang w:val="es-ES"/>
        </w:rPr>
        <w:t xml:space="preserve"> A</w:t>
      </w:r>
      <w:r w:rsidRPr="002B72DB">
        <w:rPr>
          <w:lang w:val="es-ES_tradnl"/>
        </w:rPr>
        <w:t xml:space="preserve">, instaba a aquellas Partes que todavía no hubiesen presentado su quinto informe nacional, a hacerlo con carácter de urgencia, y no más tarde del 30 de junio de 2016. A fecha </w:t>
      </w:r>
      <w:r w:rsidR="000E7B09" w:rsidRPr="002B72DB">
        <w:rPr>
          <w:lang w:val="es-ES_tradnl"/>
        </w:rPr>
        <w:t>14 de marzo de 2018</w:t>
      </w:r>
      <w:r w:rsidRPr="002B72DB">
        <w:rPr>
          <w:rFonts w:eastAsia="Malgun Gothic" w:cs="Times New Roman"/>
          <w:kern w:val="22"/>
          <w:szCs w:val="22"/>
          <w:lang w:val="es-ES_tradnl"/>
        </w:rPr>
        <w:t xml:space="preserve">, se habían recibido </w:t>
      </w:r>
      <w:r w:rsidR="000E7B09" w:rsidRPr="002B72DB">
        <w:rPr>
          <w:rFonts w:eastAsia="Malgun Gothic" w:cs="Times New Roman"/>
          <w:kern w:val="22"/>
          <w:szCs w:val="22"/>
          <w:lang w:val="es-ES_tradnl"/>
        </w:rPr>
        <w:t xml:space="preserve">191 </w:t>
      </w:r>
      <w:r w:rsidRPr="002B72DB">
        <w:rPr>
          <w:rFonts w:eastAsia="Malgun Gothic" w:cs="Times New Roman"/>
          <w:kern w:val="22"/>
          <w:szCs w:val="22"/>
          <w:lang w:val="es-ES_tradnl"/>
        </w:rPr>
        <w:t>quintos informes nacionales.</w:t>
      </w:r>
    </w:p>
    <w:p w:rsidR="00CD7A59" w:rsidRPr="002B72DB" w:rsidRDefault="00CD7A59" w:rsidP="00CD7A59">
      <w:pPr>
        <w:pStyle w:val="Para1"/>
        <w:numPr>
          <w:ilvl w:val="0"/>
          <w:numId w:val="11"/>
        </w:numPr>
        <w:suppressLineNumbers/>
        <w:tabs>
          <w:tab w:val="clear" w:pos="360"/>
        </w:tabs>
        <w:suppressAutoHyphens/>
        <w:rPr>
          <w:rFonts w:eastAsia="Malgun Gothic" w:cs="Times New Roman"/>
          <w:kern w:val="22"/>
          <w:szCs w:val="22"/>
          <w:lang w:val="es-ES_tradnl"/>
        </w:rPr>
      </w:pPr>
      <w:r w:rsidRPr="002B72DB">
        <w:rPr>
          <w:lang w:val="es-ES_tradnl"/>
        </w:rPr>
        <w:t xml:space="preserve">En la decisión </w:t>
      </w:r>
      <w:hyperlink r:id="rId19" w:history="1">
        <w:r w:rsidR="00D87D50" w:rsidRPr="00D87D50">
          <w:rPr>
            <w:rStyle w:val="Hyperlink"/>
            <w:rFonts w:eastAsia="Malgun Gothic"/>
            <w:kern w:val="22"/>
            <w:szCs w:val="22"/>
            <w:lang w:val="es-ES"/>
          </w:rPr>
          <w:t>X/2</w:t>
        </w:r>
      </w:hyperlink>
      <w:r w:rsidRPr="002B72DB">
        <w:rPr>
          <w:lang w:val="es-ES_tradnl"/>
        </w:rPr>
        <w:t>, la Conferencia de las Partes pidió al Secretario Ejecutivo que preparase un análisis y síntesis de medidas nacionales, regionales y de otra índole, incluidas metas, según sea procedente, adoptadas de conformidad con el Plan Estratégico, a fin de que el Grupo de Trabajo sobre la revisión de la aplicación del Convenio en su cuarta reunión y la Conferencia de las Partes en su undécima reunión y reuniones subsiguientes evaluasen la contribución de tales metas nacionales y regionales a los esfuerzos por alcanzar las metas mundiales</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En respuesta a esta </w:t>
      </w:r>
      <w:r w:rsidR="006E328E" w:rsidRPr="002B72DB">
        <w:rPr>
          <w:lang w:val="es-ES_tradnl"/>
        </w:rPr>
        <w:t>decisión</w:t>
      </w:r>
      <w:r w:rsidRPr="002B72DB">
        <w:rPr>
          <w:lang w:val="es-ES_tradnl"/>
        </w:rPr>
        <w:t>, la Secretaría ha actualizado, en el presente documento</w:t>
      </w:r>
      <w:r w:rsidR="006E328E" w:rsidRPr="00D04188">
        <w:rPr>
          <w:rStyle w:val="FootnoteReference"/>
          <w:rFonts w:eastAsia="Malgun Gothic"/>
          <w:kern w:val="22"/>
          <w:sz w:val="22"/>
          <w:szCs w:val="22"/>
          <w:u w:val="none"/>
          <w:vertAlign w:val="superscript"/>
          <w:lang w:val="es-ES_tradnl"/>
        </w:rPr>
        <w:footnoteReference w:id="3"/>
      </w:r>
      <w:r w:rsidRPr="002B72DB">
        <w:rPr>
          <w:lang w:val="es-ES_tradnl"/>
        </w:rPr>
        <w:t xml:space="preserve">, el análisis de la contribución de las metas establecidas por las Partes y los progresos hacia las Metas de Aichi para la Diversidad Biológica y lo puso a disposición </w:t>
      </w:r>
      <w:r w:rsidR="006E328E" w:rsidRPr="002B72DB">
        <w:rPr>
          <w:lang w:val="es-ES_tradnl"/>
        </w:rPr>
        <w:t>de la Conferencia de las Partes en su decimotercera reunió</w:t>
      </w:r>
      <w:r w:rsidR="00D04188">
        <w:rPr>
          <w:lang w:val="es-ES_tradnl"/>
        </w:rPr>
        <w:t>n</w:t>
      </w:r>
      <w:r w:rsidR="006E328E" w:rsidRPr="00D04188">
        <w:rPr>
          <w:rStyle w:val="FootnoteReference"/>
          <w:rFonts w:eastAsia="Times New Roman"/>
          <w:kern w:val="22"/>
          <w:sz w:val="22"/>
          <w:szCs w:val="22"/>
          <w:u w:val="none"/>
          <w:vertAlign w:val="superscript"/>
          <w:lang w:val="es-ES_tradnl"/>
        </w:rPr>
        <w:footnoteReference w:id="4"/>
      </w:r>
      <w:r w:rsidR="006E328E" w:rsidRPr="002B72DB">
        <w:rPr>
          <w:lang w:val="es-ES_tradnl"/>
        </w:rPr>
        <w:t>.</w:t>
      </w:r>
      <w:r w:rsidR="00F87952">
        <w:rPr>
          <w:rFonts w:eastAsia="Malgun Gothic" w:cs="Times New Roman"/>
          <w:kern w:val="22"/>
          <w:szCs w:val="22"/>
          <w:lang w:val="es-ES_tradnl"/>
        </w:rPr>
        <w:t xml:space="preserve"> </w:t>
      </w:r>
      <w:r w:rsidR="00F06908" w:rsidRPr="002B72DB">
        <w:rPr>
          <w:rFonts w:eastAsia="Malgun Gothic"/>
          <w:kern w:val="22"/>
          <w:szCs w:val="22"/>
          <w:lang w:val="es-ES_tradnl"/>
        </w:rPr>
        <w:t xml:space="preserve">Complementa </w:t>
      </w:r>
      <w:r w:rsidR="0028184E" w:rsidRPr="002B72DB">
        <w:rPr>
          <w:rFonts w:eastAsia="Malgun Gothic"/>
          <w:kern w:val="22"/>
          <w:szCs w:val="22"/>
          <w:lang w:val="es-ES_tradnl"/>
        </w:rPr>
        <w:t xml:space="preserve">a </w:t>
      </w:r>
      <w:r w:rsidR="00F06908" w:rsidRPr="002B72DB">
        <w:rPr>
          <w:rFonts w:eastAsia="Malgun Gothic"/>
          <w:kern w:val="22"/>
          <w:szCs w:val="22"/>
          <w:lang w:val="es-ES_tradnl"/>
        </w:rPr>
        <w:t>un documento emi</w:t>
      </w:r>
      <w:r w:rsidR="00D10FA4" w:rsidRPr="002B72DB">
        <w:rPr>
          <w:rFonts w:eastAsia="Malgun Gothic"/>
          <w:kern w:val="22"/>
          <w:szCs w:val="22"/>
          <w:lang w:val="es-ES_tradnl"/>
        </w:rPr>
        <w:t xml:space="preserve">tido </w:t>
      </w:r>
      <w:r w:rsidR="00F06908" w:rsidRPr="002B72DB">
        <w:rPr>
          <w:rFonts w:eastAsia="Malgun Gothic"/>
          <w:kern w:val="22"/>
          <w:szCs w:val="22"/>
          <w:lang w:val="es-ES_tradnl"/>
        </w:rPr>
        <w:t>para el Órgano Subsidiario de Asesoramiento Científico, Técnico y Tecnológico</w:t>
      </w:r>
      <w:r w:rsidR="006E328E" w:rsidRPr="002B72DB">
        <w:rPr>
          <w:rFonts w:eastAsia="Malgun Gothic"/>
          <w:kern w:val="22"/>
          <w:szCs w:val="22"/>
          <w:lang w:val="es-ES_tradnl"/>
        </w:rPr>
        <w:t xml:space="preserve">, </w:t>
      </w:r>
      <w:r w:rsidR="005601F6" w:rsidRPr="002B72DB">
        <w:rPr>
          <w:rFonts w:eastAsia="Malgun Gothic"/>
          <w:kern w:val="22"/>
          <w:szCs w:val="22"/>
          <w:lang w:val="es-ES_tradnl"/>
        </w:rPr>
        <w:t xml:space="preserve">sobre </w:t>
      </w:r>
      <w:r w:rsidR="00F06908" w:rsidRPr="002B72DB">
        <w:rPr>
          <w:rFonts w:eastAsia="Malgun Gothic"/>
          <w:kern w:val="22"/>
          <w:szCs w:val="22"/>
          <w:lang w:val="es-ES_tradnl"/>
        </w:rPr>
        <w:t>una evaluación científica</w:t>
      </w:r>
      <w:r w:rsidR="00936658" w:rsidRPr="002B72DB">
        <w:rPr>
          <w:rFonts w:eastAsia="Malgun Gothic"/>
          <w:kern w:val="22"/>
          <w:szCs w:val="22"/>
          <w:lang w:val="es-ES_tradnl"/>
        </w:rPr>
        <w:t xml:space="preserve"> actualizada</w:t>
      </w:r>
      <w:r w:rsidR="00F06908" w:rsidRPr="002B72DB">
        <w:rPr>
          <w:rFonts w:eastAsia="Malgun Gothic"/>
          <w:kern w:val="22"/>
          <w:szCs w:val="22"/>
          <w:lang w:val="es-ES_tradnl"/>
        </w:rPr>
        <w:t xml:space="preserve"> </w:t>
      </w:r>
      <w:r w:rsidR="005601F6" w:rsidRPr="002B72DB">
        <w:rPr>
          <w:rFonts w:eastAsia="Malgun Gothic"/>
          <w:kern w:val="22"/>
          <w:szCs w:val="22"/>
          <w:lang w:val="es-ES_tradnl"/>
        </w:rPr>
        <w:t>de</w:t>
      </w:r>
      <w:r w:rsidR="00936658" w:rsidRPr="002B72DB">
        <w:rPr>
          <w:rFonts w:eastAsia="Malgun Gothic"/>
          <w:kern w:val="22"/>
          <w:szCs w:val="22"/>
          <w:lang w:val="es-ES_tradnl"/>
        </w:rPr>
        <w:t xml:space="preserve">l progreso </w:t>
      </w:r>
      <w:r w:rsidR="00F06908" w:rsidRPr="002B72DB">
        <w:rPr>
          <w:rFonts w:eastAsia="Malgun Gothic"/>
          <w:kern w:val="22"/>
          <w:szCs w:val="22"/>
          <w:lang w:val="es-ES_tradnl"/>
        </w:rPr>
        <w:t>alcanzado en las metas de Aichi para la Diversidad Biológica</w:t>
      </w:r>
      <w:r w:rsidR="00D10FA4" w:rsidRPr="002B72DB">
        <w:rPr>
          <w:rFonts w:eastAsia="Malgun Gothic"/>
          <w:kern w:val="22"/>
          <w:szCs w:val="22"/>
          <w:lang w:val="es-ES_tradnl"/>
        </w:rPr>
        <w:t>,</w:t>
      </w:r>
      <w:r w:rsidR="00F06908" w:rsidRPr="002B72DB">
        <w:rPr>
          <w:rFonts w:eastAsia="Malgun Gothic"/>
          <w:kern w:val="22"/>
          <w:szCs w:val="22"/>
          <w:lang w:val="es-ES_tradnl"/>
        </w:rPr>
        <w:t xml:space="preserve"> y </w:t>
      </w:r>
      <w:r w:rsidR="005601F6" w:rsidRPr="002B72DB">
        <w:rPr>
          <w:rFonts w:eastAsia="Malgun Gothic"/>
          <w:kern w:val="22"/>
          <w:szCs w:val="22"/>
          <w:lang w:val="es-ES_tradnl"/>
        </w:rPr>
        <w:t xml:space="preserve">las </w:t>
      </w:r>
      <w:r w:rsidR="00F06908" w:rsidRPr="002B72DB">
        <w:rPr>
          <w:rFonts w:eastAsia="Malgun Gothic"/>
          <w:kern w:val="22"/>
          <w:szCs w:val="22"/>
          <w:lang w:val="es-ES_tradnl"/>
        </w:rPr>
        <w:t>opciones para acelerar</w:t>
      </w:r>
      <w:r w:rsidR="00936658" w:rsidRPr="002B72DB">
        <w:rPr>
          <w:rFonts w:eastAsia="Malgun Gothic"/>
          <w:kern w:val="22"/>
          <w:szCs w:val="22"/>
          <w:lang w:val="es-ES_tradnl"/>
        </w:rPr>
        <w:t>lo</w:t>
      </w:r>
      <w:r w:rsidR="006E328E" w:rsidRPr="00D04188">
        <w:rPr>
          <w:rStyle w:val="FootnoteReference"/>
          <w:rFonts w:eastAsia="Times New Roman"/>
          <w:kern w:val="22"/>
          <w:sz w:val="22"/>
          <w:szCs w:val="22"/>
          <w:u w:val="none"/>
          <w:vertAlign w:val="superscript"/>
          <w:lang w:val="es-ES_tradnl"/>
        </w:rPr>
        <w:footnoteReference w:id="5"/>
      </w:r>
      <w:r w:rsidR="005601F6" w:rsidRPr="002B72DB">
        <w:rPr>
          <w:rFonts w:eastAsia="Malgun Gothic"/>
          <w:kern w:val="22"/>
          <w:szCs w:val="22"/>
          <w:lang w:val="es-ES_tradnl"/>
        </w:rPr>
        <w:t>,</w:t>
      </w:r>
      <w:r w:rsidR="006E328E" w:rsidRPr="002B72DB">
        <w:rPr>
          <w:rFonts w:eastAsia="Malgun Gothic"/>
          <w:kern w:val="22"/>
          <w:szCs w:val="22"/>
          <w:lang w:val="es-ES_tradnl"/>
        </w:rPr>
        <w:t xml:space="preserve"> </w:t>
      </w:r>
      <w:r w:rsidR="005601F6" w:rsidRPr="002B72DB">
        <w:rPr>
          <w:rFonts w:eastAsia="Malgun Gothic"/>
          <w:kern w:val="22"/>
          <w:szCs w:val="22"/>
          <w:lang w:val="es-ES_tradnl"/>
        </w:rPr>
        <w:t>centrad</w:t>
      </w:r>
      <w:r w:rsidR="00936658" w:rsidRPr="002B72DB">
        <w:rPr>
          <w:rFonts w:eastAsia="Malgun Gothic"/>
          <w:kern w:val="22"/>
          <w:szCs w:val="22"/>
          <w:lang w:val="es-ES_tradnl"/>
        </w:rPr>
        <w:t>o</w:t>
      </w:r>
      <w:r w:rsidR="005601F6" w:rsidRPr="002B72DB">
        <w:rPr>
          <w:rFonts w:eastAsia="Malgun Gothic"/>
          <w:kern w:val="22"/>
          <w:szCs w:val="22"/>
          <w:lang w:val="es-ES_tradnl"/>
        </w:rPr>
        <w:t xml:space="preserve"> </w:t>
      </w:r>
      <w:r w:rsidR="00D10FA4" w:rsidRPr="002B72DB">
        <w:rPr>
          <w:rFonts w:eastAsia="Malgun Gothic"/>
          <w:kern w:val="22"/>
          <w:szCs w:val="22"/>
          <w:lang w:val="es-ES_tradnl"/>
        </w:rPr>
        <w:t xml:space="preserve">en </w:t>
      </w:r>
      <w:r w:rsidR="0028184E" w:rsidRPr="002B72DB">
        <w:rPr>
          <w:rFonts w:eastAsia="Malgun Gothic"/>
          <w:kern w:val="22"/>
          <w:szCs w:val="22"/>
          <w:lang w:val="es-ES_tradnl"/>
        </w:rPr>
        <w:t xml:space="preserve">muestras del progreso procedentes </w:t>
      </w:r>
      <w:r w:rsidR="00D10FA4" w:rsidRPr="002B72DB">
        <w:rPr>
          <w:rFonts w:eastAsia="Malgun Gothic"/>
          <w:kern w:val="22"/>
          <w:szCs w:val="22"/>
          <w:lang w:val="es-ES_tradnl"/>
        </w:rPr>
        <w:t>de literatura científica e indicadores pertinentes</w:t>
      </w:r>
      <w:r w:rsidR="006E328E" w:rsidRPr="002B72DB">
        <w:rPr>
          <w:rFonts w:eastAsia="Malgun Gothic"/>
          <w:kern w:val="22"/>
          <w:szCs w:val="22"/>
          <w:lang w:val="es-ES_tradnl"/>
        </w:rPr>
        <w:t>.</w:t>
      </w:r>
    </w:p>
    <w:p w:rsidR="00CD7A59" w:rsidRPr="002B72DB" w:rsidRDefault="00CD7A59" w:rsidP="00CD7A59">
      <w:pPr>
        <w:numPr>
          <w:ilvl w:val="0"/>
          <w:numId w:val="12"/>
        </w:numPr>
        <w:suppressLineNumbers/>
        <w:suppressAutoHyphens/>
        <w:spacing w:before="120" w:after="120"/>
        <w:ind w:left="1077"/>
        <w:jc w:val="center"/>
        <w:rPr>
          <w:rFonts w:cs="Times New Roman"/>
          <w:b/>
          <w:bCs/>
          <w:lang w:val="es-ES_tradnl"/>
        </w:rPr>
      </w:pPr>
      <w:r w:rsidRPr="002B72DB">
        <w:rPr>
          <w:b/>
          <w:lang w:val="es-ES_tradnl"/>
        </w:rPr>
        <w:t>METODOLOGÍA</w:t>
      </w:r>
    </w:p>
    <w:p w:rsidR="00CD7A59" w:rsidRPr="002B72DB" w:rsidRDefault="00CD7A59">
      <w:pPr>
        <w:suppressLineNumbers/>
        <w:suppressAutoHyphens/>
        <w:spacing w:after="120"/>
        <w:jc w:val="center"/>
        <w:rPr>
          <w:rFonts w:cs="Times New Roman"/>
          <w:b/>
          <w:bCs/>
          <w:snapToGrid w:val="0"/>
          <w:kern w:val="22"/>
          <w:szCs w:val="22"/>
          <w:lang w:val="es-ES_tradnl"/>
        </w:rPr>
      </w:pPr>
      <w:r w:rsidRPr="002B72DB">
        <w:rPr>
          <w:rFonts w:cs="Times New Roman"/>
          <w:b/>
          <w:bCs/>
          <w:snapToGrid w:val="0"/>
          <w:kern w:val="22"/>
          <w:szCs w:val="22"/>
          <w:lang w:val="es-ES_tradnl"/>
        </w:rPr>
        <w:t>A.</w:t>
      </w:r>
      <w:r w:rsidRPr="002B72DB">
        <w:rPr>
          <w:rFonts w:cs="Times New Roman"/>
          <w:b/>
          <w:bCs/>
          <w:snapToGrid w:val="0"/>
          <w:kern w:val="22"/>
          <w:szCs w:val="22"/>
          <w:lang w:val="es-ES_tradnl"/>
        </w:rPr>
        <w:tab/>
      </w:r>
      <w:r w:rsidRPr="002B72DB">
        <w:rPr>
          <w:b/>
          <w:snapToGrid w:val="0"/>
          <w:kern w:val="22"/>
          <w:lang w:val="es-ES_tradnl"/>
        </w:rPr>
        <w:t>Estrategias y planes de acción nacionales de diversidad biológica</w:t>
      </w:r>
    </w:p>
    <w:p w:rsidR="00CD7A59" w:rsidRPr="002B72DB" w:rsidRDefault="00CD7A59" w:rsidP="00CD7A59">
      <w:pPr>
        <w:pStyle w:val="Para1"/>
        <w:numPr>
          <w:ilvl w:val="0"/>
          <w:numId w:val="11"/>
        </w:numPr>
        <w:suppressLineNumbers/>
        <w:tabs>
          <w:tab w:val="clear" w:pos="360"/>
        </w:tabs>
        <w:suppressAutoHyphens/>
        <w:rPr>
          <w:rFonts w:eastAsia="Malgun Gothic" w:cs="Times New Roman"/>
          <w:kern w:val="22"/>
          <w:szCs w:val="22"/>
          <w:lang w:val="es-ES_tradnl"/>
        </w:rPr>
      </w:pPr>
      <w:r w:rsidRPr="002B72DB">
        <w:rPr>
          <w:lang w:val="es-ES_tradnl"/>
        </w:rPr>
        <w:t xml:space="preserve">En esta evaluación se consideró un total de </w:t>
      </w:r>
      <w:r w:rsidR="006E328E" w:rsidRPr="002B72DB">
        <w:rPr>
          <w:lang w:val="es-ES_tradnl"/>
        </w:rPr>
        <w:t>154</w:t>
      </w:r>
      <w:r w:rsidRPr="002B72DB">
        <w:rPr>
          <w:lang w:val="es-ES_tradnl"/>
        </w:rPr>
        <w:t xml:space="preserve"> EPANB revisadas o actualizadas</w:t>
      </w:r>
      <w:r w:rsidRPr="002B72DB">
        <w:rPr>
          <w:rFonts w:eastAsia="Malgun Gothic" w:cs="Times New Roman"/>
          <w:kern w:val="22"/>
          <w:szCs w:val="22"/>
          <w:vertAlign w:val="superscript"/>
          <w:lang w:val="es-ES_tradnl"/>
        </w:rPr>
        <w:footnoteReference w:id="6"/>
      </w:r>
      <w:r w:rsidRPr="002B72DB">
        <w:rPr>
          <w:rFonts w:eastAsia="Malgun Gothic" w:cs="Times New Roman"/>
          <w:kern w:val="22"/>
          <w:szCs w:val="22"/>
          <w:lang w:val="es-ES_tradnl"/>
        </w:rPr>
        <w:t xml:space="preserve">. </w:t>
      </w:r>
      <w:r w:rsidRPr="002B72DB">
        <w:rPr>
          <w:lang w:val="es-ES_tradnl"/>
        </w:rPr>
        <w:t xml:space="preserve">Dichas EPANB eran de Afganistán, Albania, Alemania, </w:t>
      </w:r>
      <w:r w:rsidR="00767A8D" w:rsidRPr="002B72DB">
        <w:rPr>
          <w:lang w:val="es-ES_tradnl"/>
        </w:rPr>
        <w:t xml:space="preserve">Andorra, </w:t>
      </w:r>
      <w:r w:rsidRPr="002B72DB">
        <w:rPr>
          <w:lang w:val="es-ES_tradnl"/>
        </w:rPr>
        <w:t xml:space="preserve">Antigua y Barbuda, </w:t>
      </w:r>
      <w:r w:rsidR="00767A8D" w:rsidRPr="002B72DB">
        <w:rPr>
          <w:lang w:val="es-ES_tradnl"/>
        </w:rPr>
        <w:t xml:space="preserve">Argelia, Argentina, </w:t>
      </w:r>
      <w:r w:rsidRPr="002B72DB">
        <w:rPr>
          <w:lang w:val="es-ES_tradnl"/>
        </w:rPr>
        <w:t xml:space="preserve">Armenia, Australia, Austria, </w:t>
      </w:r>
      <w:r w:rsidR="00767A8D" w:rsidRPr="002B72DB">
        <w:rPr>
          <w:lang w:val="es-ES_tradnl"/>
        </w:rPr>
        <w:t xml:space="preserve">Azerbaiyán, </w:t>
      </w:r>
      <w:r w:rsidRPr="002B72DB">
        <w:rPr>
          <w:lang w:val="es-ES_tradnl"/>
        </w:rPr>
        <w:t xml:space="preserve">Bahréin, Bangladesh, Belarús, </w:t>
      </w:r>
      <w:r w:rsidR="00767A8D" w:rsidRPr="002B72DB">
        <w:rPr>
          <w:lang w:val="es-ES_tradnl"/>
        </w:rPr>
        <w:t xml:space="preserve">Belice, </w:t>
      </w:r>
      <w:r w:rsidRPr="002B72DB">
        <w:rPr>
          <w:lang w:val="es-ES_tradnl"/>
        </w:rPr>
        <w:t xml:space="preserve">Bélgica, Benín, </w:t>
      </w:r>
      <w:r w:rsidRPr="002B72DB">
        <w:rPr>
          <w:rFonts w:eastAsia="Malgun Gothic" w:cs="Times New Roman"/>
          <w:kern w:val="22"/>
          <w:szCs w:val="22"/>
          <w:lang w:val="es-ES_tradnl"/>
        </w:rPr>
        <w:t>Bosnia-Herzegovina,</w:t>
      </w:r>
      <w:r w:rsidRPr="002B72DB">
        <w:rPr>
          <w:lang w:val="es-ES_tradnl"/>
        </w:rPr>
        <w:t xml:space="preserve"> </w:t>
      </w:r>
      <w:r w:rsidRPr="002B72DB">
        <w:rPr>
          <w:rFonts w:eastAsia="Malgun Gothic" w:cs="Times New Roman"/>
          <w:kern w:val="22"/>
          <w:szCs w:val="22"/>
          <w:lang w:val="es-ES_tradnl"/>
        </w:rPr>
        <w:t xml:space="preserve">Botswana, </w:t>
      </w:r>
      <w:r w:rsidRPr="002B72DB">
        <w:rPr>
          <w:lang w:val="es-ES_tradnl"/>
        </w:rPr>
        <w:t xml:space="preserve">Bhután, </w:t>
      </w:r>
      <w:r w:rsidRPr="002B72DB">
        <w:rPr>
          <w:rFonts w:eastAsia="Malgun Gothic" w:cs="Times New Roman"/>
          <w:kern w:val="22"/>
          <w:szCs w:val="22"/>
          <w:lang w:val="es-ES_tradnl"/>
        </w:rPr>
        <w:t>Brasil, Brunei Darussalam,</w:t>
      </w:r>
      <w:r w:rsidRPr="002B72DB">
        <w:rPr>
          <w:lang w:val="es-ES_tradnl"/>
        </w:rPr>
        <w:t xml:space="preserve"> Burkina Faso, Burundi, </w:t>
      </w:r>
      <w:r w:rsidRPr="002B72DB">
        <w:rPr>
          <w:rFonts w:eastAsia="Malgun Gothic" w:cs="Times New Roman"/>
          <w:kern w:val="22"/>
          <w:szCs w:val="22"/>
          <w:lang w:val="es-ES_tradnl"/>
        </w:rPr>
        <w:t xml:space="preserve">Cabo Verde, </w:t>
      </w:r>
      <w:r w:rsidRPr="002B72DB">
        <w:rPr>
          <w:lang w:val="es-ES_tradnl"/>
        </w:rPr>
        <w:t xml:space="preserve">Camboya, Camerún, Canadá, Chad, </w:t>
      </w:r>
      <w:r w:rsidR="00767A8D" w:rsidRPr="002B72DB">
        <w:rPr>
          <w:lang w:val="es-ES_tradnl"/>
        </w:rPr>
        <w:t xml:space="preserve">Chile, </w:t>
      </w:r>
      <w:r w:rsidRPr="002B72DB">
        <w:rPr>
          <w:lang w:val="es-ES_tradnl"/>
        </w:rPr>
        <w:t xml:space="preserve">China, Colombia, Comoras, Congo, </w:t>
      </w:r>
      <w:r w:rsidR="00767A8D" w:rsidRPr="002B72DB">
        <w:rPr>
          <w:lang w:val="es-ES_tradnl"/>
        </w:rPr>
        <w:t xml:space="preserve">Costa Rica, </w:t>
      </w:r>
      <w:r w:rsidRPr="002B72DB">
        <w:rPr>
          <w:lang w:val="es-ES_tradnl"/>
        </w:rPr>
        <w:t xml:space="preserve">Côte d’Ivoire, Cuba, Dinamarca, </w:t>
      </w:r>
      <w:r w:rsidR="00767A8D" w:rsidRPr="002B72DB">
        <w:rPr>
          <w:lang w:val="es-ES_tradnl"/>
        </w:rPr>
        <w:t xml:space="preserve">Djibouti, </w:t>
      </w:r>
      <w:r w:rsidRPr="002B72DB">
        <w:rPr>
          <w:lang w:val="es-ES_tradnl"/>
        </w:rPr>
        <w:t xml:space="preserve">Dominica, </w:t>
      </w:r>
      <w:r w:rsidR="00767A8D" w:rsidRPr="002B72DB">
        <w:rPr>
          <w:lang w:val="es-ES_tradnl"/>
        </w:rPr>
        <w:t xml:space="preserve">Ecuador, </w:t>
      </w:r>
      <w:r w:rsidRPr="002B72DB">
        <w:rPr>
          <w:lang w:val="es-ES_tradnl"/>
        </w:rPr>
        <w:t xml:space="preserve">Egipto, El Salvador, Emiratos Árabes Unidos, Eritrea, Eslovaquia, España, Estonia, Etiopía, Federación </w:t>
      </w:r>
      <w:r w:rsidR="007A5206" w:rsidRPr="002B72DB">
        <w:rPr>
          <w:lang w:val="es-ES_tradnl"/>
        </w:rPr>
        <w:t xml:space="preserve">de </w:t>
      </w:r>
      <w:r w:rsidRPr="002B72DB">
        <w:rPr>
          <w:lang w:val="es-ES_tradnl"/>
        </w:rPr>
        <w:t>Rus</w:t>
      </w:r>
      <w:r w:rsidR="007A5206" w:rsidRPr="002B72DB">
        <w:rPr>
          <w:lang w:val="es-ES_tradnl"/>
        </w:rPr>
        <w:t>i</w:t>
      </w:r>
      <w:r w:rsidRPr="002B72DB">
        <w:rPr>
          <w:lang w:val="es-ES_tradnl"/>
        </w:rPr>
        <w:t xml:space="preserve">a, Filipinas, Finlandia, Francia, Gambia, Georgia, </w:t>
      </w:r>
      <w:r w:rsidR="00767A8D" w:rsidRPr="002B72DB">
        <w:rPr>
          <w:lang w:val="es-ES_tradnl"/>
        </w:rPr>
        <w:t xml:space="preserve">Ghana, </w:t>
      </w:r>
      <w:r w:rsidRPr="002B72DB">
        <w:rPr>
          <w:lang w:val="es-ES_tradnl"/>
        </w:rPr>
        <w:t xml:space="preserve">Granada, Grecia, Guatemala, Guinea, </w:t>
      </w:r>
      <w:r w:rsidRPr="002B72DB">
        <w:rPr>
          <w:rFonts w:eastAsia="Malgun Gothic" w:cs="Times New Roman"/>
          <w:kern w:val="22"/>
          <w:szCs w:val="22"/>
          <w:lang w:val="es-ES_tradnl"/>
        </w:rPr>
        <w:t xml:space="preserve">Guinea-Bissau, </w:t>
      </w:r>
      <w:r w:rsidRPr="002B72DB">
        <w:rPr>
          <w:lang w:val="es-ES_tradnl"/>
        </w:rPr>
        <w:t xml:space="preserve">Guinea Ecuatorial, Guyana, </w:t>
      </w:r>
      <w:r w:rsidR="00767A8D" w:rsidRPr="002B72DB">
        <w:rPr>
          <w:lang w:val="es-ES_tradnl"/>
        </w:rPr>
        <w:t xml:space="preserve">Honduras, </w:t>
      </w:r>
      <w:r w:rsidRPr="002B72DB">
        <w:rPr>
          <w:lang w:val="es-ES_tradnl"/>
        </w:rPr>
        <w:t xml:space="preserve">Hungría, India, </w:t>
      </w:r>
      <w:r w:rsidR="00767A8D" w:rsidRPr="002B72DB">
        <w:rPr>
          <w:lang w:val="es-ES_tradnl"/>
        </w:rPr>
        <w:t xml:space="preserve">Indonesia, </w:t>
      </w:r>
      <w:r w:rsidRPr="002B72DB">
        <w:rPr>
          <w:lang w:val="es-ES_tradnl"/>
        </w:rPr>
        <w:t xml:space="preserve">Islas Salomón, </w:t>
      </w:r>
      <w:r w:rsidR="00767A8D" w:rsidRPr="002B72DB">
        <w:rPr>
          <w:lang w:val="es-ES_tradnl"/>
        </w:rPr>
        <w:t xml:space="preserve">Irán (República Islámica del), </w:t>
      </w:r>
      <w:r w:rsidRPr="002B72DB">
        <w:rPr>
          <w:lang w:val="es-ES_tradnl"/>
        </w:rPr>
        <w:t xml:space="preserve">Irak, Irlanda, Italia, </w:t>
      </w:r>
      <w:r w:rsidR="00767A8D" w:rsidRPr="002B72DB">
        <w:rPr>
          <w:lang w:val="es-ES_tradnl"/>
        </w:rPr>
        <w:t xml:space="preserve">Jamaica, </w:t>
      </w:r>
      <w:r w:rsidRPr="002B72DB">
        <w:rPr>
          <w:lang w:val="es-ES_tradnl"/>
        </w:rPr>
        <w:t xml:space="preserve">Japón, Jordania, Kirguistán, </w:t>
      </w:r>
      <w:r w:rsidR="00767A8D" w:rsidRPr="002B72DB">
        <w:rPr>
          <w:lang w:val="es-ES_tradnl"/>
        </w:rPr>
        <w:t xml:space="preserve">Kiribati, </w:t>
      </w:r>
      <w:r w:rsidRPr="002B72DB">
        <w:rPr>
          <w:lang w:val="es-ES_tradnl"/>
        </w:rPr>
        <w:t xml:space="preserve">Líbano, </w:t>
      </w:r>
      <w:r w:rsidR="00767A8D" w:rsidRPr="002B72DB">
        <w:rPr>
          <w:lang w:val="es-ES_tradnl"/>
        </w:rPr>
        <w:t xml:space="preserve">Liberia, </w:t>
      </w:r>
      <w:r w:rsidRPr="002B72DB">
        <w:rPr>
          <w:lang w:val="es-ES_tradnl"/>
        </w:rPr>
        <w:t xml:space="preserve">Liechtenstein, </w:t>
      </w:r>
      <w:r w:rsidR="00767A8D" w:rsidRPr="002B72DB">
        <w:rPr>
          <w:lang w:val="es-ES_tradnl"/>
        </w:rPr>
        <w:t xml:space="preserve">Lituania, Luxemburgo, </w:t>
      </w:r>
      <w:r w:rsidRPr="002B72DB">
        <w:rPr>
          <w:lang w:val="es-ES_tradnl"/>
        </w:rPr>
        <w:t xml:space="preserve">Madagascar, Malasia, Malawi, Maldivas, Malí, Malta, Marruecos, </w:t>
      </w:r>
      <w:r w:rsidR="00767A8D" w:rsidRPr="002B72DB">
        <w:rPr>
          <w:lang w:val="es-ES_tradnl"/>
        </w:rPr>
        <w:t xml:space="preserve">Mauricio, </w:t>
      </w:r>
      <w:r w:rsidRPr="002B72DB">
        <w:rPr>
          <w:lang w:val="es-ES_tradnl"/>
        </w:rPr>
        <w:t xml:space="preserve">Mauritania, Mongolia, </w:t>
      </w:r>
      <w:r w:rsidR="00767A8D" w:rsidRPr="002B72DB">
        <w:rPr>
          <w:lang w:val="es-ES_tradnl"/>
        </w:rPr>
        <w:t xml:space="preserve">Montenegro, </w:t>
      </w:r>
      <w:r w:rsidRPr="002B72DB">
        <w:rPr>
          <w:lang w:val="es-ES_tradnl"/>
        </w:rPr>
        <w:t>Mozambique, Myanmar, Namibia, Nauru, Nepal, Nicaragua, Níger, Nigeria, Niue, Noruega, Nueva Zeland</w:t>
      </w:r>
      <w:r w:rsidR="007A5206" w:rsidRPr="002B72DB">
        <w:rPr>
          <w:lang w:val="es-ES_tradnl"/>
        </w:rPr>
        <w:t>i</w:t>
      </w:r>
      <w:r w:rsidRPr="002B72DB">
        <w:rPr>
          <w:lang w:val="es-ES_tradnl"/>
        </w:rPr>
        <w:t xml:space="preserve">a, Países Bajos, </w:t>
      </w:r>
      <w:r w:rsidR="00767A8D" w:rsidRPr="002B72DB">
        <w:rPr>
          <w:lang w:val="es-ES_tradnl"/>
        </w:rPr>
        <w:t xml:space="preserve">Paraguay, </w:t>
      </w:r>
      <w:r w:rsidRPr="002B72DB">
        <w:rPr>
          <w:lang w:val="es-ES_tradnl"/>
        </w:rPr>
        <w:t>Perú, Polonia, Qatar, Reino Unido de Gran Bretaña e Irlanda del Norte, República Checa, República de Corea, República de Moldova, República Democrática del Congo, República Democrática Popular Lao,</w:t>
      </w:r>
      <w:r w:rsidR="007A5206" w:rsidRPr="002B72DB">
        <w:rPr>
          <w:lang w:val="es-ES_tradnl"/>
        </w:rPr>
        <w:t xml:space="preserve"> </w:t>
      </w:r>
      <w:r w:rsidRPr="002B72DB">
        <w:rPr>
          <w:lang w:val="es-ES_tradnl"/>
        </w:rPr>
        <w:t xml:space="preserve">República Dominicana, República Popular Democrática de Corea, República Unida de Tanzania, </w:t>
      </w:r>
      <w:r w:rsidR="00767A8D" w:rsidRPr="002B72DB">
        <w:rPr>
          <w:lang w:val="es-ES_tradnl"/>
        </w:rPr>
        <w:t xml:space="preserve">Rumania, Rwanda, </w:t>
      </w:r>
      <w:r w:rsidRPr="002B72DB">
        <w:rPr>
          <w:lang w:val="es-ES_tradnl"/>
        </w:rPr>
        <w:t xml:space="preserve">Saint Kitts y Nevis, Samoa, </w:t>
      </w:r>
      <w:r w:rsidR="00767A8D" w:rsidRPr="002B72DB">
        <w:rPr>
          <w:lang w:val="es-ES_tradnl"/>
        </w:rPr>
        <w:t xml:space="preserve">San Marino, Santo Tomé y Príncipe, </w:t>
      </w:r>
      <w:r w:rsidRPr="002B72DB">
        <w:rPr>
          <w:lang w:val="es-ES_tradnl"/>
        </w:rPr>
        <w:t xml:space="preserve">Senegal, Serbia, Seychelles, </w:t>
      </w:r>
      <w:r w:rsidR="00767A8D" w:rsidRPr="002B72DB">
        <w:rPr>
          <w:lang w:val="es-ES_tradnl"/>
        </w:rPr>
        <w:t xml:space="preserve">Sierra Leona, </w:t>
      </w:r>
      <w:r w:rsidRPr="002B72DB">
        <w:rPr>
          <w:lang w:val="es-ES_tradnl"/>
        </w:rPr>
        <w:t xml:space="preserve">Somalia, Sri Lanka, Sudáfrica, Sudán, Suecia, Suiza, Suriname, </w:t>
      </w:r>
      <w:r w:rsidR="00767A8D" w:rsidRPr="002B72DB">
        <w:rPr>
          <w:lang w:val="es-ES_tradnl"/>
        </w:rPr>
        <w:t xml:space="preserve">Swazilandia, Tailandia, </w:t>
      </w:r>
      <w:r w:rsidRPr="002B72DB">
        <w:rPr>
          <w:lang w:val="es-ES_tradnl"/>
        </w:rPr>
        <w:t xml:space="preserve">Tayikistán, Timor Oriental, Togo, </w:t>
      </w:r>
      <w:r w:rsidR="00767A8D" w:rsidRPr="002B72DB">
        <w:rPr>
          <w:lang w:val="es-ES_tradnl"/>
        </w:rPr>
        <w:t xml:space="preserve">Túnez, </w:t>
      </w:r>
      <w:r w:rsidRPr="002B72DB">
        <w:rPr>
          <w:lang w:val="es-ES_tradnl"/>
        </w:rPr>
        <w:t xml:space="preserve">Tuvalu, Ucrania, Uganda, Unión Europea, Uruguay, Venezuela, Viet Nam, </w:t>
      </w:r>
      <w:r w:rsidR="000E6987" w:rsidRPr="002B72DB">
        <w:rPr>
          <w:lang w:val="es-ES_tradnl"/>
        </w:rPr>
        <w:t>Yem</w:t>
      </w:r>
      <w:r w:rsidR="00096B93" w:rsidRPr="002B72DB">
        <w:rPr>
          <w:lang w:val="es-ES_tradnl"/>
        </w:rPr>
        <w:t>e</w:t>
      </w:r>
      <w:r w:rsidR="000E6987" w:rsidRPr="002B72DB">
        <w:rPr>
          <w:lang w:val="es-ES_tradnl"/>
        </w:rPr>
        <w:t xml:space="preserve">n, </w:t>
      </w:r>
      <w:r w:rsidRPr="002B72DB">
        <w:rPr>
          <w:lang w:val="es-ES_tradnl"/>
        </w:rPr>
        <w:t>Zambia y Zimbabwe</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spacing w:after="80"/>
        <w:rPr>
          <w:rFonts w:eastAsia="Malgun Gothic" w:cs="Times New Roman"/>
          <w:kern w:val="22"/>
          <w:szCs w:val="22"/>
          <w:lang w:val="es-ES_tradnl"/>
        </w:rPr>
      </w:pPr>
      <w:r w:rsidRPr="002B72DB">
        <w:rPr>
          <w:lang w:val="es-ES_tradnl"/>
        </w:rPr>
        <w:lastRenderedPageBreak/>
        <w:t>Se examinó cada una de las EPANB y se establecieron correspondencias entre sus metas nacionales o compromisos similares y las Metas de Aichi para la Diversidad Biológica</w:t>
      </w:r>
      <w:r w:rsidR="00096B93" w:rsidRPr="00D04188">
        <w:rPr>
          <w:rStyle w:val="FootnoteReference"/>
          <w:rFonts w:eastAsia="Malgun Gothic"/>
          <w:kern w:val="22"/>
          <w:sz w:val="22"/>
          <w:szCs w:val="22"/>
          <w:u w:val="none"/>
          <w:vertAlign w:val="superscript"/>
          <w:lang w:val="es-ES_tradnl"/>
        </w:rPr>
        <w:footnoteReference w:id="7"/>
      </w:r>
      <w:r w:rsidRPr="002B72DB">
        <w:rPr>
          <w:lang w:val="es-ES_tradnl"/>
        </w:rPr>
        <w:t xml:space="preserve">. </w:t>
      </w:r>
      <w:r w:rsidR="00096B93" w:rsidRPr="002B72DB">
        <w:rPr>
          <w:lang w:val="es-ES_tradnl"/>
        </w:rPr>
        <w:t>Un total de</w:t>
      </w:r>
      <w:r w:rsidR="00F87952">
        <w:rPr>
          <w:lang w:val="es-ES_tradnl"/>
        </w:rPr>
        <w:t xml:space="preserve"> </w:t>
      </w:r>
      <w:r w:rsidR="00096B93" w:rsidRPr="002B72DB">
        <w:rPr>
          <w:lang w:val="es-ES_tradnl"/>
        </w:rPr>
        <w:t>48</w:t>
      </w:r>
      <w:r w:rsidRPr="002B72DB">
        <w:rPr>
          <w:lang w:val="es-ES_tradnl"/>
        </w:rPr>
        <w:t> por ciento de las Partes que habían proporcionado EPANB actualizadas habían establecido correspondencias entres sus metas nacionales (o compromisos similares) y las Metas de Aichi para la Diversidad Biológica o bien directamente en sus EPANB o bien en sus informes nacionales. En los casos en los que se habían establecido correspondencias, estas fueron utilizadas en la evaluación. En aquellos casos en los que no se habían establecido estas correspondencias, la Secretaría clasificó cada meta nacional según la meta de Aichi para la Diversidad Biológica con la que más directamente estaba relacionada. Cuando una meta nacional estaba relacionada con varias Metas de Aichi para la Diversidad Biológica, también se tuvo en cuenta esta circunstancia en la evaluación clasificando la meta en función de esas varias Metas de Aichi para la Diversidad Biológica. Después se evaluaron las metas nacionales o compromisos similares (como puedan ser prioridades, estrategias</w:t>
      </w:r>
      <w:r w:rsidR="00096B93" w:rsidRPr="002B72DB">
        <w:rPr>
          <w:lang w:val="es-ES_tradnl"/>
        </w:rPr>
        <w:t>, objetivos</w:t>
      </w:r>
      <w:r w:rsidRPr="002B72DB">
        <w:rPr>
          <w:lang w:val="es-ES_tradnl"/>
        </w:rPr>
        <w:t xml:space="preserve"> o proyectos nacionales) en función del alcance y el nivel de ambición establecidos en las Metas de Aichi para la Diversidad Biológica. Asimismo se consideró cualquier medida asociada, meta secundaria, meta para un bioma específico o meta para un ecosistema específico relacionadas con la meta nacional. Después se clasificaron las metas y compromisos similares de cada EPANB en </w:t>
      </w:r>
      <w:r w:rsidR="00096B93" w:rsidRPr="002B72DB">
        <w:rPr>
          <w:lang w:val="es-ES_tradnl"/>
        </w:rPr>
        <w:t>cuatro</w:t>
      </w:r>
      <w:r w:rsidRPr="002B72DB">
        <w:rPr>
          <w:lang w:val="es-ES_tradnl"/>
        </w:rPr>
        <w:t xml:space="preserve"> categorías</w:t>
      </w:r>
      <w:r w:rsidRPr="002B72DB">
        <w:rPr>
          <w:rFonts w:eastAsia="Malgun Gothic" w:cs="Times New Roman"/>
          <w:kern w:val="22"/>
          <w:szCs w:val="22"/>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color w:val="333333"/>
          <w:shd w:val="clear" w:color="auto" w:fill="FFFFFF"/>
          <w:lang w:val="es-ES_tradnl"/>
        </w:rPr>
        <w:t>a)</w:t>
      </w:r>
      <w:r w:rsidRPr="002B72DB">
        <w:rPr>
          <w:rFonts w:cs="Times New Roman"/>
          <w:color w:val="333333"/>
          <w:shd w:val="clear" w:color="auto" w:fill="FFFFFF"/>
          <w:lang w:val="es-ES_tradnl"/>
        </w:rPr>
        <w:tab/>
      </w:r>
      <w:r w:rsidRPr="002B72DB">
        <w:rPr>
          <w:i/>
          <w:color w:val="333333"/>
          <w:shd w:val="clear" w:color="auto" w:fill="FFFFFF"/>
          <w:lang w:val="es-ES_tradnl"/>
        </w:rPr>
        <w:t>Meta nacional que sobrepasa el alcance o el nivel de ambición de la meta de Aichi</w:t>
      </w:r>
      <w:r w:rsidRPr="002B72DB">
        <w:rPr>
          <w:color w:val="333333"/>
          <w:kern w:val="22"/>
          <w:shd w:val="clear" w:color="auto" w:fill="FFFFFF"/>
          <w:lang w:val="es-ES_tradnl"/>
        </w:rPr>
        <w:t xml:space="preserve"> – Esta categoría indica que la meta nacional o el compromiso similar son más ambiciosos que la meta de Aichi en cuestión. Se podría deber a que la meta tiene umbrales cuantitativos más altos o contiene compromisos que sobrepasan a los establecidos en la meta de Aichi en cuestión</w:t>
      </w:r>
      <w:r w:rsidRPr="002B72DB">
        <w:rPr>
          <w:rFonts w:cs="Times New Roman"/>
          <w:color w:val="333333"/>
          <w:kern w:val="22"/>
          <w:szCs w:val="22"/>
          <w:shd w:val="clear" w:color="auto" w:fill="FFFFFF"/>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color w:val="333333"/>
          <w:shd w:val="clear" w:color="auto" w:fill="FFFFFF"/>
          <w:lang w:val="es-ES_tradnl"/>
        </w:rPr>
        <w:t>b)</w:t>
      </w:r>
      <w:r w:rsidRPr="002B72DB">
        <w:rPr>
          <w:rFonts w:cs="Times New Roman"/>
          <w:color w:val="333333"/>
          <w:shd w:val="clear" w:color="auto" w:fill="FFFFFF"/>
          <w:lang w:val="es-ES_tradnl"/>
        </w:rPr>
        <w:tab/>
      </w:r>
      <w:r w:rsidRPr="002B72DB">
        <w:rPr>
          <w:i/>
          <w:color w:val="333333"/>
          <w:shd w:val="clear" w:color="auto" w:fill="FFFFFF"/>
          <w:lang w:val="es-ES_tradnl"/>
        </w:rPr>
        <w:t>Meta nacional equivalente a la meta de Aichi</w:t>
      </w:r>
      <w:r w:rsidRPr="002B72DB">
        <w:rPr>
          <w:color w:val="333333"/>
          <w:kern w:val="22"/>
          <w:shd w:val="clear" w:color="auto" w:fill="FFFFFF"/>
          <w:lang w:val="es-ES_tradnl"/>
        </w:rPr>
        <w:t xml:space="preserve"> – Esta categoría indica que en líneas generales la meta nacional o el compromiso similar son equivalentes en alcance y nivel de ambición a la meta de Aichi en cuestión</w:t>
      </w:r>
      <w:r w:rsidRPr="002B72DB">
        <w:rPr>
          <w:rFonts w:cs="Times New Roman"/>
          <w:color w:val="333333"/>
          <w:kern w:val="22"/>
          <w:szCs w:val="22"/>
          <w:shd w:val="clear" w:color="auto" w:fill="FFFFFF"/>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color w:val="333333"/>
          <w:shd w:val="clear" w:color="auto" w:fill="FFFFFF"/>
          <w:lang w:val="es-ES_tradnl"/>
        </w:rPr>
        <w:t>c)</w:t>
      </w:r>
      <w:r w:rsidRPr="002B72DB">
        <w:rPr>
          <w:rFonts w:cs="Times New Roman"/>
          <w:color w:val="333333"/>
          <w:shd w:val="clear" w:color="auto" w:fill="FFFFFF"/>
          <w:lang w:val="es-ES_tradnl"/>
        </w:rPr>
        <w:tab/>
      </w:r>
      <w:r w:rsidRPr="002B72DB">
        <w:rPr>
          <w:i/>
          <w:color w:val="333333"/>
          <w:shd w:val="clear" w:color="auto" w:fill="FFFFFF"/>
          <w:lang w:val="es-ES_tradnl"/>
        </w:rPr>
        <w:t>Meta nacional menos ambiciosa que la meta de Aichi o que no aborda todos sus elementos</w:t>
      </w:r>
      <w:r w:rsidRPr="002B72DB">
        <w:rPr>
          <w:color w:val="333333"/>
          <w:kern w:val="22"/>
          <w:shd w:val="clear" w:color="auto" w:fill="FFFFFF"/>
          <w:lang w:val="es-ES_tradnl"/>
        </w:rPr>
        <w:t xml:space="preserve"> – Esta categoría indica que la meta nacional tiene un umbral más bajo para ciertas cuestiones o no aborda claramente todos los elementos de la meta de Aichi en cuestión. Esta categoría incluye metas que son significativamente más bajas que las Metas de Aichi para la Diversidad Biológica así como metas que una Parte ha relacionado con una meta de Aichi sin que la correspondencia entre ellas esté clara</w:t>
      </w:r>
      <w:r w:rsidRPr="002B72DB">
        <w:rPr>
          <w:rFonts w:cs="Times New Roman"/>
          <w:color w:val="333333"/>
          <w:kern w:val="22"/>
          <w:szCs w:val="22"/>
          <w:shd w:val="clear" w:color="auto" w:fill="FFFFFF"/>
          <w:lang w:val="es-ES_tradnl"/>
        </w:rPr>
        <w:t>;</w:t>
      </w:r>
    </w:p>
    <w:p w:rsidR="00CD7A59" w:rsidRPr="002B72DB" w:rsidRDefault="00CD7A59">
      <w:pPr>
        <w:pStyle w:val="Para1"/>
        <w:suppressLineNumbers/>
        <w:suppressAutoHyphens/>
        <w:ind w:firstLine="720"/>
        <w:rPr>
          <w:rFonts w:eastAsia="Malgun Gothic" w:cs="Times New Roman"/>
          <w:kern w:val="22"/>
          <w:szCs w:val="22"/>
          <w:lang w:val="es-ES_tradnl"/>
        </w:rPr>
      </w:pPr>
      <w:r w:rsidRPr="002B72DB">
        <w:rPr>
          <w:rFonts w:cs="Times New Roman"/>
          <w:color w:val="333333"/>
          <w:shd w:val="clear" w:color="auto" w:fill="FFFFFF"/>
          <w:lang w:val="es-ES_tradnl"/>
        </w:rPr>
        <w:t>d)</w:t>
      </w:r>
      <w:r w:rsidRPr="002B72DB">
        <w:rPr>
          <w:rFonts w:cs="Times New Roman"/>
          <w:color w:val="333333"/>
          <w:shd w:val="clear" w:color="auto" w:fill="FFFFFF"/>
          <w:lang w:val="es-ES_tradnl"/>
        </w:rPr>
        <w:tab/>
      </w:r>
      <w:r w:rsidRPr="002B72DB">
        <w:rPr>
          <w:i/>
          <w:color w:val="333333"/>
          <w:shd w:val="clear" w:color="auto" w:fill="FFFFFF"/>
          <w:lang w:val="es-ES_tradnl"/>
        </w:rPr>
        <w:t xml:space="preserve">Ninguna meta nacional – </w:t>
      </w:r>
      <w:r w:rsidRPr="002B72DB">
        <w:rPr>
          <w:color w:val="333333"/>
          <w:kern w:val="22"/>
          <w:shd w:val="clear" w:color="auto" w:fill="FFFFFF"/>
          <w:lang w:val="es-ES_tradnl"/>
        </w:rPr>
        <w:t>La EPANB no contenía ninguna meta o compromiso similar relacionados con la meta de Aichi en cuestión</w:t>
      </w:r>
      <w:r w:rsidRPr="002B72DB">
        <w:rPr>
          <w:rFonts w:cs="Times New Roman"/>
          <w:color w:val="333333"/>
          <w:kern w:val="22"/>
          <w:szCs w:val="22"/>
          <w:shd w:val="clear" w:color="auto" w:fill="FFFFFF"/>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Es importante señalar que esta evaluación se realizó teniendo en cuenta el alcance y el nivel de ambición de la meta nacional en comparación con la meta de Aichi en cuestión. No se tuvieron en cuenta las circunstancias nacionales de los países. Por lo tanto, es posible que algunas metas que al compararlas son más bajas que la meta de Aichi en cuestión aun así sean ambiciosas si se tiene en cuenta el punto de partida del país. Por eso no se puede utilizar esta evaluación para establecer comparaciones entre países, sino sólo como base de un debate sobre el progreso global hacia las Metas de Aichi para la Diversidad Biológica</w:t>
      </w:r>
      <w:r w:rsidRPr="002B72DB">
        <w:rPr>
          <w:rFonts w:eastAsia="Malgun Gothic" w:cs="Times New Roman"/>
          <w:kern w:val="22"/>
          <w:szCs w:val="22"/>
          <w:lang w:val="es-ES_tradnl"/>
        </w:rPr>
        <w:t>.</w:t>
      </w:r>
    </w:p>
    <w:p w:rsidR="00CD7A59" w:rsidRPr="002B72DB" w:rsidRDefault="00CD7A59">
      <w:pPr>
        <w:suppressLineNumbers/>
        <w:suppressAutoHyphens/>
        <w:spacing w:after="120"/>
        <w:jc w:val="center"/>
        <w:rPr>
          <w:rFonts w:cs="Times New Roman"/>
          <w:b/>
          <w:bCs/>
          <w:snapToGrid w:val="0"/>
          <w:kern w:val="22"/>
          <w:szCs w:val="22"/>
          <w:lang w:val="es-ES_tradnl"/>
        </w:rPr>
      </w:pPr>
      <w:r w:rsidRPr="002B72DB">
        <w:rPr>
          <w:rFonts w:cs="Times New Roman"/>
          <w:b/>
          <w:bCs/>
          <w:lang w:val="es-ES_tradnl"/>
        </w:rPr>
        <w:t>B.</w:t>
      </w:r>
      <w:r w:rsidRPr="002B72DB">
        <w:rPr>
          <w:rFonts w:cs="Times New Roman"/>
          <w:b/>
          <w:bCs/>
          <w:lang w:val="es-ES_tradnl"/>
        </w:rPr>
        <w:tab/>
      </w:r>
      <w:r w:rsidRPr="002B72DB">
        <w:rPr>
          <w:b/>
          <w:snapToGrid w:val="0"/>
          <w:kern w:val="22"/>
          <w:lang w:val="es-ES_tradnl"/>
        </w:rPr>
        <w:t>Quintos informes nacionales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En </w:t>
      </w:r>
      <w:r w:rsidR="00096B93" w:rsidRPr="002B72DB">
        <w:rPr>
          <w:lang w:val="es-ES_tradnl"/>
        </w:rPr>
        <w:t xml:space="preserve">este análisis </w:t>
      </w:r>
      <w:r w:rsidRPr="002B72DB">
        <w:rPr>
          <w:lang w:val="es-ES_tradnl"/>
        </w:rPr>
        <w:t xml:space="preserve">se consideraron los quintos informes nacionales de un total de </w:t>
      </w:r>
      <w:r w:rsidR="00096B93" w:rsidRPr="002B72DB">
        <w:rPr>
          <w:lang w:val="es-ES_tradnl"/>
        </w:rPr>
        <w:t xml:space="preserve">191 </w:t>
      </w:r>
      <w:r w:rsidRPr="002B72DB">
        <w:rPr>
          <w:lang w:val="es-ES_tradnl"/>
        </w:rPr>
        <w:t>Partes</w:t>
      </w:r>
      <w:r w:rsidR="00096B93" w:rsidRPr="00CE6E7C">
        <w:rPr>
          <w:rStyle w:val="FootnoteReference"/>
          <w:kern w:val="22"/>
          <w:sz w:val="22"/>
          <w:szCs w:val="22"/>
          <w:u w:val="none"/>
          <w:vertAlign w:val="superscript"/>
          <w:lang w:val="es-ES_tradnl"/>
        </w:rPr>
        <w:footnoteReference w:id="8"/>
      </w:r>
      <w:r w:rsidRPr="002B72DB">
        <w:rPr>
          <w:rFonts w:eastAsia="Malgun Gothic" w:cs="Times New Roman"/>
          <w:kern w:val="22"/>
          <w:szCs w:val="22"/>
          <w:lang w:val="es-ES_tradnl"/>
        </w:rPr>
        <w:t>.</w:t>
      </w:r>
      <w:r w:rsidRPr="002B72DB">
        <w:rPr>
          <w:rFonts w:eastAsia="Malgun Gothic" w:cs="Times New Roman"/>
          <w:kern w:val="22"/>
          <w:szCs w:val="22"/>
          <w:vertAlign w:val="superscript"/>
          <w:lang w:val="es-ES_tradnl"/>
        </w:rPr>
        <w:t xml:space="preserve"> </w:t>
      </w:r>
      <w:r w:rsidRPr="002B72DB">
        <w:rPr>
          <w:lang w:val="es-ES_tradnl"/>
        </w:rPr>
        <w:t>La información sobre la situación, tendencias y presiones de la diversidad biológica, así como la información sobre las diferentes acciones que los países dicen que han emprendido o van a emprender en un futuro próximo se utilizó para clasificar el progreso nacional hacia cada una de las metas de Aichi en una de seis categorías</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lastRenderedPageBreak/>
        <w:t>Aproximadamente el</w:t>
      </w:r>
      <w:r w:rsidR="00C3337A" w:rsidRPr="002B72DB">
        <w:rPr>
          <w:lang w:val="es-ES_tradnl"/>
        </w:rPr>
        <w:t xml:space="preserve"> </w:t>
      </w:r>
      <w:r w:rsidR="00442910" w:rsidRPr="002B72DB">
        <w:rPr>
          <w:lang w:val="es-ES_tradnl"/>
        </w:rPr>
        <w:t>46</w:t>
      </w:r>
      <w:r w:rsidRPr="002B72DB">
        <w:rPr>
          <w:lang w:val="es-ES_tradnl"/>
        </w:rPr>
        <w:t> por ciento de los informes nacionales contenía una evaluación explícita del progreso hacia las metas de Aichi. En esos casos se utilizó la evaluación del país pero encuadrándola en una de seis categorías con el fin de permitir que la información de todos los informes nacionales se pudiese sumar para obtener un panorama global del progreso hacia las Metas de Aichi para la Diversidad Biológica. En los casos en los que no se ofrecía una evaluación del progreso, la Secretaría se encargó de hacerla siguiendo las líneas expuestas anteriormente</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spacing w:after="80"/>
        <w:rPr>
          <w:rFonts w:eastAsia="Malgun Gothic" w:cs="Times New Roman"/>
          <w:kern w:val="22"/>
          <w:szCs w:val="22"/>
          <w:lang w:val="es-ES_tradnl"/>
        </w:rPr>
      </w:pPr>
      <w:r w:rsidRPr="002B72DB">
        <w:rPr>
          <w:lang w:val="es-ES_tradnl"/>
        </w:rPr>
        <w:t xml:space="preserve">Las seis categorías utilizadas en esta evaluación, coherentes con las utilizadas en la cuarta edición de la </w:t>
      </w:r>
      <w:r w:rsidRPr="002B72DB">
        <w:rPr>
          <w:i/>
          <w:kern w:val="22"/>
          <w:lang w:val="es-ES_tradnl"/>
        </w:rPr>
        <w:t>Perspectiva Mundial sobre la Diversidad Biológica</w:t>
      </w:r>
      <w:r w:rsidRPr="002B72DB">
        <w:rPr>
          <w:lang w:val="es-ES_tradnl"/>
        </w:rPr>
        <w:t>, son</w:t>
      </w:r>
      <w:r w:rsidRPr="002B72DB">
        <w:rPr>
          <w:rFonts w:eastAsia="Malgun Gothic" w:cs="Times New Roman"/>
          <w:kern w:val="22"/>
          <w:szCs w:val="22"/>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lang w:val="es-ES_tradnl"/>
        </w:rPr>
        <w:t>a)</w:t>
      </w:r>
      <w:r w:rsidRPr="002B72DB">
        <w:rPr>
          <w:rFonts w:cs="Times New Roman"/>
          <w:lang w:val="es-ES_tradnl"/>
        </w:rPr>
        <w:tab/>
      </w:r>
      <w:r w:rsidRPr="002B72DB">
        <w:rPr>
          <w:i/>
          <w:lang w:val="es-ES_tradnl"/>
        </w:rPr>
        <w:t>En camino a superar la meta</w:t>
      </w:r>
      <w:r w:rsidRPr="002B72DB">
        <w:rPr>
          <w:lang w:val="es-ES_tradnl"/>
        </w:rPr>
        <w:t xml:space="preserve"> </w:t>
      </w:r>
      <w:r w:rsidRPr="002B72DB">
        <w:rPr>
          <w:i/>
          <w:lang w:val="es-ES_tradnl"/>
        </w:rPr>
        <w:t xml:space="preserve">– </w:t>
      </w:r>
      <w:r w:rsidRPr="002B72DB">
        <w:rPr>
          <w:lang w:val="es-ES_tradnl"/>
        </w:rPr>
        <w:t>Una meta de esta categoría indica que las acciones nacionales emprendidas permitirán sobrepasar los criterios/umbrales establecidos por la meta de Aichi en cuestión. En el caso de metas con elementos cuantitativos esta categoría significaría que se sobrepasará el umbral identificado. En el caso de metas cualitativas, significaría que las diferentes acciones o condiciones que se deben cumplir han sido sobrepasadas o está previsto sobrepasarlas</w:t>
      </w:r>
      <w:r w:rsidRPr="002B72DB">
        <w:rPr>
          <w:rFonts w:cs="Times New Roman"/>
          <w:kern w:val="22"/>
          <w:szCs w:val="22"/>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lang w:val="es-ES_tradnl"/>
        </w:rPr>
        <w:t>b)</w:t>
      </w:r>
      <w:r w:rsidRPr="002B72DB">
        <w:rPr>
          <w:rFonts w:cs="Times New Roman"/>
          <w:lang w:val="es-ES_tradnl"/>
        </w:rPr>
        <w:tab/>
      </w:r>
      <w:r w:rsidRPr="002B72DB">
        <w:rPr>
          <w:i/>
          <w:lang w:val="es-ES_tradnl"/>
        </w:rPr>
        <w:t xml:space="preserve">En camino a alcanzar la meta – </w:t>
      </w:r>
      <w:r w:rsidRPr="002B72DB">
        <w:rPr>
          <w:lang w:val="es-ES_tradnl"/>
        </w:rPr>
        <w:t>Esta categoría indica que las acciones que se han emprendido y la situación actual de las cuestiones abordadas por la meta de Aichi en cuestión sugieren que se alcanzará la meta en el plazo previsto</w:t>
      </w:r>
      <w:r w:rsidRPr="002B72DB">
        <w:rPr>
          <w:rFonts w:cs="Times New Roman"/>
          <w:kern w:val="22"/>
          <w:szCs w:val="22"/>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lang w:val="es-ES_tradnl"/>
        </w:rPr>
        <w:t>c)</w:t>
      </w:r>
      <w:r w:rsidRPr="002B72DB">
        <w:rPr>
          <w:rFonts w:cs="Times New Roman"/>
          <w:lang w:val="es-ES_tradnl"/>
        </w:rPr>
        <w:tab/>
      </w:r>
      <w:r w:rsidRPr="002B72DB">
        <w:rPr>
          <w:i/>
          <w:lang w:val="es-ES_tradnl"/>
        </w:rPr>
        <w:t>Se ha avanzado hacia la meta, pero a un ritmo insuficiente</w:t>
      </w:r>
      <w:r w:rsidRPr="002B72DB">
        <w:rPr>
          <w:lang w:val="es-ES_tradnl"/>
        </w:rPr>
        <w:t xml:space="preserve"> – Esta categoría indica que se han realizado progresos hacia el logro de la meta de Aichi en cuestión desde que se estableció. El progreso podría consistir en acciones que se están realizando o en mejoras concretas de la situación de las cuestiones que se están abordando. No obstante, si bien esta categoría indica una situación de mejora, el progreso que se ha hecho será insuficiente para alcanzar la meta antes de que termine el plazo</w:t>
      </w:r>
      <w:r w:rsidRPr="002B72DB">
        <w:rPr>
          <w:rFonts w:cs="Times New Roman"/>
          <w:kern w:val="22"/>
          <w:szCs w:val="22"/>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lang w:val="es-ES_tradnl"/>
        </w:rPr>
        <w:t>d)</w:t>
      </w:r>
      <w:r w:rsidRPr="002B72DB">
        <w:rPr>
          <w:rFonts w:cs="Times New Roman"/>
          <w:lang w:val="es-ES_tradnl"/>
        </w:rPr>
        <w:tab/>
      </w:r>
      <w:r w:rsidRPr="002B72DB">
        <w:rPr>
          <w:i/>
          <w:lang w:val="es-ES_tradnl"/>
        </w:rPr>
        <w:t xml:space="preserve">Sin progreso significativo – </w:t>
      </w:r>
      <w:r w:rsidRPr="002B72DB">
        <w:rPr>
          <w:lang w:val="es-ES_tradnl"/>
        </w:rPr>
        <w:t>Esta categoría indica que desde que se estableció la meta de Aichi en cuestión no ha habido ningún avance significativo hacia ella o no ha habido un deterioro significativo. Las evaluaciones con esta categoría implican que no se han emprendido ni se han previsto para un futuro próximo acciones importantes para alcanzar la meta, y que la situación general de las cuestiones que está abordando la meta no ha mejorado ni empeorado</w:t>
      </w:r>
      <w:r w:rsidRPr="002B72DB">
        <w:rPr>
          <w:rFonts w:cs="Times New Roman"/>
          <w:kern w:val="22"/>
          <w:szCs w:val="22"/>
          <w:lang w:val="es-ES_tradnl"/>
        </w:rPr>
        <w:t>;</w:t>
      </w:r>
    </w:p>
    <w:p w:rsidR="00CD7A59" w:rsidRPr="002B72DB" w:rsidRDefault="00CD7A59">
      <w:pPr>
        <w:pStyle w:val="Para1"/>
        <w:suppressLineNumbers/>
        <w:suppressAutoHyphens/>
        <w:spacing w:after="80"/>
        <w:ind w:firstLine="720"/>
        <w:rPr>
          <w:rFonts w:eastAsia="Malgun Gothic" w:cs="Times New Roman"/>
          <w:kern w:val="22"/>
          <w:szCs w:val="22"/>
          <w:lang w:val="es-ES_tradnl"/>
        </w:rPr>
      </w:pPr>
      <w:r w:rsidRPr="002B72DB">
        <w:rPr>
          <w:rFonts w:cs="Times New Roman"/>
          <w:lang w:val="es-ES_tradnl"/>
        </w:rPr>
        <w:t>e)</w:t>
      </w:r>
      <w:r w:rsidRPr="002B72DB">
        <w:rPr>
          <w:rFonts w:cs="Times New Roman"/>
          <w:lang w:val="es-ES_tradnl"/>
        </w:rPr>
        <w:tab/>
      </w:r>
      <w:r w:rsidRPr="002B72DB">
        <w:rPr>
          <w:i/>
          <w:lang w:val="es-ES_tradnl"/>
        </w:rPr>
        <w:t>Nos alejamos de la meta</w:t>
      </w:r>
      <w:r w:rsidRPr="002B72DB">
        <w:rPr>
          <w:lang w:val="es-ES_tradnl"/>
        </w:rPr>
        <w:t xml:space="preserve"> – Esta categoría indica que las cuestiones que la meta de Aichi trata de abordar están empeorando. Se podría deber a que no se han emprendido acciones o a que las que se han emprendido han sido ineficaces. También se podría deber a que están aumentando las presiones o a otros cambios de las circunstancias nacionales</w:t>
      </w:r>
      <w:r w:rsidRPr="002B72DB">
        <w:rPr>
          <w:rFonts w:cs="Times New Roman"/>
          <w:kern w:val="22"/>
          <w:szCs w:val="22"/>
          <w:lang w:val="es-ES_tradnl"/>
        </w:rPr>
        <w:t>;</w:t>
      </w:r>
    </w:p>
    <w:p w:rsidR="00CD7A59" w:rsidRPr="002B72DB" w:rsidRDefault="00CD7A59">
      <w:pPr>
        <w:pStyle w:val="Para1"/>
        <w:suppressLineNumbers/>
        <w:suppressAutoHyphens/>
        <w:ind w:firstLine="720"/>
        <w:rPr>
          <w:rFonts w:eastAsia="Malgun Gothic" w:cs="Times New Roman"/>
          <w:kern w:val="22"/>
          <w:szCs w:val="22"/>
          <w:lang w:val="es-ES_tradnl"/>
        </w:rPr>
      </w:pPr>
      <w:r w:rsidRPr="002B72DB">
        <w:rPr>
          <w:rFonts w:cs="Times New Roman"/>
          <w:lang w:val="es-ES_tradnl"/>
        </w:rPr>
        <w:t>f)</w:t>
      </w:r>
      <w:r w:rsidRPr="002B72DB">
        <w:rPr>
          <w:rFonts w:cs="Times New Roman"/>
          <w:lang w:val="es-ES_tradnl"/>
        </w:rPr>
        <w:tab/>
      </w:r>
      <w:r w:rsidRPr="002B72DB">
        <w:rPr>
          <w:i/>
          <w:lang w:val="es-ES_tradnl"/>
        </w:rPr>
        <w:t>No hay información –</w:t>
      </w:r>
      <w:r w:rsidRPr="002B72DB">
        <w:rPr>
          <w:lang w:val="es-ES_tradnl"/>
        </w:rPr>
        <w:t xml:space="preserve"> El informe no contenía información suficiente para poder evaluar el progreso hacia la meta de Aichi en cuestión, ni siquiera con un mínimo de fiabilidad</w:t>
      </w:r>
      <w:r w:rsidRPr="002B72DB">
        <w:rPr>
          <w:rFonts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Es importante señalar que la evaluación presentada en esta nota refleja el nivel esperado de progreso al llegar a la fecha final de la meta de Aichi en cuestión teniendo en cuenta la situación y las acciones según han sido presentadas en los quintos informes nacionales. Por consiguiente las categorías indican la trayectoria actual del progreso y dan por sentado que esta no va a cambiar entre el momento </w:t>
      </w:r>
      <w:r w:rsidR="00442910" w:rsidRPr="002B72DB">
        <w:rPr>
          <w:lang w:val="es-ES_tradnl"/>
        </w:rPr>
        <w:t xml:space="preserve">en que se elaboró el informe nacional </w:t>
      </w:r>
      <w:r w:rsidRPr="002B72DB">
        <w:rPr>
          <w:lang w:val="es-ES_tradnl"/>
        </w:rPr>
        <w:t>y la fecha final. Además esta evaluación no tiene en cuenta las circunstancias nacionales o de referencia. Por consiguiente no se puede utilizar la información para comparar el progreso de los distintos países</w:t>
      </w:r>
      <w:r w:rsidR="00C3337A" w:rsidRPr="002B72DB">
        <w:rPr>
          <w:lang w:val="es-ES_tradnl"/>
        </w:rPr>
        <w:t>;</w:t>
      </w:r>
      <w:r w:rsidRPr="002B72DB">
        <w:rPr>
          <w:lang w:val="es-ES_tradnl"/>
        </w:rPr>
        <w:t xml:space="preserve"> solo es adecuada para generar un panorama global del progreso hacia las Metas de Aichi para la Diversidad Biológica</w:t>
      </w:r>
      <w:r w:rsidRPr="002B72DB">
        <w:rPr>
          <w:rFonts w:eastAsia="Malgun Gothic" w:cs="Times New Roman"/>
          <w:kern w:val="22"/>
          <w:szCs w:val="22"/>
          <w:lang w:val="es-ES_tradnl"/>
        </w:rPr>
        <w:t>.</w:t>
      </w:r>
    </w:p>
    <w:p w:rsidR="00CD7A59" w:rsidRPr="002B72DB" w:rsidRDefault="00CD7A59" w:rsidP="00CD7A59">
      <w:pPr>
        <w:numPr>
          <w:ilvl w:val="0"/>
          <w:numId w:val="12"/>
        </w:numPr>
        <w:suppressLineNumbers/>
        <w:tabs>
          <w:tab w:val="left" w:pos="1418"/>
        </w:tabs>
        <w:suppressAutoHyphens/>
        <w:spacing w:before="120" w:after="120"/>
        <w:ind w:left="1418"/>
        <w:jc w:val="left"/>
        <w:rPr>
          <w:rFonts w:cs="Times New Roman"/>
          <w:b/>
          <w:bCs/>
          <w:lang w:val="es-ES_tradnl"/>
        </w:rPr>
      </w:pPr>
      <w:r w:rsidRPr="002B72DB">
        <w:rPr>
          <w:b/>
          <w:lang w:val="es-ES_tradnl"/>
        </w:rPr>
        <w:t>METAS NACIONALES EXTRAÍDAS DE LAS ESTRATEGIAS Y PLANES DE ACCIÓN NACIONALES DE DIVERSIDAD BIOLÓGICA ESTABLECIDAS DE CONFORMIDAD CON LAS METAS DE AICHI PARA LA DIVERSIDAD BIOLÓGICA Y PROGRESO HACIA LAS METAS DE AICHI PARA LA DIVERSIDAD BIOLÓGICA</w:t>
      </w:r>
    </w:p>
    <w:p w:rsidR="00CD7A59" w:rsidRPr="002B72DB" w:rsidRDefault="00CD7A59">
      <w:pPr>
        <w:suppressLineNumbers/>
        <w:suppressAutoHyphens/>
        <w:spacing w:after="120"/>
        <w:rPr>
          <w:rFonts w:cs="Times New Roman"/>
          <w:i/>
          <w:iCs/>
          <w:color w:val="333333"/>
          <w:shd w:val="clear" w:color="auto" w:fill="FFFFFF"/>
          <w:lang w:val="es-ES_tradnl"/>
        </w:rPr>
      </w:pPr>
      <w:r w:rsidRPr="002B72DB">
        <w:rPr>
          <w:i/>
          <w:color w:val="333333"/>
          <w:shd w:val="clear" w:color="auto" w:fill="FFFFFF"/>
          <w:lang w:val="es-ES_tradnl"/>
        </w:rPr>
        <w:t>Meta 1 – Para 2020, a más tardar, las personas tendrán conciencia del valor de la diversidad biológica y de los pasos que pueden seguir para su conservación y utilización sostenible</w:t>
      </w:r>
    </w:p>
    <w:p w:rsidR="00CD7A59" w:rsidRPr="002B72DB" w:rsidRDefault="00CD7A59" w:rsidP="00CE6E7C">
      <w:pPr>
        <w:pStyle w:val="Para1"/>
        <w:numPr>
          <w:ilvl w:val="0"/>
          <w:numId w:val="11"/>
        </w:numPr>
        <w:suppressLineNumbers/>
        <w:suppressAutoHyphens/>
        <w:rPr>
          <w:rFonts w:eastAsia="Malgun Gothic" w:cs="Times New Roman"/>
          <w:kern w:val="22"/>
          <w:szCs w:val="22"/>
          <w:lang w:val="es-ES_tradnl"/>
        </w:rPr>
      </w:pPr>
      <w:r w:rsidRPr="002B72DB">
        <w:rPr>
          <w:lang w:val="es-ES_tradnl"/>
        </w:rPr>
        <w:lastRenderedPageBreak/>
        <w:t xml:space="preserve">Aproximadamente una </w:t>
      </w:r>
      <w:r w:rsidR="00C3337A" w:rsidRPr="002B72DB">
        <w:rPr>
          <w:lang w:val="es-ES_tradnl"/>
        </w:rPr>
        <w:t xml:space="preserve">cuarta </w:t>
      </w:r>
      <w:r w:rsidRPr="002B72DB">
        <w:rPr>
          <w:lang w:val="es-ES_tradnl"/>
        </w:rPr>
        <w:t>parte (</w:t>
      </w:r>
      <w:r w:rsidR="00C3337A" w:rsidRPr="002B72DB">
        <w:rPr>
          <w:lang w:val="es-ES_tradnl"/>
        </w:rPr>
        <w:t>27 </w:t>
      </w:r>
      <w:r w:rsidRPr="002B72DB">
        <w:rPr>
          <w:lang w:val="es-ES_tradnl"/>
        </w:rPr>
        <w:t>por ciento) de las EPANB examinadas para este análisis contenía metas o compromisos nacionales con el mismo alcance y el mismo nivel de ambición que los establecidos en esta meta de Aichi</w:t>
      </w:r>
      <w:r w:rsidRPr="002B72DB">
        <w:rPr>
          <w:rFonts w:eastAsia="Malgun Gothic" w:cs="Times New Roman"/>
          <w:kern w:val="22"/>
          <w:szCs w:val="22"/>
          <w:vertAlign w:val="superscript"/>
          <w:lang w:val="es-ES_tradnl"/>
        </w:rPr>
        <w:footnoteReference w:id="9"/>
      </w:r>
      <w:r w:rsidRPr="002B72DB">
        <w:rPr>
          <w:rFonts w:eastAsia="Malgun Gothic" w:cs="Times New Roman"/>
          <w:kern w:val="22"/>
          <w:szCs w:val="22"/>
          <w:lang w:val="es-ES_tradnl"/>
        </w:rPr>
        <w:t xml:space="preserve">. </w:t>
      </w:r>
      <w:r w:rsidRPr="002B72DB">
        <w:rPr>
          <w:lang w:val="es-ES_tradnl"/>
        </w:rPr>
        <w:t>La meta 1 es una de las que más concuerda con las metas nacionales indicadas en las EPANB. Sin embargo, más de la mitad (</w:t>
      </w:r>
      <w:r w:rsidR="00C3337A" w:rsidRPr="002B72DB">
        <w:rPr>
          <w:lang w:val="es-ES_tradnl"/>
        </w:rPr>
        <w:t>61 </w:t>
      </w:r>
      <w:r w:rsidRPr="002B72DB">
        <w:rPr>
          <w:lang w:val="es-ES_tradnl"/>
        </w:rPr>
        <w:t>por ciento) de las EPANB tiene metas o compromisos nacionales que son más bajos que esta meta de Aichi o que no abordan todos los elementos de la meta. Alrededor del 12 por ciento de las EPANB no contiene ninguna meta o compromiso relacionados con esta meta de Aichi para la Diversidad Biológica. La mayoría de las metas parecen centrarse principalmente en aumentar la concienciación sobre la diversidad biológica. En comparación hay menos metas nacionales que aborden la cuestión de concienciar al público de las acciones que puede realizar para conservar la diversidad biológica</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Con respecto a los informes nacionales, el 16 por ciento de ellos sugiere que se alcanzará la meta, mientras que más de dos terceras partes (</w:t>
      </w:r>
      <w:r w:rsidR="006D0DD1" w:rsidRPr="002B72DB">
        <w:rPr>
          <w:lang w:val="es-ES_tradnl"/>
        </w:rPr>
        <w:t>69 </w:t>
      </w:r>
      <w:r w:rsidRPr="002B72DB">
        <w:rPr>
          <w:lang w:val="es-ES_tradnl"/>
        </w:rPr>
        <w:t xml:space="preserve">por ciento) contienen información que sugiere que se está avanzando hacia ella pero a un ritmo que no permitirá alcanzarla para 2020. Alrededor del </w:t>
      </w:r>
      <w:r w:rsidR="006D0DD1" w:rsidRPr="002B72DB">
        <w:rPr>
          <w:lang w:val="es-ES_tradnl"/>
        </w:rPr>
        <w:t>9 </w:t>
      </w:r>
      <w:r w:rsidRPr="002B72DB">
        <w:rPr>
          <w:lang w:val="es-ES_tradnl"/>
        </w:rPr>
        <w:t>por ciento de los informes indica que no ha habido cambios significativos y ninguno sugiere que la concienciación sobre la diversidad biológica esté empeorando. La información contenida en los informes nacionales también sugiere que las Partes están abordando ambos elementos de la meta (la concienciación pública sobre la diversidad biológica está aumentando y el público es consciente de las acciones que puede realizar), sin embargo hay menos Partes que estén realizando acciones directamente relacionadas con hacer al público consciente de las acciones que puede realizar para conservar y utilizar la diversidad biológica de manera sostenible</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color w:val="333333"/>
          <w:shd w:val="clear" w:color="auto" w:fill="FFFFFF"/>
          <w:lang w:val="es-ES_tradnl"/>
        </w:rPr>
      </w:pPr>
      <w:r w:rsidRPr="002B72DB">
        <w:rPr>
          <w:i/>
          <w:color w:val="333333"/>
          <w:shd w:val="clear" w:color="auto" w:fill="FFFFFF"/>
          <w:lang w:val="es-ES_tradnl"/>
        </w:rPr>
        <w:t>Meta 2</w:t>
      </w:r>
      <w:r w:rsidRPr="002B72DB">
        <w:rPr>
          <w:i/>
          <w:lang w:val="es-ES_tradnl"/>
        </w:rPr>
        <w:t xml:space="preserve"> – </w:t>
      </w:r>
      <w:r w:rsidRPr="002B72DB">
        <w:rPr>
          <w:i/>
          <w:color w:val="333333"/>
          <w:shd w:val="clear" w:color="auto" w:fill="FFFFFF"/>
          <w:lang w:val="es-ES_tradnl"/>
        </w:rPr>
        <w:t>Para 2020, a más tardar, los valores de la diversidad biológica habrán sido integrados en las estrategias y los procesos de planificación de desarrollo y de reducción de la pobreza nacionales y locales y se estarán integrando en los sistemas nacionales de contabilidad, según proceda, y de presentación de informes</w:t>
      </w:r>
    </w:p>
    <w:p w:rsidR="00CD7A59" w:rsidRPr="002B72DB" w:rsidRDefault="00CD7A59" w:rsidP="006D0DD1">
      <w:pPr>
        <w:pStyle w:val="Para1"/>
        <w:numPr>
          <w:ilvl w:val="0"/>
          <w:numId w:val="11"/>
        </w:numPr>
        <w:suppressLineNumbers/>
        <w:tabs>
          <w:tab w:val="clear" w:pos="360"/>
          <w:tab w:val="num" w:pos="720"/>
        </w:tabs>
        <w:suppressAutoHyphens/>
        <w:rPr>
          <w:rFonts w:eastAsia="Malgun Gothic" w:cs="Times New Roman"/>
          <w:color w:val="000000"/>
          <w:kern w:val="22"/>
          <w:szCs w:val="22"/>
          <w:lang w:val="es-ES_tradnl"/>
        </w:rPr>
      </w:pPr>
      <w:r w:rsidRPr="002B72DB">
        <w:rPr>
          <w:color w:val="333333"/>
          <w:kern w:val="22"/>
          <w:shd w:val="clear" w:color="auto" w:fill="FFFFFF"/>
          <w:lang w:val="es-ES_tradnl"/>
        </w:rPr>
        <w:t xml:space="preserve">Solo el </w:t>
      </w:r>
      <w:r w:rsidR="006D0DD1" w:rsidRPr="002B72DB">
        <w:rPr>
          <w:color w:val="333333"/>
          <w:kern w:val="22"/>
          <w:shd w:val="clear" w:color="auto" w:fill="FFFFFF"/>
          <w:lang w:val="es-ES_tradnl"/>
        </w:rPr>
        <w:t>6 </w:t>
      </w:r>
      <w:r w:rsidRPr="002B72DB">
        <w:rPr>
          <w:lang w:val="es-ES_tradnl"/>
        </w:rPr>
        <w:t>por ciento de las EPANB contiene metas nacionales o compromisos similares que coinciden con el alcance y el nivel de ambición establecidos en la meta 2 de Aichi</w:t>
      </w:r>
      <w:r w:rsidRPr="002B72DB">
        <w:rPr>
          <w:rStyle w:val="FootnoteReference"/>
          <w:rFonts w:cs="Times New Roman"/>
          <w:kern w:val="22"/>
          <w:sz w:val="22"/>
          <w:szCs w:val="22"/>
          <w:u w:val="none"/>
          <w:vertAlign w:val="superscript"/>
          <w:lang w:val="es-ES_tradnl"/>
        </w:rPr>
        <w:footnoteReference w:id="10"/>
      </w:r>
      <w:r w:rsidRPr="002B72DB">
        <w:rPr>
          <w:rFonts w:eastAsia="Malgun Gothic" w:cs="Times New Roman"/>
          <w:kern w:val="22"/>
          <w:szCs w:val="22"/>
          <w:lang w:val="es-ES_tradnl"/>
        </w:rPr>
        <w:t xml:space="preserve"> y una Parte establece una meta que supera la meta de Aichi ya que tiene un plazo inferior</w:t>
      </w:r>
      <w:r w:rsidRPr="002B72DB">
        <w:rPr>
          <w:rStyle w:val="FootnoteReference"/>
          <w:rFonts w:eastAsia="Malgun Gothic" w:cs="Times New Roman"/>
          <w:kern w:val="22"/>
          <w:sz w:val="22"/>
          <w:szCs w:val="22"/>
          <w:u w:val="none"/>
          <w:vertAlign w:val="superscript"/>
          <w:lang w:val="es-ES_tradnl"/>
        </w:rPr>
        <w:footnoteReference w:id="11"/>
      </w:r>
      <w:r w:rsidRPr="002B72DB">
        <w:rPr>
          <w:rFonts w:eastAsia="Malgun Gothic" w:cs="Times New Roman"/>
          <w:kern w:val="22"/>
          <w:szCs w:val="22"/>
          <w:lang w:val="es-ES_tradnl"/>
        </w:rPr>
        <w:t xml:space="preserve">. </w:t>
      </w:r>
      <w:r w:rsidRPr="002B72DB">
        <w:rPr>
          <w:lang w:val="es-ES_tradnl"/>
        </w:rPr>
        <w:t>Más de tres cuartas partes (</w:t>
      </w:r>
      <w:r w:rsidR="006D0DD1" w:rsidRPr="002B72DB">
        <w:rPr>
          <w:lang w:val="es-ES_tradnl"/>
        </w:rPr>
        <w:t>78 </w:t>
      </w:r>
      <w:r w:rsidRPr="002B72DB">
        <w:rPr>
          <w:lang w:val="es-ES_tradnl"/>
        </w:rPr>
        <w:t xml:space="preserve">por ciento) de las EPANB contienen metas o compromisos nacionales que son más bajos que esta meta de Aichi o que no abordan todos los elementos de la meta. Alrededor del 16 por ciento de las EPANB no contiene ninguna meta nacional o compromiso similar relacionados con esta meta de Aichi. De las metas fijadas, relativamente pocas abordan la integración de los valores de la diversidad biológica en los procesos de planificación nacionales y locales, los procesos nacionales de contabilidad o los de presentación de informes. Las metas nacionales que se </w:t>
      </w:r>
      <w:r w:rsidR="006D0DD1" w:rsidRPr="002B72DB">
        <w:rPr>
          <w:lang w:val="es-ES_tradnl"/>
        </w:rPr>
        <w:t xml:space="preserve">han </w:t>
      </w:r>
      <w:r w:rsidRPr="002B72DB">
        <w:rPr>
          <w:lang w:val="es-ES_tradnl"/>
        </w:rPr>
        <w:t xml:space="preserve">establecido se centran en gran medida en la integración de los valores de la diversidad biológica en estrategias nacionales de desarrollo y de reducción de la pobreza. Además muchas de las metas fijadas están relacionadas con la cuestión de la coherencia de las políticas o la integración de la diversidad biológica en la toma de decisiones en </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Con respecto a los informes nacionales, menos del 10 por ciento contiene información que sugier</w:t>
      </w:r>
      <w:r w:rsidR="00F02227">
        <w:rPr>
          <w:lang w:val="es-ES_tradnl"/>
        </w:rPr>
        <w:t>e</w:t>
      </w:r>
      <w:r w:rsidRPr="002B72DB">
        <w:rPr>
          <w:lang w:val="es-ES_tradnl"/>
        </w:rPr>
        <w:t xml:space="preserve"> que van camino de alcanzar esta meta. Más del 60 por ciento indica que se está progresando hacia el logro de la meta 2 de Aichi pero no a un ritmo que permita alcanzarla para 2020. </w:t>
      </w:r>
      <w:r w:rsidR="0028184E" w:rsidRPr="002B72DB">
        <w:rPr>
          <w:lang w:val="es-ES_tradnl"/>
        </w:rPr>
        <w:t xml:space="preserve">Además, más de una quinta parte </w:t>
      </w:r>
      <w:r w:rsidR="00E01074" w:rsidRPr="002B72DB">
        <w:rPr>
          <w:rFonts w:eastAsia="Malgun Gothic"/>
          <w:kern w:val="22"/>
          <w:szCs w:val="22"/>
          <w:lang w:val="es-ES_tradnl"/>
        </w:rPr>
        <w:t>(22</w:t>
      </w:r>
      <w:r w:rsidR="0028184E" w:rsidRPr="002B72DB">
        <w:rPr>
          <w:rFonts w:eastAsia="Malgun Gothic"/>
          <w:kern w:val="22"/>
          <w:szCs w:val="22"/>
          <w:lang w:val="es-ES_tradnl"/>
        </w:rPr>
        <w:t xml:space="preserve"> por ciento</w:t>
      </w:r>
      <w:r w:rsidR="00E01074" w:rsidRPr="002B72DB">
        <w:rPr>
          <w:rFonts w:eastAsia="Malgun Gothic"/>
          <w:kern w:val="22"/>
          <w:szCs w:val="22"/>
          <w:lang w:val="es-ES_tradnl"/>
        </w:rPr>
        <w:t xml:space="preserve">) </w:t>
      </w:r>
      <w:r w:rsidR="0028184E" w:rsidRPr="002B72DB">
        <w:rPr>
          <w:rFonts w:eastAsia="Malgun Gothic"/>
          <w:kern w:val="22"/>
          <w:szCs w:val="22"/>
          <w:lang w:val="es-ES_tradnl"/>
        </w:rPr>
        <w:t xml:space="preserve">de </w:t>
      </w:r>
      <w:r w:rsidR="00BE3C32" w:rsidRPr="002B72DB">
        <w:rPr>
          <w:rFonts w:eastAsia="Malgun Gothic"/>
          <w:kern w:val="22"/>
          <w:szCs w:val="22"/>
          <w:lang w:val="es-ES_tradnl"/>
        </w:rPr>
        <w:t xml:space="preserve">los informes </w:t>
      </w:r>
      <w:r w:rsidR="0028184E" w:rsidRPr="002B72DB">
        <w:rPr>
          <w:rFonts w:eastAsia="Malgun Gothic"/>
          <w:kern w:val="22"/>
          <w:szCs w:val="22"/>
          <w:lang w:val="es-ES_tradnl"/>
        </w:rPr>
        <w:t>n</w:t>
      </w:r>
      <w:r w:rsidR="00BE3C32" w:rsidRPr="002B72DB">
        <w:rPr>
          <w:rFonts w:eastAsia="Malgun Gothic"/>
          <w:kern w:val="22"/>
          <w:szCs w:val="22"/>
          <w:lang w:val="es-ES_tradnl"/>
        </w:rPr>
        <w:t>acionales contiene</w:t>
      </w:r>
      <w:r w:rsidR="0028184E" w:rsidRPr="002B72DB">
        <w:rPr>
          <w:rFonts w:eastAsia="Malgun Gothic"/>
          <w:kern w:val="22"/>
          <w:szCs w:val="22"/>
          <w:lang w:val="es-ES_tradnl"/>
        </w:rPr>
        <w:t xml:space="preserve"> informaci</w:t>
      </w:r>
      <w:r w:rsidR="00BE3C32" w:rsidRPr="002B72DB">
        <w:rPr>
          <w:rFonts w:eastAsia="Malgun Gothic"/>
          <w:kern w:val="22"/>
          <w:szCs w:val="22"/>
          <w:lang w:val="es-ES_tradnl"/>
        </w:rPr>
        <w:t xml:space="preserve">ón que sugiere que no se han producido cambios importantes desde la adopción del Plan Estratégico para la Diversidad Biológica </w:t>
      </w:r>
      <w:r w:rsidR="00E01074" w:rsidRPr="002B72DB">
        <w:rPr>
          <w:rFonts w:eastAsia="Malgun Gothic"/>
          <w:kern w:val="22"/>
          <w:szCs w:val="22"/>
          <w:lang w:val="es-ES_tradnl"/>
        </w:rPr>
        <w:t xml:space="preserve">2011-2020. </w:t>
      </w:r>
      <w:r w:rsidRPr="002B72DB">
        <w:rPr>
          <w:lang w:val="es-ES_tradnl"/>
        </w:rPr>
        <w:t xml:space="preserve">La mayor parte del progreso que se está haciendo parece estar relacionado con la integración de la diversidad biológica en estrategias nacionales de desarrollo y de reducción de la pobreza y en </w:t>
      </w:r>
      <w:r w:rsidRPr="002B72DB">
        <w:rPr>
          <w:lang w:val="es-ES_tradnl"/>
        </w:rPr>
        <w:lastRenderedPageBreak/>
        <w:t>procesos nacionales y locales de planificación. En comparación, se está progresando menos en la integración de la diversidad biológica en los sistemas nacionales de contabilidad y de presentación de informes</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snapToGrid w:val="0"/>
          <w:color w:val="333333"/>
          <w:kern w:val="22"/>
          <w:szCs w:val="22"/>
          <w:shd w:val="clear" w:color="auto" w:fill="FFFFFF"/>
          <w:lang w:val="es-ES_tradnl"/>
        </w:rPr>
      </w:pPr>
      <w:r w:rsidRPr="002B72DB">
        <w:rPr>
          <w:i/>
          <w:color w:val="333333"/>
          <w:shd w:val="clear" w:color="auto" w:fill="FFFFFF"/>
          <w:lang w:val="es-ES_tradnl"/>
        </w:rPr>
        <w:t>Meta 3</w:t>
      </w:r>
      <w:r w:rsidRPr="002B72DB">
        <w:rPr>
          <w:i/>
          <w:lang w:val="es-ES_tradnl"/>
        </w:rPr>
        <w:t xml:space="preserve"> – </w:t>
      </w:r>
      <w:r w:rsidRPr="002B72DB">
        <w:rPr>
          <w:i/>
          <w:color w:val="333333"/>
          <w:shd w:val="clear" w:color="auto" w:fill="FFFFFF"/>
          <w:lang w:val="es-ES_tradnl"/>
        </w:rPr>
        <w:t>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Alrededor del 11 por ciento de las EPANB evaluadas contenía metas que eran similares a la meta 3 de Aichi en alcance y nivel de ambición</w:t>
      </w:r>
      <w:r w:rsidRPr="002B72DB">
        <w:rPr>
          <w:rFonts w:eastAsia="Malgun Gothic" w:cs="Times New Roman"/>
          <w:kern w:val="22"/>
          <w:szCs w:val="22"/>
          <w:vertAlign w:val="superscript"/>
          <w:lang w:val="es-ES_tradnl"/>
        </w:rPr>
        <w:footnoteReference w:id="12"/>
      </w:r>
      <w:r w:rsidRPr="002B72DB">
        <w:rPr>
          <w:rFonts w:eastAsia="Malgun Gothic" w:cs="Times New Roman"/>
          <w:kern w:val="22"/>
          <w:szCs w:val="22"/>
          <w:lang w:val="es-ES_tradnl"/>
        </w:rPr>
        <w:t xml:space="preserve"> y </w:t>
      </w:r>
      <w:r w:rsidRPr="002B72DB">
        <w:rPr>
          <w:lang w:val="es-ES_tradnl"/>
        </w:rPr>
        <w:t>una EPANB contenía una meta nacional que sobrepasaba a esta meta de Aichi porque tenía de plazo hasta 201</w:t>
      </w:r>
      <w:r w:rsidRPr="002B72DB">
        <w:rPr>
          <w:rFonts w:eastAsia="Malgun Gothic" w:cs="Times New Roman"/>
          <w:kern w:val="22"/>
          <w:szCs w:val="22"/>
          <w:lang w:val="es-ES_tradnl"/>
        </w:rPr>
        <w:t>7</w:t>
      </w:r>
      <w:r w:rsidRPr="002B72DB">
        <w:rPr>
          <w:rFonts w:eastAsia="Malgun Gothic" w:cs="Times New Roman"/>
          <w:kern w:val="22"/>
          <w:szCs w:val="22"/>
          <w:vertAlign w:val="superscript"/>
          <w:lang w:val="es-ES_tradnl"/>
        </w:rPr>
        <w:footnoteReference w:id="13"/>
      </w:r>
      <w:r w:rsidRPr="002B72DB">
        <w:rPr>
          <w:rFonts w:eastAsia="Malgun Gothic" w:cs="Times New Roman"/>
          <w:kern w:val="22"/>
          <w:szCs w:val="22"/>
          <w:lang w:val="es-ES_tradnl"/>
        </w:rPr>
        <w:t xml:space="preserve">. </w:t>
      </w:r>
      <w:r w:rsidR="00BE3C32" w:rsidRPr="002B72DB">
        <w:rPr>
          <w:rFonts w:eastAsia="Malgun Gothic" w:cs="Times New Roman"/>
          <w:kern w:val="22"/>
          <w:szCs w:val="22"/>
          <w:lang w:val="es-ES_tradnl"/>
        </w:rPr>
        <w:t xml:space="preserve">Un total de 48 </w:t>
      </w:r>
      <w:r w:rsidRPr="002B72DB">
        <w:rPr>
          <w:lang w:val="es-ES_tradnl"/>
        </w:rPr>
        <w:t xml:space="preserve">por ciento de las EPANB contenía metas con un nivel de ambición más bajo o que no abordaban todos los elementos </w:t>
      </w:r>
      <w:r w:rsidR="00BE3C32" w:rsidRPr="002B72DB">
        <w:rPr>
          <w:lang w:val="es-ES_tradnl"/>
        </w:rPr>
        <w:t xml:space="preserve">de </w:t>
      </w:r>
      <w:r w:rsidRPr="002B72DB">
        <w:rPr>
          <w:lang w:val="es-ES_tradnl"/>
        </w:rPr>
        <w:t>esta meta de Aichi</w:t>
      </w:r>
      <w:r w:rsidRPr="002B72DB">
        <w:rPr>
          <w:rFonts w:eastAsia="Malgun Gothic" w:cs="Times New Roman"/>
          <w:kern w:val="22"/>
          <w:szCs w:val="22"/>
          <w:lang w:val="es-ES_tradnl"/>
        </w:rPr>
        <w:t xml:space="preserve">. </w:t>
      </w:r>
      <w:r w:rsidRPr="002B72DB">
        <w:rPr>
          <w:lang w:val="es-ES_tradnl"/>
        </w:rPr>
        <w:t xml:space="preserve">Muchas de estas metas eran de carácter general y se referían a incentivos y subsidios en general, sin especificar la eliminación de incentivos perjudiciales o la creación de positivos. El </w:t>
      </w:r>
      <w:r w:rsidR="00BE3C32" w:rsidRPr="002B72DB">
        <w:rPr>
          <w:lang w:val="es-ES_tradnl"/>
        </w:rPr>
        <w:t>40</w:t>
      </w:r>
      <w:r w:rsidRPr="002B72DB">
        <w:rPr>
          <w:lang w:val="es-ES_tradnl"/>
        </w:rPr>
        <w:t xml:space="preserve"> por ciento de las EPANB evaluadas no contenía ninguna meta o compromiso nacionales relacionados con esta meta de Aichi. Esta meta de Aichi es de las que menos en línea están con las metas nacionales contenidas en las EPANB</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w:t>
      </w:r>
      <w:r w:rsidR="004A6CA3">
        <w:rPr>
          <w:lang w:val="es-ES_tradnl"/>
        </w:rPr>
        <w:t>3</w:t>
      </w:r>
      <w:r w:rsidR="004A6CA3" w:rsidRPr="002B72DB">
        <w:rPr>
          <w:lang w:val="es-ES_tradnl"/>
        </w:rPr>
        <w:t xml:space="preserve"> </w:t>
      </w:r>
      <w:r w:rsidRPr="002B72DB">
        <w:rPr>
          <w:lang w:val="es-ES_tradnl"/>
        </w:rPr>
        <w:t>por ciento de los informes nacionales contiene información que sugier</w:t>
      </w:r>
      <w:r w:rsidR="00F02227">
        <w:rPr>
          <w:lang w:val="es-ES_tradnl"/>
        </w:rPr>
        <w:t>e</w:t>
      </w:r>
      <w:r w:rsidRPr="002B72DB">
        <w:rPr>
          <w:lang w:val="es-ES_tradnl"/>
        </w:rPr>
        <w:t xml:space="preserve"> que van camino de alcanzar esta meta. Más del 40 por ciento de los quintos informes nacionales sugiere que se está progresando hacia el logro de esta meta pero no a un ritmo que permita alcanzarla para 2020. Casi el 30 por ciento de los informes sugiere que no se ha producido ningún cambio significativo en el progreso hacia esta meta, mientras que casi </w:t>
      </w:r>
      <w:r w:rsidR="004A6CA3">
        <w:rPr>
          <w:lang w:val="es-ES_tradnl"/>
        </w:rPr>
        <w:t xml:space="preserve">una </w:t>
      </w:r>
      <w:r w:rsidRPr="002B72DB">
        <w:rPr>
          <w:lang w:val="es-ES_tradnl"/>
        </w:rPr>
        <w:t>cuarta parte (2</w:t>
      </w:r>
      <w:r w:rsidR="00BE3C32" w:rsidRPr="002B72DB">
        <w:rPr>
          <w:lang w:val="es-ES_tradnl"/>
        </w:rPr>
        <w:t>5</w:t>
      </w:r>
      <w:r w:rsidRPr="002B72DB">
        <w:rPr>
          <w:lang w:val="es-ES_tradnl"/>
        </w:rPr>
        <w:t xml:space="preserve"> </w:t>
      </w:r>
      <w:r w:rsidR="004A6CA3">
        <w:rPr>
          <w:lang w:val="es-ES_tradnl"/>
        </w:rPr>
        <w:t xml:space="preserve">por ciento) </w:t>
      </w:r>
      <w:r w:rsidRPr="002B72DB">
        <w:rPr>
          <w:lang w:val="es-ES_tradnl"/>
        </w:rPr>
        <w:t>de los informes nacionales contiene información insuficiente para poder evaluar el progreso hacia esta meta. La información contenida en los informes nacionales sugiere que se está prestando relativamente más atención a la creación de incentivos positivos que a la eliminación o reforma de los perjudiciales</w:t>
      </w:r>
      <w:r w:rsidRPr="002B72DB">
        <w:rPr>
          <w:rFonts w:eastAsia="Malgun Gothic" w:cs="Times New Roman"/>
          <w:kern w:val="22"/>
          <w:szCs w:val="22"/>
          <w:lang w:val="es-ES_tradnl"/>
        </w:rPr>
        <w:t>.</w:t>
      </w:r>
      <w:r w:rsidR="00BE3C32" w:rsidRPr="002B72DB">
        <w:rPr>
          <w:rFonts w:eastAsia="Malgun Gothic" w:cs="Times New Roman"/>
          <w:kern w:val="22"/>
          <w:szCs w:val="22"/>
          <w:lang w:val="es-ES_tradnl"/>
        </w:rPr>
        <w:t xml:space="preserve"> En el documento </w:t>
      </w:r>
      <w:r w:rsidR="00BE3C32" w:rsidRPr="002B72DB">
        <w:rPr>
          <w:rFonts w:eastAsia="Malgun Gothic"/>
          <w:kern w:val="22"/>
          <w:szCs w:val="22"/>
          <w:lang w:val="es-ES_tradnl"/>
        </w:rPr>
        <w:t>CBD/SBI/2/2/Add.4</w:t>
      </w:r>
      <w:r w:rsidR="00456FD8" w:rsidRPr="002B72DB">
        <w:rPr>
          <w:rFonts w:eastAsia="Malgun Gothic"/>
          <w:kern w:val="22"/>
          <w:szCs w:val="22"/>
          <w:lang w:val="es-ES_tradnl"/>
        </w:rPr>
        <w:t xml:space="preserve"> </w:t>
      </w:r>
      <w:r w:rsidR="00BE3C32" w:rsidRPr="002B72DB">
        <w:rPr>
          <w:rFonts w:eastAsia="Malgun Gothic"/>
          <w:kern w:val="22"/>
          <w:szCs w:val="22"/>
          <w:lang w:val="es-ES_tradnl"/>
        </w:rPr>
        <w:t>figura información adicional relativa a</w:t>
      </w:r>
      <w:r w:rsidR="00456FD8" w:rsidRPr="002B72DB">
        <w:rPr>
          <w:rFonts w:eastAsia="Malgun Gothic"/>
          <w:kern w:val="22"/>
          <w:szCs w:val="22"/>
          <w:lang w:val="es-ES_tradnl"/>
        </w:rPr>
        <w:t xml:space="preserve"> la Meta </w:t>
      </w:r>
      <w:r w:rsidR="00BE3C32" w:rsidRPr="002B72DB">
        <w:rPr>
          <w:rFonts w:eastAsia="Malgun Gothic"/>
          <w:kern w:val="22"/>
          <w:szCs w:val="22"/>
          <w:lang w:val="es-ES_tradnl"/>
        </w:rPr>
        <w:t>3.</w:t>
      </w:r>
    </w:p>
    <w:p w:rsidR="00CD7A59" w:rsidRPr="002B72DB" w:rsidRDefault="00CD7A59">
      <w:pPr>
        <w:suppressLineNumbers/>
        <w:suppressAutoHyphens/>
        <w:spacing w:after="120"/>
        <w:rPr>
          <w:rFonts w:cs="Times New Roman"/>
          <w:i/>
          <w:iCs/>
          <w:color w:val="333333"/>
          <w:shd w:val="clear" w:color="auto" w:fill="FFFFFF"/>
          <w:lang w:val="es-ES_tradnl"/>
        </w:rPr>
      </w:pPr>
      <w:r w:rsidRPr="002B72DB">
        <w:rPr>
          <w:i/>
          <w:color w:val="333333"/>
          <w:shd w:val="clear" w:color="auto" w:fill="FFFFFF"/>
          <w:lang w:val="es-ES_tradnl"/>
        </w:rPr>
        <w:t>Meta 4</w:t>
      </w:r>
      <w:r w:rsidRPr="002B72DB">
        <w:rPr>
          <w:i/>
          <w:lang w:val="es-ES_tradnl"/>
        </w:rPr>
        <w:t xml:space="preserve"> – </w:t>
      </w:r>
      <w:r w:rsidRPr="002B72DB">
        <w:rPr>
          <w:i/>
          <w:color w:val="333333"/>
          <w:shd w:val="clear" w:color="auto" w:fill="FFFFFF"/>
          <w:lang w:val="es-ES_tradnl"/>
        </w:rPr>
        <w:t>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w:t>
      </w:r>
      <w:r w:rsidR="00BE3C32" w:rsidRPr="002B72DB">
        <w:rPr>
          <w:lang w:val="es-ES_tradnl"/>
        </w:rPr>
        <w:t xml:space="preserve">11 </w:t>
      </w:r>
      <w:r w:rsidRPr="002B72DB">
        <w:rPr>
          <w:lang w:val="es-ES_tradnl"/>
        </w:rPr>
        <w:t>por ciento de las EPANB contiene metas que son similares a esta meta de Aichi en alcance y nivel de ambición</w:t>
      </w:r>
      <w:r w:rsidRPr="002B72DB">
        <w:rPr>
          <w:rFonts w:eastAsia="Malgun Gothic" w:cs="Times New Roman"/>
          <w:kern w:val="22"/>
          <w:szCs w:val="22"/>
          <w:vertAlign w:val="superscript"/>
          <w:lang w:val="es-ES_tradnl"/>
        </w:rPr>
        <w:footnoteReference w:id="14"/>
      </w:r>
      <w:r w:rsidRPr="002B72DB">
        <w:rPr>
          <w:rFonts w:eastAsia="Malgun Gothic" w:cs="Times New Roman"/>
          <w:kern w:val="22"/>
          <w:szCs w:val="22"/>
          <w:lang w:val="es-ES_tradnl"/>
        </w:rPr>
        <w:t xml:space="preserve">, </w:t>
      </w:r>
      <w:r w:rsidRPr="002B72DB">
        <w:rPr>
          <w:lang w:val="es-ES_tradnl"/>
        </w:rPr>
        <w:t xml:space="preserve">mientras que el </w:t>
      </w:r>
      <w:r w:rsidR="00BE3C32" w:rsidRPr="002B72DB">
        <w:rPr>
          <w:lang w:val="es-ES_tradnl"/>
        </w:rPr>
        <w:t xml:space="preserve">65 </w:t>
      </w:r>
      <w:r w:rsidRPr="002B72DB">
        <w:rPr>
          <w:lang w:val="es-ES_tradnl"/>
        </w:rPr>
        <w:t xml:space="preserve">por ciento contiene metas que tienen un nivel de ambición más bajo o que no cubren todos los elementos de la meta de Aichi. </w:t>
      </w:r>
      <w:r w:rsidR="00BE3C32" w:rsidRPr="002B72DB">
        <w:rPr>
          <w:lang w:val="es-ES_tradnl"/>
        </w:rPr>
        <w:t xml:space="preserve">Alrededor </w:t>
      </w:r>
      <w:r w:rsidRPr="002B72DB">
        <w:rPr>
          <w:lang w:val="es-ES_tradnl"/>
        </w:rPr>
        <w:t>de una cuarta parte (2</w:t>
      </w:r>
      <w:r w:rsidR="00BE3C32" w:rsidRPr="002B72DB">
        <w:rPr>
          <w:lang w:val="es-ES_tradnl"/>
        </w:rPr>
        <w:t>4</w:t>
      </w:r>
      <w:r w:rsidRPr="002B72DB">
        <w:rPr>
          <w:lang w:val="es-ES_tradnl"/>
        </w:rPr>
        <w:t xml:space="preserve"> por ciento) de las EPANB no contiene metas relacionadas con esta. De las metas que se han fijado, unas pocas hacen referencia a mantener el impacto del uso de los recursos naturales dentro de límites ecológicos seguros. La mayoría de las metas fijadas hace referencia a la utilización sostenible en general, sin abordar específicamente la sostenibilidad en la producción y el consumo</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w:t>
      </w:r>
      <w:r w:rsidR="00BE3C32" w:rsidRPr="002B72DB">
        <w:rPr>
          <w:lang w:val="es-ES_tradnl"/>
        </w:rPr>
        <w:t xml:space="preserve">3 </w:t>
      </w:r>
      <w:r w:rsidRPr="002B72DB">
        <w:rPr>
          <w:lang w:val="es-ES_tradnl"/>
        </w:rPr>
        <w:t>por ciento de los informes nacionales contiene información que sugier</w:t>
      </w:r>
      <w:r w:rsidR="00F02227">
        <w:rPr>
          <w:lang w:val="es-ES_tradnl"/>
        </w:rPr>
        <w:t>e</w:t>
      </w:r>
      <w:r w:rsidRPr="002B72DB">
        <w:rPr>
          <w:lang w:val="es-ES_tradnl"/>
        </w:rPr>
        <w:t xml:space="preserve"> que van camino de alcanzar esta meta antes de que termine el plazo. Más de la mitad (5</w:t>
      </w:r>
      <w:r w:rsidR="00BE3C32" w:rsidRPr="002B72DB">
        <w:rPr>
          <w:lang w:val="es-ES_tradnl"/>
        </w:rPr>
        <w:t>4</w:t>
      </w:r>
      <w:r w:rsidRPr="002B72DB">
        <w:rPr>
          <w:lang w:val="es-ES_tradnl"/>
        </w:rPr>
        <w:t xml:space="preserve"> por ciento) de los informes nacionales contiene información que sugiere que se está progresando hacia esta meta pero a un ritmo que no permitirá alcanzarla para 2020.</w:t>
      </w:r>
      <w:r w:rsidR="00BE3C32" w:rsidRPr="002B72DB">
        <w:rPr>
          <w:lang w:val="es-ES_tradnl"/>
        </w:rPr>
        <w:t xml:space="preserve"> Casi una tercera parte </w:t>
      </w:r>
      <w:r w:rsidR="00456FD8" w:rsidRPr="002B72DB">
        <w:rPr>
          <w:lang w:val="es-ES_tradnl"/>
        </w:rPr>
        <w:t xml:space="preserve">de los informes </w:t>
      </w:r>
      <w:r w:rsidR="00BE3C32" w:rsidRPr="002B72DB">
        <w:rPr>
          <w:rFonts w:eastAsia="Malgun Gothic"/>
          <w:kern w:val="22"/>
          <w:szCs w:val="22"/>
          <w:lang w:val="es-ES_tradnl"/>
        </w:rPr>
        <w:t xml:space="preserve">(31 por ciento) manifiesta que no se han producido cambios importantes. </w:t>
      </w:r>
      <w:r w:rsidRPr="002B72DB">
        <w:rPr>
          <w:lang w:val="es-ES_tradnl"/>
        </w:rPr>
        <w:t xml:space="preserve">El progreso que se ha hecho parece estar más concentrado en </w:t>
      </w:r>
      <w:r w:rsidRPr="002B72DB">
        <w:rPr>
          <w:lang w:val="es-ES_tradnl"/>
        </w:rPr>
        <w:lastRenderedPageBreak/>
        <w:t>tomar medidas para promover la producción sostenible en general. En comparación, se ha progresado relativamente menos en cuestiones relacionadas con el consumo sostenible y pocos informes contienen información relacionada con mantener los impactos del uso de los recursos naturales dentro de límites ecológicos seguros</w:t>
      </w:r>
      <w:r w:rsidRPr="002B72DB">
        <w:rPr>
          <w:rFonts w:eastAsia="Malgun Gothic" w:cs="Times New Roman"/>
          <w:kern w:val="22"/>
          <w:szCs w:val="22"/>
          <w:lang w:val="es-ES_tradnl"/>
        </w:rPr>
        <w:t>.</w:t>
      </w:r>
    </w:p>
    <w:p w:rsidR="00CD7A59" w:rsidRPr="002B72DB" w:rsidRDefault="00CD7A59">
      <w:pPr>
        <w:keepNext/>
        <w:suppressLineNumbers/>
        <w:suppressAutoHyphens/>
        <w:spacing w:after="120"/>
        <w:rPr>
          <w:rFonts w:cs="Times New Roman"/>
          <w:i/>
          <w:iCs/>
          <w:color w:val="333333"/>
          <w:shd w:val="clear" w:color="auto" w:fill="FFFFFF"/>
          <w:lang w:val="es-ES_tradnl"/>
        </w:rPr>
      </w:pPr>
      <w:r w:rsidRPr="002B72DB">
        <w:rPr>
          <w:i/>
          <w:color w:val="333333"/>
          <w:shd w:val="clear" w:color="auto" w:fill="FFFFFF"/>
          <w:lang w:val="es-ES_tradnl"/>
        </w:rPr>
        <w:t>Meta 5</w:t>
      </w:r>
      <w:r w:rsidRPr="002B72DB">
        <w:rPr>
          <w:i/>
          <w:lang w:val="es-ES_tradnl"/>
        </w:rPr>
        <w:t xml:space="preserve"> – </w:t>
      </w:r>
      <w:r w:rsidRPr="002B72DB">
        <w:rPr>
          <w:i/>
          <w:color w:val="333333"/>
          <w:shd w:val="clear" w:color="auto" w:fill="FFFFFF"/>
          <w:lang w:val="es-ES_tradnl"/>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El </w:t>
      </w:r>
      <w:r w:rsidR="00456FD8" w:rsidRPr="002B72DB">
        <w:rPr>
          <w:lang w:val="es-ES_tradnl"/>
        </w:rPr>
        <w:t xml:space="preserve">6 </w:t>
      </w:r>
      <w:r w:rsidRPr="002B72DB">
        <w:rPr>
          <w:lang w:val="es-ES_tradnl"/>
        </w:rPr>
        <w:t>por ciento de las EPANB evaluadas contiene metas o compromisos que tienen un alcance y un nivel de ambición similares a los de la meta 5 de Aichi</w:t>
      </w:r>
      <w:r w:rsidRPr="002B72DB">
        <w:rPr>
          <w:rFonts w:eastAsia="Malgun Gothic" w:cs="Times New Roman"/>
          <w:kern w:val="22"/>
          <w:szCs w:val="22"/>
          <w:vertAlign w:val="superscript"/>
          <w:lang w:val="es-ES_tradnl"/>
        </w:rPr>
        <w:footnoteReference w:id="15"/>
      </w:r>
      <w:r w:rsidRPr="002B72DB">
        <w:rPr>
          <w:lang w:val="es-ES_tradnl"/>
        </w:rPr>
        <w:t>,</w:t>
      </w:r>
      <w:r w:rsidRPr="002B72DB">
        <w:rPr>
          <w:rFonts w:eastAsia="Malgun Gothic" w:cs="Times New Roman"/>
          <w:kern w:val="22"/>
          <w:szCs w:val="22"/>
          <w:lang w:val="es-ES_tradnl"/>
        </w:rPr>
        <w:t xml:space="preserve"> </w:t>
      </w:r>
      <w:r w:rsidRPr="002B72DB">
        <w:rPr>
          <w:lang w:val="es-ES_tradnl"/>
        </w:rPr>
        <w:t>mientras que el 1 por ciento contiene metas que son más ambiciosas que esta meta de Aichi</w:t>
      </w:r>
      <w:r w:rsidRPr="002B72DB">
        <w:rPr>
          <w:rFonts w:eastAsia="Malgun Gothic" w:cs="Times New Roman"/>
          <w:kern w:val="22"/>
          <w:szCs w:val="22"/>
          <w:vertAlign w:val="superscript"/>
          <w:lang w:val="es-ES_tradnl"/>
        </w:rPr>
        <w:footnoteReference w:id="16"/>
      </w:r>
      <w:r w:rsidRPr="002B72DB">
        <w:rPr>
          <w:rFonts w:eastAsia="Malgun Gothic" w:cs="Times New Roman"/>
          <w:kern w:val="22"/>
          <w:szCs w:val="22"/>
          <w:lang w:val="es-ES_tradnl"/>
        </w:rPr>
        <w:t xml:space="preserve">. Casi </w:t>
      </w:r>
      <w:r w:rsidR="004A6CA3">
        <w:rPr>
          <w:lang w:val="es-ES_tradnl"/>
        </w:rPr>
        <w:t xml:space="preserve">tres cuartas partes </w:t>
      </w:r>
      <w:r w:rsidRPr="002B72DB">
        <w:rPr>
          <w:lang w:val="es-ES_tradnl"/>
        </w:rPr>
        <w:t>(</w:t>
      </w:r>
      <w:r w:rsidR="00456FD8" w:rsidRPr="002B72DB">
        <w:rPr>
          <w:lang w:val="es-ES_tradnl"/>
        </w:rPr>
        <w:t xml:space="preserve">74 </w:t>
      </w:r>
      <w:r w:rsidRPr="002B72DB">
        <w:rPr>
          <w:lang w:val="es-ES_tradnl"/>
        </w:rPr>
        <w:t>por ciento) de las EPANB contienen metas que tienen un nivel de ambición más bajo o que no abordan explícitamente todos los elementos de esta meta de Aichi, mientras que una quinta parte (</w:t>
      </w:r>
      <w:r w:rsidR="00456FD8" w:rsidRPr="002B72DB">
        <w:rPr>
          <w:lang w:val="es-ES_tradnl"/>
        </w:rPr>
        <w:t xml:space="preserve">20 </w:t>
      </w:r>
      <w:r w:rsidRPr="002B72DB">
        <w:rPr>
          <w:lang w:val="es-ES_tradnl"/>
        </w:rPr>
        <w:t>por ciento) de las EPANB no contiene ninguna meta relacionada con esta. La mayoría de las metas fijadas hace referencia a reducir la pérdida de hábitats en entornos naturales en general. La mayor parte de las metas nacionales que hacen referencia a hábitats concretos se refieren a los bosques. Sin embargo también mencionan los manglares, los arrecifes de coral, los ríos, las tierras de pastoreo y los entornos marinos, aunque en mucha menor medida. Pocas metas nacionales especifican en qué medida se va a reducir el ritmo de pérdida de hábitats y pocas hacen referencia explícita a la degradación o la fragmentación de los hábitats</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w:t>
      </w:r>
      <w:r w:rsidR="00082E70" w:rsidRPr="002B72DB">
        <w:rPr>
          <w:lang w:val="es-ES_tradnl"/>
        </w:rPr>
        <w:t xml:space="preserve">5 </w:t>
      </w:r>
      <w:r w:rsidRPr="002B72DB">
        <w:rPr>
          <w:lang w:val="es-ES_tradnl"/>
        </w:rPr>
        <w:t>por ciento de los informes nacionales contiene información que sugier</w:t>
      </w:r>
      <w:r w:rsidR="00F02227">
        <w:rPr>
          <w:lang w:val="es-ES_tradnl"/>
        </w:rPr>
        <w:t>e</w:t>
      </w:r>
      <w:r w:rsidRPr="002B72DB">
        <w:rPr>
          <w:lang w:val="es-ES_tradnl"/>
        </w:rPr>
        <w:t xml:space="preserve"> que van camino de alcanzar esta meta. Más del 40 por ciento de los informes contiene información que sugiere que </w:t>
      </w:r>
      <w:r w:rsidR="00BE3C32" w:rsidRPr="002B72DB">
        <w:rPr>
          <w:lang w:val="es-ES_tradnl"/>
        </w:rPr>
        <w:t xml:space="preserve">el ritmo de </w:t>
      </w:r>
      <w:r w:rsidRPr="002B72DB">
        <w:rPr>
          <w:lang w:val="es-ES_tradnl"/>
        </w:rPr>
        <w:t>pérdida de hábitats no ha cambiado o está empeorando</w:t>
      </w:r>
      <w:r w:rsidR="00BE3C32" w:rsidRPr="002B72DB">
        <w:rPr>
          <w:lang w:val="es-ES_tradnl"/>
        </w:rPr>
        <w:t>, en tanto que una proporción similar señala que se logran avances, pero no a un ritmo que p</w:t>
      </w:r>
      <w:r w:rsidR="00753422" w:rsidRPr="002B72DB">
        <w:rPr>
          <w:lang w:val="es-ES_tradnl"/>
        </w:rPr>
        <w:t xml:space="preserve">ermita alcanzar </w:t>
      </w:r>
      <w:r w:rsidR="00BE3C32" w:rsidRPr="002B72DB">
        <w:rPr>
          <w:lang w:val="es-ES_tradnl"/>
        </w:rPr>
        <w:t>la meta para 2020</w:t>
      </w:r>
      <w:r w:rsidRPr="002B72DB">
        <w:rPr>
          <w:lang w:val="es-ES_tradnl"/>
        </w:rPr>
        <w:t>. La información contenida en los informes nacionales sugiere que se está prestando la misma atención a la reducción de la pérdida de hábitats que a la degradación y fragmentación de los mismos</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color w:val="333333"/>
          <w:shd w:val="clear" w:color="auto" w:fill="FFFFFF"/>
          <w:lang w:val="es-ES_tradnl"/>
        </w:rPr>
      </w:pPr>
      <w:r w:rsidRPr="002B72DB">
        <w:rPr>
          <w:i/>
          <w:color w:val="333333"/>
          <w:shd w:val="clear" w:color="auto" w:fill="FFFFFF"/>
          <w:lang w:val="es-ES_tradnl"/>
        </w:rPr>
        <w:t>Meta 6</w:t>
      </w:r>
      <w:r w:rsidRPr="002B72DB">
        <w:rPr>
          <w:i/>
          <w:lang w:val="es-ES_tradnl"/>
        </w:rPr>
        <w:t xml:space="preserve"> – </w:t>
      </w:r>
      <w:r w:rsidRPr="002B72DB">
        <w:rPr>
          <w:i/>
          <w:color w:val="333333"/>
          <w:shd w:val="clear" w:color="auto" w:fill="FFFFFF"/>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w:t>
      </w:r>
      <w:r w:rsidR="00BE3C32" w:rsidRPr="002B72DB">
        <w:rPr>
          <w:lang w:val="es-ES_tradnl"/>
        </w:rPr>
        <w:t xml:space="preserve">8 </w:t>
      </w:r>
      <w:r w:rsidRPr="002B72DB">
        <w:rPr>
          <w:lang w:val="es-ES_tradnl"/>
        </w:rPr>
        <w:t>por ciento de las EPANB evaluadas tenía metas o compromisos nacionales con un nivel de ambición y un alcance similares a los establecidos en esta meta de Aichi</w:t>
      </w:r>
      <w:r w:rsidRPr="002B72DB">
        <w:rPr>
          <w:rFonts w:eastAsia="Malgun Gothic" w:cs="Times New Roman"/>
          <w:kern w:val="22"/>
          <w:szCs w:val="22"/>
          <w:vertAlign w:val="superscript"/>
          <w:lang w:val="es-ES_tradnl"/>
        </w:rPr>
        <w:footnoteReference w:id="17"/>
      </w:r>
      <w:r w:rsidRPr="002B72DB">
        <w:rPr>
          <w:rFonts w:eastAsia="Malgun Gothic" w:cs="Times New Roman"/>
          <w:kern w:val="22"/>
          <w:szCs w:val="22"/>
          <w:lang w:val="es-ES_tradnl"/>
        </w:rPr>
        <w:t>. Más de</w:t>
      </w:r>
      <w:r w:rsidRPr="002B72DB">
        <w:rPr>
          <w:lang w:val="es-ES_tradnl"/>
        </w:rPr>
        <w:t xml:space="preserve"> la mitad (5</w:t>
      </w:r>
      <w:r w:rsidR="00BE3C32" w:rsidRPr="002B72DB">
        <w:rPr>
          <w:lang w:val="es-ES_tradnl"/>
        </w:rPr>
        <w:t>9</w:t>
      </w:r>
      <w:r w:rsidRPr="002B72DB">
        <w:rPr>
          <w:lang w:val="es-ES_tradnl"/>
        </w:rPr>
        <w:t xml:space="preserve"> por ciento) de las EPANB eran más bajas que esta meta de Aichi o no abordaban todos los elementos de la meta. Esta es una de las metas de Aichi con el menor número de EPANB que contienen metas comparables. El 33 por ciento de las EPANB evaluadas no contiene metas o compromisos nacionales relacionados con esta meta de Aichi. En la mayoría de los casos, la meta es aplicable a las pesquerías marinas. Sin embargo, algunos países sin litoral también han establecido metas relacionadas con la meta 6 de Aichi sugiriendo que estas metas nacionales se aplicarían a las poblaciones de peces e invertebrados y a las plantas acuáticas de aguas continentales</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La mayoría de las metas establecidas se centra en cuestiones relacionadas con asegurar la gestión y captura sostenibles de las poblaciones de peces. En comparación, relativamente pocas metas abordaban cuestiones relacionadas con evitar la sobreexplotación pesquera, desarrollar planes de recuperación de especies agotadas, asegurar que las actividades de pesca no tengan impactos perjudiciales importantes en </w:t>
      </w:r>
      <w:r w:rsidRPr="002B72DB">
        <w:rPr>
          <w:lang w:val="es-ES_tradnl"/>
        </w:rPr>
        <w:lastRenderedPageBreak/>
        <w:t>ecosistemas amenazados o vulnerables, o mantener los impactos de la pesca dentro de límites ecológicos seguros</w:t>
      </w:r>
      <w:r w:rsidRPr="002B72DB">
        <w:rPr>
          <w:rFonts w:eastAsia="Malgun Gothic" w:cs="Times New Roman"/>
          <w:kern w:val="22"/>
          <w:szCs w:val="22"/>
          <w:lang w:val="es-ES_tradnl"/>
        </w:rPr>
        <w:t>.</w:t>
      </w:r>
    </w:p>
    <w:p w:rsidR="00CD7A59" w:rsidRPr="002B72DB" w:rsidRDefault="00BE3C32"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4 </w:t>
      </w:r>
      <w:r w:rsidR="00CD7A59" w:rsidRPr="002B72DB">
        <w:rPr>
          <w:lang w:val="es-ES_tradnl"/>
        </w:rPr>
        <w:t>por ciento de los informes nacionales contiene información que sugier</w:t>
      </w:r>
      <w:r w:rsidR="00F02227">
        <w:rPr>
          <w:lang w:val="es-ES_tradnl"/>
        </w:rPr>
        <w:t>e</w:t>
      </w:r>
      <w:r w:rsidR="00CD7A59" w:rsidRPr="002B72DB">
        <w:rPr>
          <w:lang w:val="es-ES_tradnl"/>
        </w:rPr>
        <w:t xml:space="preserve"> que van camino de alcanzar esta meta antes de que termine el plazo. Casi la mitad (4</w:t>
      </w:r>
      <w:r w:rsidRPr="002B72DB">
        <w:rPr>
          <w:lang w:val="es-ES_tradnl"/>
        </w:rPr>
        <w:t>8</w:t>
      </w:r>
      <w:r w:rsidR="00CD7A59" w:rsidRPr="002B72DB">
        <w:rPr>
          <w:lang w:val="es-ES_tradnl"/>
        </w:rPr>
        <w:t xml:space="preserve"> por ciento) de los informes nacionales contiene información que sugiere que se está progresando hacia esta meta pero no a un ritmo que permita alcanzarla. </w:t>
      </w:r>
      <w:r w:rsidRPr="002B72DB">
        <w:rPr>
          <w:lang w:val="es-ES_tradnl"/>
        </w:rPr>
        <w:t xml:space="preserve">Más de una </w:t>
      </w:r>
      <w:r w:rsidR="00082E70" w:rsidRPr="002B72DB">
        <w:rPr>
          <w:lang w:val="es-ES_tradnl"/>
        </w:rPr>
        <w:t xml:space="preserve">cuarta </w:t>
      </w:r>
      <w:r w:rsidRPr="002B72DB">
        <w:rPr>
          <w:lang w:val="es-ES_tradnl"/>
        </w:rPr>
        <w:t>parte (29</w:t>
      </w:r>
      <w:r w:rsidR="00CD7A59" w:rsidRPr="002B72DB">
        <w:rPr>
          <w:lang w:val="es-ES_tradnl"/>
        </w:rPr>
        <w:t xml:space="preserve"> por ciento</w:t>
      </w:r>
      <w:r w:rsidRPr="002B72DB">
        <w:rPr>
          <w:lang w:val="es-ES_tradnl"/>
        </w:rPr>
        <w:t>)</w:t>
      </w:r>
      <w:r w:rsidR="00CD7A59" w:rsidRPr="002B72DB">
        <w:rPr>
          <w:lang w:val="es-ES_tradnl"/>
        </w:rPr>
        <w:t xml:space="preserve"> de los informes sugiere que no ha habido ningún cambio significativo relacionado con el logro de esta meta. Alrededor del 15 por ciento de los informes nacionales no contiene suficiente información para poder evaluar el progreso hacia esta meta</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En general, la información de los quintos informes nacionales sugiere que la atención está dirigida en su mayor parte a la gestión sostenible de las poblaciones de peces y a evitar la sobreexplotación pesquera</w:t>
      </w:r>
      <w:r w:rsidRPr="002B72DB">
        <w:rPr>
          <w:rFonts w:eastAsia="Malgun Gothic" w:cs="Times New Roman"/>
          <w:kern w:val="22"/>
          <w:szCs w:val="22"/>
          <w:lang w:val="es-ES_tradnl"/>
        </w:rPr>
        <w:t xml:space="preserve">. Más del 50 </w:t>
      </w:r>
      <w:r w:rsidRPr="002B72DB">
        <w:rPr>
          <w:lang w:val="es-ES_tradnl"/>
        </w:rPr>
        <w:t>por ciento de los informes no contiene información sobre la aplicación de planes de recuperación de especies agotadas ni sobre mantener los impactos de las actividades de pesca dentro de límites ecológicos seguros</w:t>
      </w:r>
      <w:r w:rsidR="009F0D12" w:rsidRPr="002B72DB">
        <w:rPr>
          <w:lang w:val="es-ES_tradnl"/>
        </w:rPr>
        <w:t xml:space="preserve">, ni </w:t>
      </w:r>
      <w:r w:rsidRPr="002B72DB">
        <w:rPr>
          <w:rFonts w:eastAsia="Malgun Gothic" w:cs="Times New Roman"/>
          <w:kern w:val="22"/>
          <w:szCs w:val="22"/>
          <w:lang w:val="es-ES_tradnl"/>
        </w:rPr>
        <w:t>para garantizar que las actividades pesqueras no tengan efectos adversos sobre las especies amenazadas y los ecosistemas vulnerables.</w:t>
      </w:r>
    </w:p>
    <w:p w:rsidR="00CD7A59" w:rsidRPr="002B72DB" w:rsidRDefault="00CD7A59">
      <w:pPr>
        <w:suppressLineNumbers/>
        <w:tabs>
          <w:tab w:val="left" w:pos="180"/>
        </w:tabs>
        <w:suppressAutoHyphens/>
        <w:spacing w:after="120"/>
        <w:rPr>
          <w:rFonts w:cs="Times New Roman"/>
          <w:snapToGrid w:val="0"/>
          <w:color w:val="333333"/>
          <w:kern w:val="22"/>
          <w:szCs w:val="22"/>
          <w:shd w:val="clear" w:color="auto" w:fill="FFFFFF"/>
          <w:lang w:val="es-ES_tradnl"/>
        </w:rPr>
      </w:pPr>
      <w:r w:rsidRPr="002B72DB">
        <w:rPr>
          <w:i/>
          <w:color w:val="333333"/>
          <w:shd w:val="clear" w:color="auto" w:fill="FFFFFF"/>
          <w:lang w:val="es-ES_tradnl"/>
        </w:rPr>
        <w:t>Meta 7</w:t>
      </w:r>
      <w:r w:rsidRPr="002B72DB">
        <w:rPr>
          <w:i/>
          <w:lang w:val="es-ES_tradnl"/>
        </w:rPr>
        <w:t xml:space="preserve"> – </w:t>
      </w:r>
      <w:r w:rsidRPr="002B72DB">
        <w:rPr>
          <w:i/>
          <w:color w:val="333333"/>
          <w:shd w:val="clear" w:color="auto" w:fill="FFFFFF"/>
          <w:lang w:val="es-ES_tradnl"/>
        </w:rPr>
        <w:t>Para 2020, las zonas destinadas a agricultura, acuicultura y silvicultura se gestionarán de manera sostenible, garantizándose la conservación de la diversidad biológica</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El </w:t>
      </w:r>
      <w:r w:rsidR="00082E70" w:rsidRPr="002B72DB">
        <w:rPr>
          <w:lang w:val="es-ES_tradnl"/>
        </w:rPr>
        <w:t xml:space="preserve">9 </w:t>
      </w:r>
      <w:r w:rsidRPr="002B72DB">
        <w:rPr>
          <w:lang w:val="es-ES_tradnl"/>
        </w:rPr>
        <w:t>por ciento de las EPANB evaluadas contiene metas o compromisos nacionales con el mismo alcance y nivel de ambición globales que los establecidos en esta meta de Aichi</w:t>
      </w:r>
      <w:r w:rsidRPr="002B72DB">
        <w:rPr>
          <w:rFonts w:eastAsia="Malgun Gothic" w:cs="Times New Roman"/>
          <w:kern w:val="22"/>
          <w:szCs w:val="22"/>
          <w:vertAlign w:val="superscript"/>
          <w:lang w:val="es-ES_tradnl"/>
        </w:rPr>
        <w:footnoteReference w:id="18"/>
      </w:r>
      <w:r w:rsidRPr="002B72DB">
        <w:rPr>
          <w:rFonts w:eastAsia="Malgun Gothic" w:cs="Times New Roman"/>
          <w:kern w:val="22"/>
          <w:szCs w:val="22"/>
          <w:lang w:val="es-ES_tradnl"/>
        </w:rPr>
        <w:t xml:space="preserve">. </w:t>
      </w:r>
      <w:r w:rsidR="00082E70" w:rsidRPr="002B72DB">
        <w:rPr>
          <w:rFonts w:eastAsia="Malgun Gothic" w:cs="Times New Roman"/>
          <w:kern w:val="22"/>
          <w:szCs w:val="22"/>
          <w:lang w:val="es-ES_tradnl"/>
        </w:rPr>
        <w:t>T</w:t>
      </w:r>
      <w:r w:rsidRPr="002B72DB">
        <w:rPr>
          <w:rFonts w:eastAsia="Malgun Gothic" w:cs="Times New Roman"/>
          <w:kern w:val="22"/>
          <w:szCs w:val="22"/>
          <w:lang w:val="es-ES_tradnl"/>
        </w:rPr>
        <w:t xml:space="preserve">res cuartas partes de las </w:t>
      </w:r>
      <w:r w:rsidRPr="002B72DB">
        <w:rPr>
          <w:lang w:val="es-ES_tradnl"/>
        </w:rPr>
        <w:t>EPANB (</w:t>
      </w:r>
      <w:r w:rsidR="00082E70" w:rsidRPr="002B72DB">
        <w:rPr>
          <w:lang w:val="es-ES_tradnl"/>
        </w:rPr>
        <w:t xml:space="preserve">75 </w:t>
      </w:r>
      <w:r w:rsidRPr="002B72DB">
        <w:rPr>
          <w:lang w:val="es-ES_tradnl"/>
        </w:rPr>
        <w:t xml:space="preserve">por ciento) contienen metas que son más bajas que esta meta de Aichi o que solo abordan algunos de los elementos cubiertos por esta meta de Aichi. </w:t>
      </w:r>
      <w:r w:rsidR="00082E70" w:rsidRPr="002B72DB">
        <w:rPr>
          <w:lang w:val="es-ES_tradnl"/>
        </w:rPr>
        <w:t xml:space="preserve">Un total de 16 por ciento </w:t>
      </w:r>
      <w:r w:rsidRPr="002B72DB">
        <w:rPr>
          <w:lang w:val="es-ES_tradnl"/>
        </w:rPr>
        <w:t>de las EPANB no contiene ninguna meta nacional o compromiso similar relacionados con la meta 7 de Aichi para la diversidad biológica. En comparación, pocas de las metas o compromisos nacionales de las EPANB relacionadas con esta meta de Aichi abordan cuestiones asociadas a la acuicultura. Además muchas de las metas nacionales están relacionadas con la gestión sostenible en general y no especifican la agricultura o la silvicultura</w:t>
      </w:r>
      <w:r w:rsidRPr="002B72DB">
        <w:rPr>
          <w:rFonts w:eastAsia="Malgun Gothic" w:cs="Times New Roman"/>
          <w:kern w:val="22"/>
          <w:szCs w:val="22"/>
          <w:lang w:val="es-ES_tradnl"/>
        </w:rPr>
        <w:t>.</w:t>
      </w:r>
    </w:p>
    <w:p w:rsidR="00CD7A59" w:rsidRPr="002B72DB" w:rsidRDefault="00082E70"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Solo un 7</w:t>
      </w:r>
      <w:r w:rsidR="00CD7A59" w:rsidRPr="002B72DB">
        <w:rPr>
          <w:lang w:val="es-ES_tradnl"/>
        </w:rPr>
        <w:t xml:space="preserve"> por ciento de los informes nacionales contiene información que sugier</w:t>
      </w:r>
      <w:r w:rsidR="00F02227">
        <w:rPr>
          <w:lang w:val="es-ES_tradnl"/>
        </w:rPr>
        <w:t>e</w:t>
      </w:r>
      <w:r w:rsidR="00CD7A59" w:rsidRPr="002B72DB">
        <w:rPr>
          <w:lang w:val="es-ES_tradnl"/>
        </w:rPr>
        <w:t xml:space="preserve"> que van camino de alcanzar esta meta para 2020. La mayoría de los informes nacionales (5</w:t>
      </w:r>
      <w:r w:rsidRPr="002B72DB">
        <w:rPr>
          <w:lang w:val="es-ES_tradnl"/>
        </w:rPr>
        <w:t>7</w:t>
      </w:r>
      <w:r w:rsidR="00CD7A59" w:rsidRPr="002B72DB">
        <w:rPr>
          <w:lang w:val="es-ES_tradnl"/>
        </w:rPr>
        <w:t xml:space="preserve"> por ciento) indica que se está progresando hacia esta meta de Aichi pero no a un ritmo que permita alcanzarla para 2020. </w:t>
      </w:r>
      <w:r w:rsidRPr="002B72DB">
        <w:rPr>
          <w:lang w:val="es-ES_tradnl"/>
        </w:rPr>
        <w:t xml:space="preserve">Casi una cuarta parte (23 por ciento) de los informes indica que no se han producido cambios importantes. </w:t>
      </w:r>
      <w:r w:rsidR="00CD7A59" w:rsidRPr="002B72DB">
        <w:rPr>
          <w:lang w:val="es-ES_tradnl"/>
        </w:rPr>
        <w:t>Los informes nacionales contienen relativamente poca información sobre la sostenibilidad de la acuicultura. En los informes nacionales se aborda relativamente bien tanto la silvicultura como la agricultura y se sugiere que se están realizando acciones para abordar ambas cuestiones</w:t>
      </w:r>
      <w:r w:rsidR="00CD7A59" w:rsidRPr="002B72DB">
        <w:rPr>
          <w:rFonts w:eastAsia="Malgun Gothic" w:cs="Times New Roman"/>
          <w:kern w:val="22"/>
          <w:szCs w:val="22"/>
          <w:lang w:val="es-ES_tradnl"/>
        </w:rPr>
        <w:t>.</w:t>
      </w:r>
    </w:p>
    <w:p w:rsidR="00CD7A59" w:rsidRPr="002B72DB" w:rsidRDefault="00CD7A59">
      <w:pPr>
        <w:keepNext/>
        <w:suppressLineNumbers/>
        <w:tabs>
          <w:tab w:val="left" w:pos="180"/>
        </w:tabs>
        <w:suppressAutoHyphens/>
        <w:spacing w:after="120"/>
        <w:rPr>
          <w:rFonts w:cs="Times New Roman"/>
          <w:snapToGrid w:val="0"/>
          <w:color w:val="333333"/>
          <w:kern w:val="22"/>
          <w:szCs w:val="22"/>
          <w:shd w:val="clear" w:color="auto" w:fill="FFFFFF"/>
          <w:lang w:val="es-ES_tradnl"/>
        </w:rPr>
      </w:pPr>
      <w:r w:rsidRPr="002B72DB">
        <w:rPr>
          <w:i/>
          <w:color w:val="333333"/>
          <w:shd w:val="clear" w:color="auto" w:fill="FFFFFF"/>
          <w:lang w:val="es-ES_tradnl"/>
        </w:rPr>
        <w:t>Meta 8</w:t>
      </w:r>
      <w:r w:rsidRPr="002B72DB">
        <w:rPr>
          <w:i/>
          <w:lang w:val="es-ES_tradnl"/>
        </w:rPr>
        <w:t xml:space="preserve"> – </w:t>
      </w:r>
      <w:r w:rsidRPr="002B72DB">
        <w:rPr>
          <w:i/>
          <w:color w:val="333333"/>
          <w:shd w:val="clear" w:color="auto" w:fill="FFFFFF"/>
          <w:lang w:val="es-ES_tradnl"/>
        </w:rPr>
        <w:t>Para 2020, se habrá llevado la contaminación, incluida aquella producida por exceso de nutrientes, a niveles que no resulten perjudiciales para el funcionamiento de los ecosistemas y la diversidad biológica</w:t>
      </w:r>
    </w:p>
    <w:p w:rsidR="00CD7A59" w:rsidRPr="002B72DB" w:rsidRDefault="00082E70"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Un total de </w:t>
      </w:r>
      <w:r w:rsidR="00CD7A59" w:rsidRPr="002B72DB">
        <w:rPr>
          <w:lang w:val="es-ES_tradnl"/>
        </w:rPr>
        <w:t>1</w:t>
      </w:r>
      <w:r w:rsidRPr="002B72DB">
        <w:rPr>
          <w:lang w:val="es-ES_tradnl"/>
        </w:rPr>
        <w:t>4</w:t>
      </w:r>
      <w:r w:rsidR="00CD7A59" w:rsidRPr="002B72DB">
        <w:rPr>
          <w:lang w:val="es-ES_tradnl"/>
        </w:rPr>
        <w:t xml:space="preserve"> por ciento de las EPANB evaluadas contenía metas u otros compromisos similares en alcance y nivel de ambición a la meta 8 de Aichi</w:t>
      </w:r>
      <w:r w:rsidR="00CD7A59" w:rsidRPr="002B72DB">
        <w:rPr>
          <w:rFonts w:eastAsia="Malgun Gothic" w:cs="Times New Roman"/>
          <w:kern w:val="22"/>
          <w:szCs w:val="22"/>
          <w:vertAlign w:val="superscript"/>
          <w:lang w:val="es-ES_tradnl"/>
        </w:rPr>
        <w:footnoteReference w:id="19"/>
      </w:r>
      <w:r w:rsidR="00CD7A59" w:rsidRPr="002B72DB">
        <w:rPr>
          <w:rFonts w:eastAsia="Malgun Gothic" w:cs="Times New Roman"/>
          <w:kern w:val="22"/>
          <w:szCs w:val="22"/>
          <w:lang w:val="es-ES_tradnl"/>
        </w:rPr>
        <w:t xml:space="preserve">. </w:t>
      </w:r>
      <w:r w:rsidR="00CD7A59" w:rsidRPr="002B72DB">
        <w:rPr>
          <w:lang w:val="es-ES_tradnl"/>
        </w:rPr>
        <w:t>Sin embargo más de la mitad (5</w:t>
      </w:r>
      <w:r w:rsidRPr="002B72DB">
        <w:rPr>
          <w:lang w:val="es-ES_tradnl"/>
        </w:rPr>
        <w:t>8</w:t>
      </w:r>
      <w:r w:rsidR="00CD7A59" w:rsidRPr="002B72DB">
        <w:rPr>
          <w:lang w:val="es-ES_tradnl"/>
        </w:rPr>
        <w:t xml:space="preserve"> por ciento) de las EPANB contiene metas que son más bajas que esta meta de Aichi y/o que no abordan todos los elementos de la meta. </w:t>
      </w:r>
      <w:r w:rsidRPr="002B72DB">
        <w:rPr>
          <w:lang w:val="es-ES_tradnl"/>
        </w:rPr>
        <w:t>Más de una cuarta parte (</w:t>
      </w:r>
      <w:r w:rsidR="00CD7A59" w:rsidRPr="002B72DB">
        <w:rPr>
          <w:lang w:val="es-ES_tradnl"/>
        </w:rPr>
        <w:t>28 por ciento</w:t>
      </w:r>
      <w:r w:rsidRPr="002B72DB">
        <w:rPr>
          <w:lang w:val="es-ES_tradnl"/>
        </w:rPr>
        <w:t>)</w:t>
      </w:r>
      <w:r w:rsidR="00CD7A59" w:rsidRPr="002B72DB">
        <w:rPr>
          <w:lang w:val="es-ES_tradnl"/>
        </w:rPr>
        <w:t xml:space="preserve"> de las EPANB no contiene ninguna meta relacionada con la meta 8 de Aichi. Las metas fijadas se centran ligeramente más en reducir la contaminación que en reducir el exceso de nutrientes</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Solo el 4 por ciento de los informes nacionales contiene información que sugier</w:t>
      </w:r>
      <w:r w:rsidR="00F02227">
        <w:rPr>
          <w:lang w:val="es-ES_tradnl"/>
        </w:rPr>
        <w:t>e</w:t>
      </w:r>
      <w:r w:rsidRPr="002B72DB">
        <w:rPr>
          <w:lang w:val="es-ES_tradnl"/>
        </w:rPr>
        <w:t xml:space="preserve"> que van camino de alcanzar esta meta. Más del 40 por ciento de los informes nacionales contiene información que sugiere </w:t>
      </w:r>
      <w:r w:rsidRPr="002B72DB">
        <w:rPr>
          <w:lang w:val="es-ES_tradnl"/>
        </w:rPr>
        <w:lastRenderedPageBreak/>
        <w:t>que se está progresando hacia esta meta pero no a un ritmo que permita alcanzarla para 2020. Una proporción similar de informes indica que o bien no se ha progresado (2</w:t>
      </w:r>
      <w:r w:rsidR="00082E70" w:rsidRPr="002B72DB">
        <w:rPr>
          <w:lang w:val="es-ES_tradnl"/>
        </w:rPr>
        <w:t>7</w:t>
      </w:r>
      <w:r w:rsidRPr="002B72DB">
        <w:rPr>
          <w:lang w:val="es-ES_tradnl"/>
        </w:rPr>
        <w:t xml:space="preserve"> por ciento) hacia la meta o bien que la situación está empeorando (9 por ciento). Relativamente más informes contienen información sobre la contaminación en general que sobre cuestiones asociadas al exceso de nutrientes</w:t>
      </w:r>
      <w:r w:rsidRPr="002B72DB">
        <w:rPr>
          <w:rFonts w:eastAsia="Malgun Gothic" w:cs="Times New Roman"/>
          <w:kern w:val="22"/>
          <w:szCs w:val="22"/>
          <w:lang w:val="es-ES_tradnl"/>
        </w:rPr>
        <w:t>.</w:t>
      </w:r>
    </w:p>
    <w:p w:rsidR="00CD7A59" w:rsidRDefault="00CD7A59">
      <w:pPr>
        <w:suppressLineNumbers/>
        <w:tabs>
          <w:tab w:val="left" w:pos="180"/>
        </w:tabs>
        <w:suppressAutoHyphens/>
        <w:spacing w:after="120"/>
        <w:rPr>
          <w:i/>
          <w:snapToGrid w:val="0"/>
          <w:color w:val="333333"/>
          <w:kern w:val="22"/>
          <w:shd w:val="clear" w:color="auto" w:fill="FFFFFF"/>
          <w:lang w:val="es-ES_tradnl"/>
        </w:rPr>
      </w:pPr>
      <w:r w:rsidRPr="002B72DB">
        <w:rPr>
          <w:i/>
          <w:snapToGrid w:val="0"/>
          <w:color w:val="333333"/>
          <w:kern w:val="22"/>
          <w:shd w:val="clear" w:color="auto" w:fill="FFFFFF"/>
          <w:lang w:val="es-ES_tradnl"/>
        </w:rPr>
        <w:t>Meta 9</w:t>
      </w:r>
      <w:r w:rsidRPr="002B72DB">
        <w:rPr>
          <w:i/>
          <w:snapToGrid w:val="0"/>
          <w:kern w:val="22"/>
          <w:lang w:val="es-ES_tradnl"/>
        </w:rPr>
        <w:t xml:space="preserve"> – </w:t>
      </w:r>
      <w:r w:rsidRPr="002B72DB">
        <w:rPr>
          <w:i/>
          <w:snapToGrid w:val="0"/>
          <w:color w:val="333333"/>
          <w:kern w:val="22"/>
          <w:shd w:val="clear" w:color="auto" w:fill="FFFFFF"/>
          <w:lang w:val="es-ES_tradnl"/>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p w:rsidR="00CD7A59" w:rsidRPr="004A6CA3" w:rsidRDefault="007973C0" w:rsidP="007973C0">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Pr>
          <w:rFonts w:eastAsia="Malgun Gothic" w:cs="Times New Roman"/>
          <w:kern w:val="22"/>
          <w:szCs w:val="22"/>
          <w:lang w:val="es-ES_tradnl"/>
        </w:rPr>
        <w:t>Esta meta de Aichi es de las que más en línea están con las metas nacionales de las EPANB.</w:t>
      </w:r>
      <w:r>
        <w:rPr>
          <w:rFonts w:cs="Times New Roman"/>
          <w:i/>
          <w:iCs/>
          <w:color w:val="333333"/>
          <w:kern w:val="22"/>
          <w:szCs w:val="22"/>
          <w:shd w:val="clear" w:color="auto" w:fill="FFFFFF"/>
          <w:lang w:val="es-ES_tradnl"/>
        </w:rPr>
        <w:t xml:space="preserve"> </w:t>
      </w:r>
      <w:r w:rsidR="00CD7A59" w:rsidRPr="002B72DB">
        <w:rPr>
          <w:lang w:val="es-ES_tradnl"/>
        </w:rPr>
        <w:t>Casi una cuarta parte (2</w:t>
      </w:r>
      <w:r w:rsidR="00753422" w:rsidRPr="002B72DB">
        <w:rPr>
          <w:lang w:val="es-ES_tradnl"/>
        </w:rPr>
        <w:t>2</w:t>
      </w:r>
      <w:r w:rsidR="00CD7A59" w:rsidRPr="002B72DB">
        <w:rPr>
          <w:lang w:val="es-ES_tradnl"/>
        </w:rPr>
        <w:t> por ciento) de las EPANB contenía metas nacionales u otros compromisos con un nivel de ambición y un alcance similares a los establecidos en esta meta de Aichi</w:t>
      </w:r>
      <w:r w:rsidR="00CD7A59" w:rsidRPr="002B72DB">
        <w:rPr>
          <w:rFonts w:eastAsia="Malgun Gothic" w:cs="Times New Roman"/>
          <w:kern w:val="22"/>
          <w:szCs w:val="22"/>
          <w:vertAlign w:val="superscript"/>
          <w:lang w:val="es-ES_tradnl"/>
        </w:rPr>
        <w:footnoteReference w:id="20"/>
      </w:r>
      <w:r w:rsidR="00CD7A59" w:rsidRPr="002B72DB">
        <w:rPr>
          <w:rFonts w:eastAsia="Malgun Gothic" w:cs="Times New Roman"/>
          <w:kern w:val="22"/>
          <w:szCs w:val="22"/>
          <w:lang w:val="es-ES_tradnl"/>
        </w:rPr>
        <w:t>. Asimismo, una EPANB incluía una meta nacional que sobrepasaba la meta de Aichi, ya que tenía un plazo para el año 2015</w:t>
      </w:r>
      <w:r w:rsidR="00CD7A59" w:rsidRPr="002B72DB">
        <w:rPr>
          <w:rStyle w:val="FootnoteReference"/>
          <w:rFonts w:eastAsia="Malgun Gothic" w:cs="Times New Roman"/>
          <w:kern w:val="22"/>
          <w:sz w:val="22"/>
          <w:szCs w:val="22"/>
          <w:vertAlign w:val="superscript"/>
          <w:lang w:val="es-ES_tradnl"/>
        </w:rPr>
        <w:footnoteReference w:id="21"/>
      </w:r>
      <w:r w:rsidR="00CD7A59" w:rsidRPr="002B72DB">
        <w:rPr>
          <w:rFonts w:eastAsia="Malgun Gothic" w:cs="Times New Roman"/>
          <w:kern w:val="22"/>
          <w:szCs w:val="22"/>
          <w:lang w:val="es-ES_tradnl"/>
        </w:rPr>
        <w:t>. M</w:t>
      </w:r>
      <w:r w:rsidR="00CD7A59" w:rsidRPr="002B72DB">
        <w:rPr>
          <w:lang w:val="es-ES_tradnl"/>
        </w:rPr>
        <w:t>ás de la mitad de las EPANB (</w:t>
      </w:r>
      <w:r w:rsidR="00753422" w:rsidRPr="002B72DB">
        <w:rPr>
          <w:lang w:val="es-ES_tradnl"/>
        </w:rPr>
        <w:t xml:space="preserve">62 </w:t>
      </w:r>
      <w:r w:rsidR="00CD7A59" w:rsidRPr="002B72DB">
        <w:rPr>
          <w:lang w:val="es-ES_tradnl"/>
        </w:rPr>
        <w:t>por ciento) tiene metas que son más bajas que esta meta de Aichi o que no abordan todos sus elementos. Alrededor del</w:t>
      </w:r>
      <w:r w:rsidR="004A6CA3">
        <w:rPr>
          <w:lang w:val="es-ES_tradnl"/>
        </w:rPr>
        <w:t xml:space="preserve"> </w:t>
      </w:r>
      <w:r w:rsidR="00753422" w:rsidRPr="002B72DB">
        <w:rPr>
          <w:lang w:val="es-ES_tradnl"/>
        </w:rPr>
        <w:t>16 </w:t>
      </w:r>
      <w:r w:rsidR="00CD7A59" w:rsidRPr="002B72DB">
        <w:rPr>
          <w:lang w:val="es-ES_tradnl"/>
        </w:rPr>
        <w:t>por ciento de las EPANB no contiene ninguna meta relacionada con esta meta de Aichi. Muchas de las metas fijadas por las Partes son amplias y se refieren al control de especies exóticas invasoras en general. Además, muchas de las metas nacionales establecidas no consideran cuestiones relacionadas con identificar vías de introducción de especies exóticas invasoras y concederles prioridad</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4A6CA3">
        <w:rPr>
          <w:lang w:val="es-ES_tradnl"/>
        </w:rPr>
        <w:t xml:space="preserve">El </w:t>
      </w:r>
      <w:r w:rsidR="00753422" w:rsidRPr="004A6CA3">
        <w:rPr>
          <w:lang w:val="es-ES_tradnl"/>
        </w:rPr>
        <w:t xml:space="preserve">3 </w:t>
      </w:r>
      <w:r w:rsidRPr="004A6CA3">
        <w:rPr>
          <w:lang w:val="es-ES_tradnl"/>
        </w:rPr>
        <w:t>por ciento de los informes nacionales contiene información que sugiere que van camino de alcanzar esta meta. Casi la mitad (49 por ciento) de los informes nacionales contiene información que sugiere que se está avanzando hacia esta meta, pero no a</w:t>
      </w:r>
      <w:r w:rsidRPr="004A6CA3">
        <w:rPr>
          <w:rFonts w:eastAsia="Malgun Gothic" w:cs="Times New Roman"/>
          <w:kern w:val="22"/>
          <w:szCs w:val="22"/>
          <w:lang w:val="es-ES_tradnl"/>
        </w:rPr>
        <w:t xml:space="preserve"> </w:t>
      </w:r>
      <w:r w:rsidRPr="004A6CA3">
        <w:rPr>
          <w:lang w:val="es-ES_tradnl"/>
        </w:rPr>
        <w:t>un ritmo que permita alcanzarla para el año 2020, mientras que un tercio (3</w:t>
      </w:r>
      <w:r w:rsidR="00753422" w:rsidRPr="004A6CA3">
        <w:rPr>
          <w:lang w:val="es-ES_tradnl"/>
        </w:rPr>
        <w:t>3</w:t>
      </w:r>
      <w:r w:rsidRPr="004A6CA3">
        <w:rPr>
          <w:lang w:val="es-ES_tradnl"/>
        </w:rPr>
        <w:t xml:space="preserve"> por ciento) de los inf</w:t>
      </w:r>
      <w:r w:rsidRPr="004A6CA3">
        <w:rPr>
          <w:rFonts w:eastAsia="Malgun Gothic" w:cs="Times New Roman"/>
          <w:kern w:val="22"/>
          <w:szCs w:val="22"/>
          <w:lang w:val="es-ES_tradnl"/>
        </w:rPr>
        <w:t>or</w:t>
      </w:r>
      <w:r w:rsidRPr="002B72DB">
        <w:rPr>
          <w:lang w:val="es-ES_tradnl"/>
        </w:rPr>
        <w:t>mes nacionales sugiere que en general no se ha avanzado hacia esta meta. La información contenida en los informes nacionales sugiere que la mayor parte de los esfuerzos realizados para alcanzar esta meta se centran en controlar y/o erradicar las especies exóticas invasoras ya establecidas, mientras que en comparación se han hecho pocos esfuerzos para establecer medidas de gestión de las vías de introducción</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lang w:val="es-ES_tradnl"/>
        </w:rPr>
      </w:pPr>
      <w:r w:rsidRPr="002B72DB">
        <w:rPr>
          <w:i/>
          <w:lang w:val="es-ES_tradnl"/>
        </w:rPr>
        <w:t>Meta 10 – Para 2015, se habrán reducido al mínimo las múltiples presiones antropógenas sobre los arrecifes de coral y otros ecosistemas vulnerables afectados por el cambio climático o la acidificación de los océanos, a fin de mantener su integridad y funcionamiento</w:t>
      </w:r>
    </w:p>
    <w:p w:rsidR="00CD7A59" w:rsidRPr="002B72DB" w:rsidRDefault="00753422"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Solo e</w:t>
      </w:r>
      <w:r w:rsidR="00CD7A59" w:rsidRPr="002B72DB">
        <w:rPr>
          <w:lang w:val="es-ES_tradnl"/>
        </w:rPr>
        <w:t xml:space="preserve">l </w:t>
      </w:r>
      <w:r w:rsidRPr="002B72DB">
        <w:rPr>
          <w:lang w:val="es-ES_tradnl"/>
        </w:rPr>
        <w:t xml:space="preserve">8 </w:t>
      </w:r>
      <w:r w:rsidR="00CD7A59" w:rsidRPr="002B72DB">
        <w:rPr>
          <w:lang w:val="es-ES_tradnl"/>
        </w:rPr>
        <w:t>por ciento de las EPANB evaluadas contiene metas nacionales u otros compromisos con un alcance y un nivel de ambición similar a los establecidos en la meta 10 de Aichi</w:t>
      </w:r>
      <w:r w:rsidR="00CD7A59" w:rsidRPr="002B72DB">
        <w:rPr>
          <w:rFonts w:eastAsia="Malgun Gothic" w:cs="Times New Roman"/>
          <w:kern w:val="22"/>
          <w:szCs w:val="22"/>
          <w:vertAlign w:val="superscript"/>
          <w:lang w:val="es-ES_tradnl"/>
        </w:rPr>
        <w:footnoteReference w:id="22"/>
      </w:r>
      <w:r w:rsidR="00CD7A59" w:rsidRPr="002B72DB">
        <w:rPr>
          <w:rFonts w:eastAsia="Malgun Gothic" w:cs="Times New Roman"/>
          <w:kern w:val="22"/>
          <w:szCs w:val="22"/>
          <w:lang w:val="es-ES_tradnl"/>
        </w:rPr>
        <w:t xml:space="preserve"> </w:t>
      </w:r>
      <w:r w:rsidRPr="002B72DB">
        <w:rPr>
          <w:rFonts w:eastAsia="Malgun Gothic" w:cs="Times New Roman"/>
          <w:kern w:val="22"/>
          <w:szCs w:val="22"/>
          <w:lang w:val="es-ES_tradnl"/>
        </w:rPr>
        <w:t>y e</w:t>
      </w:r>
      <w:r w:rsidR="00CD7A59" w:rsidRPr="002B72DB">
        <w:rPr>
          <w:lang w:val="es-ES_tradnl"/>
        </w:rPr>
        <w:t xml:space="preserve">l </w:t>
      </w:r>
      <w:r w:rsidRPr="002B72DB">
        <w:rPr>
          <w:lang w:val="es-ES_tradnl"/>
        </w:rPr>
        <w:t xml:space="preserve">50 </w:t>
      </w:r>
      <w:r w:rsidR="00CD7A59" w:rsidRPr="002B72DB">
        <w:rPr>
          <w:lang w:val="es-ES_tradnl"/>
        </w:rPr>
        <w:t xml:space="preserve">por ciento de las EPANB contiene metas nacionales o compromisos similares que son más bajos que esta meta de Aichi o que no abordan todos los elementos de esta meta de Aichi. </w:t>
      </w:r>
      <w:r w:rsidRPr="002B72DB">
        <w:rPr>
          <w:lang w:val="es-ES_tradnl"/>
        </w:rPr>
        <w:t xml:space="preserve">Un total de </w:t>
      </w:r>
      <w:r w:rsidR="00CD7A59" w:rsidRPr="002B72DB">
        <w:rPr>
          <w:lang w:val="es-ES_tradnl"/>
        </w:rPr>
        <w:t>4</w:t>
      </w:r>
      <w:r w:rsidRPr="002B72DB">
        <w:rPr>
          <w:lang w:val="es-ES_tradnl"/>
        </w:rPr>
        <w:t>2</w:t>
      </w:r>
      <w:r w:rsidR="00CD7A59" w:rsidRPr="002B72DB">
        <w:rPr>
          <w:lang w:val="es-ES_tradnl"/>
        </w:rPr>
        <w:t xml:space="preserve"> por ciento de las EPANB no contiene ninguna meta nacional relacionada con esta meta de Aichi. Esta es una de las metas de Aichi con el menor número de EPANB que contienen metas comparables. La mayoría de las metas nacionales establecidas son</w:t>
      </w:r>
      <w:r w:rsidRPr="002B72DB">
        <w:rPr>
          <w:lang w:val="es-ES_tradnl"/>
        </w:rPr>
        <w:t>, en su mayoría,</w:t>
      </w:r>
      <w:r w:rsidR="007A5206" w:rsidRPr="002B72DB">
        <w:rPr>
          <w:lang w:val="es-ES_tradnl"/>
        </w:rPr>
        <w:t xml:space="preserve"> </w:t>
      </w:r>
      <w:r w:rsidR="00CD7A59" w:rsidRPr="002B72DB">
        <w:rPr>
          <w:lang w:val="es-ES_tradnl"/>
        </w:rPr>
        <w:t>general</w:t>
      </w:r>
      <w:r w:rsidRPr="002B72DB">
        <w:rPr>
          <w:lang w:val="es-ES_tradnl"/>
        </w:rPr>
        <w:t>es</w:t>
      </w:r>
      <w:r w:rsidR="00F6362C" w:rsidRPr="002B72DB">
        <w:rPr>
          <w:lang w:val="es-ES_tradnl"/>
        </w:rPr>
        <w:t>, y p</w:t>
      </w:r>
      <w:r w:rsidR="00CD7A59" w:rsidRPr="002B72DB">
        <w:rPr>
          <w:lang w:val="es-ES_tradnl"/>
        </w:rPr>
        <w:t>ocas hacen referencia explícita a los arrecifes de coral u otros ecosistemas específicos vulnerables al cambio climático</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Solo el 3 por ciento de los informes nacionales contiene información que sugier</w:t>
      </w:r>
      <w:r w:rsidR="00F02227">
        <w:rPr>
          <w:lang w:val="es-ES_tradnl"/>
        </w:rPr>
        <w:t>e</w:t>
      </w:r>
      <w:r w:rsidRPr="002B72DB">
        <w:rPr>
          <w:lang w:val="es-ES_tradnl"/>
        </w:rPr>
        <w:t xml:space="preserve"> que van camino de alcanzar esta meta, mientras que un tercio de los informes sugiere que se está avanzando hacia la meta pero a un ritmo que no permitirá alcanzarla. Casi una cuarta parte (23 por ciento) de los informes sugiere que no ha habido cambios significativos, mientras que un 7 por ciento de los informes contienen información que sugiere que la situación está empeorando. En comparación con otras metas, relativamente pocos países proporcionan información sobre el progreso hacia esta meta. Más de una </w:t>
      </w:r>
      <w:r w:rsidRPr="002B72DB">
        <w:rPr>
          <w:lang w:val="es-ES_tradnl"/>
        </w:rPr>
        <w:lastRenderedPageBreak/>
        <w:t>tercera parte (3</w:t>
      </w:r>
      <w:r w:rsidR="00F6362C" w:rsidRPr="002B72DB">
        <w:rPr>
          <w:lang w:val="es-ES_tradnl"/>
        </w:rPr>
        <w:t>2</w:t>
      </w:r>
      <w:r w:rsidRPr="002B72DB">
        <w:rPr>
          <w:lang w:val="es-ES_tradnl"/>
        </w:rPr>
        <w:t xml:space="preserve"> </w:t>
      </w:r>
      <w:r w:rsidR="007973C0">
        <w:rPr>
          <w:lang w:val="es-ES_tradnl"/>
        </w:rPr>
        <w:t>por ciento</w:t>
      </w:r>
      <w:r w:rsidRPr="002B72DB">
        <w:rPr>
          <w:lang w:val="es-ES_tradnl"/>
        </w:rPr>
        <w:t>) de los informes no contiene información que permita evaluar el progreso hacia esta meta</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lang w:val="es-ES_tradnl"/>
        </w:rPr>
      </w:pPr>
      <w:r w:rsidRPr="002B72DB">
        <w:rPr>
          <w:i/>
          <w:lang w:val="es-ES_tradnl"/>
        </w:rPr>
        <w:t>Meta 11 – 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El 1</w:t>
      </w:r>
      <w:r w:rsidR="00F6362C" w:rsidRPr="002B72DB">
        <w:rPr>
          <w:lang w:val="es-ES_tradnl"/>
        </w:rPr>
        <w:t>0</w:t>
      </w:r>
      <w:r w:rsidRPr="002B72DB">
        <w:rPr>
          <w:lang w:val="es-ES_tradnl"/>
        </w:rPr>
        <w:t> por ciento de las EPANB consideradas en esta evaluación contenía metas o compromisos con un alcance y un nivel de ambición similares a los establecidos en esta meta de Aichi para la diversidad biológica</w:t>
      </w:r>
      <w:r w:rsidRPr="002B72DB">
        <w:rPr>
          <w:rFonts w:eastAsia="Malgun Gothic" w:cs="Times New Roman"/>
          <w:kern w:val="22"/>
          <w:szCs w:val="22"/>
          <w:vertAlign w:val="superscript"/>
          <w:lang w:val="es-ES_tradnl"/>
        </w:rPr>
        <w:footnoteReference w:id="23"/>
      </w:r>
      <w:r w:rsidRPr="002B72DB">
        <w:rPr>
          <w:rFonts w:eastAsia="Malgun Gothic" w:cs="Times New Roman"/>
          <w:kern w:val="22"/>
          <w:szCs w:val="22"/>
          <w:lang w:val="es-ES_tradnl"/>
        </w:rPr>
        <w:t xml:space="preserve">. </w:t>
      </w:r>
      <w:r w:rsidRPr="002B72DB">
        <w:rPr>
          <w:lang w:val="es-ES_tradnl"/>
        </w:rPr>
        <w:t>Otro 2 por ciento de las EPANB cont</w:t>
      </w:r>
      <w:r w:rsidR="00F6362C" w:rsidRPr="002B72DB">
        <w:rPr>
          <w:lang w:val="es-ES_tradnl"/>
        </w:rPr>
        <w:t xml:space="preserve">iene </w:t>
      </w:r>
      <w:r w:rsidRPr="002B72DB">
        <w:rPr>
          <w:lang w:val="es-ES_tradnl"/>
        </w:rPr>
        <w:t>metas nacionales que eran más ambiciosas que esta meta de Aichi</w:t>
      </w:r>
      <w:r w:rsidRPr="002B72DB">
        <w:rPr>
          <w:rFonts w:eastAsia="Malgun Gothic" w:cs="Times New Roman"/>
          <w:kern w:val="22"/>
          <w:szCs w:val="22"/>
          <w:vertAlign w:val="superscript"/>
          <w:lang w:val="es-ES_tradnl"/>
        </w:rPr>
        <w:footnoteReference w:id="24"/>
      </w:r>
      <w:r w:rsidRPr="002B72DB">
        <w:rPr>
          <w:rFonts w:eastAsia="Malgun Gothic" w:cs="Times New Roman"/>
          <w:kern w:val="22"/>
          <w:szCs w:val="22"/>
          <w:lang w:val="es-ES_tradnl"/>
        </w:rPr>
        <w:t xml:space="preserve">. </w:t>
      </w:r>
      <w:r w:rsidR="00F6362C" w:rsidRPr="002B72DB">
        <w:rPr>
          <w:rFonts w:eastAsia="Malgun Gothic" w:cs="Times New Roman"/>
          <w:kern w:val="22"/>
          <w:szCs w:val="22"/>
          <w:lang w:val="es-ES_tradnl"/>
        </w:rPr>
        <w:t xml:space="preserve">Más de tres cuartas partes </w:t>
      </w:r>
      <w:r w:rsidRPr="002B72DB">
        <w:rPr>
          <w:rFonts w:eastAsia="Malgun Gothic" w:cs="Times New Roman"/>
          <w:kern w:val="22"/>
          <w:szCs w:val="22"/>
          <w:lang w:val="es-ES_tradnl"/>
        </w:rPr>
        <w:t>(</w:t>
      </w:r>
      <w:r w:rsidR="00F6362C" w:rsidRPr="002B72DB">
        <w:rPr>
          <w:rFonts w:eastAsia="Malgun Gothic" w:cs="Times New Roman"/>
          <w:kern w:val="22"/>
          <w:szCs w:val="22"/>
          <w:lang w:val="es-ES_tradnl"/>
        </w:rPr>
        <w:t xml:space="preserve">77 </w:t>
      </w:r>
      <w:r w:rsidRPr="002B72DB">
        <w:rPr>
          <w:rFonts w:eastAsia="Malgun Gothic" w:cs="Times New Roman"/>
          <w:kern w:val="22"/>
          <w:szCs w:val="22"/>
          <w:lang w:val="es-ES_tradnl"/>
        </w:rPr>
        <w:t xml:space="preserve">por ciento) </w:t>
      </w:r>
      <w:r w:rsidRPr="002B72DB">
        <w:rPr>
          <w:lang w:val="es-ES_tradnl"/>
        </w:rPr>
        <w:t>de las EPANB cont</w:t>
      </w:r>
      <w:r w:rsidR="00F6362C" w:rsidRPr="002B72DB">
        <w:rPr>
          <w:lang w:val="es-ES_tradnl"/>
        </w:rPr>
        <w:t>iene</w:t>
      </w:r>
      <w:r w:rsidRPr="002B72DB">
        <w:rPr>
          <w:lang w:val="es-ES_tradnl"/>
        </w:rPr>
        <w:t xml:space="preserve"> metas nacionales que o bien </w:t>
      </w:r>
      <w:r w:rsidR="00F6362C" w:rsidRPr="002B72DB">
        <w:rPr>
          <w:lang w:val="es-ES_tradnl"/>
        </w:rPr>
        <w:t xml:space="preserve">son </w:t>
      </w:r>
      <w:r w:rsidRPr="002B72DB">
        <w:rPr>
          <w:lang w:val="es-ES_tradnl"/>
        </w:rPr>
        <w:t xml:space="preserve">más bajas que esta meta de Aichi o bien no abordaban todos los elementos de esta meta. Alrededor del </w:t>
      </w:r>
      <w:r w:rsidR="00F6362C" w:rsidRPr="002B72DB">
        <w:rPr>
          <w:lang w:val="es-ES_tradnl"/>
        </w:rPr>
        <w:t>10 </w:t>
      </w:r>
      <w:r w:rsidRPr="002B72DB">
        <w:rPr>
          <w:lang w:val="es-ES_tradnl"/>
        </w:rPr>
        <w:t>por ciento de las EPANB no cont</w:t>
      </w:r>
      <w:r w:rsidR="00F6362C" w:rsidRPr="002B72DB">
        <w:rPr>
          <w:lang w:val="es-ES_tradnl"/>
        </w:rPr>
        <w:t>iene</w:t>
      </w:r>
      <w:r w:rsidRPr="002B72DB">
        <w:rPr>
          <w:lang w:val="es-ES_tradnl"/>
        </w:rPr>
        <w:t xml:space="preserve"> ninguna meta nacional o compromiso similar relacionados con esta meta de Aichi para la diversidad biológica. Muchas de las metas se referían a la mejora de las zonas protegidas del país en general. El mayor énfasis de las metas nacionales estaba puesto en la ampliación del tamaño del patrimonio de zonas protegidas terrestres. Se prestaba ligeramente menos atención a la creación de zonas marinas protegidas. Las EPANB tampoco cubrían tan bien los elementos más cualitativos de esta meta de Aichi (representatividad ecológica, eficacia de la gestión, protección de zonas de particular importancia e interconexión</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rFonts w:eastAsia="Malgun Gothic" w:cs="Times New Roman"/>
          <w:kern w:val="22"/>
          <w:szCs w:val="22"/>
          <w:lang w:val="es-ES_tradnl"/>
        </w:rPr>
        <w:t xml:space="preserve">Una quinta parte </w:t>
      </w:r>
      <w:r w:rsidRPr="002B72DB">
        <w:rPr>
          <w:lang w:val="es-ES_tradnl"/>
        </w:rPr>
        <w:t xml:space="preserve">de los informes nacionales sugiere que van camino de alcanzar esta meta para 2020. Otro </w:t>
      </w:r>
      <w:r w:rsidR="00F6362C" w:rsidRPr="002B72DB">
        <w:rPr>
          <w:lang w:val="es-ES_tradnl"/>
        </w:rPr>
        <w:t xml:space="preserve">67 </w:t>
      </w:r>
      <w:r w:rsidRPr="002B72DB">
        <w:rPr>
          <w:lang w:val="es-ES_tradnl"/>
        </w:rPr>
        <w:t xml:space="preserve">por ciento de los informes indica que se está progresando hacia esta meta pero no a un ritmo que permita alcanzarla antes de que termine el plazo. Solo el </w:t>
      </w:r>
      <w:r w:rsidR="00F6362C" w:rsidRPr="002B72DB">
        <w:rPr>
          <w:lang w:val="es-ES_tradnl"/>
        </w:rPr>
        <w:t>7 </w:t>
      </w:r>
      <w:r w:rsidRPr="002B72DB">
        <w:rPr>
          <w:lang w:val="es-ES_tradnl"/>
        </w:rPr>
        <w:t>por ciento de los informes indica que no hay cambios significativos y ninguno comunica que la situación esté empeorando. El progreso hacia esta meta es de los más positivos de las 20 metas de Aichi, pero parece que las Partes se centran en gran medida en la expansión de las zonas terrestres protegidas, y en comparación pocos informes presentan información relacionada con zonas marinas protegidas. Además, más de la mitad de los informes no contiene información sobre la representatividad ecológica de las zonas protegidas o sobre la integración de zonas protegidas en paisajes terrestres y marinos más amplios. Por otra parte, más de un tercio de los informes no contiene ninguna información sobre la protección de zonas de particular importancia para la diversidad biológica o sobre la cuestión de asegurar la administración eficaz y equitativa de las zonas protegidas</w:t>
      </w:r>
      <w:r w:rsidRPr="002B72DB">
        <w:rPr>
          <w:rFonts w:eastAsia="Malgun Gothic" w:cs="Times New Roman"/>
          <w:kern w:val="22"/>
          <w:szCs w:val="22"/>
          <w:lang w:val="es-ES_tradnl"/>
        </w:rPr>
        <w:t>.</w:t>
      </w:r>
    </w:p>
    <w:p w:rsidR="00CD7A59" w:rsidRPr="002B72DB" w:rsidRDefault="00CD7A59">
      <w:pPr>
        <w:keepNext/>
        <w:suppressLineNumbers/>
        <w:suppressAutoHyphens/>
        <w:spacing w:after="120"/>
        <w:rPr>
          <w:rFonts w:cs="Times New Roman"/>
          <w:i/>
          <w:iCs/>
          <w:lang w:val="es-ES_tradnl"/>
        </w:rPr>
      </w:pPr>
      <w:r w:rsidRPr="002B72DB">
        <w:rPr>
          <w:i/>
          <w:lang w:val="es-ES_tradnl"/>
        </w:rPr>
        <w:t>Meta 12 – Para 2020, se habrá evitado la extinción de especies en peligro identificadas y su estado de conservación se habrá mejorado y sostenido, especialmente para las especies en mayor declive</w:t>
      </w:r>
    </w:p>
    <w:p w:rsidR="00CD7A59" w:rsidRPr="002B72DB" w:rsidRDefault="00F6362C"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rFonts w:eastAsia="Malgun Gothic" w:cs="Times New Roman"/>
          <w:kern w:val="22"/>
          <w:szCs w:val="22"/>
          <w:lang w:val="es-ES_tradnl"/>
        </w:rPr>
        <w:t xml:space="preserve">Menos de </w:t>
      </w:r>
      <w:r w:rsidR="00CD7A59" w:rsidRPr="002B72DB">
        <w:rPr>
          <w:rFonts w:eastAsia="Malgun Gothic" w:cs="Times New Roman"/>
          <w:kern w:val="22"/>
          <w:szCs w:val="22"/>
          <w:lang w:val="es-ES_tradnl"/>
        </w:rPr>
        <w:t xml:space="preserve">una </w:t>
      </w:r>
      <w:r w:rsidRPr="002B72DB">
        <w:rPr>
          <w:rFonts w:eastAsia="Malgun Gothic" w:cs="Times New Roman"/>
          <w:kern w:val="22"/>
          <w:szCs w:val="22"/>
          <w:lang w:val="es-ES_tradnl"/>
        </w:rPr>
        <w:t xml:space="preserve">quinta </w:t>
      </w:r>
      <w:r w:rsidR="00CD7A59" w:rsidRPr="002B72DB">
        <w:rPr>
          <w:rFonts w:eastAsia="Malgun Gothic" w:cs="Times New Roman"/>
          <w:kern w:val="22"/>
          <w:szCs w:val="22"/>
          <w:lang w:val="es-ES_tradnl"/>
        </w:rPr>
        <w:t>parte (</w:t>
      </w:r>
      <w:r w:rsidRPr="002B72DB">
        <w:rPr>
          <w:rFonts w:eastAsia="Malgun Gothic" w:cs="Times New Roman"/>
          <w:kern w:val="22"/>
          <w:szCs w:val="22"/>
          <w:lang w:val="es-ES_tradnl"/>
        </w:rPr>
        <w:t xml:space="preserve">19 </w:t>
      </w:r>
      <w:r w:rsidR="00CD7A59" w:rsidRPr="002B72DB">
        <w:rPr>
          <w:rFonts w:eastAsia="Malgun Gothic" w:cs="Times New Roman"/>
          <w:kern w:val="22"/>
          <w:szCs w:val="22"/>
          <w:lang w:val="es-ES_tradnl"/>
        </w:rPr>
        <w:t xml:space="preserve">por ciento) </w:t>
      </w:r>
      <w:r w:rsidR="00CD7A59" w:rsidRPr="002B72DB">
        <w:rPr>
          <w:lang w:val="es-ES_tradnl"/>
        </w:rPr>
        <w:t>de las EPANB contiene metas con un alcance y un nivel de ambición similares a los establecidos en la meta 12 de Aichi para la diversidad biológica</w:t>
      </w:r>
      <w:r w:rsidR="00CD7A59" w:rsidRPr="002B72DB">
        <w:rPr>
          <w:rFonts w:eastAsia="Malgun Gothic" w:cs="Times New Roman"/>
          <w:kern w:val="22"/>
          <w:szCs w:val="22"/>
          <w:vertAlign w:val="superscript"/>
          <w:lang w:val="es-ES_tradnl"/>
        </w:rPr>
        <w:footnoteReference w:id="25"/>
      </w:r>
      <w:r w:rsidR="00CD7A59" w:rsidRPr="002B72DB">
        <w:rPr>
          <w:rFonts w:eastAsia="Malgun Gothic" w:cs="Times New Roman"/>
          <w:kern w:val="22"/>
          <w:szCs w:val="22"/>
          <w:lang w:val="es-ES_tradnl"/>
        </w:rPr>
        <w:t xml:space="preserve">. </w:t>
      </w:r>
      <w:r w:rsidRPr="002B72DB">
        <w:rPr>
          <w:rFonts w:eastAsia="Malgun Gothic" w:cs="Times New Roman"/>
          <w:kern w:val="22"/>
          <w:szCs w:val="22"/>
          <w:lang w:val="es-ES_tradnl"/>
        </w:rPr>
        <w:t xml:space="preserve">Un total de </w:t>
      </w:r>
      <w:r w:rsidR="00CD7A59" w:rsidRPr="002B72DB">
        <w:rPr>
          <w:rFonts w:eastAsia="Malgun Gothic" w:cs="Times New Roman"/>
          <w:kern w:val="22"/>
          <w:szCs w:val="22"/>
          <w:lang w:val="es-ES_tradnl"/>
        </w:rPr>
        <w:t>6</w:t>
      </w:r>
      <w:r w:rsidRPr="002B72DB">
        <w:rPr>
          <w:rFonts w:eastAsia="Malgun Gothic" w:cs="Times New Roman"/>
          <w:kern w:val="22"/>
          <w:szCs w:val="22"/>
          <w:lang w:val="es-ES_tradnl"/>
        </w:rPr>
        <w:t>7</w:t>
      </w:r>
      <w:r w:rsidR="00CD7A59" w:rsidRPr="002B72DB">
        <w:rPr>
          <w:rFonts w:eastAsia="Malgun Gothic" w:cs="Times New Roman"/>
          <w:kern w:val="22"/>
          <w:szCs w:val="22"/>
          <w:lang w:val="es-ES_tradnl"/>
        </w:rPr>
        <w:t xml:space="preserve"> por ciento </w:t>
      </w:r>
      <w:r w:rsidR="00CD7A59" w:rsidRPr="002B72DB">
        <w:rPr>
          <w:lang w:val="es-ES_tradnl"/>
        </w:rPr>
        <w:t xml:space="preserve">de las EPANB contiene metas que o bien son más bajas que esta meta de Aichi o bien no cubren todos los elementos de esta meta, y </w:t>
      </w:r>
      <w:r w:rsidR="007973C0">
        <w:rPr>
          <w:lang w:val="es-ES_tradnl"/>
        </w:rPr>
        <w:t xml:space="preserve">otro </w:t>
      </w:r>
      <w:r w:rsidR="001422BF" w:rsidRPr="002B72DB">
        <w:rPr>
          <w:lang w:val="es-ES_tradnl"/>
        </w:rPr>
        <w:t>14</w:t>
      </w:r>
      <w:r w:rsidR="007973C0">
        <w:rPr>
          <w:lang w:val="es-ES_tradnl"/>
        </w:rPr>
        <w:t xml:space="preserve"> </w:t>
      </w:r>
      <w:r w:rsidR="00CD7A59" w:rsidRPr="002B72DB">
        <w:rPr>
          <w:lang w:val="es-ES_tradnl"/>
        </w:rPr>
        <w:t>por ciento de las EPANB no contiene ninguna meta o compromiso nacionales relacionados con esta meta de Aichi. Las metas nacionales que se han establecido se centran por igual en la prevención de extinciones y en la mejora del estado de conservación de especies amenazadas</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lastRenderedPageBreak/>
        <w:t>Solo el 4 por ciento de los informes nacionales contiene información que sugier</w:t>
      </w:r>
      <w:r w:rsidR="00F02227">
        <w:rPr>
          <w:lang w:val="es-ES_tradnl"/>
        </w:rPr>
        <w:t>e</w:t>
      </w:r>
      <w:r w:rsidRPr="002B72DB">
        <w:rPr>
          <w:lang w:val="es-ES_tradnl"/>
        </w:rPr>
        <w:t xml:space="preserve"> que van camino de alcanzar esta meta antes de que termine el plazo. Más de la mitad (51 por ciento) de los informes nacionales contiene información que indica que, si bien se están haciendo progresos hacia esta meta, no serán suficientes para alcanzarla en el año 2020 como muy tarde. En general parece que se está progresando más en la mejora del estado de conservación de las especies que en la prevención de su extinción. Sin embargo la distinción entre evitar la extinción de especies y mejorar el estado de conservación de las especies no siempre está clara</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lang w:val="es-ES_tradnl"/>
        </w:rPr>
      </w:pPr>
      <w:r w:rsidRPr="002B72DB">
        <w:rPr>
          <w:i/>
          <w:lang w:val="es-ES_tradnl"/>
        </w:rPr>
        <w:t>Meta 13 – Para 2020, se mantiene la diversidad genética de las especies vegetales cultivadas y de los animales de granja y domesticados y de las especies silvestres emparentadas, incluidas otras especies de valor socioeconómico y cultural, y se han desarrollado y puesto en práctica estrategias para reducir al mínimo la erosión genética y salvaguardar su diversidad genética</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El </w:t>
      </w:r>
      <w:r w:rsidR="001422BF" w:rsidRPr="002B72DB">
        <w:rPr>
          <w:lang w:val="es-ES_tradnl"/>
        </w:rPr>
        <w:t xml:space="preserve">13 </w:t>
      </w:r>
      <w:r w:rsidRPr="002B72DB">
        <w:rPr>
          <w:lang w:val="es-ES_tradnl"/>
        </w:rPr>
        <w:t>por ciento de las metas contenidas en las EPANB tenía un alcance y un nivel de ambición similar a los de esta meta de Aichi</w:t>
      </w:r>
      <w:r w:rsidRPr="002B72DB">
        <w:rPr>
          <w:rFonts w:eastAsia="Malgun Gothic" w:cs="Times New Roman"/>
          <w:kern w:val="22"/>
          <w:szCs w:val="22"/>
          <w:vertAlign w:val="superscript"/>
          <w:lang w:val="es-ES_tradnl"/>
        </w:rPr>
        <w:footnoteReference w:id="26"/>
      </w:r>
      <w:r w:rsidRPr="002B72DB">
        <w:rPr>
          <w:rFonts w:eastAsia="Malgun Gothic" w:cs="Times New Roman"/>
          <w:kern w:val="22"/>
          <w:szCs w:val="22"/>
          <w:lang w:val="es-ES_tradnl"/>
        </w:rPr>
        <w:t xml:space="preserve">, y </w:t>
      </w:r>
      <w:r w:rsidRPr="002B72DB">
        <w:rPr>
          <w:lang w:val="es-ES_tradnl"/>
        </w:rPr>
        <w:t>una EPANB</w:t>
      </w:r>
      <w:r w:rsidRPr="002B72DB">
        <w:rPr>
          <w:rFonts w:eastAsia="Malgun Gothic" w:cs="Times New Roman"/>
          <w:kern w:val="22"/>
          <w:szCs w:val="22"/>
          <w:vertAlign w:val="superscript"/>
          <w:lang w:val="es-ES_tradnl"/>
        </w:rPr>
        <w:footnoteReference w:id="27"/>
      </w:r>
      <w:r w:rsidRPr="002B72DB">
        <w:rPr>
          <w:rFonts w:eastAsia="Malgun Gothic" w:cs="Times New Roman"/>
          <w:kern w:val="22"/>
          <w:szCs w:val="22"/>
          <w:lang w:val="es-ES_tradnl"/>
        </w:rPr>
        <w:t xml:space="preserve"> </w:t>
      </w:r>
      <w:r w:rsidRPr="002B72DB">
        <w:rPr>
          <w:lang w:val="es-ES_tradnl"/>
        </w:rPr>
        <w:t>contenía una meta más ambiciosa que esta meta de Aichi. Más de la mitad de las metas fijadas (</w:t>
      </w:r>
      <w:r w:rsidR="001422BF" w:rsidRPr="002B72DB">
        <w:rPr>
          <w:lang w:val="es-ES_tradnl"/>
        </w:rPr>
        <w:t xml:space="preserve">63 </w:t>
      </w:r>
      <w:r w:rsidRPr="002B72DB">
        <w:rPr>
          <w:lang w:val="es-ES_tradnl"/>
        </w:rPr>
        <w:t xml:space="preserve">por ciento) o bien es más baja que esta meta de Aichi para la diversidad biológica o bien no aborda todos sus elementos. </w:t>
      </w:r>
      <w:r w:rsidR="001422BF" w:rsidRPr="002B72DB">
        <w:rPr>
          <w:lang w:val="es-ES_tradnl"/>
        </w:rPr>
        <w:t xml:space="preserve">Casi una cuarta parte (24 por ciento) de las EPANB no contiene </w:t>
      </w:r>
      <w:r w:rsidRPr="002B72DB">
        <w:rPr>
          <w:lang w:val="es-ES_tradnl"/>
        </w:rPr>
        <w:t>metas relacionadas directamente con la meta 13 de Aichi para la diversidad biológica. La mayor parte de las metas establecidas se refiere a la conservación de la diversidad genética en general. Pocas metas hacen referencia a elementos específicos de la meta. En general las metas establecidas por las Partes no reflejan concretamente la cuestión de la conservación de la diversidad genética de las especies silvestres emparentadas, la cuestión de las especies de valor socioeconómico y cultural y la cuestión del desarrollo de estrategias para minimizar la erosión genética</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Menos de</w:t>
      </w:r>
      <w:r w:rsidR="002B72DB">
        <w:rPr>
          <w:lang w:val="es-ES_tradnl"/>
        </w:rPr>
        <w:t xml:space="preserve"> </w:t>
      </w:r>
      <w:r w:rsidR="001422BF" w:rsidRPr="002B72DB">
        <w:rPr>
          <w:lang w:val="es-ES_tradnl"/>
        </w:rPr>
        <w:t>una dé</w:t>
      </w:r>
      <w:r w:rsidR="002B72DB">
        <w:rPr>
          <w:lang w:val="es-ES_tradnl"/>
        </w:rPr>
        <w:t>cima parte</w:t>
      </w:r>
      <w:r w:rsidR="001422BF" w:rsidRPr="002B72DB">
        <w:rPr>
          <w:lang w:val="es-ES_tradnl"/>
        </w:rPr>
        <w:t xml:space="preserve"> (7</w:t>
      </w:r>
      <w:r w:rsidRPr="002B72DB">
        <w:rPr>
          <w:lang w:val="es-ES_tradnl"/>
        </w:rPr>
        <w:t xml:space="preserve"> por ciento</w:t>
      </w:r>
      <w:r w:rsidR="001422BF" w:rsidRPr="002B72DB">
        <w:rPr>
          <w:lang w:val="es-ES_tradnl"/>
        </w:rPr>
        <w:t>)</w:t>
      </w:r>
      <w:r w:rsidRPr="002B72DB">
        <w:rPr>
          <w:lang w:val="es-ES_tradnl"/>
        </w:rPr>
        <w:t xml:space="preserve"> de los informes nacionales contiene </w:t>
      </w:r>
      <w:r w:rsidR="00F02227">
        <w:rPr>
          <w:lang w:val="es-ES_tradnl"/>
        </w:rPr>
        <w:t>información que sugiere</w:t>
      </w:r>
      <w:r w:rsidRPr="002B72DB">
        <w:rPr>
          <w:lang w:val="es-ES_tradnl"/>
        </w:rPr>
        <w:t xml:space="preserve"> que van camino de alcanzar esta meta antes de que termine el plazo. Más de</w:t>
      </w:r>
      <w:r w:rsidR="001422BF" w:rsidRPr="002B72DB">
        <w:rPr>
          <w:lang w:val="es-ES_tradnl"/>
        </w:rPr>
        <w:t xml:space="preserve"> la mitad (</w:t>
      </w:r>
      <w:r w:rsidRPr="002B72DB">
        <w:rPr>
          <w:lang w:val="es-ES_tradnl"/>
        </w:rPr>
        <w:t>5</w:t>
      </w:r>
      <w:r w:rsidR="001422BF" w:rsidRPr="002B72DB">
        <w:rPr>
          <w:lang w:val="es-ES_tradnl"/>
        </w:rPr>
        <w:t>3</w:t>
      </w:r>
      <w:r w:rsidRPr="002B72DB">
        <w:rPr>
          <w:lang w:val="es-ES_tradnl"/>
        </w:rPr>
        <w:t xml:space="preserve"> por ciento</w:t>
      </w:r>
      <w:r w:rsidR="001422BF" w:rsidRPr="002B72DB">
        <w:rPr>
          <w:lang w:val="es-ES_tradnl"/>
        </w:rPr>
        <w:t>)</w:t>
      </w:r>
      <w:r w:rsidRPr="002B72DB">
        <w:rPr>
          <w:lang w:val="es-ES_tradnl"/>
        </w:rPr>
        <w:t xml:space="preserve"> de los informes nacionales sugiere que se está progresando hacia el logro de esta meta pero no a un ritmo que permita alcanzarla antes de que termine el plazo. Además</w:t>
      </w:r>
      <w:r w:rsidR="00F02227">
        <w:rPr>
          <w:lang w:val="es-ES_tradnl"/>
        </w:rPr>
        <w:t>,</w:t>
      </w:r>
      <w:r w:rsidRPr="002B72DB">
        <w:rPr>
          <w:lang w:val="es-ES_tradnl"/>
        </w:rPr>
        <w:t xml:space="preserve"> más del 20 por ciento de los informes sugiere que no ha habido ningún cambio significativo en relación con el logro de esta meta. El 1</w:t>
      </w:r>
      <w:r w:rsidR="001422BF" w:rsidRPr="002B72DB">
        <w:rPr>
          <w:lang w:val="es-ES_tradnl"/>
        </w:rPr>
        <w:t>6</w:t>
      </w:r>
      <w:r w:rsidRPr="002B72DB">
        <w:rPr>
          <w:lang w:val="es-ES_tradnl"/>
        </w:rPr>
        <w:t xml:space="preserve"> por ciento de los informes no contiene información suficiente para evaluar el progreso hacia esta meta. La mayor parte de la atención en esta meta parece estar relacionada con el mantenimiento de la diversidad genética de las especies vegetales cultivadas. Más de </w:t>
      </w:r>
      <w:r w:rsidR="001422BF" w:rsidRPr="002B72DB">
        <w:rPr>
          <w:lang w:val="es-ES_tradnl"/>
        </w:rPr>
        <w:t xml:space="preserve">la mitad </w:t>
      </w:r>
      <w:r w:rsidRPr="002B72DB">
        <w:rPr>
          <w:lang w:val="es-ES_tradnl"/>
        </w:rPr>
        <w:t>de los informes no contiene información sobre el mantenimiento de la diversidad genética de los animales de granja y domésticos y las especies silvestres emparentadas. Casi dos terceras partes (6</w:t>
      </w:r>
      <w:r w:rsidR="001422BF" w:rsidRPr="002B72DB">
        <w:rPr>
          <w:lang w:val="es-ES_tradnl"/>
        </w:rPr>
        <w:t>3</w:t>
      </w:r>
      <w:r w:rsidRPr="002B72DB">
        <w:rPr>
          <w:lang w:val="es-ES_tradnl"/>
        </w:rPr>
        <w:t xml:space="preserve"> por ciento) de los informes nacionales no contienen información sobre el mantenimiento de la diversidad genética de las especies de valor socioeconómico y cultural. Asimismo, más del 40 por ciento de los informes no contiene información sobre el desarrollo de planes o estrategias para hacer frente a la erosión genética y para salvaguardar la diversidad genética</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lang w:val="es-ES_tradnl"/>
        </w:rPr>
      </w:pPr>
      <w:r w:rsidRPr="002B72DB">
        <w:rPr>
          <w:i/>
          <w:lang w:val="es-ES_tradnl"/>
        </w:rPr>
        <w:t>Meta 14 – 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Sólo el 1</w:t>
      </w:r>
      <w:r w:rsidR="001422BF" w:rsidRPr="002B72DB">
        <w:rPr>
          <w:lang w:val="es-ES_tradnl"/>
        </w:rPr>
        <w:t>5</w:t>
      </w:r>
      <w:r w:rsidRPr="002B72DB">
        <w:rPr>
          <w:lang w:val="es-ES_tradnl"/>
        </w:rPr>
        <w:t xml:space="preserve"> por ciento de las EPANB contenía metas que fueran similares a esta meta de Aichi en cuanto a su alcance y nivel de ambición</w:t>
      </w:r>
      <w:r w:rsidRPr="002B72DB">
        <w:rPr>
          <w:rFonts w:eastAsia="Malgun Gothic" w:cs="Times New Roman"/>
          <w:kern w:val="22"/>
          <w:szCs w:val="22"/>
          <w:vertAlign w:val="superscript"/>
          <w:lang w:val="es-ES_tradnl"/>
        </w:rPr>
        <w:footnoteReference w:id="28"/>
      </w:r>
      <w:r w:rsidRPr="002B72DB">
        <w:rPr>
          <w:rFonts w:eastAsia="Malgun Gothic" w:cs="Times New Roman"/>
          <w:kern w:val="22"/>
          <w:szCs w:val="22"/>
          <w:lang w:val="es-ES_tradnl"/>
        </w:rPr>
        <w:t xml:space="preserve">. </w:t>
      </w:r>
      <w:r w:rsidR="00FD6AEF" w:rsidRPr="002B72DB">
        <w:rPr>
          <w:rFonts w:eastAsia="Malgun Gothic" w:cs="Times New Roman"/>
          <w:kern w:val="22"/>
          <w:szCs w:val="22"/>
          <w:lang w:val="es-ES_tradnl"/>
        </w:rPr>
        <w:t>Más de la mitad (</w:t>
      </w:r>
      <w:r w:rsidR="00FD6AEF" w:rsidRPr="002B72DB">
        <w:rPr>
          <w:lang w:val="es-ES_tradnl"/>
        </w:rPr>
        <w:t>5</w:t>
      </w:r>
      <w:r w:rsidR="00F02227">
        <w:rPr>
          <w:lang w:val="es-ES_tradnl"/>
        </w:rPr>
        <w:t>2</w:t>
      </w:r>
      <w:r w:rsidRPr="002B72DB">
        <w:rPr>
          <w:lang w:val="es-ES_tradnl"/>
        </w:rPr>
        <w:t xml:space="preserve"> por ciento</w:t>
      </w:r>
      <w:r w:rsidR="00FD6AEF" w:rsidRPr="002B72DB">
        <w:rPr>
          <w:lang w:val="es-ES_tradnl"/>
        </w:rPr>
        <w:t>)</w:t>
      </w:r>
      <w:r w:rsidRPr="002B72DB">
        <w:rPr>
          <w:lang w:val="es-ES_tradnl"/>
        </w:rPr>
        <w:t xml:space="preserve"> de las EPANB contenía metas más bajas o que no abordaban todos los elementos de esta meta de Aichi. Además, una tercera parte (3</w:t>
      </w:r>
      <w:r w:rsidR="00FD6AEF" w:rsidRPr="002B72DB">
        <w:rPr>
          <w:lang w:val="es-ES_tradnl"/>
        </w:rPr>
        <w:t>3</w:t>
      </w:r>
      <w:r w:rsidRPr="002B72DB">
        <w:rPr>
          <w:lang w:val="es-ES_tradnl"/>
        </w:rPr>
        <w:t xml:space="preserve"> por ciento) de las EPANB evaluadas no contenía ninguna meta relacionada directamente con la meta 14 </w:t>
      </w:r>
      <w:r w:rsidRPr="002B72DB">
        <w:rPr>
          <w:lang w:val="es-ES_tradnl"/>
        </w:rPr>
        <w:lastRenderedPageBreak/>
        <w:t xml:space="preserve">de Aichi para la diversidad biológica. Relativamente pocas de las metas nacionales incluidas en las EPANB hacían referencia explícita a tener en cuenta las necesidades de las mujeres, </w:t>
      </w:r>
      <w:r w:rsidR="00AB56F8" w:rsidRPr="002B72DB">
        <w:rPr>
          <w:lang w:val="es-ES_tradnl"/>
        </w:rPr>
        <w:t xml:space="preserve">los pueblos </w:t>
      </w:r>
      <w:r w:rsidRPr="002B72DB">
        <w:rPr>
          <w:lang w:val="es-ES_tradnl"/>
        </w:rPr>
        <w:t xml:space="preserve">indígenas y </w:t>
      </w:r>
      <w:r w:rsidR="00AB56F8" w:rsidRPr="002B72DB">
        <w:rPr>
          <w:lang w:val="es-ES_tradnl"/>
        </w:rPr>
        <w:t xml:space="preserve">las </w:t>
      </w:r>
      <w:r w:rsidR="00FD6AEF" w:rsidRPr="002B72DB">
        <w:rPr>
          <w:lang w:val="es-ES_tradnl"/>
        </w:rPr>
        <w:t xml:space="preserve">comunidades </w:t>
      </w:r>
      <w:r w:rsidRPr="002B72DB">
        <w:rPr>
          <w:lang w:val="es-ES_tradnl"/>
        </w:rPr>
        <w:t>locales y los pobres y vulnerables. La meta 14 está entre las metas con el menor número de EPANB con metas nacionales que tienen un alcance y un nivel de ambición similares</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Sólo el 3 por ciento de los informes sugiere que se esté progresando adecuadamente con esta meta para su cumplimiento en el año 2020, mientras que </w:t>
      </w:r>
      <w:r w:rsidR="00FD6AEF" w:rsidRPr="002B72DB">
        <w:rPr>
          <w:lang w:val="es-ES_tradnl"/>
        </w:rPr>
        <w:t>más de la mitad (</w:t>
      </w:r>
      <w:r w:rsidRPr="002B72DB">
        <w:rPr>
          <w:lang w:val="es-ES_tradnl"/>
        </w:rPr>
        <w:t>5</w:t>
      </w:r>
      <w:r w:rsidR="00FD6AEF" w:rsidRPr="002B72DB">
        <w:rPr>
          <w:lang w:val="es-ES_tradnl"/>
        </w:rPr>
        <w:t>1</w:t>
      </w:r>
      <w:r w:rsidRPr="002B72DB">
        <w:rPr>
          <w:lang w:val="es-ES_tradnl"/>
        </w:rPr>
        <w:t xml:space="preserve"> por ciento</w:t>
      </w:r>
      <w:r w:rsidR="00FD6AEF" w:rsidRPr="002B72DB">
        <w:rPr>
          <w:lang w:val="es-ES_tradnl"/>
        </w:rPr>
        <w:t>)</w:t>
      </w:r>
      <w:r w:rsidRPr="002B72DB">
        <w:rPr>
          <w:lang w:val="es-ES_tradnl"/>
        </w:rPr>
        <w:t xml:space="preserve"> de los informes nacionales evaluados indica que aunque se están haciendo progresos para la consecución de esta meta, el ritmo de progreso no será suficiente para alcanzar la meta antes de que termine su plazo. Más de una cuarta parte de los informes nacionales indica que no ha habido ningún cambio significativo (23 por ciento) o que se están alejando de la meta (3 por ciento). </w:t>
      </w:r>
      <w:r w:rsidR="00FD6AEF" w:rsidRPr="002B72DB">
        <w:rPr>
          <w:lang w:val="es-ES_tradnl"/>
        </w:rPr>
        <w:t xml:space="preserve">Alrededor del </w:t>
      </w:r>
      <w:r w:rsidRPr="002B72DB">
        <w:rPr>
          <w:lang w:val="es-ES_tradnl"/>
        </w:rPr>
        <w:t>60 por ciento de los informes no contenía ninguna información sobre cómo se están teniendo en cuenta las necesidades de las mujeres, las comunidades indígenas y locales y los pobres y vulnerables en las acciones para alcanzar esta meta</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lang w:val="es-ES_tradnl"/>
        </w:rPr>
      </w:pPr>
      <w:r w:rsidRPr="002B72DB">
        <w:rPr>
          <w:i/>
          <w:lang w:val="es-ES_tradnl"/>
        </w:rPr>
        <w:t>Meta 15 – 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El </w:t>
      </w:r>
      <w:r w:rsidR="00FD6AEF" w:rsidRPr="002B72DB">
        <w:rPr>
          <w:lang w:val="es-ES_tradnl"/>
        </w:rPr>
        <w:t xml:space="preserve">3 </w:t>
      </w:r>
      <w:r w:rsidRPr="002B72DB">
        <w:rPr>
          <w:lang w:val="es-ES_tradnl"/>
        </w:rPr>
        <w:t>por ciento de las EPANB evaluadas contenían metas nacionales que sobrepasan el ámbito o los umbrales establecidos en la meta 15 de Aichi</w:t>
      </w:r>
      <w:r w:rsidRPr="002B72DB">
        <w:rPr>
          <w:rFonts w:eastAsia="Malgun Gothic" w:cs="Times New Roman"/>
          <w:kern w:val="22"/>
          <w:szCs w:val="22"/>
          <w:vertAlign w:val="superscript"/>
          <w:lang w:val="es-ES_tradnl"/>
        </w:rPr>
        <w:footnoteReference w:id="29"/>
      </w:r>
      <w:r w:rsidRPr="002B72DB">
        <w:rPr>
          <w:lang w:val="es-ES_tradnl"/>
        </w:rPr>
        <w:t>,</w:t>
      </w:r>
      <w:r w:rsidRPr="002B72DB">
        <w:rPr>
          <w:rFonts w:eastAsia="Malgun Gothic" w:cs="Times New Roman"/>
          <w:kern w:val="22"/>
          <w:szCs w:val="22"/>
          <w:lang w:val="es-ES_tradnl"/>
        </w:rPr>
        <w:t xml:space="preserve"> y un 1</w:t>
      </w:r>
      <w:r w:rsidR="00FD6AEF" w:rsidRPr="002B72DB">
        <w:rPr>
          <w:rFonts w:eastAsia="Malgun Gothic" w:cs="Times New Roman"/>
          <w:kern w:val="22"/>
          <w:szCs w:val="22"/>
          <w:lang w:val="es-ES_tradnl"/>
        </w:rPr>
        <w:t>1</w:t>
      </w:r>
      <w:r w:rsidRPr="002B72DB">
        <w:rPr>
          <w:rFonts w:eastAsia="Malgun Gothic" w:cs="Times New Roman"/>
          <w:kern w:val="22"/>
          <w:szCs w:val="22"/>
          <w:lang w:val="es-ES_tradnl"/>
        </w:rPr>
        <w:t xml:space="preserve"> </w:t>
      </w:r>
      <w:r w:rsidRPr="002B72DB">
        <w:rPr>
          <w:lang w:val="es-ES_tradnl"/>
        </w:rPr>
        <w:t>por ciento de las EPANB contenía metas que fueran similares a esta meta de Aichi en cuanto a su alcance y nivel de ambición</w:t>
      </w:r>
      <w:r w:rsidRPr="002B72DB">
        <w:rPr>
          <w:rFonts w:eastAsia="Malgun Gothic" w:cs="Times New Roman"/>
          <w:kern w:val="22"/>
          <w:szCs w:val="22"/>
          <w:vertAlign w:val="superscript"/>
          <w:lang w:val="es-ES_tradnl"/>
        </w:rPr>
        <w:footnoteReference w:id="30"/>
      </w:r>
      <w:r w:rsidRPr="002B72DB">
        <w:rPr>
          <w:rFonts w:eastAsia="Malgun Gothic" w:cs="Times New Roman"/>
          <w:kern w:val="22"/>
          <w:szCs w:val="22"/>
          <w:lang w:val="es-ES_tradnl"/>
        </w:rPr>
        <w:t>. Más de la mitad</w:t>
      </w:r>
      <w:r w:rsidRPr="002B72DB">
        <w:rPr>
          <w:lang w:val="es-ES_tradnl"/>
        </w:rPr>
        <w:t xml:space="preserve"> (5</w:t>
      </w:r>
      <w:r w:rsidR="00FD6AEF" w:rsidRPr="002B72DB">
        <w:rPr>
          <w:lang w:val="es-ES_tradnl"/>
        </w:rPr>
        <w:t>8</w:t>
      </w:r>
      <w:r w:rsidRPr="002B72DB">
        <w:rPr>
          <w:lang w:val="es-ES_tradnl"/>
        </w:rPr>
        <w:t xml:space="preserve"> por ciento) de las EPANB contenía metas más bajas o que no abordaban todos los elementos de esta meta de Aichi. Más de un cuarto (2</w:t>
      </w:r>
      <w:r w:rsidR="00FD6AEF" w:rsidRPr="002B72DB">
        <w:rPr>
          <w:lang w:val="es-ES_tradnl"/>
        </w:rPr>
        <w:t>8</w:t>
      </w:r>
      <w:r w:rsidRPr="002B72DB">
        <w:rPr>
          <w:lang w:val="es-ES_tradnl"/>
        </w:rPr>
        <w:t xml:space="preserve"> por ciento) de las EPANB evaluadas no contenía ninguna meta nacional o compromiso similar relacionados con esta meta de Aichi. Las metas nacionales que se habían fijado tendían a centrarse más en el elemento de la restauración de esta meta que en el elemento de la resiliencia de los ecosistemas y el de las reservas de carbono</w:t>
      </w:r>
      <w:r w:rsidRPr="002B72DB">
        <w:rPr>
          <w:rFonts w:eastAsia="Malgun Gothic" w:cs="Times New Roman"/>
          <w:kern w:val="22"/>
          <w:szCs w:val="22"/>
          <w:lang w:val="es-ES_tradnl"/>
        </w:rPr>
        <w:t>.</w:t>
      </w:r>
    </w:p>
    <w:p w:rsidR="00CD7A59" w:rsidRPr="002B72DB" w:rsidRDefault="00FD6AEF"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Solo 4</w:t>
      </w:r>
      <w:r w:rsidR="00CD7A59" w:rsidRPr="002B72DB">
        <w:rPr>
          <w:lang w:val="es-ES_tradnl"/>
        </w:rPr>
        <w:t xml:space="preserve"> por ciento de los informes nacionales contiene información que sugier</w:t>
      </w:r>
      <w:r w:rsidR="00F02227">
        <w:rPr>
          <w:lang w:val="es-ES_tradnl"/>
        </w:rPr>
        <w:t>e</w:t>
      </w:r>
      <w:r w:rsidR="00CD7A59" w:rsidRPr="002B72DB">
        <w:rPr>
          <w:lang w:val="es-ES_tradnl"/>
        </w:rPr>
        <w:t xml:space="preserve"> que van camino de alcanzar esta meta</w:t>
      </w:r>
      <w:r w:rsidRPr="002B72DB">
        <w:rPr>
          <w:lang w:val="es-ES_tradnl"/>
        </w:rPr>
        <w:t xml:space="preserve">, y 58 </w:t>
      </w:r>
      <w:r w:rsidR="00CD7A59" w:rsidRPr="002B72DB">
        <w:rPr>
          <w:lang w:val="es-ES_tradnl"/>
        </w:rPr>
        <w:t xml:space="preserve">por ciento de los informes recibidos sugiere que se está progresando hacia esta meta pero no a un ritmo que permita alcanzarla antes de que termine el plazo. El 17 por ciento de los informes sugiere que no ha habido cambios significativos, mientras que </w:t>
      </w:r>
      <w:r w:rsidRPr="002B72DB">
        <w:rPr>
          <w:lang w:val="es-ES_tradnl"/>
        </w:rPr>
        <w:t xml:space="preserve">más de </w:t>
      </w:r>
      <w:r w:rsidR="00CD7A59" w:rsidRPr="002B72DB">
        <w:rPr>
          <w:lang w:val="es-ES_tradnl"/>
        </w:rPr>
        <w:t xml:space="preserve">una quinta parte </w:t>
      </w:r>
      <w:r w:rsidRPr="002B72DB">
        <w:rPr>
          <w:lang w:val="es-ES_tradnl"/>
        </w:rPr>
        <w:t xml:space="preserve">(21 por ciento) </w:t>
      </w:r>
      <w:r w:rsidR="00CD7A59" w:rsidRPr="002B72DB">
        <w:rPr>
          <w:lang w:val="es-ES_tradnl"/>
        </w:rPr>
        <w:t>de los informes no contiene información que permita una evaluación del progreso hacia esta meta. La información contenida en los informes nacionales sugiere que se ha avanzado un poco más en la mejora de la resiliencia de los ecosistemas y la mejora de las reservas de carbono que en la restauración de ecosistemas degradados. Pocos países informan con precisión sobre las áreas de hábitat degradado restauradas aunque varias hacen referencia a proyectos o programas de restauración previstos o en curso</w:t>
      </w:r>
      <w:r w:rsidR="00CD7A59" w:rsidRPr="002B72DB">
        <w:rPr>
          <w:rFonts w:eastAsia="Malgun Gothic" w:cs="Times New Roman"/>
          <w:kern w:val="22"/>
          <w:szCs w:val="22"/>
          <w:lang w:val="es-ES_tradnl"/>
        </w:rPr>
        <w:t>.</w:t>
      </w:r>
    </w:p>
    <w:p w:rsidR="00CD7A59" w:rsidRPr="002B72DB" w:rsidRDefault="00CD7A59">
      <w:pPr>
        <w:suppressLineNumbers/>
        <w:tabs>
          <w:tab w:val="left" w:pos="180"/>
        </w:tabs>
        <w:suppressAutoHyphens/>
        <w:spacing w:after="120"/>
        <w:rPr>
          <w:rFonts w:cs="Times New Roman"/>
          <w:i/>
          <w:iCs/>
          <w:lang w:val="es-ES_tradnl"/>
        </w:rPr>
      </w:pPr>
      <w:r w:rsidRPr="002B72DB">
        <w:rPr>
          <w:i/>
          <w:lang w:val="es-ES_tradnl"/>
        </w:rPr>
        <w:t>Meta 16 – Para 2015, el Protocolo de Nagoya sobre Acceso a los recursos genéticos y Participación Justa y Equitativa en los Beneficios que se Deriven de su Utilización estará en vigor y en funcionamiento, conforme a la legislación nacional</w:t>
      </w:r>
    </w:p>
    <w:p w:rsidR="00CD7A59" w:rsidRPr="002B72DB" w:rsidRDefault="00FD6AEF"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rFonts w:eastAsia="Malgun Gothic" w:cs="Times New Roman"/>
          <w:kern w:val="22"/>
          <w:szCs w:val="22"/>
          <w:lang w:val="es-ES_tradnl"/>
        </w:rPr>
        <w:t xml:space="preserve">Alrededor de una quinta </w:t>
      </w:r>
      <w:r w:rsidR="00CD7A59" w:rsidRPr="002B72DB">
        <w:rPr>
          <w:rFonts w:eastAsia="Malgun Gothic" w:cs="Times New Roman"/>
          <w:kern w:val="22"/>
          <w:szCs w:val="22"/>
          <w:lang w:val="es-ES_tradnl"/>
        </w:rPr>
        <w:t>parte (</w:t>
      </w:r>
      <w:r w:rsidRPr="002B72DB">
        <w:rPr>
          <w:rFonts w:eastAsia="Malgun Gothic" w:cs="Times New Roman"/>
          <w:kern w:val="22"/>
          <w:szCs w:val="22"/>
          <w:lang w:val="es-ES_tradnl"/>
        </w:rPr>
        <w:t>18</w:t>
      </w:r>
      <w:r w:rsidR="00CD7A59" w:rsidRPr="002B72DB">
        <w:rPr>
          <w:rFonts w:eastAsia="Malgun Gothic" w:cs="Times New Roman"/>
          <w:kern w:val="22"/>
          <w:szCs w:val="22"/>
          <w:lang w:val="es-ES_tradnl"/>
        </w:rPr>
        <w:t xml:space="preserve"> por ciento) </w:t>
      </w:r>
      <w:r w:rsidR="00CD7A59" w:rsidRPr="002B72DB">
        <w:rPr>
          <w:lang w:val="es-ES_tradnl"/>
        </w:rPr>
        <w:t>de las EPANB evaluadas contiene metas o compromisos nacionales con un alcance general y un nivel de ambición similares a los establecidos en esta meta de Aichi</w:t>
      </w:r>
      <w:r w:rsidR="00CD7A59" w:rsidRPr="002B72DB">
        <w:rPr>
          <w:rFonts w:eastAsia="Malgun Gothic" w:cs="Times New Roman"/>
          <w:kern w:val="22"/>
          <w:szCs w:val="22"/>
          <w:vertAlign w:val="superscript"/>
          <w:lang w:val="es-ES_tradnl"/>
        </w:rPr>
        <w:footnoteReference w:id="31"/>
      </w:r>
      <w:r w:rsidR="00CD7A59" w:rsidRPr="002B72DB">
        <w:rPr>
          <w:rFonts w:eastAsia="Malgun Gothic" w:cs="Times New Roman"/>
          <w:kern w:val="22"/>
          <w:szCs w:val="22"/>
          <w:lang w:val="es-ES_tradnl"/>
        </w:rPr>
        <w:t xml:space="preserve">. </w:t>
      </w:r>
      <w:r w:rsidRPr="002B72DB">
        <w:rPr>
          <w:rFonts w:eastAsia="Malgun Gothic" w:cs="Times New Roman"/>
          <w:kern w:val="22"/>
          <w:szCs w:val="22"/>
          <w:lang w:val="es-ES_tradnl"/>
        </w:rPr>
        <w:t xml:space="preserve">Un total de 50 </w:t>
      </w:r>
      <w:r w:rsidR="00CD7A59" w:rsidRPr="002B72DB">
        <w:rPr>
          <w:rFonts w:eastAsia="Malgun Gothic" w:cs="Times New Roman"/>
          <w:kern w:val="22"/>
          <w:szCs w:val="22"/>
          <w:lang w:val="es-ES_tradnl"/>
        </w:rPr>
        <w:t xml:space="preserve">por ciento de </w:t>
      </w:r>
      <w:r w:rsidR="00CD7A59" w:rsidRPr="002B72DB">
        <w:rPr>
          <w:lang w:val="es-ES_tradnl"/>
        </w:rPr>
        <w:t>las EPANB contenía metas nacionales que eran o bien más bajas que esta meta de Aichi o bien no abordaban todos los elementos cubiertos por esta meta. Casi una tercera parte (</w:t>
      </w:r>
      <w:r w:rsidRPr="002B72DB">
        <w:rPr>
          <w:lang w:val="es-ES_tradnl"/>
        </w:rPr>
        <w:t xml:space="preserve">30 </w:t>
      </w:r>
      <w:r w:rsidR="00CD7A59" w:rsidRPr="002B72DB">
        <w:rPr>
          <w:lang w:val="es-ES_tradnl"/>
        </w:rPr>
        <w:t xml:space="preserve">por ciento) de las EPANB no contenía ninguna meta nacional relacionada con esta meta de Aichi. Muchas de las metas que se habían fijado eran generales y se referían al acceso y </w:t>
      </w:r>
      <w:r w:rsidR="00CD7A59" w:rsidRPr="002B72DB">
        <w:rPr>
          <w:lang w:val="es-ES_tradnl"/>
        </w:rPr>
        <w:lastRenderedPageBreak/>
        <w:t>participación en los beneficios en un sentido general, y varias no hacían referencia explícita al Protocolo de Nagoya. Esta es una de las metas de Aichi con el mayor número de EPANB con metas nacionales asociadas</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rFonts w:eastAsia="Malgun Gothic" w:cs="Times New Roman"/>
          <w:kern w:val="22"/>
          <w:szCs w:val="22"/>
          <w:lang w:val="es-ES_tradnl"/>
        </w:rPr>
        <w:t>Casi una quinta parte (1</w:t>
      </w:r>
      <w:r w:rsidR="00DB0F11">
        <w:rPr>
          <w:rFonts w:eastAsia="Malgun Gothic" w:cs="Times New Roman"/>
          <w:kern w:val="22"/>
          <w:szCs w:val="22"/>
          <w:lang w:val="es-ES_tradnl"/>
        </w:rPr>
        <w:t>9</w:t>
      </w:r>
      <w:r w:rsidRPr="002B72DB">
        <w:rPr>
          <w:rFonts w:eastAsia="Malgun Gothic" w:cs="Times New Roman"/>
          <w:kern w:val="22"/>
          <w:szCs w:val="22"/>
          <w:lang w:val="es-ES_tradnl"/>
        </w:rPr>
        <w:t xml:space="preserve"> por ciento) </w:t>
      </w:r>
      <w:r w:rsidRPr="002B72DB">
        <w:rPr>
          <w:lang w:val="es-ES_tradnl"/>
        </w:rPr>
        <w:t xml:space="preserve">de los informes nacionales contiene información que sugiere que van camino de alcanzar la meta 16 de Aichi. Sin embargo, casi un cuarto de informes nacionales (23 por ciento) contiene información que sugiere que no se ha progresado hacia esta meta, mientras que el </w:t>
      </w:r>
      <w:r w:rsidR="00FD6AEF" w:rsidRPr="002B72DB">
        <w:rPr>
          <w:lang w:val="es-ES_tradnl"/>
        </w:rPr>
        <w:t xml:space="preserve">17 </w:t>
      </w:r>
      <w:r w:rsidRPr="002B72DB">
        <w:rPr>
          <w:lang w:val="es-ES_tradnl"/>
        </w:rPr>
        <w:t>por ciento de los informes no contiene ninguna información relacionada con esta meta. Alrededor del 40 por ciento de los informes contiene información que indica que se está progresando hacia esta meta pero no a un ritmo que permita alcanzarla. La información contenida en los informes nacionales sugiere que la mayor parte del progreso realizado hacia esta meta ha sido en lo que se refiere a la ratificación del Protocolo de Nagoya. En comparación se ha progresado menos en la cuestión de asegurar que el Protocolo esté en funcionamiento a nivel nacional</w:t>
      </w:r>
      <w:r w:rsidRPr="002B72DB">
        <w:rPr>
          <w:rFonts w:eastAsia="Malgun Gothic" w:cs="Times New Roman"/>
          <w:kern w:val="22"/>
          <w:szCs w:val="22"/>
          <w:lang w:val="es-ES_tradnl"/>
        </w:rPr>
        <w:t>.</w:t>
      </w:r>
      <w:r w:rsidR="009F0D12" w:rsidRPr="002B72DB">
        <w:rPr>
          <w:rFonts w:eastAsia="Malgun Gothic" w:cs="Times New Roman"/>
          <w:kern w:val="22"/>
          <w:szCs w:val="22"/>
          <w:lang w:val="es-ES_tradnl"/>
        </w:rPr>
        <w:t xml:space="preserve"> En el documento </w:t>
      </w:r>
      <w:r w:rsidR="009F0D12" w:rsidRPr="002B72DB">
        <w:rPr>
          <w:kern w:val="22"/>
          <w:szCs w:val="22"/>
          <w:lang w:val="es-ES_tradnl"/>
        </w:rPr>
        <w:t xml:space="preserve">CBD/SBI/2/3 figura información adicional pertinente a la </w:t>
      </w:r>
      <w:r w:rsidR="00DB0F11">
        <w:rPr>
          <w:kern w:val="22"/>
          <w:szCs w:val="22"/>
          <w:lang w:val="es-ES_tradnl"/>
        </w:rPr>
        <w:t>m</w:t>
      </w:r>
      <w:r w:rsidR="009F0D12" w:rsidRPr="002B72DB">
        <w:rPr>
          <w:kern w:val="22"/>
          <w:szCs w:val="22"/>
          <w:lang w:val="es-ES_tradnl"/>
        </w:rPr>
        <w:t xml:space="preserve">eta 16 de Aichi en el contexto de </w:t>
      </w:r>
      <w:r w:rsidR="00FD6AEF" w:rsidRPr="002B72DB">
        <w:rPr>
          <w:kern w:val="22"/>
          <w:szCs w:val="22"/>
          <w:lang w:val="es-ES_tradnl"/>
        </w:rPr>
        <w:t xml:space="preserve">la </w:t>
      </w:r>
      <w:r w:rsidR="009F0D12" w:rsidRPr="002B72DB">
        <w:rPr>
          <w:kern w:val="22"/>
          <w:szCs w:val="22"/>
          <w:lang w:val="es-ES_tradnl"/>
        </w:rPr>
        <w:t xml:space="preserve">evaluación y </w:t>
      </w:r>
      <w:r w:rsidR="00FD6AEF" w:rsidRPr="002B72DB">
        <w:rPr>
          <w:kern w:val="22"/>
          <w:szCs w:val="22"/>
          <w:lang w:val="es-ES_tradnl"/>
        </w:rPr>
        <w:t xml:space="preserve">el </w:t>
      </w:r>
      <w:r w:rsidR="009F0D12" w:rsidRPr="002B72DB">
        <w:rPr>
          <w:kern w:val="22"/>
          <w:szCs w:val="22"/>
          <w:lang w:val="es-ES_tradnl"/>
        </w:rPr>
        <w:t xml:space="preserve">examen de la eficacia del Protocolo de </w:t>
      </w:r>
      <w:r w:rsidR="009F0D12" w:rsidRPr="002B72DB">
        <w:rPr>
          <w:rFonts w:eastAsia="Malgun Gothic"/>
          <w:kern w:val="22"/>
          <w:szCs w:val="22"/>
          <w:lang w:val="es-ES_tradnl"/>
        </w:rPr>
        <w:t>Nagoya</w:t>
      </w:r>
      <w:r w:rsidR="009F0D12" w:rsidRPr="002B72DB">
        <w:rPr>
          <w:kern w:val="22"/>
          <w:szCs w:val="22"/>
          <w:lang w:val="es-ES_tradnl"/>
        </w:rPr>
        <w:t>.</w:t>
      </w:r>
    </w:p>
    <w:p w:rsidR="00CD7A59" w:rsidRPr="002B72DB" w:rsidRDefault="00CD7A59">
      <w:pPr>
        <w:keepNext/>
        <w:suppressLineNumbers/>
        <w:tabs>
          <w:tab w:val="left" w:pos="180"/>
        </w:tabs>
        <w:suppressAutoHyphens/>
        <w:spacing w:after="120"/>
        <w:rPr>
          <w:rFonts w:cs="Times New Roman"/>
          <w:i/>
          <w:iCs/>
          <w:lang w:val="es-ES_tradnl"/>
        </w:rPr>
      </w:pPr>
      <w:r w:rsidRPr="002B72DB">
        <w:rPr>
          <w:i/>
          <w:lang w:val="es-ES_tradnl"/>
        </w:rPr>
        <w:t>Meta 17 – Para 2015, cada Parte habrá elaborado, habrá adoptado como un instrumento de política y habrá comenzado a poner en práctica una estrategia y un plan de acción nacionales en materia de diversidad biológica eficaces, participativos y actualizados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rFonts w:eastAsia="Malgun Gothic" w:cs="Times New Roman"/>
          <w:kern w:val="22"/>
          <w:szCs w:val="22"/>
          <w:lang w:val="es-ES_tradnl"/>
        </w:rPr>
        <w:t>Casi una</w:t>
      </w:r>
      <w:r w:rsidR="00B663AA" w:rsidRPr="002B72DB">
        <w:rPr>
          <w:rFonts w:eastAsia="Malgun Gothic" w:cs="Times New Roman"/>
          <w:kern w:val="22"/>
          <w:szCs w:val="22"/>
          <w:lang w:val="es-ES_tradnl"/>
        </w:rPr>
        <w:t xml:space="preserve"> quinta</w:t>
      </w:r>
      <w:r w:rsidRPr="002B72DB">
        <w:rPr>
          <w:rFonts w:eastAsia="Malgun Gothic" w:cs="Times New Roman"/>
          <w:kern w:val="22"/>
          <w:szCs w:val="22"/>
          <w:lang w:val="es-ES_tradnl"/>
        </w:rPr>
        <w:t xml:space="preserve"> parte (</w:t>
      </w:r>
      <w:r w:rsidR="00B663AA" w:rsidRPr="002B72DB">
        <w:rPr>
          <w:rFonts w:eastAsia="Malgun Gothic" w:cs="Times New Roman"/>
          <w:kern w:val="22"/>
          <w:szCs w:val="22"/>
          <w:lang w:val="es-ES_tradnl"/>
        </w:rPr>
        <w:t xml:space="preserve">19 </w:t>
      </w:r>
      <w:r w:rsidRPr="002B72DB">
        <w:rPr>
          <w:rFonts w:eastAsia="Malgun Gothic" w:cs="Times New Roman"/>
          <w:kern w:val="22"/>
          <w:szCs w:val="22"/>
          <w:lang w:val="es-ES_tradnl"/>
        </w:rPr>
        <w:t xml:space="preserve">por ciento) </w:t>
      </w:r>
      <w:r w:rsidRPr="002B72DB">
        <w:rPr>
          <w:lang w:val="es-ES_tradnl"/>
        </w:rPr>
        <w:t>de las EPANB contiene metas u otros compromisos con un alcance y un nivel de ambición similares a los establecidos en la meta 17 de Aichi</w:t>
      </w:r>
      <w:r w:rsidRPr="002B72DB">
        <w:rPr>
          <w:rFonts w:eastAsia="Malgun Gothic" w:cs="Times New Roman"/>
          <w:kern w:val="22"/>
          <w:szCs w:val="22"/>
          <w:vertAlign w:val="superscript"/>
          <w:lang w:val="es-ES_tradnl"/>
        </w:rPr>
        <w:footnoteReference w:id="32"/>
      </w:r>
      <w:r w:rsidRPr="002B72DB">
        <w:rPr>
          <w:lang w:val="es-ES_tradnl"/>
        </w:rPr>
        <w:t>.</w:t>
      </w:r>
      <w:r w:rsidRPr="002B72DB">
        <w:rPr>
          <w:rFonts w:eastAsia="Malgun Gothic" w:cs="Times New Roman"/>
          <w:kern w:val="22"/>
          <w:szCs w:val="22"/>
          <w:lang w:val="es-ES_tradnl"/>
        </w:rPr>
        <w:t xml:space="preserve"> </w:t>
      </w:r>
      <w:r w:rsidR="00B663AA" w:rsidRPr="002B72DB">
        <w:rPr>
          <w:rFonts w:eastAsia="Malgun Gothic" w:cs="Times New Roman"/>
          <w:kern w:val="22"/>
          <w:szCs w:val="22"/>
          <w:lang w:val="es-ES_tradnl"/>
        </w:rPr>
        <w:t xml:space="preserve">Más de una tercera parte </w:t>
      </w:r>
      <w:r w:rsidRPr="002B72DB">
        <w:rPr>
          <w:lang w:val="es-ES_tradnl"/>
        </w:rPr>
        <w:t>(</w:t>
      </w:r>
      <w:r w:rsidR="00B663AA" w:rsidRPr="002B72DB">
        <w:rPr>
          <w:lang w:val="es-ES_tradnl"/>
        </w:rPr>
        <w:t>35</w:t>
      </w:r>
      <w:r w:rsidRPr="002B72DB">
        <w:rPr>
          <w:lang w:val="es-ES_tradnl"/>
        </w:rPr>
        <w:t xml:space="preserve"> por ciento) de las EPANB contiene metas que son más bajas o que no cubren todos los elementos de esta meta de Aichi. Cerca de la mitad de las EPANB (</w:t>
      </w:r>
      <w:r w:rsidR="00B663AA" w:rsidRPr="002B72DB">
        <w:rPr>
          <w:lang w:val="es-ES_tradnl"/>
        </w:rPr>
        <w:t xml:space="preserve">46 </w:t>
      </w:r>
      <w:r w:rsidRPr="002B72DB">
        <w:rPr>
          <w:lang w:val="es-ES_tradnl"/>
        </w:rPr>
        <w:t>por ciento) no contiene ninguna meta o compromiso nacionales relacionados con esta meta de Aichi. Se podría deber al hecho de que debido a que los países han elaborado o actualizado sus EPANB, no sintieron la necesidad de reflejar esta meta de Aichi en sus EPANB. Esta es una de las metas de Aichi con el menor número de EPANB con metas nacionales u otros compromisos relacionados con ella</w:t>
      </w:r>
      <w:r w:rsidRPr="002B72DB">
        <w:rPr>
          <w:rFonts w:eastAsia="Malgun Gothic" w:cs="Times New Roman"/>
          <w:kern w:val="22"/>
          <w:szCs w:val="22"/>
          <w:lang w:val="es-ES_tradnl"/>
        </w:rPr>
        <w:t>.</w:t>
      </w:r>
    </w:p>
    <w:p w:rsidR="00CD7A59" w:rsidRPr="002B72DB" w:rsidRDefault="00B663AA"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Más de una cuarta </w:t>
      </w:r>
      <w:r w:rsidR="00CD7A59" w:rsidRPr="002B72DB">
        <w:rPr>
          <w:lang w:val="es-ES_tradnl"/>
        </w:rPr>
        <w:t>parte de los informes nacionales (</w:t>
      </w:r>
      <w:r w:rsidRPr="002B72DB">
        <w:rPr>
          <w:lang w:val="es-ES_tradnl"/>
        </w:rPr>
        <w:t>29</w:t>
      </w:r>
      <w:r w:rsidR="00CD7A59" w:rsidRPr="002B72DB">
        <w:rPr>
          <w:lang w:val="es-ES_tradnl"/>
        </w:rPr>
        <w:t xml:space="preserve"> por ciento) contiene información que sugiere que van camino de alcanzar esta meta, mientras que la mitad de los informes indica que se está avanzando hacia la meta pero no a un ritmo que permita alcanzarla. Alrededor del 1</w:t>
      </w:r>
      <w:r w:rsidRPr="002B72DB">
        <w:rPr>
          <w:lang w:val="es-ES_tradnl"/>
        </w:rPr>
        <w:t>3</w:t>
      </w:r>
      <w:r w:rsidR="00CD7A59" w:rsidRPr="002B72DB">
        <w:rPr>
          <w:lang w:val="es-ES_tradnl"/>
        </w:rPr>
        <w:t xml:space="preserve"> por ciento de los informes nacionales sugiere que no se está haciendo ningún progreso hacia esta meta</w:t>
      </w:r>
      <w:r w:rsidRPr="002B72DB">
        <w:rPr>
          <w:lang w:val="es-ES_tradnl"/>
        </w:rPr>
        <w:t xml:space="preserve">, y </w:t>
      </w:r>
      <w:r w:rsidR="00CD7A59" w:rsidRPr="002B72DB">
        <w:rPr>
          <w:lang w:val="es-ES_tradnl"/>
        </w:rPr>
        <w:t xml:space="preserve">el </w:t>
      </w:r>
      <w:r w:rsidRPr="002B72DB">
        <w:rPr>
          <w:lang w:val="es-ES_tradnl"/>
        </w:rPr>
        <w:t>7</w:t>
      </w:r>
      <w:r w:rsidR="00CD7A59" w:rsidRPr="002B72DB">
        <w:rPr>
          <w:lang w:val="es-ES_tradnl"/>
        </w:rPr>
        <w:t xml:space="preserve"> por ciento de los informes nacionales no contiene ninguna información sobre el progreso hacia esta meta. Eso contrasta con la evaluación de EPANB de arriba, según la cual la mayoría de las EPANB no contenía ninguna meta relacionada con esta meta de Aichi. La información contenida en los informes nacionales sugiere que la mayor parte del progreso hacia esta meta se hace en lo que se refiere a elaborar y o revisar la EPANB. En cambio se ha progresado menos en la adopción de la EPANB como instrumento de política. En </w:t>
      </w:r>
      <w:r w:rsidRPr="002B72DB">
        <w:rPr>
          <w:lang w:val="es-ES_tradnl"/>
        </w:rPr>
        <w:t>SBI/2/2/Add.1</w:t>
      </w:r>
      <w:r w:rsidR="00CD7A59" w:rsidRPr="002B72DB">
        <w:rPr>
          <w:lang w:val="es-ES_tradnl"/>
        </w:rPr>
        <w:t>se ofrece información adicional referente a la</w:t>
      </w:r>
      <w:r w:rsidRPr="002B72DB">
        <w:rPr>
          <w:lang w:val="es-ES_tradnl"/>
        </w:rPr>
        <w:t xml:space="preserve"> Meta </w:t>
      </w:r>
      <w:r w:rsidR="00CD7A59" w:rsidRPr="002B72DB">
        <w:rPr>
          <w:lang w:val="es-ES_tradnl"/>
        </w:rPr>
        <w:t>17</w:t>
      </w:r>
      <w:r w:rsidRPr="002B72DB">
        <w:rPr>
          <w:lang w:val="es-ES_tradnl"/>
        </w:rPr>
        <w:t xml:space="preserve"> de Aichi</w:t>
      </w:r>
      <w:r w:rsidR="00CD7A59" w:rsidRPr="002B72DB">
        <w:rPr>
          <w:rFonts w:eastAsia="Malgun Gothic" w:cs="Times New Roman"/>
          <w:kern w:val="22"/>
          <w:szCs w:val="22"/>
          <w:lang w:val="es-ES_tradnl"/>
        </w:rPr>
        <w:t>.</w:t>
      </w:r>
    </w:p>
    <w:p w:rsidR="00CD7A59" w:rsidRPr="002B72DB" w:rsidRDefault="00CD7A59">
      <w:pPr>
        <w:suppressLineNumbers/>
        <w:suppressAutoHyphens/>
        <w:spacing w:after="120"/>
        <w:rPr>
          <w:rFonts w:cs="Times New Roman"/>
          <w:i/>
          <w:iCs/>
          <w:snapToGrid w:val="0"/>
          <w:kern w:val="22"/>
          <w:szCs w:val="22"/>
          <w:lang w:val="es-ES_tradnl"/>
        </w:rPr>
      </w:pPr>
      <w:r w:rsidRPr="002B72DB">
        <w:rPr>
          <w:i/>
          <w:snapToGrid w:val="0"/>
          <w:kern w:val="22"/>
          <w:lang w:val="es-ES_tradnl"/>
        </w:rPr>
        <w:t>Meta 18 –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Solo el </w:t>
      </w:r>
      <w:r w:rsidR="004464C2" w:rsidRPr="002B72DB">
        <w:rPr>
          <w:lang w:val="es-ES_tradnl"/>
        </w:rPr>
        <w:t xml:space="preserve">14 </w:t>
      </w:r>
      <w:r w:rsidRPr="002B72DB">
        <w:rPr>
          <w:lang w:val="es-ES_tradnl"/>
        </w:rPr>
        <w:t xml:space="preserve">por ciento de las EPANB contenía metas con un alcance y un nivel de ambición similar a los establecidos en </w:t>
      </w:r>
      <w:r w:rsidR="004464C2" w:rsidRPr="002B72DB">
        <w:rPr>
          <w:lang w:val="es-ES_tradnl"/>
        </w:rPr>
        <w:t xml:space="preserve">la Meta 18 </w:t>
      </w:r>
      <w:r w:rsidRPr="002B72DB">
        <w:rPr>
          <w:lang w:val="es-ES_tradnl"/>
        </w:rPr>
        <w:t>de Aichi</w:t>
      </w:r>
      <w:r w:rsidRPr="002B72DB">
        <w:rPr>
          <w:rFonts w:eastAsia="Malgun Gothic" w:cs="Times New Roman"/>
          <w:kern w:val="22"/>
          <w:szCs w:val="22"/>
          <w:vertAlign w:val="superscript"/>
          <w:lang w:val="es-ES_tradnl"/>
        </w:rPr>
        <w:footnoteReference w:id="33"/>
      </w:r>
      <w:r w:rsidRPr="002B72DB">
        <w:rPr>
          <w:rFonts w:eastAsia="Malgun Gothic" w:cs="Times New Roman"/>
          <w:kern w:val="22"/>
          <w:szCs w:val="22"/>
          <w:lang w:val="es-ES_tradnl"/>
        </w:rPr>
        <w:t xml:space="preserve"> y </w:t>
      </w:r>
      <w:r w:rsidRPr="002B72DB">
        <w:rPr>
          <w:lang w:val="es-ES_tradnl"/>
        </w:rPr>
        <w:t>más de la mitad (5</w:t>
      </w:r>
      <w:r w:rsidR="004464C2" w:rsidRPr="002B72DB">
        <w:rPr>
          <w:lang w:val="es-ES_tradnl"/>
        </w:rPr>
        <w:t>5</w:t>
      </w:r>
      <w:r w:rsidRPr="002B72DB">
        <w:rPr>
          <w:lang w:val="es-ES_tradnl"/>
        </w:rPr>
        <w:t xml:space="preserve"> por ciento) contenía metas que </w:t>
      </w:r>
      <w:r w:rsidRPr="002B72DB">
        <w:rPr>
          <w:lang w:val="es-ES_tradnl"/>
        </w:rPr>
        <w:lastRenderedPageBreak/>
        <w:t xml:space="preserve">eran más bajas que esta meta de Aichi y/o que no abordaban todos los elementos de esta meta. </w:t>
      </w:r>
      <w:r w:rsidR="004464C2" w:rsidRPr="002B72DB">
        <w:rPr>
          <w:lang w:val="es-ES_tradnl"/>
        </w:rPr>
        <w:t xml:space="preserve">Casi </w:t>
      </w:r>
      <w:r w:rsidRPr="002B72DB">
        <w:rPr>
          <w:lang w:val="es-ES_tradnl"/>
        </w:rPr>
        <w:t>una tercera parte (3</w:t>
      </w:r>
      <w:r w:rsidR="004464C2" w:rsidRPr="002B72DB">
        <w:rPr>
          <w:lang w:val="es-ES_tradnl"/>
        </w:rPr>
        <w:t>1</w:t>
      </w:r>
      <w:r w:rsidRPr="002B72DB">
        <w:rPr>
          <w:lang w:val="es-ES_tradnl"/>
        </w:rPr>
        <w:t xml:space="preserve"> por ciento) de las EPANB no contenía metas relacionadas con esta meta de Aichi y muchas de las metas que se habían fijado eran generales. Las </w:t>
      </w:r>
      <w:r w:rsidR="004464C2" w:rsidRPr="002B72DB">
        <w:rPr>
          <w:lang w:val="es-ES_tradnl"/>
        </w:rPr>
        <w:t xml:space="preserve">metas nacionales </w:t>
      </w:r>
      <w:r w:rsidRPr="002B72DB">
        <w:rPr>
          <w:lang w:val="es-ES_tradnl"/>
        </w:rPr>
        <w:t xml:space="preserve">se centraban en gran medida en el respeto de los conocimientos, las innovaciones y las prácticas tradicionales, así como en la integración de estos en la aplicación del Convenio. En comparación, se prestaba relativamente menos atención a asegurar la participación plena y efectiva de </w:t>
      </w:r>
      <w:r w:rsidR="004464C2" w:rsidRPr="002B72DB">
        <w:rPr>
          <w:lang w:val="es-ES_tradnl"/>
        </w:rPr>
        <w:t xml:space="preserve">los pueblos </w:t>
      </w:r>
      <w:r w:rsidRPr="002B72DB">
        <w:rPr>
          <w:lang w:val="es-ES_tradnl"/>
        </w:rPr>
        <w:t xml:space="preserve">indígenas y </w:t>
      </w:r>
      <w:r w:rsidR="004464C2" w:rsidRPr="002B72DB">
        <w:rPr>
          <w:lang w:val="es-ES_tradnl"/>
        </w:rPr>
        <w:t xml:space="preserve">las comunidades </w:t>
      </w:r>
      <w:r w:rsidRPr="002B72DB">
        <w:rPr>
          <w:lang w:val="es-ES_tradnl"/>
        </w:rPr>
        <w:t>locale</w:t>
      </w:r>
      <w:r w:rsidRPr="002B72DB">
        <w:rPr>
          <w:rFonts w:eastAsia="Malgun Gothic" w:cs="Times New Roman"/>
          <w:kern w:val="22"/>
          <w:szCs w:val="22"/>
          <w:lang w:val="es-ES_tradnl"/>
        </w:rPr>
        <w:t>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Alrededor del 15 por ciento de las Partes indica en sus informes nacionales que va camino de alcanzar esta meta. Otro </w:t>
      </w:r>
      <w:r w:rsidR="009F0D12" w:rsidRPr="002B72DB">
        <w:rPr>
          <w:lang w:val="es-ES_tradnl"/>
        </w:rPr>
        <w:t xml:space="preserve">42 </w:t>
      </w:r>
      <w:r w:rsidRPr="002B72DB">
        <w:rPr>
          <w:lang w:val="es-ES_tradnl"/>
        </w:rPr>
        <w:t>por ciento de las Partes indica que se está progresando hacia esta meta pero no a un ritmo que permita alcanzarla antes de que termine el plazo. Alrededor del 2</w:t>
      </w:r>
      <w:r w:rsidR="009F0D12" w:rsidRPr="002B72DB">
        <w:rPr>
          <w:lang w:val="es-ES_tradnl"/>
        </w:rPr>
        <w:t>1</w:t>
      </w:r>
      <w:r w:rsidRPr="002B72DB">
        <w:rPr>
          <w:lang w:val="es-ES_tradnl"/>
        </w:rPr>
        <w:t xml:space="preserve"> por ciento de los informes indica que no ha habido ningún cambio significativo. Más de una quinta parte (22 por ciento) de los informes examinados no contenía información suficiente para evaluar el progreso hacia esta meta. El progreso hacia los diferentes elementos de la meta es difícil de evaluar</w:t>
      </w:r>
      <w:r w:rsidR="009F0D12" w:rsidRPr="002B72DB">
        <w:rPr>
          <w:lang w:val="es-ES_tradnl"/>
        </w:rPr>
        <w:t>,</w:t>
      </w:r>
      <w:r w:rsidRPr="002B72DB">
        <w:rPr>
          <w:lang w:val="es-ES_tradnl"/>
        </w:rPr>
        <w:t xml:space="preserve"> porque más del 40 por ciento de los informes no contenía información relacionada con ellos</w:t>
      </w:r>
      <w:r w:rsidRPr="002B72DB">
        <w:rPr>
          <w:rFonts w:eastAsia="Malgun Gothic" w:cs="Times New Roman"/>
          <w:kern w:val="22"/>
          <w:szCs w:val="22"/>
          <w:lang w:val="es-ES_tradnl"/>
        </w:rPr>
        <w:t>.</w:t>
      </w:r>
    </w:p>
    <w:p w:rsidR="00CD7A59" w:rsidRPr="002B72DB" w:rsidRDefault="00CD7A59">
      <w:pPr>
        <w:suppressLineNumbers/>
        <w:suppressAutoHyphens/>
        <w:spacing w:after="120"/>
        <w:jc w:val="left"/>
        <w:rPr>
          <w:rFonts w:cs="Times New Roman"/>
          <w:i/>
          <w:iCs/>
          <w:snapToGrid w:val="0"/>
          <w:color w:val="333333"/>
          <w:kern w:val="22"/>
          <w:szCs w:val="22"/>
          <w:shd w:val="clear" w:color="auto" w:fill="FFFFFF"/>
          <w:lang w:val="es-ES_tradnl"/>
        </w:rPr>
      </w:pPr>
      <w:r w:rsidRPr="002B72DB">
        <w:rPr>
          <w:i/>
          <w:snapToGrid w:val="0"/>
          <w:kern w:val="22"/>
          <w:lang w:val="es-ES_tradnl"/>
        </w:rPr>
        <w:t>Meta 19 –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p w:rsidR="00CD7A59" w:rsidRPr="002B72DB" w:rsidRDefault="00AB56F8"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Alrededor </w:t>
      </w:r>
      <w:r w:rsidR="00CD7A59" w:rsidRPr="002B72DB">
        <w:rPr>
          <w:lang w:val="es-ES_tradnl"/>
        </w:rPr>
        <w:t>de una cuarta parte (2</w:t>
      </w:r>
      <w:r w:rsidRPr="002B72DB">
        <w:rPr>
          <w:lang w:val="es-ES_tradnl"/>
        </w:rPr>
        <w:t>4</w:t>
      </w:r>
      <w:r w:rsidR="00CD7A59" w:rsidRPr="002B72DB">
        <w:rPr>
          <w:lang w:val="es-ES_tradnl"/>
        </w:rPr>
        <w:t xml:space="preserve"> por ciento) de las EPANB contiene metas con un alcance y un nivel de ambición similar a los establecidos en esta meta de Aichi</w:t>
      </w:r>
      <w:r w:rsidR="00CD7A59" w:rsidRPr="002B72DB">
        <w:rPr>
          <w:rFonts w:eastAsia="Malgun Gothic" w:cs="Times New Roman"/>
          <w:kern w:val="22"/>
          <w:szCs w:val="22"/>
          <w:vertAlign w:val="superscript"/>
          <w:lang w:val="es-ES_tradnl"/>
        </w:rPr>
        <w:footnoteReference w:id="34"/>
      </w:r>
      <w:r w:rsidR="00CD7A59" w:rsidRPr="002B72DB">
        <w:rPr>
          <w:rFonts w:eastAsia="Malgun Gothic" w:cs="Times New Roman"/>
          <w:kern w:val="22"/>
          <w:szCs w:val="22"/>
          <w:lang w:val="es-ES_tradnl"/>
        </w:rPr>
        <w:t xml:space="preserve"> y una EPANB </w:t>
      </w:r>
      <w:r w:rsidR="00CD7A59" w:rsidRPr="002B72DB">
        <w:rPr>
          <w:lang w:val="es-ES_tradnl"/>
        </w:rPr>
        <w:t>contiene una meta que sobrepasa esta meta de Aichi</w:t>
      </w:r>
      <w:r w:rsidR="00CD7A59" w:rsidRPr="002B72DB">
        <w:rPr>
          <w:rFonts w:eastAsia="Malgun Gothic" w:cs="Times New Roman"/>
          <w:kern w:val="22"/>
          <w:szCs w:val="22"/>
          <w:vertAlign w:val="superscript"/>
          <w:lang w:val="es-ES_tradnl"/>
        </w:rPr>
        <w:footnoteReference w:id="35"/>
      </w:r>
      <w:r w:rsidR="00CD7A59" w:rsidRPr="002B72DB">
        <w:rPr>
          <w:rFonts w:eastAsia="Malgun Gothic" w:cs="Times New Roman"/>
          <w:kern w:val="22"/>
          <w:szCs w:val="22"/>
          <w:lang w:val="es-ES_tradnl"/>
        </w:rPr>
        <w:t xml:space="preserve">. </w:t>
      </w:r>
      <w:r w:rsidR="00CD7A59" w:rsidRPr="002B72DB">
        <w:rPr>
          <w:lang w:val="es-ES_tradnl"/>
        </w:rPr>
        <w:t>Más de la mitad (</w:t>
      </w:r>
      <w:r w:rsidRPr="002B72DB">
        <w:rPr>
          <w:lang w:val="es-ES_tradnl"/>
        </w:rPr>
        <w:t>61 </w:t>
      </w:r>
      <w:r w:rsidR="00CD7A59" w:rsidRPr="002B72DB">
        <w:rPr>
          <w:lang w:val="es-ES_tradnl"/>
        </w:rPr>
        <w:t xml:space="preserve">por ciento) de las EPANB contenía metas u otros compromisos que eran más bajos que esta meta de Aichi y/o que no abordaban todos los elementos de esta meta. Alrededor del </w:t>
      </w:r>
      <w:r w:rsidRPr="002B72DB">
        <w:rPr>
          <w:lang w:val="es-ES_tradnl"/>
        </w:rPr>
        <w:t>14 </w:t>
      </w:r>
      <w:r w:rsidR="00CD7A59" w:rsidRPr="002B72DB">
        <w:rPr>
          <w:lang w:val="es-ES_tradnl"/>
        </w:rPr>
        <w:t xml:space="preserve">por ciento de las EPANB no contenía ninguna meta relacionada con esta meta de Aichi. Las metas que se han establecido se centran en gran medida en aumentar la cantidad de información sobre la diversidad biológica que hay disponible y su calidad. Hay menos metas que aborden la cuestión de compartir la información sobre la diversidad biológica y la tecnología y aún menos que cubran cuestiones relacionadas con la aplicación de la información sobre la diversidad biológica. La meta 19 es una de las metas de Aichi </w:t>
      </w:r>
      <w:r w:rsidRPr="002B72DB">
        <w:rPr>
          <w:lang w:val="es-ES_tradnl"/>
        </w:rPr>
        <w:t xml:space="preserve">que cuentan </w:t>
      </w:r>
      <w:r w:rsidR="00CD7A59" w:rsidRPr="002B72DB">
        <w:rPr>
          <w:lang w:val="es-ES_tradnl"/>
        </w:rPr>
        <w:t xml:space="preserve">con el mayor número de EPANB </w:t>
      </w:r>
      <w:r w:rsidRPr="002B72DB">
        <w:rPr>
          <w:lang w:val="es-ES_tradnl"/>
        </w:rPr>
        <w:t xml:space="preserve">con </w:t>
      </w:r>
      <w:r w:rsidR="00CD7A59" w:rsidRPr="002B72DB">
        <w:rPr>
          <w:lang w:val="es-ES_tradnl"/>
        </w:rPr>
        <w:t>metas relacionadas</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Alrededor del 12 por ciento de las Partes proporciona información en sus quintos informes nacionales que sugiere que va camino de alcanzar esta meta. </w:t>
      </w:r>
      <w:r w:rsidR="00DB0F11">
        <w:rPr>
          <w:lang w:val="es-ES_tradnl"/>
        </w:rPr>
        <w:t xml:space="preserve">Otro </w:t>
      </w:r>
      <w:r w:rsidRPr="002B72DB">
        <w:rPr>
          <w:lang w:val="es-ES_tradnl"/>
        </w:rPr>
        <w:t xml:space="preserve">60 por ciento de las Partes proporciona información que sugiere que se está progresando hacia esta meta pero no a un ritmo que permita alcanzarla antes de que termine el plazo. En comparación, en los informes hay poca información sobre cómo se está aplicando la información sobre la diversidad biológica en la toma de decisiones (el 49 por ciento de las Partes no aporta información sobre este tema) o </w:t>
      </w:r>
      <w:r w:rsidR="00AB56F8" w:rsidRPr="002B72DB">
        <w:rPr>
          <w:lang w:val="es-ES_tradnl"/>
        </w:rPr>
        <w:t xml:space="preserve">sobre </w:t>
      </w:r>
      <w:r w:rsidRPr="002B72DB">
        <w:rPr>
          <w:lang w:val="es-ES_tradnl"/>
        </w:rPr>
        <w:t>cómo se está compartiendo tecnología e información sobre la diversidad biológica (el 3</w:t>
      </w:r>
      <w:r w:rsidR="00AB56F8" w:rsidRPr="002B72DB">
        <w:rPr>
          <w:lang w:val="es-ES_tradnl"/>
        </w:rPr>
        <w:t>6</w:t>
      </w:r>
      <w:r w:rsidRPr="002B72DB">
        <w:rPr>
          <w:lang w:val="es-ES_tradnl"/>
        </w:rPr>
        <w:t xml:space="preserve"> por ciento de las Partes no aporta información sobre este tema). En general eso sugiere que la mayoría de las acciones relacionadas con esta meta se centra en mejorar la cantidad de información sobre la diversidad biológica que hay disponible y su calidad</w:t>
      </w:r>
      <w:r w:rsidRPr="002B72DB">
        <w:rPr>
          <w:rFonts w:eastAsia="Malgun Gothic" w:cs="Times New Roman"/>
          <w:kern w:val="22"/>
          <w:szCs w:val="22"/>
          <w:lang w:val="es-ES_tradnl"/>
        </w:rPr>
        <w:t>.</w:t>
      </w:r>
    </w:p>
    <w:p w:rsidR="00CD7A59" w:rsidRPr="002B72DB" w:rsidRDefault="00CD7A59">
      <w:pPr>
        <w:suppressLineNumbers/>
        <w:suppressAutoHyphens/>
        <w:spacing w:after="120"/>
        <w:rPr>
          <w:rFonts w:eastAsia="Malgun Gothic" w:cs="Times New Roman"/>
          <w:snapToGrid w:val="0"/>
          <w:kern w:val="22"/>
          <w:szCs w:val="22"/>
          <w:lang w:val="es-ES_tradnl"/>
        </w:rPr>
      </w:pPr>
      <w:r w:rsidRPr="002B72DB">
        <w:rPr>
          <w:i/>
          <w:snapToGrid w:val="0"/>
          <w:kern w:val="22"/>
          <w:lang w:val="es-ES_tradnl"/>
        </w:rPr>
        <w:t>Meta 20 – 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p w:rsidR="00CD7A59" w:rsidRPr="002B72DB" w:rsidRDefault="00AB56F8"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lastRenderedPageBreak/>
        <w:t>U</w:t>
      </w:r>
      <w:r w:rsidR="00CD7A59" w:rsidRPr="002B72DB">
        <w:rPr>
          <w:lang w:val="es-ES_tradnl"/>
        </w:rPr>
        <w:t xml:space="preserve">na </w:t>
      </w:r>
      <w:r w:rsidRPr="002B72DB">
        <w:rPr>
          <w:lang w:val="es-ES_tradnl"/>
        </w:rPr>
        <w:t xml:space="preserve">quinta </w:t>
      </w:r>
      <w:r w:rsidR="00CD7A59" w:rsidRPr="002B72DB">
        <w:rPr>
          <w:lang w:val="es-ES_tradnl"/>
        </w:rPr>
        <w:t>parte (2</w:t>
      </w:r>
      <w:r w:rsidRPr="002B72DB">
        <w:rPr>
          <w:lang w:val="es-ES_tradnl"/>
        </w:rPr>
        <w:t>0</w:t>
      </w:r>
      <w:r w:rsidR="00CD7A59" w:rsidRPr="002B72DB">
        <w:rPr>
          <w:lang w:val="es-ES_tradnl"/>
        </w:rPr>
        <w:t> por ciento) de las EPANB contiene metas con un nivel de ambición y un alcance similares a los establecidos en esta meta de Aichi</w:t>
      </w:r>
      <w:r w:rsidR="00CD7A59" w:rsidRPr="002B72DB">
        <w:rPr>
          <w:rFonts w:eastAsia="Malgun Gothic" w:cs="Times New Roman"/>
          <w:kern w:val="22"/>
          <w:szCs w:val="22"/>
          <w:vertAlign w:val="superscript"/>
          <w:lang w:val="es-ES_tradnl"/>
        </w:rPr>
        <w:footnoteReference w:id="36"/>
      </w:r>
      <w:r w:rsidRPr="002B72DB">
        <w:rPr>
          <w:lang w:val="es-ES_tradnl"/>
        </w:rPr>
        <w:t>,</w:t>
      </w:r>
      <w:r w:rsidR="000B5051" w:rsidRPr="002B72DB">
        <w:rPr>
          <w:lang w:val="es-ES_tradnl"/>
        </w:rPr>
        <w:t xml:space="preserve"> y una Parte fijó una meta que supera la Meta de Aichi, dado que tiene un plazo de cumplimiento anterior</w:t>
      </w:r>
      <w:r w:rsidR="000B5051" w:rsidRPr="00D04188">
        <w:rPr>
          <w:rStyle w:val="FootnoteReference"/>
          <w:rFonts w:eastAsia="Malgun Gothic"/>
          <w:kern w:val="22"/>
          <w:sz w:val="22"/>
          <w:szCs w:val="22"/>
          <w:u w:val="none"/>
          <w:vertAlign w:val="superscript"/>
          <w:lang w:val="es-ES_tradnl"/>
        </w:rPr>
        <w:footnoteReference w:id="37"/>
      </w:r>
      <w:r w:rsidR="00CD7A59" w:rsidRPr="002B72DB">
        <w:rPr>
          <w:rFonts w:eastAsia="Malgun Gothic" w:cs="Times New Roman"/>
          <w:kern w:val="22"/>
          <w:szCs w:val="22"/>
          <w:lang w:val="es-ES_tradnl"/>
        </w:rPr>
        <w:t xml:space="preserve">. </w:t>
      </w:r>
      <w:r w:rsidR="00CD7A59" w:rsidRPr="002B72DB">
        <w:rPr>
          <w:lang w:val="es-ES_tradnl"/>
        </w:rPr>
        <w:t>Más de la mitad (5</w:t>
      </w:r>
      <w:r w:rsidR="000B5051" w:rsidRPr="002B72DB">
        <w:rPr>
          <w:lang w:val="es-ES_tradnl"/>
        </w:rPr>
        <w:t>6</w:t>
      </w:r>
      <w:r w:rsidR="00CD7A59" w:rsidRPr="002B72DB">
        <w:rPr>
          <w:lang w:val="es-ES_tradnl"/>
        </w:rPr>
        <w:t> por ciento) de las EPANB contiene metas que o bien son más bajas que la meta 20 de Aichi o bien no abordan todos los elementos de esta meta. Las metas que se han establecido tienden a ser generales y la mayoría no se refiere al aumento de recursos provenientes de todas las fuentes o no especifica que los recursos deberían aumentar de manera sustancial. Además muchas de las metas que se han fijado también se refieren a recursos no financieros, tales como los recursos humanos. Casi una cuarta parte (24 por ciento) de las EPANB no contiene ninguna meta relacionada con esta meta de Aichi</w:t>
      </w:r>
      <w:r w:rsidR="00CD7A59"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Menos de una décima parte (8 por ciento) de los informes nacionales considerados en esta evaluación contiene información que sugiere que van camino de alcanzar esta meta. Casi la mitad (</w:t>
      </w:r>
      <w:r w:rsidR="00AB56F8" w:rsidRPr="002B72DB">
        <w:rPr>
          <w:lang w:val="es-ES_tradnl"/>
        </w:rPr>
        <w:t xml:space="preserve">47 </w:t>
      </w:r>
      <w:r w:rsidRPr="002B72DB">
        <w:rPr>
          <w:lang w:val="es-ES_tradnl"/>
        </w:rPr>
        <w:t>por ciento) de los informes contiene información que sugiere que, si bien están haciendo progresos hacia esta meta, actualmente no van camino de alcanzarla. Más de una cuarta parte de los informes nacionales contiene información que sugiere que no se ha hecho ningún progreso hacia esta meta (26 por ciento) o que la situación de los recursos para la diversidad biológica está empeorando (</w:t>
      </w:r>
      <w:r w:rsidR="00AB56F8" w:rsidRPr="002B72DB">
        <w:rPr>
          <w:lang w:val="es-ES_tradnl"/>
        </w:rPr>
        <w:t xml:space="preserve">3 </w:t>
      </w:r>
      <w:r w:rsidRPr="002B72DB">
        <w:rPr>
          <w:lang w:val="es-ES_tradnl"/>
        </w:rPr>
        <w:t>por ciento). El 17 por ciento de los informes nacionales no contiene suficiente información para poder evaluar el progreso hacia esta meta de Aichi. En los informes nacionales hay relativamente poca información sobre el progreso hacia la generación de recursos provenientes de todas las fuentes. La mayor parte de la información parece estar centrada en aumentar los recursos provenientes de fuentes gubernamentales</w:t>
      </w:r>
      <w:r w:rsidRPr="002B72DB">
        <w:rPr>
          <w:rFonts w:eastAsia="Malgun Gothic" w:cs="Times New Roman"/>
          <w:kern w:val="22"/>
          <w:szCs w:val="22"/>
          <w:lang w:val="es-ES_tradnl"/>
        </w:rPr>
        <w:t>.</w:t>
      </w:r>
    </w:p>
    <w:p w:rsidR="00CD7A59" w:rsidRPr="002B72DB" w:rsidRDefault="00CD7A59" w:rsidP="00CD7A59">
      <w:pPr>
        <w:keepNext/>
        <w:numPr>
          <w:ilvl w:val="0"/>
          <w:numId w:val="12"/>
        </w:numPr>
        <w:suppressLineNumbers/>
        <w:suppressAutoHyphens/>
        <w:spacing w:before="120" w:after="120"/>
        <w:ind w:left="0" w:firstLine="0"/>
        <w:jc w:val="center"/>
        <w:rPr>
          <w:rFonts w:cs="Times New Roman"/>
          <w:b/>
          <w:bCs/>
          <w:lang w:val="es-ES_tradnl"/>
        </w:rPr>
      </w:pPr>
      <w:r w:rsidRPr="002B72DB">
        <w:rPr>
          <w:rFonts w:cs="Times New Roman"/>
          <w:b/>
          <w:bCs/>
          <w:lang w:val="es-ES_tradnl"/>
        </w:rPr>
        <w:t>CONCLUSIONES</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La mayoría de las EPANB consideradas en esta evaluación contiene metas relacionadas con las Metas de Aichi para la Diversidad Biológica, aunque había muchas EPANB sin ninguna meta o compromiso nacionales asociados a algunas de las metas de Aichi, por ejemplo las metas 3, 6, 10, 14 y 17. Las Metas de Aichi para la Diversidad Biológica 1, 8, 9, 11, 12, 16</w:t>
      </w:r>
      <w:r w:rsidR="00DB0F11">
        <w:rPr>
          <w:lang w:val="es-ES_tradnl"/>
        </w:rPr>
        <w:t xml:space="preserve"> </w:t>
      </w:r>
      <w:r w:rsidRPr="002B72DB">
        <w:rPr>
          <w:lang w:val="es-ES_tradnl"/>
        </w:rPr>
        <w:t>y 19 eran las que tenían el mayor número de metas o compromisos nacionales más o menos similares. Sin embargo, incluso en estos casos, el número de EPANB que tenían metas con un alcance y un nivel de ambición similares a los de las Metas de Aichi rara vez superó el 20 por ciento (véase el gráfico 1). En general, la mayoría de las metas y/o compromisos nacionales contenidos en las EPANB eran más bajos que las metas de Aichi o no abordaban todos los elementos de la meta de Aichi correspondiente. Por lo general las metas nacionales que se han establecido hasta la fecha son más generales que las Metas de Aichi. Muchas Partes han establecido metas que se refieren a varias metas de Aichi</w:t>
      </w:r>
      <w:r w:rsidRPr="002B72DB">
        <w:rPr>
          <w:rFonts w:eastAsia="Malgun Gothic" w:cs="Times New Roman"/>
          <w:kern w:val="22"/>
          <w:szCs w:val="22"/>
          <w:lang w:val="es-ES_tradnl"/>
        </w:rPr>
        <w:t>. Estas conclusiones son similares al análisis que se publicó durante la primera reunión del Órgano Subsidiario sobre la Aplicación</w:t>
      </w:r>
      <w:r w:rsidR="000B5051" w:rsidRPr="00D04188">
        <w:rPr>
          <w:rStyle w:val="FootnoteReference"/>
          <w:rFonts w:eastAsia="Malgun Gothic"/>
          <w:kern w:val="22"/>
          <w:sz w:val="22"/>
          <w:szCs w:val="22"/>
          <w:u w:val="none"/>
          <w:vertAlign w:val="superscript"/>
          <w:lang w:val="es-ES_tradnl"/>
        </w:rPr>
        <w:footnoteReference w:id="38"/>
      </w:r>
      <w:r w:rsidR="000B5051" w:rsidRPr="002B72DB">
        <w:rPr>
          <w:rFonts w:eastAsia="Malgun Gothic"/>
          <w:kern w:val="22"/>
          <w:szCs w:val="22"/>
          <w:lang w:val="es-ES_tradnl"/>
        </w:rPr>
        <w:t xml:space="preserve"> y la decimotercera reunión de la Conferencia de las Partes en el Convenio sobre la Diversidad Biológica</w:t>
      </w:r>
      <w:r w:rsidR="000B5051" w:rsidRPr="00D04188">
        <w:rPr>
          <w:rStyle w:val="FootnoteReference"/>
          <w:rFonts w:eastAsia="Malgun Gothic"/>
          <w:kern w:val="22"/>
          <w:sz w:val="22"/>
          <w:szCs w:val="22"/>
          <w:u w:val="none"/>
          <w:vertAlign w:val="superscript"/>
          <w:lang w:val="es-ES_tradnl"/>
        </w:rPr>
        <w:footnoteReference w:id="39"/>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La evaluación de la información contenida en los informes nacionales indica que la mayoría de las Partes ha hecho progresos hacia las metas de Aichi pero a un ritmo que es insuficiente para permitir alcanzar dichas metas antes de que termine el plazo a no ser que se tomen medidas adicionales. Dependiendo de la meta de Aichi, entre la tercera parte y las dos terceras partes de los informes nacionales contienen información que sugiere que se está progresando, pero a un ritmo insuficiente. Además, entre el </w:t>
      </w:r>
      <w:r w:rsidR="006C3284" w:rsidRPr="002B72DB">
        <w:rPr>
          <w:lang w:val="es-ES_tradnl"/>
        </w:rPr>
        <w:t xml:space="preserve">7 </w:t>
      </w:r>
      <w:r w:rsidRPr="002B72DB">
        <w:rPr>
          <w:lang w:val="es-ES_tradnl"/>
        </w:rPr>
        <w:t xml:space="preserve">y el </w:t>
      </w:r>
      <w:r w:rsidR="006C3284" w:rsidRPr="002B72DB">
        <w:rPr>
          <w:lang w:val="es-ES_tradnl"/>
        </w:rPr>
        <w:t xml:space="preserve">43 </w:t>
      </w:r>
      <w:r w:rsidRPr="002B72DB">
        <w:rPr>
          <w:lang w:val="es-ES_tradnl"/>
        </w:rPr>
        <w:t xml:space="preserve">por ciento de los informes nacionales contiene información que sugiere que o bien no ha habido ningún cambio significativo o bien el país se está alejando de una meta. El porcentaje de evaluaciones clasificadas como en camino de alcanzar la meta o en camino a superarla oscila entre el </w:t>
      </w:r>
      <w:r w:rsidR="006C3284" w:rsidRPr="002B72DB">
        <w:rPr>
          <w:lang w:val="es-ES_tradnl"/>
        </w:rPr>
        <w:t xml:space="preserve">3 </w:t>
      </w:r>
      <w:r w:rsidRPr="002B72DB">
        <w:rPr>
          <w:lang w:val="es-ES_tradnl"/>
        </w:rPr>
        <w:t xml:space="preserve">y el </w:t>
      </w:r>
      <w:r w:rsidR="006C3284" w:rsidRPr="002B72DB">
        <w:rPr>
          <w:lang w:val="es-ES_tradnl"/>
        </w:rPr>
        <w:t xml:space="preserve">29 </w:t>
      </w:r>
      <w:r w:rsidRPr="002B72DB">
        <w:rPr>
          <w:lang w:val="es-ES_tradnl"/>
        </w:rPr>
        <w:t xml:space="preserve">por ciento dependiendo de la meta (véase el gráfico 2). En general la evaluación de la </w:t>
      </w:r>
      <w:r w:rsidRPr="002B72DB">
        <w:rPr>
          <w:lang w:val="es-ES_tradnl"/>
        </w:rPr>
        <w:lastRenderedPageBreak/>
        <w:t xml:space="preserve">información contenida en los informes nacionales indica que entre el 63 y el </w:t>
      </w:r>
      <w:r w:rsidR="006C3284" w:rsidRPr="002B72DB">
        <w:rPr>
          <w:lang w:val="es-ES_tradnl"/>
        </w:rPr>
        <w:t xml:space="preserve">86 </w:t>
      </w:r>
      <w:r w:rsidRPr="002B72DB">
        <w:rPr>
          <w:lang w:val="es-ES_tradnl"/>
        </w:rPr>
        <w:t xml:space="preserve">por ciento de las Partes no va en camino de lograr una determinada meta de Aichi para la diversidad biológica. La conclusión general de este análisis es similar a la publicada durante la primera reunión del Órgano Subsidiario sobre la Aplicación. Este análisis es coherente con el que se presenta en la cuarta edición de la </w:t>
      </w:r>
      <w:r w:rsidRPr="002B72DB">
        <w:rPr>
          <w:i/>
          <w:lang w:val="es-ES_tradnl"/>
        </w:rPr>
        <w:t>Perspectiva Mundial sobre la Diversidad Biológica</w:t>
      </w:r>
      <w:r w:rsidRPr="002B72DB">
        <w:rPr>
          <w:lang w:val="es-ES_tradnl"/>
        </w:rPr>
        <w:t>, en el cual, basándose en una evaluación de 64 quintos informes nacionales, se llegó a la conclusión de que entre el 53 y el 92 por ciento de las Partes no van camino de lograr una determinada meta Aichi</w:t>
      </w:r>
      <w:r w:rsidRPr="002B72DB">
        <w:rPr>
          <w:rFonts w:eastAsia="Malgun Gothic" w:cs="Times New Roman"/>
          <w:kern w:val="22"/>
          <w:szCs w:val="22"/>
          <w:lang w:val="es-ES_tradnl"/>
        </w:rPr>
        <w:t>.</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Es importante señalar que la cantidad de información disponible para la evaluación de las EPANB y los informes nacionales variaba. En el caso de los informes nacionales, había información sobre casi </w:t>
      </w:r>
      <w:r w:rsidR="006C3284" w:rsidRPr="002B72DB">
        <w:rPr>
          <w:lang w:val="es-ES_tradnl"/>
        </w:rPr>
        <w:t>todas</w:t>
      </w:r>
      <w:r w:rsidRPr="002B72DB">
        <w:rPr>
          <w:lang w:val="es-ES_tradnl"/>
        </w:rPr>
        <w:t xml:space="preserve"> las Partes. Sin embargo, para la evaluación de las EPANB había información de </w:t>
      </w:r>
      <w:r w:rsidR="006C3284" w:rsidRPr="002B72DB">
        <w:rPr>
          <w:lang w:val="es-ES_tradnl"/>
        </w:rPr>
        <w:t xml:space="preserve">solo alrededor de tres cuartas partes </w:t>
      </w:r>
      <w:r w:rsidRPr="002B72DB">
        <w:rPr>
          <w:lang w:val="es-ES_tradnl"/>
        </w:rPr>
        <w:t>(</w:t>
      </w:r>
      <w:r w:rsidR="006C3284" w:rsidRPr="002B72DB">
        <w:rPr>
          <w:lang w:val="es-ES_tradnl"/>
        </w:rPr>
        <w:t>76</w:t>
      </w:r>
      <w:r w:rsidRPr="002B72DB">
        <w:rPr>
          <w:lang w:val="es-ES_tradnl"/>
        </w:rPr>
        <w:t xml:space="preserve"> por ciento) de las Partes, y por lo tanto, a medida que se reciban más EPANB, el panorama general presentado en esta evaluación podría cambiar. No obstante, si las EPANB que aún no se han </w:t>
      </w:r>
      <w:r w:rsidR="006C3284" w:rsidRPr="002B72DB">
        <w:rPr>
          <w:lang w:val="es-ES_tradnl"/>
        </w:rPr>
        <w:t xml:space="preserve">facilitado a la Secretaría </w:t>
      </w:r>
      <w:r w:rsidRPr="002B72DB">
        <w:rPr>
          <w:lang w:val="es-ES_tradnl"/>
        </w:rPr>
        <w:t xml:space="preserve">siguen un patrón similar a las que ya </w:t>
      </w:r>
      <w:r w:rsidR="006C3284" w:rsidRPr="002B72DB">
        <w:rPr>
          <w:lang w:val="es-ES_tradnl"/>
        </w:rPr>
        <w:t>se han recibido</w:t>
      </w:r>
      <w:r w:rsidRPr="002B72DB">
        <w:rPr>
          <w:lang w:val="es-ES_tradnl"/>
        </w:rPr>
        <w:t>, no es probable que la suma de los compromisos nacionales adicionales se corresponda con el alcance y el nivel de ambición establecidos en las metas mundiales de Aichi</w:t>
      </w:r>
      <w:r w:rsidRPr="002B72DB">
        <w:rPr>
          <w:rFonts w:eastAsia="Malgun Gothic" w:cs="Times New Roman"/>
          <w:kern w:val="22"/>
          <w:szCs w:val="22"/>
          <w:lang w:val="es-ES_tradnl"/>
        </w:rPr>
        <w:t>. Las EPANB adicionales recibidas entre</w:t>
      </w:r>
      <w:r w:rsidR="000B5051" w:rsidRPr="002B72DB">
        <w:rPr>
          <w:rFonts w:eastAsia="Malgun Gothic" w:cs="Times New Roman"/>
          <w:kern w:val="22"/>
          <w:szCs w:val="22"/>
          <w:lang w:val="es-ES_tradnl"/>
        </w:rPr>
        <w:t xml:space="preserve"> la decimotercera reunión de la Conferencia de las Partes y el 14 de marzo de </w:t>
      </w:r>
      <w:r w:rsidR="000B5051" w:rsidRPr="002B72DB">
        <w:rPr>
          <w:rFonts w:eastAsia="Malgun Gothic"/>
          <w:kern w:val="22"/>
          <w:szCs w:val="22"/>
          <w:lang w:val="es-ES_tradnl"/>
        </w:rPr>
        <w:t>2018</w:t>
      </w:r>
      <w:r w:rsidRPr="002B72DB">
        <w:rPr>
          <w:rFonts w:eastAsia="Malgun Gothic" w:cs="Times New Roman"/>
          <w:kern w:val="22"/>
          <w:szCs w:val="22"/>
          <w:lang w:val="es-ES_tradnl"/>
        </w:rPr>
        <w:t xml:space="preserve"> sugiere que ese pueda ser el caso.</w:t>
      </w:r>
    </w:p>
    <w:p w:rsidR="00CD7A59" w:rsidRPr="002B72DB" w:rsidRDefault="00CD7A59" w:rsidP="00CD7A59">
      <w:pPr>
        <w:pStyle w:val="Para1"/>
        <w:numPr>
          <w:ilvl w:val="0"/>
          <w:numId w:val="11"/>
        </w:numPr>
        <w:suppressLineNumbers/>
        <w:tabs>
          <w:tab w:val="clear" w:pos="360"/>
          <w:tab w:val="num" w:pos="720"/>
        </w:tabs>
        <w:suppressAutoHyphens/>
        <w:rPr>
          <w:rFonts w:eastAsia="Malgun Gothic" w:cs="Times New Roman"/>
          <w:kern w:val="22"/>
          <w:szCs w:val="22"/>
          <w:lang w:val="es-ES_tradnl"/>
        </w:rPr>
      </w:pPr>
      <w:r w:rsidRPr="002B72DB">
        <w:rPr>
          <w:lang w:val="es-ES_tradnl"/>
        </w:rPr>
        <w:t xml:space="preserve">Si bien la información de la evaluación de las EPANB se refiere a los compromisos y la información contenida en los informes nacionales se refiere a acciones y resultados, las dos fuentes de información proporcionan un panorama coherente. Se han hecho esfuerzos para traducir las Metas de Aichi para la Diversidad Biológica en compromisos nacionales, y se han tomado medidas nacionales para alcanzar las Metas de Aichi. Sin embargo estos compromisos y esfuerzos tendrán que ser ampliados significativamente para poder alcanzar las Metas de Aichi y, en términos más generales, llevar a cabo el Plan Estratégico para la Diversidad Biológica 2011-2020. En líneas generales la información de este análisis es coherente con la presentada en la cuarta edición de la </w:t>
      </w:r>
      <w:r w:rsidRPr="002B72DB">
        <w:rPr>
          <w:i/>
          <w:lang w:val="es-ES_tradnl"/>
        </w:rPr>
        <w:t>Perspectiva Mundial sobre la Diversidad Biológica</w:t>
      </w:r>
      <w:r w:rsidRPr="002B72DB">
        <w:rPr>
          <w:lang w:val="es-ES_tradnl"/>
        </w:rPr>
        <w:t>, en la que se llegó a la conclusión de que, si bien se están haciendo progresos hacia todas las metas, actualmente el progreso no es suficiente para alcanzar las Metas de Aichi para la Diversidad Biológica y hacen falta más acciones para mantener la buena marcha del Plan Estratégico para la Diversidad Biológica 2011-2020</w:t>
      </w:r>
      <w:r w:rsidRPr="002B72DB">
        <w:rPr>
          <w:rFonts w:eastAsia="Malgun Gothic" w:cs="Times New Roman"/>
          <w:kern w:val="22"/>
          <w:szCs w:val="22"/>
          <w:lang w:val="es-ES_tradnl"/>
        </w:rPr>
        <w:t>.</w:t>
      </w:r>
    </w:p>
    <w:p w:rsidR="00FD73A5" w:rsidRPr="002B72DB" w:rsidRDefault="00FD73A5" w:rsidP="00FD73A5">
      <w:pPr>
        <w:keepLines/>
        <w:suppressLineNumbers/>
        <w:suppressAutoHyphens/>
        <w:spacing w:before="120" w:after="120"/>
        <w:jc w:val="left"/>
        <w:rPr>
          <w:rFonts w:cs="Times New Roman"/>
          <w:snapToGrid w:val="0"/>
          <w:kern w:val="22"/>
          <w:szCs w:val="22"/>
          <w:shd w:val="clear" w:color="auto" w:fill="FFFFFF"/>
          <w:lang w:val="es-ES_tradnl"/>
        </w:rPr>
      </w:pPr>
      <w:r w:rsidRPr="002B72DB">
        <w:rPr>
          <w:lang w:val="es-ES_tradnl"/>
        </w:rPr>
        <w:t xml:space="preserve">Gráfico 1. </w:t>
      </w:r>
      <w:r w:rsidRPr="002B72DB">
        <w:rPr>
          <w:b/>
          <w:snapToGrid w:val="0"/>
          <w:kern w:val="22"/>
          <w:shd w:val="clear" w:color="auto" w:fill="FFFFFF"/>
          <w:lang w:val="es-ES_tradnl"/>
        </w:rPr>
        <w:t>Evaluación de la alineación de las metas nacionales y otros compromisos contenidos en las EPANB revisadas y actualizadas con las Metas de Aichi</w:t>
      </w:r>
    </w:p>
    <w:p w:rsidR="00CD7A59" w:rsidRPr="002B72DB" w:rsidRDefault="003F07D5">
      <w:pPr>
        <w:keepLines/>
        <w:suppressLineNumbers/>
        <w:suppressAutoHyphens/>
        <w:rPr>
          <w:rFonts w:cs="Times New Roman"/>
          <w:noProof/>
          <w:snapToGrid w:val="0"/>
          <w:kern w:val="22"/>
          <w:szCs w:val="22"/>
          <w:lang w:val="es-ES_tradnl"/>
        </w:rPr>
      </w:pPr>
      <w:r w:rsidRPr="003F07D5">
        <w:rPr>
          <w:rFonts w:cs="Times New Roman"/>
          <w:noProof/>
          <w:kern w:val="22"/>
          <w:szCs w:val="22"/>
          <w:lang w:eastAsia="en-GB"/>
        </w:rPr>
        <w:lastRenderedPageBreak/>
        <w:pict>
          <v:shape id="Chart 4" o:spid="_x0000_i1026" type="#_x0000_t75" style="width:468.75pt;height:3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9MDp3AAAAAUBAAAPAAAAZHJzL2Rvd25y&#10;ZXYueG1sTI/BTsMwEETvSPyDtUjcqF2oqhDiVAjUC1yg5dKbGy9JqL1OY7dJ/p6FC1xWGs1o5m2x&#10;Gr0TZ+xjG0jDfKZAIFXBtlRr+NiubzIQMRmyxgVCDRNGWJWXF4XJbRjoHc+bVAsuoZgbDU1KXS5l&#10;rBr0Js5Ch8TeZ+i9SSz7WtreDFzunbxVaim9aYkXGtPhU4PVYXPyGo5qPUz2dfvyvBsOk9q5t6/u&#10;WGt9fTU+PoBIOKa/MPzgMzqUzLQPJ7JROA38SPq97N3fZXMQew3LxSIDWRbyP335DQAA//8DAFBL&#10;AwQUAAYACAAAACEAzLLlSQUBAAAwAgAADgAAAGRycy9lMm9Eb2MueG1snJHPTsMwDMbvSLxDlDtL&#10;t0MF0dJdqkmcuMADmMRpIzV/5GQU3p5sK2ickHrzZ0s/f/68P3z6iX0gZReD4ttNwxkGHY0Lg+Jv&#10;r8eHR85ygWBgigEV/8LMD9393X5OEndxjJNBYhUSspyT4mMpSQqR9Yge8iYmDHVoI3koVdIgDMFc&#10;6X4Su6ZpxRzJJIoac67d/jrk3YVvLeryYm3GwibF2+ap5awoXk3Sj3w/S9HtQQ4EaXR6MQMrvHhw&#10;oa7+RfVQgJ3IrUDpEahUlpaXajGlV5MWQD37/4SjtU5jH/XJYyjXmAknKPXHeXQp1/ikM4rTs9me&#10;sxN/Lr7Vtb59dPcN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4+2vR8wAAAHUBAAAg&#10;AAAAZHJzL2NoYXJ0cy9fcmVscy9jaGFydDEueG1sLnJlbHOEkDFrwzAQhfdC/4O43ZbjoZRgOdC4&#10;gQylUJLNiyKdZbWyZHRKcf591SGlgULhlrvHfe/xms0yOfaJkWzwAlZlBQy9Ctp6I+B42BWPwChJ&#10;r6ULHgVckGDT3t81b+hkyk802plYpngSMKY0rzknNeIkqQwz+qwMIU4y5TUaPkv1IQ3yuqoeePzN&#10;gPaGyfZaQNzrFbDDZc7O/7PDMFiFXVDnCX36w4IHh6+nd1QpQ2U0mAQM1mGOzLfr/ki5h76T3qLr&#10;r5ifw/ap6+lki6r+Hql1XSAVO2vOEalcHF2ZL0HnuM9LwuilA942/Kas9gsAAP//AwBQSwMEFAAG&#10;AAgAAAAhAFr3fRTUCgAAqEIAABUAAABkcnMvY2hhcnRzL2NoYXJ0MS54bWzsXNtu3EYSfV9g/4E7&#10;0CJPlti8DoWMAl0sI4CVGLayAfLWw2mNGHHICcmRRvmbfMN+Qn5sqy/VvFhFaWVpvQjGggVeis3u&#10;qjrVh9Vd+va77Sp3bkVVZ2Uxm7B9d+KIIi0XWbGcTX66PH8znTh1w4sFz8tCzCb3op58d/T3v32b&#10;HqbXvGo+rXkqHGikqA/T2eS6adaHBwd1ei1WvN4v16KAe1dlteINnFbLg0XF76DxVX7guW50oBqZ&#10;mAb4MxpY8azA56unPF9eXWWpOCvTzUoUje5FJXLegAbq62xdT45gcDkvls4tz2cTUbx5dzI5kBdV&#10;Z+XBOi+b40pwLXlfbhp5tOLFhufvOZ7n6uiSV0vR6LayohCVbmt7US6EecNiKfTF+4cubrVUtJ8E&#10;CUtiP2JhFMZh4r9945nHtESwHyduEnh+lPgs9vy4lbjTEu5+5PteEk6nSeC7XuRHuoFrvJ0wFkWu&#10;FyRe7MVTP47l/YPh0OCCHpsc9ZxXp9ITzPFZVunG4LpufFmVmzWYXF9eiyoFvX9qeHojFlqiFpV8&#10;OluYoYb6clkthGnM1VearZSrm+qjuJJHV0ffnGfLTSUc9s0/9t7tebKv6g7InHLwQim1bk7LTWFM&#10;wHRL68aB180mrrL27dEP0MFNwZ2VaLhT8BScgeeytVs1/jUMD07aVvWJ6gYcmn6tP8A4+GFd5tni&#10;PMtzdVIt56e5GcZZIn9kDw4GYnnh3M0mSeiF0KHBPYUmYRtptmoM/RbgLC90H1UvwFm5MgmlrOM9&#10;/3DveM97gso8o/2hzi6krlhfSVLbWrPMaFZJqbe0qmylvK6UT7Xld6UCSiroSoWUlFSwNKvqV0RJ&#10;RV2pmJKKu1JTSmralUooqaQrxVxKjKHHau3T6u/pn5EGYD0LMNIErGcDRhqB9azASDOwnh0YaQjW&#10;swQjTcF6tmCkMVjPGow0B+vZwxvYYyQWGNzB3CH9rNisiFgF8IOA1cIPJG3E0hPmKcwQR+8ETBk6&#10;FHWuDqMaBdGR8Rl380hLomNEpI+hS/ikVdAZ/IH+2gCAbhCSb0EHoHuKpg9I70Wj022guSPaYxF5&#10;I86KoNN2fSjgWbz5tMujXkNSaxZl9JAtwAL6RajamFS+hVXwOKJGBo3aHQ4acNT6vT7BOVUBSOJM&#10;k4MhRzBzUocjmJl9nCOcfAFHUBEXuYGTloWzLlPuAHkUt7xIM+6secWd3LAIoHfHWXqd9SP5SOQY&#10;YxGSULcUgKeSQ0mAwrS/WQFr1OQqdOEf0gt8ZEc2kJJgRFOGJGMFok9JkdERI5uSImMGRjclReIQ&#10;YaikyFiKUU5JkWjESKekyNkN8aikdmQDHeQvSjZOJNeHyPfKZIP0SZwVaTaIyPRIJCEqaQlEJM0R&#10;EY0eOd0hEr1HUUgzK0QgzbkRffRbLMsfIeSoVRLklmqMEBarVnLAlmrQWrNUg5GKtciifcBSjREe&#10;gbqlXQ11Owxqz2cahld0mIZJu4wzjdMXYxp1tiwySFpBiuqWy6SVcFZ//lE7c/4rd37biK/JOCJk&#10;HIqI/Hh1pYlIgJdllmJHROTnjs5E6dwIhjs1/e6ICGZjhphtvxJtPNSEhQ4zGBS13C7rgck4DJxa&#10;L/SUgeFTyb141uNUEhEIjK9MRGgGgO5Bf1kjNOkMEk6ZPjkJIRMJScaPTIT+qkYmEpLhAb8HfFIC&#10;jR6QrArNPTLlYtYjpJ3GapXsiaUiAd0K6tUj9dpSEVoENTsyIlTtCC1C3Y4wNFQunVKyKcShyPO5&#10;iGEeHS7iP2Vl5OzFuAjQj7J2+GqewRJJ/TD9cErFSorS4XPoKXeacgEP1ZvagVSJJDBl/WpJEWnc&#10;flIkllmRXVKkr/F2asWApyI+CWAEp5LaJUXaFaSRTx4Mi3rO3XGR/y8ucia5CATGV+YiET1VmRWY&#10;kIQTQtMn+S7CcphXb+GNXCQg1xLsjEm+BSdMn+QROF/SK0E4XdKsyXIROhWBXGRkSQNBR4/XchFa&#10;rXaxk842WS4y8iLUbEBa2KZFRuiK1S2pfbumSS/VWS4SDuLQ87mIYR4dLhI8hYu8fTEuIn7bQEIk&#10;VwmRz5ddnP6E94LrLhJ0fYqxW3eRW0EGntXGIIxjO4qBMU5TAjIk79Id3Y1XrSPZFLHWHz214myj&#10;5ehvzp49Xjzd8VZSDIh3r0wxAnLixsmQVAAik86YIMOgJZBhkC/BaZBeEEGCQW8rwkmQXoRAk9Pp&#10;EDQ23Q+Lu5HUAOrUI8drCcbQoTqOjGr1yC8uSzBozdt1F3p7TUsw6O4+rltLMGh+ZwnGsC/PJxiG&#10;TnQIhtkYOr7wcv5iBEOurdTlvBJrDqkOkTs8T2Gjh4AEB5wU2S38hl0eOhvy578LeTLc/fEyNKS7&#10;iZRN/YCdYEKju9d0t4kUWAgJKIScmhNIRo7RTEmRjBtDmpIis7wY1pQU+VWD8FNS5JSG4U1JkVjG&#10;EKekdsspf/F9HeeSX0C4e2V+QdNUk8Eg+YelF/1vsXYeREySr0A4kq9AJJItIAhJAcQfKYDQI/uA&#10;qCNbsLyCDE4MaQXdxqPKtFkLug1UJxn+LKWg23hUoZal0208qlJLJwZKfzqbWPL1z9miMaUtIdaU&#10;QK1Tztd6lwLT6wLpId9+b3ZQMih98UMoTdKpjMGNCKpv1MTbL3uBnRnHqjJlIN62U6c8hwoTuQeg&#10;rDLIWKhyI92LFd9eQA2TLrTpCPLtB1g1UTVIue4NbJU9XzVOuw98NjHbw6FIq9xAYc37rICqGijk&#10;0g+s+K9ldZmlNxe8utFNFVDGpW82cP39PLcvKcS2uSz1vdqUsmhGAdVEEmbDspQuKZm68kc+3K9L&#10;4Yfrqm7OeG3soGpjjNigYKXZ6vKZebm4/1A5VdnI8hxZnAYH12X1u3wM8i41FA/d50KdrOUV09eF&#10;uPoIz9W/w/DdEJ6cq+cz9Xszm6iRQzFbld1AIVtRflJHIMZrAcaBazK9ODZIuamlXUrqMS+wZ+E0&#10;92txBfVws8llthK184O4cz6WUBY2gZ3BsG4mX+HBT+T60MEA/ntwFMDdrEmvz/kqy++h81ByJyvN&#10;aqEUoMYpYBHNNn4KvjSvMq2OtO7cednXgiW1TpVRjZZFsfgAu5ylpmWNnKqP++mTsSiYAwCqDQkV&#10;SFVZ18empksBC/Fj7oGKlHvzTVP+Iirje/JMXzdenM/z43xZ6GtpY8rK4CpsNwIlGVljGFX4pNEI&#10;bT8Iy7YXHbR9DsusuOBbNTDYhN7itwPLRt6VxXGAsndVtpBeVMsr/3v4gNo/78YD8cL95y5UoFur&#10;UDEFv9lFii8MUC8fKdqpU0WRhyOFunUimjshTHSY6xODWhsAEI90Zea5+mfCWE9MT4FeCFsa1fRQ&#10;lLK0E4APg+7NYADBXl2wWEKslNEgV0d2nsX4ZeuEh3XD/3VpsLsfM6jmTZIwSKCwNwoCEznvdWyM&#10;910WTFnMplOQYG6c2NJhWxjsTaOQRS6LoT44isJEVf6mh2badvcTj0Uxg8fjOPbcOJ4aHfc7Dzpo&#10;K4NR61ZjUmGyzPUJysRZhB9qOqBmwSdN/ZK77QD9VQEtvcB6v8TEv7L6xyI33mh8c5HV6xOgEDf1&#10;saEBwNiNU9lCe3ShHiLrLvF8DLhfg7s+3Vklnfyaztqjkk8kmZ1nvjTuwxeHqKDQ/oxD4q6CPwAw&#10;m1TfL5SDgA8pL1B/YOLoPwAAAP//AwBQSwECLQAUAAYACAAAACEApPKVkRwBAABeAgAAEwAAAAAA&#10;AAAAAAAAAAAAAAAAW0NvbnRlbnRfVHlwZXNdLnhtbFBLAQItABQABgAIAAAAIQA4/SH/1gAAAJQB&#10;AAALAAAAAAAAAAAAAAAAAE0BAABfcmVscy8ucmVsc1BLAQItABQABgAIAAAAIQBi9MDp3AAAAAUB&#10;AAAPAAAAAAAAAAAAAAAAAEwCAABkcnMvZG93bnJldi54bWxQSwECLQAUAAYACAAAACEAzLLlSQUB&#10;AAAwAgAADgAAAAAAAAAAAAAAAABVAwAAZHJzL2Uyb0RvYy54bWxQSwECLQAUAAYACAAAACEAqxbN&#10;RrkAAAAiAQAAGQAAAAAAAAAAAAAAAACGBAAAZHJzL19yZWxzL2Uyb0RvYy54bWwucmVsc1BLAQIt&#10;ABQABgAIAAAAIQB4+2vR8wAAAHUBAAAgAAAAAAAAAAAAAAAAAHYFAABkcnMvY2hhcnRzL19yZWxz&#10;L2NoYXJ0MS54bWwucmVsc1BLAQItABQABgAIAAAAIQBa930U1AoAAKhCAAAVAAAAAAAAAAAAAAAA&#10;AKcGAABkcnMvY2hhcnRzL2NoYXJ0MS54bWxQSwUGAAAAAAcABwDLAQAArhEAAAAA&#10;">
            <v:imagedata r:id="rId20" o:title="" cropbottom="-41f"/>
            <o:lock v:ext="edit" aspectratio="f"/>
          </v:shape>
        </w:pict>
      </w:r>
    </w:p>
    <w:p w:rsidR="00CD7A59" w:rsidRPr="002B72DB" w:rsidRDefault="00CD7A59">
      <w:pPr>
        <w:keepLines/>
        <w:suppressLineNumbers/>
        <w:suppressAutoHyphens/>
        <w:spacing w:before="120" w:after="120"/>
        <w:jc w:val="left"/>
        <w:rPr>
          <w:rFonts w:cs="Times New Roman"/>
          <w:snapToGrid w:val="0"/>
          <w:kern w:val="22"/>
          <w:szCs w:val="22"/>
          <w:shd w:val="clear" w:color="auto" w:fill="FFFFFF"/>
          <w:lang w:val="es-ES_tradnl"/>
        </w:rPr>
      </w:pPr>
    </w:p>
    <w:p w:rsidR="00CD7A59" w:rsidRPr="002B72DB" w:rsidRDefault="00CD7A59">
      <w:pPr>
        <w:keepLines/>
        <w:suppressLineNumbers/>
        <w:suppressAutoHyphens/>
        <w:spacing w:before="120" w:after="120"/>
        <w:jc w:val="left"/>
        <w:rPr>
          <w:rFonts w:cs="Times New Roman"/>
          <w:snapToGrid w:val="0"/>
          <w:kern w:val="22"/>
          <w:szCs w:val="22"/>
          <w:shd w:val="clear" w:color="auto" w:fill="FFFFFF"/>
          <w:lang w:val="es-ES_tradnl"/>
        </w:rPr>
      </w:pPr>
      <w:r w:rsidRPr="002B72DB">
        <w:rPr>
          <w:i/>
          <w:snapToGrid w:val="0"/>
          <w:kern w:val="22"/>
          <w:shd w:val="clear" w:color="auto" w:fill="FFFFFF"/>
          <w:lang w:val="es-ES_tradnl"/>
        </w:rPr>
        <w:t>Nota</w:t>
      </w:r>
      <w:r w:rsidRPr="002B72DB">
        <w:rPr>
          <w:lang w:val="es-ES_tradnl"/>
        </w:rPr>
        <w:t>: Las barras de colores indican la proporción de EPANB en cada categoría. Para facilitar la lectura se han combinado las categorías «Meta nacional con poca relevancia para la meta de Aichi», «Meta nacional significativamente más baja que la meta de Aichi» y «Meta nacional similar a la meta de Aichi pero a un nivel más bajo/no cubre todos elementos»</w:t>
      </w:r>
      <w:r w:rsidRPr="002B72DB">
        <w:rPr>
          <w:rFonts w:cs="Times New Roman"/>
          <w:snapToGrid w:val="0"/>
          <w:kern w:val="22"/>
          <w:szCs w:val="22"/>
          <w:shd w:val="clear" w:color="auto" w:fill="FFFFFF"/>
          <w:lang w:val="es-ES_tradnl"/>
        </w:rPr>
        <w:t>.</w:t>
      </w:r>
    </w:p>
    <w:p w:rsidR="006C3284" w:rsidRPr="002B72DB" w:rsidRDefault="006C3284" w:rsidP="006C3284">
      <w:pPr>
        <w:suppressLineNumbers/>
        <w:suppressAutoHyphens/>
        <w:spacing w:before="120"/>
        <w:jc w:val="left"/>
        <w:rPr>
          <w:rFonts w:cs="Times New Roman"/>
          <w:snapToGrid w:val="0"/>
          <w:kern w:val="22"/>
          <w:szCs w:val="22"/>
          <w:shd w:val="clear" w:color="auto" w:fill="FFFFFF"/>
          <w:lang w:val="es-ES_tradnl"/>
        </w:rPr>
      </w:pPr>
      <w:r w:rsidRPr="002B72DB">
        <w:rPr>
          <w:lang w:val="es-ES_tradnl"/>
        </w:rPr>
        <w:t xml:space="preserve">Gráfico 2. </w:t>
      </w:r>
      <w:r w:rsidRPr="002B72DB">
        <w:rPr>
          <w:b/>
          <w:snapToGrid w:val="0"/>
          <w:kern w:val="22"/>
          <w:shd w:val="clear" w:color="auto" w:fill="FFFFFF"/>
          <w:lang w:val="es-ES_tradnl"/>
        </w:rPr>
        <w:t>Evaluación del progreso hacia cada una de las Metas de Aichi para la Diversidad Biológica tomando como base la información contenida en los quintos informes nacionales</w:t>
      </w:r>
    </w:p>
    <w:p w:rsidR="00CD7A59" w:rsidRPr="002B72DB" w:rsidRDefault="003F07D5">
      <w:pPr>
        <w:suppressLineNumbers/>
        <w:suppressAutoHyphens/>
        <w:spacing w:before="120"/>
        <w:jc w:val="left"/>
        <w:rPr>
          <w:rFonts w:cs="Times New Roman"/>
          <w:snapToGrid w:val="0"/>
          <w:kern w:val="22"/>
          <w:szCs w:val="22"/>
          <w:shd w:val="clear" w:color="auto" w:fill="FFFFFF"/>
          <w:lang w:val="es-ES_tradnl"/>
        </w:rPr>
      </w:pPr>
      <w:r w:rsidRPr="003F07D5">
        <w:rPr>
          <w:rFonts w:cs="Times New Roman"/>
          <w:noProof/>
          <w:kern w:val="22"/>
          <w:szCs w:val="22"/>
          <w:shd w:val="clear" w:color="auto" w:fill="FFFFFF"/>
          <w:lang w:eastAsia="en-GB"/>
        </w:rPr>
        <w:lastRenderedPageBreak/>
        <w:pict>
          <v:shape id="Chart 3" o:spid="_x0000_i1027" type="#_x0000_t75" style="width:469.5pt;height:2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I7h3gAAAAUBAAAPAAAAZHJzL2Rvd25y&#10;ZXYueG1sTI/NTsMwEITvSLyDtUjcqEMhlIQ4VfirkKiEKLlw28ZLEojXUew2gafHcIHLSqMZzXyb&#10;LSfTiT0NrrWs4HQWgSCurG65VlC+3J9cgnAeWWNnmRR8koNlfniQYartyM+03/hahBJ2KSpovO9T&#10;KV3VkEE3sz1x8N7sYNAHOdRSDziGctPJeRRdSIMth4UGe7ppqPrY7IyC4ul9YR6S17vy0dlb/loV&#10;5fV6VOr4aCquQHia/F8YfvADOuSBaWt3rJ3oFIRH/O8NXnKWzEFsFcTxeQwyz+R/+vw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4+2vR8wAA&#10;AHUBAAAgAAAAZHJzL2NoYXJ0cy9fcmVscy9jaGFydDEueG1sLnJlbHOEkDFrwzAQhfdC/4O43Zbj&#10;oZRgOdC4gQylUJLNiyKdZbWyZHRKcf591SGlgULhlrvHfe/xms0yOfaJkWzwAlZlBQy9Ctp6I+B4&#10;2BWPwChJr6ULHgVckGDT3t81b+hkyk802plYpngSMKY0rzknNeIkqQwz+qwMIU4y5TUaPkv1IQ3y&#10;uqoeePzNgPaGyfZaQNzrFbDDZc7O/7PDMFiFXVDnCX36w4IHh6+nd1QpQ2U0mAQM1mGOzLfr/ki5&#10;h76T3qLrr5ifw/ap6+lki6r+Hql1XSAVO2vOEalcHF2ZL0HnuM9LwuilA942/Kas9gsAAP//AwBQ&#10;SwMEFAAGAAgAAAAhABTeSY4gCgAAvD0AABUAAABkcnMvY2hhcnRzL2NoYXJ0MS54bWzsW9tu48gR&#10;fQ+Qf2AEB/uSsdm8yxh5YXvGgwXGu4OxNwHy1qbaMtcUKTQpjzy/lU/Ij6X6Uk2RO0Ur9jrZBHqx&#10;eTlsdlfVqT5qdr39frMsvQchm6KuZhN26E88UeX1vKgWs8nP1xdvsonXtLya87KuxGzyKJrJ9yd/&#10;/MPb/Di/47K9WvFceNBI1Rzns8ld266Oj46a/E4seXNYr0QF925rueQtnMrF0VzyL9D4sjwKfD85&#10;0o1MbAP8GQ0seVHh83KX5+vb2yIX7+p8vRRVa3ohRclbsEBzV6yayQkMruTVwnvg5WwiqjcfziZH&#10;6qLurDpYlXV7KgU3yMd63aqjJa/WvPzI8bzUR9dcLkRr2iqqSkjT1uayngv7hvlCmIuP37q4Majk&#10;MA2TNAyjKPJZGId+9P5NYB8ziOAwzlgcxPGURXESRQlziC8G4R+mAbQAoCzyExb5WWxauMP70wCe&#10;jdM0jtIoS6NI3z8ajg0umMGpYd9wea5CwR6/K6RpDK6bxheyXq/A5+bySsgcDH/V8vxezA2iEVI9&#10;XcztWG2vajkXtjHfANuNwjWt/Cxu1dHtyXcXxWIthRd896eDDwfBW+iavgOYcw5hqFCr9rxeV9YH&#10;zLS0aj143Wzia3c/nPxYe3f80SsqHax58c9/VKqthxP1dwWDg39dm+ZEdwIOba9Wn2AU/Lipy2J+&#10;UZSlPlFMEOcl2mTB4H38uFwvwdXGIFns+3p4R/AswuF9g5bK6qnG240eW/9BOFNPqg7r/kEUc+0q&#10;yoinB+HxwelBsIMpA+uVoS0vRcs91jefMqKxuLKAMqxG6bd0Ru5QwTYqpNoKt1ERhYq2UTGFirdR&#10;CYVKtlEphUq3URmFyrZRUwo13UYxn4IxjGRjfdr8Pfsz0gGs5wFGuoD1fMBIJ7CeFxjpBtbzAyMd&#10;wXqeYKQrWM8XjHQG63mDke5gPX8EA3+MZAnLO5hUVPxX6yWRw4B+kMg6+gHSZTIzk57D1HHyQcBc&#10;wksVDltXh9mOouhIHNlwoz2JgRGRNseQCMgoxGCgERgGAekxDAC6DXR9SEYROj0gEejuhI5sZB4j&#10;h8uQdMN46RKe41tIt4J2DenoRMOOQNCyIc19NC0dBI5WEd0KGneExGjdYV8gqru4Nyc422oCKZ4Z&#10;0TDUDnZO2tIOdsYf1w5nL9IOjcdL8Qtf1o0Hqq7k3hKmwH6mVj12msSc4Ih21w88V9pJEbCvIZSE&#10;2GsII9Q6SmGi0jMiOYEhqTSKJDnySqPIyQuppVFkSkF2aRSZRDF5aRSZBJFjGkWmBaSZRo3kfsxk&#10;BkcnIkxnBkdngJ4H9hrCSeCeP4Zzwkim2E1DnCkJDwntlTXEQPp0vMPoIOMHw4JkG3KSBCAdQ7IT&#10;SEWSX8hC8h1IQFpbIvnI3IJ+HplHkXLkQJx2GOEPGpRMTE6lk0nJ6XOazWhSuqtoUxqBRqURaFQy&#10;epwCH4wWePNMzWAVwpZmsCsr45rh/EWaQa83rGS9kKKp/4NaIUGtoCXET7e3Zhkiwsv7ZQj9I8os&#10;ViCx9ERH0hzTlUaR+QRzlkYNYrdLnkgyjSLZikTTKDLFIdk0ai8h1HqfS3PaJvtlCGIZ4lxJCMhv&#10;rywhRpZj7DJERE4DSM2YJAnSMiZDHykZk5Me0jEmCYtUjEjiIw3pt+Ccl5ApBpUE/Ra3ADiiE1CZ&#10;xeR7umUI8seE0xIjfUHDDn/Xd3nOrfONtIKmDUjju2WIkfUONG5I5kmnKKLBoJ8vKayA2JIU4S6f&#10;MN69QFJcCY8/8Oor/4sHH1lqj3vrypNFu6zhs0azhs9eBSweCO/VtIZyV39dIt1/23AfkLrQx8yl&#10;pyCSiZi9NIrMLUg0jSJpgllMo8h8iXTTKJIsmM00isysSDqNGrCqswRmNY3ar0u49YGeJ+jfny77&#10;GfuRzvidfNt4p0QFZLjXFhUjK+j4cYP+voPkTElrIjGZT6oGZGVKsggZOSXbwBhgPtkTpCLdV6Th&#10;lEwzSMGE7EgnLAJyOG6RYkpD0LLMJzWdkxZTMkk5Ac9G8gValzaM+3w4JZOmY1e2w2LFyAoPWjgb&#10;pMHniwsrJbbERbSLuHj/AnHxvvJyviwqJSt4mSuZIfFDx+spCkW1vqLYf+nY75aA3SUDKu0VhVEA&#10;dNbE2cTg6CSNU8r/hqJ4rxQFpLVXVhQ7CApyFsFZjwSgnCABKCbo+Q6nO1IooPfppQH0OxkZqCTI&#10;buI0R8cgfuoIyX46GUF2w61PjEy4T1rUaQj6NWjSkPzl5RQEvQDlFAS9icVJcxPD30rubnViuFr5&#10;fAFh5cKWgLBbLsc/eFz8RgKiWcMCRacffpMFCbm4cdssWQabXM+UJOpvhgQpsd9FqaytNrR2cyby&#10;Red8Mt4xDWkUmQWQNxpFpgLMRxpFkhBzkkaROQMTk0btdYHdZNvzw8gGrJ4n/m9WGi6ULoBs9cq6&#10;gP5daNcZSACqAhKAnCQBSEcSgBFAAtD1JAD5RwKQeiQANQEJ6NYW+pNAl5ycJKDbeNKYblmBbuNJ&#10;c7rvFfQ6yZMGdXqAXgB50qRODQzGsrsYWPDV34p5a2s+Yiy2gCqgkq/MZgBmdhPmx3zzgy1TYFGa&#10;ZMkU9JeuhRncyKIo0/Ntvx4E9iud6pKNAbxrp8l5CbUhajqqpfo+oQtxTC+WfHMJ1T1qGofNkx2Q&#10;bz7BRktdnVOa3sC+j4tl63UboWcTuz8aypfqNVScfCwqKDeB77/mgSX/pZbXRX5/yeW9aaqCAidz&#10;s4XrH29K95JKbNrr2t7bmCqPm3r++El6sm5VDYkqoYKDu1p+VTDQGQ1UuDyWQp+s1BVbHTIXt5/h&#10;ueYrdMWP4ckb/Xyh/65nE90LKLmSxT2UW1X1lT4CGG8EGAquKRU9qA1ptsWP2sfRbQbdLkZRRU6V&#10;1z6uxC1Ubc0m18VSNN6P4ov3uYbiJdNzwZ9C5M04AjSXGaWWX3bcopp/4pKrsavaKl1X9fOVeiXA&#10;wUDg4VabFgpUZN00p7YUSIcdRpe9B53Wzufrtv47fOkynlFn5rr1cXlTnpaLylzLW2lgcBX2vDRY&#10;kmUjHV7vYhXa/mbQdr3YisVfB21RXfKNHhgVtK3piY7BD7KYK782YAm9f2kYx/6fhyFsdzj/HkI4&#10;g0DbR/AOEdwlPB3d345gfetMtF+EsFF7Y05sNNnAhFjtFSCKBZBLRU+pj1zawoB3BYnDAsV/uwYR&#10;6genUcqgwjBiYeqnfmIi+dFwLD6cZnAnZVkWhImfZdNfFyCyaRD50zRJoUIxCcPActUVIGYxy6Ig&#10;ZGmapWw6TfTsBCPu9x0udAWIJm/wY5OSd0+/UIC6D95h+lWWdQGlwuyvRfNTVVoPW2/Ni2Z1Bmn8&#10;vjm1qRg0hQ1SVyT7XLeoyeu/mVPOQZDcyEINhx/3ZsPend4suHXnpbMfaA0hK16+47DMLaEmdjaR&#10;P8y14cE32rq66PrkXwAAAP//AwBQSwECLQAUAAYACAAAACEApPKVkRwBAABeAgAAEwAAAAAAAAAA&#10;AAAAAAAAAAAAW0NvbnRlbnRfVHlwZXNdLnhtbFBLAQItABQABgAIAAAAIQA4/SH/1gAAAJQBAAAL&#10;AAAAAAAAAAAAAAAAAE0BAABfcmVscy8ucmVsc1BLAQItABQABgAIAAAAIQCz/I7h3gAAAAUBAAAP&#10;AAAAAAAAAAAAAAAAAEwCAABkcnMvZG93bnJldi54bWxQSwECLQAUAAYACAAAACEAGZ6CYwkBAAA0&#10;AgAADgAAAAAAAAAAAAAAAABXAwAAZHJzL2Uyb0RvYy54bWxQSwECLQAUAAYACAAAACEAqxbNRrkA&#10;AAAiAQAAGQAAAAAAAAAAAAAAAACMBAAAZHJzL19yZWxzL2Uyb0RvYy54bWwucmVsc1BLAQItABQA&#10;BgAIAAAAIQB4+2vR8wAAAHUBAAAgAAAAAAAAAAAAAAAAAHwFAABkcnMvY2hhcnRzL19yZWxzL2No&#10;YXJ0MS54bWwucmVsc1BLAQItABQABgAIAAAAIQAU3kmOIAoAALw9AAAVAAAAAAAAAAAAAAAAAK0G&#10;AABkcnMvY2hhcnRzL2NoYXJ0MS54bWxQSwUGAAAAAAcABwDLAQAAABEAAAAA&#10;">
            <v:imagedata r:id="rId21" o:title="" cropbottom="-24f"/>
            <o:lock v:ext="edit" aspectratio="f"/>
          </v:shape>
        </w:pict>
      </w:r>
    </w:p>
    <w:p w:rsidR="00CD7A59" w:rsidRPr="002B72DB" w:rsidRDefault="00CD7A59">
      <w:pPr>
        <w:suppressLineNumbers/>
        <w:suppressAutoHyphens/>
        <w:spacing w:before="120"/>
        <w:rPr>
          <w:rFonts w:cs="Times New Roman"/>
          <w:snapToGrid w:val="0"/>
          <w:kern w:val="22"/>
          <w:szCs w:val="22"/>
          <w:shd w:val="clear" w:color="auto" w:fill="FFFFFF"/>
          <w:lang w:val="es-ES_tradnl"/>
        </w:rPr>
      </w:pPr>
      <w:r w:rsidRPr="002B72DB">
        <w:rPr>
          <w:i/>
          <w:snapToGrid w:val="0"/>
          <w:kern w:val="22"/>
          <w:shd w:val="clear" w:color="auto" w:fill="FFFFFF"/>
          <w:lang w:val="es-ES_tradnl"/>
        </w:rPr>
        <w:t>Nota</w:t>
      </w:r>
      <w:r w:rsidRPr="002B72DB">
        <w:rPr>
          <w:lang w:val="es-ES_tradnl"/>
        </w:rPr>
        <w:t>: Las barras de colores indican la proporción de informes nacionales en cada categoría</w:t>
      </w:r>
      <w:r w:rsidRPr="002B72DB">
        <w:rPr>
          <w:rFonts w:cs="Times New Roman"/>
          <w:snapToGrid w:val="0"/>
          <w:kern w:val="22"/>
          <w:szCs w:val="22"/>
          <w:shd w:val="clear" w:color="auto" w:fill="FFFFFF"/>
          <w:lang w:val="es-ES_tradnl"/>
        </w:rPr>
        <w:t>.</w:t>
      </w:r>
    </w:p>
    <w:p w:rsidR="00CD7A59" w:rsidRPr="002B72DB" w:rsidRDefault="00CD7A59">
      <w:pPr>
        <w:suppressLineNumbers/>
        <w:suppressAutoHyphens/>
        <w:spacing w:before="120"/>
        <w:rPr>
          <w:rFonts w:cs="Times New Roman"/>
          <w:snapToGrid w:val="0"/>
          <w:kern w:val="22"/>
          <w:szCs w:val="22"/>
          <w:shd w:val="clear" w:color="auto" w:fill="FFFFFF"/>
          <w:lang w:val="es-ES_tradnl"/>
        </w:rPr>
      </w:pPr>
    </w:p>
    <w:p w:rsidR="00CD7A59" w:rsidRPr="002B72DB" w:rsidRDefault="00CD7A59">
      <w:pPr>
        <w:suppressLineNumbers/>
        <w:suppressAutoHyphens/>
        <w:jc w:val="center"/>
        <w:rPr>
          <w:rFonts w:cs="Times New Roman"/>
          <w:noProof/>
          <w:snapToGrid w:val="0"/>
          <w:kern w:val="22"/>
          <w:szCs w:val="22"/>
          <w:shd w:val="clear" w:color="auto" w:fill="FFFFFF"/>
          <w:lang w:val="es-ES_tradnl"/>
        </w:rPr>
      </w:pPr>
      <w:r w:rsidRPr="002B72DB">
        <w:rPr>
          <w:rFonts w:cs="Times New Roman"/>
          <w:snapToGrid w:val="0"/>
          <w:kern w:val="22"/>
          <w:szCs w:val="22"/>
          <w:shd w:val="clear" w:color="auto" w:fill="FFFFFF"/>
          <w:lang w:val="es-ES_tradnl"/>
        </w:rPr>
        <w:t>__________</w:t>
      </w:r>
    </w:p>
    <w:sectPr w:rsidR="00CD7A59" w:rsidRPr="002B72DB">
      <w:headerReference w:type="even" r:id="rId22"/>
      <w:headerReference w:type="default" r:id="rId23"/>
      <w:footerReference w:type="even" r:id="rId24"/>
      <w:footerReference w:type="default" r:id="rId25"/>
      <w:pgSz w:w="12240" w:h="15840" w:code="1"/>
      <w:pgMar w:top="1021" w:right="1440" w:bottom="1140"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8C" w:rsidRDefault="0013368C">
      <w:r>
        <w:separator/>
      </w:r>
    </w:p>
  </w:endnote>
  <w:endnote w:type="continuationSeparator" w:id="0">
    <w:p w:rsidR="0013368C" w:rsidRDefault="0013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06" w:rsidRPr="00855FC8" w:rsidRDefault="007A5206">
    <w:pPr>
      <w:pStyle w:val="Foote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06" w:rsidRDefault="007A5206">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8C" w:rsidRDefault="0013368C">
      <w:r>
        <w:separator/>
      </w:r>
    </w:p>
  </w:footnote>
  <w:footnote w:type="continuationSeparator" w:id="0">
    <w:p w:rsidR="0013368C" w:rsidRDefault="0013368C">
      <w:r>
        <w:continuationSeparator/>
      </w:r>
    </w:p>
  </w:footnote>
  <w:footnote w:id="1">
    <w:p w:rsidR="007A5206" w:rsidRPr="002B72DB" w:rsidRDefault="007A5206">
      <w:pPr>
        <w:rPr>
          <w:sz w:val="18"/>
          <w:szCs w:val="18"/>
          <w:lang w:val="es-ES_tradnl"/>
        </w:rPr>
      </w:pPr>
      <w:r>
        <w:rPr>
          <w:rStyle w:val="FootnoteReference"/>
          <w:u w:val="none"/>
        </w:rPr>
        <w:t>*</w:t>
      </w:r>
      <w:r>
        <w:t xml:space="preserve"> </w:t>
      </w:r>
      <w:hyperlink r:id="rId1" w:history="1">
        <w:r w:rsidRPr="002B72DB">
          <w:rPr>
            <w:rStyle w:val="Hyperlink"/>
            <w:snapToGrid w:val="0"/>
            <w:kern w:val="18"/>
            <w:sz w:val="18"/>
            <w:szCs w:val="18"/>
            <w:lang w:val="es-ES_tradnl"/>
          </w:rPr>
          <w:t>CBD/SBI/2/1</w:t>
        </w:r>
      </w:hyperlink>
      <w:r w:rsidRPr="002B72DB">
        <w:rPr>
          <w:rFonts w:cs="Times New Roman"/>
          <w:color w:val="333333"/>
          <w:kern w:val="18"/>
          <w:sz w:val="18"/>
          <w:szCs w:val="18"/>
          <w:shd w:val="clear" w:color="auto" w:fill="FFFFFF"/>
          <w:lang w:val="es-ES_tradnl"/>
        </w:rPr>
        <w:t>.</w:t>
      </w:r>
    </w:p>
  </w:footnote>
  <w:footnote w:id="2">
    <w:p w:rsidR="007A5206" w:rsidRPr="00855FC8" w:rsidRDefault="007A5206">
      <w:pPr>
        <w:pStyle w:val="FootnoteText"/>
        <w:keepLines w:val="0"/>
        <w:ind w:firstLine="0"/>
        <w:jc w:val="left"/>
        <w:rPr>
          <w:kern w:val="18"/>
          <w:szCs w:val="18"/>
          <w:lang w:val="fr-FR"/>
        </w:rPr>
      </w:pPr>
      <w:r w:rsidRPr="002B72DB">
        <w:rPr>
          <w:rStyle w:val="FootnoteReference"/>
          <w:kern w:val="18"/>
          <w:szCs w:val="18"/>
          <w:u w:val="none"/>
          <w:vertAlign w:val="superscript"/>
          <w:lang w:val="es-ES_tradnl" w:eastAsia="en-US"/>
        </w:rPr>
        <w:footnoteRef/>
      </w:r>
      <w:r w:rsidRPr="002B72DB">
        <w:rPr>
          <w:rStyle w:val="FootnoteReference"/>
          <w:kern w:val="18"/>
          <w:szCs w:val="18"/>
          <w:u w:val="none"/>
          <w:vertAlign w:val="superscript"/>
          <w:lang w:val="es-ES_tradnl" w:eastAsia="en-US"/>
        </w:rPr>
        <w:t xml:space="preserve"> </w:t>
      </w:r>
      <w:r w:rsidRPr="002B72DB">
        <w:rPr>
          <w:color w:val="333333"/>
          <w:kern w:val="18"/>
          <w:szCs w:val="18"/>
          <w:shd w:val="clear" w:color="auto" w:fill="FFFFFF"/>
          <w:lang w:val="es-ES_tradnl" w:eastAsia="en-US"/>
        </w:rPr>
        <w:t>La EPANB revisada de China fue presentada en septiembre de 2010 y desarrollada teniendo en cuenta el proyecto del Plan Estratégico para la Diversidad Biológica 2011-2020. Alemania presentó un plan de acción para el año 2020 para una EPANB que se había elaborado antes de la adopción del Plan Estratégico para la Diversidad Biológica 2011-2020</w:t>
      </w:r>
      <w:r w:rsidRPr="00855FC8">
        <w:rPr>
          <w:color w:val="333333"/>
          <w:kern w:val="18"/>
          <w:szCs w:val="18"/>
          <w:shd w:val="clear" w:color="auto" w:fill="FFFFFF"/>
          <w:lang w:val="fr-FR" w:eastAsia="en-US"/>
        </w:rPr>
        <w:t>.</w:t>
      </w:r>
    </w:p>
  </w:footnote>
  <w:footnote w:id="3">
    <w:p w:rsidR="007A5206" w:rsidRPr="002B72DB" w:rsidRDefault="007A5206" w:rsidP="006E328E">
      <w:pPr>
        <w:pStyle w:val="FootnoteText"/>
        <w:suppressLineNumbers/>
        <w:suppressAutoHyphens/>
        <w:kinsoku w:val="0"/>
        <w:overflowPunct w:val="0"/>
        <w:autoSpaceDE w:val="0"/>
        <w:autoSpaceDN w:val="0"/>
        <w:ind w:firstLine="0"/>
        <w:jc w:val="left"/>
        <w:rPr>
          <w:snapToGrid w:val="0"/>
          <w:kern w:val="18"/>
          <w:szCs w:val="18"/>
          <w:lang w:val="es-ES_tradnl"/>
        </w:rPr>
      </w:pPr>
      <w:r w:rsidRPr="00D04188">
        <w:rPr>
          <w:rStyle w:val="FootnoteReference"/>
          <w:snapToGrid w:val="0"/>
          <w:kern w:val="18"/>
          <w:szCs w:val="18"/>
          <w:u w:val="none"/>
          <w:vertAlign w:val="superscript"/>
        </w:rPr>
        <w:footnoteRef/>
      </w:r>
      <w:r w:rsidRPr="004B240C">
        <w:rPr>
          <w:snapToGrid w:val="0"/>
          <w:kern w:val="18"/>
          <w:szCs w:val="18"/>
          <w:lang w:val="fr-FR"/>
        </w:rPr>
        <w:t xml:space="preserve"> </w:t>
      </w:r>
      <w:r w:rsidRPr="002B72DB">
        <w:rPr>
          <w:snapToGrid w:val="0"/>
          <w:kern w:val="18"/>
          <w:szCs w:val="18"/>
          <w:lang w:val="es-ES_tradnl"/>
        </w:rPr>
        <w:t xml:space="preserve">Del 16 de febrero de 2018 al 12 de marzo de 2018 se puso a disposición para su revisión por pares una versión de este documento. Se ha actualizado para reflejar las observaciones formuladas en la revisión por pares y los quintos informes nacionales y estrategias y planes de acción nacionales sobre diversidad biológica adicionales recibidos durante este período. </w:t>
      </w:r>
    </w:p>
  </w:footnote>
  <w:footnote w:id="4">
    <w:p w:rsidR="007A5206" w:rsidRPr="002E0901" w:rsidRDefault="007A5206" w:rsidP="00096B93">
      <w:pPr>
        <w:pStyle w:val="FootnoteText"/>
        <w:suppressLineNumbers/>
        <w:suppressAutoHyphens/>
        <w:kinsoku w:val="0"/>
        <w:overflowPunct w:val="0"/>
        <w:autoSpaceDE w:val="0"/>
        <w:autoSpaceDN w:val="0"/>
        <w:ind w:firstLine="0"/>
        <w:jc w:val="left"/>
        <w:rPr>
          <w:snapToGrid w:val="0"/>
          <w:kern w:val="18"/>
          <w:szCs w:val="18"/>
        </w:rPr>
      </w:pPr>
      <w:r w:rsidRPr="00D04188">
        <w:rPr>
          <w:rStyle w:val="FootnoteReference"/>
          <w:snapToGrid w:val="0"/>
          <w:kern w:val="18"/>
          <w:szCs w:val="18"/>
          <w:u w:val="none"/>
          <w:vertAlign w:val="superscript"/>
          <w:lang w:val="es-ES_tradnl"/>
        </w:rPr>
        <w:footnoteRef/>
      </w:r>
      <w:r w:rsidRPr="002E0901">
        <w:rPr>
          <w:snapToGrid w:val="0"/>
          <w:kern w:val="18"/>
          <w:szCs w:val="18"/>
        </w:rPr>
        <w:t xml:space="preserve"> </w:t>
      </w:r>
      <w:hyperlink r:id="rId2" w:history="1">
        <w:r w:rsidRPr="002E0901">
          <w:rPr>
            <w:rStyle w:val="Hyperlink"/>
            <w:snapToGrid w:val="0"/>
            <w:kern w:val="18"/>
          </w:rPr>
          <w:t>UNEP/CBD/COP/13</w:t>
        </w:r>
        <w:r w:rsidRPr="002E0901">
          <w:rPr>
            <w:rStyle w:val="Hyperlink"/>
            <w:snapToGrid w:val="0"/>
            <w:kern w:val="18"/>
          </w:rPr>
          <w:t>/8/Add.2/Rev.1</w:t>
        </w:r>
      </w:hyperlink>
      <w:r w:rsidRPr="002E0901">
        <w:rPr>
          <w:snapToGrid w:val="0"/>
          <w:kern w:val="18"/>
          <w:szCs w:val="18"/>
        </w:rPr>
        <w:t>.</w:t>
      </w:r>
    </w:p>
  </w:footnote>
  <w:footnote w:id="5">
    <w:p w:rsidR="007A5206" w:rsidRPr="002B72DB" w:rsidRDefault="007A5206" w:rsidP="00096B93">
      <w:pPr>
        <w:pStyle w:val="FootnoteText"/>
        <w:suppressLineNumbers/>
        <w:suppressAutoHyphens/>
        <w:kinsoku w:val="0"/>
        <w:overflowPunct w:val="0"/>
        <w:autoSpaceDE w:val="0"/>
        <w:autoSpaceDN w:val="0"/>
        <w:ind w:firstLine="0"/>
        <w:jc w:val="left"/>
        <w:rPr>
          <w:snapToGrid w:val="0"/>
          <w:kern w:val="18"/>
          <w:szCs w:val="18"/>
          <w:lang w:val="es-ES_tradnl"/>
        </w:rPr>
      </w:pPr>
      <w:r w:rsidRPr="00D04188">
        <w:rPr>
          <w:rStyle w:val="FootnoteReference"/>
          <w:snapToGrid w:val="0"/>
          <w:kern w:val="18"/>
          <w:szCs w:val="18"/>
          <w:u w:val="none"/>
          <w:vertAlign w:val="superscript"/>
          <w:lang w:val="es-ES_tradnl"/>
        </w:rPr>
        <w:footnoteRef/>
      </w:r>
      <w:r w:rsidRPr="00D04188">
        <w:rPr>
          <w:snapToGrid w:val="0"/>
          <w:kern w:val="18"/>
          <w:szCs w:val="18"/>
          <w:lang w:val="es-ES_tradnl"/>
        </w:rPr>
        <w:t xml:space="preserve"> </w:t>
      </w:r>
      <w:r w:rsidRPr="002B72DB">
        <w:rPr>
          <w:snapToGrid w:val="0"/>
          <w:kern w:val="18"/>
          <w:szCs w:val="18"/>
          <w:lang w:val="es-ES_tradnl"/>
        </w:rPr>
        <w:t>CBD/SBSTTA/22/5.</w:t>
      </w:r>
    </w:p>
  </w:footnote>
  <w:footnote w:id="6">
    <w:p w:rsidR="007A5206" w:rsidRPr="002B72DB" w:rsidRDefault="007A5206">
      <w:pPr>
        <w:spacing w:after="60"/>
        <w:jc w:val="left"/>
        <w:rPr>
          <w:rFonts w:cs="Times New Roman"/>
          <w:kern w:val="18"/>
          <w:sz w:val="18"/>
          <w:szCs w:val="18"/>
          <w:lang w:val="es-ES_tradnl"/>
        </w:rPr>
      </w:pPr>
      <w:r w:rsidRPr="002B72DB">
        <w:rPr>
          <w:rStyle w:val="FootnoteReference"/>
          <w:rFonts w:cs="Times New Roman"/>
          <w:kern w:val="18"/>
          <w:szCs w:val="18"/>
          <w:u w:val="none"/>
          <w:vertAlign w:val="superscript"/>
          <w:lang w:val="es-ES_tradnl"/>
        </w:rPr>
        <w:footnoteRef/>
      </w:r>
      <w:r w:rsidRPr="002B72DB">
        <w:rPr>
          <w:rFonts w:cs="Times New Roman"/>
          <w:color w:val="333333"/>
          <w:kern w:val="18"/>
          <w:sz w:val="18"/>
          <w:szCs w:val="18"/>
          <w:shd w:val="clear" w:color="auto" w:fill="FFFFFF"/>
          <w:lang w:val="es-ES_tradnl"/>
        </w:rPr>
        <w:t xml:space="preserve"> No </w:t>
      </w:r>
      <w:r w:rsidRPr="002B72DB">
        <w:rPr>
          <w:color w:val="333333"/>
          <w:kern w:val="18"/>
          <w:sz w:val="18"/>
          <w:shd w:val="clear" w:color="auto" w:fill="FFFFFF"/>
          <w:lang w:val="es-ES_tradnl"/>
        </w:rPr>
        <w:t>se consideró una EPANB (Letonia) porque no estaba disponible en un idioma oficial de las Naciones Unidas</w:t>
      </w:r>
      <w:r w:rsidRPr="002B72DB">
        <w:rPr>
          <w:rFonts w:cs="Times New Roman"/>
          <w:color w:val="333333"/>
          <w:kern w:val="18"/>
          <w:sz w:val="18"/>
          <w:szCs w:val="18"/>
          <w:shd w:val="clear" w:color="auto" w:fill="FFFFFF"/>
          <w:lang w:val="es-ES_tradnl"/>
        </w:rPr>
        <w:t>.</w:t>
      </w:r>
    </w:p>
  </w:footnote>
  <w:footnote w:id="7">
    <w:p w:rsidR="007A5206" w:rsidRPr="002B72DB" w:rsidRDefault="007A5206" w:rsidP="00096B93">
      <w:pPr>
        <w:pStyle w:val="Para1"/>
        <w:suppressLineNumbers/>
        <w:suppressAutoHyphens/>
        <w:kinsoku w:val="0"/>
        <w:overflowPunct w:val="0"/>
        <w:autoSpaceDE w:val="0"/>
        <w:autoSpaceDN w:val="0"/>
        <w:spacing w:after="60"/>
        <w:jc w:val="left"/>
        <w:rPr>
          <w:kern w:val="18"/>
          <w:lang w:val="es-ES_tradnl"/>
        </w:rPr>
      </w:pPr>
      <w:r w:rsidRPr="00D04188">
        <w:rPr>
          <w:rStyle w:val="FootnoteReference"/>
          <w:kern w:val="18"/>
          <w:u w:val="none"/>
          <w:vertAlign w:val="superscript"/>
          <w:lang w:val="es-ES_tradnl"/>
        </w:rPr>
        <w:footnoteRef/>
      </w:r>
      <w:r w:rsidRPr="002B72DB">
        <w:rPr>
          <w:kern w:val="18"/>
          <w:sz w:val="18"/>
          <w:shd w:val="clear" w:color="auto" w:fill="FFFFFF"/>
          <w:lang w:val="es-ES_tradnl"/>
        </w:rPr>
        <w:t xml:space="preserve"> En </w:t>
      </w:r>
      <w:hyperlink r:id="rId3" w:history="1">
        <w:r w:rsidRPr="002B72DB">
          <w:rPr>
            <w:kern w:val="18"/>
            <w:sz w:val="18"/>
            <w:shd w:val="clear" w:color="auto" w:fill="FFFFFF"/>
            <w:lang w:val="es-ES_tradnl"/>
          </w:rPr>
          <w:t>https://www.cbd.int/nbsap/targets/default.shtml</w:t>
        </w:r>
      </w:hyperlink>
      <w:r w:rsidRPr="002B72DB">
        <w:rPr>
          <w:kern w:val="18"/>
          <w:sz w:val="18"/>
          <w:shd w:val="clear" w:color="auto" w:fill="FFFFFF"/>
          <w:lang w:val="es-ES_tradnl"/>
        </w:rPr>
        <w:t xml:space="preserve"> figura una lista exhaustiva de metas nacionales, incluidas las metas contenidas en EPANB anteriores, así como las notificadas en los quintos informes nacionales</w:t>
      </w:r>
      <w:r w:rsidRPr="002B72DB">
        <w:rPr>
          <w:color w:val="333333"/>
          <w:kern w:val="18"/>
          <w:sz w:val="18"/>
          <w:shd w:val="clear" w:color="auto" w:fill="FFFFFF"/>
          <w:lang w:val="es-ES_tradnl"/>
        </w:rPr>
        <w:t>.</w:t>
      </w:r>
    </w:p>
  </w:footnote>
  <w:footnote w:id="8">
    <w:p w:rsidR="007A5206" w:rsidRPr="002B72DB" w:rsidRDefault="007A5206" w:rsidP="00936B48">
      <w:pPr>
        <w:pStyle w:val="FootnoteText"/>
        <w:suppressLineNumbers/>
        <w:suppressAutoHyphens/>
        <w:kinsoku w:val="0"/>
        <w:overflowPunct w:val="0"/>
        <w:autoSpaceDE w:val="0"/>
        <w:autoSpaceDN w:val="0"/>
        <w:ind w:firstLine="0"/>
        <w:jc w:val="left"/>
        <w:rPr>
          <w:snapToGrid w:val="0"/>
          <w:kern w:val="18"/>
          <w:szCs w:val="18"/>
          <w:lang w:val="es-ES_tradnl"/>
        </w:rPr>
      </w:pPr>
      <w:r w:rsidRPr="00D04188">
        <w:rPr>
          <w:rStyle w:val="FootnoteReference"/>
          <w:snapToGrid w:val="0"/>
          <w:kern w:val="18"/>
          <w:szCs w:val="18"/>
          <w:u w:val="none"/>
          <w:vertAlign w:val="superscript"/>
          <w:lang w:val="es-ES_tradnl"/>
        </w:rPr>
        <w:footnoteRef/>
      </w:r>
      <w:r w:rsidRPr="00D04188">
        <w:rPr>
          <w:snapToGrid w:val="0"/>
          <w:kern w:val="18"/>
          <w:szCs w:val="18"/>
          <w:lang w:val="es-ES_tradnl"/>
        </w:rPr>
        <w:t xml:space="preserve"> </w:t>
      </w:r>
      <w:r w:rsidRPr="002B72DB">
        <w:rPr>
          <w:snapToGrid w:val="0"/>
          <w:kern w:val="18"/>
          <w:szCs w:val="18"/>
          <w:lang w:val="es-ES_tradnl"/>
        </w:rPr>
        <w:t>Se han examinado todos los informes nacionales que ha recibido la Secretaría del Convenio sobre la Diversidad Biológica. No se han recibido informes nacionales de las Bahamas, Gabón, Islandia, Lesotho o Libia.</w:t>
      </w:r>
    </w:p>
  </w:footnote>
  <w:footnote w:id="9">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eastAsia="en-US"/>
        </w:rPr>
        <w:footnoteRef/>
      </w:r>
      <w:r w:rsidRPr="002B72DB">
        <w:rPr>
          <w:kern w:val="18"/>
          <w:szCs w:val="18"/>
          <w:lang w:val="es-ES_tradnl"/>
        </w:rPr>
        <w:t xml:space="preserve"> </w:t>
      </w:r>
      <w:r w:rsidRPr="002B72DB">
        <w:rPr>
          <w:lang w:val="es-ES_tradnl"/>
        </w:rPr>
        <w:t>Antigua y Barbuda, Austria, Belarús, Bélgica, Benín, Brasil, Burundi, Congo, Cuba, Dominica, Eslovaquia, España, Estonia, Etiopía, Federación de Rusia, Finlandia, Guinea, Guinea Ecuatorial, India, Irlanda, Islas Salomón, Japón, Líbano, Luxemburgo, Malí, Nicaragua, Nueva Zelandia, Reino Unido de Gran Bretaña e Irlanda del Norte, República de Corea, Rwanda, Saint Kitts y Nevis, Samoa, Senegal, Serbia, Sudáfrica, Tailandia, Timor Oriental, Tuvalu, Uganda y Zambia</w:t>
      </w:r>
      <w:r w:rsidRPr="002B72DB">
        <w:rPr>
          <w:kern w:val="18"/>
          <w:szCs w:val="18"/>
          <w:lang w:val="es-ES_tradnl"/>
        </w:rPr>
        <w:t>.</w:t>
      </w:r>
    </w:p>
  </w:footnote>
  <w:footnote w:id="10">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Brasil, Congo, Finlandia, Georgia, Guinea, Samoa, Tayikistán, Togo y Zambia</w:t>
      </w:r>
      <w:r w:rsidRPr="002B72DB">
        <w:rPr>
          <w:kern w:val="18"/>
          <w:szCs w:val="18"/>
          <w:lang w:val="es-ES_tradnl"/>
        </w:rPr>
        <w:t>.</w:t>
      </w:r>
    </w:p>
  </w:footnote>
  <w:footnote w:id="11">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rStyle w:val="FootnoteReference"/>
          <w:kern w:val="18"/>
          <w:szCs w:val="18"/>
          <w:u w:val="none"/>
          <w:vertAlign w:val="superscript"/>
          <w:lang w:val="es-ES_tradnl"/>
        </w:rPr>
        <w:t xml:space="preserve"> </w:t>
      </w:r>
      <w:r w:rsidRPr="002B72DB">
        <w:rPr>
          <w:kern w:val="18"/>
          <w:szCs w:val="18"/>
          <w:lang w:val="es-ES_tradnl"/>
        </w:rPr>
        <w:t>Guinea-Bissau.</w:t>
      </w:r>
    </w:p>
  </w:footnote>
  <w:footnote w:id="12">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rStyle w:val="FootnoteReference"/>
          <w:kern w:val="18"/>
          <w:szCs w:val="18"/>
          <w:u w:val="none"/>
          <w:vertAlign w:val="superscript"/>
          <w:lang w:val="es-ES_tradnl"/>
        </w:rPr>
        <w:t xml:space="preserve"> </w:t>
      </w:r>
      <w:r w:rsidRPr="002B72DB">
        <w:rPr>
          <w:kern w:val="18"/>
          <w:szCs w:val="18"/>
          <w:lang w:val="es-ES_tradnl"/>
        </w:rPr>
        <w:t>A</w:t>
      </w:r>
      <w:r w:rsidRPr="002B72DB">
        <w:rPr>
          <w:lang w:val="es-ES_tradnl"/>
        </w:rPr>
        <w:t>ntigua y Barbuda, Bélgica, Bhután, Brasil, Congo, Emiratos Árabes Unidos, Eritrea, Georgia, Guinea, Luxemburgo, Mongolia, Namibia, Rwanda, Samoa, Swazilandia, Tayikistán y República Unida de Tanzaní</w:t>
      </w:r>
      <w:r w:rsidRPr="002B72DB">
        <w:rPr>
          <w:kern w:val="18"/>
          <w:szCs w:val="18"/>
          <w:lang w:val="es-ES_tradnl"/>
        </w:rPr>
        <w:t>a.</w:t>
      </w:r>
    </w:p>
  </w:footnote>
  <w:footnote w:id="13">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Maldivas.</w:t>
      </w:r>
    </w:p>
  </w:footnote>
  <w:footnote w:id="14">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Benín, Bhután, Brasil, Burundi, Camerún, Congo, Eritrea, Federación de Rusia, Finlandia, Guinea, Guinea-Bissau, Indonesia, Malí, Samoa, Somalia, Sudán y Tailandia</w:t>
      </w:r>
      <w:r w:rsidRPr="002B72DB">
        <w:rPr>
          <w:kern w:val="18"/>
          <w:szCs w:val="18"/>
          <w:lang w:val="es-ES_tradnl"/>
        </w:rPr>
        <w:t>.</w:t>
      </w:r>
    </w:p>
  </w:footnote>
  <w:footnote w:id="15">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vertAlign w:val="superscript"/>
          <w:lang w:val="es-ES_tradnl"/>
        </w:rPr>
        <w:t xml:space="preserve"> </w:t>
      </w:r>
      <w:r w:rsidRPr="002B72DB">
        <w:rPr>
          <w:kern w:val="18"/>
          <w:szCs w:val="18"/>
          <w:lang w:val="es-ES_tradnl"/>
        </w:rPr>
        <w:t>B</w:t>
      </w:r>
      <w:r w:rsidRPr="002B72DB">
        <w:rPr>
          <w:lang w:val="es-ES_tradnl"/>
        </w:rPr>
        <w:t>rasil, Camerún, Congo, Federación de Rusia, Malta, Japón, Samoa, Uganda y Unión Europea</w:t>
      </w:r>
      <w:r w:rsidRPr="002B72DB">
        <w:rPr>
          <w:kern w:val="18"/>
          <w:szCs w:val="18"/>
          <w:lang w:val="es-ES_tradnl"/>
        </w:rPr>
        <w:t>.</w:t>
      </w:r>
    </w:p>
  </w:footnote>
  <w:footnote w:id="16">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Finlandia.</w:t>
      </w:r>
    </w:p>
  </w:footnote>
  <w:footnote w:id="17">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Brasil, Congo, Eritrea, Federación de Rusia, Finlandia, Guinea, Guinea-Bissau, Islas Salomón, Samoa, Sudán, Uganda y Unión Europea</w:t>
      </w:r>
      <w:r w:rsidRPr="002B72DB">
        <w:rPr>
          <w:kern w:val="18"/>
          <w:szCs w:val="18"/>
          <w:lang w:val="es-ES_tradnl"/>
        </w:rPr>
        <w:t>.</w:t>
      </w:r>
    </w:p>
  </w:footnote>
  <w:footnote w:id="18">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Afganistán, Belarús, Bélgica, Benín, Bhután, Camboya, Congo, Finlandia, Guinea-Bissau, Saint Kitts y Nevis, Rwanda, Samoa, Uganda y Zambia</w:t>
      </w:r>
      <w:r w:rsidRPr="002B72DB">
        <w:rPr>
          <w:kern w:val="18"/>
          <w:szCs w:val="18"/>
          <w:lang w:val="es-ES_tradnl"/>
        </w:rPr>
        <w:t>.</w:t>
      </w:r>
    </w:p>
  </w:footnote>
  <w:footnote w:id="19">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Austria, Benín, Bhután, Brasil, Camerún, Congo, Dominica, Eritrea, Finlandia, Georgia, Islas Salomón, Maldivas, Malí, Namibia, Qatar, República Unida de Tanzanía, Rwanda, Saint Kitts y Nevis, Samoa, Uganda y Zambia</w:t>
      </w:r>
      <w:r w:rsidRPr="002B72DB">
        <w:rPr>
          <w:kern w:val="18"/>
          <w:szCs w:val="18"/>
          <w:lang w:val="es-ES_tradnl"/>
        </w:rPr>
        <w:t>.</w:t>
      </w:r>
    </w:p>
  </w:footnote>
  <w:footnote w:id="20">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Afganistán, Bélgica, Bhután, Brasil, Camboya, Congo, Cuba, Emiratos Árabes Unidos, Finlandia, Georgia, Guinea, India, Irlanda, Islas Salomón, Japón, Kirguistán, Liberia, Luxemburgo, Malí, Namibia, Nigeria, Nueva Zelandia, Rwanda, Samoa, Sudán, Tayikistán, Tailandia, Uganda, República Unida de Tanzanía, Unión Europea, Uruguay, Yemen y Zambia</w:t>
      </w:r>
      <w:r w:rsidRPr="002B72DB">
        <w:rPr>
          <w:kern w:val="18"/>
          <w:szCs w:val="18"/>
          <w:lang w:val="es-ES_tradnl"/>
        </w:rPr>
        <w:t>.</w:t>
      </w:r>
    </w:p>
  </w:footnote>
  <w:footnote w:id="21">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rStyle w:val="FootnoteReference"/>
          <w:kern w:val="18"/>
          <w:szCs w:val="18"/>
          <w:u w:val="none"/>
          <w:vertAlign w:val="superscript"/>
          <w:lang w:val="es-ES_tradnl"/>
        </w:rPr>
        <w:t xml:space="preserve"> </w:t>
      </w:r>
      <w:r w:rsidRPr="002B72DB">
        <w:rPr>
          <w:kern w:val="18"/>
          <w:szCs w:val="18"/>
          <w:lang w:val="es-ES_tradnl"/>
        </w:rPr>
        <w:t>Suecia.</w:t>
      </w:r>
    </w:p>
  </w:footnote>
  <w:footnote w:id="22">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Antigua y Barbuda, Benín, Brasil, Cuba, Eritrea, Finlandia, Japón, Namibia, República Unida de Tanzanía, Saint Kitts y Nevis, Sudán y Uruguay</w:t>
      </w:r>
      <w:r w:rsidRPr="002B72DB">
        <w:rPr>
          <w:kern w:val="18"/>
          <w:szCs w:val="18"/>
          <w:lang w:val="es-ES_tradnl"/>
        </w:rPr>
        <w:t>.</w:t>
      </w:r>
    </w:p>
  </w:footnote>
  <w:footnote w:id="23">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Bélgica, Camerún, Congo, Emiratos Árabes Unidos, Finlandia, Guinea, Guinea-Bissau, India, Jamaica, México, Reino Unido, Samoa, Sudán y Uganda</w:t>
      </w:r>
      <w:r w:rsidRPr="002B72DB">
        <w:rPr>
          <w:kern w:val="18"/>
          <w:szCs w:val="18"/>
          <w:lang w:val="es-ES_tradnl"/>
        </w:rPr>
        <w:t>.</w:t>
      </w:r>
    </w:p>
  </w:footnote>
  <w:footnote w:id="24">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rStyle w:val="FootnoteReference"/>
          <w:kern w:val="18"/>
          <w:szCs w:val="18"/>
          <w:u w:val="none"/>
          <w:vertAlign w:val="superscript"/>
          <w:lang w:val="es-ES_tradnl"/>
        </w:rPr>
        <w:t xml:space="preserve"> </w:t>
      </w:r>
      <w:r w:rsidRPr="002B72DB">
        <w:rPr>
          <w:kern w:val="18"/>
          <w:szCs w:val="18"/>
          <w:lang w:val="es-ES_tradnl"/>
        </w:rPr>
        <w:t>Brasil, Cuba y Dominica.</w:t>
      </w:r>
    </w:p>
  </w:footnote>
  <w:footnote w:id="25">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Afganistán, Austria, Bangladesh, Belarús, Benín, Bhután, Brasil, Camboya, Camerún, Canadá, Congo, Eritrea, Finlandia, Georgia, Guinea, Hungría, Islas Salomón, Japón, Mauricio, Noruega, Reino Unido de Gran Bretaña e Irlanda del Norte (Inglaterra, Irlanda del Norte y Escocia), República Dominicana, Rwanda, Samoa, Sudán, Uganda, Venezuela, Viet Nam y Zimbabwe</w:t>
      </w:r>
      <w:r w:rsidRPr="002B72DB">
        <w:rPr>
          <w:kern w:val="18"/>
          <w:szCs w:val="18"/>
          <w:lang w:val="es-ES_tradnl"/>
        </w:rPr>
        <w:t>.</w:t>
      </w:r>
    </w:p>
  </w:footnote>
  <w:footnote w:id="26">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Afganistán, Bhután, Camerún, Congo, Finlandia, Georgia, Guinea, Guinea-Bissau, India, Islas Salomón, Malí, México, Nigeria, Samoa, Sudán, Togo, Uganda, Zambia y Zimbabwe.</w:t>
      </w:r>
    </w:p>
  </w:footnote>
  <w:footnote w:id="27">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Brasil.</w:t>
      </w:r>
    </w:p>
  </w:footnote>
  <w:footnote w:id="28">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Afganistán, Bangladesh, Bélgica, Benín, Bhután, Brasil, Camboya, Congo, Eritrea, Finlandia, Guinea, Guinea-Bissau, Islas Salomón, Jamaica, Malí, Rwanda, República Unida de Tanzanía, Samoa, Sudáfrica, Sudán, Uruguay y Zimbabwe</w:t>
      </w:r>
      <w:r w:rsidRPr="002B72DB">
        <w:rPr>
          <w:kern w:val="18"/>
          <w:szCs w:val="18"/>
          <w:lang w:val="es-ES_tradnl"/>
        </w:rPr>
        <w:t>.</w:t>
      </w:r>
    </w:p>
  </w:footnote>
  <w:footnote w:id="29">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Emiratos Árabes Unidos, Gambia y Japón</w:t>
      </w:r>
      <w:r w:rsidRPr="002B72DB">
        <w:rPr>
          <w:kern w:val="18"/>
          <w:szCs w:val="18"/>
          <w:lang w:val="es-ES_tradnl"/>
        </w:rPr>
        <w:t>.</w:t>
      </w:r>
    </w:p>
  </w:footnote>
  <w:footnote w:id="30">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Austria, Belarús, Bélgica, Belice, Brasil, Congo, Dominica, Federación de Rusia, Guatemala, Guinea, Hungría, Jamaica, Luxemburgo, Samoa, Sudán, Tayikistán, Uganda y Unión Europea</w:t>
      </w:r>
      <w:r w:rsidRPr="002B72DB">
        <w:rPr>
          <w:kern w:val="18"/>
          <w:szCs w:val="18"/>
          <w:lang w:val="es-ES_tradnl"/>
        </w:rPr>
        <w:t>.</w:t>
      </w:r>
    </w:p>
  </w:footnote>
  <w:footnote w:id="31">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w:t>
      </w:r>
      <w:r w:rsidRPr="002B72DB">
        <w:rPr>
          <w:lang w:val="es-ES_tradnl"/>
        </w:rPr>
        <w:t>Afganistán, Albania, Antigua y Barbuda, Bélgica, Benín, Bhután, Brasil, Cabo Verde, Camboya, Congo, Eritrea, Etiopía, Finlandia, Gambia, Hungría, India, Japón, Jordania, Malí, Namibia, Perú, República Dominicana, Rumania, Samoa, Togo, Zambia y Zimbabwe</w:t>
      </w:r>
      <w:r w:rsidRPr="002B72DB">
        <w:rPr>
          <w:kern w:val="18"/>
          <w:szCs w:val="18"/>
          <w:lang w:val="es-ES_tradnl"/>
        </w:rPr>
        <w:t>.</w:t>
      </w:r>
    </w:p>
  </w:footnote>
  <w:footnote w:id="32">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rStyle w:val="FootnoteReference"/>
          <w:kern w:val="18"/>
          <w:szCs w:val="18"/>
          <w:u w:val="none"/>
          <w:vertAlign w:val="superscript"/>
          <w:lang w:val="es-ES_tradnl"/>
        </w:rPr>
        <w:t xml:space="preserve"> </w:t>
      </w:r>
      <w:r w:rsidRPr="002B72DB">
        <w:rPr>
          <w:kern w:val="18"/>
          <w:szCs w:val="18"/>
          <w:lang w:val="es-ES_tradnl"/>
        </w:rPr>
        <w:t xml:space="preserve">Albania, </w:t>
      </w:r>
      <w:r w:rsidRPr="002B72DB">
        <w:rPr>
          <w:lang w:val="es-ES_tradnl"/>
        </w:rPr>
        <w:t>Antigua y Barbuda, Bangladesh, Bhután, Brasil, Cabo Verde, Camboya, Camerún, Comoras, Emiratos Árabes Unidos, Eritrea, Gambia, Guinea-Bissau, India, Irlanda, Islas Salomón, Japón, Malí, Malta, México, Nigeria, República Dominicana, República Unida de Tanzanía, Saint Kitts y Nevis, Somalia, Tayikistán, Uganda, Uruguay y Zimbabwe</w:t>
      </w:r>
      <w:r w:rsidRPr="002B72DB">
        <w:rPr>
          <w:kern w:val="18"/>
          <w:szCs w:val="18"/>
          <w:lang w:val="es-ES_tradnl"/>
        </w:rPr>
        <w:t>.</w:t>
      </w:r>
    </w:p>
  </w:footnote>
  <w:footnote w:id="33">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Afganistán, Brasil, Camboya, Canadá, Congo, Etiopía, Finlandia, Guinea, Guinea-Bissau, México, Nicaragua, Nueva Zelandia, Perú, </w:t>
      </w:r>
      <w:r w:rsidR="00F87952">
        <w:rPr>
          <w:kern w:val="18"/>
          <w:szCs w:val="18"/>
          <w:lang w:val="es-ES_tradnl"/>
        </w:rPr>
        <w:t xml:space="preserve">Rwanda, </w:t>
      </w:r>
      <w:r w:rsidRPr="002B72DB">
        <w:rPr>
          <w:kern w:val="18"/>
          <w:szCs w:val="18"/>
          <w:lang w:val="es-ES_tradnl"/>
        </w:rPr>
        <w:t>Samoa, Somalia, Sudán, Tayikistán, Tuvalu, Zambia y Zimbabwe.</w:t>
      </w:r>
    </w:p>
  </w:footnote>
  <w:footnote w:id="34">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Argentina, </w:t>
      </w:r>
      <w:r w:rsidRPr="002B72DB">
        <w:rPr>
          <w:lang w:val="es-ES_tradnl"/>
        </w:rPr>
        <w:t>Austria, Belarús, Benín, Bhután, Burundi, Congo, Cuba, Egipto, Eritrea, Etiopía, Finlandia, Gambia, Guinea, Guinea-Bissau, Guinea Ecuatorial, Irlanda, Jamaica, Japón, Malí, Mauricio, México, Mongolia, Nueva Zelandia, Rwanda, Samoa, Senegal, Seychelles, Sudán, Suiza, Tailandia, Tayikistán, Uganda, Uruguay, Zambia y Zimbabwe</w:t>
      </w:r>
      <w:r w:rsidRPr="002B72DB">
        <w:rPr>
          <w:kern w:val="18"/>
          <w:szCs w:val="18"/>
          <w:lang w:val="es-ES_tradnl"/>
        </w:rPr>
        <w:t>.</w:t>
      </w:r>
    </w:p>
  </w:footnote>
  <w:footnote w:id="35">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Brasil.</w:t>
      </w:r>
    </w:p>
  </w:footnote>
  <w:footnote w:id="36">
    <w:p w:rsidR="007A5206" w:rsidRPr="002B72DB" w:rsidRDefault="007A5206">
      <w:pPr>
        <w:pStyle w:val="FootnoteText"/>
        <w:keepLines w:val="0"/>
        <w:ind w:firstLine="0"/>
        <w:jc w:val="left"/>
        <w:rPr>
          <w:kern w:val="18"/>
          <w:szCs w:val="18"/>
          <w:lang w:val="es-ES_tradnl"/>
        </w:rPr>
      </w:pPr>
      <w:r w:rsidRPr="002B72DB">
        <w:rPr>
          <w:rStyle w:val="FootnoteReference"/>
          <w:kern w:val="18"/>
          <w:szCs w:val="18"/>
          <w:u w:val="none"/>
          <w:vertAlign w:val="superscript"/>
          <w:lang w:val="es-ES_tradnl"/>
        </w:rPr>
        <w:footnoteRef/>
      </w:r>
      <w:r w:rsidRPr="002B72DB">
        <w:rPr>
          <w:kern w:val="18"/>
          <w:szCs w:val="18"/>
          <w:lang w:val="es-ES_tradnl"/>
        </w:rPr>
        <w:t xml:space="preserve"> Albania, </w:t>
      </w:r>
      <w:r w:rsidRPr="002B72DB">
        <w:rPr>
          <w:lang w:val="es-ES_tradnl"/>
        </w:rPr>
        <w:t>Belarús, Bélgica, Bhután, Brasil, Botswana, Congo, Cuba, Egipto, Emiratos Árabes Unidos, Eritrea, Etiopía, Finlandia, Gambia, Ghana, Granada, Guatemala, Guinea, Jamaica, Luxemburgo, Malí, Nigeria, República Unida de Tanzanía, Samoa, Serbia, Sudán, Tayikistán, Uganda, Zambia y Zimbabwe</w:t>
      </w:r>
      <w:r w:rsidRPr="002B72DB">
        <w:rPr>
          <w:kern w:val="18"/>
          <w:szCs w:val="18"/>
          <w:lang w:val="es-ES_tradnl"/>
        </w:rPr>
        <w:t>.</w:t>
      </w:r>
    </w:p>
  </w:footnote>
  <w:footnote w:id="37">
    <w:p w:rsidR="007A5206" w:rsidRPr="002B72DB" w:rsidRDefault="007A5206" w:rsidP="00AB56F8">
      <w:pPr>
        <w:pStyle w:val="FootnoteText"/>
        <w:suppressLineNumbers/>
        <w:suppressAutoHyphens/>
        <w:kinsoku w:val="0"/>
        <w:overflowPunct w:val="0"/>
        <w:autoSpaceDE w:val="0"/>
        <w:autoSpaceDN w:val="0"/>
        <w:ind w:firstLine="0"/>
        <w:jc w:val="left"/>
        <w:rPr>
          <w:snapToGrid w:val="0"/>
          <w:kern w:val="18"/>
          <w:szCs w:val="18"/>
          <w:lang w:val="es-ES_tradnl"/>
        </w:rPr>
      </w:pPr>
      <w:r w:rsidRPr="00D04188">
        <w:rPr>
          <w:rStyle w:val="FootnoteReference"/>
          <w:snapToGrid w:val="0"/>
          <w:kern w:val="18"/>
          <w:szCs w:val="18"/>
          <w:u w:val="none"/>
          <w:vertAlign w:val="superscript"/>
          <w:lang w:val="es-ES_tradnl"/>
        </w:rPr>
        <w:footnoteRef/>
      </w:r>
      <w:r w:rsidRPr="00D04188">
        <w:rPr>
          <w:rStyle w:val="FootnoteReference"/>
          <w:snapToGrid w:val="0"/>
          <w:kern w:val="18"/>
          <w:szCs w:val="18"/>
          <w:u w:val="none"/>
          <w:vertAlign w:val="superscript"/>
          <w:lang w:val="es-ES_tradnl"/>
        </w:rPr>
        <w:t xml:space="preserve"> </w:t>
      </w:r>
      <w:r w:rsidRPr="002B72DB">
        <w:rPr>
          <w:snapToGrid w:val="0"/>
          <w:kern w:val="18"/>
          <w:szCs w:val="18"/>
          <w:lang w:val="es-ES_tradnl"/>
        </w:rPr>
        <w:t>Jamaica.</w:t>
      </w:r>
    </w:p>
  </w:footnote>
  <w:footnote w:id="38">
    <w:p w:rsidR="007A5206" w:rsidRPr="002E0901" w:rsidRDefault="007A5206" w:rsidP="006C3284">
      <w:pPr>
        <w:pStyle w:val="FootnoteText"/>
        <w:suppressLineNumbers/>
        <w:suppressAutoHyphens/>
        <w:kinsoku w:val="0"/>
        <w:overflowPunct w:val="0"/>
        <w:autoSpaceDE w:val="0"/>
        <w:autoSpaceDN w:val="0"/>
        <w:ind w:firstLine="0"/>
        <w:jc w:val="left"/>
        <w:rPr>
          <w:snapToGrid w:val="0"/>
          <w:kern w:val="18"/>
          <w:szCs w:val="18"/>
        </w:rPr>
      </w:pPr>
      <w:r w:rsidRPr="00D04188">
        <w:rPr>
          <w:rStyle w:val="FootnoteReference"/>
          <w:snapToGrid w:val="0"/>
          <w:kern w:val="18"/>
          <w:szCs w:val="18"/>
          <w:u w:val="none"/>
          <w:vertAlign w:val="superscript"/>
          <w:lang w:val="es-ES_tradnl"/>
        </w:rPr>
        <w:footnoteRef/>
      </w:r>
      <w:r w:rsidRPr="002E0901">
        <w:rPr>
          <w:snapToGrid w:val="0"/>
          <w:kern w:val="18"/>
          <w:szCs w:val="18"/>
        </w:rPr>
        <w:t xml:space="preserve"> </w:t>
      </w:r>
      <w:hyperlink r:id="rId4" w:history="1">
        <w:r w:rsidRPr="002E0901">
          <w:rPr>
            <w:rStyle w:val="Hyperlink"/>
            <w:snapToGrid w:val="0"/>
            <w:kern w:val="18"/>
            <w:szCs w:val="18"/>
          </w:rPr>
          <w:t>UNEP/CBD/SBI/1/2/Add.2</w:t>
        </w:r>
      </w:hyperlink>
      <w:r w:rsidRPr="002E0901">
        <w:rPr>
          <w:snapToGrid w:val="0"/>
          <w:kern w:val="18"/>
          <w:szCs w:val="18"/>
        </w:rPr>
        <w:t>.</w:t>
      </w:r>
    </w:p>
  </w:footnote>
  <w:footnote w:id="39">
    <w:p w:rsidR="007A5206" w:rsidRPr="002E0901" w:rsidRDefault="007A5206" w:rsidP="006C3284">
      <w:pPr>
        <w:pStyle w:val="FootnoteText"/>
        <w:suppressLineNumbers/>
        <w:suppressAutoHyphens/>
        <w:kinsoku w:val="0"/>
        <w:overflowPunct w:val="0"/>
        <w:autoSpaceDE w:val="0"/>
        <w:autoSpaceDN w:val="0"/>
        <w:ind w:firstLine="0"/>
        <w:jc w:val="left"/>
        <w:rPr>
          <w:snapToGrid w:val="0"/>
          <w:kern w:val="18"/>
          <w:szCs w:val="18"/>
        </w:rPr>
      </w:pPr>
      <w:r w:rsidRPr="00D04188">
        <w:rPr>
          <w:rStyle w:val="FootnoteReference"/>
          <w:snapToGrid w:val="0"/>
          <w:kern w:val="18"/>
          <w:szCs w:val="18"/>
          <w:u w:val="none"/>
          <w:vertAlign w:val="superscript"/>
          <w:lang w:val="es-ES_tradnl"/>
        </w:rPr>
        <w:footnoteRef/>
      </w:r>
      <w:r w:rsidRPr="002E0901">
        <w:rPr>
          <w:snapToGrid w:val="0"/>
          <w:kern w:val="18"/>
          <w:szCs w:val="18"/>
        </w:rPr>
        <w:t xml:space="preserve"> </w:t>
      </w:r>
      <w:hyperlink r:id="rId5" w:history="1">
        <w:r w:rsidRPr="002E0901">
          <w:rPr>
            <w:rStyle w:val="Hyperlink"/>
            <w:snapToGrid w:val="0"/>
            <w:kern w:val="18"/>
          </w:rPr>
          <w:t>UNEP/CBD/COP/13/8/Add.2/Rev.1</w:t>
        </w:r>
      </w:hyperlink>
      <w:r w:rsidRPr="002E0901">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06" w:rsidRDefault="007A5206">
    <w:pPr>
      <w:jc w:val="left"/>
      <w:rPr>
        <w:noProof/>
        <w:kern w:val="22"/>
      </w:rPr>
    </w:pPr>
    <w:r w:rsidRPr="00954712">
      <w:rPr>
        <w:noProof/>
        <w:kern w:val="22"/>
      </w:rPr>
      <w:t>CBD/SBI/2/2/Add.2</w:t>
    </w:r>
    <w:r w:rsidR="00F87952">
      <w:rPr>
        <w:noProof/>
        <w:kern w:val="22"/>
      </w:rPr>
      <w:t xml:space="preserve"> </w:t>
    </w:r>
    <w:r w:rsidDel="002A56F7">
      <w:rPr>
        <w:noProof/>
        <w:kern w:val="22"/>
      </w:rPr>
      <w:t xml:space="preserve">  </w:t>
    </w:r>
  </w:p>
  <w:p w:rsidR="007A5206" w:rsidRDefault="007A5206">
    <w:pPr>
      <w:pStyle w:val="Header"/>
      <w:tabs>
        <w:tab w:val="clear" w:pos="4320"/>
        <w:tab w:val="clear" w:pos="8640"/>
      </w:tabs>
      <w:jc w:val="lef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sidR="0068196B">
      <w:rPr>
        <w:noProof/>
        <w:kern w:val="22"/>
      </w:rPr>
      <w:t>18</w:t>
    </w:r>
    <w:r>
      <w:rPr>
        <w:noProof/>
        <w:kern w:val="22"/>
      </w:rPr>
      <w:fldChar w:fldCharType="end"/>
    </w:r>
    <w:r>
      <w:rPr>
        <w:noProof/>
        <w:kern w:val="22"/>
      </w:rPr>
      <w:t xml:space="preserve">  </w:t>
    </w:r>
  </w:p>
  <w:p w:rsidR="007A5206" w:rsidRDefault="007A520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52" w:rsidRDefault="007A5206">
    <w:pPr>
      <w:pStyle w:val="Header"/>
      <w:tabs>
        <w:tab w:val="clear" w:pos="4320"/>
        <w:tab w:val="clear" w:pos="8640"/>
      </w:tabs>
      <w:jc w:val="right"/>
      <w:rPr>
        <w:noProof/>
        <w:kern w:val="22"/>
      </w:rPr>
    </w:pPr>
    <w:r w:rsidRPr="00954712">
      <w:rPr>
        <w:noProof/>
        <w:kern w:val="22"/>
      </w:rPr>
      <w:t>CBD/SBI/2/2/Add.2</w:t>
    </w:r>
  </w:p>
  <w:p w:rsidR="007A5206" w:rsidRDefault="007A5206">
    <w:pPr>
      <w:pStyle w:val="Header"/>
      <w:tabs>
        <w:tab w:val="clear" w:pos="4320"/>
        <w:tab w:val="clear" w:pos="8640"/>
      </w:tabs>
      <w:jc w:val="righ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sidR="0068196B">
      <w:rPr>
        <w:noProof/>
        <w:kern w:val="22"/>
      </w:rPr>
      <w:t>17</w:t>
    </w:r>
    <w:r>
      <w:rPr>
        <w:noProof/>
        <w:kern w:val="22"/>
      </w:rPr>
      <w:fldChar w:fldCharType="end"/>
    </w:r>
    <w:r>
      <w:rPr>
        <w:noProof/>
        <w:kern w:val="22"/>
      </w:rPr>
      <w:t xml:space="preserve"> </w:t>
    </w:r>
  </w:p>
  <w:p w:rsidR="007A5206" w:rsidRDefault="007A520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6"/>
    <w:lvlOverride w:ilvl="0">
      <w:startOverride w:val="1"/>
    </w:lvlOverride>
  </w:num>
  <w:num w:numId="4">
    <w:abstractNumId w:val="1"/>
  </w:num>
  <w:num w:numId="5">
    <w:abstractNumId w:val="3"/>
  </w:num>
  <w:num w:numId="6">
    <w:abstractNumId w:val="11"/>
  </w:num>
  <w:num w:numId="7">
    <w:abstractNumId w:val="10"/>
  </w:num>
  <w:num w:numId="8">
    <w:abstractNumId w:val="4"/>
  </w:num>
  <w:num w:numId="9">
    <w:abstractNumId w:val="7"/>
  </w:num>
  <w:num w:numId="10">
    <w:abstractNumId w:val="5"/>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fr-BE" w:vendorID="64" w:dllVersion="131078" w:nlCheck="1" w:checkStyle="1"/>
  <w:activeWritingStyle w:appName="MSWord" w:lang="es-ES" w:vendorID="64" w:dllVersion="131078" w:nlCheck="1" w:checkStyle="1"/>
  <w:doNotTrackMoves/>
  <w:defaultTabStop w:val="720"/>
  <w:evenAndOddHeaders/>
  <w:drawingGridHorizontalSpacing w:val="110"/>
  <w:displayHorizontalDrawingGridEvery w:val="0"/>
  <w:displayVertic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FC8"/>
    <w:rsid w:val="00050B79"/>
    <w:rsid w:val="00082E70"/>
    <w:rsid w:val="00096B93"/>
    <w:rsid w:val="000B5051"/>
    <w:rsid w:val="000D2CB3"/>
    <w:rsid w:val="000E6987"/>
    <w:rsid w:val="000E7B09"/>
    <w:rsid w:val="0013368C"/>
    <w:rsid w:val="001422BF"/>
    <w:rsid w:val="00165D5E"/>
    <w:rsid w:val="0028184E"/>
    <w:rsid w:val="0029097F"/>
    <w:rsid w:val="002A56F7"/>
    <w:rsid w:val="002B72DB"/>
    <w:rsid w:val="002E0901"/>
    <w:rsid w:val="003F07D5"/>
    <w:rsid w:val="00442910"/>
    <w:rsid w:val="004464C2"/>
    <w:rsid w:val="00456FD8"/>
    <w:rsid w:val="004A6CA3"/>
    <w:rsid w:val="004B240C"/>
    <w:rsid w:val="005601F6"/>
    <w:rsid w:val="00572B48"/>
    <w:rsid w:val="005B33D7"/>
    <w:rsid w:val="005B3C27"/>
    <w:rsid w:val="00656765"/>
    <w:rsid w:val="00673DEE"/>
    <w:rsid w:val="0068196B"/>
    <w:rsid w:val="006B1AB5"/>
    <w:rsid w:val="006C3284"/>
    <w:rsid w:val="006D0DD1"/>
    <w:rsid w:val="006D5E6A"/>
    <w:rsid w:val="006E328E"/>
    <w:rsid w:val="007455F6"/>
    <w:rsid w:val="00753422"/>
    <w:rsid w:val="00767A8D"/>
    <w:rsid w:val="007973C0"/>
    <w:rsid w:val="007A5206"/>
    <w:rsid w:val="007E2AB7"/>
    <w:rsid w:val="00855FC8"/>
    <w:rsid w:val="0088413C"/>
    <w:rsid w:val="009174F7"/>
    <w:rsid w:val="00936658"/>
    <w:rsid w:val="00936B48"/>
    <w:rsid w:val="009F0D12"/>
    <w:rsid w:val="00AB56F8"/>
    <w:rsid w:val="00AB6BA0"/>
    <w:rsid w:val="00AF544D"/>
    <w:rsid w:val="00B17B60"/>
    <w:rsid w:val="00B663AA"/>
    <w:rsid w:val="00B87F58"/>
    <w:rsid w:val="00BE3C32"/>
    <w:rsid w:val="00C3337A"/>
    <w:rsid w:val="00CD7A59"/>
    <w:rsid w:val="00CE6E7C"/>
    <w:rsid w:val="00CF422F"/>
    <w:rsid w:val="00D04188"/>
    <w:rsid w:val="00D10FA4"/>
    <w:rsid w:val="00D25F7F"/>
    <w:rsid w:val="00D7007E"/>
    <w:rsid w:val="00D87D50"/>
    <w:rsid w:val="00DB0F11"/>
    <w:rsid w:val="00DF57A0"/>
    <w:rsid w:val="00DF7AAA"/>
    <w:rsid w:val="00E01074"/>
    <w:rsid w:val="00F02227"/>
    <w:rsid w:val="00F06908"/>
    <w:rsid w:val="00F34915"/>
    <w:rsid w:val="00F36034"/>
    <w:rsid w:val="00F55CED"/>
    <w:rsid w:val="00F6362C"/>
    <w:rsid w:val="00F87952"/>
    <w:rsid w:val="00FD6AEF"/>
    <w:rsid w:val="00FD7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E5D3E90-9BFF-4974-A35C-4CF6215A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cs="Angsana New"/>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qFormat/>
    <w:rPr>
      <w:sz w:val="18"/>
      <w:u w:val="single"/>
      <w:vertAlign w:val="baseline"/>
    </w:rPr>
  </w:style>
  <w:style w:type="character" w:styleId="PageNumber">
    <w:name w:val="page number"/>
    <w:semiHidden/>
    <w:rPr>
      <w:rFonts w:ascii="Times New Roman" w:hAnsi="Times New Roman"/>
      <w:sz w:val="22"/>
    </w:rPr>
  </w:style>
  <w:style w:type="paragraph" w:styleId="BodyText">
    <w:name w:val="Body Text"/>
    <w:basedOn w:val="Normal"/>
    <w:semiHidden/>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semiHidden/>
    <w:pPr>
      <w:tabs>
        <w:tab w:val="center" w:pos="4320"/>
        <w:tab w:val="right" w:pos="8640"/>
      </w:tabs>
    </w:pPr>
    <w:rPr>
      <w:rFonts w:cs="Times New Roman"/>
    </w:rPr>
  </w:style>
  <w:style w:type="paragraph" w:styleId="Footer">
    <w:name w:val="footer"/>
    <w:basedOn w:val="Normal"/>
    <w:semiHidden/>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uiPriority w:val="99"/>
    <w:qFormat/>
    <w:pPr>
      <w:keepLines/>
      <w:spacing w:after="60"/>
      <w:ind w:firstLine="720"/>
    </w:pPr>
    <w:rPr>
      <w:rFonts w:cs="Times New Roman"/>
      <w:sz w:val="18"/>
      <w:lang w:eastAsia="x-none"/>
    </w:rPr>
  </w:style>
  <w:style w:type="paragraph" w:styleId="BodyText2">
    <w:name w:val="Body Text 2"/>
    <w:basedOn w:val="Normal"/>
    <w:semiHidden/>
    <w:rPr>
      <w:i/>
      <w:iCs/>
    </w:rPr>
  </w:style>
  <w:style w:type="paragraph" w:styleId="BodyText3">
    <w:name w:val="Body Text 3"/>
    <w:basedOn w:val="Normal"/>
    <w:semiHidden/>
    <w:pPr>
      <w:jc w:val="center"/>
    </w:pPr>
    <w:rPr>
      <w:sz w:val="28"/>
    </w:rPr>
  </w:style>
  <w:style w:type="paragraph" w:styleId="BodyTextIndent2">
    <w:name w:val="Body Text Indent 2"/>
    <w:basedOn w:val="Normal"/>
    <w:semiHidden/>
    <w:pPr>
      <w:ind w:firstLine="720"/>
    </w:pPr>
  </w:style>
  <w:style w:type="paragraph" w:styleId="BodyTextIndent3">
    <w:name w:val="Body Text Indent 3"/>
    <w:basedOn w:val="Normal"/>
    <w:semiHidden/>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semiHidden/>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semiHidden/>
    <w:pPr>
      <w:spacing w:before="120" w:after="120"/>
      <w:ind w:left="1440" w:hanging="720"/>
      <w:jc w:val="left"/>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pPr>
      <w:ind w:left="284" w:right="4398" w:hanging="284"/>
      <w:jc w:val="left"/>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semiHidden/>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semiHidden/>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semiHidden/>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rPr>
  </w:style>
  <w:style w:type="character" w:styleId="Strong">
    <w:name w:val="Strong"/>
    <w:qFormat/>
    <w:rPr>
      <w:b/>
      <w:bCs/>
    </w:rPr>
  </w:style>
  <w:style w:type="paragraph" w:customStyle="1" w:styleId="Para10">
    <w:name w:val="Para 1"/>
    <w:basedOn w:val="BodyText"/>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rFonts w:cs="Times New Roman"/>
      <w:szCs w:val="22"/>
      <w:lang w:val="en-US"/>
    </w:rPr>
  </w:style>
  <w:style w:type="paragraph" w:customStyle="1" w:styleId="Para40">
    <w:name w:val="Para4"/>
    <w:basedOn w:val="Para3"/>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rPr>
      <w:rFonts w:cs="Angsana New"/>
      <w:b/>
      <w:caps/>
      <w:sz w:val="22"/>
      <w:szCs w:val="24"/>
      <w:lang w:val="en-GB" w:eastAsia="en-US" w:bidi="ar-SA"/>
    </w:rPr>
  </w:style>
  <w:style w:type="character" w:customStyle="1" w:styleId="Heading1longmultilineChar">
    <w:name w:val="Heading 1 (long multiline) Char"/>
    <w:basedOn w:val="Heading1Char"/>
    <w:rPr>
      <w:rFonts w:cs="Angsana New"/>
      <w:b/>
      <w:caps/>
      <w:sz w:val="22"/>
      <w:szCs w:val="24"/>
      <w:lang w:val="en-GB" w:eastAsia="en-US" w:bidi="ar-SA"/>
    </w:rPr>
  </w:style>
  <w:style w:type="paragraph" w:customStyle="1" w:styleId="ColorfulList-Accent11">
    <w:name w:val="Colorful List - Accent 11"/>
    <w:basedOn w:val="Normal"/>
    <w:qFormat/>
    <w:pPr>
      <w:ind w:left="720"/>
    </w:pPr>
  </w:style>
  <w:style w:type="paragraph" w:customStyle="1" w:styleId="Default">
    <w:name w:val="Default"/>
    <w:basedOn w:val="Normal"/>
    <w:pPr>
      <w:autoSpaceDE w:val="0"/>
      <w:autoSpaceDN w:val="0"/>
      <w:jc w:val="left"/>
    </w:pPr>
    <w:rPr>
      <w:rFonts w:eastAsia="Calibri" w:cs="Times New Roman"/>
      <w:color w:val="000000"/>
      <w:sz w:val="24"/>
      <w:lang w:val="en-US"/>
    </w:rPr>
  </w:style>
  <w:style w:type="character" w:customStyle="1" w:styleId="apple-style-span">
    <w:name w:val="apple-style-span"/>
  </w:style>
  <w:style w:type="character" w:customStyle="1" w:styleId="HeaderChar">
    <w:name w:val="Header Char"/>
    <w:rPr>
      <w:rFonts w:cs="Angsana New"/>
      <w:sz w:val="22"/>
      <w:szCs w:val="24"/>
      <w:lang w:val="en-GB" w:eastAsia="en-US"/>
    </w:rPr>
  </w:style>
  <w:style w:type="character" w:customStyle="1" w:styleId="PlainTextChar">
    <w:name w:val="Plain Text Char"/>
    <w:rPr>
      <w:rFonts w:ascii="Courier New" w:hAnsi="Courier New" w:cs="Courier New"/>
      <w:szCs w:val="24"/>
      <w:lang w:eastAsia="en-US"/>
    </w:rPr>
  </w:style>
  <w:style w:type="character" w:customStyle="1" w:styleId="FooterChar">
    <w:name w:val="Footer Char"/>
    <w:rPr>
      <w:rFonts w:cs="Angsana New"/>
      <w:sz w:val="22"/>
      <w:szCs w:val="24"/>
      <w:lang w:eastAsia="en-US"/>
    </w:rPr>
  </w:style>
  <w:style w:type="paragraph" w:customStyle="1" w:styleId="PlainTable31">
    <w:name w:val="Plain Table 31"/>
    <w:basedOn w:val="Normal"/>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qFormat/>
    <w:rPr>
      <w:rFonts w:ascii="Calibri" w:hAnsi="Calibri"/>
      <w:sz w:val="22"/>
      <w:szCs w:val="22"/>
      <w:lang w:val="en-US" w:eastAsia="en-US"/>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uiPriority w:val="99"/>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PlainTable21">
    <w:name w:val="Plain Table 21"/>
    <w:hidden/>
    <w:semiHidden/>
    <w:rPr>
      <w:rFonts w:cs="Angsana New"/>
      <w:sz w:val="22"/>
      <w:szCs w:val="24"/>
      <w:lang w:val="en-GB" w:eastAsia="en-US"/>
    </w:rPr>
  </w:style>
  <w:style w:type="paragraph" w:customStyle="1" w:styleId="PlainTable22">
    <w:name w:val="Plain Table 22"/>
    <w:hidden/>
    <w:semiHidden/>
    <w:rPr>
      <w:rFonts w:cs="Angsana New"/>
      <w:sz w:val="22"/>
      <w:szCs w:val="24"/>
      <w:lang w:val="en-GB" w:eastAsia="en-US"/>
    </w:rPr>
  </w:style>
  <w:style w:type="paragraph" w:customStyle="1" w:styleId="PlainTable32">
    <w:name w:val="Plain Table 32"/>
    <w:basedOn w:val="Normal"/>
    <w:qFormat/>
    <w:pPr>
      <w:ind w:left="720"/>
    </w:pPr>
  </w:style>
  <w:style w:type="paragraph" w:customStyle="1" w:styleId="MediumList1-Accent61">
    <w:name w:val="Medium List 1 - Accent 61"/>
    <w:basedOn w:val="Normal"/>
    <w:qFormat/>
    <w:pPr>
      <w:ind w:left="720"/>
    </w:pPr>
  </w:style>
  <w:style w:type="paragraph" w:customStyle="1" w:styleId="DarkList-Accent31">
    <w:name w:val="Dark List - Accent 31"/>
    <w:hidden/>
    <w:semiHidden/>
    <w:rPr>
      <w:rFonts w:cs="Angsana New"/>
      <w:sz w:val="22"/>
      <w:szCs w:val="24"/>
      <w:lang w:val="en-GB" w:eastAsia="en-US"/>
    </w:rPr>
  </w:style>
  <w:style w:type="character" w:customStyle="1" w:styleId="CommentTextChar">
    <w:name w:val="Comment Text Char"/>
    <w:semiHidden/>
    <w:rPr>
      <w:rFonts w:cs="Angsana New"/>
      <w:szCs w:val="24"/>
      <w:lang w:val="en-GB"/>
    </w:rPr>
  </w:style>
  <w:style w:type="character" w:customStyle="1" w:styleId="EndnoteTextChar">
    <w:name w:val="Endnote Text Char"/>
    <w:rPr>
      <w:rFonts w:ascii="Courier New" w:hAnsi="Courier New" w:cs="Angsana New"/>
      <w:sz w:val="22"/>
      <w:szCs w:val="24"/>
      <w:lang w:val="en-GB"/>
    </w:rPr>
  </w:style>
  <w:style w:type="paragraph" w:customStyle="1" w:styleId="ColorfulShading-Accent11">
    <w:name w:val="Colorful Shading - Accent 11"/>
    <w:hidden/>
    <w:semiHidden/>
    <w:rPr>
      <w:rFonts w:cs="Angsana New"/>
      <w:sz w:val="22"/>
      <w:szCs w:val="24"/>
      <w:lang w:val="en-GB" w:eastAsia="en-US"/>
    </w:rPr>
  </w:style>
  <w:style w:type="paragraph" w:styleId="Revision">
    <w:name w:val="Revision"/>
    <w:hidden/>
    <w:semiHidden/>
    <w:rPr>
      <w:rFonts w:cs="Angsana New"/>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01-es.pdf" TargetMode="External"/><Relationship Id="rId18" Type="http://schemas.openxmlformats.org/officeDocument/2006/relationships/hyperlink" Target="https://www.cbd.int/doc/decisions/cop-12/cop-12-dec-02-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cbd.int/doc/decisions/cop-09/cop-09-dec-09-es.pdf" TargetMode="External"/><Relationship Id="rId17" Type="http://schemas.openxmlformats.org/officeDocument/2006/relationships/hyperlink" Target="https://www.cbd.int/doc/decisions/cop-11/cop-11-dec-03-e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recommendations/sbi-01/sbi-01-rec-01-e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decisions/?m=cop-09&amp;s=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d.int/doc/decisions/cop-10/cop-10-dec-10-es.pdf"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cop-10/cop-10-dec-02-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02-es.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targets/default.shtml" TargetMode="External"/><Relationship Id="rId2" Type="http://schemas.openxmlformats.org/officeDocument/2006/relationships/hyperlink" Target="https://www.cbd.int/doc/meetings/cop/cop-13/official/cop-13-08-add2-rev1-es.pdf" TargetMode="External"/><Relationship Id="rId1" Type="http://schemas.openxmlformats.org/officeDocument/2006/relationships/hyperlink" Target="https://www.cbd.int/doc/c/6ce5/878e/5ffa49887c20c19961fe040a/sbi-02-01-es.pdf" TargetMode="External"/><Relationship Id="rId5" Type="http://schemas.openxmlformats.org/officeDocument/2006/relationships/hyperlink" Target="https://www.cbd.int/doc/meetings/cop/cop-13/official/cop-13-08-add2-rev1-es.pdf" TargetMode="External"/><Relationship Id="rId4" Type="http://schemas.openxmlformats.org/officeDocument/2006/relationships/hyperlink" Target="https://www.cbd.int/doc/meetings/sbi/sbi-01/official/sbi-01-02-add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1E97-D246-4574-85B1-EB71ADD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9317</Words>
  <Characters>53111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62304</CharactersWithSpaces>
  <SharedDoc>false</SharedDoc>
  <HLinks>
    <vt:vector size="84" baseType="variant">
      <vt:variant>
        <vt:i4>589907</vt:i4>
      </vt:variant>
      <vt:variant>
        <vt:i4>24</vt:i4>
      </vt:variant>
      <vt:variant>
        <vt:i4>0</vt:i4>
      </vt:variant>
      <vt:variant>
        <vt:i4>5</vt:i4>
      </vt:variant>
      <vt:variant>
        <vt:lpwstr>https://www.cbd.int/doc/decisions/cop-10/cop-10-dec-02-es.pdf</vt:lpwstr>
      </vt:variant>
      <vt:variant>
        <vt:lpwstr/>
      </vt:variant>
      <vt:variant>
        <vt:i4>720977</vt:i4>
      </vt:variant>
      <vt:variant>
        <vt:i4>21</vt:i4>
      </vt:variant>
      <vt:variant>
        <vt:i4>0</vt:i4>
      </vt:variant>
      <vt:variant>
        <vt:i4>5</vt:i4>
      </vt:variant>
      <vt:variant>
        <vt:lpwstr>https://www.cbd.int/doc/decisions/cop-12/cop-12-dec-02-es.pdf</vt:lpwstr>
      </vt:variant>
      <vt:variant>
        <vt:lpwstr/>
      </vt:variant>
      <vt:variant>
        <vt:i4>589906</vt:i4>
      </vt:variant>
      <vt:variant>
        <vt:i4>18</vt:i4>
      </vt:variant>
      <vt:variant>
        <vt:i4>0</vt:i4>
      </vt:variant>
      <vt:variant>
        <vt:i4>5</vt:i4>
      </vt:variant>
      <vt:variant>
        <vt:lpwstr>https://www.cbd.int/doc/decisions/cop-11/cop-11-dec-03-es.pdf</vt:lpwstr>
      </vt:variant>
      <vt:variant>
        <vt:lpwstr/>
      </vt:variant>
      <vt:variant>
        <vt:i4>6946876</vt:i4>
      </vt:variant>
      <vt:variant>
        <vt:i4>15</vt:i4>
      </vt:variant>
      <vt:variant>
        <vt:i4>0</vt:i4>
      </vt:variant>
      <vt:variant>
        <vt:i4>5</vt:i4>
      </vt:variant>
      <vt:variant>
        <vt:lpwstr>https://www.cbd.int/doc/recommendations/sbi-01/sbi-01-rec-01-es.pdf</vt:lpwstr>
      </vt:variant>
      <vt:variant>
        <vt:lpwstr/>
      </vt:variant>
      <vt:variant>
        <vt:i4>720978</vt:i4>
      </vt:variant>
      <vt:variant>
        <vt:i4>12</vt:i4>
      </vt:variant>
      <vt:variant>
        <vt:i4>0</vt:i4>
      </vt:variant>
      <vt:variant>
        <vt:i4>5</vt:i4>
      </vt:variant>
      <vt:variant>
        <vt:lpwstr>https://www.cbd.int/doc/decisions/cop-10/cop-10-dec-10-es.pdf</vt:lpwstr>
      </vt:variant>
      <vt:variant>
        <vt:lpwstr/>
      </vt:variant>
      <vt:variant>
        <vt:i4>524370</vt:i4>
      </vt:variant>
      <vt:variant>
        <vt:i4>9</vt:i4>
      </vt:variant>
      <vt:variant>
        <vt:i4>0</vt:i4>
      </vt:variant>
      <vt:variant>
        <vt:i4>5</vt:i4>
      </vt:variant>
      <vt:variant>
        <vt:lpwstr>https://www.cbd.int/doc/decisions/cop-11/cop-11-dec-02-es.pdf</vt:lpwstr>
      </vt:variant>
      <vt:variant>
        <vt:lpwstr/>
      </vt:variant>
      <vt:variant>
        <vt:i4>589904</vt:i4>
      </vt:variant>
      <vt:variant>
        <vt:i4>6</vt:i4>
      </vt:variant>
      <vt:variant>
        <vt:i4>0</vt:i4>
      </vt:variant>
      <vt:variant>
        <vt:i4>5</vt:i4>
      </vt:variant>
      <vt:variant>
        <vt:lpwstr>https://www.cbd.int/doc/decisions/cop-13/cop-13-dec-01-es.pdf</vt:lpwstr>
      </vt:variant>
      <vt:variant>
        <vt:lpwstr/>
      </vt:variant>
      <vt:variant>
        <vt:i4>655451</vt:i4>
      </vt:variant>
      <vt:variant>
        <vt:i4>2</vt:i4>
      </vt:variant>
      <vt:variant>
        <vt:i4>0</vt:i4>
      </vt:variant>
      <vt:variant>
        <vt:i4>5</vt:i4>
      </vt:variant>
      <vt:variant>
        <vt:lpwstr>https://www.cbd.int/doc/decisions/cop-09/cop-09-dec-09-es.pdf</vt:lpwstr>
      </vt:variant>
      <vt:variant>
        <vt:lpwstr/>
      </vt:variant>
      <vt:variant>
        <vt:i4>6946860</vt:i4>
      </vt:variant>
      <vt:variant>
        <vt:i4>0</vt:i4>
      </vt:variant>
      <vt:variant>
        <vt:i4>0</vt:i4>
      </vt:variant>
      <vt:variant>
        <vt:i4>5</vt:i4>
      </vt:variant>
      <vt:variant>
        <vt:lpwstr>http://www.cbd.int/decisions/?m=cop-09&amp;s=9</vt:lpwstr>
      </vt:variant>
      <vt:variant>
        <vt:lpwstr/>
      </vt:variant>
      <vt:variant>
        <vt:i4>7929969</vt:i4>
      </vt:variant>
      <vt:variant>
        <vt:i4>12</vt:i4>
      </vt:variant>
      <vt:variant>
        <vt:i4>0</vt:i4>
      </vt:variant>
      <vt:variant>
        <vt:i4>5</vt:i4>
      </vt:variant>
      <vt:variant>
        <vt:lpwstr>https://www.cbd.int/doc/meetings/cop/cop-13/official/cop-13-08-add2-rev1-es.pdf</vt:lpwstr>
      </vt:variant>
      <vt:variant>
        <vt:lpwstr/>
      </vt:variant>
      <vt:variant>
        <vt:i4>6553721</vt:i4>
      </vt:variant>
      <vt:variant>
        <vt:i4>9</vt:i4>
      </vt:variant>
      <vt:variant>
        <vt:i4>0</vt:i4>
      </vt:variant>
      <vt:variant>
        <vt:i4>5</vt:i4>
      </vt:variant>
      <vt:variant>
        <vt:lpwstr>https://www.cbd.int/doc/meetings/sbi/sbi-01/official/sbi-01-02-add2-es.pdf</vt:lpwstr>
      </vt:variant>
      <vt:variant>
        <vt:lpwstr/>
      </vt:variant>
      <vt:variant>
        <vt:i4>7798819</vt:i4>
      </vt:variant>
      <vt:variant>
        <vt:i4>6</vt:i4>
      </vt:variant>
      <vt:variant>
        <vt:i4>0</vt:i4>
      </vt:variant>
      <vt:variant>
        <vt:i4>5</vt:i4>
      </vt:variant>
      <vt:variant>
        <vt:lpwstr>https://www.cbd.int/nbsap/targets/default.shtml</vt:lpwstr>
      </vt:variant>
      <vt:variant>
        <vt:lpwstr/>
      </vt:variant>
      <vt:variant>
        <vt:i4>7929969</vt:i4>
      </vt:variant>
      <vt:variant>
        <vt:i4>3</vt:i4>
      </vt:variant>
      <vt:variant>
        <vt:i4>0</vt:i4>
      </vt:variant>
      <vt:variant>
        <vt:i4>5</vt:i4>
      </vt:variant>
      <vt:variant>
        <vt:lpwstr>https://www.cbd.int/doc/meetings/cop/cop-13/official/cop-13-08-add2-rev1-es.pdf</vt:lpwstr>
      </vt:variant>
      <vt:variant>
        <vt:lpwstr/>
      </vt:variant>
      <vt:variant>
        <vt:i4>1441804</vt:i4>
      </vt:variant>
      <vt:variant>
        <vt:i4>0</vt:i4>
      </vt:variant>
      <vt:variant>
        <vt:i4>0</vt:i4>
      </vt:variant>
      <vt:variant>
        <vt:i4>5</vt:i4>
      </vt:variant>
      <vt:variant>
        <vt:lpwstr>https://www.cbd.int/doc/c/6ce5/878e/5ffa49887c20c19961fe040a/sbi-02-01-es.pdf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Tatiana Zavarzina</cp:lastModifiedBy>
  <cp:revision>2</cp:revision>
  <cp:lastPrinted>2016-01-18T17:49:00Z</cp:lastPrinted>
  <dcterms:created xsi:type="dcterms:W3CDTF">2018-03-27T15:26:00Z</dcterms:created>
  <dcterms:modified xsi:type="dcterms:W3CDTF">2018-03-27T15:26:00Z</dcterms:modified>
</cp:coreProperties>
</file>