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717F31" w:rsidTr="00666E45">
        <w:trPr>
          <w:trHeight w:val="709"/>
        </w:trPr>
        <w:tc>
          <w:tcPr>
            <w:tcW w:w="976" w:type="dxa"/>
            <w:tcBorders>
              <w:bottom w:val="single" w:sz="12" w:space="0" w:color="auto"/>
            </w:tcBorders>
          </w:tcPr>
          <w:p w:rsidR="00207A6E" w:rsidRPr="00717F31" w:rsidRDefault="00207A6E" w:rsidP="00666E45">
            <w:pPr>
              <w:rPr>
                <w:kern w:val="22"/>
              </w:rPr>
            </w:pPr>
            <w:r w:rsidRPr="00717F31">
              <w:rPr>
                <w:noProof/>
                <w:kern w:val="22"/>
                <w:lang w:eastAsia="zh-CN"/>
              </w:rPr>
              <w:drawing>
                <wp:inline distT="0" distB="0" distL="0" distR="0" wp14:anchorId="42B9CAB7" wp14:editId="6CA29B5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717F31" w:rsidRDefault="00207A6E" w:rsidP="000359F2">
            <w:pPr>
              <w:tabs>
                <w:tab w:val="left" w:pos="3150"/>
              </w:tabs>
              <w:rPr>
                <w:kern w:val="22"/>
              </w:rPr>
            </w:pPr>
            <w:r w:rsidRPr="00717F31">
              <w:rPr>
                <w:noProof/>
                <w:kern w:val="22"/>
                <w:lang w:eastAsia="zh-CN"/>
              </w:rPr>
              <w:drawing>
                <wp:inline distT="0" distB="0" distL="0" distR="0" wp14:anchorId="61E141FE" wp14:editId="19AD96B3">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r w:rsidR="000359F2" w:rsidRPr="00717F31">
              <w:rPr>
                <w:kern w:val="22"/>
              </w:rPr>
              <w:tab/>
            </w:r>
          </w:p>
        </w:tc>
        <w:tc>
          <w:tcPr>
            <w:tcW w:w="4090" w:type="dxa"/>
            <w:tcBorders>
              <w:bottom w:val="single" w:sz="12" w:space="0" w:color="auto"/>
            </w:tcBorders>
          </w:tcPr>
          <w:p w:rsidR="00207A6E" w:rsidRPr="00717F31" w:rsidRDefault="00207A6E" w:rsidP="00666E45">
            <w:pPr>
              <w:jc w:val="right"/>
              <w:rPr>
                <w:rFonts w:ascii="Arial" w:hAnsi="Arial" w:cs="Arial"/>
                <w:b/>
                <w:kern w:val="22"/>
                <w:sz w:val="32"/>
                <w:szCs w:val="32"/>
              </w:rPr>
            </w:pPr>
            <w:r w:rsidRPr="00717F31">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717F31" w:rsidTr="009554D5">
        <w:trPr>
          <w:trHeight w:val="1693"/>
        </w:trPr>
        <w:tc>
          <w:tcPr>
            <w:tcW w:w="6227" w:type="dxa"/>
            <w:tcBorders>
              <w:top w:val="nil"/>
              <w:bottom w:val="single" w:sz="36" w:space="0" w:color="000000"/>
            </w:tcBorders>
          </w:tcPr>
          <w:p w:rsidR="00F16F02" w:rsidRPr="00717F31" w:rsidRDefault="00F16F02">
            <w:pPr>
              <w:rPr>
                <w:snapToGrid w:val="0"/>
                <w:kern w:val="22"/>
              </w:rPr>
            </w:pPr>
          </w:p>
          <w:p w:rsidR="00F16F02" w:rsidRPr="00717F31" w:rsidRDefault="00F16F02" w:rsidP="00736BC2">
            <w:pPr>
              <w:rPr>
                <w:snapToGrid w:val="0"/>
                <w:kern w:val="22"/>
              </w:rPr>
            </w:pPr>
            <w:r w:rsidRPr="00717F31">
              <w:rPr>
                <w:noProof/>
                <w:kern w:val="22"/>
                <w:lang w:eastAsia="zh-CN"/>
              </w:rPr>
              <w:drawing>
                <wp:inline distT="0" distB="0" distL="0" distR="0" wp14:anchorId="45BCEB9C" wp14:editId="7BA7A8B8">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717F31" w:rsidRDefault="00F16F02">
            <w:pPr>
              <w:rPr>
                <w:rFonts w:ascii="Univers" w:hAnsi="Univers"/>
                <w:snapToGrid w:val="0"/>
                <w:kern w:val="22"/>
                <w:sz w:val="32"/>
              </w:rPr>
            </w:pPr>
          </w:p>
        </w:tc>
        <w:tc>
          <w:tcPr>
            <w:tcW w:w="1144" w:type="dxa"/>
            <w:tcBorders>
              <w:top w:val="nil"/>
              <w:bottom w:val="single" w:sz="36" w:space="0" w:color="000000"/>
            </w:tcBorders>
          </w:tcPr>
          <w:p w:rsidR="00F16F02" w:rsidRPr="00717F31"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rsidR="00F16F02" w:rsidRPr="00717F31" w:rsidRDefault="00F16F02" w:rsidP="00B271A0">
            <w:pPr>
              <w:ind w:left="63"/>
              <w:rPr>
                <w:snapToGrid w:val="0"/>
                <w:kern w:val="22"/>
                <w:szCs w:val="22"/>
              </w:rPr>
            </w:pPr>
            <w:r w:rsidRPr="00717F31">
              <w:rPr>
                <w:snapToGrid w:val="0"/>
                <w:kern w:val="22"/>
                <w:szCs w:val="22"/>
              </w:rPr>
              <w:t>Distr.</w:t>
            </w:r>
          </w:p>
          <w:p w:rsidR="00F16F02" w:rsidRPr="00717F31" w:rsidRDefault="00F16F02" w:rsidP="00B271A0">
            <w:pPr>
              <w:ind w:left="63"/>
              <w:rPr>
                <w:snapToGrid w:val="0"/>
                <w:kern w:val="22"/>
                <w:szCs w:val="22"/>
              </w:rPr>
            </w:pPr>
            <w:r w:rsidRPr="00717F31">
              <w:rPr>
                <w:snapToGrid w:val="0"/>
                <w:kern w:val="22"/>
                <w:szCs w:val="22"/>
              </w:rPr>
              <w:t>GENERAL</w:t>
            </w:r>
          </w:p>
          <w:p w:rsidR="00F16F02" w:rsidRPr="00717F31" w:rsidRDefault="00F16F02" w:rsidP="00B271A0">
            <w:pPr>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717F31" w:rsidRDefault="00D51069" w:rsidP="00B271A0">
                <w:pPr>
                  <w:ind w:left="63"/>
                  <w:rPr>
                    <w:snapToGrid w:val="0"/>
                    <w:kern w:val="22"/>
                    <w:szCs w:val="22"/>
                  </w:rPr>
                </w:pPr>
                <w:r w:rsidRPr="00717F31">
                  <w:rPr>
                    <w:snapToGrid w:val="0"/>
                    <w:kern w:val="22"/>
                    <w:szCs w:val="22"/>
                  </w:rPr>
                  <w:t>CBD/SB</w:t>
                </w:r>
                <w:r w:rsidR="00843FF1" w:rsidRPr="00717F31">
                  <w:rPr>
                    <w:snapToGrid w:val="0"/>
                    <w:kern w:val="22"/>
                    <w:szCs w:val="22"/>
                  </w:rPr>
                  <w:t>I/</w:t>
                </w:r>
                <w:r w:rsidR="002E0627" w:rsidRPr="00717F31">
                  <w:rPr>
                    <w:snapToGrid w:val="0"/>
                    <w:kern w:val="22"/>
                    <w:szCs w:val="22"/>
                  </w:rPr>
                  <w:t>2/</w:t>
                </w:r>
                <w:r w:rsidR="00066160" w:rsidRPr="00717F31">
                  <w:rPr>
                    <w:snapToGrid w:val="0"/>
                    <w:kern w:val="22"/>
                    <w:szCs w:val="22"/>
                  </w:rPr>
                  <w:t>16</w:t>
                </w:r>
              </w:p>
            </w:sdtContent>
          </w:sdt>
          <w:p w:rsidR="00F16F02" w:rsidRPr="00717F31" w:rsidRDefault="00A93D3F" w:rsidP="00B271A0">
            <w:pPr>
              <w:ind w:left="63"/>
              <w:rPr>
                <w:snapToGrid w:val="0"/>
                <w:kern w:val="22"/>
                <w:szCs w:val="22"/>
              </w:rPr>
            </w:pPr>
            <w:r w:rsidRPr="00717F31">
              <w:rPr>
                <w:snapToGrid w:val="0"/>
                <w:kern w:val="22"/>
                <w:szCs w:val="22"/>
              </w:rPr>
              <w:t>31</w:t>
            </w:r>
            <w:r w:rsidR="00D15589" w:rsidRPr="00717F31">
              <w:rPr>
                <w:snapToGrid w:val="0"/>
                <w:kern w:val="22"/>
                <w:szCs w:val="22"/>
              </w:rPr>
              <w:t xml:space="preserve"> </w:t>
            </w:r>
            <w:r w:rsidRPr="00717F31">
              <w:rPr>
                <w:snapToGrid w:val="0"/>
                <w:kern w:val="22"/>
                <w:szCs w:val="22"/>
              </w:rPr>
              <w:t>May</w:t>
            </w:r>
            <w:r w:rsidR="00066160" w:rsidRPr="00717F31">
              <w:rPr>
                <w:snapToGrid w:val="0"/>
                <w:kern w:val="22"/>
                <w:szCs w:val="22"/>
              </w:rPr>
              <w:t xml:space="preserve"> </w:t>
            </w:r>
            <w:r w:rsidR="00D15589" w:rsidRPr="00717F31">
              <w:rPr>
                <w:snapToGrid w:val="0"/>
                <w:kern w:val="22"/>
                <w:szCs w:val="22"/>
              </w:rPr>
              <w:t>2018</w:t>
            </w:r>
          </w:p>
          <w:p w:rsidR="00F16F02" w:rsidRPr="00717F31" w:rsidRDefault="00F16F02" w:rsidP="00B271A0">
            <w:pPr>
              <w:ind w:left="63"/>
              <w:rPr>
                <w:snapToGrid w:val="0"/>
                <w:kern w:val="22"/>
                <w:szCs w:val="22"/>
              </w:rPr>
            </w:pPr>
          </w:p>
          <w:p w:rsidR="00F16F02" w:rsidRPr="00717F31" w:rsidRDefault="00F16F02" w:rsidP="00B271A0">
            <w:pPr>
              <w:ind w:left="63"/>
              <w:rPr>
                <w:snapToGrid w:val="0"/>
                <w:kern w:val="22"/>
                <w:szCs w:val="22"/>
                <w:u w:val="single"/>
              </w:rPr>
            </w:pPr>
            <w:r w:rsidRPr="00717F31">
              <w:rPr>
                <w:snapToGrid w:val="0"/>
                <w:kern w:val="22"/>
                <w:szCs w:val="22"/>
              </w:rPr>
              <w:t>ORIGINAL:  ENGLISH</w:t>
            </w:r>
          </w:p>
        </w:tc>
      </w:tr>
    </w:tbl>
    <w:bookmarkStart w:id="0" w:name="Meeting"/>
    <w:p w:rsidR="00CA6B87" w:rsidRPr="00717F31" w:rsidRDefault="00B47971" w:rsidP="00D51069">
      <w:pPr>
        <w:pStyle w:val="meetingname"/>
        <w:ind w:right="4398"/>
        <w:rPr>
          <w:kern w:val="22"/>
          <w:szCs w:val="22"/>
        </w:rPr>
      </w:pPr>
      <w:sdt>
        <w:sdtPr>
          <w:rPr>
            <w:kern w:val="22"/>
            <w:szCs w:val="22"/>
          </w:rPr>
          <w:alias w:val="Meeting"/>
          <w:tag w:val="Meeting"/>
          <w:id w:val="1412045910"/>
          <w:placeholder>
            <w:docPart w:val="DefaultPlaceholder_1082065158"/>
          </w:placeholder>
          <w:text/>
        </w:sdtPr>
        <w:sdtEndPr/>
        <w:sdtContent>
          <w:r w:rsidR="00D51069" w:rsidRPr="00717F31">
            <w:rPr>
              <w:kern w:val="22"/>
              <w:szCs w:val="22"/>
            </w:rPr>
            <w:t xml:space="preserve">SUBSIDIARY BODY ON </w:t>
          </w:r>
          <w:r w:rsidR="002E0627" w:rsidRPr="00717F31">
            <w:rPr>
              <w:kern w:val="22"/>
              <w:szCs w:val="22"/>
            </w:rPr>
            <w:t>IMPLEMENTATION</w:t>
          </w:r>
        </w:sdtContent>
      </w:sdt>
      <w:bookmarkEnd w:id="0"/>
    </w:p>
    <w:p w:rsidR="00D51069" w:rsidRPr="00717F31" w:rsidRDefault="002E0627" w:rsidP="00CA6B87">
      <w:pPr>
        <w:rPr>
          <w:snapToGrid w:val="0"/>
          <w:kern w:val="22"/>
          <w:szCs w:val="22"/>
          <w:lang w:eastAsia="nb-NO"/>
        </w:rPr>
      </w:pPr>
      <w:r w:rsidRPr="00717F31">
        <w:rPr>
          <w:snapToGrid w:val="0"/>
          <w:kern w:val="22"/>
          <w:szCs w:val="22"/>
          <w:lang w:eastAsia="nb-NO"/>
        </w:rPr>
        <w:t>S</w:t>
      </w:r>
      <w:r w:rsidR="00FB3B70" w:rsidRPr="00717F31">
        <w:rPr>
          <w:snapToGrid w:val="0"/>
          <w:kern w:val="22"/>
          <w:szCs w:val="22"/>
          <w:lang w:eastAsia="nb-NO"/>
        </w:rPr>
        <w:t>econd</w:t>
      </w:r>
      <w:r w:rsidR="00D51069" w:rsidRPr="00717F31">
        <w:rPr>
          <w:snapToGrid w:val="0"/>
          <w:kern w:val="22"/>
          <w:szCs w:val="22"/>
          <w:lang w:eastAsia="nb-NO"/>
        </w:rPr>
        <w:t xml:space="preserve"> meeting</w:t>
      </w:r>
    </w:p>
    <w:p w:rsidR="00CA6B87" w:rsidRPr="00717F31" w:rsidRDefault="00D51069" w:rsidP="00CA6B87">
      <w:pPr>
        <w:rPr>
          <w:snapToGrid w:val="0"/>
          <w:kern w:val="22"/>
          <w:szCs w:val="22"/>
          <w:lang w:eastAsia="nb-NO"/>
        </w:rPr>
      </w:pPr>
      <w:r w:rsidRPr="00717F31">
        <w:rPr>
          <w:snapToGrid w:val="0"/>
          <w:kern w:val="22"/>
          <w:szCs w:val="22"/>
          <w:lang w:eastAsia="nb-NO"/>
        </w:rPr>
        <w:t>Montreal</w:t>
      </w:r>
      <w:r w:rsidR="00CA6B87" w:rsidRPr="00717F31">
        <w:rPr>
          <w:snapToGrid w:val="0"/>
          <w:kern w:val="22"/>
          <w:szCs w:val="22"/>
          <w:lang w:eastAsia="nb-NO"/>
        </w:rPr>
        <w:t xml:space="preserve">, </w:t>
      </w:r>
      <w:r w:rsidRPr="00717F31">
        <w:rPr>
          <w:snapToGrid w:val="0"/>
          <w:kern w:val="22"/>
          <w:szCs w:val="22"/>
          <w:lang w:eastAsia="nb-NO"/>
        </w:rPr>
        <w:t xml:space="preserve">Canada, </w:t>
      </w:r>
      <w:r w:rsidR="002E0627" w:rsidRPr="00717F31">
        <w:rPr>
          <w:snapToGrid w:val="0"/>
          <w:kern w:val="22"/>
          <w:szCs w:val="22"/>
          <w:lang w:eastAsia="nb-NO"/>
        </w:rPr>
        <w:t>9-13</w:t>
      </w:r>
      <w:r w:rsidR="00D15589" w:rsidRPr="00717F31">
        <w:rPr>
          <w:snapToGrid w:val="0"/>
          <w:kern w:val="22"/>
          <w:szCs w:val="22"/>
          <w:lang w:eastAsia="nb-NO"/>
        </w:rPr>
        <w:t xml:space="preserve"> July 2018</w:t>
      </w:r>
    </w:p>
    <w:p w:rsidR="00CA6B87" w:rsidRPr="00717F31" w:rsidRDefault="00D51069" w:rsidP="00CA6B87">
      <w:pPr>
        <w:rPr>
          <w:snapToGrid w:val="0"/>
          <w:kern w:val="22"/>
          <w:szCs w:val="22"/>
          <w:lang w:eastAsia="nb-NO"/>
        </w:rPr>
      </w:pPr>
      <w:r w:rsidRPr="00717F31">
        <w:rPr>
          <w:snapToGrid w:val="0"/>
          <w:kern w:val="22"/>
          <w:szCs w:val="22"/>
          <w:lang w:eastAsia="nb-NO"/>
        </w:rPr>
        <w:t>I</w:t>
      </w:r>
      <w:r w:rsidR="00CA6B87" w:rsidRPr="00717F31">
        <w:rPr>
          <w:snapToGrid w:val="0"/>
          <w:kern w:val="22"/>
          <w:szCs w:val="22"/>
          <w:lang w:eastAsia="nb-NO"/>
        </w:rPr>
        <w:t xml:space="preserve">tem </w:t>
      </w:r>
      <w:r w:rsidR="00066160" w:rsidRPr="00717F31">
        <w:rPr>
          <w:snapToGrid w:val="0"/>
          <w:kern w:val="22"/>
          <w:szCs w:val="22"/>
          <w:lang w:eastAsia="nb-NO"/>
        </w:rPr>
        <w:t>15</w:t>
      </w:r>
      <w:r w:rsidRPr="00717F31">
        <w:rPr>
          <w:snapToGrid w:val="0"/>
          <w:kern w:val="22"/>
          <w:szCs w:val="22"/>
          <w:lang w:eastAsia="nb-NO"/>
        </w:rPr>
        <w:t xml:space="preserve"> of the provisional agenda</w:t>
      </w:r>
      <w:r w:rsidRPr="00717F31">
        <w:rPr>
          <w:rStyle w:val="FootnoteReference"/>
          <w:snapToGrid w:val="0"/>
          <w:kern w:val="22"/>
          <w:sz w:val="22"/>
          <w:szCs w:val="22"/>
          <w:lang w:eastAsia="nb-NO"/>
        </w:rPr>
        <w:footnoteReference w:customMarkFollows="1" w:id="1"/>
        <w:t>*</w:t>
      </w:r>
    </w:p>
    <w:p w:rsidR="00066160" w:rsidRPr="00717F31" w:rsidRDefault="00B47971" w:rsidP="00717F31">
      <w:pPr>
        <w:pStyle w:val="heading2notforTOC"/>
        <w:tabs>
          <w:tab w:val="clear" w:pos="567"/>
        </w:tabs>
        <w:rPr>
          <w:b/>
          <w:i w:val="0"/>
          <w:snapToGrid w:val="0"/>
          <w:kern w:val="22"/>
          <w:szCs w:val="22"/>
        </w:rPr>
      </w:pPr>
      <w:sdt>
        <w:sdtPr>
          <w:rPr>
            <w:b/>
            <w:i w:val="0"/>
            <w:caps/>
            <w:snapToGrid w:val="0"/>
            <w:kern w:val="22"/>
            <w:szCs w:val="22"/>
          </w:rPr>
          <w:alias w:val="Title"/>
          <w:tag w:val=""/>
          <w:id w:val="1665894259"/>
          <w:placeholder>
            <w:docPart w:val="C16D1CAE4A344423B0F4F04BD3446B31"/>
          </w:placeholder>
          <w:dataBinding w:prefixMappings="xmlns:ns0='http://purl.org/dc/elements/1.1/' xmlns:ns1='http://schemas.openxmlformats.org/package/2006/metadata/core-properties' " w:xpath="/ns1:coreProperties[1]/ns0:title[1]" w:storeItemID="{6C3C8BC8-F283-45AE-878A-BAB7291924A1}"/>
          <w:text/>
        </w:sdtPr>
        <w:sdtEndPr/>
        <w:sdtContent>
          <w:r w:rsidR="00E01974" w:rsidRPr="00717F31">
            <w:rPr>
              <w:b/>
              <w:i w:val="0"/>
              <w:caps/>
              <w:snapToGrid w:val="0"/>
              <w:kern w:val="22"/>
              <w:szCs w:val="22"/>
            </w:rPr>
            <w:t>Review of the effectiveness of processes under the Convention and its Protocols</w:t>
          </w:r>
        </w:sdtContent>
      </w:sdt>
    </w:p>
    <w:p w:rsidR="00C85EA4" w:rsidRPr="00717F31" w:rsidRDefault="003A5A20" w:rsidP="00066160">
      <w:pPr>
        <w:pStyle w:val="Heading1"/>
        <w:rPr>
          <w:b w:val="0"/>
          <w:i/>
          <w:kern w:val="22"/>
          <w:szCs w:val="22"/>
        </w:rPr>
      </w:pPr>
      <w:r w:rsidRPr="00717F31">
        <w:rPr>
          <w:b w:val="0"/>
          <w:i/>
          <w:caps w:val="0"/>
          <w:kern w:val="22"/>
          <w:szCs w:val="22"/>
        </w:rPr>
        <w:t>Note by the Executive Secretary</w:t>
      </w:r>
    </w:p>
    <w:p w:rsidR="008B11D3" w:rsidRPr="00717F31" w:rsidRDefault="00D455C1" w:rsidP="00451CAB">
      <w:pPr>
        <w:pStyle w:val="ListParagraph"/>
        <w:numPr>
          <w:ilvl w:val="0"/>
          <w:numId w:val="37"/>
        </w:numPr>
        <w:spacing w:before="120" w:after="120"/>
        <w:ind w:left="0" w:firstLine="0"/>
        <w:contextualSpacing w:val="0"/>
        <w:rPr>
          <w:kern w:val="22"/>
          <w:szCs w:val="22"/>
        </w:rPr>
      </w:pPr>
      <w:r w:rsidRPr="00717F31">
        <w:rPr>
          <w:kern w:val="22"/>
          <w:szCs w:val="22"/>
        </w:rPr>
        <w:t>According to the</w:t>
      </w:r>
      <w:r w:rsidR="00644C74" w:rsidRPr="00717F31">
        <w:rPr>
          <w:kern w:val="22"/>
          <w:szCs w:val="22"/>
        </w:rPr>
        <w:t xml:space="preserve"> </w:t>
      </w:r>
      <w:r w:rsidR="008B11D3" w:rsidRPr="00717F31">
        <w:rPr>
          <w:kern w:val="22"/>
          <w:szCs w:val="22"/>
        </w:rPr>
        <w:t xml:space="preserve">multi-year programme of work </w:t>
      </w:r>
      <w:r w:rsidR="000656F5" w:rsidRPr="00717F31">
        <w:rPr>
          <w:kern w:val="22"/>
          <w:szCs w:val="22"/>
        </w:rPr>
        <w:t xml:space="preserve">up to 2020 </w:t>
      </w:r>
      <w:r w:rsidR="008B11D3" w:rsidRPr="00717F31">
        <w:rPr>
          <w:kern w:val="22"/>
          <w:szCs w:val="22"/>
        </w:rPr>
        <w:t>(</w:t>
      </w:r>
      <w:r w:rsidR="00864F5F" w:rsidRPr="00717F31">
        <w:rPr>
          <w:kern w:val="22"/>
          <w:szCs w:val="22"/>
        </w:rPr>
        <w:t xml:space="preserve">decision </w:t>
      </w:r>
      <w:hyperlink r:id="rId12" w:history="1">
        <w:r w:rsidR="00864F5F" w:rsidRPr="00717F31">
          <w:rPr>
            <w:rStyle w:val="Hyperlink"/>
            <w:kern w:val="22"/>
            <w:szCs w:val="22"/>
          </w:rPr>
          <w:t>XI/10</w:t>
        </w:r>
      </w:hyperlink>
      <w:r w:rsidR="00864F5F" w:rsidRPr="00717F31">
        <w:rPr>
          <w:kern w:val="22"/>
          <w:szCs w:val="22"/>
        </w:rPr>
        <w:t xml:space="preserve"> and </w:t>
      </w:r>
      <w:r w:rsidRPr="00717F31">
        <w:rPr>
          <w:kern w:val="22"/>
          <w:szCs w:val="22"/>
        </w:rPr>
        <w:t xml:space="preserve">updated by </w:t>
      </w:r>
      <w:r w:rsidR="008B11D3" w:rsidRPr="00717F31">
        <w:rPr>
          <w:kern w:val="22"/>
          <w:szCs w:val="22"/>
        </w:rPr>
        <w:t xml:space="preserve">decision </w:t>
      </w:r>
      <w:hyperlink r:id="rId13" w:history="1">
        <w:r w:rsidR="008B11D3" w:rsidRPr="00717F31">
          <w:rPr>
            <w:rStyle w:val="Hyperlink"/>
            <w:kern w:val="22"/>
            <w:szCs w:val="22"/>
          </w:rPr>
          <w:t>XII/31</w:t>
        </w:r>
      </w:hyperlink>
      <w:r w:rsidR="008B11D3" w:rsidRPr="00717F31">
        <w:rPr>
          <w:kern w:val="22"/>
          <w:szCs w:val="22"/>
        </w:rPr>
        <w:t xml:space="preserve">, </w:t>
      </w:r>
      <w:r w:rsidR="005D0930" w:rsidRPr="00717F31">
        <w:rPr>
          <w:kern w:val="22"/>
          <w:szCs w:val="22"/>
        </w:rPr>
        <w:t>a</w:t>
      </w:r>
      <w:r w:rsidR="008B11D3" w:rsidRPr="00717F31">
        <w:rPr>
          <w:kern w:val="22"/>
          <w:szCs w:val="22"/>
        </w:rPr>
        <w:t>nnex)</w:t>
      </w:r>
      <w:r w:rsidR="00644C74" w:rsidRPr="00717F31">
        <w:rPr>
          <w:kern w:val="22"/>
          <w:szCs w:val="22"/>
        </w:rPr>
        <w:t xml:space="preserve">, </w:t>
      </w:r>
      <w:r w:rsidR="008B11D3" w:rsidRPr="00717F31">
        <w:rPr>
          <w:kern w:val="22"/>
          <w:szCs w:val="22"/>
        </w:rPr>
        <w:t xml:space="preserve">the Conference of the Parties </w:t>
      </w:r>
      <w:r w:rsidRPr="00717F31">
        <w:rPr>
          <w:kern w:val="22"/>
          <w:szCs w:val="22"/>
        </w:rPr>
        <w:t>will address</w:t>
      </w:r>
      <w:r w:rsidR="008B11D3" w:rsidRPr="00717F31">
        <w:rPr>
          <w:kern w:val="22"/>
          <w:szCs w:val="22"/>
        </w:rPr>
        <w:t xml:space="preserve"> “Review of the effectiveness of processes under the Convention and its Protocols” as one of the strategic issues </w:t>
      </w:r>
      <w:r w:rsidR="00644C74" w:rsidRPr="00717F31">
        <w:rPr>
          <w:kern w:val="22"/>
          <w:szCs w:val="22"/>
        </w:rPr>
        <w:t>at its fourteenth</w:t>
      </w:r>
      <w:r w:rsidR="008B11D3" w:rsidRPr="00717F31">
        <w:rPr>
          <w:kern w:val="22"/>
          <w:szCs w:val="22"/>
        </w:rPr>
        <w:t xml:space="preserve"> meeting.</w:t>
      </w:r>
      <w:r w:rsidR="00BF0FE7" w:rsidRPr="00717F31">
        <w:rPr>
          <w:kern w:val="22"/>
          <w:szCs w:val="22"/>
        </w:rPr>
        <w:t xml:space="preserve"> </w:t>
      </w:r>
      <w:r w:rsidR="003049A9" w:rsidRPr="00717F31">
        <w:rPr>
          <w:kern w:val="22"/>
          <w:szCs w:val="22"/>
        </w:rPr>
        <w:t>The Subsidiary Body on Implementation (SBI) is expected to review the issue, at its second meeting, with a view to develop</w:t>
      </w:r>
      <w:r w:rsidR="005D0930" w:rsidRPr="00717F31">
        <w:rPr>
          <w:kern w:val="22"/>
          <w:szCs w:val="22"/>
        </w:rPr>
        <w:t>ing</w:t>
      </w:r>
      <w:r w:rsidR="003049A9" w:rsidRPr="00717F31">
        <w:rPr>
          <w:kern w:val="22"/>
          <w:szCs w:val="22"/>
        </w:rPr>
        <w:t xml:space="preserve"> a recommendation for the consideration of the Conference of the Parties to the Convention at its fourteenth meeting, the meeting of the Parties to the Cartagena Protocol at its ninth meeting, and the meeting of the Parties to the Nagoya Protocol at its third meeting. The Executive Secretary has prepared the present document in order to facilitate such a review.</w:t>
      </w:r>
    </w:p>
    <w:p w:rsidR="00A60495" w:rsidRPr="00717F31" w:rsidRDefault="00CE7215"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Reviewing the effectiveness and improving the efficiency of structures </w:t>
      </w:r>
      <w:r w:rsidR="00C37EB6" w:rsidRPr="00717F31">
        <w:rPr>
          <w:kern w:val="22"/>
          <w:szCs w:val="22"/>
        </w:rPr>
        <w:t xml:space="preserve">and processes </w:t>
      </w:r>
      <w:r w:rsidRPr="00717F31">
        <w:rPr>
          <w:kern w:val="22"/>
          <w:szCs w:val="22"/>
        </w:rPr>
        <w:t>under the Convention has been the subject of continued attention</w:t>
      </w:r>
      <w:r w:rsidR="00A968E4" w:rsidRPr="00717F31">
        <w:rPr>
          <w:kern w:val="22"/>
          <w:szCs w:val="22"/>
        </w:rPr>
        <w:t xml:space="preserve"> by the Conference of the Parties</w:t>
      </w:r>
      <w:r w:rsidR="00D455C1" w:rsidRPr="00717F31">
        <w:rPr>
          <w:kern w:val="22"/>
          <w:szCs w:val="22"/>
        </w:rPr>
        <w:t>. At its seventh meeting, in 2004, the Conference of the Parties established the</w:t>
      </w:r>
      <w:r w:rsidR="00C257DC" w:rsidRPr="00717F31">
        <w:rPr>
          <w:kern w:val="22"/>
          <w:szCs w:val="22"/>
        </w:rPr>
        <w:t xml:space="preserve"> Ad Hoc Open-ended Working Group on Review of Implementation of the Convention</w:t>
      </w:r>
      <w:r w:rsidR="00D455C1" w:rsidRPr="00717F31">
        <w:rPr>
          <w:kern w:val="22"/>
          <w:szCs w:val="22"/>
        </w:rPr>
        <w:t xml:space="preserve"> </w:t>
      </w:r>
      <w:r w:rsidR="00C257DC" w:rsidRPr="00717F31">
        <w:rPr>
          <w:kern w:val="22"/>
          <w:szCs w:val="22"/>
        </w:rPr>
        <w:t>(</w:t>
      </w:r>
      <w:r w:rsidR="005D0930" w:rsidRPr="00717F31">
        <w:rPr>
          <w:kern w:val="22"/>
          <w:szCs w:val="22"/>
        </w:rPr>
        <w:t>d</w:t>
      </w:r>
      <w:r w:rsidR="00C257DC" w:rsidRPr="00717F31">
        <w:rPr>
          <w:kern w:val="22"/>
          <w:szCs w:val="22"/>
        </w:rPr>
        <w:t xml:space="preserve">ecision </w:t>
      </w:r>
      <w:hyperlink r:id="rId14" w:history="1">
        <w:r w:rsidR="00C257DC" w:rsidRPr="00717F31">
          <w:rPr>
            <w:rStyle w:val="Hyperlink"/>
            <w:kern w:val="22"/>
            <w:szCs w:val="22"/>
          </w:rPr>
          <w:t>VII/30</w:t>
        </w:r>
      </w:hyperlink>
      <w:r w:rsidR="00C257DC" w:rsidRPr="00717F31">
        <w:rPr>
          <w:kern w:val="22"/>
          <w:szCs w:val="22"/>
        </w:rPr>
        <w:t>, para</w:t>
      </w:r>
      <w:r w:rsidR="00773B72" w:rsidRPr="00717F31">
        <w:rPr>
          <w:kern w:val="22"/>
          <w:szCs w:val="22"/>
        </w:rPr>
        <w:t>. </w:t>
      </w:r>
      <w:r w:rsidR="00C257DC" w:rsidRPr="00717F31">
        <w:rPr>
          <w:kern w:val="22"/>
          <w:szCs w:val="22"/>
        </w:rPr>
        <w:t xml:space="preserve">23), with </w:t>
      </w:r>
      <w:r w:rsidR="005D0930" w:rsidRPr="00717F31">
        <w:rPr>
          <w:kern w:val="22"/>
          <w:szCs w:val="22"/>
        </w:rPr>
        <w:t xml:space="preserve">among its functions </w:t>
      </w:r>
      <w:r w:rsidR="00C257DC" w:rsidRPr="00717F31">
        <w:rPr>
          <w:kern w:val="22"/>
          <w:szCs w:val="22"/>
        </w:rPr>
        <w:t>“to review the impacts and effectiveness of existing processes under the Convention”.</w:t>
      </w:r>
      <w:r w:rsidR="00716A78" w:rsidRPr="00717F31">
        <w:rPr>
          <w:rStyle w:val="FootnoteReference"/>
          <w:kern w:val="22"/>
          <w:sz w:val="22"/>
          <w:szCs w:val="22"/>
        </w:rPr>
        <w:footnoteReference w:id="2"/>
      </w:r>
      <w:r w:rsidR="00C257DC" w:rsidRPr="00717F31">
        <w:rPr>
          <w:kern w:val="22"/>
          <w:szCs w:val="22"/>
        </w:rPr>
        <w:t xml:space="preserve"> The first meeting of the </w:t>
      </w:r>
      <w:r w:rsidR="005D0930" w:rsidRPr="00717F31">
        <w:rPr>
          <w:kern w:val="22"/>
          <w:szCs w:val="22"/>
        </w:rPr>
        <w:t>Working Group on Review of Implementation</w:t>
      </w:r>
      <w:r w:rsidR="00C257DC" w:rsidRPr="00717F31">
        <w:rPr>
          <w:kern w:val="22"/>
          <w:szCs w:val="22"/>
        </w:rPr>
        <w:t>, in</w:t>
      </w:r>
      <w:r w:rsidR="00716A78" w:rsidRPr="00717F31">
        <w:rPr>
          <w:kern w:val="22"/>
          <w:szCs w:val="22"/>
        </w:rPr>
        <w:t xml:space="preserve"> 2005</w:t>
      </w:r>
      <w:r w:rsidR="00C257DC" w:rsidRPr="00717F31">
        <w:rPr>
          <w:kern w:val="22"/>
          <w:szCs w:val="22"/>
        </w:rPr>
        <w:t xml:space="preserve">, undertook a comprehensive review of </w:t>
      </w:r>
      <w:r w:rsidR="00373BE0" w:rsidRPr="00717F31">
        <w:rPr>
          <w:kern w:val="22"/>
          <w:szCs w:val="22"/>
        </w:rPr>
        <w:t xml:space="preserve">processes under the Convention, leading to the adoption of decision </w:t>
      </w:r>
      <w:hyperlink r:id="rId15" w:history="1">
        <w:r w:rsidR="00B233F9" w:rsidRPr="00717F31">
          <w:rPr>
            <w:rStyle w:val="Hyperlink"/>
            <w:kern w:val="22"/>
            <w:szCs w:val="22"/>
          </w:rPr>
          <w:t>VIII/10</w:t>
        </w:r>
      </w:hyperlink>
      <w:r w:rsidR="00B233F9" w:rsidRPr="00717F31">
        <w:rPr>
          <w:kern w:val="22"/>
          <w:szCs w:val="22"/>
        </w:rPr>
        <w:t xml:space="preserve"> on operations of the Convention. </w:t>
      </w:r>
      <w:r w:rsidR="003049A9" w:rsidRPr="00717F31">
        <w:rPr>
          <w:kern w:val="22"/>
          <w:szCs w:val="22"/>
        </w:rPr>
        <w:t xml:space="preserve">Subsequent meetings of the Working Group examined specific aspects of </w:t>
      </w:r>
      <w:r w:rsidR="00D83355" w:rsidRPr="00717F31">
        <w:rPr>
          <w:kern w:val="22"/>
          <w:szCs w:val="22"/>
        </w:rPr>
        <w:t xml:space="preserve">the </w:t>
      </w:r>
      <w:r w:rsidR="003049A9" w:rsidRPr="00717F31">
        <w:rPr>
          <w:kern w:val="22"/>
          <w:szCs w:val="22"/>
        </w:rPr>
        <w:t>operations of the Convention. Following t</w:t>
      </w:r>
      <w:r w:rsidRPr="00717F31">
        <w:rPr>
          <w:kern w:val="22"/>
          <w:szCs w:val="22"/>
        </w:rPr>
        <w:t>he adoption of the Nagoya Protocol in 2010 and its</w:t>
      </w:r>
      <w:r w:rsidR="008E0DAA" w:rsidRPr="00717F31">
        <w:rPr>
          <w:kern w:val="22"/>
          <w:szCs w:val="22"/>
        </w:rPr>
        <w:t xml:space="preserve"> </w:t>
      </w:r>
      <w:r w:rsidRPr="00717F31">
        <w:rPr>
          <w:kern w:val="22"/>
          <w:szCs w:val="22"/>
        </w:rPr>
        <w:t>entry into force</w:t>
      </w:r>
      <w:r w:rsidR="003049A9" w:rsidRPr="00717F31">
        <w:rPr>
          <w:kern w:val="22"/>
          <w:szCs w:val="22"/>
        </w:rPr>
        <w:t xml:space="preserve"> in 2014</w:t>
      </w:r>
      <w:r w:rsidR="00451CAB" w:rsidRPr="00717F31">
        <w:rPr>
          <w:kern w:val="22"/>
          <w:szCs w:val="22"/>
        </w:rPr>
        <w:t>,</w:t>
      </w:r>
      <w:r w:rsidR="008E0DAA" w:rsidRPr="00717F31">
        <w:rPr>
          <w:rStyle w:val="FootnoteReference"/>
          <w:kern w:val="22"/>
          <w:sz w:val="22"/>
          <w:szCs w:val="22"/>
        </w:rPr>
        <w:footnoteReference w:id="3"/>
      </w:r>
      <w:r w:rsidRPr="00717F31">
        <w:rPr>
          <w:kern w:val="22"/>
          <w:szCs w:val="22"/>
        </w:rPr>
        <w:t xml:space="preserve"> </w:t>
      </w:r>
      <w:r w:rsidR="003049A9" w:rsidRPr="00717F31">
        <w:rPr>
          <w:kern w:val="22"/>
          <w:szCs w:val="22"/>
        </w:rPr>
        <w:t xml:space="preserve">the Conference of the Parties decided at its twelfth meeting to hold meetings of the Convention concurrently with </w:t>
      </w:r>
      <w:r w:rsidR="00D83355" w:rsidRPr="00717F31">
        <w:rPr>
          <w:kern w:val="22"/>
          <w:szCs w:val="22"/>
        </w:rPr>
        <w:t xml:space="preserve">the </w:t>
      </w:r>
      <w:r w:rsidR="003049A9" w:rsidRPr="00717F31">
        <w:rPr>
          <w:kern w:val="22"/>
          <w:szCs w:val="22"/>
        </w:rPr>
        <w:t xml:space="preserve">meetings of </w:t>
      </w:r>
      <w:r w:rsidR="00D83355" w:rsidRPr="00717F31">
        <w:rPr>
          <w:kern w:val="22"/>
          <w:szCs w:val="22"/>
        </w:rPr>
        <w:t xml:space="preserve">the Parties to the </w:t>
      </w:r>
      <w:r w:rsidR="003049A9" w:rsidRPr="00717F31">
        <w:rPr>
          <w:kern w:val="22"/>
          <w:szCs w:val="22"/>
        </w:rPr>
        <w:t xml:space="preserve">two protocols. </w:t>
      </w:r>
      <w:r w:rsidR="00864F5F" w:rsidRPr="00717F31">
        <w:rPr>
          <w:kern w:val="22"/>
          <w:szCs w:val="22"/>
        </w:rPr>
        <w:t xml:space="preserve">The Conference of the Parties also established, at its twelfth meeting, the </w:t>
      </w:r>
      <w:r w:rsidR="005D0930" w:rsidRPr="00717F31">
        <w:rPr>
          <w:kern w:val="22"/>
          <w:szCs w:val="22"/>
        </w:rPr>
        <w:t xml:space="preserve">Subsidiary Body on Implementation </w:t>
      </w:r>
      <w:r w:rsidR="00864F5F" w:rsidRPr="00717F31">
        <w:rPr>
          <w:kern w:val="22"/>
          <w:szCs w:val="22"/>
        </w:rPr>
        <w:t>and adopted, at its thirteenth meeting, its modus operandi</w:t>
      </w:r>
      <w:r w:rsidR="003049A9" w:rsidRPr="00717F31">
        <w:rPr>
          <w:kern w:val="22"/>
          <w:szCs w:val="22"/>
        </w:rPr>
        <w:t>.</w:t>
      </w:r>
    </w:p>
    <w:p w:rsidR="00E53C89" w:rsidRPr="00717F31" w:rsidRDefault="00DB46EC"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More specifically, the Conference of the Parties at its twelfth meeting, </w:t>
      </w:r>
      <w:r w:rsidR="005D0930" w:rsidRPr="00717F31">
        <w:rPr>
          <w:kern w:val="22"/>
          <w:szCs w:val="22"/>
        </w:rPr>
        <w:t xml:space="preserve">the Conference of the Parties serving as the meeting of the Parties to the Cartagena Protocol at its seventh meeting and the Conference of the Parties serving as the meeting of </w:t>
      </w:r>
      <w:r w:rsidR="00E96230" w:rsidRPr="00717F31">
        <w:rPr>
          <w:kern w:val="22"/>
          <w:szCs w:val="22"/>
        </w:rPr>
        <w:t xml:space="preserve">the Parties to </w:t>
      </w:r>
      <w:r w:rsidR="005D0930" w:rsidRPr="00717F31">
        <w:rPr>
          <w:kern w:val="22"/>
          <w:szCs w:val="22"/>
        </w:rPr>
        <w:t>the Nagoya Protocol at its first meeting</w:t>
      </w:r>
      <w:r w:rsidRPr="00717F31">
        <w:rPr>
          <w:kern w:val="22"/>
          <w:szCs w:val="22"/>
        </w:rPr>
        <w:t xml:space="preserve"> decided to review the </w:t>
      </w:r>
      <w:r w:rsidR="00F34E70" w:rsidRPr="00717F31">
        <w:rPr>
          <w:iCs/>
          <w:snapToGrid w:val="0"/>
          <w:kern w:val="22"/>
          <w:szCs w:val="22"/>
        </w:rPr>
        <w:t>experience in holding meetings concurrently</w:t>
      </w:r>
      <w:r w:rsidR="00F34E70" w:rsidRPr="00717F31" w:rsidDel="003049A9">
        <w:rPr>
          <w:kern w:val="22"/>
          <w:szCs w:val="22"/>
        </w:rPr>
        <w:t xml:space="preserve"> </w:t>
      </w:r>
      <w:r w:rsidR="00F34E70" w:rsidRPr="00717F31">
        <w:rPr>
          <w:iCs/>
          <w:snapToGrid w:val="0"/>
          <w:kern w:val="22"/>
          <w:szCs w:val="22"/>
        </w:rPr>
        <w:t>at the fourteenth and fifteenth meetings of the Conference of the Parties and concurrent meetings of the Protocols (</w:t>
      </w:r>
      <w:r w:rsidR="00354341" w:rsidRPr="00717F31">
        <w:rPr>
          <w:iCs/>
          <w:snapToGrid w:val="0"/>
          <w:kern w:val="22"/>
          <w:szCs w:val="22"/>
        </w:rPr>
        <w:t>d</w:t>
      </w:r>
      <w:r w:rsidR="00F34E70" w:rsidRPr="00717F31">
        <w:rPr>
          <w:iCs/>
          <w:snapToGrid w:val="0"/>
          <w:kern w:val="22"/>
          <w:szCs w:val="22"/>
        </w:rPr>
        <w:t xml:space="preserve">ecisions </w:t>
      </w:r>
      <w:hyperlink r:id="rId16" w:history="1">
        <w:r w:rsidR="00F34E70" w:rsidRPr="00717F31">
          <w:rPr>
            <w:rStyle w:val="Hyperlink"/>
            <w:kern w:val="22"/>
            <w:szCs w:val="22"/>
          </w:rPr>
          <w:t>X</w:t>
        </w:r>
        <w:r w:rsidR="00354341" w:rsidRPr="00717F31">
          <w:rPr>
            <w:rStyle w:val="Hyperlink"/>
            <w:kern w:val="22"/>
            <w:szCs w:val="22"/>
          </w:rPr>
          <w:t>I</w:t>
        </w:r>
        <w:r w:rsidR="00F34E70" w:rsidRPr="00717F31">
          <w:rPr>
            <w:rStyle w:val="Hyperlink"/>
            <w:kern w:val="22"/>
            <w:szCs w:val="22"/>
          </w:rPr>
          <w:t>I/27</w:t>
        </w:r>
      </w:hyperlink>
      <w:r w:rsidR="00F34E70" w:rsidRPr="00717F31">
        <w:rPr>
          <w:kern w:val="22"/>
          <w:szCs w:val="22"/>
        </w:rPr>
        <w:t xml:space="preserve">, </w:t>
      </w:r>
      <w:hyperlink r:id="rId17" w:history="1">
        <w:r w:rsidR="00F34E70" w:rsidRPr="00717F31">
          <w:rPr>
            <w:rStyle w:val="Hyperlink"/>
            <w:kern w:val="22"/>
            <w:szCs w:val="22"/>
          </w:rPr>
          <w:t>CP-</w:t>
        </w:r>
        <w:r w:rsidR="00F34E70" w:rsidRPr="00717F31">
          <w:rPr>
            <w:rStyle w:val="Hyperlink"/>
            <w:kern w:val="22"/>
            <w:szCs w:val="22"/>
          </w:rPr>
          <w:lastRenderedPageBreak/>
          <w:t>7/</w:t>
        </w:r>
        <w:r w:rsidR="00340466" w:rsidRPr="00717F31">
          <w:rPr>
            <w:rStyle w:val="Hyperlink"/>
            <w:kern w:val="22"/>
            <w:szCs w:val="22"/>
          </w:rPr>
          <w:t>9</w:t>
        </w:r>
      </w:hyperlink>
      <w:r w:rsidR="00F34E70" w:rsidRPr="00717F31">
        <w:rPr>
          <w:kern w:val="22"/>
          <w:szCs w:val="22"/>
        </w:rPr>
        <w:t xml:space="preserve"> and </w:t>
      </w:r>
      <w:hyperlink r:id="rId18" w:history="1">
        <w:r w:rsidR="00F34E70" w:rsidRPr="00717F31">
          <w:rPr>
            <w:rStyle w:val="Hyperlink"/>
            <w:kern w:val="22"/>
            <w:szCs w:val="22"/>
          </w:rPr>
          <w:t>NP-1</w:t>
        </w:r>
        <w:r w:rsidR="00340466" w:rsidRPr="00717F31">
          <w:rPr>
            <w:rStyle w:val="Hyperlink"/>
            <w:kern w:val="22"/>
            <w:szCs w:val="22"/>
          </w:rPr>
          <w:t>/12</w:t>
        </w:r>
      </w:hyperlink>
      <w:r w:rsidR="00F34E70" w:rsidRPr="00717F31">
        <w:rPr>
          <w:kern w:val="22"/>
          <w:szCs w:val="22"/>
        </w:rPr>
        <w:t>)</w:t>
      </w:r>
      <w:r w:rsidR="00E96230" w:rsidRPr="00717F31">
        <w:rPr>
          <w:iCs/>
          <w:snapToGrid w:val="0"/>
          <w:kern w:val="22"/>
          <w:szCs w:val="22"/>
        </w:rPr>
        <w:t>.</w:t>
      </w:r>
      <w:r w:rsidR="00F34E70" w:rsidRPr="00717F31">
        <w:rPr>
          <w:iCs/>
          <w:snapToGrid w:val="0"/>
          <w:kern w:val="22"/>
          <w:szCs w:val="22"/>
        </w:rPr>
        <w:t xml:space="preserve"> </w:t>
      </w:r>
      <w:r w:rsidR="00E96230" w:rsidRPr="00717F31">
        <w:rPr>
          <w:iCs/>
          <w:snapToGrid w:val="0"/>
          <w:kern w:val="22"/>
          <w:szCs w:val="22"/>
        </w:rPr>
        <w:t>A</w:t>
      </w:r>
      <w:r w:rsidR="00F34E70" w:rsidRPr="00717F31">
        <w:rPr>
          <w:iCs/>
          <w:snapToGrid w:val="0"/>
          <w:kern w:val="22"/>
          <w:szCs w:val="22"/>
        </w:rPr>
        <w:t>t their subsequent meetings in 2016</w:t>
      </w:r>
      <w:r w:rsidR="00E96230" w:rsidRPr="00717F31">
        <w:rPr>
          <w:iCs/>
          <w:snapToGrid w:val="0"/>
          <w:kern w:val="22"/>
          <w:szCs w:val="22"/>
        </w:rPr>
        <w:t>,</w:t>
      </w:r>
      <w:r w:rsidR="00F34E70" w:rsidRPr="00717F31">
        <w:rPr>
          <w:iCs/>
          <w:snapToGrid w:val="0"/>
          <w:kern w:val="22"/>
          <w:szCs w:val="22"/>
        </w:rPr>
        <w:t xml:space="preserve"> </w:t>
      </w:r>
      <w:r w:rsidR="00E96230" w:rsidRPr="00717F31">
        <w:rPr>
          <w:iCs/>
          <w:snapToGrid w:val="0"/>
          <w:kern w:val="22"/>
          <w:szCs w:val="22"/>
        </w:rPr>
        <w:t>all three bodies</w:t>
      </w:r>
      <w:r w:rsidR="00354341" w:rsidRPr="00717F31">
        <w:rPr>
          <w:iCs/>
          <w:snapToGrid w:val="0"/>
          <w:kern w:val="22"/>
          <w:szCs w:val="22"/>
        </w:rPr>
        <w:t xml:space="preserve"> </w:t>
      </w:r>
      <w:r w:rsidR="00F34E70" w:rsidRPr="00717F31">
        <w:rPr>
          <w:iCs/>
          <w:snapToGrid w:val="0"/>
          <w:kern w:val="22"/>
          <w:szCs w:val="22"/>
        </w:rPr>
        <w:t>finalized the criteria for this review (</w:t>
      </w:r>
      <w:r w:rsidR="00354341" w:rsidRPr="00717F31">
        <w:rPr>
          <w:iCs/>
          <w:snapToGrid w:val="0"/>
          <w:kern w:val="22"/>
          <w:szCs w:val="22"/>
        </w:rPr>
        <w:t>d</w:t>
      </w:r>
      <w:r w:rsidR="00F34E70" w:rsidRPr="00717F31">
        <w:rPr>
          <w:iCs/>
          <w:snapToGrid w:val="0"/>
          <w:kern w:val="22"/>
          <w:szCs w:val="22"/>
        </w:rPr>
        <w:t xml:space="preserve">ecisions </w:t>
      </w:r>
      <w:hyperlink r:id="rId19" w:history="1">
        <w:r w:rsidR="00F34E70" w:rsidRPr="00717F31">
          <w:rPr>
            <w:rStyle w:val="Hyperlink"/>
            <w:kern w:val="22"/>
            <w:szCs w:val="22"/>
          </w:rPr>
          <w:t>XIII/26</w:t>
        </w:r>
      </w:hyperlink>
      <w:r w:rsidR="00F34E70" w:rsidRPr="00717F31">
        <w:rPr>
          <w:kern w:val="22"/>
          <w:szCs w:val="22"/>
        </w:rPr>
        <w:t xml:space="preserve">, </w:t>
      </w:r>
      <w:hyperlink r:id="rId20" w:history="1">
        <w:r w:rsidR="00F34E70" w:rsidRPr="00717F31">
          <w:rPr>
            <w:rStyle w:val="Hyperlink"/>
            <w:kern w:val="22"/>
            <w:szCs w:val="22"/>
          </w:rPr>
          <w:t>CP-8/10</w:t>
        </w:r>
      </w:hyperlink>
      <w:r w:rsidR="00F34E70" w:rsidRPr="00717F31">
        <w:rPr>
          <w:kern w:val="22"/>
          <w:szCs w:val="22"/>
        </w:rPr>
        <w:t xml:space="preserve"> and </w:t>
      </w:r>
      <w:hyperlink r:id="rId21" w:history="1">
        <w:r w:rsidR="00F34E70" w:rsidRPr="00717F31">
          <w:rPr>
            <w:rStyle w:val="Hyperlink"/>
            <w:kern w:val="22"/>
            <w:szCs w:val="22"/>
          </w:rPr>
          <w:t>NP-2/12</w:t>
        </w:r>
      </w:hyperlink>
      <w:r w:rsidR="00F34E70" w:rsidRPr="00717F31">
        <w:rPr>
          <w:kern w:val="22"/>
          <w:szCs w:val="22"/>
        </w:rPr>
        <w:t>).</w:t>
      </w:r>
    </w:p>
    <w:p w:rsidR="00A5634D" w:rsidRPr="00717F31" w:rsidRDefault="00E53C89"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Further matters related to processes under the Convention and Protocols will be considered by </w:t>
      </w:r>
      <w:r w:rsidR="00354341" w:rsidRPr="00717F31">
        <w:rPr>
          <w:kern w:val="22"/>
          <w:szCs w:val="22"/>
        </w:rPr>
        <w:t>the Subsidiary Body on Implementation at its second meeting</w:t>
      </w:r>
      <w:r w:rsidRPr="00717F31">
        <w:rPr>
          <w:kern w:val="22"/>
          <w:szCs w:val="22"/>
        </w:rPr>
        <w:t xml:space="preserve"> under other agenda items, including: Mechanisms for review of implementation (item 12); </w:t>
      </w:r>
      <w:r w:rsidR="00354341" w:rsidRPr="00717F31">
        <w:rPr>
          <w:kern w:val="22"/>
          <w:szCs w:val="22"/>
        </w:rPr>
        <w:t>n</w:t>
      </w:r>
      <w:r w:rsidRPr="00717F31">
        <w:rPr>
          <w:kern w:val="22"/>
          <w:szCs w:val="22"/>
        </w:rPr>
        <w:t xml:space="preserve">ational reporting, and assessment and review, under the Convention and its Protocols (item 13); </w:t>
      </w:r>
      <w:r w:rsidR="00354341" w:rsidRPr="00717F31">
        <w:rPr>
          <w:kern w:val="22"/>
          <w:szCs w:val="22"/>
        </w:rPr>
        <w:t>e</w:t>
      </w:r>
      <w:r w:rsidRPr="00717F31">
        <w:rPr>
          <w:kern w:val="22"/>
          <w:szCs w:val="22"/>
        </w:rPr>
        <w:t xml:space="preserve">nhancing integration under the Convention and its Protocols (item 14); and </w:t>
      </w:r>
      <w:r w:rsidR="00354341" w:rsidRPr="00717F31">
        <w:rPr>
          <w:kern w:val="22"/>
          <w:szCs w:val="22"/>
        </w:rPr>
        <w:t>a</w:t>
      </w:r>
      <w:r w:rsidRPr="00717F31">
        <w:rPr>
          <w:kern w:val="22"/>
          <w:szCs w:val="22"/>
        </w:rPr>
        <w:t xml:space="preserve">llocation of resources and possibilities of engaging the private sector: trust fund for facilitating the participation of Parties in the Convention process (item 17). Also relevant is the </w:t>
      </w:r>
      <w:r w:rsidR="00354341" w:rsidRPr="00717F31">
        <w:rPr>
          <w:kern w:val="22"/>
          <w:szCs w:val="22"/>
        </w:rPr>
        <w:t>p</w:t>
      </w:r>
      <w:r w:rsidRPr="00717F31">
        <w:rPr>
          <w:kern w:val="22"/>
          <w:szCs w:val="22"/>
        </w:rPr>
        <w:t>reparation for the follow</w:t>
      </w:r>
      <w:r w:rsidR="00C305CB" w:rsidRPr="00717F31">
        <w:rPr>
          <w:kern w:val="22"/>
          <w:szCs w:val="22"/>
        </w:rPr>
        <w:t>-</w:t>
      </w:r>
      <w:r w:rsidRPr="00717F31">
        <w:rPr>
          <w:kern w:val="22"/>
          <w:szCs w:val="22"/>
        </w:rPr>
        <w:t>up to the Strategic Plan for Biodiversity 2011-2020 (item 15).</w:t>
      </w:r>
    </w:p>
    <w:p w:rsidR="00005C38" w:rsidRPr="00717F31" w:rsidRDefault="00A60495"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The twenty-fifth anniversary of the entry into force of the Convention will be marked in December 2018. </w:t>
      </w:r>
      <w:r w:rsidR="004D16C6" w:rsidRPr="00717F31">
        <w:rPr>
          <w:kern w:val="22"/>
          <w:szCs w:val="22"/>
        </w:rPr>
        <w:t>It is</w:t>
      </w:r>
      <w:r w:rsidRPr="00717F31">
        <w:rPr>
          <w:kern w:val="22"/>
          <w:szCs w:val="22"/>
        </w:rPr>
        <w:t xml:space="preserve"> an opportune moment to learn from previous experience and to reflect on possible further ways to improve the effectiveness of processes under the Convention and its Protocols to ensure that they are fit for purpose</w:t>
      </w:r>
      <w:r w:rsidR="004D16C6" w:rsidRPr="00717F31">
        <w:rPr>
          <w:kern w:val="22"/>
          <w:szCs w:val="22"/>
        </w:rPr>
        <w:t>,</w:t>
      </w:r>
      <w:r w:rsidRPr="00717F31">
        <w:rPr>
          <w:kern w:val="22"/>
          <w:szCs w:val="22"/>
        </w:rPr>
        <w:t xml:space="preserve"> promoting the transformational changes required to achieve the 2050 Vision for Biodiversity, including through the post-2020 global biodiversity framework</w:t>
      </w:r>
      <w:r w:rsidR="00E53C89" w:rsidRPr="00717F31">
        <w:rPr>
          <w:kern w:val="22"/>
          <w:szCs w:val="22"/>
        </w:rPr>
        <w:t>.</w:t>
      </w:r>
    </w:p>
    <w:p w:rsidR="00E11546" w:rsidRPr="00717F31" w:rsidRDefault="00F34E70" w:rsidP="00717F31">
      <w:pPr>
        <w:pStyle w:val="ListParagraph"/>
        <w:numPr>
          <w:ilvl w:val="0"/>
          <w:numId w:val="37"/>
        </w:numPr>
        <w:spacing w:before="120" w:after="120"/>
        <w:ind w:left="0" w:firstLine="0"/>
        <w:contextualSpacing w:val="0"/>
        <w:rPr>
          <w:kern w:val="22"/>
          <w:szCs w:val="22"/>
        </w:rPr>
      </w:pPr>
      <w:r w:rsidRPr="00717F31">
        <w:rPr>
          <w:kern w:val="22"/>
          <w:szCs w:val="22"/>
        </w:rPr>
        <w:t>S</w:t>
      </w:r>
      <w:r w:rsidR="001C2A38" w:rsidRPr="00717F31">
        <w:rPr>
          <w:kern w:val="22"/>
          <w:szCs w:val="22"/>
        </w:rPr>
        <w:t xml:space="preserve">ection I </w:t>
      </w:r>
      <w:r w:rsidR="003A5A20" w:rsidRPr="00717F31">
        <w:rPr>
          <w:kern w:val="22"/>
          <w:szCs w:val="22"/>
        </w:rPr>
        <w:t xml:space="preserve">of </w:t>
      </w:r>
      <w:r w:rsidR="001633CA" w:rsidRPr="00717F31">
        <w:rPr>
          <w:kern w:val="22"/>
          <w:szCs w:val="22"/>
        </w:rPr>
        <w:t xml:space="preserve">the present </w:t>
      </w:r>
      <w:r w:rsidR="003A5A20" w:rsidRPr="00717F31">
        <w:rPr>
          <w:kern w:val="22"/>
          <w:szCs w:val="22"/>
        </w:rPr>
        <w:t>document</w:t>
      </w:r>
      <w:r w:rsidRPr="00717F31">
        <w:rPr>
          <w:kern w:val="22"/>
          <w:szCs w:val="22"/>
        </w:rPr>
        <w:t xml:space="preserve"> </w:t>
      </w:r>
      <w:r w:rsidR="003A5A20" w:rsidRPr="00717F31">
        <w:rPr>
          <w:kern w:val="22"/>
          <w:szCs w:val="22"/>
        </w:rPr>
        <w:t xml:space="preserve">provides a summary of </w:t>
      </w:r>
      <w:r w:rsidRPr="00717F31">
        <w:rPr>
          <w:kern w:val="22"/>
          <w:szCs w:val="22"/>
        </w:rPr>
        <w:t xml:space="preserve">previous reviews and of </w:t>
      </w:r>
      <w:r w:rsidR="003A5A20" w:rsidRPr="00717F31">
        <w:rPr>
          <w:kern w:val="22"/>
          <w:szCs w:val="22"/>
        </w:rPr>
        <w:t xml:space="preserve">the major </w:t>
      </w:r>
      <w:r w:rsidRPr="00717F31">
        <w:rPr>
          <w:kern w:val="22"/>
          <w:szCs w:val="22"/>
        </w:rPr>
        <w:t xml:space="preserve">recent </w:t>
      </w:r>
      <w:r w:rsidR="003A5A20" w:rsidRPr="00717F31">
        <w:rPr>
          <w:kern w:val="22"/>
          <w:szCs w:val="22"/>
        </w:rPr>
        <w:t xml:space="preserve">steps taken </w:t>
      </w:r>
      <w:r w:rsidR="00087256" w:rsidRPr="00717F31">
        <w:rPr>
          <w:kern w:val="22"/>
          <w:szCs w:val="22"/>
        </w:rPr>
        <w:t xml:space="preserve">towards </w:t>
      </w:r>
      <w:r w:rsidR="003A5A20" w:rsidRPr="00717F31">
        <w:rPr>
          <w:kern w:val="22"/>
          <w:szCs w:val="22"/>
        </w:rPr>
        <w:t>improving the efficiency of structures and processes</w:t>
      </w:r>
      <w:r w:rsidR="005B7F71" w:rsidRPr="00717F31">
        <w:rPr>
          <w:kern w:val="22"/>
          <w:szCs w:val="22"/>
        </w:rPr>
        <w:t xml:space="preserve">. </w:t>
      </w:r>
      <w:r w:rsidR="00A050C2" w:rsidRPr="00717F31">
        <w:rPr>
          <w:kern w:val="22"/>
          <w:szCs w:val="22"/>
        </w:rPr>
        <w:t>S</w:t>
      </w:r>
      <w:r w:rsidR="003A5A20" w:rsidRPr="00717F31">
        <w:rPr>
          <w:kern w:val="22"/>
          <w:szCs w:val="22"/>
        </w:rPr>
        <w:t>ection II</w:t>
      </w:r>
      <w:r w:rsidRPr="00717F31">
        <w:rPr>
          <w:kern w:val="22"/>
          <w:szCs w:val="22"/>
        </w:rPr>
        <w:t xml:space="preserve"> and the addendum </w:t>
      </w:r>
      <w:r w:rsidR="00354341" w:rsidRPr="00717F31">
        <w:rPr>
          <w:kern w:val="22"/>
          <w:szCs w:val="22"/>
        </w:rPr>
        <w:t>(</w:t>
      </w:r>
      <w:r w:rsidRPr="00717F31">
        <w:rPr>
          <w:kern w:val="22"/>
          <w:szCs w:val="22"/>
        </w:rPr>
        <w:t>CBD/SBI/2/16/</w:t>
      </w:r>
      <w:r w:rsidR="00F016A7" w:rsidRPr="00717F31">
        <w:rPr>
          <w:kern w:val="22"/>
          <w:szCs w:val="22"/>
        </w:rPr>
        <w:t>A</w:t>
      </w:r>
      <w:r w:rsidRPr="00717F31">
        <w:rPr>
          <w:kern w:val="22"/>
          <w:szCs w:val="22"/>
        </w:rPr>
        <w:t>dd.1</w:t>
      </w:r>
      <w:r w:rsidR="00F016A7" w:rsidRPr="00717F31">
        <w:rPr>
          <w:kern w:val="22"/>
          <w:szCs w:val="22"/>
        </w:rPr>
        <w:t>)</w:t>
      </w:r>
      <w:r w:rsidRPr="00717F31">
        <w:rPr>
          <w:kern w:val="22"/>
          <w:szCs w:val="22"/>
        </w:rPr>
        <w:t xml:space="preserve"> review the experience of holding concurrent meetings of the Conference of the Parties and meetings of the Protocols. Section III </w:t>
      </w:r>
      <w:r w:rsidR="003A5A20" w:rsidRPr="00717F31">
        <w:rPr>
          <w:kern w:val="22"/>
          <w:szCs w:val="22"/>
        </w:rPr>
        <w:t xml:space="preserve">highlights some </w:t>
      </w:r>
      <w:r w:rsidR="00C37EB6" w:rsidRPr="00717F31">
        <w:rPr>
          <w:kern w:val="22"/>
          <w:szCs w:val="22"/>
        </w:rPr>
        <w:t>points</w:t>
      </w:r>
      <w:r w:rsidR="00E11546" w:rsidRPr="00717F31">
        <w:rPr>
          <w:kern w:val="22"/>
          <w:szCs w:val="22"/>
        </w:rPr>
        <w:t xml:space="preserve"> </w:t>
      </w:r>
      <w:r w:rsidR="00A050C2" w:rsidRPr="00717F31">
        <w:rPr>
          <w:kern w:val="22"/>
          <w:szCs w:val="22"/>
        </w:rPr>
        <w:t xml:space="preserve">with regard to the issue </w:t>
      </w:r>
      <w:r w:rsidR="00E11546" w:rsidRPr="00717F31">
        <w:rPr>
          <w:kern w:val="22"/>
          <w:szCs w:val="22"/>
        </w:rPr>
        <w:t xml:space="preserve">of </w:t>
      </w:r>
      <w:r w:rsidRPr="00717F31">
        <w:rPr>
          <w:kern w:val="22"/>
          <w:szCs w:val="22"/>
        </w:rPr>
        <w:t xml:space="preserve">avoiding and managing </w:t>
      </w:r>
      <w:r w:rsidR="008E0DAA" w:rsidRPr="00717F31">
        <w:rPr>
          <w:kern w:val="22"/>
          <w:szCs w:val="22"/>
        </w:rPr>
        <w:t>conflict</w:t>
      </w:r>
      <w:r w:rsidRPr="00717F31">
        <w:rPr>
          <w:kern w:val="22"/>
          <w:szCs w:val="22"/>
        </w:rPr>
        <w:t>s</w:t>
      </w:r>
      <w:r w:rsidR="008E0DAA" w:rsidRPr="00717F31">
        <w:rPr>
          <w:kern w:val="22"/>
          <w:szCs w:val="22"/>
        </w:rPr>
        <w:t xml:space="preserve"> of interes</w:t>
      </w:r>
      <w:r w:rsidRPr="00717F31">
        <w:rPr>
          <w:kern w:val="22"/>
          <w:szCs w:val="22"/>
        </w:rPr>
        <w:t>t</w:t>
      </w:r>
      <w:r w:rsidR="00A050C2" w:rsidRPr="00717F31">
        <w:rPr>
          <w:kern w:val="22"/>
          <w:szCs w:val="22"/>
        </w:rPr>
        <w:t>, a</w:t>
      </w:r>
      <w:r w:rsidRPr="00717F31">
        <w:rPr>
          <w:kern w:val="22"/>
          <w:szCs w:val="22"/>
        </w:rPr>
        <w:t xml:space="preserve">n issue </w:t>
      </w:r>
      <w:r w:rsidR="00A050C2" w:rsidRPr="00717F31">
        <w:rPr>
          <w:kern w:val="22"/>
          <w:szCs w:val="22"/>
        </w:rPr>
        <w:t xml:space="preserve">that has become important in the past few years in the context of improving the effectiveness of </w:t>
      </w:r>
      <w:r w:rsidR="00E11546" w:rsidRPr="00717F31">
        <w:rPr>
          <w:kern w:val="22"/>
          <w:szCs w:val="22"/>
        </w:rPr>
        <w:t xml:space="preserve">the work of </w:t>
      </w:r>
      <w:r w:rsidRPr="00717F31">
        <w:rPr>
          <w:kern w:val="22"/>
          <w:szCs w:val="22"/>
        </w:rPr>
        <w:t xml:space="preserve">technical </w:t>
      </w:r>
      <w:r w:rsidR="00A050C2" w:rsidRPr="00717F31">
        <w:rPr>
          <w:kern w:val="22"/>
          <w:szCs w:val="22"/>
        </w:rPr>
        <w:t xml:space="preserve">expert groups. </w:t>
      </w:r>
      <w:r w:rsidR="00E11546" w:rsidRPr="00717F31">
        <w:rPr>
          <w:kern w:val="22"/>
          <w:szCs w:val="22"/>
        </w:rPr>
        <w:t xml:space="preserve">Finally, the document presents, in </w:t>
      </w:r>
      <w:r w:rsidR="00354341" w:rsidRPr="00717F31">
        <w:rPr>
          <w:kern w:val="22"/>
          <w:szCs w:val="22"/>
        </w:rPr>
        <w:t>s</w:t>
      </w:r>
      <w:r w:rsidR="00E11546" w:rsidRPr="00717F31">
        <w:rPr>
          <w:kern w:val="22"/>
          <w:szCs w:val="22"/>
        </w:rPr>
        <w:t>ection I</w:t>
      </w:r>
      <w:r w:rsidRPr="00717F31">
        <w:rPr>
          <w:kern w:val="22"/>
          <w:szCs w:val="22"/>
        </w:rPr>
        <w:t>V</w:t>
      </w:r>
      <w:r w:rsidR="00E11546" w:rsidRPr="00717F31">
        <w:rPr>
          <w:kern w:val="22"/>
          <w:szCs w:val="22"/>
        </w:rPr>
        <w:t>, some elements of recommendation for consideration by the Subsidiary Body on Implementation at its second meeting.</w:t>
      </w:r>
    </w:p>
    <w:p w:rsidR="00AC7923" w:rsidRPr="00717F31" w:rsidRDefault="00C37EB6" w:rsidP="00451CAB">
      <w:pPr>
        <w:pStyle w:val="Heading2"/>
        <w:tabs>
          <w:tab w:val="clear" w:pos="720"/>
          <w:tab w:val="left" w:pos="1560"/>
        </w:tabs>
        <w:ind w:left="1560" w:hanging="993"/>
        <w:jc w:val="left"/>
        <w:rPr>
          <w:kern w:val="22"/>
          <w:szCs w:val="22"/>
        </w:rPr>
      </w:pPr>
      <w:r w:rsidRPr="00717F31">
        <w:rPr>
          <w:kern w:val="22"/>
          <w:szCs w:val="22"/>
        </w:rPr>
        <w:t>I.</w:t>
      </w:r>
      <w:r w:rsidRPr="00717F31">
        <w:rPr>
          <w:kern w:val="22"/>
          <w:szCs w:val="22"/>
        </w:rPr>
        <w:tab/>
      </w:r>
      <w:r w:rsidR="00CE7120" w:rsidRPr="00717F31">
        <w:rPr>
          <w:kern w:val="22"/>
          <w:szCs w:val="22"/>
        </w:rPr>
        <w:t xml:space="preserve">REVIEW OF PREVIOUS REVIEWS AND SUMMARY OF </w:t>
      </w:r>
      <w:r w:rsidRPr="00717F31">
        <w:rPr>
          <w:kern w:val="22"/>
          <w:szCs w:val="22"/>
        </w:rPr>
        <w:t xml:space="preserve">MEASURES </w:t>
      </w:r>
      <w:r w:rsidR="008465BB" w:rsidRPr="00717F31">
        <w:rPr>
          <w:kern w:val="22"/>
          <w:szCs w:val="22"/>
        </w:rPr>
        <w:t>RECENT</w:t>
      </w:r>
      <w:r w:rsidR="008E0DAA" w:rsidRPr="00717F31">
        <w:rPr>
          <w:kern w:val="22"/>
          <w:szCs w:val="22"/>
        </w:rPr>
        <w:t>LY TAKEN</w:t>
      </w:r>
      <w:r w:rsidRPr="00717F31">
        <w:rPr>
          <w:kern w:val="22"/>
          <w:szCs w:val="22"/>
        </w:rPr>
        <w:t xml:space="preserve"> TOWARDS IMPROVING THE EFFICIENCY AND EFFECTIVENESS OF PROCESSES AND STRUCTURES</w:t>
      </w:r>
    </w:p>
    <w:p w:rsidR="009B6E33" w:rsidRPr="00717F31" w:rsidRDefault="00810BAB"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As noted above, the </w:t>
      </w:r>
      <w:r w:rsidR="00354341" w:rsidRPr="00717F31">
        <w:rPr>
          <w:kern w:val="22"/>
          <w:szCs w:val="22"/>
        </w:rPr>
        <w:t>Working Group on Review of Implementation</w:t>
      </w:r>
      <w:r w:rsidR="00695982" w:rsidRPr="00717F31">
        <w:rPr>
          <w:kern w:val="22"/>
          <w:szCs w:val="22"/>
        </w:rPr>
        <w:t xml:space="preserve"> at its first meeting</w:t>
      </w:r>
      <w:r w:rsidRPr="00717F31">
        <w:rPr>
          <w:kern w:val="22"/>
          <w:szCs w:val="22"/>
        </w:rPr>
        <w:t>, in 2005, undertook a comprehensive review of processes under the Convention. The documentation prepared for that review</w:t>
      </w:r>
      <w:r w:rsidR="00AB4206" w:rsidRPr="00717F31">
        <w:rPr>
          <w:rStyle w:val="FootnoteReference"/>
          <w:kern w:val="22"/>
          <w:sz w:val="22"/>
          <w:szCs w:val="22"/>
        </w:rPr>
        <w:footnoteReference w:id="4"/>
      </w:r>
      <w:r w:rsidRPr="00717F31">
        <w:rPr>
          <w:kern w:val="22"/>
          <w:szCs w:val="22"/>
        </w:rPr>
        <w:t xml:space="preserve"> was based on the findings of previous reviews by the </w:t>
      </w:r>
      <w:r w:rsidR="00354341" w:rsidRPr="00717F31">
        <w:rPr>
          <w:kern w:val="22"/>
          <w:szCs w:val="22"/>
        </w:rPr>
        <w:t>Conference of the Parties</w:t>
      </w:r>
      <w:r w:rsidRPr="00717F31">
        <w:rPr>
          <w:kern w:val="22"/>
          <w:szCs w:val="22"/>
        </w:rPr>
        <w:t>, external reviews, and submissions from Parties. It included an analysis of the impacts and effectiveness of Convention processes based on two key questions: (</w:t>
      </w:r>
      <w:r w:rsidR="00354341" w:rsidRPr="00717F31">
        <w:rPr>
          <w:kern w:val="22"/>
          <w:szCs w:val="22"/>
        </w:rPr>
        <w:t>a</w:t>
      </w:r>
      <w:r w:rsidRPr="00717F31">
        <w:rPr>
          <w:kern w:val="22"/>
          <w:szCs w:val="22"/>
        </w:rPr>
        <w:t>) Do the outcomes of the processes demonstrate that these are fulfilling their mandates? and (</w:t>
      </w:r>
      <w:r w:rsidR="00354341" w:rsidRPr="00717F31">
        <w:rPr>
          <w:kern w:val="22"/>
          <w:szCs w:val="22"/>
        </w:rPr>
        <w:t>b</w:t>
      </w:r>
      <w:r w:rsidRPr="00717F31">
        <w:rPr>
          <w:kern w:val="22"/>
          <w:szCs w:val="22"/>
        </w:rPr>
        <w:t>) Are the processes contributing to the implementation of the Convention? The analysis concluded that, for the most part, Convention bodies were fulfilling their mandates. It noted, however, that the Conference of the Parties could keep under review the i</w:t>
      </w:r>
      <w:r w:rsidR="00AB4206" w:rsidRPr="00717F31">
        <w:rPr>
          <w:kern w:val="22"/>
          <w:szCs w:val="22"/>
        </w:rPr>
        <w:t>mplementation of the Convention</w:t>
      </w:r>
      <w:r w:rsidRPr="00717F31">
        <w:rPr>
          <w:kern w:val="22"/>
          <w:szCs w:val="22"/>
        </w:rPr>
        <w:t xml:space="preserve"> in a more systematic and effective manner, while </w:t>
      </w:r>
      <w:r w:rsidR="00354341" w:rsidRPr="00717F31">
        <w:rPr>
          <w:kern w:val="22"/>
          <w:szCs w:val="22"/>
        </w:rPr>
        <w:t xml:space="preserve">the Subsidiary Body on Scientific, Technical and Technological Advice </w:t>
      </w:r>
      <w:r w:rsidRPr="00717F31">
        <w:rPr>
          <w:kern w:val="22"/>
          <w:szCs w:val="22"/>
        </w:rPr>
        <w:t>could strengthen the quality of its advice and give more attention to fulfilling its specific functions</w:t>
      </w:r>
      <w:r w:rsidR="00695982" w:rsidRPr="00717F31">
        <w:rPr>
          <w:kern w:val="22"/>
          <w:szCs w:val="22"/>
        </w:rPr>
        <w:t>.</w:t>
      </w:r>
      <w:r w:rsidR="00AB4206" w:rsidRPr="00717F31">
        <w:rPr>
          <w:kern w:val="22"/>
          <w:szCs w:val="22"/>
        </w:rPr>
        <w:t xml:space="preserve"> The analysis also concluded</w:t>
      </w:r>
      <w:r w:rsidRPr="00717F31">
        <w:rPr>
          <w:kern w:val="22"/>
          <w:szCs w:val="22"/>
        </w:rPr>
        <w:t xml:space="preserve"> that all processes could more effectively contribute to the implementation of the Convention</w:t>
      </w:r>
      <w:r w:rsidR="009B6E33" w:rsidRPr="00717F31">
        <w:rPr>
          <w:kern w:val="22"/>
          <w:szCs w:val="22"/>
        </w:rPr>
        <w:t>.</w:t>
      </w:r>
    </w:p>
    <w:p w:rsidR="009B6E33" w:rsidRPr="00717F31" w:rsidRDefault="009B6E33" w:rsidP="00717F31">
      <w:pPr>
        <w:pStyle w:val="ListParagraph"/>
        <w:numPr>
          <w:ilvl w:val="0"/>
          <w:numId w:val="37"/>
        </w:numPr>
        <w:spacing w:before="120" w:after="120"/>
        <w:ind w:left="0" w:firstLine="0"/>
        <w:contextualSpacing w:val="0"/>
        <w:rPr>
          <w:kern w:val="22"/>
          <w:szCs w:val="22"/>
        </w:rPr>
      </w:pPr>
      <w:r w:rsidRPr="00717F31">
        <w:rPr>
          <w:iCs/>
          <w:kern w:val="22"/>
          <w:szCs w:val="22"/>
        </w:rPr>
        <w:t xml:space="preserve">In </w:t>
      </w:r>
      <w:r w:rsidR="00695982" w:rsidRPr="00717F31">
        <w:rPr>
          <w:iCs/>
          <w:kern w:val="22"/>
          <w:szCs w:val="22"/>
        </w:rPr>
        <w:t xml:space="preserve">the </w:t>
      </w:r>
      <w:r w:rsidRPr="00717F31">
        <w:rPr>
          <w:iCs/>
          <w:kern w:val="22"/>
          <w:szCs w:val="22"/>
        </w:rPr>
        <w:t xml:space="preserve">light of this review, the Conference of the Parties, in </w:t>
      </w:r>
      <w:r w:rsidRPr="00717F31">
        <w:rPr>
          <w:kern w:val="22"/>
          <w:szCs w:val="22"/>
        </w:rPr>
        <w:t>decision VIII/10 on operations of the Convention, inter alia:</w:t>
      </w:r>
    </w:p>
    <w:p w:rsidR="009B6E33" w:rsidRPr="00717F31" w:rsidRDefault="009B6E33" w:rsidP="00717F31">
      <w:pPr>
        <w:pStyle w:val="ListParagraph"/>
        <w:numPr>
          <w:ilvl w:val="0"/>
          <w:numId w:val="39"/>
        </w:numPr>
        <w:spacing w:before="120" w:after="120"/>
        <w:ind w:left="0" w:firstLine="709"/>
        <w:contextualSpacing w:val="0"/>
        <w:rPr>
          <w:kern w:val="22"/>
          <w:szCs w:val="22"/>
        </w:rPr>
      </w:pPr>
      <w:r w:rsidRPr="00717F31">
        <w:rPr>
          <w:iCs/>
          <w:kern w:val="22"/>
          <w:szCs w:val="22"/>
        </w:rPr>
        <w:t>Adopted</w:t>
      </w:r>
      <w:r w:rsidR="00CD158B" w:rsidRPr="00717F31">
        <w:rPr>
          <w:kern w:val="22"/>
          <w:szCs w:val="22"/>
        </w:rPr>
        <w:t xml:space="preserve"> </w:t>
      </w:r>
      <w:r w:rsidRPr="00717F31">
        <w:rPr>
          <w:kern w:val="22"/>
          <w:szCs w:val="22"/>
        </w:rPr>
        <w:t>a refined multi-year programme of work of the Conference of the Parties up to 2010 (focusing on strategic issues for evaluating progres</w:t>
      </w:r>
      <w:r w:rsidR="002B4C73" w:rsidRPr="00717F31">
        <w:rPr>
          <w:kern w:val="22"/>
          <w:szCs w:val="22"/>
        </w:rPr>
        <w:t>s or supporting implementation);</w:t>
      </w:r>
    </w:p>
    <w:p w:rsidR="009B6E33" w:rsidRPr="00717F31" w:rsidRDefault="009B6E33" w:rsidP="00717F31">
      <w:pPr>
        <w:pStyle w:val="ListParagraph"/>
        <w:numPr>
          <w:ilvl w:val="0"/>
          <w:numId w:val="39"/>
        </w:numPr>
        <w:spacing w:before="120" w:after="120"/>
        <w:ind w:left="0" w:firstLine="709"/>
        <w:contextualSpacing w:val="0"/>
        <w:rPr>
          <w:kern w:val="22"/>
          <w:szCs w:val="22"/>
        </w:rPr>
      </w:pPr>
      <w:r w:rsidRPr="00717F31">
        <w:rPr>
          <w:kern w:val="22"/>
          <w:szCs w:val="22"/>
        </w:rPr>
        <w:t>Considered the periodicity of its ordinary meetings, deciding to maintain them at every two years until 2010 (</w:t>
      </w:r>
      <w:r w:rsidR="00E91E67" w:rsidRPr="00717F31">
        <w:rPr>
          <w:kern w:val="22"/>
          <w:szCs w:val="22"/>
        </w:rPr>
        <w:t>t</w:t>
      </w:r>
      <w:r w:rsidRPr="00717F31">
        <w:rPr>
          <w:kern w:val="22"/>
          <w:szCs w:val="22"/>
        </w:rPr>
        <w:t>his was further consider</w:t>
      </w:r>
      <w:r w:rsidR="00354341" w:rsidRPr="00717F31">
        <w:rPr>
          <w:kern w:val="22"/>
          <w:szCs w:val="22"/>
        </w:rPr>
        <w:t>ed</w:t>
      </w:r>
      <w:r w:rsidRPr="00717F31">
        <w:rPr>
          <w:kern w:val="22"/>
          <w:szCs w:val="22"/>
        </w:rPr>
        <w:t xml:space="preserve"> at </w:t>
      </w:r>
      <w:r w:rsidR="00354341" w:rsidRPr="00717F31">
        <w:rPr>
          <w:kern w:val="22"/>
          <w:szCs w:val="22"/>
        </w:rPr>
        <w:t>the ninth and tenth meetings of the Conference of the Parties</w:t>
      </w:r>
      <w:r w:rsidR="00E91E67" w:rsidRPr="00717F31">
        <w:rPr>
          <w:kern w:val="22"/>
          <w:szCs w:val="22"/>
        </w:rPr>
        <w:t>,</w:t>
      </w:r>
      <w:r w:rsidR="00354341" w:rsidRPr="00717F31">
        <w:rPr>
          <w:kern w:val="22"/>
          <w:szCs w:val="22"/>
        </w:rPr>
        <w:t xml:space="preserve"> </w:t>
      </w:r>
      <w:r w:rsidRPr="00717F31">
        <w:rPr>
          <w:kern w:val="22"/>
          <w:szCs w:val="22"/>
        </w:rPr>
        <w:t>which</w:t>
      </w:r>
      <w:r w:rsidR="00E91E67" w:rsidRPr="00717F31">
        <w:rPr>
          <w:kern w:val="22"/>
          <w:szCs w:val="22"/>
        </w:rPr>
        <w:t>,</w:t>
      </w:r>
      <w:r w:rsidRPr="00717F31">
        <w:rPr>
          <w:kern w:val="22"/>
          <w:szCs w:val="22"/>
        </w:rPr>
        <w:t xml:space="preserve"> in decision XI/10, decided again to maintain the same periodicity)</w:t>
      </w:r>
      <w:r w:rsidR="002B4C73" w:rsidRPr="00717F31">
        <w:rPr>
          <w:kern w:val="22"/>
          <w:szCs w:val="22"/>
        </w:rPr>
        <w:t>;</w:t>
      </w:r>
    </w:p>
    <w:p w:rsidR="009B6E33" w:rsidRPr="00717F31" w:rsidRDefault="009B6E33" w:rsidP="00717F31">
      <w:pPr>
        <w:pStyle w:val="ListParagraph"/>
        <w:numPr>
          <w:ilvl w:val="0"/>
          <w:numId w:val="39"/>
        </w:numPr>
        <w:spacing w:before="120" w:after="120"/>
        <w:ind w:left="0" w:firstLine="709"/>
        <w:contextualSpacing w:val="0"/>
        <w:rPr>
          <w:kern w:val="22"/>
          <w:szCs w:val="22"/>
        </w:rPr>
      </w:pPr>
      <w:r w:rsidRPr="00717F31">
        <w:rPr>
          <w:kern w:val="22"/>
          <w:szCs w:val="22"/>
        </w:rPr>
        <w:t xml:space="preserve">Considered the format of the ministerial segment, calling for cooperation between the host country, </w:t>
      </w:r>
      <w:r w:rsidR="00AD3B47" w:rsidRPr="00717F31">
        <w:rPr>
          <w:kern w:val="22"/>
          <w:szCs w:val="22"/>
        </w:rPr>
        <w:t xml:space="preserve">the </w:t>
      </w:r>
      <w:r w:rsidRPr="00717F31">
        <w:rPr>
          <w:kern w:val="22"/>
          <w:szCs w:val="22"/>
        </w:rPr>
        <w:t xml:space="preserve">Secretariat and </w:t>
      </w:r>
      <w:r w:rsidR="00AD3B47" w:rsidRPr="00717F31">
        <w:rPr>
          <w:kern w:val="22"/>
          <w:szCs w:val="22"/>
        </w:rPr>
        <w:t xml:space="preserve">the </w:t>
      </w:r>
      <w:r w:rsidRPr="00717F31">
        <w:rPr>
          <w:kern w:val="22"/>
          <w:szCs w:val="22"/>
        </w:rPr>
        <w:t xml:space="preserve">Bureau to enhance its contribution to the Conference of the Parties and generate support for, and </w:t>
      </w:r>
      <w:r w:rsidR="002B4C73" w:rsidRPr="00717F31">
        <w:rPr>
          <w:kern w:val="22"/>
          <w:szCs w:val="22"/>
        </w:rPr>
        <w:t>awareness of, biodiversity</w:t>
      </w:r>
      <w:r w:rsidRPr="00717F31">
        <w:rPr>
          <w:kern w:val="22"/>
          <w:szCs w:val="22"/>
        </w:rPr>
        <w:t xml:space="preserve"> and the implementation of the Convention</w:t>
      </w:r>
      <w:r w:rsidR="002B4C73" w:rsidRPr="00717F31">
        <w:rPr>
          <w:kern w:val="22"/>
          <w:szCs w:val="22"/>
        </w:rPr>
        <w:t>;</w:t>
      </w:r>
    </w:p>
    <w:p w:rsidR="009B6E33" w:rsidRPr="00717F31" w:rsidRDefault="009B6E33" w:rsidP="00717F31">
      <w:pPr>
        <w:pStyle w:val="ListParagraph"/>
        <w:numPr>
          <w:ilvl w:val="0"/>
          <w:numId w:val="39"/>
        </w:numPr>
        <w:spacing w:before="120" w:after="120"/>
        <w:ind w:left="0" w:firstLine="709"/>
        <w:contextualSpacing w:val="0"/>
        <w:rPr>
          <w:kern w:val="22"/>
          <w:szCs w:val="22"/>
        </w:rPr>
      </w:pPr>
      <w:r w:rsidRPr="00717F31">
        <w:rPr>
          <w:kern w:val="22"/>
          <w:szCs w:val="22"/>
        </w:rPr>
        <w:lastRenderedPageBreak/>
        <w:t>Considered ways to improve the preparation of decisions</w:t>
      </w:r>
      <w:r w:rsidR="002B4C73" w:rsidRPr="00717F31">
        <w:rPr>
          <w:kern w:val="22"/>
          <w:szCs w:val="22"/>
        </w:rPr>
        <w:t xml:space="preserve"> </w:t>
      </w:r>
      <w:r w:rsidRPr="00717F31">
        <w:rPr>
          <w:kern w:val="22"/>
          <w:szCs w:val="22"/>
        </w:rPr>
        <w:t xml:space="preserve">with a view to keeping the number of new decisions manageable, minimizing overlap and conducting a gap analysis before developing new tools and guidance under the </w:t>
      </w:r>
      <w:r w:rsidR="003C462D" w:rsidRPr="00717F31">
        <w:rPr>
          <w:kern w:val="22"/>
          <w:szCs w:val="22"/>
        </w:rPr>
        <w:t>C</w:t>
      </w:r>
      <w:r w:rsidRPr="00717F31">
        <w:rPr>
          <w:kern w:val="22"/>
          <w:szCs w:val="22"/>
        </w:rPr>
        <w:t xml:space="preserve">onvention. The </w:t>
      </w:r>
      <w:r w:rsidR="008974C6" w:rsidRPr="00717F31">
        <w:rPr>
          <w:kern w:val="22"/>
          <w:szCs w:val="22"/>
        </w:rPr>
        <w:t xml:space="preserve">Conference of the Parties </w:t>
      </w:r>
      <w:r w:rsidR="002B4C73" w:rsidRPr="00717F31">
        <w:rPr>
          <w:kern w:val="22"/>
          <w:szCs w:val="22"/>
        </w:rPr>
        <w:t xml:space="preserve">also </w:t>
      </w:r>
      <w:r w:rsidRPr="00717F31">
        <w:rPr>
          <w:kern w:val="22"/>
          <w:szCs w:val="22"/>
        </w:rPr>
        <w:t xml:space="preserve">requested the development of guidance for the future review and retirement of </w:t>
      </w:r>
      <w:r w:rsidR="003457D5" w:rsidRPr="00717F31">
        <w:rPr>
          <w:kern w:val="22"/>
          <w:szCs w:val="22"/>
        </w:rPr>
        <w:t xml:space="preserve">its </w:t>
      </w:r>
      <w:r w:rsidRPr="00717F31">
        <w:rPr>
          <w:kern w:val="22"/>
          <w:szCs w:val="22"/>
        </w:rPr>
        <w:t>decisions</w:t>
      </w:r>
      <w:r w:rsidR="004A47BF" w:rsidRPr="00717F31">
        <w:rPr>
          <w:kern w:val="22"/>
          <w:szCs w:val="22"/>
        </w:rPr>
        <w:t xml:space="preserve"> but</w:t>
      </w:r>
      <w:r w:rsidR="002B4C73" w:rsidRPr="00717F31">
        <w:rPr>
          <w:kern w:val="22"/>
          <w:szCs w:val="22"/>
        </w:rPr>
        <w:t xml:space="preserve"> </w:t>
      </w:r>
      <w:r w:rsidRPr="00717F31">
        <w:rPr>
          <w:iCs/>
          <w:kern w:val="22"/>
          <w:szCs w:val="22"/>
        </w:rPr>
        <w:t>decided</w:t>
      </w:r>
      <w:r w:rsidR="00E57516" w:rsidRPr="00717F31">
        <w:rPr>
          <w:iCs/>
          <w:kern w:val="22"/>
          <w:szCs w:val="22"/>
        </w:rPr>
        <w:t xml:space="preserve"> </w:t>
      </w:r>
      <w:r w:rsidRPr="00717F31">
        <w:rPr>
          <w:kern w:val="22"/>
          <w:szCs w:val="22"/>
        </w:rPr>
        <w:t xml:space="preserve">to discontinue </w:t>
      </w:r>
      <w:r w:rsidR="004A47BF" w:rsidRPr="00717F31">
        <w:rPr>
          <w:kern w:val="22"/>
          <w:szCs w:val="22"/>
        </w:rPr>
        <w:t>the</w:t>
      </w:r>
      <w:r w:rsidRPr="00717F31">
        <w:rPr>
          <w:kern w:val="22"/>
          <w:szCs w:val="22"/>
        </w:rPr>
        <w:t xml:space="preserve"> process</w:t>
      </w:r>
      <w:r w:rsidR="004A47BF" w:rsidRPr="00717F31">
        <w:rPr>
          <w:kern w:val="22"/>
          <w:szCs w:val="22"/>
        </w:rPr>
        <w:t xml:space="preserve"> of consolidation of decisions</w:t>
      </w:r>
      <w:r w:rsidR="002B4C73" w:rsidRPr="00717F31">
        <w:rPr>
          <w:kern w:val="22"/>
          <w:szCs w:val="22"/>
        </w:rPr>
        <w:t>.</w:t>
      </w:r>
      <w:r w:rsidRPr="00717F31">
        <w:rPr>
          <w:kern w:val="22"/>
          <w:szCs w:val="22"/>
        </w:rPr>
        <w:t xml:space="preserve"> </w:t>
      </w:r>
      <w:r w:rsidR="002B4C73" w:rsidRPr="00717F31">
        <w:rPr>
          <w:kern w:val="22"/>
          <w:szCs w:val="22"/>
        </w:rPr>
        <w:t>S</w:t>
      </w:r>
      <w:r w:rsidRPr="00717F31">
        <w:rPr>
          <w:kern w:val="22"/>
          <w:szCs w:val="22"/>
        </w:rPr>
        <w:t>ubsequently</w:t>
      </w:r>
      <w:r w:rsidR="003C462D" w:rsidRPr="00717F31">
        <w:rPr>
          <w:kern w:val="22"/>
          <w:szCs w:val="22"/>
        </w:rPr>
        <w:t>,</w:t>
      </w:r>
      <w:r w:rsidRPr="00717F31">
        <w:rPr>
          <w:kern w:val="22"/>
          <w:szCs w:val="22"/>
        </w:rPr>
        <w:t xml:space="preserve"> the process of retirement was also </w:t>
      </w:r>
      <w:r w:rsidR="004A47BF" w:rsidRPr="00717F31">
        <w:rPr>
          <w:kern w:val="22"/>
          <w:szCs w:val="22"/>
        </w:rPr>
        <w:t>discontinued</w:t>
      </w:r>
      <w:r w:rsidRPr="00717F31">
        <w:rPr>
          <w:kern w:val="22"/>
          <w:szCs w:val="22"/>
        </w:rPr>
        <w:t xml:space="preserve"> </w:t>
      </w:r>
      <w:r w:rsidR="00CE295A" w:rsidRPr="00717F31">
        <w:rPr>
          <w:kern w:val="22"/>
          <w:szCs w:val="22"/>
        </w:rPr>
        <w:t>(</w:t>
      </w:r>
      <w:r w:rsidRPr="00717F31">
        <w:rPr>
          <w:kern w:val="22"/>
          <w:szCs w:val="22"/>
        </w:rPr>
        <w:t xml:space="preserve">see para </w:t>
      </w:r>
      <w:r w:rsidR="004A47BF" w:rsidRPr="00717F31">
        <w:rPr>
          <w:kern w:val="22"/>
          <w:szCs w:val="22"/>
        </w:rPr>
        <w:t>12</w:t>
      </w:r>
      <w:r w:rsidR="006D6A41" w:rsidRPr="00717F31">
        <w:rPr>
          <w:kern w:val="22"/>
          <w:szCs w:val="22"/>
        </w:rPr>
        <w:t>(</w:t>
      </w:r>
      <w:r w:rsidR="004A47BF" w:rsidRPr="00717F31">
        <w:rPr>
          <w:kern w:val="22"/>
          <w:szCs w:val="22"/>
        </w:rPr>
        <w:t>c</w:t>
      </w:r>
      <w:r w:rsidR="006D6A41" w:rsidRPr="00717F31">
        <w:rPr>
          <w:kern w:val="22"/>
          <w:szCs w:val="22"/>
        </w:rPr>
        <w:t>)</w:t>
      </w:r>
      <w:r w:rsidRPr="00717F31">
        <w:rPr>
          <w:kern w:val="22"/>
          <w:szCs w:val="22"/>
        </w:rPr>
        <w:t xml:space="preserve"> below)</w:t>
      </w:r>
      <w:r w:rsidR="003C462D" w:rsidRPr="00717F31">
        <w:rPr>
          <w:kern w:val="22"/>
          <w:szCs w:val="22"/>
        </w:rPr>
        <w:t>;</w:t>
      </w:r>
    </w:p>
    <w:p w:rsidR="009B6E33" w:rsidRPr="00717F31" w:rsidRDefault="009B6E33" w:rsidP="00717F31">
      <w:pPr>
        <w:pStyle w:val="ListParagraph"/>
        <w:numPr>
          <w:ilvl w:val="0"/>
          <w:numId w:val="39"/>
        </w:numPr>
        <w:spacing w:before="120" w:after="120"/>
        <w:ind w:left="0" w:firstLine="709"/>
        <w:contextualSpacing w:val="0"/>
        <w:rPr>
          <w:kern w:val="22"/>
          <w:szCs w:val="22"/>
        </w:rPr>
      </w:pPr>
      <w:r w:rsidRPr="00717F31">
        <w:rPr>
          <w:kern w:val="22"/>
          <w:szCs w:val="22"/>
        </w:rPr>
        <w:t>Requested the Executive Secretary, in preparing for meetings of the Conference of the Parties, to keep the number and length of documents to a minimum, and to circulate documents to Parties as early as possible, preferably no later than three months in advance of meetings;</w:t>
      </w:r>
    </w:p>
    <w:p w:rsidR="009B6E33" w:rsidRPr="00717F31" w:rsidRDefault="009B6E33" w:rsidP="00717F31">
      <w:pPr>
        <w:pStyle w:val="ListParagraph"/>
        <w:numPr>
          <w:ilvl w:val="0"/>
          <w:numId w:val="39"/>
        </w:numPr>
        <w:spacing w:before="120" w:after="120"/>
        <w:ind w:left="0" w:firstLine="709"/>
        <w:contextualSpacing w:val="0"/>
        <w:rPr>
          <w:kern w:val="22"/>
          <w:szCs w:val="22"/>
        </w:rPr>
      </w:pPr>
      <w:r w:rsidRPr="00717F31">
        <w:rPr>
          <w:kern w:val="22"/>
          <w:szCs w:val="22"/>
        </w:rPr>
        <w:t xml:space="preserve">Decided to develop procedures for admission of bodies and agencies (later adopted </w:t>
      </w:r>
      <w:r w:rsidR="00650C8B" w:rsidRPr="00717F31">
        <w:rPr>
          <w:kern w:val="22"/>
          <w:szCs w:val="22"/>
        </w:rPr>
        <w:t xml:space="preserve">in </w:t>
      </w:r>
      <w:r w:rsidRPr="00717F31">
        <w:rPr>
          <w:kern w:val="22"/>
          <w:szCs w:val="22"/>
        </w:rPr>
        <w:t>decision IX/29)</w:t>
      </w:r>
      <w:r w:rsidR="003C462D" w:rsidRPr="00717F31">
        <w:rPr>
          <w:kern w:val="22"/>
          <w:szCs w:val="22"/>
        </w:rPr>
        <w:t>;</w:t>
      </w:r>
    </w:p>
    <w:p w:rsidR="009B6E33" w:rsidRPr="00717F31" w:rsidRDefault="009B6E33" w:rsidP="00717F31">
      <w:pPr>
        <w:pStyle w:val="ListParagraph"/>
        <w:numPr>
          <w:ilvl w:val="0"/>
          <w:numId w:val="39"/>
        </w:numPr>
        <w:spacing w:before="120" w:after="120"/>
        <w:ind w:left="0" w:firstLine="709"/>
        <w:contextualSpacing w:val="0"/>
        <w:rPr>
          <w:kern w:val="22"/>
          <w:szCs w:val="22"/>
        </w:rPr>
      </w:pPr>
      <w:r w:rsidRPr="00717F31">
        <w:rPr>
          <w:iCs/>
          <w:kern w:val="22"/>
          <w:szCs w:val="22"/>
        </w:rPr>
        <w:t>Called upon</w:t>
      </w:r>
      <w:r w:rsidR="00E57516" w:rsidRPr="00717F31">
        <w:rPr>
          <w:iCs/>
          <w:kern w:val="22"/>
          <w:szCs w:val="22"/>
        </w:rPr>
        <w:t xml:space="preserve"> </w:t>
      </w:r>
      <w:r w:rsidRPr="00717F31">
        <w:rPr>
          <w:kern w:val="22"/>
          <w:szCs w:val="22"/>
        </w:rPr>
        <w:t xml:space="preserve">developed country Parties to provide financial resources to the voluntary trusts funds for Approved Activities and for </w:t>
      </w:r>
      <w:r w:rsidR="002B4C73" w:rsidRPr="00717F31">
        <w:rPr>
          <w:kern w:val="22"/>
          <w:szCs w:val="22"/>
        </w:rPr>
        <w:t>f</w:t>
      </w:r>
      <w:r w:rsidRPr="00717F31">
        <w:rPr>
          <w:kern w:val="22"/>
          <w:szCs w:val="22"/>
        </w:rPr>
        <w:t>acilitating Participation of Parties in the Convention Process and introduced a process of priority-setting for the allocation of financial resources by the Conference of the Parties</w:t>
      </w:r>
      <w:r w:rsidR="002B4C73" w:rsidRPr="00717F31">
        <w:rPr>
          <w:kern w:val="22"/>
          <w:szCs w:val="22"/>
        </w:rPr>
        <w:t xml:space="preserve"> (this request has been repeated at each meeting);</w:t>
      </w:r>
    </w:p>
    <w:p w:rsidR="009B6E33" w:rsidRPr="00717F31" w:rsidRDefault="009B6E33" w:rsidP="00717F31">
      <w:pPr>
        <w:pStyle w:val="ListParagraph"/>
        <w:numPr>
          <w:ilvl w:val="0"/>
          <w:numId w:val="39"/>
        </w:numPr>
        <w:spacing w:before="120" w:after="120"/>
        <w:ind w:left="0" w:firstLine="709"/>
        <w:contextualSpacing w:val="0"/>
        <w:rPr>
          <w:kern w:val="22"/>
          <w:szCs w:val="22"/>
        </w:rPr>
      </w:pPr>
      <w:r w:rsidRPr="00717F31">
        <w:rPr>
          <w:kern w:val="22"/>
          <w:szCs w:val="22"/>
        </w:rPr>
        <w:t>Called for regional and subregional meetings to support prep</w:t>
      </w:r>
      <w:r w:rsidR="002B4C73" w:rsidRPr="00717F31">
        <w:rPr>
          <w:kern w:val="22"/>
          <w:szCs w:val="22"/>
        </w:rPr>
        <w:t>a</w:t>
      </w:r>
      <w:r w:rsidRPr="00717F31">
        <w:rPr>
          <w:kern w:val="22"/>
          <w:szCs w:val="22"/>
        </w:rPr>
        <w:t>ration of the Conference of the Parties and implementation of the Convention;</w:t>
      </w:r>
    </w:p>
    <w:p w:rsidR="002B4C73" w:rsidRPr="00717F31" w:rsidRDefault="009B6E33" w:rsidP="00717F31">
      <w:pPr>
        <w:pStyle w:val="ListParagraph"/>
        <w:numPr>
          <w:ilvl w:val="0"/>
          <w:numId w:val="39"/>
        </w:numPr>
        <w:spacing w:before="120" w:after="120"/>
        <w:ind w:left="0" w:firstLine="709"/>
        <w:contextualSpacing w:val="0"/>
        <w:rPr>
          <w:kern w:val="22"/>
          <w:szCs w:val="22"/>
        </w:rPr>
      </w:pPr>
      <w:r w:rsidRPr="00717F31">
        <w:rPr>
          <w:kern w:val="22"/>
          <w:szCs w:val="22"/>
        </w:rPr>
        <w:t xml:space="preserve">Provided </w:t>
      </w:r>
      <w:r w:rsidR="00A5634D" w:rsidRPr="00717F31">
        <w:rPr>
          <w:kern w:val="22"/>
          <w:szCs w:val="22"/>
        </w:rPr>
        <w:t>g</w:t>
      </w:r>
      <w:r w:rsidRPr="00717F31">
        <w:rPr>
          <w:kern w:val="22"/>
          <w:szCs w:val="22"/>
        </w:rPr>
        <w:t xml:space="preserve">uidance on the responsibilities of National focal points and SBSTTA </w:t>
      </w:r>
      <w:r w:rsidR="002B4C73" w:rsidRPr="00717F31">
        <w:rPr>
          <w:kern w:val="22"/>
          <w:szCs w:val="22"/>
        </w:rPr>
        <w:t>focal points</w:t>
      </w:r>
      <w:r w:rsidR="00CD158B" w:rsidRPr="00717F31">
        <w:rPr>
          <w:kern w:val="22"/>
          <w:szCs w:val="22"/>
        </w:rPr>
        <w:t>.</w:t>
      </w:r>
    </w:p>
    <w:p w:rsidR="002B4C73" w:rsidRPr="00717F31" w:rsidRDefault="009B6E33" w:rsidP="00717F31">
      <w:pPr>
        <w:pStyle w:val="ListParagraph"/>
        <w:numPr>
          <w:ilvl w:val="0"/>
          <w:numId w:val="37"/>
        </w:numPr>
        <w:spacing w:before="120" w:after="120"/>
        <w:ind w:left="0" w:firstLine="0"/>
        <w:contextualSpacing w:val="0"/>
        <w:rPr>
          <w:bCs/>
          <w:iCs/>
          <w:kern w:val="22"/>
          <w:szCs w:val="22"/>
        </w:rPr>
      </w:pPr>
      <w:r w:rsidRPr="00717F31">
        <w:rPr>
          <w:iCs/>
          <w:kern w:val="22"/>
          <w:szCs w:val="22"/>
        </w:rPr>
        <w:t xml:space="preserve">The </w:t>
      </w:r>
      <w:r w:rsidR="003C462D" w:rsidRPr="00717F31">
        <w:rPr>
          <w:iCs/>
          <w:kern w:val="22"/>
          <w:szCs w:val="22"/>
        </w:rPr>
        <w:t xml:space="preserve">Conference of the Parties </w:t>
      </w:r>
      <w:r w:rsidRPr="00717F31">
        <w:rPr>
          <w:iCs/>
          <w:kern w:val="22"/>
          <w:szCs w:val="22"/>
        </w:rPr>
        <w:t>also endorsed</w:t>
      </w:r>
      <w:r w:rsidRPr="00717F31">
        <w:rPr>
          <w:kern w:val="22"/>
          <w:szCs w:val="22"/>
        </w:rPr>
        <w:t> the consolidated </w:t>
      </w:r>
      <w:r w:rsidRPr="00717F31">
        <w:rPr>
          <w:iCs/>
          <w:kern w:val="22"/>
          <w:szCs w:val="22"/>
        </w:rPr>
        <w:t>modus operandi</w:t>
      </w:r>
      <w:r w:rsidRPr="00717F31">
        <w:rPr>
          <w:kern w:val="22"/>
          <w:szCs w:val="22"/>
        </w:rPr>
        <w:t> of the Subsidiary Body on Scientific, Technical and Technological Advice</w:t>
      </w:r>
      <w:r w:rsidR="00445FD6" w:rsidRPr="00717F31">
        <w:rPr>
          <w:kern w:val="22"/>
          <w:szCs w:val="22"/>
        </w:rPr>
        <w:t>, inter alia</w:t>
      </w:r>
      <w:r w:rsidR="00445FD6" w:rsidRPr="00717F31">
        <w:rPr>
          <w:iCs/>
          <w:kern w:val="22"/>
          <w:szCs w:val="22"/>
        </w:rPr>
        <w:t>:</w:t>
      </w:r>
      <w:r w:rsidR="00445FD6" w:rsidRPr="00717F31">
        <w:rPr>
          <w:kern w:val="22"/>
          <w:szCs w:val="22"/>
        </w:rPr>
        <w:t xml:space="preserve"> </w:t>
      </w:r>
      <w:r w:rsidRPr="00717F31">
        <w:rPr>
          <w:kern w:val="22"/>
          <w:szCs w:val="22"/>
        </w:rPr>
        <w:t xml:space="preserve">identifying new and emerging issues as a function of the body in addition to those specified in Article 25; providing guidance on the </w:t>
      </w:r>
      <w:r w:rsidR="00445FD6" w:rsidRPr="00717F31">
        <w:rPr>
          <w:kern w:val="22"/>
          <w:szCs w:val="22"/>
        </w:rPr>
        <w:t>conduct of s</w:t>
      </w:r>
      <w:r w:rsidRPr="00717F31">
        <w:rPr>
          <w:kern w:val="22"/>
          <w:szCs w:val="22"/>
        </w:rPr>
        <w:t xml:space="preserve">cientific and technical assessments, and </w:t>
      </w:r>
      <w:r w:rsidR="00445FD6" w:rsidRPr="00717F31">
        <w:rPr>
          <w:kern w:val="22"/>
          <w:szCs w:val="22"/>
        </w:rPr>
        <w:t xml:space="preserve">on the procedures for </w:t>
      </w:r>
      <w:r w:rsidR="003C462D" w:rsidRPr="00717F31">
        <w:rPr>
          <w:kern w:val="22"/>
          <w:szCs w:val="22"/>
        </w:rPr>
        <w:t>a</w:t>
      </w:r>
      <w:r w:rsidRPr="00717F31">
        <w:rPr>
          <w:kern w:val="22"/>
          <w:szCs w:val="22"/>
        </w:rPr>
        <w:t xml:space="preserve">d hoc technical expert group meetings, as well as options for facilitating exchange of information and views on the items on the SBSTTA agenda. The modus operandi was further developed in decision IX/29. In decision XI/13, </w:t>
      </w:r>
      <w:r w:rsidR="00695982" w:rsidRPr="00717F31">
        <w:rPr>
          <w:kern w:val="22"/>
          <w:szCs w:val="22"/>
        </w:rPr>
        <w:t>t</w:t>
      </w:r>
      <w:r w:rsidR="003C462D" w:rsidRPr="00717F31">
        <w:rPr>
          <w:kern w:val="22"/>
          <w:szCs w:val="22"/>
        </w:rPr>
        <w:t xml:space="preserve">he </w:t>
      </w:r>
      <w:r w:rsidR="0002198B" w:rsidRPr="00717F31">
        <w:rPr>
          <w:kern w:val="22"/>
          <w:szCs w:val="22"/>
        </w:rPr>
        <w:t>Conference of the Parties</w:t>
      </w:r>
      <w:r w:rsidR="003C462D" w:rsidRPr="00717F31">
        <w:rPr>
          <w:kern w:val="22"/>
          <w:szCs w:val="22"/>
        </w:rPr>
        <w:t xml:space="preserve"> </w:t>
      </w:r>
      <w:r w:rsidRPr="00717F31">
        <w:rPr>
          <w:kern w:val="22"/>
          <w:szCs w:val="22"/>
        </w:rPr>
        <w:t>consider</w:t>
      </w:r>
      <w:r w:rsidR="00445FD6" w:rsidRPr="00717F31">
        <w:rPr>
          <w:kern w:val="22"/>
          <w:szCs w:val="22"/>
        </w:rPr>
        <w:t>e</w:t>
      </w:r>
      <w:r w:rsidRPr="00717F31">
        <w:rPr>
          <w:kern w:val="22"/>
          <w:szCs w:val="22"/>
        </w:rPr>
        <w:t xml:space="preserve">d further ways </w:t>
      </w:r>
      <w:r w:rsidRPr="00717F31">
        <w:rPr>
          <w:bCs/>
          <w:iCs/>
          <w:kern w:val="22"/>
          <w:szCs w:val="22"/>
        </w:rPr>
        <w:t xml:space="preserve">and means to improve the effectiveness of </w:t>
      </w:r>
      <w:r w:rsidR="00445FD6" w:rsidRPr="00717F31">
        <w:rPr>
          <w:bCs/>
          <w:iCs/>
          <w:kern w:val="22"/>
          <w:szCs w:val="22"/>
        </w:rPr>
        <w:t>SBSTTA</w:t>
      </w:r>
      <w:r w:rsidRPr="00717F31">
        <w:rPr>
          <w:bCs/>
          <w:iCs/>
          <w:kern w:val="22"/>
          <w:szCs w:val="22"/>
        </w:rPr>
        <w:t xml:space="preserve"> and collaboration with the Intergovernmental Science-Policy Platform on Biodiversity and Ecosystem Services in </w:t>
      </w:r>
      <w:r w:rsidR="00695982" w:rsidRPr="00717F31">
        <w:rPr>
          <w:bCs/>
          <w:iCs/>
          <w:kern w:val="22"/>
          <w:szCs w:val="22"/>
        </w:rPr>
        <w:t xml:space="preserve">the </w:t>
      </w:r>
      <w:r w:rsidRPr="00717F31">
        <w:rPr>
          <w:bCs/>
          <w:iCs/>
          <w:kern w:val="22"/>
          <w:szCs w:val="22"/>
        </w:rPr>
        <w:t>light of the establishment of that body</w:t>
      </w:r>
      <w:r w:rsidR="00445FD6" w:rsidRPr="00717F31">
        <w:rPr>
          <w:bCs/>
          <w:iCs/>
          <w:kern w:val="22"/>
          <w:szCs w:val="22"/>
        </w:rPr>
        <w:t>.</w:t>
      </w:r>
    </w:p>
    <w:p w:rsidR="00445FD6" w:rsidRPr="00717F31" w:rsidRDefault="002B4C73"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Major changes resulted from the adoption by </w:t>
      </w:r>
      <w:r w:rsidR="0002198B" w:rsidRPr="00717F31">
        <w:rPr>
          <w:kern w:val="22"/>
          <w:szCs w:val="22"/>
        </w:rPr>
        <w:t>the Conference of the Parties</w:t>
      </w:r>
      <w:r w:rsidRPr="00717F31">
        <w:rPr>
          <w:kern w:val="22"/>
          <w:szCs w:val="22"/>
        </w:rPr>
        <w:t xml:space="preserve"> of the Nagoya Protocol and </w:t>
      </w:r>
      <w:r w:rsidR="00445FD6" w:rsidRPr="00717F31">
        <w:rPr>
          <w:kern w:val="22"/>
          <w:szCs w:val="22"/>
        </w:rPr>
        <w:t>the Strategic Plan</w:t>
      </w:r>
      <w:r w:rsidRPr="00717F31">
        <w:rPr>
          <w:kern w:val="22"/>
          <w:szCs w:val="22"/>
        </w:rPr>
        <w:t xml:space="preserve"> for Biodiversity 2011-2020. </w:t>
      </w:r>
      <w:r w:rsidR="00F86240" w:rsidRPr="00717F31">
        <w:rPr>
          <w:kern w:val="22"/>
          <w:szCs w:val="22"/>
        </w:rPr>
        <w:t xml:space="preserve">The former led to steps being taken at subsequent </w:t>
      </w:r>
      <w:r w:rsidR="0002198B" w:rsidRPr="00717F31">
        <w:rPr>
          <w:kern w:val="22"/>
          <w:szCs w:val="22"/>
        </w:rPr>
        <w:t>meetings of the Conference of the Parties</w:t>
      </w:r>
      <w:r w:rsidR="00F86240" w:rsidRPr="00717F31">
        <w:rPr>
          <w:kern w:val="22"/>
          <w:szCs w:val="22"/>
        </w:rPr>
        <w:t xml:space="preserve"> to integrate the work of the Convention and the Protocols (see below). The latter led to greater integration in the work of the Convention, with more emphasis on common goals and targets as embodied in the plan and less emphasis on individual programmes of work.</w:t>
      </w:r>
    </w:p>
    <w:p w:rsidR="00AB5139" w:rsidRPr="00717F31" w:rsidRDefault="00BE4A56"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Some of the </w:t>
      </w:r>
      <w:r w:rsidR="00AB5139" w:rsidRPr="00717F31">
        <w:rPr>
          <w:kern w:val="22"/>
          <w:szCs w:val="22"/>
        </w:rPr>
        <w:t xml:space="preserve">major steps taken in the past few years with a view to improving the </w:t>
      </w:r>
      <w:r w:rsidR="00A5634D" w:rsidRPr="00717F31">
        <w:rPr>
          <w:kern w:val="22"/>
          <w:szCs w:val="22"/>
        </w:rPr>
        <w:t>efficiency</w:t>
      </w:r>
      <w:r w:rsidR="00AB5139" w:rsidRPr="00717F31">
        <w:rPr>
          <w:kern w:val="22"/>
          <w:szCs w:val="22"/>
        </w:rPr>
        <w:t xml:space="preserve"> and effectiveness of processes and structures </w:t>
      </w:r>
      <w:r w:rsidR="00886258" w:rsidRPr="00717F31">
        <w:rPr>
          <w:kern w:val="22"/>
          <w:szCs w:val="22"/>
        </w:rPr>
        <w:t xml:space="preserve">are </w:t>
      </w:r>
      <w:r w:rsidR="00AB5139" w:rsidRPr="00717F31">
        <w:rPr>
          <w:kern w:val="22"/>
          <w:szCs w:val="22"/>
        </w:rPr>
        <w:t>the following:</w:t>
      </w:r>
    </w:p>
    <w:p w:rsidR="00CE7120" w:rsidRPr="00717F31" w:rsidRDefault="00AB5139" w:rsidP="00717F31">
      <w:pPr>
        <w:pStyle w:val="ListParagraph"/>
        <w:numPr>
          <w:ilvl w:val="1"/>
          <w:numId w:val="43"/>
        </w:numPr>
        <w:spacing w:before="120" w:after="120"/>
        <w:ind w:left="0" w:firstLine="720"/>
        <w:contextualSpacing w:val="0"/>
        <w:rPr>
          <w:kern w:val="22"/>
          <w:szCs w:val="22"/>
        </w:rPr>
      </w:pPr>
      <w:r w:rsidRPr="00717F31">
        <w:rPr>
          <w:i/>
          <w:kern w:val="22"/>
          <w:szCs w:val="22"/>
        </w:rPr>
        <w:t xml:space="preserve">The </w:t>
      </w:r>
      <w:r w:rsidR="00CE7120" w:rsidRPr="00717F31">
        <w:rPr>
          <w:i/>
          <w:kern w:val="22"/>
          <w:szCs w:val="22"/>
        </w:rPr>
        <w:t xml:space="preserve">establishment of the </w:t>
      </w:r>
      <w:r w:rsidRPr="00717F31">
        <w:rPr>
          <w:i/>
          <w:kern w:val="22"/>
          <w:szCs w:val="22"/>
        </w:rPr>
        <w:t>Subsidiary Body on Implementation</w:t>
      </w:r>
      <w:r w:rsidRPr="00717F31">
        <w:rPr>
          <w:kern w:val="22"/>
          <w:szCs w:val="22"/>
        </w:rPr>
        <w:t xml:space="preserve"> </w:t>
      </w:r>
      <w:r w:rsidR="00D9020C" w:rsidRPr="00717F31">
        <w:rPr>
          <w:kern w:val="22"/>
          <w:szCs w:val="22"/>
        </w:rPr>
        <w:t>by decision XII/26 replac</w:t>
      </w:r>
      <w:r w:rsidR="00CE7120" w:rsidRPr="00717F31">
        <w:rPr>
          <w:kern w:val="22"/>
          <w:szCs w:val="22"/>
        </w:rPr>
        <w:t>ing</w:t>
      </w:r>
      <w:r w:rsidR="00D9020C" w:rsidRPr="00717F31">
        <w:rPr>
          <w:kern w:val="22"/>
          <w:szCs w:val="22"/>
        </w:rPr>
        <w:t xml:space="preserve"> the Ad Hoc Open-ended Working Group on Review of Implementation of the Convention. </w:t>
      </w:r>
      <w:r w:rsidR="00CE7120" w:rsidRPr="00717F31">
        <w:rPr>
          <w:kern w:val="22"/>
          <w:szCs w:val="22"/>
        </w:rPr>
        <w:t xml:space="preserve">The </w:t>
      </w:r>
      <w:r w:rsidR="00D9020C" w:rsidRPr="00717F31">
        <w:rPr>
          <w:kern w:val="22"/>
          <w:szCs w:val="22"/>
        </w:rPr>
        <w:t xml:space="preserve">terms </w:t>
      </w:r>
      <w:r w:rsidR="00AC7923" w:rsidRPr="00717F31">
        <w:rPr>
          <w:kern w:val="22"/>
          <w:szCs w:val="22"/>
        </w:rPr>
        <w:t xml:space="preserve">of </w:t>
      </w:r>
      <w:r w:rsidR="00D9020C" w:rsidRPr="00717F31">
        <w:rPr>
          <w:kern w:val="22"/>
          <w:szCs w:val="22"/>
        </w:rPr>
        <w:t>r</w:t>
      </w:r>
      <w:r w:rsidR="00AC7923" w:rsidRPr="00717F31">
        <w:rPr>
          <w:kern w:val="22"/>
          <w:szCs w:val="22"/>
        </w:rPr>
        <w:t xml:space="preserve">eference </w:t>
      </w:r>
      <w:r w:rsidR="00CE7120" w:rsidRPr="00717F31">
        <w:rPr>
          <w:kern w:val="22"/>
          <w:szCs w:val="22"/>
        </w:rPr>
        <w:t xml:space="preserve">of </w:t>
      </w:r>
      <w:r w:rsidR="00277493" w:rsidRPr="00717F31">
        <w:rPr>
          <w:kern w:val="22"/>
          <w:szCs w:val="22"/>
        </w:rPr>
        <w:t xml:space="preserve">the Subsidiary Body on Implementation </w:t>
      </w:r>
      <w:r w:rsidR="00AC7923" w:rsidRPr="00717F31">
        <w:rPr>
          <w:kern w:val="22"/>
          <w:szCs w:val="22"/>
        </w:rPr>
        <w:t>include</w:t>
      </w:r>
      <w:r w:rsidR="00AC7923" w:rsidRPr="00717F31">
        <w:rPr>
          <w:rFonts w:eastAsia="MS Mincho"/>
          <w:snapToGrid w:val="0"/>
          <w:kern w:val="22"/>
          <w:szCs w:val="22"/>
        </w:rPr>
        <w:t xml:space="preserve"> review</w:t>
      </w:r>
      <w:r w:rsidR="00AC7923" w:rsidRPr="00717F31">
        <w:rPr>
          <w:rFonts w:eastAsia="MS Mincho"/>
          <w:kern w:val="22"/>
          <w:szCs w:val="22"/>
        </w:rPr>
        <w:t>ing</w:t>
      </w:r>
      <w:r w:rsidR="00AC7923" w:rsidRPr="00717F31">
        <w:rPr>
          <w:rFonts w:eastAsia="MS Mincho"/>
          <w:snapToGrid w:val="0"/>
          <w:kern w:val="22"/>
          <w:szCs w:val="22"/>
        </w:rPr>
        <w:t xml:space="preserve"> the impacts and effectiveness of existing processes under the Convention and identify</w:t>
      </w:r>
      <w:r w:rsidR="001A30D0" w:rsidRPr="00717F31">
        <w:rPr>
          <w:rFonts w:eastAsia="MS Mincho"/>
          <w:snapToGrid w:val="0"/>
          <w:kern w:val="22"/>
          <w:szCs w:val="22"/>
        </w:rPr>
        <w:t>ing</w:t>
      </w:r>
      <w:r w:rsidR="00AC7923" w:rsidRPr="00717F31">
        <w:rPr>
          <w:rFonts w:eastAsia="MS Mincho"/>
          <w:snapToGrid w:val="0"/>
          <w:kern w:val="22"/>
          <w:szCs w:val="22"/>
        </w:rPr>
        <w:t xml:space="preserve"> ways and means that increase efficiencies, including an integrated approach to the implementation of the Convention and its Protocols.</w:t>
      </w:r>
      <w:r w:rsidR="00772A6E" w:rsidRPr="00717F31">
        <w:rPr>
          <w:snapToGrid w:val="0"/>
          <w:kern w:val="22"/>
          <w:szCs w:val="22"/>
        </w:rPr>
        <w:t xml:space="preserve"> </w:t>
      </w:r>
      <w:r w:rsidR="008B0140" w:rsidRPr="00717F31">
        <w:rPr>
          <w:snapToGrid w:val="0"/>
          <w:kern w:val="22"/>
          <w:szCs w:val="22"/>
        </w:rPr>
        <w:t>The Subsidiary Body on Implementation also undertakes tasks referred to it by the Conference of the Parties serving as the meetings of the Parties to the Cartagena and Nagoya Protocols</w:t>
      </w:r>
      <w:r w:rsidR="00277493" w:rsidRPr="00717F31">
        <w:rPr>
          <w:snapToGrid w:val="0"/>
          <w:kern w:val="22"/>
          <w:szCs w:val="22"/>
        </w:rPr>
        <w:t>;</w:t>
      </w:r>
    </w:p>
    <w:p w:rsidR="00B70370" w:rsidRPr="00717F31" w:rsidRDefault="001A30D0" w:rsidP="00717F31">
      <w:pPr>
        <w:pStyle w:val="ListParagraph"/>
        <w:numPr>
          <w:ilvl w:val="1"/>
          <w:numId w:val="43"/>
        </w:numPr>
        <w:spacing w:before="120" w:after="120"/>
        <w:ind w:left="0" w:firstLine="720"/>
        <w:contextualSpacing w:val="0"/>
        <w:rPr>
          <w:kern w:val="22"/>
          <w:szCs w:val="22"/>
        </w:rPr>
      </w:pPr>
      <w:r w:rsidRPr="00717F31">
        <w:rPr>
          <w:i/>
          <w:kern w:val="22"/>
          <w:szCs w:val="22"/>
        </w:rPr>
        <w:t>H</w:t>
      </w:r>
      <w:r w:rsidR="008B0140" w:rsidRPr="00717F31">
        <w:rPr>
          <w:i/>
          <w:kern w:val="22"/>
          <w:szCs w:val="22"/>
        </w:rPr>
        <w:t>olding the meetings of the Conference of the Par</w:t>
      </w:r>
      <w:r w:rsidR="00CE7120" w:rsidRPr="00717F31">
        <w:rPr>
          <w:i/>
          <w:kern w:val="22"/>
          <w:szCs w:val="22"/>
        </w:rPr>
        <w:t xml:space="preserve">ties to the Convention and the </w:t>
      </w:r>
      <w:r w:rsidR="008B0140" w:rsidRPr="00717F31">
        <w:rPr>
          <w:i/>
          <w:kern w:val="22"/>
          <w:szCs w:val="22"/>
        </w:rPr>
        <w:t>meetings of the Parties to the Protocols concurrently</w:t>
      </w:r>
      <w:r w:rsidR="00CE7120" w:rsidRPr="00717F31">
        <w:rPr>
          <w:bCs/>
          <w:iCs/>
          <w:kern w:val="22"/>
          <w:szCs w:val="22"/>
        </w:rPr>
        <w:t xml:space="preserve">. </w:t>
      </w:r>
      <w:r w:rsidR="00005C38" w:rsidRPr="00717F31">
        <w:rPr>
          <w:kern w:val="22"/>
          <w:szCs w:val="22"/>
        </w:rPr>
        <w:t xml:space="preserve">This is described in </w:t>
      </w:r>
      <w:r w:rsidR="00277493" w:rsidRPr="00717F31">
        <w:rPr>
          <w:kern w:val="22"/>
          <w:szCs w:val="22"/>
        </w:rPr>
        <w:t>s</w:t>
      </w:r>
      <w:r w:rsidR="00005C38" w:rsidRPr="00717F31">
        <w:rPr>
          <w:kern w:val="22"/>
          <w:szCs w:val="22"/>
        </w:rPr>
        <w:t>ection II below</w:t>
      </w:r>
      <w:r w:rsidR="00277493" w:rsidRPr="00717F31">
        <w:rPr>
          <w:kern w:val="22"/>
          <w:szCs w:val="22"/>
        </w:rPr>
        <w:t>;</w:t>
      </w:r>
    </w:p>
    <w:p w:rsidR="00810BAB" w:rsidRPr="00717F31" w:rsidRDefault="00810BAB" w:rsidP="00717F31">
      <w:pPr>
        <w:pStyle w:val="ListParagraph"/>
        <w:numPr>
          <w:ilvl w:val="1"/>
          <w:numId w:val="43"/>
        </w:numPr>
        <w:spacing w:before="120" w:after="120"/>
        <w:ind w:left="0" w:firstLine="720"/>
        <w:contextualSpacing w:val="0"/>
        <w:rPr>
          <w:kern w:val="22"/>
          <w:szCs w:val="22"/>
        </w:rPr>
      </w:pPr>
      <w:r w:rsidRPr="00717F31">
        <w:rPr>
          <w:i/>
          <w:kern w:val="22"/>
          <w:szCs w:val="22"/>
        </w:rPr>
        <w:t xml:space="preserve">Decision </w:t>
      </w:r>
      <w:r w:rsidR="001A0C9A" w:rsidRPr="00717F31">
        <w:rPr>
          <w:i/>
          <w:kern w:val="22"/>
          <w:szCs w:val="22"/>
        </w:rPr>
        <w:t>t</w:t>
      </w:r>
      <w:r w:rsidRPr="00717F31">
        <w:rPr>
          <w:i/>
          <w:kern w:val="22"/>
          <w:szCs w:val="22"/>
        </w:rPr>
        <w:t>racking tool</w:t>
      </w:r>
      <w:r w:rsidRPr="00717F31">
        <w:rPr>
          <w:kern w:val="22"/>
          <w:szCs w:val="22"/>
        </w:rPr>
        <w:t xml:space="preserve">. </w:t>
      </w:r>
      <w:r w:rsidRPr="00717F31">
        <w:rPr>
          <w:snapToGrid w:val="0"/>
          <w:kern w:val="22"/>
          <w:szCs w:val="22"/>
        </w:rPr>
        <w:t xml:space="preserve">In decision XII/28, the Conference of the Parties decided to discontinue the practice of the retirement of decisions that had been introduced at its sixth meeting, in 2002. It also decided to replace the exercise with a new approach for the review of decisions or elements </w:t>
      </w:r>
      <w:r w:rsidRPr="00717F31">
        <w:rPr>
          <w:snapToGrid w:val="0"/>
          <w:kern w:val="22"/>
          <w:szCs w:val="22"/>
        </w:rPr>
        <w:lastRenderedPageBreak/>
        <w:t xml:space="preserve">of decisions in a manner that supports implementation and creates a good basis for the preparation and adoption of new decisions. In that regard, an online decision-tracking tool has been developed by the Secretariat. More information on the </w:t>
      </w:r>
      <w:r w:rsidR="00277493" w:rsidRPr="00717F31">
        <w:rPr>
          <w:snapToGrid w:val="0"/>
          <w:kern w:val="22"/>
          <w:szCs w:val="22"/>
        </w:rPr>
        <w:t>d</w:t>
      </w:r>
      <w:r w:rsidRPr="00717F31">
        <w:rPr>
          <w:snapToGrid w:val="0"/>
          <w:kern w:val="22"/>
          <w:szCs w:val="22"/>
        </w:rPr>
        <w:t xml:space="preserve">ecision-tracking </w:t>
      </w:r>
      <w:r w:rsidR="00277493" w:rsidRPr="00717F31">
        <w:rPr>
          <w:snapToGrid w:val="0"/>
          <w:kern w:val="22"/>
          <w:szCs w:val="22"/>
        </w:rPr>
        <w:t>t</w:t>
      </w:r>
      <w:r w:rsidRPr="00717F31">
        <w:rPr>
          <w:snapToGrid w:val="0"/>
          <w:kern w:val="22"/>
          <w:szCs w:val="22"/>
        </w:rPr>
        <w:t xml:space="preserve">ool is made available in </w:t>
      </w:r>
      <w:r w:rsidR="001A0C9A" w:rsidRPr="00717F31">
        <w:rPr>
          <w:snapToGrid w:val="0"/>
          <w:kern w:val="22"/>
          <w:szCs w:val="22"/>
        </w:rPr>
        <w:t>the note by the Executive Secretary on mechanisms to facilitate review of implementation (</w:t>
      </w:r>
      <w:r w:rsidRPr="00717F31">
        <w:rPr>
          <w:snapToGrid w:val="0"/>
          <w:kern w:val="22"/>
          <w:szCs w:val="22"/>
        </w:rPr>
        <w:t>CBD/SBI/2/11</w:t>
      </w:r>
      <w:r w:rsidR="001A0C9A" w:rsidRPr="00717F31">
        <w:rPr>
          <w:snapToGrid w:val="0"/>
          <w:kern w:val="22"/>
          <w:szCs w:val="22"/>
        </w:rPr>
        <w:t>)</w:t>
      </w:r>
      <w:r w:rsidR="00277493" w:rsidRPr="00717F31">
        <w:rPr>
          <w:snapToGrid w:val="0"/>
          <w:kern w:val="22"/>
          <w:szCs w:val="22"/>
        </w:rPr>
        <w:t>;</w:t>
      </w:r>
    </w:p>
    <w:p w:rsidR="008B0140" w:rsidRPr="00717F31" w:rsidRDefault="00B70370" w:rsidP="00717F31">
      <w:pPr>
        <w:pStyle w:val="ListParagraph"/>
        <w:numPr>
          <w:ilvl w:val="1"/>
          <w:numId w:val="43"/>
        </w:numPr>
        <w:spacing w:before="120" w:after="120"/>
        <w:ind w:left="0" w:firstLine="720"/>
        <w:contextualSpacing w:val="0"/>
        <w:rPr>
          <w:kern w:val="22"/>
          <w:szCs w:val="22"/>
        </w:rPr>
      </w:pPr>
      <w:r w:rsidRPr="00717F31">
        <w:rPr>
          <w:i/>
          <w:snapToGrid w:val="0"/>
          <w:kern w:val="22"/>
          <w:szCs w:val="22"/>
        </w:rPr>
        <w:t xml:space="preserve">Administrative and budgetary matters. </w:t>
      </w:r>
      <w:r w:rsidR="00005C38" w:rsidRPr="00717F31">
        <w:rPr>
          <w:snapToGrid w:val="0"/>
          <w:kern w:val="22"/>
          <w:szCs w:val="22"/>
        </w:rPr>
        <w:t>Following the agreement to hold concurrent meetings, and upon the request from the Conference of the Parties serving as the meeting of the Parties to the Cartagena Protocol, the Conference of the Parties decided to merge the voluntary trust funds used to facilitate participation of eligible Parties in meetings related to the Convention and Cartagena Protocol, and also to use this merged fund for meetings related to the Nagoya Protocols.</w:t>
      </w:r>
      <w:r w:rsidR="00277493" w:rsidRPr="00717F31">
        <w:rPr>
          <w:rStyle w:val="FootnoteReference"/>
          <w:snapToGrid w:val="0"/>
          <w:kern w:val="22"/>
          <w:sz w:val="22"/>
          <w:szCs w:val="22"/>
        </w:rPr>
        <w:footnoteReference w:id="5"/>
      </w:r>
      <w:r w:rsidR="00005C38" w:rsidRPr="00717F31">
        <w:rPr>
          <w:snapToGrid w:val="0"/>
          <w:kern w:val="22"/>
          <w:szCs w:val="22"/>
        </w:rPr>
        <w:t xml:space="preserve"> It also decided to merge the Trust Funds for additional voluntary contributions in support of approved activities of the Convention and the Cartagena and Nagoya Protocols with a view to promote integrated approach for implementation within the Secretariat by allowing the use of resources for projects targeted at more than one instrument, and requested the Trustee, the United Nations Environment Programme to name the merged Trust Fund (BE) as “Special Voluntary Trust Fund for Contributions in Support of Additional Approved Activities of the Convention and its Protocols”.</w:t>
      </w:r>
      <w:r w:rsidR="00277493" w:rsidRPr="00717F31">
        <w:rPr>
          <w:rStyle w:val="FootnoteReference"/>
          <w:snapToGrid w:val="0"/>
          <w:kern w:val="22"/>
          <w:sz w:val="22"/>
          <w:szCs w:val="22"/>
        </w:rPr>
        <w:footnoteReference w:id="6"/>
      </w:r>
      <w:r w:rsidRPr="00717F31">
        <w:rPr>
          <w:snapToGrid w:val="0"/>
          <w:kern w:val="22"/>
          <w:szCs w:val="22"/>
        </w:rPr>
        <w:t xml:space="preserve"> With a view to enhancing </w:t>
      </w:r>
      <w:r w:rsidR="003A2A82" w:rsidRPr="00717F31">
        <w:rPr>
          <w:snapToGrid w:val="0"/>
          <w:kern w:val="22"/>
          <w:szCs w:val="22"/>
        </w:rPr>
        <w:t xml:space="preserve">the </w:t>
      </w:r>
      <w:r w:rsidRPr="00717F31">
        <w:rPr>
          <w:snapToGrid w:val="0"/>
          <w:kern w:val="22"/>
          <w:szCs w:val="22"/>
        </w:rPr>
        <w:t>efficiency of the Secretariat, the Conference of the Parties</w:t>
      </w:r>
      <w:r w:rsidR="003A2A82" w:rsidRPr="00717F31">
        <w:rPr>
          <w:snapToGrid w:val="0"/>
          <w:kern w:val="22"/>
          <w:szCs w:val="22"/>
        </w:rPr>
        <w:t>,</w:t>
      </w:r>
      <w:r w:rsidRPr="00717F31">
        <w:rPr>
          <w:snapToGrid w:val="0"/>
          <w:kern w:val="22"/>
          <w:szCs w:val="22"/>
        </w:rPr>
        <w:t xml:space="preserve"> in its decision XI/31, paragraph 25, </w:t>
      </w:r>
      <w:r w:rsidR="003A2A82" w:rsidRPr="00717F31">
        <w:rPr>
          <w:snapToGrid w:val="0"/>
          <w:kern w:val="22"/>
          <w:szCs w:val="22"/>
        </w:rPr>
        <w:t xml:space="preserve">requested </w:t>
      </w:r>
      <w:r w:rsidRPr="00717F31">
        <w:rPr>
          <w:snapToGrid w:val="0"/>
          <w:kern w:val="22"/>
          <w:szCs w:val="22"/>
        </w:rPr>
        <w:t>the Executive Secretary to undertake an in-depth functional review of the Secretariat. The final report of the functional review was submitted to the Conference of the Parties at its thirteenth meeting, held in Cancun</w:t>
      </w:r>
      <w:r w:rsidR="003A2A82" w:rsidRPr="00717F31">
        <w:rPr>
          <w:snapToGrid w:val="0"/>
          <w:kern w:val="22"/>
          <w:szCs w:val="22"/>
        </w:rPr>
        <w:t>, Mexico</w:t>
      </w:r>
      <w:r w:rsidRPr="00717F31">
        <w:rPr>
          <w:snapToGrid w:val="0"/>
          <w:kern w:val="22"/>
          <w:szCs w:val="22"/>
        </w:rPr>
        <w:t>, in December 2016. In its decision XIII/32, the Conference of the Parties took note of the outcome of the functional review and welcomed the new structure, “which should lead to further synergies and efficiencies” (</w:t>
      </w:r>
      <w:r w:rsidR="00304D60" w:rsidRPr="00717F31">
        <w:rPr>
          <w:snapToGrid w:val="0"/>
          <w:kern w:val="22"/>
          <w:szCs w:val="22"/>
        </w:rPr>
        <w:t>para. </w:t>
      </w:r>
      <w:r w:rsidRPr="00717F31">
        <w:rPr>
          <w:snapToGrid w:val="0"/>
          <w:kern w:val="22"/>
          <w:szCs w:val="22"/>
        </w:rPr>
        <w:t>4</w:t>
      </w:r>
      <w:r w:rsidR="00277493" w:rsidRPr="00717F31">
        <w:rPr>
          <w:snapToGrid w:val="0"/>
          <w:kern w:val="22"/>
          <w:szCs w:val="22"/>
        </w:rPr>
        <w:t>).</w:t>
      </w:r>
    </w:p>
    <w:p w:rsidR="00BA30BA" w:rsidRPr="00717F31" w:rsidRDefault="00BA30BA" w:rsidP="00717F31">
      <w:pPr>
        <w:pStyle w:val="ListParagraph"/>
        <w:numPr>
          <w:ilvl w:val="0"/>
          <w:numId w:val="37"/>
        </w:numPr>
        <w:spacing w:before="120" w:after="120"/>
        <w:ind w:left="0" w:firstLine="0"/>
        <w:contextualSpacing w:val="0"/>
        <w:rPr>
          <w:kern w:val="22"/>
          <w:szCs w:val="22"/>
        </w:rPr>
      </w:pPr>
      <w:r w:rsidRPr="00717F31">
        <w:rPr>
          <w:snapToGrid w:val="0"/>
          <w:kern w:val="22"/>
          <w:szCs w:val="22"/>
        </w:rPr>
        <w:t xml:space="preserve">Issues </w:t>
      </w:r>
      <w:r w:rsidRPr="00717F31">
        <w:rPr>
          <w:kern w:val="22"/>
          <w:szCs w:val="22"/>
        </w:rPr>
        <w:t xml:space="preserve">related to the effectiveness of processes under the Convention and Protocols beyond those considered by </w:t>
      </w:r>
      <w:r w:rsidR="00277493" w:rsidRPr="00717F31">
        <w:rPr>
          <w:kern w:val="22"/>
          <w:szCs w:val="22"/>
        </w:rPr>
        <w:t>the Subsidiary Body at its second meeting</w:t>
      </w:r>
      <w:r w:rsidRPr="00717F31">
        <w:rPr>
          <w:kern w:val="22"/>
          <w:szCs w:val="22"/>
        </w:rPr>
        <w:t xml:space="preserve"> under other agenda item (see para</w:t>
      </w:r>
      <w:r w:rsidR="00277493" w:rsidRPr="00717F31">
        <w:rPr>
          <w:kern w:val="22"/>
          <w:szCs w:val="22"/>
        </w:rPr>
        <w:t>.</w:t>
      </w:r>
      <w:r w:rsidR="000433C4" w:rsidRPr="00717F31">
        <w:rPr>
          <w:kern w:val="22"/>
          <w:szCs w:val="22"/>
        </w:rPr>
        <w:t> </w:t>
      </w:r>
      <w:r w:rsidRPr="00717F31">
        <w:rPr>
          <w:kern w:val="22"/>
          <w:szCs w:val="22"/>
        </w:rPr>
        <w:t>4 above), that may require further consideration include:</w:t>
      </w:r>
    </w:p>
    <w:p w:rsidR="00BA30BA" w:rsidRPr="00717F31" w:rsidRDefault="00BA30BA" w:rsidP="00717F31">
      <w:pPr>
        <w:pStyle w:val="ListParagraph"/>
        <w:numPr>
          <w:ilvl w:val="1"/>
          <w:numId w:val="44"/>
        </w:numPr>
        <w:spacing w:before="120" w:after="120"/>
        <w:ind w:left="0" w:firstLine="720"/>
        <w:contextualSpacing w:val="0"/>
        <w:rPr>
          <w:kern w:val="22"/>
          <w:szCs w:val="22"/>
        </w:rPr>
      </w:pPr>
      <w:r w:rsidRPr="00717F31">
        <w:rPr>
          <w:kern w:val="22"/>
          <w:szCs w:val="22"/>
        </w:rPr>
        <w:t>Further work to optimize the organization of work and decision-making of the three bodies meeting concurrently (see also section II below);</w:t>
      </w:r>
    </w:p>
    <w:p w:rsidR="00BA30BA" w:rsidRPr="00717F31" w:rsidRDefault="00BA30BA" w:rsidP="00717F31">
      <w:pPr>
        <w:pStyle w:val="ListParagraph"/>
        <w:numPr>
          <w:ilvl w:val="1"/>
          <w:numId w:val="44"/>
        </w:numPr>
        <w:spacing w:before="120" w:after="120"/>
        <w:ind w:left="0" w:firstLine="720"/>
        <w:contextualSpacing w:val="0"/>
        <w:rPr>
          <w:kern w:val="22"/>
          <w:szCs w:val="22"/>
        </w:rPr>
      </w:pPr>
      <w:r w:rsidRPr="00717F31">
        <w:rPr>
          <w:kern w:val="22"/>
          <w:szCs w:val="22"/>
        </w:rPr>
        <w:t xml:space="preserve">Ensuring the scientific integrity of the work of SBSTTA and related expert bodies (see also section III below) and enhancing the work of SBSTTA in the light of the establishment of </w:t>
      </w:r>
      <w:r w:rsidR="00277493" w:rsidRPr="00717F31">
        <w:rPr>
          <w:kern w:val="22"/>
          <w:szCs w:val="22"/>
        </w:rPr>
        <w:t>the Intergovernmental Science-Policy Platform on Biodiversity Ecosystem Services (IPBES)</w:t>
      </w:r>
      <w:r w:rsidR="00811FF1" w:rsidRPr="00717F31">
        <w:rPr>
          <w:kern w:val="22"/>
          <w:szCs w:val="22"/>
        </w:rPr>
        <w:t>.</w:t>
      </w:r>
    </w:p>
    <w:p w:rsidR="008C0535" w:rsidRPr="00717F31" w:rsidRDefault="00435259" w:rsidP="00717F31">
      <w:pPr>
        <w:pStyle w:val="Heading1longmultiline"/>
        <w:tabs>
          <w:tab w:val="clear" w:pos="720"/>
        </w:tabs>
        <w:ind w:left="1426" w:hanging="720"/>
        <w:rPr>
          <w:rFonts w:ascii="Times New Roman Bold" w:hAnsi="Times New Roman Bold" w:cs="Times New Roman Bold"/>
          <w:snapToGrid w:val="0"/>
          <w:kern w:val="22"/>
          <w:szCs w:val="22"/>
        </w:rPr>
      </w:pPr>
      <w:r w:rsidRPr="00717F31">
        <w:rPr>
          <w:rFonts w:ascii="Times New Roman Bold" w:hAnsi="Times New Roman Bold" w:cs="Times New Roman Bold"/>
          <w:caps w:val="0"/>
          <w:snapToGrid w:val="0"/>
          <w:kern w:val="22"/>
          <w:szCs w:val="22"/>
        </w:rPr>
        <w:t>II.</w:t>
      </w:r>
      <w:r w:rsidRPr="00717F31">
        <w:rPr>
          <w:rFonts w:ascii="Times New Roman Bold" w:hAnsi="Times New Roman Bold" w:cs="Times New Roman Bold"/>
          <w:caps w:val="0"/>
          <w:snapToGrid w:val="0"/>
          <w:kern w:val="22"/>
          <w:szCs w:val="22"/>
        </w:rPr>
        <w:tab/>
        <w:t>REVIEW OF EFFECTIVENESS OF THE UNITED NATIONS BIODIVERSITY CONFERENCE 2016, INCLUDING THE EXPERIENCE OF HOLDING CONCURRENLTY THE CONFERENCE OF THE PARTIES AND THE MEETINGS OF THE PARTIES OF THE PROTOCOLS</w:t>
      </w:r>
    </w:p>
    <w:p w:rsidR="005945B6" w:rsidRPr="00717F31" w:rsidRDefault="005945B6" w:rsidP="00717F31">
      <w:pPr>
        <w:pStyle w:val="ListParagraph"/>
        <w:numPr>
          <w:ilvl w:val="0"/>
          <w:numId w:val="37"/>
        </w:numPr>
        <w:spacing w:before="120" w:after="120"/>
        <w:ind w:left="0" w:firstLine="0"/>
        <w:contextualSpacing w:val="0"/>
        <w:rPr>
          <w:iCs/>
          <w:snapToGrid w:val="0"/>
          <w:kern w:val="22"/>
          <w:szCs w:val="22"/>
        </w:rPr>
      </w:pPr>
      <w:r w:rsidRPr="00717F31">
        <w:rPr>
          <w:iCs/>
          <w:snapToGrid w:val="0"/>
          <w:kern w:val="22"/>
          <w:szCs w:val="22"/>
        </w:rPr>
        <w:t xml:space="preserve">Following the entry into force of the Nagoya Protocol, the second half of the twelfth meeting of the Conference of the Parties to the Convention was held in October 2014 in Pyeongchang, Republic of Korea, concurrently with the first meeting of the Parties to the Nagoya Protocol. Further, </w:t>
      </w:r>
      <w:r w:rsidRPr="00717F31">
        <w:rPr>
          <w:snapToGrid w:val="0"/>
          <w:kern w:val="22"/>
          <w:szCs w:val="22"/>
        </w:rPr>
        <w:t xml:space="preserve">the Conference of the Parties decided, at its twelfth meeting, </w:t>
      </w:r>
      <w:r w:rsidRPr="00717F31">
        <w:rPr>
          <w:iCs/>
          <w:snapToGrid w:val="0"/>
          <w:kern w:val="22"/>
          <w:szCs w:val="22"/>
        </w:rPr>
        <w:t>to hold its future ordinary meetings within a two-week period concurrently with the meetings of the Conference of the Parties serving as the meeting of the Parties to the Cartagena Protocol as well as the meeting of the Parties to the Nagoya Protocols</w:t>
      </w:r>
      <w:r w:rsidR="00435259" w:rsidRPr="00717F31">
        <w:rPr>
          <w:iCs/>
          <w:snapToGrid w:val="0"/>
          <w:kern w:val="22"/>
          <w:szCs w:val="22"/>
        </w:rPr>
        <w:t xml:space="preserve"> </w:t>
      </w:r>
      <w:r w:rsidR="00435259" w:rsidRPr="00717F31">
        <w:rPr>
          <w:snapToGrid w:val="0"/>
          <w:kern w:val="22"/>
          <w:szCs w:val="22"/>
        </w:rPr>
        <w:t>(decision XII/27)</w:t>
      </w:r>
      <w:r w:rsidR="00277493" w:rsidRPr="00717F31">
        <w:rPr>
          <w:iCs/>
          <w:snapToGrid w:val="0"/>
          <w:kern w:val="22"/>
          <w:szCs w:val="22"/>
        </w:rPr>
        <w:t>.</w:t>
      </w:r>
      <w:r w:rsidRPr="00717F31">
        <w:rPr>
          <w:iCs/>
          <w:snapToGrid w:val="0"/>
          <w:kern w:val="22"/>
          <w:szCs w:val="22"/>
        </w:rPr>
        <w:t xml:space="preserve"> The arrangement was agreed to by the governing bodies of the two Protocols (decisions BS-VII/9 and NP-I/12). Accordingly, the thirteenth meeting of the Conference of the Parties, the eighth meeting of the Parties to the Cartagena Protocol and the second meeting of the </w:t>
      </w:r>
      <w:r w:rsidR="00277493" w:rsidRPr="00717F31">
        <w:rPr>
          <w:iCs/>
          <w:snapToGrid w:val="0"/>
          <w:kern w:val="22"/>
          <w:szCs w:val="22"/>
        </w:rPr>
        <w:t xml:space="preserve">Parties to the </w:t>
      </w:r>
      <w:r w:rsidRPr="00717F31">
        <w:rPr>
          <w:iCs/>
          <w:snapToGrid w:val="0"/>
          <w:kern w:val="22"/>
          <w:szCs w:val="22"/>
        </w:rPr>
        <w:t>Nagoya Protocol were held concurrently in December 2016 in Cancun, Mexico. The Government of Mexico, as host country of these meetings, decided to hold the high</w:t>
      </w:r>
      <w:r w:rsidR="003047C0" w:rsidRPr="00717F31">
        <w:rPr>
          <w:iCs/>
          <w:snapToGrid w:val="0"/>
          <w:kern w:val="22"/>
          <w:szCs w:val="22"/>
        </w:rPr>
        <w:t>-</w:t>
      </w:r>
      <w:r w:rsidRPr="00717F31">
        <w:rPr>
          <w:iCs/>
          <w:snapToGrid w:val="0"/>
          <w:kern w:val="22"/>
          <w:szCs w:val="22"/>
        </w:rPr>
        <w:t>level segment prior to these meetings, rather than in the second week of the Conference of the Parties</w:t>
      </w:r>
      <w:r w:rsidR="009C10BF" w:rsidRPr="00717F31">
        <w:rPr>
          <w:iCs/>
          <w:snapToGrid w:val="0"/>
          <w:kern w:val="22"/>
          <w:szCs w:val="22"/>
        </w:rPr>
        <w:t>,</w:t>
      </w:r>
      <w:r w:rsidRPr="00717F31">
        <w:rPr>
          <w:iCs/>
          <w:snapToGrid w:val="0"/>
          <w:kern w:val="22"/>
          <w:szCs w:val="22"/>
        </w:rPr>
        <w:t xml:space="preserve"> which had been the case previously. The meetings of the three </w:t>
      </w:r>
      <w:r w:rsidRPr="00717F31">
        <w:rPr>
          <w:iCs/>
          <w:snapToGrid w:val="0"/>
          <w:kern w:val="22"/>
          <w:szCs w:val="22"/>
        </w:rPr>
        <w:lastRenderedPageBreak/>
        <w:t>bodies, together with the high</w:t>
      </w:r>
      <w:r w:rsidR="003047C0" w:rsidRPr="00717F31">
        <w:rPr>
          <w:iCs/>
          <w:snapToGrid w:val="0"/>
          <w:kern w:val="22"/>
          <w:szCs w:val="22"/>
        </w:rPr>
        <w:t>-</w:t>
      </w:r>
      <w:r w:rsidRPr="00717F31">
        <w:rPr>
          <w:iCs/>
          <w:snapToGrid w:val="0"/>
          <w:kern w:val="22"/>
          <w:szCs w:val="22"/>
        </w:rPr>
        <w:t>level segment,</w:t>
      </w:r>
      <w:r w:rsidR="00C33250" w:rsidRPr="00717F31">
        <w:rPr>
          <w:iCs/>
          <w:snapToGrid w:val="0"/>
          <w:kern w:val="22"/>
          <w:szCs w:val="22"/>
        </w:rPr>
        <w:t xml:space="preserve"> </w:t>
      </w:r>
      <w:r w:rsidR="009C10BF" w:rsidRPr="00717F31">
        <w:rPr>
          <w:iCs/>
          <w:snapToGrid w:val="0"/>
          <w:kern w:val="22"/>
          <w:szCs w:val="22"/>
        </w:rPr>
        <w:t xml:space="preserve">were </w:t>
      </w:r>
      <w:r w:rsidRPr="00717F31">
        <w:rPr>
          <w:iCs/>
          <w:snapToGrid w:val="0"/>
          <w:kern w:val="22"/>
          <w:szCs w:val="22"/>
        </w:rPr>
        <w:t xml:space="preserve">known informally as </w:t>
      </w:r>
      <w:r w:rsidR="00EA2B50" w:rsidRPr="00717F31">
        <w:rPr>
          <w:iCs/>
          <w:snapToGrid w:val="0"/>
          <w:kern w:val="22"/>
          <w:szCs w:val="22"/>
        </w:rPr>
        <w:t>“</w:t>
      </w:r>
      <w:r w:rsidRPr="00717F31">
        <w:rPr>
          <w:iCs/>
          <w:snapToGrid w:val="0"/>
          <w:kern w:val="22"/>
          <w:szCs w:val="22"/>
        </w:rPr>
        <w:t xml:space="preserve">the </w:t>
      </w:r>
      <w:r w:rsidR="00435259" w:rsidRPr="00717F31">
        <w:rPr>
          <w:iCs/>
          <w:snapToGrid w:val="0"/>
          <w:kern w:val="22"/>
          <w:szCs w:val="22"/>
        </w:rPr>
        <w:t xml:space="preserve">United Nations </w:t>
      </w:r>
      <w:r w:rsidRPr="00717F31">
        <w:rPr>
          <w:iCs/>
          <w:snapToGrid w:val="0"/>
          <w:kern w:val="22"/>
          <w:szCs w:val="22"/>
        </w:rPr>
        <w:t>Biodiversity Conference, Cancun, Mexico, 2016</w:t>
      </w:r>
      <w:r w:rsidR="00EA2B50" w:rsidRPr="00717F31">
        <w:rPr>
          <w:iCs/>
          <w:snapToGrid w:val="0"/>
          <w:kern w:val="22"/>
          <w:szCs w:val="22"/>
        </w:rPr>
        <w:t>”</w:t>
      </w:r>
      <w:r w:rsidRPr="00717F31">
        <w:rPr>
          <w:iCs/>
          <w:snapToGrid w:val="0"/>
          <w:kern w:val="22"/>
          <w:szCs w:val="22"/>
        </w:rPr>
        <w:t>.</w:t>
      </w:r>
    </w:p>
    <w:p w:rsidR="0040090D" w:rsidRPr="00717F31" w:rsidRDefault="005945B6" w:rsidP="00717F31">
      <w:pPr>
        <w:pStyle w:val="ListParagraph"/>
        <w:numPr>
          <w:ilvl w:val="0"/>
          <w:numId w:val="37"/>
        </w:numPr>
        <w:spacing w:before="120" w:after="120"/>
        <w:ind w:left="0" w:firstLine="0"/>
        <w:contextualSpacing w:val="0"/>
        <w:rPr>
          <w:snapToGrid w:val="0"/>
          <w:kern w:val="22"/>
          <w:szCs w:val="22"/>
        </w:rPr>
      </w:pPr>
      <w:r w:rsidRPr="00717F31">
        <w:rPr>
          <w:snapToGrid w:val="0"/>
          <w:kern w:val="22"/>
          <w:szCs w:val="22"/>
        </w:rPr>
        <w:t xml:space="preserve">The objective </w:t>
      </w:r>
      <w:r w:rsidR="0040090D" w:rsidRPr="00717F31">
        <w:rPr>
          <w:snapToGrid w:val="0"/>
          <w:kern w:val="22"/>
          <w:szCs w:val="22"/>
        </w:rPr>
        <w:t xml:space="preserve">of </w:t>
      </w:r>
      <w:r w:rsidRPr="00717F31">
        <w:rPr>
          <w:snapToGrid w:val="0"/>
          <w:kern w:val="22"/>
          <w:szCs w:val="22"/>
        </w:rPr>
        <w:t xml:space="preserve">holding the meetings of the Convention and the Protocols concurrently was to strengthen the implementation of the Convention and the Protocols, gain greater integration among them and </w:t>
      </w:r>
      <w:r w:rsidR="0040090D" w:rsidRPr="00717F31">
        <w:rPr>
          <w:snapToGrid w:val="0"/>
          <w:kern w:val="22"/>
          <w:szCs w:val="22"/>
        </w:rPr>
        <w:t>improve cost-effectiveness</w:t>
      </w:r>
      <w:r w:rsidRPr="00717F31">
        <w:rPr>
          <w:snapToGrid w:val="0"/>
          <w:kern w:val="22"/>
          <w:szCs w:val="22"/>
        </w:rPr>
        <w:t xml:space="preserve">. The Conference of the Parties to the Convention and the </w:t>
      </w:r>
      <w:r w:rsidR="00C90043" w:rsidRPr="00717F31">
        <w:rPr>
          <w:snapToGrid w:val="0"/>
          <w:kern w:val="22"/>
          <w:szCs w:val="22"/>
        </w:rPr>
        <w:t>governing bodies of</w:t>
      </w:r>
      <w:r w:rsidRPr="00717F31">
        <w:rPr>
          <w:snapToGrid w:val="0"/>
          <w:kern w:val="22"/>
          <w:szCs w:val="22"/>
        </w:rPr>
        <w:t xml:space="preserve"> the Cartagena and Nagoya Protocols agreed (decision</w:t>
      </w:r>
      <w:r w:rsidR="00C90043" w:rsidRPr="00717F31">
        <w:rPr>
          <w:snapToGrid w:val="0"/>
          <w:kern w:val="22"/>
          <w:szCs w:val="22"/>
        </w:rPr>
        <w:t>s</w:t>
      </w:r>
      <w:r w:rsidRPr="00717F31">
        <w:rPr>
          <w:snapToGrid w:val="0"/>
          <w:kern w:val="22"/>
          <w:szCs w:val="22"/>
        </w:rPr>
        <w:t xml:space="preserve"> XIII/26, CP-VIII/10 and NP-2/12, respectively) to review the experience gained in holding their meetings concurrently and identified criteria for the review.</w:t>
      </w:r>
    </w:p>
    <w:p w:rsidR="005945B6" w:rsidRPr="00717F31" w:rsidRDefault="0040090D" w:rsidP="00717F31">
      <w:pPr>
        <w:pStyle w:val="ListParagraph"/>
        <w:numPr>
          <w:ilvl w:val="0"/>
          <w:numId w:val="37"/>
        </w:numPr>
        <w:spacing w:before="120" w:after="120"/>
        <w:ind w:left="0" w:firstLine="0"/>
        <w:contextualSpacing w:val="0"/>
        <w:rPr>
          <w:snapToGrid w:val="0"/>
          <w:kern w:val="22"/>
          <w:szCs w:val="22"/>
        </w:rPr>
      </w:pPr>
      <w:r w:rsidRPr="00717F31">
        <w:rPr>
          <w:snapToGrid w:val="0"/>
          <w:kern w:val="22"/>
          <w:szCs w:val="22"/>
        </w:rPr>
        <w:t xml:space="preserve">The </w:t>
      </w:r>
      <w:r w:rsidRPr="00717F31">
        <w:rPr>
          <w:iCs/>
          <w:snapToGrid w:val="0"/>
          <w:kern w:val="22"/>
          <w:szCs w:val="22"/>
        </w:rPr>
        <w:t xml:space="preserve">Executive Secretary was requested to prepare a preliminary review of the experience in </w:t>
      </w:r>
      <w:r w:rsidR="00C33250" w:rsidRPr="00717F31">
        <w:rPr>
          <w:iCs/>
          <w:snapToGrid w:val="0"/>
          <w:kern w:val="22"/>
          <w:szCs w:val="22"/>
        </w:rPr>
        <w:t xml:space="preserve">convening </w:t>
      </w:r>
      <w:r w:rsidRPr="00717F31">
        <w:rPr>
          <w:iCs/>
          <w:snapToGrid w:val="0"/>
          <w:kern w:val="22"/>
          <w:szCs w:val="22"/>
        </w:rPr>
        <w:t xml:space="preserve">concurrent meetings, using the agreed criteria, for consideration by the Subsidiary Body on Implementation at its second meeting. </w:t>
      </w:r>
      <w:r w:rsidR="005945B6" w:rsidRPr="00717F31">
        <w:rPr>
          <w:snapToGrid w:val="0"/>
          <w:kern w:val="22"/>
          <w:szCs w:val="22"/>
        </w:rPr>
        <w:t xml:space="preserve">The review </w:t>
      </w:r>
      <w:r w:rsidRPr="00717F31">
        <w:rPr>
          <w:snapToGrid w:val="0"/>
          <w:kern w:val="22"/>
          <w:szCs w:val="22"/>
        </w:rPr>
        <w:t>is</w:t>
      </w:r>
      <w:r w:rsidR="005945B6" w:rsidRPr="00717F31">
        <w:rPr>
          <w:snapToGrid w:val="0"/>
          <w:kern w:val="22"/>
          <w:szCs w:val="22"/>
        </w:rPr>
        <w:t xml:space="preserve"> available in </w:t>
      </w:r>
      <w:r w:rsidRPr="00717F31">
        <w:rPr>
          <w:snapToGrid w:val="0"/>
          <w:kern w:val="22"/>
          <w:szCs w:val="22"/>
        </w:rPr>
        <w:t xml:space="preserve">an addendum </w:t>
      </w:r>
      <w:r w:rsidR="003047C0" w:rsidRPr="00717F31">
        <w:rPr>
          <w:snapToGrid w:val="0"/>
          <w:kern w:val="22"/>
          <w:szCs w:val="22"/>
        </w:rPr>
        <w:t>CBD/</w:t>
      </w:r>
      <w:r w:rsidRPr="00717F31">
        <w:rPr>
          <w:snapToGrid w:val="0"/>
          <w:kern w:val="22"/>
          <w:szCs w:val="22"/>
        </w:rPr>
        <w:t>SBI/2/16/Add.1, supplemented by two information notes (</w:t>
      </w:r>
      <w:r w:rsidR="003047C0" w:rsidRPr="00717F31">
        <w:rPr>
          <w:snapToGrid w:val="0"/>
          <w:kern w:val="22"/>
          <w:szCs w:val="22"/>
        </w:rPr>
        <w:t>CBD/</w:t>
      </w:r>
      <w:r w:rsidRPr="00717F31">
        <w:rPr>
          <w:snapToGrid w:val="0"/>
          <w:kern w:val="22"/>
          <w:szCs w:val="22"/>
        </w:rPr>
        <w:t xml:space="preserve">SBI/2/INF/1 and </w:t>
      </w:r>
      <w:r w:rsidR="003047C0" w:rsidRPr="00717F31">
        <w:rPr>
          <w:snapToGrid w:val="0"/>
          <w:kern w:val="22"/>
          <w:szCs w:val="22"/>
        </w:rPr>
        <w:t>CBD/</w:t>
      </w:r>
      <w:r w:rsidRPr="00717F31">
        <w:rPr>
          <w:snapToGrid w:val="0"/>
          <w:kern w:val="22"/>
          <w:szCs w:val="22"/>
        </w:rPr>
        <w:t>SBI/2/INF/2).</w:t>
      </w:r>
    </w:p>
    <w:p w:rsidR="0040090D" w:rsidRPr="00717F31" w:rsidRDefault="0040090D" w:rsidP="00717F31">
      <w:pPr>
        <w:pStyle w:val="ListParagraph"/>
        <w:numPr>
          <w:ilvl w:val="0"/>
          <w:numId w:val="37"/>
        </w:numPr>
        <w:spacing w:before="120" w:after="120"/>
        <w:ind w:left="0" w:firstLine="0"/>
        <w:contextualSpacing w:val="0"/>
        <w:rPr>
          <w:snapToGrid w:val="0"/>
          <w:kern w:val="22"/>
          <w:szCs w:val="22"/>
        </w:rPr>
      </w:pPr>
      <w:r w:rsidRPr="00717F31">
        <w:rPr>
          <w:snapToGrid w:val="0"/>
          <w:kern w:val="22"/>
          <w:szCs w:val="22"/>
        </w:rPr>
        <w:t xml:space="preserve">Based on the information </w:t>
      </w:r>
      <w:r w:rsidR="003047C0" w:rsidRPr="00717F31">
        <w:rPr>
          <w:snapToGrid w:val="0"/>
          <w:kern w:val="22"/>
          <w:szCs w:val="22"/>
        </w:rPr>
        <w:t>i</w:t>
      </w:r>
      <w:r w:rsidRPr="00717F31">
        <w:rPr>
          <w:snapToGrid w:val="0"/>
          <w:kern w:val="22"/>
          <w:szCs w:val="22"/>
        </w:rPr>
        <w:t xml:space="preserve">n </w:t>
      </w:r>
      <w:r w:rsidR="003047C0" w:rsidRPr="00717F31">
        <w:rPr>
          <w:snapToGrid w:val="0"/>
          <w:kern w:val="22"/>
          <w:szCs w:val="22"/>
        </w:rPr>
        <w:t>CBD/</w:t>
      </w:r>
      <w:r w:rsidRPr="00717F31">
        <w:rPr>
          <w:snapToGrid w:val="0"/>
          <w:kern w:val="22"/>
          <w:szCs w:val="22"/>
        </w:rPr>
        <w:t xml:space="preserve">SBI/2/16/Add.1 and </w:t>
      </w:r>
      <w:r w:rsidR="003047C0" w:rsidRPr="00717F31">
        <w:rPr>
          <w:snapToGrid w:val="0"/>
          <w:kern w:val="22"/>
          <w:szCs w:val="22"/>
        </w:rPr>
        <w:t>CBD/</w:t>
      </w:r>
      <w:r w:rsidRPr="00717F31">
        <w:rPr>
          <w:snapToGrid w:val="0"/>
          <w:kern w:val="22"/>
          <w:szCs w:val="22"/>
        </w:rPr>
        <w:t>SBI/2/INF/1, elements of a draft recommendation are provided in section IV.</w:t>
      </w:r>
    </w:p>
    <w:p w:rsidR="0040090D" w:rsidRPr="00717F31" w:rsidRDefault="0040090D" w:rsidP="00717F31">
      <w:pPr>
        <w:pStyle w:val="ListParagraph"/>
        <w:numPr>
          <w:ilvl w:val="0"/>
          <w:numId w:val="37"/>
        </w:numPr>
        <w:spacing w:before="120" w:after="120"/>
        <w:ind w:left="0" w:firstLine="0"/>
        <w:contextualSpacing w:val="0"/>
        <w:rPr>
          <w:snapToGrid w:val="0"/>
          <w:kern w:val="22"/>
          <w:szCs w:val="22"/>
        </w:rPr>
      </w:pPr>
      <w:r w:rsidRPr="00717F31">
        <w:rPr>
          <w:snapToGrid w:val="0"/>
          <w:kern w:val="22"/>
          <w:szCs w:val="22"/>
        </w:rPr>
        <w:t xml:space="preserve">In addition to reviewing the experience of holding </w:t>
      </w:r>
      <w:r w:rsidR="00C71DB6" w:rsidRPr="00717F31">
        <w:rPr>
          <w:snapToGrid w:val="0"/>
          <w:kern w:val="22"/>
          <w:szCs w:val="22"/>
        </w:rPr>
        <w:t xml:space="preserve">the </w:t>
      </w:r>
      <w:r w:rsidRPr="00717F31">
        <w:rPr>
          <w:snapToGrid w:val="0"/>
          <w:kern w:val="22"/>
          <w:szCs w:val="22"/>
        </w:rPr>
        <w:t xml:space="preserve">meetings of the </w:t>
      </w:r>
      <w:r w:rsidR="00C71DB6" w:rsidRPr="00717F31">
        <w:rPr>
          <w:snapToGrid w:val="0"/>
          <w:kern w:val="22"/>
          <w:szCs w:val="22"/>
        </w:rPr>
        <w:t>three governing</w:t>
      </w:r>
      <w:r w:rsidRPr="00717F31">
        <w:rPr>
          <w:snapToGrid w:val="0"/>
          <w:kern w:val="22"/>
          <w:szCs w:val="22"/>
        </w:rPr>
        <w:t xml:space="preserve"> bodies concurrently, </w:t>
      </w:r>
      <w:r w:rsidR="003047C0" w:rsidRPr="00717F31">
        <w:rPr>
          <w:snapToGrid w:val="0"/>
          <w:kern w:val="22"/>
          <w:szCs w:val="22"/>
        </w:rPr>
        <w:t>CBD/</w:t>
      </w:r>
      <w:r w:rsidRPr="00717F31">
        <w:rPr>
          <w:snapToGrid w:val="0"/>
          <w:kern w:val="22"/>
          <w:szCs w:val="22"/>
        </w:rPr>
        <w:t>SBI/2/INF/2, provides other information on the views of participants in the meetings, concerning the format of the high-level segment, side events and parallel events, and some logistical matters. The main points from this review are summarized in the following paragraphs.</w:t>
      </w:r>
    </w:p>
    <w:p w:rsidR="008C0535" w:rsidRPr="00717F31" w:rsidRDefault="004555F9" w:rsidP="00717F31">
      <w:pPr>
        <w:pStyle w:val="ListParagraph"/>
        <w:numPr>
          <w:ilvl w:val="0"/>
          <w:numId w:val="37"/>
        </w:numPr>
        <w:spacing w:before="120" w:after="120"/>
        <w:ind w:left="0" w:firstLine="0"/>
        <w:contextualSpacing w:val="0"/>
        <w:rPr>
          <w:snapToGrid w:val="0"/>
          <w:kern w:val="22"/>
          <w:szCs w:val="22"/>
        </w:rPr>
      </w:pPr>
      <w:r w:rsidRPr="00717F31">
        <w:rPr>
          <w:snapToGrid w:val="0"/>
          <w:kern w:val="22"/>
          <w:szCs w:val="22"/>
        </w:rPr>
        <w:t xml:space="preserve">Overall, with regard to the </w:t>
      </w:r>
      <w:r w:rsidR="003047C0" w:rsidRPr="00717F31">
        <w:rPr>
          <w:snapToGrid w:val="0"/>
          <w:kern w:val="22"/>
          <w:szCs w:val="22"/>
        </w:rPr>
        <w:t>h</w:t>
      </w:r>
      <w:r w:rsidRPr="00717F31">
        <w:rPr>
          <w:snapToGrid w:val="0"/>
          <w:kern w:val="22"/>
          <w:szCs w:val="22"/>
        </w:rPr>
        <w:t>igh</w:t>
      </w:r>
      <w:r w:rsidR="003047C0" w:rsidRPr="00717F31">
        <w:rPr>
          <w:snapToGrid w:val="0"/>
          <w:kern w:val="22"/>
          <w:szCs w:val="22"/>
        </w:rPr>
        <w:t>-l</w:t>
      </w:r>
      <w:r w:rsidRPr="00717F31">
        <w:rPr>
          <w:snapToGrid w:val="0"/>
          <w:kern w:val="22"/>
          <w:szCs w:val="22"/>
        </w:rPr>
        <w:t xml:space="preserve">evel </w:t>
      </w:r>
      <w:r w:rsidR="003047C0" w:rsidRPr="00717F31">
        <w:rPr>
          <w:snapToGrid w:val="0"/>
          <w:kern w:val="22"/>
          <w:szCs w:val="22"/>
        </w:rPr>
        <w:t>s</w:t>
      </w:r>
      <w:r w:rsidRPr="00717F31">
        <w:rPr>
          <w:snapToGrid w:val="0"/>
          <w:kern w:val="22"/>
          <w:szCs w:val="22"/>
        </w:rPr>
        <w:t>egment, the involvement of different sectors and ministers was felt to have promoted the consideration of mainstreaming and promoted dialogue. However, a number of respondents noted that it would have been more effective if there had been </w:t>
      </w:r>
      <w:r w:rsidR="006E4B9C" w:rsidRPr="00717F31">
        <w:rPr>
          <w:snapToGrid w:val="0"/>
          <w:kern w:val="22"/>
          <w:szCs w:val="22"/>
        </w:rPr>
        <w:t>further</w:t>
      </w:r>
      <w:r w:rsidRPr="00717F31">
        <w:rPr>
          <w:snapToGrid w:val="0"/>
          <w:kern w:val="22"/>
          <w:szCs w:val="22"/>
        </w:rPr>
        <w:t xml:space="preserve"> opportunities for discussion. With regard to the timing of the </w:t>
      </w:r>
      <w:r w:rsidR="003047C0" w:rsidRPr="00717F31">
        <w:rPr>
          <w:snapToGrid w:val="0"/>
          <w:kern w:val="22"/>
          <w:szCs w:val="22"/>
        </w:rPr>
        <w:t>h</w:t>
      </w:r>
      <w:r w:rsidRPr="00717F31">
        <w:rPr>
          <w:snapToGrid w:val="0"/>
          <w:kern w:val="22"/>
          <w:szCs w:val="22"/>
        </w:rPr>
        <w:t>igh</w:t>
      </w:r>
      <w:r w:rsidR="003047C0" w:rsidRPr="00717F31">
        <w:rPr>
          <w:snapToGrid w:val="0"/>
          <w:kern w:val="22"/>
          <w:szCs w:val="22"/>
        </w:rPr>
        <w:t>-l</w:t>
      </w:r>
      <w:r w:rsidRPr="00717F31">
        <w:rPr>
          <w:snapToGrid w:val="0"/>
          <w:kern w:val="22"/>
          <w:szCs w:val="22"/>
        </w:rPr>
        <w:t xml:space="preserve">evel </w:t>
      </w:r>
      <w:r w:rsidR="003047C0" w:rsidRPr="00717F31">
        <w:rPr>
          <w:snapToGrid w:val="0"/>
          <w:kern w:val="22"/>
          <w:szCs w:val="22"/>
        </w:rPr>
        <w:t>s</w:t>
      </w:r>
      <w:r w:rsidRPr="00717F31">
        <w:rPr>
          <w:snapToGrid w:val="0"/>
          <w:kern w:val="22"/>
          <w:szCs w:val="22"/>
        </w:rPr>
        <w:t>egment, respondents generally felt that having the segment before the official start of the concurrent meetings was effective. However</w:t>
      </w:r>
      <w:r w:rsidR="003047C0" w:rsidRPr="00717F31">
        <w:rPr>
          <w:snapToGrid w:val="0"/>
          <w:kern w:val="22"/>
          <w:szCs w:val="22"/>
        </w:rPr>
        <w:t>,</w:t>
      </w:r>
      <w:r w:rsidRPr="00717F31">
        <w:rPr>
          <w:snapToGrid w:val="0"/>
          <w:kern w:val="22"/>
          <w:szCs w:val="22"/>
        </w:rPr>
        <w:t xml:space="preserve"> some respondents noted that this </w:t>
      </w:r>
      <w:r w:rsidR="006E4B9C" w:rsidRPr="00717F31">
        <w:rPr>
          <w:snapToGrid w:val="0"/>
          <w:kern w:val="22"/>
          <w:szCs w:val="22"/>
        </w:rPr>
        <w:t>also led to the disadvantage that</w:t>
      </w:r>
      <w:r w:rsidRPr="00717F31">
        <w:rPr>
          <w:snapToGrid w:val="0"/>
          <w:kern w:val="22"/>
          <w:szCs w:val="22"/>
        </w:rPr>
        <w:t xml:space="preserve"> </w:t>
      </w:r>
      <w:r w:rsidR="006E4B9C" w:rsidRPr="00717F31">
        <w:rPr>
          <w:snapToGrid w:val="0"/>
          <w:kern w:val="22"/>
          <w:szCs w:val="22"/>
        </w:rPr>
        <w:t>many</w:t>
      </w:r>
      <w:r w:rsidRPr="00717F31">
        <w:rPr>
          <w:snapToGrid w:val="0"/>
          <w:kern w:val="22"/>
          <w:szCs w:val="22"/>
        </w:rPr>
        <w:t xml:space="preserve"> high</w:t>
      </w:r>
      <w:r w:rsidR="00F04F1A" w:rsidRPr="00717F31">
        <w:rPr>
          <w:snapToGrid w:val="0"/>
          <w:kern w:val="22"/>
          <w:szCs w:val="22"/>
        </w:rPr>
        <w:t>-</w:t>
      </w:r>
      <w:r w:rsidRPr="00717F31">
        <w:rPr>
          <w:snapToGrid w:val="0"/>
          <w:kern w:val="22"/>
          <w:szCs w:val="22"/>
        </w:rPr>
        <w:t xml:space="preserve">level participants were not available to help address contentious issues at the end of the </w:t>
      </w:r>
      <w:r w:rsidR="006E4B9C" w:rsidRPr="00717F31">
        <w:rPr>
          <w:snapToGrid w:val="0"/>
          <w:kern w:val="22"/>
          <w:szCs w:val="22"/>
        </w:rPr>
        <w:t>meetin</w:t>
      </w:r>
      <w:r w:rsidR="003047C0" w:rsidRPr="00717F31">
        <w:rPr>
          <w:snapToGrid w:val="0"/>
          <w:kern w:val="22"/>
          <w:szCs w:val="22"/>
        </w:rPr>
        <w:t>g</w:t>
      </w:r>
      <w:r w:rsidR="006E4B9C" w:rsidRPr="00717F31">
        <w:rPr>
          <w:snapToGrid w:val="0"/>
          <w:kern w:val="22"/>
          <w:szCs w:val="22"/>
        </w:rPr>
        <w:t>s</w:t>
      </w:r>
      <w:r w:rsidRPr="00717F31">
        <w:rPr>
          <w:snapToGrid w:val="0"/>
          <w:kern w:val="22"/>
          <w:szCs w:val="22"/>
        </w:rPr>
        <w:t>. Regarding the timing of future high</w:t>
      </w:r>
      <w:r w:rsidR="003047C0" w:rsidRPr="00717F31">
        <w:rPr>
          <w:snapToGrid w:val="0"/>
          <w:kern w:val="22"/>
          <w:szCs w:val="22"/>
        </w:rPr>
        <w:t>-</w:t>
      </w:r>
      <w:r w:rsidRPr="00717F31">
        <w:rPr>
          <w:snapToGrid w:val="0"/>
          <w:kern w:val="22"/>
          <w:szCs w:val="22"/>
        </w:rPr>
        <w:t>level segments</w:t>
      </w:r>
      <w:r w:rsidR="003047C0" w:rsidRPr="00717F31">
        <w:rPr>
          <w:snapToGrid w:val="0"/>
          <w:kern w:val="22"/>
          <w:szCs w:val="22"/>
        </w:rPr>
        <w:t>,</w:t>
      </w:r>
      <w:r w:rsidRPr="00717F31">
        <w:rPr>
          <w:snapToGrid w:val="0"/>
          <w:kern w:val="22"/>
          <w:szCs w:val="22"/>
        </w:rPr>
        <w:t xml:space="preserve"> while the majority of respondents indicated that </w:t>
      </w:r>
      <w:r w:rsidR="006E4B9C" w:rsidRPr="00717F31">
        <w:rPr>
          <w:snapToGrid w:val="0"/>
          <w:kern w:val="22"/>
          <w:szCs w:val="22"/>
        </w:rPr>
        <w:t xml:space="preserve">they considered that </w:t>
      </w:r>
      <w:r w:rsidRPr="00717F31">
        <w:rPr>
          <w:snapToGrid w:val="0"/>
          <w:kern w:val="22"/>
          <w:szCs w:val="22"/>
        </w:rPr>
        <w:t xml:space="preserve">these should continue to be held before the official start of the </w:t>
      </w:r>
      <w:r w:rsidR="006E4B9C" w:rsidRPr="00717F31">
        <w:rPr>
          <w:snapToGrid w:val="0"/>
          <w:kern w:val="22"/>
          <w:szCs w:val="22"/>
        </w:rPr>
        <w:t>meetings,</w:t>
      </w:r>
      <w:r w:rsidRPr="00717F31">
        <w:rPr>
          <w:snapToGrid w:val="0"/>
          <w:kern w:val="22"/>
          <w:szCs w:val="22"/>
        </w:rPr>
        <w:t xml:space="preserve"> respondents were more divided in their views.</w:t>
      </w:r>
      <w:r w:rsidR="006E4B9C" w:rsidRPr="00717F31">
        <w:rPr>
          <w:snapToGrid w:val="0"/>
          <w:kern w:val="22"/>
          <w:szCs w:val="22"/>
        </w:rPr>
        <w:t xml:space="preserve"> S</w:t>
      </w:r>
      <w:r w:rsidRPr="00717F31">
        <w:rPr>
          <w:snapToGrid w:val="0"/>
          <w:kern w:val="22"/>
          <w:szCs w:val="22"/>
        </w:rPr>
        <w:t xml:space="preserve">everal respondents pointed out </w:t>
      </w:r>
      <w:r w:rsidR="00F04F1A" w:rsidRPr="00717F31">
        <w:rPr>
          <w:snapToGrid w:val="0"/>
          <w:kern w:val="22"/>
          <w:szCs w:val="22"/>
        </w:rPr>
        <w:t xml:space="preserve">that </w:t>
      </w:r>
      <w:r w:rsidRPr="00717F31">
        <w:rPr>
          <w:snapToGrid w:val="0"/>
          <w:kern w:val="22"/>
          <w:szCs w:val="22"/>
        </w:rPr>
        <w:t xml:space="preserve">the timing of the </w:t>
      </w:r>
      <w:r w:rsidR="003047C0" w:rsidRPr="00717F31">
        <w:rPr>
          <w:snapToGrid w:val="0"/>
          <w:kern w:val="22"/>
          <w:szCs w:val="22"/>
        </w:rPr>
        <w:t>h</w:t>
      </w:r>
      <w:r w:rsidRPr="00717F31">
        <w:rPr>
          <w:snapToGrid w:val="0"/>
          <w:kern w:val="22"/>
          <w:szCs w:val="22"/>
        </w:rPr>
        <w:t>igh</w:t>
      </w:r>
      <w:r w:rsidR="003047C0" w:rsidRPr="00717F31">
        <w:rPr>
          <w:snapToGrid w:val="0"/>
          <w:kern w:val="22"/>
          <w:szCs w:val="22"/>
        </w:rPr>
        <w:t>-l</w:t>
      </w:r>
      <w:r w:rsidRPr="00717F31">
        <w:rPr>
          <w:snapToGrid w:val="0"/>
          <w:kern w:val="22"/>
          <w:szCs w:val="22"/>
        </w:rPr>
        <w:t xml:space="preserve">evel </w:t>
      </w:r>
      <w:r w:rsidR="003047C0" w:rsidRPr="00717F31">
        <w:rPr>
          <w:snapToGrid w:val="0"/>
          <w:kern w:val="22"/>
          <w:szCs w:val="22"/>
        </w:rPr>
        <w:t>s</w:t>
      </w:r>
      <w:r w:rsidRPr="00717F31">
        <w:rPr>
          <w:snapToGrid w:val="0"/>
          <w:kern w:val="22"/>
          <w:szCs w:val="22"/>
        </w:rPr>
        <w:t xml:space="preserve">egment should be based </w:t>
      </w:r>
      <w:r w:rsidR="00F04F1A" w:rsidRPr="00717F31">
        <w:rPr>
          <w:snapToGrid w:val="0"/>
          <w:kern w:val="22"/>
          <w:szCs w:val="22"/>
        </w:rPr>
        <w:t xml:space="preserve">on </w:t>
      </w:r>
      <w:r w:rsidRPr="00717F31">
        <w:rPr>
          <w:snapToGrid w:val="0"/>
          <w:kern w:val="22"/>
          <w:szCs w:val="22"/>
        </w:rPr>
        <w:t xml:space="preserve">the goal </w:t>
      </w:r>
      <w:r w:rsidR="00F04F1A" w:rsidRPr="00717F31">
        <w:rPr>
          <w:snapToGrid w:val="0"/>
          <w:kern w:val="22"/>
          <w:szCs w:val="22"/>
        </w:rPr>
        <w:t xml:space="preserve">of </w:t>
      </w:r>
      <w:r w:rsidRPr="00717F31">
        <w:rPr>
          <w:snapToGrid w:val="0"/>
          <w:kern w:val="22"/>
          <w:szCs w:val="22"/>
        </w:rPr>
        <w:t xml:space="preserve">the </w:t>
      </w:r>
      <w:r w:rsidR="003047C0" w:rsidRPr="00717F31">
        <w:rPr>
          <w:snapToGrid w:val="0"/>
          <w:kern w:val="22"/>
          <w:szCs w:val="22"/>
        </w:rPr>
        <w:t>h</w:t>
      </w:r>
      <w:r w:rsidRPr="00717F31">
        <w:rPr>
          <w:snapToGrid w:val="0"/>
          <w:kern w:val="22"/>
          <w:szCs w:val="22"/>
        </w:rPr>
        <w:t>igh</w:t>
      </w:r>
      <w:r w:rsidR="003047C0" w:rsidRPr="00717F31">
        <w:rPr>
          <w:snapToGrid w:val="0"/>
          <w:kern w:val="22"/>
          <w:szCs w:val="22"/>
        </w:rPr>
        <w:t>-l</w:t>
      </w:r>
      <w:r w:rsidRPr="00717F31">
        <w:rPr>
          <w:snapToGrid w:val="0"/>
          <w:kern w:val="22"/>
          <w:szCs w:val="22"/>
        </w:rPr>
        <w:t xml:space="preserve">evel </w:t>
      </w:r>
      <w:r w:rsidR="003047C0" w:rsidRPr="00717F31">
        <w:rPr>
          <w:snapToGrid w:val="0"/>
          <w:kern w:val="22"/>
          <w:szCs w:val="22"/>
        </w:rPr>
        <w:t>s</w:t>
      </w:r>
      <w:r w:rsidRPr="00717F31">
        <w:rPr>
          <w:snapToGrid w:val="0"/>
          <w:kern w:val="22"/>
          <w:szCs w:val="22"/>
        </w:rPr>
        <w:t xml:space="preserve">egment </w:t>
      </w:r>
      <w:r w:rsidR="006E4B9C" w:rsidRPr="00717F31">
        <w:rPr>
          <w:snapToGrid w:val="0"/>
          <w:kern w:val="22"/>
          <w:szCs w:val="22"/>
        </w:rPr>
        <w:t xml:space="preserve">and the issues being discussed, and </w:t>
      </w:r>
      <w:r w:rsidR="00F04F1A" w:rsidRPr="00717F31">
        <w:rPr>
          <w:snapToGrid w:val="0"/>
          <w:kern w:val="22"/>
          <w:szCs w:val="22"/>
        </w:rPr>
        <w:t>that it</w:t>
      </w:r>
      <w:r w:rsidR="006E4B9C" w:rsidRPr="00717F31">
        <w:rPr>
          <w:snapToGrid w:val="0"/>
          <w:kern w:val="22"/>
          <w:szCs w:val="22"/>
        </w:rPr>
        <w:t xml:space="preserve"> should </w:t>
      </w:r>
      <w:r w:rsidR="00F04F1A" w:rsidRPr="00717F31">
        <w:rPr>
          <w:snapToGrid w:val="0"/>
          <w:kern w:val="22"/>
          <w:szCs w:val="22"/>
        </w:rPr>
        <w:t xml:space="preserve">therefore </w:t>
      </w:r>
      <w:r w:rsidR="006E4B9C" w:rsidRPr="00717F31">
        <w:rPr>
          <w:snapToGrid w:val="0"/>
          <w:kern w:val="22"/>
          <w:szCs w:val="22"/>
        </w:rPr>
        <w:t>be decided on a case</w:t>
      </w:r>
      <w:r w:rsidR="00F04F1A" w:rsidRPr="00717F31">
        <w:rPr>
          <w:snapToGrid w:val="0"/>
          <w:kern w:val="22"/>
          <w:szCs w:val="22"/>
        </w:rPr>
        <w:t>-</w:t>
      </w:r>
      <w:r w:rsidR="006E4B9C" w:rsidRPr="00717F31">
        <w:rPr>
          <w:snapToGrid w:val="0"/>
          <w:kern w:val="22"/>
          <w:szCs w:val="22"/>
        </w:rPr>
        <w:t>by</w:t>
      </w:r>
      <w:r w:rsidR="00F04F1A" w:rsidRPr="00717F31">
        <w:rPr>
          <w:snapToGrid w:val="0"/>
          <w:kern w:val="22"/>
          <w:szCs w:val="22"/>
        </w:rPr>
        <w:t>-</w:t>
      </w:r>
      <w:r w:rsidR="006E4B9C" w:rsidRPr="00717F31">
        <w:rPr>
          <w:snapToGrid w:val="0"/>
          <w:kern w:val="22"/>
          <w:szCs w:val="22"/>
        </w:rPr>
        <w:t>case basis.</w:t>
      </w:r>
    </w:p>
    <w:p w:rsidR="008C0535" w:rsidRPr="00717F31" w:rsidRDefault="004555F9" w:rsidP="00717F31">
      <w:pPr>
        <w:pStyle w:val="ListParagraph"/>
        <w:numPr>
          <w:ilvl w:val="0"/>
          <w:numId w:val="37"/>
        </w:numPr>
        <w:spacing w:before="120" w:after="120"/>
        <w:ind w:left="0" w:firstLine="0"/>
        <w:contextualSpacing w:val="0"/>
        <w:rPr>
          <w:snapToGrid w:val="0"/>
          <w:kern w:val="22"/>
          <w:szCs w:val="22"/>
        </w:rPr>
      </w:pPr>
      <w:r w:rsidRPr="00717F31">
        <w:rPr>
          <w:snapToGrid w:val="0"/>
          <w:kern w:val="22"/>
          <w:szCs w:val="22"/>
        </w:rPr>
        <w:t>With regard to side events, parallel events and the CEPA fair</w:t>
      </w:r>
      <w:r w:rsidR="006E4B9C" w:rsidRPr="00717F31">
        <w:rPr>
          <w:snapToGrid w:val="0"/>
          <w:kern w:val="22"/>
          <w:szCs w:val="22"/>
        </w:rPr>
        <w:t>,</w:t>
      </w:r>
      <w:r w:rsidRPr="00717F31">
        <w:rPr>
          <w:snapToGrid w:val="0"/>
          <w:kern w:val="22"/>
          <w:szCs w:val="22"/>
        </w:rPr>
        <w:t xml:space="preserve"> respondents felt that the topics these addressed were relevant. However, a number of respondents felt that there were perhaps too many events</w:t>
      </w:r>
      <w:r w:rsidR="00C33250" w:rsidRPr="00717F31">
        <w:rPr>
          <w:snapToGrid w:val="0"/>
          <w:kern w:val="22"/>
          <w:szCs w:val="22"/>
        </w:rPr>
        <w:t>.</w:t>
      </w:r>
      <w:r w:rsidRPr="00717F31">
        <w:rPr>
          <w:snapToGrid w:val="0"/>
          <w:kern w:val="22"/>
          <w:szCs w:val="22"/>
        </w:rPr>
        <w:t xml:space="preserve"> </w:t>
      </w:r>
      <w:r w:rsidR="002D4A8F" w:rsidRPr="00717F31">
        <w:rPr>
          <w:snapToGrid w:val="0"/>
          <w:kern w:val="22"/>
          <w:szCs w:val="22"/>
        </w:rPr>
        <w:t>F</w:t>
      </w:r>
      <w:r w:rsidR="00C33250" w:rsidRPr="00717F31">
        <w:rPr>
          <w:snapToGrid w:val="0"/>
          <w:kern w:val="22"/>
          <w:szCs w:val="22"/>
        </w:rPr>
        <w:t>urther</w:t>
      </w:r>
      <w:r w:rsidR="002D4A8F" w:rsidRPr="00717F31">
        <w:rPr>
          <w:snapToGrid w:val="0"/>
          <w:kern w:val="22"/>
          <w:szCs w:val="22"/>
        </w:rPr>
        <w:t>,</w:t>
      </w:r>
      <w:r w:rsidR="00C33250" w:rsidRPr="00717F31">
        <w:rPr>
          <w:snapToGrid w:val="0"/>
          <w:kern w:val="22"/>
          <w:szCs w:val="22"/>
        </w:rPr>
        <w:t xml:space="preserve"> </w:t>
      </w:r>
      <w:r w:rsidRPr="00717F31">
        <w:rPr>
          <w:snapToGrid w:val="0"/>
          <w:kern w:val="22"/>
          <w:szCs w:val="22"/>
        </w:rPr>
        <w:t xml:space="preserve">a number of respondents indicated </w:t>
      </w:r>
      <w:r w:rsidR="006E4B9C" w:rsidRPr="00717F31">
        <w:rPr>
          <w:snapToGrid w:val="0"/>
          <w:kern w:val="22"/>
          <w:szCs w:val="22"/>
        </w:rPr>
        <w:t xml:space="preserve">that they did not attend such events </w:t>
      </w:r>
      <w:r w:rsidRPr="00717F31">
        <w:rPr>
          <w:snapToGrid w:val="0"/>
          <w:kern w:val="22"/>
          <w:szCs w:val="22"/>
        </w:rPr>
        <w:t>owing to the limited time they had available.</w:t>
      </w:r>
      <w:r w:rsidR="006E4B9C" w:rsidRPr="00717F31">
        <w:rPr>
          <w:snapToGrid w:val="0"/>
          <w:kern w:val="22"/>
          <w:szCs w:val="22"/>
        </w:rPr>
        <w:t xml:space="preserve"> I</w:t>
      </w:r>
      <w:r w:rsidRPr="00717F31">
        <w:rPr>
          <w:snapToGrid w:val="0"/>
          <w:kern w:val="22"/>
          <w:szCs w:val="22"/>
        </w:rPr>
        <w:t xml:space="preserve">t was also noted </w:t>
      </w:r>
      <w:r w:rsidR="006E4B9C" w:rsidRPr="00717F31">
        <w:rPr>
          <w:snapToGrid w:val="0"/>
          <w:kern w:val="22"/>
          <w:szCs w:val="22"/>
        </w:rPr>
        <w:t>that the</w:t>
      </w:r>
      <w:r w:rsidRPr="00717F31">
        <w:rPr>
          <w:snapToGrid w:val="0"/>
          <w:kern w:val="22"/>
          <w:szCs w:val="22"/>
        </w:rPr>
        <w:t xml:space="preserve"> events </w:t>
      </w:r>
      <w:r w:rsidR="006E4B9C" w:rsidRPr="00717F31">
        <w:rPr>
          <w:snapToGrid w:val="0"/>
          <w:kern w:val="22"/>
          <w:szCs w:val="22"/>
        </w:rPr>
        <w:t>were</w:t>
      </w:r>
      <w:r w:rsidRPr="00717F31">
        <w:rPr>
          <w:snapToGrid w:val="0"/>
          <w:kern w:val="22"/>
          <w:szCs w:val="22"/>
        </w:rPr>
        <w:t xml:space="preserve"> important </w:t>
      </w:r>
      <w:r w:rsidR="002D4A8F" w:rsidRPr="00717F31">
        <w:rPr>
          <w:snapToGrid w:val="0"/>
          <w:kern w:val="22"/>
          <w:szCs w:val="22"/>
        </w:rPr>
        <w:t xml:space="preserve">for </w:t>
      </w:r>
      <w:r w:rsidRPr="00717F31">
        <w:rPr>
          <w:snapToGrid w:val="0"/>
          <w:kern w:val="22"/>
          <w:szCs w:val="22"/>
        </w:rPr>
        <w:t xml:space="preserve">ensuring </w:t>
      </w:r>
      <w:r w:rsidR="002D4A8F" w:rsidRPr="00717F31">
        <w:rPr>
          <w:snapToGrid w:val="0"/>
          <w:kern w:val="22"/>
          <w:szCs w:val="22"/>
        </w:rPr>
        <w:t xml:space="preserve">that </w:t>
      </w:r>
      <w:r w:rsidRPr="00717F31">
        <w:rPr>
          <w:snapToGrid w:val="0"/>
          <w:kern w:val="22"/>
          <w:szCs w:val="22"/>
        </w:rPr>
        <w:t xml:space="preserve">different perspectives and </w:t>
      </w:r>
      <w:r w:rsidR="006E4B9C" w:rsidRPr="00717F31">
        <w:rPr>
          <w:snapToGrid w:val="0"/>
          <w:kern w:val="22"/>
          <w:szCs w:val="22"/>
        </w:rPr>
        <w:t>viewpoints could be share</w:t>
      </w:r>
      <w:r w:rsidR="00C33250" w:rsidRPr="00717F31">
        <w:rPr>
          <w:snapToGrid w:val="0"/>
          <w:kern w:val="22"/>
          <w:szCs w:val="22"/>
        </w:rPr>
        <w:t>d</w:t>
      </w:r>
      <w:r w:rsidRPr="00717F31">
        <w:rPr>
          <w:snapToGrid w:val="0"/>
          <w:kern w:val="22"/>
          <w:szCs w:val="22"/>
        </w:rPr>
        <w:t>.</w:t>
      </w:r>
    </w:p>
    <w:p w:rsidR="004555F9" w:rsidRPr="00717F31" w:rsidRDefault="006E4B9C" w:rsidP="00717F31">
      <w:pPr>
        <w:pStyle w:val="ListParagraph"/>
        <w:numPr>
          <w:ilvl w:val="0"/>
          <w:numId w:val="37"/>
        </w:numPr>
        <w:spacing w:before="120" w:after="120"/>
        <w:ind w:left="0" w:firstLine="0"/>
        <w:contextualSpacing w:val="0"/>
        <w:rPr>
          <w:snapToGrid w:val="0"/>
          <w:kern w:val="22"/>
          <w:szCs w:val="22"/>
        </w:rPr>
      </w:pPr>
      <w:r w:rsidRPr="00717F31">
        <w:rPr>
          <w:snapToGrid w:val="0"/>
          <w:kern w:val="22"/>
          <w:szCs w:val="22"/>
        </w:rPr>
        <w:t>With regard to logistical matters, t</w:t>
      </w:r>
      <w:r w:rsidR="004555F9" w:rsidRPr="00717F31">
        <w:rPr>
          <w:snapToGrid w:val="0"/>
          <w:kern w:val="22"/>
          <w:szCs w:val="22"/>
        </w:rPr>
        <w:t>he transportation arrangements and the distribution of documents were generally viewed as positive by survey respondents.</w:t>
      </w:r>
    </w:p>
    <w:p w:rsidR="003B0A5F" w:rsidRPr="00717F31" w:rsidRDefault="003B0A5F" w:rsidP="00717F31">
      <w:pPr>
        <w:pStyle w:val="Heading1longmultiline"/>
        <w:tabs>
          <w:tab w:val="clear" w:pos="720"/>
        </w:tabs>
        <w:ind w:left="1440" w:hanging="720"/>
        <w:rPr>
          <w:snapToGrid w:val="0"/>
          <w:kern w:val="22"/>
          <w:szCs w:val="22"/>
        </w:rPr>
      </w:pPr>
      <w:r w:rsidRPr="00717F31">
        <w:rPr>
          <w:snapToGrid w:val="0"/>
          <w:kern w:val="22"/>
          <w:szCs w:val="22"/>
        </w:rPr>
        <w:t>II</w:t>
      </w:r>
      <w:r w:rsidR="008C0535" w:rsidRPr="00717F31">
        <w:rPr>
          <w:snapToGrid w:val="0"/>
          <w:kern w:val="22"/>
          <w:szCs w:val="22"/>
        </w:rPr>
        <w:t>I</w:t>
      </w:r>
      <w:r w:rsidRPr="00717F31">
        <w:rPr>
          <w:snapToGrid w:val="0"/>
          <w:kern w:val="22"/>
          <w:szCs w:val="22"/>
        </w:rPr>
        <w:t>.</w:t>
      </w:r>
      <w:r w:rsidRPr="00717F31">
        <w:rPr>
          <w:snapToGrid w:val="0"/>
          <w:kern w:val="22"/>
          <w:szCs w:val="22"/>
        </w:rPr>
        <w:tab/>
      </w:r>
      <w:r w:rsidR="00C627F6" w:rsidRPr="00717F31">
        <w:rPr>
          <w:snapToGrid w:val="0"/>
          <w:kern w:val="22"/>
          <w:szCs w:val="22"/>
        </w:rPr>
        <w:t xml:space="preserve">AVOIDING AND </w:t>
      </w:r>
      <w:r w:rsidR="001842D1" w:rsidRPr="00717F31">
        <w:rPr>
          <w:snapToGrid w:val="0"/>
          <w:kern w:val="22"/>
          <w:szCs w:val="22"/>
        </w:rPr>
        <w:t xml:space="preserve">MANAGING </w:t>
      </w:r>
      <w:r w:rsidRPr="00717F31">
        <w:rPr>
          <w:snapToGrid w:val="0"/>
          <w:kern w:val="22"/>
          <w:szCs w:val="22"/>
        </w:rPr>
        <w:t>CONFLICT</w:t>
      </w:r>
      <w:r w:rsidR="00C627F6" w:rsidRPr="00717F31">
        <w:rPr>
          <w:snapToGrid w:val="0"/>
          <w:kern w:val="22"/>
          <w:szCs w:val="22"/>
        </w:rPr>
        <w:t>S</w:t>
      </w:r>
      <w:r w:rsidRPr="00717F31">
        <w:rPr>
          <w:snapToGrid w:val="0"/>
          <w:kern w:val="22"/>
          <w:szCs w:val="22"/>
        </w:rPr>
        <w:t xml:space="preserve"> OF INTEREST </w:t>
      </w:r>
      <w:r w:rsidR="001842D1" w:rsidRPr="00717F31">
        <w:rPr>
          <w:snapToGrid w:val="0"/>
          <w:kern w:val="22"/>
          <w:szCs w:val="22"/>
        </w:rPr>
        <w:t xml:space="preserve">TO </w:t>
      </w:r>
      <w:r w:rsidR="00C627F6" w:rsidRPr="00717F31">
        <w:rPr>
          <w:snapToGrid w:val="0"/>
          <w:kern w:val="22"/>
          <w:szCs w:val="22"/>
        </w:rPr>
        <w:t xml:space="preserve">ENHANCE </w:t>
      </w:r>
      <w:r w:rsidR="001842D1" w:rsidRPr="00717F31">
        <w:rPr>
          <w:snapToGrid w:val="0"/>
          <w:kern w:val="22"/>
          <w:szCs w:val="22"/>
        </w:rPr>
        <w:t>THE EFFECTIVENESS OF</w:t>
      </w:r>
      <w:r w:rsidRPr="00717F31">
        <w:rPr>
          <w:snapToGrid w:val="0"/>
          <w:kern w:val="22"/>
          <w:szCs w:val="22"/>
        </w:rPr>
        <w:t xml:space="preserve"> EXPERT GROUPS</w:t>
      </w:r>
    </w:p>
    <w:p w:rsidR="00D772F7" w:rsidRPr="00717F31" w:rsidRDefault="00297E88" w:rsidP="00717F31">
      <w:pPr>
        <w:pStyle w:val="Heading2"/>
        <w:rPr>
          <w:snapToGrid w:val="0"/>
          <w:kern w:val="22"/>
          <w:szCs w:val="22"/>
        </w:rPr>
      </w:pPr>
      <w:r w:rsidRPr="00717F31">
        <w:rPr>
          <w:snapToGrid w:val="0"/>
          <w:kern w:val="22"/>
          <w:szCs w:val="22"/>
        </w:rPr>
        <w:t>A.</w:t>
      </w:r>
      <w:r w:rsidRPr="00717F31">
        <w:rPr>
          <w:snapToGrid w:val="0"/>
          <w:kern w:val="22"/>
          <w:szCs w:val="22"/>
        </w:rPr>
        <w:tab/>
      </w:r>
      <w:r w:rsidR="00D772F7" w:rsidRPr="00717F31">
        <w:rPr>
          <w:snapToGrid w:val="0"/>
          <w:kern w:val="22"/>
          <w:szCs w:val="22"/>
        </w:rPr>
        <w:t>The use of expert advice and the need for objectivity and independence</w:t>
      </w:r>
    </w:p>
    <w:p w:rsidR="00477E7F" w:rsidRPr="00717F31" w:rsidRDefault="00D83C89"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The use of expert groups to offer advice and recommendation is a common practice in the processes under the Convention on Biological Diversity. </w:t>
      </w:r>
      <w:r w:rsidR="00477E7F" w:rsidRPr="00717F31">
        <w:rPr>
          <w:kern w:val="22"/>
          <w:szCs w:val="22"/>
        </w:rPr>
        <w:t>The Conference of the Parties to the Convention and the Conference of the Parties serving as the meeting of the Parties to the Cartagena and Nagoya Protocols establish, from time to time, expert groups to advance their work that involve existing or emerging scientific, technical and technological issues.</w:t>
      </w:r>
      <w:r w:rsidR="00AD7375" w:rsidRPr="00717F31">
        <w:rPr>
          <w:kern w:val="22"/>
          <w:szCs w:val="22"/>
        </w:rPr>
        <w:t xml:space="preserve"> </w:t>
      </w:r>
      <w:r w:rsidR="00C627F6" w:rsidRPr="00717F31">
        <w:rPr>
          <w:kern w:val="22"/>
          <w:szCs w:val="22"/>
        </w:rPr>
        <w:t xml:space="preserve">According to its modus operandi, </w:t>
      </w:r>
      <w:r w:rsidR="0096294A" w:rsidRPr="00717F31">
        <w:rPr>
          <w:kern w:val="22"/>
          <w:szCs w:val="22"/>
        </w:rPr>
        <w:t>the Subsidiary Body on Scientific, Technical and Technological Advice</w:t>
      </w:r>
      <w:r w:rsidR="00C627F6" w:rsidRPr="00717F31">
        <w:rPr>
          <w:kern w:val="22"/>
          <w:szCs w:val="22"/>
        </w:rPr>
        <w:t xml:space="preserve"> may also establish ad hoc technical expert groups within a mandate provided by the </w:t>
      </w:r>
      <w:r w:rsidR="0096294A" w:rsidRPr="00717F31">
        <w:rPr>
          <w:kern w:val="22"/>
          <w:szCs w:val="22"/>
        </w:rPr>
        <w:t>Conference of the Parties</w:t>
      </w:r>
      <w:r w:rsidR="00631340" w:rsidRPr="00717F31">
        <w:rPr>
          <w:kern w:val="22"/>
          <w:szCs w:val="22"/>
        </w:rPr>
        <w:t>.</w:t>
      </w:r>
      <w:r w:rsidR="00C627F6" w:rsidRPr="00717F31">
        <w:rPr>
          <w:kern w:val="22"/>
          <w:szCs w:val="22"/>
        </w:rPr>
        <w:t xml:space="preserve"> </w:t>
      </w:r>
      <w:r w:rsidR="00631340" w:rsidRPr="00717F31">
        <w:rPr>
          <w:kern w:val="22"/>
          <w:szCs w:val="22"/>
        </w:rPr>
        <w:t>T</w:t>
      </w:r>
      <w:r w:rsidR="00C627F6" w:rsidRPr="00717F31">
        <w:rPr>
          <w:kern w:val="22"/>
          <w:szCs w:val="22"/>
        </w:rPr>
        <w:t xml:space="preserve">hese technical expert groups submit their work to the Subsidiary Body on Scientific, Technical and Technological </w:t>
      </w:r>
      <w:r w:rsidR="00631340" w:rsidRPr="00717F31">
        <w:rPr>
          <w:kern w:val="22"/>
          <w:szCs w:val="22"/>
        </w:rPr>
        <w:t>Advice</w:t>
      </w:r>
      <w:r w:rsidR="000C533A" w:rsidRPr="00717F31">
        <w:rPr>
          <w:kern w:val="22"/>
          <w:szCs w:val="22"/>
        </w:rPr>
        <w:t xml:space="preserve">. </w:t>
      </w:r>
      <w:r w:rsidR="00C627F6" w:rsidRPr="00717F31">
        <w:rPr>
          <w:kern w:val="22"/>
          <w:szCs w:val="22"/>
        </w:rPr>
        <w:t xml:space="preserve">According to the </w:t>
      </w:r>
      <w:r w:rsidR="00C627F6" w:rsidRPr="00717F31">
        <w:rPr>
          <w:kern w:val="22"/>
          <w:szCs w:val="22"/>
        </w:rPr>
        <w:lastRenderedPageBreak/>
        <w:t xml:space="preserve">modus operandi of the </w:t>
      </w:r>
      <w:r w:rsidR="00C627F6" w:rsidRPr="00717F31">
        <w:rPr>
          <w:bCs/>
          <w:iCs/>
          <w:snapToGrid w:val="0"/>
          <w:kern w:val="22"/>
          <w:szCs w:val="22"/>
        </w:rPr>
        <w:t>Subsidiary Body on Implementation</w:t>
      </w:r>
      <w:r w:rsidR="00C627F6" w:rsidRPr="00717F31">
        <w:rPr>
          <w:kern w:val="22"/>
          <w:szCs w:val="22"/>
        </w:rPr>
        <w:t xml:space="preserve">, </w:t>
      </w:r>
      <w:r w:rsidR="00C627F6" w:rsidRPr="00717F31">
        <w:rPr>
          <w:bCs/>
          <w:iCs/>
          <w:snapToGrid w:val="0"/>
          <w:kern w:val="22"/>
          <w:szCs w:val="22"/>
        </w:rPr>
        <w:t>upon a decision by the Conference of the Parties, regionally balanced ad hoc expert groups may also be established to help prepare for the work of the Subsidiary Body on Implementation</w:t>
      </w:r>
      <w:r w:rsidR="006B404B" w:rsidRPr="00717F31">
        <w:rPr>
          <w:kern w:val="22"/>
          <w:szCs w:val="22"/>
        </w:rPr>
        <w:t>.</w:t>
      </w:r>
      <w:r w:rsidR="00020FD7" w:rsidRPr="00717F31">
        <w:rPr>
          <w:kern w:val="22"/>
          <w:szCs w:val="22"/>
        </w:rPr>
        <w:t xml:space="preserve"> These expert groups conduct their work through online discussion forums or in-person meetings.</w:t>
      </w:r>
    </w:p>
    <w:p w:rsidR="00D83C89" w:rsidRPr="00717F31" w:rsidRDefault="00C627F6"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According to its modus operandi, </w:t>
      </w:r>
      <w:r w:rsidR="006B404B" w:rsidRPr="00717F31">
        <w:rPr>
          <w:kern w:val="22"/>
          <w:szCs w:val="22"/>
        </w:rPr>
        <w:t xml:space="preserve">the Subsidiary Body on Scientific, Technical and Technological </w:t>
      </w:r>
      <w:r w:rsidR="00631340" w:rsidRPr="00717F31">
        <w:rPr>
          <w:kern w:val="22"/>
          <w:szCs w:val="22"/>
        </w:rPr>
        <w:t xml:space="preserve">Advice </w:t>
      </w:r>
      <w:r w:rsidR="006B404B" w:rsidRPr="00717F31">
        <w:rPr>
          <w:kern w:val="22"/>
          <w:szCs w:val="22"/>
        </w:rPr>
        <w:t xml:space="preserve">is required </w:t>
      </w:r>
      <w:r w:rsidR="0070502C" w:rsidRPr="00717F31">
        <w:rPr>
          <w:kern w:val="22"/>
          <w:szCs w:val="22"/>
        </w:rPr>
        <w:t>“</w:t>
      </w:r>
      <w:r w:rsidR="006B404B" w:rsidRPr="00717F31">
        <w:rPr>
          <w:kern w:val="22"/>
          <w:szCs w:val="22"/>
        </w:rPr>
        <w:t>to ensure that assessments are carried out in an objective and authoritative manner</w:t>
      </w:r>
      <w:r w:rsidR="0070502C" w:rsidRPr="00717F31">
        <w:rPr>
          <w:kern w:val="22"/>
          <w:szCs w:val="22"/>
        </w:rPr>
        <w:t>”</w:t>
      </w:r>
      <w:r w:rsidR="00960138" w:rsidRPr="00717F31">
        <w:rPr>
          <w:kern w:val="22"/>
          <w:szCs w:val="22"/>
        </w:rPr>
        <w:t>.</w:t>
      </w:r>
      <w:r w:rsidR="0070502C" w:rsidRPr="00717F31">
        <w:rPr>
          <w:rStyle w:val="FootnoteReference"/>
          <w:kern w:val="22"/>
          <w:sz w:val="22"/>
          <w:szCs w:val="22"/>
        </w:rPr>
        <w:footnoteReference w:id="7"/>
      </w:r>
      <w:r w:rsidR="006B404B" w:rsidRPr="00717F31">
        <w:rPr>
          <w:kern w:val="22"/>
          <w:szCs w:val="22"/>
        </w:rPr>
        <w:t xml:space="preserve"> </w:t>
      </w:r>
      <w:r w:rsidR="0070502C" w:rsidRPr="00717F31">
        <w:rPr>
          <w:kern w:val="22"/>
          <w:szCs w:val="22"/>
        </w:rPr>
        <w:t xml:space="preserve">This requirement </w:t>
      </w:r>
      <w:r w:rsidR="006C7759" w:rsidRPr="00717F31">
        <w:rPr>
          <w:kern w:val="22"/>
          <w:szCs w:val="22"/>
        </w:rPr>
        <w:t xml:space="preserve">also </w:t>
      </w:r>
      <w:r w:rsidR="0070502C" w:rsidRPr="00717F31">
        <w:rPr>
          <w:kern w:val="22"/>
          <w:szCs w:val="22"/>
        </w:rPr>
        <w:t>applies to ad hoc technical expert groups.</w:t>
      </w:r>
      <w:r w:rsidR="00ED5647" w:rsidRPr="00717F31">
        <w:rPr>
          <w:kern w:val="22"/>
          <w:szCs w:val="22"/>
        </w:rPr>
        <w:t xml:space="preserve"> Ensuring objectivity in the work of </w:t>
      </w:r>
      <w:r w:rsidR="00F87848" w:rsidRPr="00717F31">
        <w:rPr>
          <w:kern w:val="22"/>
          <w:szCs w:val="22"/>
        </w:rPr>
        <w:t>an expert</w:t>
      </w:r>
      <w:r w:rsidR="00ED5647" w:rsidRPr="00717F31">
        <w:rPr>
          <w:kern w:val="22"/>
          <w:szCs w:val="22"/>
        </w:rPr>
        <w:t xml:space="preserve"> group depends, to a large extent, on how much each participant or expert is free from any direct or indirect conflict of interest.</w:t>
      </w:r>
    </w:p>
    <w:p w:rsidR="00C627F6" w:rsidRPr="00717F31" w:rsidRDefault="00F87848"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A conflict of interest </w:t>
      </w:r>
      <w:r w:rsidR="0098289B" w:rsidRPr="00717F31">
        <w:rPr>
          <w:kern w:val="22"/>
          <w:szCs w:val="22"/>
        </w:rPr>
        <w:t>arises when the expert’s personal interests improperly influence the performance of the expert’s duties and responsibilities</w:t>
      </w:r>
      <w:r w:rsidR="00D823E6" w:rsidRPr="00717F31">
        <w:rPr>
          <w:kern w:val="22"/>
          <w:szCs w:val="22"/>
        </w:rPr>
        <w:t>,</w:t>
      </w:r>
      <w:r w:rsidR="0098289B" w:rsidRPr="00717F31">
        <w:rPr>
          <w:kern w:val="22"/>
          <w:szCs w:val="22"/>
        </w:rPr>
        <w:t xml:space="preserve"> thereby compromising the expert’s </w:t>
      </w:r>
      <w:r w:rsidR="00232045" w:rsidRPr="00717F31">
        <w:rPr>
          <w:kern w:val="22"/>
          <w:szCs w:val="22"/>
        </w:rPr>
        <w:t xml:space="preserve">independence and </w:t>
      </w:r>
      <w:r w:rsidR="0098289B" w:rsidRPr="00717F31">
        <w:rPr>
          <w:kern w:val="22"/>
          <w:szCs w:val="22"/>
        </w:rPr>
        <w:t xml:space="preserve">objectivity in contributing to the work of the expert group. It is </w:t>
      </w:r>
      <w:r w:rsidRPr="00717F31">
        <w:rPr>
          <w:kern w:val="22"/>
          <w:szCs w:val="22"/>
        </w:rPr>
        <w:t xml:space="preserve">a conflict between the duty to be objective </w:t>
      </w:r>
      <w:r w:rsidR="0098289B" w:rsidRPr="00717F31">
        <w:rPr>
          <w:kern w:val="22"/>
          <w:szCs w:val="22"/>
        </w:rPr>
        <w:t xml:space="preserve">on the one hand, </w:t>
      </w:r>
      <w:r w:rsidRPr="00717F31">
        <w:rPr>
          <w:kern w:val="22"/>
          <w:szCs w:val="22"/>
        </w:rPr>
        <w:t>and the p</w:t>
      </w:r>
      <w:r w:rsidR="0098289B" w:rsidRPr="00717F31">
        <w:rPr>
          <w:kern w:val="22"/>
          <w:szCs w:val="22"/>
        </w:rPr>
        <w:t xml:space="preserve">ersonal interests involved, on the other. </w:t>
      </w:r>
      <w:r w:rsidR="00232045" w:rsidRPr="00717F31">
        <w:rPr>
          <w:kern w:val="22"/>
          <w:szCs w:val="22"/>
        </w:rPr>
        <w:t>A number of organizations and treaties with expert groups, committees or advisory panels have policies on conflict of interest. The</w:t>
      </w:r>
      <w:r w:rsidR="007F6DA2" w:rsidRPr="00717F31">
        <w:rPr>
          <w:kern w:val="22"/>
          <w:szCs w:val="22"/>
        </w:rPr>
        <w:t xml:space="preserve"> review of these policies shows that there are widely </w:t>
      </w:r>
      <w:r w:rsidR="00232045" w:rsidRPr="00717F31">
        <w:rPr>
          <w:kern w:val="22"/>
          <w:szCs w:val="22"/>
        </w:rPr>
        <w:t>share</w:t>
      </w:r>
      <w:r w:rsidR="007F6DA2" w:rsidRPr="00717F31">
        <w:rPr>
          <w:kern w:val="22"/>
          <w:szCs w:val="22"/>
        </w:rPr>
        <w:t>d</w:t>
      </w:r>
      <w:r w:rsidR="00232045" w:rsidRPr="00717F31">
        <w:rPr>
          <w:kern w:val="22"/>
          <w:szCs w:val="22"/>
        </w:rPr>
        <w:t xml:space="preserve"> common elements in the definitions of conflict of interest and </w:t>
      </w:r>
      <w:r w:rsidR="007F6DA2" w:rsidRPr="00717F31">
        <w:rPr>
          <w:kern w:val="22"/>
          <w:szCs w:val="22"/>
        </w:rPr>
        <w:t xml:space="preserve">in the ways or </w:t>
      </w:r>
      <w:r w:rsidR="00232045" w:rsidRPr="00717F31">
        <w:rPr>
          <w:kern w:val="22"/>
          <w:szCs w:val="22"/>
        </w:rPr>
        <w:t>measures adopted to manage or avoid conflict</w:t>
      </w:r>
      <w:r w:rsidR="005E670B" w:rsidRPr="00717F31">
        <w:rPr>
          <w:kern w:val="22"/>
          <w:szCs w:val="22"/>
        </w:rPr>
        <w:t>s</w:t>
      </w:r>
      <w:r w:rsidR="00232045" w:rsidRPr="00717F31">
        <w:rPr>
          <w:kern w:val="22"/>
          <w:szCs w:val="22"/>
        </w:rPr>
        <w:t xml:space="preserve"> of interest. </w:t>
      </w:r>
      <w:r w:rsidR="00EB16E5" w:rsidRPr="00717F31">
        <w:rPr>
          <w:kern w:val="22"/>
          <w:szCs w:val="22"/>
        </w:rPr>
        <w:t xml:space="preserve">One such shared element is the requirement </w:t>
      </w:r>
      <w:r w:rsidR="003B6630" w:rsidRPr="00717F31">
        <w:rPr>
          <w:kern w:val="22"/>
          <w:szCs w:val="22"/>
        </w:rPr>
        <w:t>to disclose</w:t>
      </w:r>
      <w:r w:rsidR="00EB16E5" w:rsidRPr="00717F31">
        <w:rPr>
          <w:kern w:val="22"/>
          <w:szCs w:val="22"/>
        </w:rPr>
        <w:t xml:space="preserve"> interests by completing a declaration of conflict of interest form </w:t>
      </w:r>
      <w:r w:rsidR="004A0BDE" w:rsidRPr="00717F31">
        <w:rPr>
          <w:kern w:val="22"/>
          <w:szCs w:val="22"/>
        </w:rPr>
        <w:t xml:space="preserve">prior to </w:t>
      </w:r>
      <w:r w:rsidR="00EB16E5" w:rsidRPr="00717F31">
        <w:rPr>
          <w:kern w:val="22"/>
          <w:szCs w:val="22"/>
        </w:rPr>
        <w:t>participat</w:t>
      </w:r>
      <w:r w:rsidR="009E0F1E" w:rsidRPr="00717F31">
        <w:rPr>
          <w:kern w:val="22"/>
          <w:szCs w:val="22"/>
        </w:rPr>
        <w:t>ing</w:t>
      </w:r>
      <w:r w:rsidR="00EB16E5" w:rsidRPr="00717F31">
        <w:rPr>
          <w:kern w:val="22"/>
          <w:szCs w:val="22"/>
        </w:rPr>
        <w:t xml:space="preserve"> in the work of an expert group or a committee </w:t>
      </w:r>
      <w:r w:rsidR="00133446" w:rsidRPr="00717F31">
        <w:rPr>
          <w:kern w:val="22"/>
          <w:szCs w:val="22"/>
        </w:rPr>
        <w:t>in an</w:t>
      </w:r>
      <w:r w:rsidR="00EB16E5" w:rsidRPr="00717F31">
        <w:rPr>
          <w:kern w:val="22"/>
          <w:szCs w:val="22"/>
        </w:rPr>
        <w:t xml:space="preserve"> individual capacity.</w:t>
      </w:r>
    </w:p>
    <w:p w:rsidR="00D772F7" w:rsidRPr="00717F31" w:rsidRDefault="00C627F6"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Some expert groups are entrusted work by the Conference of the Parties, the </w:t>
      </w:r>
      <w:r w:rsidR="00700F28" w:rsidRPr="00717F31">
        <w:rPr>
          <w:kern w:val="22"/>
          <w:szCs w:val="22"/>
        </w:rPr>
        <w:t xml:space="preserve">Conference of the Parties serving as the meeting of the </w:t>
      </w:r>
      <w:r w:rsidRPr="00717F31">
        <w:rPr>
          <w:kern w:val="22"/>
          <w:szCs w:val="22"/>
        </w:rPr>
        <w:t xml:space="preserve">Parties </w:t>
      </w:r>
      <w:r w:rsidR="00700F28" w:rsidRPr="00717F31">
        <w:rPr>
          <w:kern w:val="22"/>
          <w:szCs w:val="22"/>
        </w:rPr>
        <w:t xml:space="preserve">to </w:t>
      </w:r>
      <w:r w:rsidRPr="00717F31">
        <w:rPr>
          <w:kern w:val="22"/>
          <w:szCs w:val="22"/>
        </w:rPr>
        <w:t xml:space="preserve">the Protocols, or the </w:t>
      </w:r>
      <w:r w:rsidR="0033168C" w:rsidRPr="00717F31">
        <w:rPr>
          <w:kern w:val="22"/>
          <w:szCs w:val="22"/>
        </w:rPr>
        <w:t>Subsidiary Body on Scientific, Technical and Technological Advice</w:t>
      </w:r>
      <w:r w:rsidRPr="00717F31">
        <w:rPr>
          <w:kern w:val="22"/>
          <w:szCs w:val="22"/>
        </w:rPr>
        <w:t xml:space="preserve"> to assess the same subject matters but from a range of</w:t>
      </w:r>
      <w:r w:rsidR="000C533A" w:rsidRPr="00717F31">
        <w:rPr>
          <w:kern w:val="22"/>
          <w:szCs w:val="22"/>
        </w:rPr>
        <w:t xml:space="preserve"> perspectives. (</w:t>
      </w:r>
      <w:r w:rsidR="00700F28" w:rsidRPr="00717F31">
        <w:rPr>
          <w:kern w:val="22"/>
          <w:szCs w:val="22"/>
        </w:rPr>
        <w:t>e</w:t>
      </w:r>
      <w:r w:rsidRPr="00717F31">
        <w:rPr>
          <w:kern w:val="22"/>
          <w:szCs w:val="22"/>
        </w:rPr>
        <w:t>xamples of these types of arrangements are the ad hoc technical expert group on synthetic biology, and the ad hoc technical expert group on digital sequence information</w:t>
      </w:r>
      <w:r w:rsidR="000C533A" w:rsidRPr="00717F31">
        <w:rPr>
          <w:kern w:val="22"/>
          <w:szCs w:val="22"/>
        </w:rPr>
        <w:t xml:space="preserve">). It is particularly important in dealing with such sensitive issues that potential conflicts of interest </w:t>
      </w:r>
      <w:r w:rsidR="00546EF3" w:rsidRPr="00717F31">
        <w:rPr>
          <w:kern w:val="22"/>
          <w:szCs w:val="22"/>
        </w:rPr>
        <w:t xml:space="preserve">be </w:t>
      </w:r>
      <w:r w:rsidR="000C533A" w:rsidRPr="00717F31">
        <w:rPr>
          <w:kern w:val="22"/>
          <w:szCs w:val="22"/>
        </w:rPr>
        <w:t>avoided or managed.</w:t>
      </w:r>
    </w:p>
    <w:p w:rsidR="00D772F7" w:rsidRPr="00717F31" w:rsidRDefault="00297E88" w:rsidP="00717F31">
      <w:pPr>
        <w:pStyle w:val="Heading2"/>
        <w:rPr>
          <w:kern w:val="22"/>
          <w:szCs w:val="22"/>
        </w:rPr>
      </w:pPr>
      <w:r w:rsidRPr="00717F31">
        <w:rPr>
          <w:kern w:val="22"/>
          <w:szCs w:val="22"/>
        </w:rPr>
        <w:t>B.</w:t>
      </w:r>
      <w:r w:rsidRPr="00717F31">
        <w:rPr>
          <w:kern w:val="22"/>
          <w:szCs w:val="22"/>
        </w:rPr>
        <w:tab/>
      </w:r>
      <w:r w:rsidR="00D772F7" w:rsidRPr="00717F31">
        <w:rPr>
          <w:kern w:val="22"/>
          <w:szCs w:val="22"/>
        </w:rPr>
        <w:t>Experience in managing conflict of interest</w:t>
      </w:r>
      <w:r w:rsidR="00EB1BCA" w:rsidRPr="00717F31">
        <w:rPr>
          <w:kern w:val="22"/>
          <w:szCs w:val="22"/>
        </w:rPr>
        <w:t xml:space="preserve"> under the Convention and its Protocols</w:t>
      </w:r>
    </w:p>
    <w:p w:rsidR="0051473A" w:rsidRPr="00717F31" w:rsidRDefault="00BF3C64"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In accordance with decision </w:t>
      </w:r>
      <w:hyperlink r:id="rId22" w:history="1">
        <w:r w:rsidRPr="00717F31">
          <w:rPr>
            <w:rStyle w:val="Hyperlink"/>
            <w:kern w:val="22"/>
            <w:szCs w:val="22"/>
          </w:rPr>
          <w:t>BS-I/4</w:t>
        </w:r>
      </w:hyperlink>
      <w:r w:rsidRPr="00717F31">
        <w:rPr>
          <w:kern w:val="22"/>
          <w:szCs w:val="22"/>
        </w:rPr>
        <w:t xml:space="preserve"> of the Conference of the Parties serving as the meeting of the Parties to the Cartagena Protocol on Biosafety, the Secretariat administers a roster of experts on biosafety. Although the use of the </w:t>
      </w:r>
      <w:r w:rsidR="00C45DC4" w:rsidRPr="00717F31">
        <w:rPr>
          <w:kern w:val="22"/>
          <w:szCs w:val="22"/>
        </w:rPr>
        <w:t>r</w:t>
      </w:r>
      <w:r w:rsidRPr="00717F31">
        <w:rPr>
          <w:kern w:val="22"/>
          <w:szCs w:val="22"/>
        </w:rPr>
        <w:t xml:space="preserve">oster over the years has been very limited, there are guidelines detailing the mandate, the conditions to accessing the </w:t>
      </w:r>
      <w:r w:rsidR="00C45DC4" w:rsidRPr="00717F31">
        <w:rPr>
          <w:kern w:val="22"/>
          <w:szCs w:val="22"/>
        </w:rPr>
        <w:t>r</w:t>
      </w:r>
      <w:r w:rsidRPr="00717F31">
        <w:rPr>
          <w:kern w:val="22"/>
          <w:szCs w:val="22"/>
        </w:rPr>
        <w:t>oster</w:t>
      </w:r>
      <w:r w:rsidR="000B657F" w:rsidRPr="00717F31">
        <w:rPr>
          <w:kern w:val="22"/>
          <w:szCs w:val="22"/>
        </w:rPr>
        <w:t xml:space="preserve">, membership requirements, and the obligations of individual experts on the </w:t>
      </w:r>
      <w:r w:rsidR="00C45DC4" w:rsidRPr="00717F31">
        <w:rPr>
          <w:kern w:val="22"/>
          <w:szCs w:val="22"/>
        </w:rPr>
        <w:t>r</w:t>
      </w:r>
      <w:r w:rsidR="000B657F" w:rsidRPr="00717F31">
        <w:rPr>
          <w:kern w:val="22"/>
          <w:szCs w:val="22"/>
        </w:rPr>
        <w:t>oster</w:t>
      </w:r>
      <w:r w:rsidR="003A2B80" w:rsidRPr="00717F31">
        <w:rPr>
          <w:kern w:val="22"/>
          <w:szCs w:val="22"/>
        </w:rPr>
        <w:t>.</w:t>
      </w:r>
      <w:r w:rsidR="003A2B80" w:rsidRPr="00717F31">
        <w:rPr>
          <w:rStyle w:val="FootnoteReference"/>
          <w:kern w:val="22"/>
          <w:sz w:val="22"/>
          <w:szCs w:val="22"/>
        </w:rPr>
        <w:footnoteReference w:id="8"/>
      </w:r>
      <w:r w:rsidR="000B657F" w:rsidRPr="00717F31">
        <w:rPr>
          <w:kern w:val="22"/>
          <w:szCs w:val="22"/>
        </w:rPr>
        <w:t xml:space="preserve"> </w:t>
      </w:r>
      <w:r w:rsidR="004A0BDE" w:rsidRPr="00717F31">
        <w:rPr>
          <w:kern w:val="22"/>
          <w:szCs w:val="22"/>
        </w:rPr>
        <w:t xml:space="preserve">Each </w:t>
      </w:r>
      <w:r w:rsidR="00C45DC4" w:rsidRPr="00717F31">
        <w:rPr>
          <w:kern w:val="22"/>
          <w:szCs w:val="22"/>
        </w:rPr>
        <w:t>r</w:t>
      </w:r>
      <w:r w:rsidR="004A0BDE" w:rsidRPr="00717F31">
        <w:rPr>
          <w:kern w:val="22"/>
          <w:szCs w:val="22"/>
        </w:rPr>
        <w:t xml:space="preserve">oster member is required to complete a conflict of interest declaration prior to undertaking any assignment. If the member has any personal, institutional or other professional interests or arrangements that would create a conflict of interest or that could reasonably be perceived as creating a conflict, the member has the obligations to declare that and to </w:t>
      </w:r>
      <w:r w:rsidR="000B657F" w:rsidRPr="00717F31">
        <w:rPr>
          <w:kern w:val="22"/>
          <w:szCs w:val="22"/>
        </w:rPr>
        <w:t>declin</w:t>
      </w:r>
      <w:r w:rsidR="004A0BDE" w:rsidRPr="00717F31">
        <w:rPr>
          <w:kern w:val="22"/>
          <w:szCs w:val="22"/>
        </w:rPr>
        <w:t>e</w:t>
      </w:r>
      <w:r w:rsidR="000B657F" w:rsidRPr="00717F31">
        <w:rPr>
          <w:kern w:val="22"/>
          <w:szCs w:val="22"/>
        </w:rPr>
        <w:t xml:space="preserve"> any assignment that raises any real or perceived conflict of interest. If legitimate concerns remain </w:t>
      </w:r>
      <w:r w:rsidR="0051473A" w:rsidRPr="00717F31">
        <w:rPr>
          <w:kern w:val="22"/>
          <w:szCs w:val="22"/>
        </w:rPr>
        <w:t xml:space="preserve">after further investigation based on the declaration, the </w:t>
      </w:r>
      <w:r w:rsidR="00A83658" w:rsidRPr="00717F31">
        <w:rPr>
          <w:kern w:val="22"/>
          <w:szCs w:val="22"/>
        </w:rPr>
        <w:t>g</w:t>
      </w:r>
      <w:r w:rsidR="0051473A" w:rsidRPr="00717F31">
        <w:rPr>
          <w:kern w:val="22"/>
          <w:szCs w:val="22"/>
        </w:rPr>
        <w:t>uidelines advi</w:t>
      </w:r>
      <w:r w:rsidR="004A0BDE" w:rsidRPr="00717F31">
        <w:rPr>
          <w:kern w:val="22"/>
          <w:szCs w:val="22"/>
        </w:rPr>
        <w:t>s</w:t>
      </w:r>
      <w:r w:rsidR="0051473A" w:rsidRPr="00717F31">
        <w:rPr>
          <w:kern w:val="22"/>
          <w:szCs w:val="22"/>
        </w:rPr>
        <w:t xml:space="preserve">e to err on the side of caution in the determination of the question whether a conflict exists, consistent with maintaining the highest level of credibility of the </w:t>
      </w:r>
      <w:r w:rsidR="005E5D2F" w:rsidRPr="00717F31">
        <w:rPr>
          <w:kern w:val="22"/>
          <w:szCs w:val="22"/>
        </w:rPr>
        <w:t>r</w:t>
      </w:r>
      <w:r w:rsidR="0051473A" w:rsidRPr="00717F31">
        <w:rPr>
          <w:kern w:val="22"/>
          <w:szCs w:val="22"/>
        </w:rPr>
        <w:t xml:space="preserve">oster process. Any expert identified through the </w:t>
      </w:r>
      <w:r w:rsidR="005E5D2F" w:rsidRPr="00717F31">
        <w:rPr>
          <w:kern w:val="22"/>
          <w:szCs w:val="22"/>
        </w:rPr>
        <w:t>r</w:t>
      </w:r>
      <w:r w:rsidR="0051473A" w:rsidRPr="00717F31">
        <w:rPr>
          <w:kern w:val="22"/>
          <w:szCs w:val="22"/>
        </w:rPr>
        <w:t>oster and chosen to carry out an assignment is expected “to comply with all applicable professional standards in an objective and neutral way, and to exhibit a high degree of professional conduct</w:t>
      </w:r>
      <w:r w:rsidR="003A2B80" w:rsidRPr="00717F31">
        <w:rPr>
          <w:kern w:val="22"/>
          <w:szCs w:val="22"/>
        </w:rPr>
        <w:t>”</w:t>
      </w:r>
      <w:r w:rsidR="0033168C" w:rsidRPr="00717F31">
        <w:rPr>
          <w:kern w:val="22"/>
          <w:szCs w:val="22"/>
        </w:rPr>
        <w:t>.</w:t>
      </w:r>
      <w:r w:rsidR="003A2B80" w:rsidRPr="00717F31">
        <w:rPr>
          <w:rStyle w:val="FootnoteReference"/>
          <w:kern w:val="22"/>
          <w:sz w:val="22"/>
          <w:szCs w:val="22"/>
        </w:rPr>
        <w:footnoteReference w:id="9"/>
      </w:r>
    </w:p>
    <w:p w:rsidR="00EB1BCA" w:rsidRPr="00717F31" w:rsidRDefault="007632D0"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The Compliance Procedures and Mechanisms on Compliance under the Cartagena Protocol and the Cooperative Procedures and Institutional Mechanisms to Promote Compliance </w:t>
      </w:r>
      <w:r w:rsidR="00003809" w:rsidRPr="00717F31">
        <w:rPr>
          <w:kern w:val="22"/>
          <w:szCs w:val="22"/>
        </w:rPr>
        <w:t xml:space="preserve">and to </w:t>
      </w:r>
      <w:r w:rsidR="00B2576C" w:rsidRPr="00717F31">
        <w:rPr>
          <w:kern w:val="22"/>
          <w:szCs w:val="22"/>
        </w:rPr>
        <w:t>A</w:t>
      </w:r>
      <w:r w:rsidR="00003809" w:rsidRPr="00717F31">
        <w:rPr>
          <w:kern w:val="22"/>
          <w:szCs w:val="22"/>
        </w:rPr>
        <w:t xml:space="preserve">ddress </w:t>
      </w:r>
      <w:r w:rsidR="00B2576C" w:rsidRPr="00717F31">
        <w:rPr>
          <w:kern w:val="22"/>
          <w:szCs w:val="22"/>
        </w:rPr>
        <w:t>C</w:t>
      </w:r>
      <w:r w:rsidR="00003809" w:rsidRPr="00717F31">
        <w:rPr>
          <w:kern w:val="22"/>
          <w:szCs w:val="22"/>
        </w:rPr>
        <w:t xml:space="preserve">ases of Non-Compliance under </w:t>
      </w:r>
      <w:r w:rsidRPr="00717F31">
        <w:rPr>
          <w:kern w:val="22"/>
          <w:szCs w:val="22"/>
        </w:rPr>
        <w:t xml:space="preserve">Nagoya Protocol require members </w:t>
      </w:r>
      <w:r w:rsidR="00A14D1F" w:rsidRPr="00717F31">
        <w:rPr>
          <w:kern w:val="22"/>
          <w:szCs w:val="22"/>
        </w:rPr>
        <w:t xml:space="preserve">(including indigenous people and local community observer, in the case of the Committee under the Nagoya Protocol) </w:t>
      </w:r>
      <w:r w:rsidRPr="00717F31">
        <w:rPr>
          <w:kern w:val="22"/>
          <w:szCs w:val="22"/>
        </w:rPr>
        <w:t>of the respective Compliance Committees to have recognized competence and to serve objectively and in a personal capacity</w:t>
      </w:r>
      <w:r w:rsidR="0033168C" w:rsidRPr="00717F31">
        <w:rPr>
          <w:kern w:val="22"/>
          <w:szCs w:val="22"/>
        </w:rPr>
        <w:t>.</w:t>
      </w:r>
      <w:r w:rsidRPr="00717F31">
        <w:rPr>
          <w:rStyle w:val="FootnoteReference"/>
          <w:kern w:val="22"/>
          <w:sz w:val="22"/>
          <w:szCs w:val="22"/>
        </w:rPr>
        <w:footnoteReference w:id="10"/>
      </w:r>
      <w:r w:rsidRPr="00717F31">
        <w:rPr>
          <w:kern w:val="22"/>
          <w:szCs w:val="22"/>
        </w:rPr>
        <w:t xml:space="preserve"> </w:t>
      </w:r>
      <w:r w:rsidR="00003809" w:rsidRPr="00717F31">
        <w:rPr>
          <w:kern w:val="22"/>
          <w:szCs w:val="22"/>
        </w:rPr>
        <w:t xml:space="preserve">In view of these requirements, the respective </w:t>
      </w:r>
      <w:r w:rsidR="00C43D56" w:rsidRPr="00717F31">
        <w:rPr>
          <w:kern w:val="22"/>
          <w:szCs w:val="22"/>
        </w:rPr>
        <w:t>r</w:t>
      </w:r>
      <w:r w:rsidR="00003809" w:rsidRPr="00717F31">
        <w:rPr>
          <w:kern w:val="22"/>
          <w:szCs w:val="22"/>
        </w:rPr>
        <w:t xml:space="preserve">ules of </w:t>
      </w:r>
      <w:r w:rsidR="00C43D56" w:rsidRPr="00717F31">
        <w:rPr>
          <w:kern w:val="22"/>
          <w:szCs w:val="22"/>
        </w:rPr>
        <w:t>p</w:t>
      </w:r>
      <w:r w:rsidR="00003809" w:rsidRPr="00717F31">
        <w:rPr>
          <w:kern w:val="22"/>
          <w:szCs w:val="22"/>
        </w:rPr>
        <w:t xml:space="preserve">rocedure for </w:t>
      </w:r>
      <w:r w:rsidR="00B2576C" w:rsidRPr="00717F31">
        <w:rPr>
          <w:kern w:val="22"/>
          <w:szCs w:val="22"/>
        </w:rPr>
        <w:t>m</w:t>
      </w:r>
      <w:r w:rsidR="00003809" w:rsidRPr="00717F31">
        <w:rPr>
          <w:kern w:val="22"/>
          <w:szCs w:val="22"/>
        </w:rPr>
        <w:t xml:space="preserve">eetings of the </w:t>
      </w:r>
      <w:r w:rsidR="00D67B34" w:rsidRPr="00717F31">
        <w:rPr>
          <w:kern w:val="22"/>
          <w:szCs w:val="22"/>
        </w:rPr>
        <w:t>c</w:t>
      </w:r>
      <w:r w:rsidR="00003809" w:rsidRPr="00717F31">
        <w:rPr>
          <w:kern w:val="22"/>
          <w:szCs w:val="22"/>
        </w:rPr>
        <w:t xml:space="preserve">ompliance </w:t>
      </w:r>
      <w:r w:rsidR="00D67B34" w:rsidRPr="00717F31">
        <w:rPr>
          <w:kern w:val="22"/>
          <w:szCs w:val="22"/>
        </w:rPr>
        <w:lastRenderedPageBreak/>
        <w:t>c</w:t>
      </w:r>
      <w:r w:rsidR="00003809" w:rsidRPr="00717F31">
        <w:rPr>
          <w:kern w:val="22"/>
          <w:szCs w:val="22"/>
        </w:rPr>
        <w:t xml:space="preserve">ommittees under the two Protocols include rules on conflict of interest. Accordingly, rule 11 </w:t>
      </w:r>
      <w:r w:rsidR="00A14D1F" w:rsidRPr="00717F31">
        <w:rPr>
          <w:kern w:val="22"/>
          <w:szCs w:val="22"/>
        </w:rPr>
        <w:t>of the respective proce</w:t>
      </w:r>
      <w:r w:rsidR="00B2576C" w:rsidRPr="00717F31">
        <w:rPr>
          <w:kern w:val="22"/>
          <w:szCs w:val="22"/>
        </w:rPr>
        <w:t>dure</w:t>
      </w:r>
      <w:r w:rsidR="00A14D1F" w:rsidRPr="00717F31">
        <w:rPr>
          <w:kern w:val="22"/>
          <w:szCs w:val="22"/>
        </w:rPr>
        <w:t xml:space="preserve"> </w:t>
      </w:r>
      <w:r w:rsidR="00003809" w:rsidRPr="00717F31">
        <w:rPr>
          <w:kern w:val="22"/>
          <w:szCs w:val="22"/>
        </w:rPr>
        <w:t xml:space="preserve">requires each member to avoid direct or indirect conflicts of interest </w:t>
      </w:r>
      <w:r w:rsidR="00A14D1F" w:rsidRPr="00717F31">
        <w:rPr>
          <w:kern w:val="22"/>
          <w:szCs w:val="22"/>
        </w:rPr>
        <w:t xml:space="preserve">with respect to any matter under consideration by the Committee, </w:t>
      </w:r>
      <w:r w:rsidR="00003809" w:rsidRPr="00717F31">
        <w:rPr>
          <w:kern w:val="22"/>
          <w:szCs w:val="22"/>
        </w:rPr>
        <w:t>and</w:t>
      </w:r>
      <w:r w:rsidR="00FE1C32" w:rsidRPr="00717F31">
        <w:rPr>
          <w:kern w:val="22"/>
          <w:szCs w:val="22"/>
        </w:rPr>
        <w:t>,</w:t>
      </w:r>
      <w:r w:rsidR="00003809" w:rsidRPr="00717F31">
        <w:rPr>
          <w:kern w:val="22"/>
          <w:szCs w:val="22"/>
        </w:rPr>
        <w:t xml:space="preserve"> where a member is faced with such a situation</w:t>
      </w:r>
      <w:r w:rsidR="00FE1C32" w:rsidRPr="00717F31">
        <w:rPr>
          <w:kern w:val="22"/>
          <w:szCs w:val="22"/>
        </w:rPr>
        <w:t>,</w:t>
      </w:r>
      <w:r w:rsidR="00A14D1F" w:rsidRPr="00717F31">
        <w:rPr>
          <w:kern w:val="22"/>
          <w:szCs w:val="22"/>
        </w:rPr>
        <w:t xml:space="preserve"> to bring the issue to the attention of the Committee before consideration of that particular matter. The member</w:t>
      </w:r>
      <w:r w:rsidR="00FE1C32" w:rsidRPr="00717F31">
        <w:rPr>
          <w:kern w:val="22"/>
          <w:szCs w:val="22"/>
        </w:rPr>
        <w:t xml:space="preserve"> concerned</w:t>
      </w:r>
      <w:r w:rsidR="00A14D1F" w:rsidRPr="00717F31">
        <w:rPr>
          <w:kern w:val="22"/>
          <w:szCs w:val="22"/>
        </w:rPr>
        <w:t xml:space="preserve"> shall not participate in the elaboration and adoption of a recommendation of the Committee in relation to that matter.</w:t>
      </w:r>
    </w:p>
    <w:p w:rsidR="00EB1BCA" w:rsidRPr="00717F31" w:rsidRDefault="00297E88" w:rsidP="00717F31">
      <w:pPr>
        <w:pStyle w:val="Heading2"/>
        <w:ind w:left="1560" w:hanging="709"/>
        <w:jc w:val="left"/>
        <w:rPr>
          <w:b w:val="0"/>
          <w:kern w:val="22"/>
          <w:szCs w:val="22"/>
        </w:rPr>
      </w:pPr>
      <w:r w:rsidRPr="00717F31">
        <w:rPr>
          <w:kern w:val="22"/>
          <w:szCs w:val="22"/>
        </w:rPr>
        <w:t>C.</w:t>
      </w:r>
      <w:r w:rsidRPr="00717F31">
        <w:rPr>
          <w:kern w:val="22"/>
          <w:szCs w:val="22"/>
        </w:rPr>
        <w:tab/>
      </w:r>
      <w:r w:rsidR="00EB1BCA" w:rsidRPr="00717F31">
        <w:rPr>
          <w:kern w:val="22"/>
          <w:szCs w:val="22"/>
        </w:rPr>
        <w:t xml:space="preserve">Experience in managing conflict of interest in other </w:t>
      </w:r>
      <w:r w:rsidR="0033168C" w:rsidRPr="00717F31">
        <w:rPr>
          <w:kern w:val="22"/>
          <w:szCs w:val="22"/>
        </w:rPr>
        <w:t>c</w:t>
      </w:r>
      <w:r w:rsidR="00EB1BCA" w:rsidRPr="00717F31">
        <w:rPr>
          <w:kern w:val="22"/>
          <w:szCs w:val="22"/>
        </w:rPr>
        <w:t>onventions and international</w:t>
      </w:r>
      <w:r w:rsidRPr="00717F31">
        <w:rPr>
          <w:kern w:val="22"/>
          <w:szCs w:val="22"/>
        </w:rPr>
        <w:t> </w:t>
      </w:r>
      <w:r w:rsidR="00EB1BCA" w:rsidRPr="00717F31">
        <w:rPr>
          <w:kern w:val="22"/>
          <w:szCs w:val="22"/>
        </w:rPr>
        <w:t>organizations</w:t>
      </w:r>
    </w:p>
    <w:p w:rsidR="005928CE" w:rsidRPr="00717F31" w:rsidRDefault="004A0BDE" w:rsidP="00717F31">
      <w:pPr>
        <w:pStyle w:val="ListParagraph"/>
        <w:numPr>
          <w:ilvl w:val="0"/>
          <w:numId w:val="37"/>
        </w:numPr>
        <w:spacing w:before="120" w:after="120"/>
        <w:ind w:left="0" w:firstLine="0"/>
        <w:contextualSpacing w:val="0"/>
        <w:rPr>
          <w:kern w:val="22"/>
          <w:szCs w:val="22"/>
        </w:rPr>
      </w:pPr>
      <w:r w:rsidRPr="00717F31">
        <w:rPr>
          <w:kern w:val="22"/>
          <w:szCs w:val="22"/>
        </w:rPr>
        <w:t>Also in the context of other multilateral environmental agreements</w:t>
      </w:r>
      <w:r w:rsidR="002B2085">
        <w:rPr>
          <w:kern w:val="22"/>
          <w:szCs w:val="22"/>
        </w:rPr>
        <w:t>,</w:t>
      </w:r>
      <w:r w:rsidRPr="00717F31">
        <w:rPr>
          <w:kern w:val="22"/>
          <w:szCs w:val="22"/>
        </w:rPr>
        <w:t xml:space="preserve"> procedures and practices have been developed to avoid conflict of interest. For example,</w:t>
      </w:r>
      <w:r w:rsidR="009222A1" w:rsidRPr="00717F31">
        <w:rPr>
          <w:kern w:val="22"/>
          <w:szCs w:val="22"/>
        </w:rPr>
        <w:t xml:space="preserve"> </w:t>
      </w:r>
      <w:r w:rsidR="005928CE" w:rsidRPr="00717F31">
        <w:rPr>
          <w:kern w:val="22"/>
          <w:szCs w:val="22"/>
        </w:rPr>
        <w:t>further to Resolution Conf. 11.1 (Rev. CoP17)</w:t>
      </w:r>
      <w:r w:rsidR="009E0F1E" w:rsidRPr="00717F31">
        <w:rPr>
          <w:kern w:val="22"/>
          <w:szCs w:val="22"/>
        </w:rPr>
        <w:t xml:space="preserve"> of the Conference of the Parties</w:t>
      </w:r>
      <w:r w:rsidR="005928CE" w:rsidRPr="00717F31">
        <w:rPr>
          <w:kern w:val="22"/>
          <w:szCs w:val="22"/>
        </w:rPr>
        <w:t xml:space="preserve">, </w:t>
      </w:r>
      <w:r w:rsidR="009222A1" w:rsidRPr="00717F31">
        <w:rPr>
          <w:kern w:val="22"/>
          <w:szCs w:val="22"/>
        </w:rPr>
        <w:t>the Convention on International Trade in Endangered Species of Wild Fauna and Flor</w:t>
      </w:r>
      <w:r w:rsidR="005928CE" w:rsidRPr="00717F31">
        <w:rPr>
          <w:kern w:val="22"/>
          <w:szCs w:val="22"/>
        </w:rPr>
        <w:t>a (CITES)</w:t>
      </w:r>
      <w:r w:rsidR="009222A1" w:rsidRPr="00717F31">
        <w:rPr>
          <w:kern w:val="22"/>
          <w:szCs w:val="22"/>
        </w:rPr>
        <w:t xml:space="preserve"> </w:t>
      </w:r>
      <w:r w:rsidR="005928CE" w:rsidRPr="00717F31">
        <w:rPr>
          <w:kern w:val="22"/>
          <w:szCs w:val="22"/>
        </w:rPr>
        <w:t>is in the process of assessing the functioning of the conflict of interest policy regarding representation in the Animals and Plants Committees. The Standing Committee is expected to make recommendations on the basis of a review by the Secretariat</w:t>
      </w:r>
      <w:r w:rsidR="005928CE" w:rsidRPr="00717F31">
        <w:rPr>
          <w:rStyle w:val="FootnoteReference"/>
          <w:kern w:val="22"/>
          <w:sz w:val="22"/>
          <w:szCs w:val="22"/>
        </w:rPr>
        <w:footnoteReference w:id="11"/>
      </w:r>
      <w:r w:rsidR="005928CE" w:rsidRPr="00717F31">
        <w:rPr>
          <w:kern w:val="22"/>
          <w:szCs w:val="22"/>
        </w:rPr>
        <w:t xml:space="preserve">  for refining the definition of conflict of interest, if appropriate, and for a mechanism to deal with such conflicts, </w:t>
      </w:r>
      <w:r w:rsidR="00710BBA" w:rsidRPr="00717F31">
        <w:rPr>
          <w:kern w:val="22"/>
          <w:szCs w:val="22"/>
        </w:rPr>
        <w:t xml:space="preserve">taking into account the experience of other multilateral environmental agreements or relevant international organizations and bodies, in putting in place such mechanisms. The recommendation is expected to be considered by </w:t>
      </w:r>
      <w:r w:rsidR="005928CE" w:rsidRPr="00717F31">
        <w:rPr>
          <w:kern w:val="22"/>
          <w:szCs w:val="22"/>
        </w:rPr>
        <w:t>the Conference of the Parties</w:t>
      </w:r>
      <w:r w:rsidR="00710BBA" w:rsidRPr="00717F31">
        <w:rPr>
          <w:kern w:val="22"/>
          <w:szCs w:val="22"/>
        </w:rPr>
        <w:t xml:space="preserve"> to CITES at its eighteenth meeting.</w:t>
      </w:r>
    </w:p>
    <w:p w:rsidR="004F2164" w:rsidRPr="00717F31" w:rsidRDefault="005928CE" w:rsidP="00717F31">
      <w:pPr>
        <w:pStyle w:val="ListParagraph"/>
        <w:numPr>
          <w:ilvl w:val="0"/>
          <w:numId w:val="37"/>
        </w:numPr>
        <w:spacing w:before="120" w:after="120"/>
        <w:ind w:left="0" w:firstLine="0"/>
        <w:contextualSpacing w:val="0"/>
        <w:rPr>
          <w:kern w:val="22"/>
          <w:szCs w:val="22"/>
        </w:rPr>
      </w:pPr>
      <w:r w:rsidRPr="00717F31">
        <w:rPr>
          <w:kern w:val="22"/>
          <w:szCs w:val="22"/>
        </w:rPr>
        <w:t>E</w:t>
      </w:r>
      <w:r w:rsidR="00731FF0" w:rsidRPr="00717F31">
        <w:rPr>
          <w:kern w:val="22"/>
          <w:szCs w:val="22"/>
        </w:rPr>
        <w:t>ach member and invited expert of the Persistent Organic Chemicals Review Committee</w:t>
      </w:r>
      <w:r w:rsidR="004F2164" w:rsidRPr="00717F31">
        <w:rPr>
          <w:kern w:val="22"/>
          <w:szCs w:val="22"/>
        </w:rPr>
        <w:t xml:space="preserve"> </w:t>
      </w:r>
      <w:r w:rsidR="00731FF0" w:rsidRPr="00717F31">
        <w:rPr>
          <w:kern w:val="22"/>
          <w:szCs w:val="22"/>
        </w:rPr>
        <w:t>under the Stockholm Convention</w:t>
      </w:r>
      <w:r w:rsidR="0033168C" w:rsidRPr="00717F31">
        <w:rPr>
          <w:kern w:val="22"/>
          <w:szCs w:val="22"/>
        </w:rPr>
        <w:t>,</w:t>
      </w:r>
      <w:r w:rsidR="004F2164" w:rsidRPr="00717F31">
        <w:rPr>
          <w:rStyle w:val="FootnoteReference"/>
          <w:kern w:val="22"/>
          <w:sz w:val="22"/>
          <w:szCs w:val="22"/>
        </w:rPr>
        <w:footnoteReference w:id="12"/>
      </w:r>
      <w:r w:rsidR="00731FF0" w:rsidRPr="00717F31">
        <w:rPr>
          <w:kern w:val="22"/>
          <w:szCs w:val="22"/>
        </w:rPr>
        <w:t xml:space="preserve"> and the Chemical Review Committee under the Rotterdam Convention</w:t>
      </w:r>
      <w:r w:rsidR="004F2164" w:rsidRPr="00717F31">
        <w:rPr>
          <w:rStyle w:val="FootnoteReference"/>
          <w:kern w:val="22"/>
          <w:sz w:val="22"/>
          <w:szCs w:val="22"/>
        </w:rPr>
        <w:footnoteReference w:id="13"/>
      </w:r>
      <w:r w:rsidR="00731FF0" w:rsidRPr="00717F31">
        <w:rPr>
          <w:kern w:val="22"/>
          <w:szCs w:val="22"/>
        </w:rPr>
        <w:t xml:space="preserve"> is required to complete a declaration of conflicts of interest prior to participating in the work of the respective Committee. </w:t>
      </w:r>
      <w:r w:rsidR="006457E8" w:rsidRPr="00717F31">
        <w:rPr>
          <w:kern w:val="22"/>
          <w:szCs w:val="22"/>
        </w:rPr>
        <w:t>The stated purpose of this requirement is to ensure the technical integrity of the work of the respective Committees</w:t>
      </w:r>
      <w:r w:rsidR="00710BBA" w:rsidRPr="00717F31">
        <w:rPr>
          <w:kern w:val="22"/>
          <w:szCs w:val="22"/>
        </w:rPr>
        <w:t xml:space="preserve"> and</w:t>
      </w:r>
      <w:r w:rsidR="004F2164" w:rsidRPr="00717F31">
        <w:rPr>
          <w:kern w:val="22"/>
          <w:szCs w:val="22"/>
        </w:rPr>
        <w:t xml:space="preserve"> to avoid situations in which financial or other interests might affect the outcome of the Committee’s work.</w:t>
      </w:r>
    </w:p>
    <w:p w:rsidR="00D31E44" w:rsidRPr="00717F31" w:rsidRDefault="00D31E44"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The Intergovernmental Science-Policy Platform on Biodiversity and Ecosystem Services (IPBES) has </w:t>
      </w:r>
      <w:r w:rsidR="00551B81" w:rsidRPr="00717F31">
        <w:rPr>
          <w:kern w:val="22"/>
          <w:szCs w:val="22"/>
        </w:rPr>
        <w:t>“Conflict</w:t>
      </w:r>
      <w:r w:rsidRPr="00717F31">
        <w:rPr>
          <w:bCs/>
          <w:kern w:val="22"/>
          <w:szCs w:val="22"/>
        </w:rPr>
        <w:t xml:space="preserve"> of interest policy and implementation procedures</w:t>
      </w:r>
      <w:r w:rsidR="00551B81" w:rsidRPr="00717F31">
        <w:rPr>
          <w:bCs/>
          <w:kern w:val="22"/>
          <w:szCs w:val="22"/>
        </w:rPr>
        <w:t>”</w:t>
      </w:r>
      <w:r w:rsidRPr="00717F31">
        <w:rPr>
          <w:bCs/>
          <w:kern w:val="22"/>
          <w:szCs w:val="22"/>
        </w:rPr>
        <w:t xml:space="preserve">. The policy and the procedures were adopted by the Plenary in its decision </w:t>
      </w:r>
      <w:r w:rsidRPr="00717F31">
        <w:rPr>
          <w:iCs/>
          <w:kern w:val="22"/>
          <w:szCs w:val="22"/>
        </w:rPr>
        <w:t xml:space="preserve">IPBES-3/3, </w:t>
      </w:r>
      <w:r w:rsidR="0033168C" w:rsidRPr="00717F31">
        <w:rPr>
          <w:iCs/>
          <w:kern w:val="22"/>
          <w:szCs w:val="22"/>
        </w:rPr>
        <w:t>a</w:t>
      </w:r>
      <w:r w:rsidRPr="00717F31">
        <w:rPr>
          <w:iCs/>
          <w:kern w:val="22"/>
          <w:szCs w:val="22"/>
        </w:rPr>
        <w:t>nnex II</w:t>
      </w:r>
      <w:r w:rsidRPr="00717F31">
        <w:rPr>
          <w:i/>
          <w:iCs/>
          <w:kern w:val="22"/>
          <w:szCs w:val="22"/>
        </w:rPr>
        <w:t xml:space="preserve">. </w:t>
      </w:r>
      <w:r w:rsidRPr="00717F31">
        <w:rPr>
          <w:kern w:val="22"/>
          <w:szCs w:val="22"/>
        </w:rPr>
        <w:t xml:space="preserve">As specified in the </w:t>
      </w:r>
      <w:r w:rsidR="00CB77C0" w:rsidRPr="00717F31">
        <w:rPr>
          <w:kern w:val="22"/>
          <w:szCs w:val="22"/>
        </w:rPr>
        <w:t>p</w:t>
      </w:r>
      <w:r w:rsidRPr="00717F31">
        <w:rPr>
          <w:kern w:val="22"/>
          <w:szCs w:val="22"/>
        </w:rPr>
        <w:t>olicy, the overall purpose is “to protect the legitimacy, integrity and credibility of the Platform and its deliverables as well as confidence in its activities and in individuals who are directly involved in the preparation of its reports and other deliverables”.</w:t>
      </w:r>
      <w:r w:rsidRPr="00717F31">
        <w:rPr>
          <w:rStyle w:val="FootnoteReference"/>
          <w:kern w:val="22"/>
          <w:sz w:val="22"/>
          <w:szCs w:val="22"/>
        </w:rPr>
        <w:footnoteReference w:id="14"/>
      </w:r>
      <w:r w:rsidRPr="00717F31">
        <w:rPr>
          <w:kern w:val="22"/>
          <w:szCs w:val="22"/>
        </w:rPr>
        <w:t xml:space="preserve"> </w:t>
      </w:r>
      <w:r w:rsidR="00551B81" w:rsidRPr="00717F31">
        <w:rPr>
          <w:kern w:val="22"/>
          <w:szCs w:val="22"/>
        </w:rPr>
        <w:t xml:space="preserve">According to the </w:t>
      </w:r>
      <w:r w:rsidR="00D20E6A" w:rsidRPr="00717F31">
        <w:rPr>
          <w:kern w:val="22"/>
          <w:szCs w:val="22"/>
        </w:rPr>
        <w:t xml:space="preserve">implementing </w:t>
      </w:r>
      <w:r w:rsidR="00551B81" w:rsidRPr="00717F31">
        <w:rPr>
          <w:kern w:val="22"/>
          <w:szCs w:val="22"/>
        </w:rPr>
        <w:t>procedure</w:t>
      </w:r>
      <w:r w:rsidR="00D20E6A" w:rsidRPr="00717F31">
        <w:rPr>
          <w:kern w:val="22"/>
          <w:szCs w:val="22"/>
        </w:rPr>
        <w:t>s</w:t>
      </w:r>
      <w:r w:rsidR="0033168C" w:rsidRPr="00717F31">
        <w:rPr>
          <w:kern w:val="22"/>
          <w:szCs w:val="22"/>
        </w:rPr>
        <w:t>,</w:t>
      </w:r>
      <w:r w:rsidR="00D20E6A" w:rsidRPr="00717F31">
        <w:rPr>
          <w:rStyle w:val="FootnoteReference"/>
          <w:kern w:val="22"/>
          <w:sz w:val="22"/>
          <w:szCs w:val="22"/>
        </w:rPr>
        <w:footnoteReference w:id="15"/>
      </w:r>
      <w:r w:rsidR="00551B81" w:rsidRPr="00717F31">
        <w:rPr>
          <w:kern w:val="22"/>
          <w:szCs w:val="22"/>
        </w:rPr>
        <w:t xml:space="preserve"> an individual will be requested to complete a conflict of interest form before being appointed as a task force or expert group member, report co-chair, coordinating lead author, lead author or review editor. The completed form will then be submitted by the Secretariat to the Committee on Conflicts of Interest for evaluation and determination whether the individual might be affected by a potential conflict of interest that cannot be resolved. If the Committee determines that the individual has a conflict of interest that cannot be resolved, the individual will not be eligible to participate in the preparation of the deliverable. </w:t>
      </w:r>
      <w:r w:rsidR="00D20E6A" w:rsidRPr="00717F31">
        <w:rPr>
          <w:kern w:val="22"/>
          <w:szCs w:val="22"/>
        </w:rPr>
        <w:t xml:space="preserve">The </w:t>
      </w:r>
      <w:r w:rsidR="00135834" w:rsidRPr="00717F31">
        <w:rPr>
          <w:kern w:val="22"/>
          <w:szCs w:val="22"/>
        </w:rPr>
        <w:t>IPBES s</w:t>
      </w:r>
      <w:r w:rsidR="00D20E6A" w:rsidRPr="00717F31">
        <w:rPr>
          <w:kern w:val="22"/>
          <w:szCs w:val="22"/>
        </w:rPr>
        <w:t>ecretariat should also be informed of a</w:t>
      </w:r>
      <w:r w:rsidR="00551B81" w:rsidRPr="00717F31">
        <w:rPr>
          <w:kern w:val="22"/>
          <w:szCs w:val="22"/>
        </w:rPr>
        <w:t>ny change</w:t>
      </w:r>
      <w:r w:rsidR="00D20E6A" w:rsidRPr="00717F31">
        <w:rPr>
          <w:kern w:val="22"/>
          <w:szCs w:val="22"/>
        </w:rPr>
        <w:t>s</w:t>
      </w:r>
      <w:r w:rsidR="00551B81" w:rsidRPr="00717F31">
        <w:rPr>
          <w:kern w:val="22"/>
          <w:szCs w:val="22"/>
        </w:rPr>
        <w:t xml:space="preserve"> </w:t>
      </w:r>
      <w:r w:rsidR="00D20E6A" w:rsidRPr="00717F31">
        <w:rPr>
          <w:kern w:val="22"/>
          <w:szCs w:val="22"/>
        </w:rPr>
        <w:t xml:space="preserve">in the individual’s situation </w:t>
      </w:r>
      <w:r w:rsidR="00551B81" w:rsidRPr="00717F31">
        <w:rPr>
          <w:kern w:val="22"/>
          <w:szCs w:val="22"/>
        </w:rPr>
        <w:t xml:space="preserve">that may </w:t>
      </w:r>
      <w:r w:rsidR="00D20E6A" w:rsidRPr="00717F31">
        <w:rPr>
          <w:kern w:val="22"/>
          <w:szCs w:val="22"/>
        </w:rPr>
        <w:t>arise</w:t>
      </w:r>
      <w:r w:rsidR="00551B81" w:rsidRPr="00717F31">
        <w:rPr>
          <w:kern w:val="22"/>
          <w:szCs w:val="22"/>
        </w:rPr>
        <w:t xml:space="preserve"> after the appointment.</w:t>
      </w:r>
    </w:p>
    <w:p w:rsidR="00D772F7" w:rsidRPr="00717F31" w:rsidRDefault="00EB16E5"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There are a number of other organizations </w:t>
      </w:r>
      <w:r w:rsidR="00F30C39" w:rsidRPr="00717F31">
        <w:rPr>
          <w:kern w:val="22"/>
          <w:szCs w:val="22"/>
        </w:rPr>
        <w:t xml:space="preserve">or entities </w:t>
      </w:r>
      <w:r w:rsidRPr="00717F31">
        <w:rPr>
          <w:kern w:val="22"/>
          <w:szCs w:val="22"/>
        </w:rPr>
        <w:t>that have guidelines or policies on conflict</w:t>
      </w:r>
      <w:r w:rsidR="00673FE5" w:rsidRPr="00717F31">
        <w:rPr>
          <w:kern w:val="22"/>
          <w:szCs w:val="22"/>
        </w:rPr>
        <w:t>s</w:t>
      </w:r>
      <w:r w:rsidRPr="00717F31">
        <w:rPr>
          <w:kern w:val="22"/>
          <w:szCs w:val="22"/>
        </w:rPr>
        <w:t xml:space="preserve"> of interest. For example</w:t>
      </w:r>
      <w:r w:rsidR="00A840D4" w:rsidRPr="00717F31">
        <w:rPr>
          <w:kern w:val="22"/>
          <w:szCs w:val="22"/>
        </w:rPr>
        <w:t>,</w:t>
      </w:r>
      <w:r w:rsidRPr="00717F31">
        <w:rPr>
          <w:kern w:val="22"/>
          <w:szCs w:val="22"/>
        </w:rPr>
        <w:t xml:space="preserve"> the World Health Organization </w:t>
      </w:r>
      <w:r w:rsidR="00A840D4" w:rsidRPr="00717F31">
        <w:rPr>
          <w:kern w:val="22"/>
          <w:szCs w:val="22"/>
        </w:rPr>
        <w:t xml:space="preserve">(WHO) </w:t>
      </w:r>
      <w:r w:rsidRPr="00717F31">
        <w:rPr>
          <w:kern w:val="22"/>
          <w:szCs w:val="22"/>
        </w:rPr>
        <w:t xml:space="preserve">has </w:t>
      </w:r>
      <w:r w:rsidR="002968BD" w:rsidRPr="00717F31">
        <w:rPr>
          <w:kern w:val="22"/>
          <w:szCs w:val="22"/>
        </w:rPr>
        <w:t xml:space="preserve">comprehensive </w:t>
      </w:r>
      <w:r w:rsidRPr="00717F31">
        <w:rPr>
          <w:kern w:val="22"/>
          <w:szCs w:val="22"/>
        </w:rPr>
        <w:t>guidelines on conflict</w:t>
      </w:r>
      <w:r w:rsidR="00673FE5" w:rsidRPr="00717F31">
        <w:rPr>
          <w:kern w:val="22"/>
          <w:szCs w:val="22"/>
        </w:rPr>
        <w:t>s</w:t>
      </w:r>
      <w:r w:rsidRPr="00717F31">
        <w:rPr>
          <w:kern w:val="22"/>
          <w:szCs w:val="22"/>
        </w:rPr>
        <w:t xml:space="preserve"> of interest that apply to its experts who are requested or invited to provide independent advice </w:t>
      </w:r>
      <w:r w:rsidR="00A840D4" w:rsidRPr="00717F31">
        <w:rPr>
          <w:kern w:val="22"/>
          <w:szCs w:val="22"/>
        </w:rPr>
        <w:t>that enables WHO to take a decision or to provide sound recommendations to Member States or other stakeholders</w:t>
      </w:r>
      <w:r w:rsidR="0033168C" w:rsidRPr="00717F31">
        <w:rPr>
          <w:kern w:val="22"/>
          <w:szCs w:val="22"/>
        </w:rPr>
        <w:t>.</w:t>
      </w:r>
      <w:r w:rsidR="002968BD" w:rsidRPr="00717F31">
        <w:rPr>
          <w:rStyle w:val="FootnoteReference"/>
          <w:kern w:val="22"/>
          <w:sz w:val="22"/>
          <w:szCs w:val="22"/>
        </w:rPr>
        <w:footnoteReference w:id="16"/>
      </w:r>
      <w:r w:rsidR="00A840D4" w:rsidRPr="00717F31">
        <w:rPr>
          <w:kern w:val="22"/>
          <w:szCs w:val="22"/>
        </w:rPr>
        <w:t xml:space="preserve"> </w:t>
      </w:r>
      <w:r w:rsidR="002968BD" w:rsidRPr="00717F31">
        <w:rPr>
          <w:kern w:val="22"/>
          <w:szCs w:val="22"/>
        </w:rPr>
        <w:t xml:space="preserve">The Food and Agriculture Organization </w:t>
      </w:r>
      <w:r w:rsidR="00143F15" w:rsidRPr="00717F31">
        <w:rPr>
          <w:kern w:val="22"/>
          <w:szCs w:val="22"/>
        </w:rPr>
        <w:t xml:space="preserve">of the United Nations </w:t>
      </w:r>
      <w:r w:rsidR="002968BD" w:rsidRPr="00717F31">
        <w:rPr>
          <w:kern w:val="22"/>
          <w:szCs w:val="22"/>
        </w:rPr>
        <w:t xml:space="preserve">(FAO) requires </w:t>
      </w:r>
      <w:r w:rsidR="00673FE5" w:rsidRPr="00717F31">
        <w:rPr>
          <w:kern w:val="22"/>
          <w:szCs w:val="22"/>
        </w:rPr>
        <w:t xml:space="preserve">its </w:t>
      </w:r>
      <w:r w:rsidR="002968BD" w:rsidRPr="00717F31">
        <w:rPr>
          <w:kern w:val="22"/>
          <w:szCs w:val="22"/>
        </w:rPr>
        <w:t xml:space="preserve">experts to complete a form on declaration of conflict of interest. </w:t>
      </w:r>
      <w:r w:rsidR="00EE62E2" w:rsidRPr="00717F31">
        <w:rPr>
          <w:kern w:val="22"/>
          <w:szCs w:val="22"/>
        </w:rPr>
        <w:t xml:space="preserve">The Green Climate Fund has rules that require </w:t>
      </w:r>
      <w:r w:rsidR="00EE62E2" w:rsidRPr="00717F31">
        <w:rPr>
          <w:kern w:val="22"/>
          <w:szCs w:val="22"/>
        </w:rPr>
        <w:lastRenderedPageBreak/>
        <w:t xml:space="preserve">Board members and alternate members to disclose any conflict of interest they may have in relation to any items on the agenda, and to </w:t>
      </w:r>
      <w:r w:rsidR="0013604D" w:rsidRPr="00717F31">
        <w:rPr>
          <w:kern w:val="22"/>
          <w:szCs w:val="22"/>
        </w:rPr>
        <w:t>“</w:t>
      </w:r>
      <w:r w:rsidR="00EE62E2" w:rsidRPr="00717F31">
        <w:rPr>
          <w:kern w:val="22"/>
          <w:szCs w:val="22"/>
        </w:rPr>
        <w:t>recuse themselves from participating in any decision regarding a project and/or involving an entity with respect to which they have a conflict of interest as defined in the standards on ethics and conflict of interest</w:t>
      </w:r>
      <w:r w:rsidR="0013604D" w:rsidRPr="00717F31">
        <w:rPr>
          <w:kern w:val="22"/>
          <w:szCs w:val="22"/>
        </w:rPr>
        <w:t>”</w:t>
      </w:r>
      <w:r w:rsidR="00EE62E2" w:rsidRPr="00717F31">
        <w:rPr>
          <w:kern w:val="22"/>
          <w:szCs w:val="22"/>
        </w:rPr>
        <w:t xml:space="preserve">. Active observers who participate in Board meetings are also required to </w:t>
      </w:r>
      <w:r w:rsidR="0013604D" w:rsidRPr="00717F31">
        <w:rPr>
          <w:kern w:val="22"/>
          <w:szCs w:val="22"/>
        </w:rPr>
        <w:t>“</w:t>
      </w:r>
      <w:r w:rsidR="00EE62E2" w:rsidRPr="00717F31">
        <w:rPr>
          <w:kern w:val="22"/>
          <w:szCs w:val="22"/>
        </w:rPr>
        <w:t>disclose any conflict of interest they may have in relation to any items on the agenda and recuse themselves from participating in the proceedings of that item</w:t>
      </w:r>
      <w:r w:rsidR="0013604D" w:rsidRPr="00717F31">
        <w:rPr>
          <w:kern w:val="22"/>
          <w:szCs w:val="22"/>
        </w:rPr>
        <w:t>”</w:t>
      </w:r>
      <w:r w:rsidR="00EE62E2" w:rsidRPr="00717F31">
        <w:rPr>
          <w:kern w:val="22"/>
          <w:szCs w:val="22"/>
        </w:rPr>
        <w:t>.</w:t>
      </w:r>
      <w:r w:rsidR="0013604D" w:rsidRPr="00717F31">
        <w:rPr>
          <w:rStyle w:val="FootnoteReference"/>
          <w:kern w:val="22"/>
          <w:sz w:val="22"/>
          <w:szCs w:val="22"/>
        </w:rPr>
        <w:footnoteReference w:id="17"/>
      </w:r>
    </w:p>
    <w:p w:rsidR="00D772F7" w:rsidRPr="00717F31" w:rsidRDefault="00297E88" w:rsidP="00717F31">
      <w:pPr>
        <w:pStyle w:val="Heading2"/>
        <w:rPr>
          <w:kern w:val="22"/>
          <w:szCs w:val="22"/>
        </w:rPr>
      </w:pPr>
      <w:r w:rsidRPr="00717F31">
        <w:rPr>
          <w:kern w:val="22"/>
          <w:szCs w:val="22"/>
        </w:rPr>
        <w:t>D.</w:t>
      </w:r>
      <w:r w:rsidRPr="00717F31">
        <w:rPr>
          <w:kern w:val="22"/>
          <w:szCs w:val="22"/>
        </w:rPr>
        <w:tab/>
      </w:r>
      <w:r w:rsidR="003C545C" w:rsidRPr="00717F31">
        <w:rPr>
          <w:kern w:val="22"/>
          <w:szCs w:val="22"/>
        </w:rPr>
        <w:t xml:space="preserve">Proposed procedure for avoiding and managing </w:t>
      </w:r>
      <w:r w:rsidR="00BE7878" w:rsidRPr="00717F31">
        <w:rPr>
          <w:kern w:val="22"/>
          <w:szCs w:val="22"/>
        </w:rPr>
        <w:t>conflict</w:t>
      </w:r>
      <w:r w:rsidR="003C545C" w:rsidRPr="00717F31">
        <w:rPr>
          <w:kern w:val="22"/>
          <w:szCs w:val="22"/>
        </w:rPr>
        <w:t>s</w:t>
      </w:r>
      <w:r w:rsidR="00BE7878" w:rsidRPr="00717F31">
        <w:rPr>
          <w:kern w:val="22"/>
          <w:szCs w:val="22"/>
        </w:rPr>
        <w:t xml:space="preserve"> of </w:t>
      </w:r>
      <w:r w:rsidR="00EE62E2" w:rsidRPr="00717F31">
        <w:rPr>
          <w:kern w:val="22"/>
          <w:szCs w:val="22"/>
        </w:rPr>
        <w:t>interest</w:t>
      </w:r>
      <w:r w:rsidR="00EB0D38" w:rsidRPr="00717F31">
        <w:rPr>
          <w:kern w:val="22"/>
          <w:szCs w:val="22"/>
        </w:rPr>
        <w:t xml:space="preserve">s </w:t>
      </w:r>
      <w:r w:rsidR="003C545C" w:rsidRPr="00717F31">
        <w:rPr>
          <w:kern w:val="22"/>
          <w:szCs w:val="22"/>
        </w:rPr>
        <w:t>in expert groups</w:t>
      </w:r>
    </w:p>
    <w:p w:rsidR="006D7D9F" w:rsidRPr="00717F31" w:rsidRDefault="00F30C39"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The advance and the </w:t>
      </w:r>
      <w:r w:rsidR="006D7D9F" w:rsidRPr="00717F31">
        <w:rPr>
          <w:kern w:val="22"/>
          <w:szCs w:val="22"/>
        </w:rPr>
        <w:t xml:space="preserve">growing </w:t>
      </w:r>
      <w:r w:rsidRPr="00717F31">
        <w:rPr>
          <w:kern w:val="22"/>
          <w:szCs w:val="22"/>
        </w:rPr>
        <w:t xml:space="preserve">complexity of research and development </w:t>
      </w:r>
      <w:r w:rsidR="006D7D9F" w:rsidRPr="00717F31">
        <w:rPr>
          <w:kern w:val="22"/>
          <w:szCs w:val="22"/>
        </w:rPr>
        <w:t xml:space="preserve">in bio-sciences has increased the need for Parties to the Convention and the Protocols to seek more expert advice to address </w:t>
      </w:r>
      <w:r w:rsidR="00D2054B" w:rsidRPr="00717F31">
        <w:rPr>
          <w:kern w:val="22"/>
          <w:szCs w:val="22"/>
        </w:rPr>
        <w:t xml:space="preserve">emerging </w:t>
      </w:r>
      <w:r w:rsidR="005738F7" w:rsidRPr="00717F31">
        <w:rPr>
          <w:kern w:val="22"/>
          <w:szCs w:val="22"/>
        </w:rPr>
        <w:t>scientific</w:t>
      </w:r>
      <w:r w:rsidR="00805BDF" w:rsidRPr="00717F31">
        <w:rPr>
          <w:kern w:val="22"/>
          <w:szCs w:val="22"/>
        </w:rPr>
        <w:t xml:space="preserve">, technical and technological </w:t>
      </w:r>
      <w:r w:rsidR="00D2054B" w:rsidRPr="00717F31">
        <w:rPr>
          <w:kern w:val="22"/>
          <w:szCs w:val="22"/>
        </w:rPr>
        <w:t xml:space="preserve">issues. </w:t>
      </w:r>
      <w:r w:rsidR="005738F7" w:rsidRPr="00717F31">
        <w:rPr>
          <w:kern w:val="22"/>
          <w:szCs w:val="22"/>
        </w:rPr>
        <w:t xml:space="preserve">Tapping the </w:t>
      </w:r>
      <w:r w:rsidR="00D2054B" w:rsidRPr="00717F31">
        <w:rPr>
          <w:kern w:val="22"/>
          <w:szCs w:val="22"/>
        </w:rPr>
        <w:t xml:space="preserve">inputs </w:t>
      </w:r>
      <w:r w:rsidR="00EB0D38" w:rsidRPr="00717F31">
        <w:rPr>
          <w:kern w:val="22"/>
          <w:szCs w:val="22"/>
        </w:rPr>
        <w:t>of</w:t>
      </w:r>
      <w:r w:rsidR="00D2054B" w:rsidRPr="00717F31">
        <w:rPr>
          <w:kern w:val="22"/>
          <w:szCs w:val="22"/>
        </w:rPr>
        <w:t xml:space="preserve"> the most experienced and knowledgeable experts or scientists </w:t>
      </w:r>
      <w:r w:rsidR="008D514B" w:rsidRPr="00717F31">
        <w:rPr>
          <w:kern w:val="22"/>
          <w:szCs w:val="22"/>
        </w:rPr>
        <w:t>has become</w:t>
      </w:r>
      <w:r w:rsidR="00D2054B" w:rsidRPr="00717F31">
        <w:rPr>
          <w:kern w:val="22"/>
          <w:szCs w:val="22"/>
        </w:rPr>
        <w:t xml:space="preserve"> </w:t>
      </w:r>
      <w:r w:rsidR="00EB0D38" w:rsidRPr="00717F31">
        <w:rPr>
          <w:kern w:val="22"/>
          <w:szCs w:val="22"/>
        </w:rPr>
        <w:t xml:space="preserve">very important in order </w:t>
      </w:r>
      <w:r w:rsidR="005738F7" w:rsidRPr="00717F31">
        <w:rPr>
          <w:kern w:val="22"/>
          <w:szCs w:val="22"/>
        </w:rPr>
        <w:t xml:space="preserve">to ensure the adoption of science-based and </w:t>
      </w:r>
      <w:r w:rsidR="0033168C" w:rsidRPr="00717F31">
        <w:rPr>
          <w:kern w:val="22"/>
          <w:szCs w:val="22"/>
        </w:rPr>
        <w:t>well-informed</w:t>
      </w:r>
      <w:r w:rsidR="005738F7" w:rsidRPr="00717F31">
        <w:rPr>
          <w:kern w:val="22"/>
          <w:szCs w:val="22"/>
        </w:rPr>
        <w:t xml:space="preserve"> decisions by Parties. </w:t>
      </w:r>
      <w:r w:rsidR="00D2054B" w:rsidRPr="00717F31">
        <w:rPr>
          <w:kern w:val="22"/>
          <w:szCs w:val="22"/>
        </w:rPr>
        <w:t xml:space="preserve">This </w:t>
      </w:r>
      <w:r w:rsidR="005B182F" w:rsidRPr="00717F31">
        <w:rPr>
          <w:kern w:val="22"/>
          <w:szCs w:val="22"/>
        </w:rPr>
        <w:t>situation has</w:t>
      </w:r>
      <w:r w:rsidR="005738F7" w:rsidRPr="00717F31">
        <w:rPr>
          <w:kern w:val="22"/>
          <w:szCs w:val="22"/>
        </w:rPr>
        <w:t xml:space="preserve">, at the same time, </w:t>
      </w:r>
      <w:r w:rsidR="00D2054B" w:rsidRPr="00717F31">
        <w:rPr>
          <w:kern w:val="22"/>
          <w:szCs w:val="22"/>
        </w:rPr>
        <w:t>increased the stakes</w:t>
      </w:r>
      <w:r w:rsidR="00E56CE2" w:rsidRPr="00717F31">
        <w:rPr>
          <w:kern w:val="22"/>
          <w:szCs w:val="22"/>
        </w:rPr>
        <w:t>,</w:t>
      </w:r>
      <w:r w:rsidR="00D2054B" w:rsidRPr="00717F31">
        <w:rPr>
          <w:kern w:val="22"/>
          <w:szCs w:val="22"/>
        </w:rPr>
        <w:t xml:space="preserve"> concerns </w:t>
      </w:r>
      <w:r w:rsidR="00E56CE2" w:rsidRPr="00717F31">
        <w:rPr>
          <w:kern w:val="22"/>
          <w:szCs w:val="22"/>
        </w:rPr>
        <w:t xml:space="preserve">and controversies over ethical issues and questions </w:t>
      </w:r>
      <w:r w:rsidR="006D7D9F" w:rsidRPr="00717F31">
        <w:rPr>
          <w:kern w:val="22"/>
          <w:szCs w:val="22"/>
        </w:rPr>
        <w:t>regarding conflict</w:t>
      </w:r>
      <w:r w:rsidR="00C15A65" w:rsidRPr="00717F31">
        <w:rPr>
          <w:kern w:val="22"/>
          <w:szCs w:val="22"/>
        </w:rPr>
        <w:t>s</w:t>
      </w:r>
      <w:r w:rsidR="006D7D9F" w:rsidRPr="00717F31">
        <w:rPr>
          <w:kern w:val="22"/>
          <w:szCs w:val="22"/>
        </w:rPr>
        <w:t xml:space="preserve"> of interest</w:t>
      </w:r>
      <w:r w:rsidR="00E56CE2" w:rsidRPr="00717F31">
        <w:rPr>
          <w:kern w:val="22"/>
          <w:szCs w:val="22"/>
        </w:rPr>
        <w:t>.</w:t>
      </w:r>
      <w:r w:rsidR="00E56CE2" w:rsidRPr="00717F31">
        <w:rPr>
          <w:rStyle w:val="FootnoteReference"/>
          <w:kern w:val="22"/>
          <w:sz w:val="22"/>
          <w:szCs w:val="22"/>
        </w:rPr>
        <w:footnoteReference w:id="18"/>
      </w:r>
    </w:p>
    <w:p w:rsidR="00084305" w:rsidRPr="00717F31" w:rsidRDefault="0040393B"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It is therefore necessary to consider </w:t>
      </w:r>
      <w:r w:rsidR="00EB1BCA" w:rsidRPr="00717F31">
        <w:rPr>
          <w:kern w:val="22"/>
          <w:szCs w:val="22"/>
        </w:rPr>
        <w:t xml:space="preserve">formalizing procedures for avoiding and managing </w:t>
      </w:r>
      <w:r w:rsidRPr="00717F31">
        <w:rPr>
          <w:kern w:val="22"/>
          <w:szCs w:val="22"/>
        </w:rPr>
        <w:t>conflict</w:t>
      </w:r>
      <w:r w:rsidR="00EB1BCA" w:rsidRPr="00717F31">
        <w:rPr>
          <w:kern w:val="22"/>
          <w:szCs w:val="22"/>
        </w:rPr>
        <w:t>s</w:t>
      </w:r>
      <w:r w:rsidRPr="00717F31">
        <w:rPr>
          <w:kern w:val="22"/>
          <w:szCs w:val="22"/>
        </w:rPr>
        <w:t xml:space="preserve"> of interest to ensure the scientific and technical integrity of the work of technical expert groups that are established under the Convention and the Protocols. Each expert nominated to be a member of an expert group </w:t>
      </w:r>
      <w:r w:rsidR="00084305" w:rsidRPr="00717F31">
        <w:rPr>
          <w:kern w:val="22"/>
          <w:szCs w:val="22"/>
        </w:rPr>
        <w:t>that functions online</w:t>
      </w:r>
      <w:r w:rsidR="00646439" w:rsidRPr="00717F31">
        <w:rPr>
          <w:kern w:val="22"/>
          <w:szCs w:val="22"/>
        </w:rPr>
        <w:t>,</w:t>
      </w:r>
      <w:r w:rsidR="00084305" w:rsidRPr="00717F31">
        <w:rPr>
          <w:kern w:val="22"/>
          <w:szCs w:val="22"/>
        </w:rPr>
        <w:t xml:space="preserve"> in-person</w:t>
      </w:r>
      <w:r w:rsidR="00646439" w:rsidRPr="00717F31">
        <w:rPr>
          <w:kern w:val="22"/>
          <w:szCs w:val="22"/>
        </w:rPr>
        <w:t xml:space="preserve"> or both</w:t>
      </w:r>
      <w:r w:rsidR="00084305" w:rsidRPr="00717F31">
        <w:rPr>
          <w:kern w:val="22"/>
          <w:szCs w:val="22"/>
        </w:rPr>
        <w:t xml:space="preserve"> </w:t>
      </w:r>
      <w:r w:rsidRPr="00717F31">
        <w:rPr>
          <w:kern w:val="22"/>
          <w:szCs w:val="22"/>
        </w:rPr>
        <w:t>should be required to declare any interests that the expert might have that could constitute a real or potential conflict with respect to the expert</w:t>
      </w:r>
      <w:r w:rsidR="00084305" w:rsidRPr="00717F31">
        <w:rPr>
          <w:kern w:val="22"/>
          <w:szCs w:val="22"/>
        </w:rPr>
        <w:t>’</w:t>
      </w:r>
      <w:r w:rsidRPr="00717F31">
        <w:rPr>
          <w:kern w:val="22"/>
          <w:szCs w:val="22"/>
        </w:rPr>
        <w:t xml:space="preserve">s responsibility </w:t>
      </w:r>
      <w:r w:rsidR="00084305" w:rsidRPr="00717F31">
        <w:rPr>
          <w:kern w:val="22"/>
          <w:szCs w:val="22"/>
        </w:rPr>
        <w:t>as a member of the expert group.</w:t>
      </w:r>
    </w:p>
    <w:p w:rsidR="0040393B" w:rsidRPr="00717F31" w:rsidRDefault="00084305"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The proposed </w:t>
      </w:r>
      <w:r w:rsidR="00EB1BCA" w:rsidRPr="00717F31">
        <w:rPr>
          <w:kern w:val="22"/>
          <w:szCs w:val="22"/>
        </w:rPr>
        <w:t>procedures</w:t>
      </w:r>
      <w:r w:rsidRPr="00717F31">
        <w:rPr>
          <w:kern w:val="22"/>
          <w:szCs w:val="22"/>
        </w:rPr>
        <w:t xml:space="preserve"> along with a conflict of interest declaration form are presented as </w:t>
      </w:r>
      <w:r w:rsidR="00252DBA" w:rsidRPr="00717F31">
        <w:rPr>
          <w:kern w:val="22"/>
          <w:szCs w:val="22"/>
        </w:rPr>
        <w:t xml:space="preserve">an </w:t>
      </w:r>
      <w:r w:rsidRPr="00717F31">
        <w:rPr>
          <w:kern w:val="22"/>
          <w:szCs w:val="22"/>
        </w:rPr>
        <w:t xml:space="preserve">annex to </w:t>
      </w:r>
      <w:r w:rsidR="00252DBA" w:rsidRPr="00717F31">
        <w:rPr>
          <w:kern w:val="22"/>
          <w:szCs w:val="22"/>
        </w:rPr>
        <w:t xml:space="preserve">the present </w:t>
      </w:r>
      <w:r w:rsidRPr="00717F31">
        <w:rPr>
          <w:kern w:val="22"/>
          <w:szCs w:val="22"/>
        </w:rPr>
        <w:t>document for the consideration of the Subsidiary Body on Implementation at its second meeting.</w:t>
      </w:r>
    </w:p>
    <w:p w:rsidR="00084305" w:rsidRPr="00717F31" w:rsidRDefault="008C0535" w:rsidP="00717F31">
      <w:pPr>
        <w:pStyle w:val="Heading1"/>
        <w:rPr>
          <w:kern w:val="22"/>
          <w:szCs w:val="22"/>
        </w:rPr>
      </w:pPr>
      <w:r w:rsidRPr="00717F31">
        <w:rPr>
          <w:kern w:val="22"/>
          <w:szCs w:val="22"/>
        </w:rPr>
        <w:t>IV</w:t>
      </w:r>
      <w:r w:rsidR="00084305" w:rsidRPr="00717F31">
        <w:rPr>
          <w:kern w:val="22"/>
          <w:szCs w:val="22"/>
        </w:rPr>
        <w:t>.</w:t>
      </w:r>
      <w:r w:rsidR="00084305" w:rsidRPr="00717F31">
        <w:rPr>
          <w:kern w:val="22"/>
          <w:szCs w:val="22"/>
        </w:rPr>
        <w:tab/>
      </w:r>
      <w:r w:rsidR="00B0422A" w:rsidRPr="00717F31">
        <w:rPr>
          <w:kern w:val="22"/>
          <w:szCs w:val="22"/>
        </w:rPr>
        <w:t xml:space="preserve">SUGGESTED </w:t>
      </w:r>
      <w:r w:rsidR="00084305" w:rsidRPr="00717F31">
        <w:rPr>
          <w:kern w:val="22"/>
          <w:szCs w:val="22"/>
        </w:rPr>
        <w:t>ELEMENTS OF</w:t>
      </w:r>
      <w:r w:rsidR="00B0422A" w:rsidRPr="00717F31">
        <w:rPr>
          <w:kern w:val="22"/>
          <w:szCs w:val="22"/>
        </w:rPr>
        <w:t xml:space="preserve"> A</w:t>
      </w:r>
      <w:r w:rsidR="00084305" w:rsidRPr="00717F31">
        <w:rPr>
          <w:kern w:val="22"/>
          <w:szCs w:val="22"/>
        </w:rPr>
        <w:t xml:space="preserve"> RECOMMENDATION</w:t>
      </w:r>
    </w:p>
    <w:p w:rsidR="00C164DE" w:rsidRPr="00717F31" w:rsidRDefault="00757851"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The Subsidiary Body on Implementation may wish to </w:t>
      </w:r>
      <w:r w:rsidR="00C164DE" w:rsidRPr="00717F31">
        <w:rPr>
          <w:kern w:val="22"/>
          <w:szCs w:val="22"/>
        </w:rPr>
        <w:t xml:space="preserve">adopt a </w:t>
      </w:r>
      <w:r w:rsidRPr="00717F31">
        <w:rPr>
          <w:kern w:val="22"/>
          <w:szCs w:val="22"/>
        </w:rPr>
        <w:t>recommend</w:t>
      </w:r>
      <w:r w:rsidR="00C164DE" w:rsidRPr="00717F31">
        <w:rPr>
          <w:kern w:val="22"/>
          <w:szCs w:val="22"/>
        </w:rPr>
        <w:t xml:space="preserve">ation along </w:t>
      </w:r>
      <w:r w:rsidRPr="00717F31">
        <w:rPr>
          <w:kern w:val="22"/>
          <w:szCs w:val="22"/>
        </w:rPr>
        <w:t>the following lines:</w:t>
      </w:r>
    </w:p>
    <w:p w:rsidR="00C164DE" w:rsidRPr="00717F31" w:rsidRDefault="00C164DE" w:rsidP="00717F31">
      <w:pPr>
        <w:spacing w:before="120" w:after="120"/>
        <w:ind w:firstLine="709"/>
        <w:rPr>
          <w:i/>
          <w:kern w:val="22"/>
          <w:szCs w:val="22"/>
        </w:rPr>
      </w:pPr>
      <w:r w:rsidRPr="00717F31">
        <w:rPr>
          <w:i/>
          <w:kern w:val="22"/>
          <w:szCs w:val="22"/>
        </w:rPr>
        <w:t>The Subsidiary Body on Implementation</w:t>
      </w:r>
    </w:p>
    <w:p w:rsidR="00C164DE" w:rsidRPr="00717F31" w:rsidRDefault="00C164DE" w:rsidP="00717F31">
      <w:pPr>
        <w:spacing w:before="120" w:after="120"/>
        <w:ind w:firstLine="709"/>
        <w:rPr>
          <w:kern w:val="22"/>
          <w:szCs w:val="22"/>
        </w:rPr>
      </w:pPr>
      <w:r w:rsidRPr="00717F31">
        <w:rPr>
          <w:i/>
          <w:kern w:val="22"/>
          <w:szCs w:val="22"/>
        </w:rPr>
        <w:t>Requests</w:t>
      </w:r>
      <w:r w:rsidRPr="00717F31">
        <w:rPr>
          <w:kern w:val="22"/>
          <w:szCs w:val="22"/>
        </w:rPr>
        <w:t xml:space="preserve"> the Bureau and the </w:t>
      </w:r>
      <w:r w:rsidR="00C33250" w:rsidRPr="00717F31">
        <w:rPr>
          <w:kern w:val="22"/>
          <w:szCs w:val="22"/>
        </w:rPr>
        <w:t>Executive Secretary</w:t>
      </w:r>
      <w:r w:rsidRPr="00717F31">
        <w:rPr>
          <w:kern w:val="22"/>
          <w:szCs w:val="22"/>
        </w:rPr>
        <w:t xml:space="preserve">, when finalizing the proposed organization of work for </w:t>
      </w:r>
      <w:r w:rsidR="00B0422A" w:rsidRPr="00717F31">
        <w:rPr>
          <w:kern w:val="22"/>
          <w:szCs w:val="22"/>
        </w:rPr>
        <w:t>the fourteenth meeting of the Conference of the Parties to the Convention, the ninth meeting of the Conference of the Parties serving as the meeting of the Parties to the Cartagena Protocol and the third meeting of the Conference of the Parties serving as the meeting of the Parties to the Nagoya Protocol</w:t>
      </w:r>
      <w:r w:rsidR="00252DBA" w:rsidRPr="00717F31">
        <w:rPr>
          <w:kern w:val="22"/>
          <w:szCs w:val="22"/>
        </w:rPr>
        <w:t>,</w:t>
      </w:r>
      <w:r w:rsidR="00B0422A" w:rsidRPr="00717F31">
        <w:rPr>
          <w:kern w:val="22"/>
          <w:szCs w:val="22"/>
        </w:rPr>
        <w:t xml:space="preserve"> </w:t>
      </w:r>
      <w:r w:rsidRPr="00717F31">
        <w:rPr>
          <w:kern w:val="22"/>
          <w:szCs w:val="22"/>
        </w:rPr>
        <w:t>to take into account th</w:t>
      </w:r>
      <w:r w:rsidR="00B0422A" w:rsidRPr="00717F31">
        <w:rPr>
          <w:kern w:val="22"/>
          <w:szCs w:val="22"/>
        </w:rPr>
        <w:t>e present</w:t>
      </w:r>
      <w:r w:rsidRPr="00717F31">
        <w:rPr>
          <w:kern w:val="22"/>
          <w:szCs w:val="22"/>
        </w:rPr>
        <w:t xml:space="preserve"> recommendation and the information in </w:t>
      </w:r>
      <w:r w:rsidR="00B0422A" w:rsidRPr="00717F31">
        <w:rPr>
          <w:kern w:val="22"/>
          <w:szCs w:val="22"/>
        </w:rPr>
        <w:t>contained in the note by the Executive Secretary on the review of experience in holding concurrent meetings of the Conference of the Parties to the Convention and the meetings of the Parties to the Protocols</w:t>
      </w:r>
      <w:r w:rsidR="00302B3C" w:rsidRPr="00717F31">
        <w:rPr>
          <w:rStyle w:val="FootnoteReference"/>
          <w:kern w:val="22"/>
          <w:sz w:val="22"/>
          <w:szCs w:val="22"/>
        </w:rPr>
        <w:footnoteReference w:id="19"/>
      </w:r>
      <w:r w:rsidRPr="00717F31">
        <w:rPr>
          <w:kern w:val="22"/>
          <w:szCs w:val="22"/>
        </w:rPr>
        <w:t xml:space="preserve"> and associated information notes</w:t>
      </w:r>
      <w:r w:rsidR="00B0422A" w:rsidRPr="00717F31">
        <w:rPr>
          <w:kern w:val="22"/>
          <w:szCs w:val="22"/>
        </w:rPr>
        <w:t>;</w:t>
      </w:r>
      <w:r w:rsidR="00302B3C" w:rsidRPr="00717F31">
        <w:rPr>
          <w:rStyle w:val="FootnoteReference"/>
          <w:kern w:val="22"/>
          <w:sz w:val="22"/>
          <w:szCs w:val="22"/>
        </w:rPr>
        <w:footnoteReference w:id="20"/>
      </w:r>
    </w:p>
    <w:p w:rsidR="00C164DE" w:rsidRPr="00717F31" w:rsidRDefault="00C164DE" w:rsidP="00717F31">
      <w:pPr>
        <w:pStyle w:val="ListParagraph"/>
        <w:numPr>
          <w:ilvl w:val="0"/>
          <w:numId w:val="37"/>
        </w:numPr>
        <w:spacing w:before="120" w:after="120"/>
        <w:ind w:left="0" w:firstLine="0"/>
        <w:contextualSpacing w:val="0"/>
        <w:rPr>
          <w:kern w:val="22"/>
          <w:szCs w:val="22"/>
        </w:rPr>
      </w:pPr>
      <w:r w:rsidRPr="00717F31">
        <w:rPr>
          <w:kern w:val="22"/>
          <w:szCs w:val="22"/>
        </w:rPr>
        <w:t xml:space="preserve">The Subsidiary Body on Implementation may </w:t>
      </w:r>
      <w:r w:rsidR="00186C2A" w:rsidRPr="00717F31">
        <w:rPr>
          <w:kern w:val="22"/>
          <w:szCs w:val="22"/>
        </w:rPr>
        <w:t xml:space="preserve">also </w:t>
      </w:r>
      <w:r w:rsidRPr="00717F31">
        <w:rPr>
          <w:kern w:val="22"/>
          <w:szCs w:val="22"/>
        </w:rPr>
        <w:t>wish to recommend that the Conference of the Parties to the Convention, the Conference of the Parties serving as the meeting of the Parties to the Cartagena Protocol, and the Conference of the Parties serving as the meeting of the Parties to the Nagoya Protocol, adopt, respectively, a decision along the following lines:</w:t>
      </w:r>
    </w:p>
    <w:p w:rsidR="00B749F5" w:rsidRPr="00717F31" w:rsidRDefault="00757851" w:rsidP="00717F31">
      <w:pPr>
        <w:pStyle w:val="ListParagraph"/>
        <w:keepNext/>
        <w:spacing w:before="120" w:after="120"/>
        <w:ind w:left="0" w:firstLine="709"/>
        <w:contextualSpacing w:val="0"/>
        <w:rPr>
          <w:kern w:val="22"/>
          <w:szCs w:val="22"/>
        </w:rPr>
      </w:pPr>
      <w:r w:rsidRPr="00717F31">
        <w:rPr>
          <w:i/>
          <w:kern w:val="22"/>
          <w:szCs w:val="22"/>
        </w:rPr>
        <w:lastRenderedPageBreak/>
        <w:t xml:space="preserve">The Conference of the </w:t>
      </w:r>
      <w:r w:rsidR="00C33250" w:rsidRPr="00717F31">
        <w:rPr>
          <w:i/>
          <w:kern w:val="22"/>
          <w:szCs w:val="22"/>
        </w:rPr>
        <w:t>P</w:t>
      </w:r>
      <w:r w:rsidRPr="00717F31">
        <w:rPr>
          <w:i/>
          <w:kern w:val="22"/>
          <w:szCs w:val="22"/>
        </w:rPr>
        <w:t>arties,</w:t>
      </w:r>
    </w:p>
    <w:p w:rsidR="00B749F5" w:rsidRPr="00717F31" w:rsidRDefault="00B749F5" w:rsidP="00717F31">
      <w:pPr>
        <w:pStyle w:val="ListParagraph"/>
        <w:spacing w:before="120" w:after="120"/>
        <w:ind w:left="0" w:firstLine="709"/>
        <w:contextualSpacing w:val="0"/>
        <w:rPr>
          <w:kern w:val="22"/>
          <w:szCs w:val="22"/>
        </w:rPr>
      </w:pPr>
      <w:r w:rsidRPr="00717F31">
        <w:rPr>
          <w:i/>
          <w:kern w:val="22"/>
          <w:szCs w:val="22"/>
        </w:rPr>
        <w:t>The Conference of the Parties serving as the meeting of the Parties to the Cartagena Protocol</w:t>
      </w:r>
      <w:r w:rsidR="00163477" w:rsidRPr="00717F31">
        <w:rPr>
          <w:i/>
          <w:kern w:val="22"/>
          <w:szCs w:val="22"/>
        </w:rPr>
        <w:t xml:space="preserve"> on Biosafety</w:t>
      </w:r>
      <w:r w:rsidRPr="00717F31">
        <w:rPr>
          <w:i/>
          <w:kern w:val="22"/>
          <w:szCs w:val="22"/>
        </w:rPr>
        <w:t>,</w:t>
      </w:r>
    </w:p>
    <w:p w:rsidR="00757851" w:rsidRPr="00717F31" w:rsidRDefault="00B749F5" w:rsidP="00717F31">
      <w:pPr>
        <w:pStyle w:val="ListParagraph"/>
        <w:spacing w:before="120" w:after="120"/>
        <w:ind w:left="0" w:firstLine="709"/>
        <w:contextualSpacing w:val="0"/>
        <w:rPr>
          <w:i/>
          <w:kern w:val="22"/>
          <w:szCs w:val="22"/>
        </w:rPr>
      </w:pPr>
      <w:r w:rsidRPr="00717F31">
        <w:rPr>
          <w:i/>
          <w:kern w:val="22"/>
          <w:szCs w:val="22"/>
        </w:rPr>
        <w:t>The Conference of the Parties serving as the meeting of the Parties to the Nagoya Protocol</w:t>
      </w:r>
      <w:r w:rsidR="00163477" w:rsidRPr="00717F31">
        <w:rPr>
          <w:i/>
          <w:kern w:val="22"/>
          <w:szCs w:val="22"/>
        </w:rPr>
        <w:t xml:space="preserve"> on Access and Benefit-sharing</w:t>
      </w:r>
      <w:r w:rsidRPr="00717F31">
        <w:rPr>
          <w:i/>
          <w:kern w:val="22"/>
          <w:szCs w:val="22"/>
        </w:rPr>
        <w:t>,</w:t>
      </w:r>
    </w:p>
    <w:p w:rsidR="005A18BD" w:rsidRPr="00717F31" w:rsidRDefault="00887615" w:rsidP="00717F31">
      <w:pPr>
        <w:spacing w:before="120" w:after="120"/>
        <w:ind w:left="709" w:hanging="567"/>
        <w:rPr>
          <w:b/>
          <w:kern w:val="22"/>
          <w:szCs w:val="22"/>
        </w:rPr>
      </w:pPr>
      <w:r w:rsidRPr="00717F31">
        <w:rPr>
          <w:b/>
          <w:kern w:val="22"/>
          <w:szCs w:val="22"/>
        </w:rPr>
        <w:t>A.</w:t>
      </w:r>
      <w:r w:rsidRPr="00717F31">
        <w:rPr>
          <w:b/>
          <w:kern w:val="22"/>
          <w:szCs w:val="22"/>
        </w:rPr>
        <w:tab/>
      </w:r>
      <w:r w:rsidR="005A18BD" w:rsidRPr="00717F31">
        <w:rPr>
          <w:b/>
          <w:kern w:val="22"/>
          <w:szCs w:val="22"/>
        </w:rPr>
        <w:t xml:space="preserve">Review of experience in holding concurrently meetings of the </w:t>
      </w:r>
      <w:r w:rsidR="00B0422A" w:rsidRPr="00717F31">
        <w:rPr>
          <w:b/>
          <w:kern w:val="22"/>
          <w:szCs w:val="22"/>
        </w:rPr>
        <w:t>Conference of the Parties to the Convention</w:t>
      </w:r>
      <w:r w:rsidR="005A18BD" w:rsidRPr="00717F31">
        <w:rPr>
          <w:b/>
          <w:kern w:val="22"/>
          <w:szCs w:val="22"/>
        </w:rPr>
        <w:t xml:space="preserve">, </w:t>
      </w:r>
      <w:r w:rsidR="000E280C" w:rsidRPr="00717F31">
        <w:rPr>
          <w:b/>
          <w:kern w:val="22"/>
          <w:szCs w:val="22"/>
        </w:rPr>
        <w:t xml:space="preserve">the </w:t>
      </w:r>
      <w:r w:rsidR="00B0422A" w:rsidRPr="00717F31">
        <w:rPr>
          <w:b/>
          <w:kern w:val="22"/>
          <w:szCs w:val="22"/>
        </w:rPr>
        <w:t>Conference of the Parties serving as the meeting of the Parties to the Cartagena Protocol, and the Conference of the Parties serving as the meeting of the Parties to the Nagoya Protocol</w:t>
      </w:r>
    </w:p>
    <w:p w:rsidR="00C164DE" w:rsidRPr="00717F31" w:rsidRDefault="00C164DE" w:rsidP="00717F31">
      <w:pPr>
        <w:spacing w:before="120" w:after="120"/>
        <w:ind w:firstLine="720"/>
        <w:rPr>
          <w:kern w:val="22"/>
          <w:szCs w:val="22"/>
        </w:rPr>
      </w:pPr>
      <w:r w:rsidRPr="00717F31">
        <w:rPr>
          <w:i/>
          <w:iCs/>
          <w:kern w:val="22"/>
          <w:szCs w:val="22"/>
        </w:rPr>
        <w:t>Recalling</w:t>
      </w:r>
      <w:r w:rsidRPr="00717F31">
        <w:rPr>
          <w:kern w:val="22"/>
          <w:szCs w:val="22"/>
        </w:rPr>
        <w:t xml:space="preserve"> decisions </w:t>
      </w:r>
      <w:hyperlink r:id="rId23" w:history="1">
        <w:r w:rsidRPr="00717F31">
          <w:rPr>
            <w:rStyle w:val="Hyperlink"/>
            <w:kern w:val="22"/>
            <w:szCs w:val="22"/>
          </w:rPr>
          <w:t>X</w:t>
        </w:r>
        <w:r w:rsidR="0033653D" w:rsidRPr="00717F31">
          <w:rPr>
            <w:rStyle w:val="Hyperlink"/>
            <w:kern w:val="22"/>
            <w:szCs w:val="22"/>
          </w:rPr>
          <w:t>I</w:t>
        </w:r>
        <w:r w:rsidRPr="00717F31">
          <w:rPr>
            <w:rStyle w:val="Hyperlink"/>
            <w:kern w:val="22"/>
            <w:szCs w:val="22"/>
          </w:rPr>
          <w:t>I/27</w:t>
        </w:r>
      </w:hyperlink>
      <w:r w:rsidRPr="00717F31">
        <w:rPr>
          <w:kern w:val="22"/>
          <w:szCs w:val="22"/>
        </w:rPr>
        <w:t xml:space="preserve">, </w:t>
      </w:r>
      <w:hyperlink r:id="rId24" w:history="1">
        <w:r w:rsidR="00F34E70" w:rsidRPr="00717F31">
          <w:rPr>
            <w:rStyle w:val="Hyperlink"/>
            <w:kern w:val="22"/>
            <w:szCs w:val="22"/>
          </w:rPr>
          <w:t>CP-7/</w:t>
        </w:r>
        <w:r w:rsidR="00340466" w:rsidRPr="00717F31">
          <w:rPr>
            <w:rStyle w:val="Hyperlink"/>
            <w:kern w:val="22"/>
            <w:szCs w:val="22"/>
          </w:rPr>
          <w:t>9</w:t>
        </w:r>
      </w:hyperlink>
      <w:r w:rsidR="00F34E70" w:rsidRPr="00717F31">
        <w:rPr>
          <w:kern w:val="22"/>
          <w:szCs w:val="22"/>
        </w:rPr>
        <w:t xml:space="preserve"> and </w:t>
      </w:r>
      <w:hyperlink r:id="rId25" w:history="1">
        <w:r w:rsidR="00F34E70" w:rsidRPr="00717F31">
          <w:rPr>
            <w:rStyle w:val="Hyperlink"/>
            <w:kern w:val="22"/>
            <w:szCs w:val="22"/>
          </w:rPr>
          <w:t>NP-1/</w:t>
        </w:r>
        <w:r w:rsidR="00340466" w:rsidRPr="00717F31">
          <w:rPr>
            <w:rStyle w:val="Hyperlink"/>
            <w:kern w:val="22"/>
            <w:szCs w:val="22"/>
          </w:rPr>
          <w:t>12</w:t>
        </w:r>
      </w:hyperlink>
      <w:r w:rsidR="00F34E70" w:rsidRPr="00717F31">
        <w:rPr>
          <w:kern w:val="22"/>
          <w:szCs w:val="22"/>
        </w:rPr>
        <w:t xml:space="preserve">, </w:t>
      </w:r>
      <w:hyperlink r:id="rId26" w:history="1">
        <w:r w:rsidRPr="00717F31">
          <w:rPr>
            <w:rStyle w:val="Hyperlink"/>
            <w:kern w:val="22"/>
            <w:szCs w:val="22"/>
          </w:rPr>
          <w:t>XIII/26</w:t>
        </w:r>
      </w:hyperlink>
      <w:r w:rsidRPr="00717F31">
        <w:rPr>
          <w:kern w:val="22"/>
          <w:szCs w:val="22"/>
        </w:rPr>
        <w:t xml:space="preserve">, </w:t>
      </w:r>
      <w:hyperlink r:id="rId27" w:history="1">
        <w:r w:rsidR="004A1645" w:rsidRPr="00717F31">
          <w:rPr>
            <w:rStyle w:val="Hyperlink"/>
            <w:kern w:val="22"/>
            <w:szCs w:val="22"/>
          </w:rPr>
          <w:t>XIII/33</w:t>
        </w:r>
      </w:hyperlink>
      <w:r w:rsidR="004A1645" w:rsidRPr="00717F31">
        <w:rPr>
          <w:kern w:val="22"/>
          <w:szCs w:val="22"/>
        </w:rPr>
        <w:t xml:space="preserve">, </w:t>
      </w:r>
      <w:hyperlink r:id="rId28" w:history="1">
        <w:r w:rsidRPr="00717F31">
          <w:rPr>
            <w:rStyle w:val="Hyperlink"/>
            <w:kern w:val="22"/>
            <w:szCs w:val="22"/>
          </w:rPr>
          <w:t>CP-</w:t>
        </w:r>
        <w:r w:rsidR="004A1645" w:rsidRPr="00717F31">
          <w:rPr>
            <w:rStyle w:val="Hyperlink"/>
            <w:kern w:val="22"/>
            <w:szCs w:val="22"/>
          </w:rPr>
          <w:t>8/10</w:t>
        </w:r>
      </w:hyperlink>
      <w:r w:rsidR="004A1645" w:rsidRPr="00717F31">
        <w:rPr>
          <w:kern w:val="22"/>
          <w:szCs w:val="22"/>
        </w:rPr>
        <w:t xml:space="preserve"> and</w:t>
      </w:r>
      <w:r w:rsidRPr="00717F31">
        <w:rPr>
          <w:kern w:val="22"/>
          <w:szCs w:val="22"/>
        </w:rPr>
        <w:t xml:space="preserve"> </w:t>
      </w:r>
      <w:hyperlink r:id="rId29" w:history="1">
        <w:r w:rsidRPr="00717F31">
          <w:rPr>
            <w:rStyle w:val="Hyperlink"/>
            <w:kern w:val="22"/>
            <w:szCs w:val="22"/>
          </w:rPr>
          <w:t>NP-</w:t>
        </w:r>
        <w:r w:rsidR="004A1645" w:rsidRPr="00717F31">
          <w:rPr>
            <w:rStyle w:val="Hyperlink"/>
            <w:kern w:val="22"/>
            <w:szCs w:val="22"/>
          </w:rPr>
          <w:t>2/12</w:t>
        </w:r>
      </w:hyperlink>
      <w:r w:rsidR="004A1645" w:rsidRPr="00717F31">
        <w:rPr>
          <w:kern w:val="22"/>
          <w:szCs w:val="22"/>
        </w:rPr>
        <w:t>,</w:t>
      </w:r>
    </w:p>
    <w:p w:rsidR="00C164DE" w:rsidRPr="00717F31" w:rsidRDefault="00C164DE" w:rsidP="00717F31">
      <w:pPr>
        <w:spacing w:before="120" w:after="120"/>
        <w:ind w:firstLine="720"/>
        <w:rPr>
          <w:kern w:val="22"/>
          <w:szCs w:val="22"/>
        </w:rPr>
      </w:pPr>
      <w:r w:rsidRPr="00717F31">
        <w:rPr>
          <w:i/>
          <w:iCs/>
          <w:kern w:val="22"/>
          <w:szCs w:val="22"/>
        </w:rPr>
        <w:t>Having reviewed</w:t>
      </w:r>
      <w:r w:rsidRPr="00717F31">
        <w:rPr>
          <w:kern w:val="22"/>
          <w:szCs w:val="22"/>
        </w:rPr>
        <w:t xml:space="preserve"> the experience in holding concurrently meetings of the </w:t>
      </w:r>
      <w:r w:rsidR="0033653D" w:rsidRPr="00717F31">
        <w:rPr>
          <w:kern w:val="22"/>
          <w:szCs w:val="22"/>
        </w:rPr>
        <w:t>Conference of the Parties</w:t>
      </w:r>
      <w:r w:rsidRPr="00717F31">
        <w:rPr>
          <w:kern w:val="22"/>
          <w:szCs w:val="22"/>
        </w:rPr>
        <w:t xml:space="preserve">, </w:t>
      </w:r>
      <w:r w:rsidR="0033653D" w:rsidRPr="00717F31">
        <w:rPr>
          <w:kern w:val="22"/>
          <w:szCs w:val="22"/>
        </w:rPr>
        <w:t>the Conference of the Parties serving as the meeting of the Parties to the Cartagena Protocol</w:t>
      </w:r>
      <w:r w:rsidRPr="00717F31">
        <w:rPr>
          <w:kern w:val="22"/>
          <w:szCs w:val="22"/>
        </w:rPr>
        <w:t xml:space="preserve"> and </w:t>
      </w:r>
      <w:r w:rsidR="0033653D" w:rsidRPr="00717F31">
        <w:rPr>
          <w:kern w:val="22"/>
          <w:szCs w:val="22"/>
        </w:rPr>
        <w:t>the Conference of the Parties serving as the meeting of the Parties to the Nagoya Protocol</w:t>
      </w:r>
      <w:r w:rsidRPr="00717F31">
        <w:rPr>
          <w:kern w:val="22"/>
          <w:szCs w:val="22"/>
        </w:rPr>
        <w:t xml:space="preserve">, using the criteria </w:t>
      </w:r>
      <w:r w:rsidR="00A20E50" w:rsidRPr="00717F31">
        <w:rPr>
          <w:kern w:val="22"/>
          <w:szCs w:val="22"/>
        </w:rPr>
        <w:t xml:space="preserve">determined </w:t>
      </w:r>
      <w:r w:rsidRPr="00717F31">
        <w:rPr>
          <w:kern w:val="22"/>
          <w:szCs w:val="22"/>
        </w:rPr>
        <w:t>in decision</w:t>
      </w:r>
      <w:r w:rsidR="0033653D" w:rsidRPr="00717F31">
        <w:rPr>
          <w:kern w:val="22"/>
          <w:szCs w:val="22"/>
        </w:rPr>
        <w:t>s</w:t>
      </w:r>
      <w:r w:rsidRPr="00717F31">
        <w:rPr>
          <w:kern w:val="22"/>
          <w:szCs w:val="22"/>
        </w:rPr>
        <w:t xml:space="preserve"> </w:t>
      </w:r>
      <w:r w:rsidR="00C717E5" w:rsidRPr="00717F31">
        <w:rPr>
          <w:kern w:val="22"/>
          <w:szCs w:val="22"/>
        </w:rPr>
        <w:t>XIII/26, CP-VIII/10 and NP-2/12, respectively</w:t>
      </w:r>
      <w:r w:rsidRPr="00717F31">
        <w:rPr>
          <w:i/>
          <w:iCs/>
          <w:kern w:val="22"/>
          <w:szCs w:val="22"/>
        </w:rPr>
        <w:t>,</w:t>
      </w:r>
      <w:r w:rsidR="002D3CEF" w:rsidRPr="00717F31">
        <w:rPr>
          <w:i/>
          <w:iCs/>
          <w:kern w:val="22"/>
          <w:szCs w:val="22"/>
        </w:rPr>
        <w:t xml:space="preserve"> </w:t>
      </w:r>
      <w:r w:rsidR="00C717E5" w:rsidRPr="00717F31">
        <w:rPr>
          <w:kern w:val="22"/>
          <w:szCs w:val="22"/>
        </w:rPr>
        <w:t>and</w:t>
      </w:r>
      <w:r w:rsidR="00C717E5" w:rsidRPr="00717F31">
        <w:rPr>
          <w:i/>
          <w:iCs/>
          <w:kern w:val="22"/>
          <w:szCs w:val="22"/>
        </w:rPr>
        <w:t xml:space="preserve"> </w:t>
      </w:r>
      <w:r w:rsidRPr="00717F31">
        <w:rPr>
          <w:i/>
          <w:iCs/>
          <w:kern w:val="22"/>
          <w:szCs w:val="22"/>
        </w:rPr>
        <w:t>taking into account</w:t>
      </w:r>
      <w:r w:rsidRPr="00717F31">
        <w:rPr>
          <w:kern w:val="22"/>
          <w:szCs w:val="22"/>
        </w:rPr>
        <w:t xml:space="preserve"> the views of Parties, observers and participants </w:t>
      </w:r>
      <w:r w:rsidR="00E653E4" w:rsidRPr="00717F31">
        <w:rPr>
          <w:kern w:val="22"/>
          <w:szCs w:val="22"/>
        </w:rPr>
        <w:t>at</w:t>
      </w:r>
      <w:r w:rsidR="0033653D" w:rsidRPr="00717F31">
        <w:rPr>
          <w:kern w:val="22"/>
          <w:szCs w:val="22"/>
        </w:rPr>
        <w:t xml:space="preserve"> the thirteenth meeting of the Conference of the Parties to the Convention, the eighth meeting of the Conference of the Parties serving as the meeting of the Parties to the Cartagena Protocol and the second meeting of the Conference of the Parties serving as the meeting of the Parties to the Nagoya Protocol</w:t>
      </w:r>
      <w:r w:rsidRPr="00717F31">
        <w:rPr>
          <w:kern w:val="22"/>
          <w:szCs w:val="22"/>
        </w:rPr>
        <w:t xml:space="preserve">, and the synthesis and analysis provided by the Secretariat in </w:t>
      </w:r>
      <w:r w:rsidR="0033653D" w:rsidRPr="00717F31">
        <w:rPr>
          <w:kern w:val="22"/>
          <w:szCs w:val="22"/>
        </w:rPr>
        <w:t>the note by the Executive Secretary on the review of experience in holding concurrent meetings of the Conference of the Parties to the Convention and the meetings of the Parties to the Protocols</w:t>
      </w:r>
      <w:bookmarkStart w:id="2" w:name="_Ref516065392"/>
      <w:r w:rsidR="00E653E4" w:rsidRPr="00717F31">
        <w:rPr>
          <w:rStyle w:val="FootnoteReference"/>
          <w:kern w:val="22"/>
          <w:sz w:val="22"/>
          <w:szCs w:val="22"/>
        </w:rPr>
        <w:footnoteReference w:id="21"/>
      </w:r>
      <w:bookmarkEnd w:id="2"/>
      <w:r w:rsidR="0033653D" w:rsidRPr="00717F31">
        <w:rPr>
          <w:kern w:val="22"/>
          <w:szCs w:val="22"/>
        </w:rPr>
        <w:t xml:space="preserve"> </w:t>
      </w:r>
      <w:r w:rsidRPr="00717F31">
        <w:rPr>
          <w:kern w:val="22"/>
          <w:szCs w:val="22"/>
        </w:rPr>
        <w:t>and associated information notes,</w:t>
      </w:r>
      <w:bookmarkStart w:id="3" w:name="_Ref516065398"/>
      <w:r w:rsidR="00F11F9F" w:rsidRPr="00717F31">
        <w:rPr>
          <w:rStyle w:val="FootnoteReference"/>
          <w:kern w:val="22"/>
          <w:sz w:val="22"/>
          <w:szCs w:val="22"/>
        </w:rPr>
        <w:footnoteReference w:id="22"/>
      </w:r>
      <w:bookmarkEnd w:id="3"/>
    </w:p>
    <w:p w:rsidR="00C164DE" w:rsidRPr="00717F31" w:rsidRDefault="00C164DE" w:rsidP="00717F31">
      <w:pPr>
        <w:spacing w:before="120" w:after="120"/>
        <w:ind w:firstLine="720"/>
        <w:rPr>
          <w:kern w:val="22"/>
          <w:szCs w:val="22"/>
        </w:rPr>
      </w:pPr>
      <w:r w:rsidRPr="00717F31">
        <w:rPr>
          <w:i/>
          <w:iCs/>
          <w:kern w:val="22"/>
          <w:szCs w:val="22"/>
        </w:rPr>
        <w:t>Recognizing</w:t>
      </w:r>
      <w:r w:rsidRPr="00717F31">
        <w:rPr>
          <w:kern w:val="22"/>
          <w:szCs w:val="22"/>
        </w:rPr>
        <w:t xml:space="preserve"> that a further review will be undertaken at </w:t>
      </w:r>
      <w:r w:rsidR="0033653D" w:rsidRPr="00717F31">
        <w:rPr>
          <w:kern w:val="22"/>
          <w:szCs w:val="22"/>
        </w:rPr>
        <w:t>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w:t>
      </w:r>
      <w:r w:rsidRPr="00717F31">
        <w:rPr>
          <w:kern w:val="22"/>
          <w:szCs w:val="22"/>
        </w:rPr>
        <w:t>,</w:t>
      </w:r>
    </w:p>
    <w:p w:rsidR="00C164DE" w:rsidRPr="00717F31" w:rsidRDefault="0033653D" w:rsidP="00717F31">
      <w:pPr>
        <w:spacing w:before="120" w:after="120"/>
        <w:ind w:firstLine="720"/>
        <w:rPr>
          <w:kern w:val="22"/>
          <w:szCs w:val="22"/>
        </w:rPr>
      </w:pPr>
      <w:r w:rsidRPr="00717F31">
        <w:rPr>
          <w:kern w:val="22"/>
          <w:szCs w:val="22"/>
        </w:rPr>
        <w:t>1.</w:t>
      </w:r>
      <w:r w:rsidRPr="00717F31">
        <w:rPr>
          <w:kern w:val="22"/>
          <w:szCs w:val="22"/>
        </w:rPr>
        <w:tab/>
      </w:r>
      <w:r w:rsidR="00C164DE" w:rsidRPr="00717F31">
        <w:rPr>
          <w:i/>
          <w:kern w:val="22"/>
          <w:szCs w:val="22"/>
        </w:rPr>
        <w:t>Notes</w:t>
      </w:r>
      <w:r w:rsidR="00C164DE" w:rsidRPr="00717F31">
        <w:rPr>
          <w:kern w:val="22"/>
          <w:szCs w:val="22"/>
        </w:rPr>
        <w:t xml:space="preserve"> </w:t>
      </w:r>
      <w:r w:rsidR="00C164DE" w:rsidRPr="00717F31">
        <w:rPr>
          <w:i/>
          <w:kern w:val="22"/>
          <w:szCs w:val="22"/>
        </w:rPr>
        <w:t>with satisfaction</w:t>
      </w:r>
      <w:r w:rsidR="00C164DE" w:rsidRPr="00717F31">
        <w:rPr>
          <w:kern w:val="22"/>
          <w:szCs w:val="22"/>
        </w:rPr>
        <w:t xml:space="preserve"> that the concurrent meetings ha</w:t>
      </w:r>
      <w:r w:rsidRPr="00717F31">
        <w:rPr>
          <w:kern w:val="22"/>
          <w:szCs w:val="22"/>
        </w:rPr>
        <w:t>ve</w:t>
      </w:r>
      <w:r w:rsidR="00C164DE" w:rsidRPr="00717F31">
        <w:rPr>
          <w:kern w:val="22"/>
          <w:szCs w:val="22"/>
        </w:rPr>
        <w:t xml:space="preserve"> allowed for increased integration among the Convention and its Protocols, and improved consultations, coordination and synergies among the respective national focal points;</w:t>
      </w:r>
    </w:p>
    <w:p w:rsidR="00C164DE" w:rsidRPr="00717F31" w:rsidRDefault="0033653D" w:rsidP="00717F31">
      <w:pPr>
        <w:spacing w:before="120" w:after="120"/>
        <w:ind w:firstLine="720"/>
        <w:rPr>
          <w:kern w:val="22"/>
          <w:szCs w:val="22"/>
        </w:rPr>
      </w:pPr>
      <w:r w:rsidRPr="00717F31">
        <w:rPr>
          <w:kern w:val="22"/>
          <w:szCs w:val="22"/>
        </w:rPr>
        <w:t>2.</w:t>
      </w:r>
      <w:r w:rsidRPr="00717F31">
        <w:rPr>
          <w:kern w:val="22"/>
          <w:szCs w:val="22"/>
        </w:rPr>
        <w:tab/>
      </w:r>
      <w:r w:rsidR="00C164DE" w:rsidRPr="00717F31">
        <w:rPr>
          <w:i/>
          <w:kern w:val="22"/>
          <w:szCs w:val="22"/>
        </w:rPr>
        <w:t>Notes</w:t>
      </w:r>
      <w:r w:rsidR="00C164DE" w:rsidRPr="00717F31">
        <w:rPr>
          <w:kern w:val="22"/>
          <w:szCs w:val="22"/>
        </w:rPr>
        <w:t xml:space="preserve"> that most of the criteria were considered as being met or partially met, </w:t>
      </w:r>
      <w:r w:rsidR="00C717E5" w:rsidRPr="00717F31">
        <w:rPr>
          <w:kern w:val="22"/>
          <w:szCs w:val="22"/>
        </w:rPr>
        <w:t xml:space="preserve">and that </w:t>
      </w:r>
      <w:r w:rsidR="00C164DE" w:rsidRPr="00717F31">
        <w:rPr>
          <w:kern w:val="22"/>
          <w:szCs w:val="22"/>
        </w:rPr>
        <w:t>further improvements in the functioning of the concurrent meetings are desirable, in particular to improve the outcomes and effectiveness of the meetings of the Protocols;</w:t>
      </w:r>
    </w:p>
    <w:p w:rsidR="00C164DE" w:rsidRPr="00717F31" w:rsidRDefault="0033653D" w:rsidP="00717F31">
      <w:pPr>
        <w:spacing w:before="120" w:after="120"/>
        <w:ind w:firstLine="720"/>
        <w:rPr>
          <w:snapToGrid w:val="0"/>
          <w:kern w:val="22"/>
          <w:szCs w:val="22"/>
        </w:rPr>
      </w:pPr>
      <w:r w:rsidRPr="00717F31">
        <w:rPr>
          <w:kern w:val="22"/>
          <w:szCs w:val="22"/>
        </w:rPr>
        <w:t>3.</w:t>
      </w:r>
      <w:r w:rsidRPr="00717F31">
        <w:rPr>
          <w:kern w:val="22"/>
          <w:szCs w:val="22"/>
        </w:rPr>
        <w:tab/>
      </w:r>
      <w:r w:rsidR="00C164DE" w:rsidRPr="00717F31">
        <w:rPr>
          <w:i/>
          <w:kern w:val="22"/>
          <w:szCs w:val="22"/>
        </w:rPr>
        <w:t>Reiterates</w:t>
      </w:r>
      <w:r w:rsidR="00C164DE" w:rsidRPr="00717F31">
        <w:rPr>
          <w:kern w:val="22"/>
          <w:szCs w:val="22"/>
        </w:rPr>
        <w:t xml:space="preserve"> the importance of ensuring the </w:t>
      </w:r>
      <w:r w:rsidR="00C164DE" w:rsidRPr="00717F31">
        <w:rPr>
          <w:snapToGrid w:val="0"/>
          <w:kern w:val="22"/>
          <w:szCs w:val="22"/>
        </w:rPr>
        <w:t xml:space="preserve">full and effective participation of representatives of developing country Parties, in particular the least developed countries and small island developing States among them, and Parties with economies in transition, in the concurrent meetings, and </w:t>
      </w:r>
      <w:r w:rsidR="00C164DE" w:rsidRPr="00717F31">
        <w:rPr>
          <w:i/>
          <w:snapToGrid w:val="0"/>
          <w:kern w:val="22"/>
          <w:szCs w:val="22"/>
        </w:rPr>
        <w:t>highlights</w:t>
      </w:r>
      <w:r w:rsidR="00C164DE" w:rsidRPr="00717F31">
        <w:rPr>
          <w:snapToGrid w:val="0"/>
          <w:kern w:val="22"/>
          <w:szCs w:val="22"/>
        </w:rPr>
        <w:t>, in this respect, the importance, in particular, of ensuring adequate participation of representatives in meetings of the Protocols;</w:t>
      </w:r>
    </w:p>
    <w:p w:rsidR="00C164DE" w:rsidRPr="00717F31" w:rsidRDefault="0033653D" w:rsidP="00717F31">
      <w:pPr>
        <w:spacing w:before="120" w:after="120"/>
        <w:ind w:firstLine="720"/>
        <w:rPr>
          <w:kern w:val="22"/>
          <w:szCs w:val="22"/>
        </w:rPr>
      </w:pPr>
      <w:r w:rsidRPr="00717F31">
        <w:rPr>
          <w:kern w:val="22"/>
          <w:szCs w:val="22"/>
        </w:rPr>
        <w:t>4.</w:t>
      </w:r>
      <w:r w:rsidRPr="00717F31">
        <w:rPr>
          <w:kern w:val="22"/>
          <w:szCs w:val="22"/>
        </w:rPr>
        <w:tab/>
      </w:r>
      <w:r w:rsidR="00C164DE" w:rsidRPr="00717F31">
        <w:rPr>
          <w:i/>
          <w:kern w:val="22"/>
          <w:szCs w:val="22"/>
        </w:rPr>
        <w:t>Requests</w:t>
      </w:r>
      <w:r w:rsidR="00C164DE" w:rsidRPr="00717F31">
        <w:rPr>
          <w:kern w:val="22"/>
          <w:szCs w:val="22"/>
        </w:rPr>
        <w:t xml:space="preserve"> the Bureau and the </w:t>
      </w:r>
      <w:r w:rsidR="00C33250" w:rsidRPr="00717F31">
        <w:rPr>
          <w:kern w:val="22"/>
          <w:szCs w:val="22"/>
        </w:rPr>
        <w:t xml:space="preserve">Executive </w:t>
      </w:r>
      <w:r w:rsidR="00C717E5" w:rsidRPr="00717F31">
        <w:rPr>
          <w:kern w:val="22"/>
          <w:szCs w:val="22"/>
        </w:rPr>
        <w:t>Secretary</w:t>
      </w:r>
      <w:r w:rsidR="00C164DE" w:rsidRPr="00717F31">
        <w:rPr>
          <w:kern w:val="22"/>
          <w:szCs w:val="22"/>
        </w:rPr>
        <w:t xml:space="preserve">, when finalizing the proposed organization of work for </w:t>
      </w:r>
      <w:r w:rsidRPr="00717F31">
        <w:rPr>
          <w:kern w:val="22"/>
          <w:szCs w:val="22"/>
        </w:rPr>
        <w:t>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w:t>
      </w:r>
      <w:r w:rsidR="00C164DE" w:rsidRPr="00717F31">
        <w:rPr>
          <w:kern w:val="22"/>
          <w:szCs w:val="22"/>
        </w:rPr>
        <w:t xml:space="preserve">, to take into account </w:t>
      </w:r>
      <w:r w:rsidR="00395B32" w:rsidRPr="00717F31">
        <w:rPr>
          <w:kern w:val="22"/>
          <w:szCs w:val="22"/>
        </w:rPr>
        <w:t xml:space="preserve">the present </w:t>
      </w:r>
      <w:r w:rsidR="00C164DE" w:rsidRPr="00717F31">
        <w:rPr>
          <w:kern w:val="22"/>
          <w:szCs w:val="22"/>
        </w:rPr>
        <w:t xml:space="preserve">decision and the information </w:t>
      </w:r>
      <w:r w:rsidR="00F11F9F" w:rsidRPr="00717F31">
        <w:rPr>
          <w:kern w:val="22"/>
          <w:szCs w:val="22"/>
        </w:rPr>
        <w:t xml:space="preserve">contained </w:t>
      </w:r>
      <w:r w:rsidR="00C164DE" w:rsidRPr="00717F31">
        <w:rPr>
          <w:kern w:val="22"/>
          <w:szCs w:val="22"/>
        </w:rPr>
        <w:t xml:space="preserve">in </w:t>
      </w:r>
      <w:r w:rsidR="00F11F9F" w:rsidRPr="00717F31">
        <w:rPr>
          <w:kern w:val="22"/>
          <w:szCs w:val="22"/>
        </w:rPr>
        <w:t>the note by the Executive Secretary</w:t>
      </w:r>
      <w:r w:rsidR="00630148" w:rsidRPr="00717F31">
        <w:rPr>
          <w:kern w:val="22"/>
          <w:szCs w:val="22"/>
          <w:vertAlign w:val="superscript"/>
        </w:rPr>
        <w:fldChar w:fldCharType="begin"/>
      </w:r>
      <w:r w:rsidR="00630148" w:rsidRPr="00717F31">
        <w:rPr>
          <w:kern w:val="22"/>
          <w:szCs w:val="22"/>
          <w:vertAlign w:val="superscript"/>
        </w:rPr>
        <w:instrText xml:space="preserve"> NOTEREF _Ref516065392 \h  \* MERGEFORMAT </w:instrText>
      </w:r>
      <w:r w:rsidR="00630148" w:rsidRPr="00717F31">
        <w:rPr>
          <w:kern w:val="22"/>
          <w:szCs w:val="22"/>
          <w:vertAlign w:val="superscript"/>
        </w:rPr>
      </w:r>
      <w:r w:rsidR="00630148" w:rsidRPr="00717F31">
        <w:rPr>
          <w:kern w:val="22"/>
          <w:szCs w:val="22"/>
          <w:vertAlign w:val="superscript"/>
        </w:rPr>
        <w:fldChar w:fldCharType="separate"/>
      </w:r>
      <w:r w:rsidR="00630148" w:rsidRPr="00717F31">
        <w:rPr>
          <w:kern w:val="22"/>
          <w:szCs w:val="22"/>
          <w:vertAlign w:val="superscript"/>
        </w:rPr>
        <w:t>20</w:t>
      </w:r>
      <w:r w:rsidR="00630148" w:rsidRPr="00717F31">
        <w:rPr>
          <w:kern w:val="22"/>
          <w:szCs w:val="22"/>
          <w:vertAlign w:val="superscript"/>
        </w:rPr>
        <w:fldChar w:fldCharType="end"/>
      </w:r>
      <w:r w:rsidR="00F11F9F" w:rsidRPr="00717F31">
        <w:rPr>
          <w:kern w:val="22"/>
          <w:szCs w:val="22"/>
        </w:rPr>
        <w:t xml:space="preserve"> </w:t>
      </w:r>
      <w:r w:rsidR="00C164DE" w:rsidRPr="00717F31">
        <w:rPr>
          <w:kern w:val="22"/>
          <w:szCs w:val="22"/>
        </w:rPr>
        <w:t>and associated information notes</w:t>
      </w:r>
      <w:r w:rsidR="00F11F9F" w:rsidRPr="00717F31">
        <w:rPr>
          <w:kern w:val="22"/>
          <w:szCs w:val="22"/>
        </w:rPr>
        <w:t>;</w:t>
      </w:r>
      <w:r w:rsidR="00630148" w:rsidRPr="00717F31">
        <w:rPr>
          <w:kern w:val="22"/>
          <w:szCs w:val="22"/>
          <w:vertAlign w:val="superscript"/>
        </w:rPr>
        <w:fldChar w:fldCharType="begin"/>
      </w:r>
      <w:r w:rsidR="00630148" w:rsidRPr="00717F31">
        <w:rPr>
          <w:kern w:val="22"/>
          <w:szCs w:val="22"/>
          <w:vertAlign w:val="superscript"/>
        </w:rPr>
        <w:instrText xml:space="preserve"> NOTEREF _Ref516065398 \h  \* MERGEFORMAT </w:instrText>
      </w:r>
      <w:r w:rsidR="00630148" w:rsidRPr="00717F31">
        <w:rPr>
          <w:kern w:val="22"/>
          <w:szCs w:val="22"/>
          <w:vertAlign w:val="superscript"/>
        </w:rPr>
      </w:r>
      <w:r w:rsidR="00630148" w:rsidRPr="00717F31">
        <w:rPr>
          <w:kern w:val="22"/>
          <w:szCs w:val="22"/>
          <w:vertAlign w:val="superscript"/>
        </w:rPr>
        <w:fldChar w:fldCharType="separate"/>
      </w:r>
      <w:r w:rsidR="00630148" w:rsidRPr="00717F31">
        <w:rPr>
          <w:kern w:val="22"/>
          <w:szCs w:val="22"/>
          <w:vertAlign w:val="superscript"/>
        </w:rPr>
        <w:t>21</w:t>
      </w:r>
      <w:r w:rsidR="00630148" w:rsidRPr="00717F31">
        <w:rPr>
          <w:kern w:val="22"/>
          <w:szCs w:val="22"/>
          <w:vertAlign w:val="superscript"/>
        </w:rPr>
        <w:fldChar w:fldCharType="end"/>
      </w:r>
    </w:p>
    <w:p w:rsidR="00C164DE" w:rsidRPr="00717F31" w:rsidRDefault="00887615" w:rsidP="00717F31">
      <w:pPr>
        <w:pStyle w:val="ListParagraph"/>
        <w:keepNext/>
        <w:spacing w:before="120" w:after="120"/>
        <w:ind w:left="0"/>
        <w:contextualSpacing w:val="0"/>
        <w:jc w:val="center"/>
        <w:rPr>
          <w:b/>
          <w:kern w:val="22"/>
          <w:szCs w:val="22"/>
        </w:rPr>
      </w:pPr>
      <w:r w:rsidRPr="00717F31">
        <w:rPr>
          <w:b/>
          <w:kern w:val="22"/>
          <w:szCs w:val="22"/>
        </w:rPr>
        <w:lastRenderedPageBreak/>
        <w:t>B.</w:t>
      </w:r>
      <w:r w:rsidRPr="00717F31">
        <w:rPr>
          <w:b/>
          <w:kern w:val="22"/>
          <w:szCs w:val="22"/>
        </w:rPr>
        <w:tab/>
      </w:r>
      <w:r w:rsidR="002D3CEF" w:rsidRPr="00717F31">
        <w:rPr>
          <w:b/>
          <w:kern w:val="22"/>
          <w:szCs w:val="22"/>
        </w:rPr>
        <w:t>Procedure</w:t>
      </w:r>
      <w:r w:rsidR="005A18BD" w:rsidRPr="00717F31">
        <w:rPr>
          <w:b/>
          <w:kern w:val="22"/>
          <w:szCs w:val="22"/>
        </w:rPr>
        <w:t xml:space="preserve"> for avoiding or managing conflicts of interest in expert groups</w:t>
      </w:r>
    </w:p>
    <w:p w:rsidR="008345B2" w:rsidRPr="00717F31" w:rsidRDefault="008345B2" w:rsidP="00717F31">
      <w:pPr>
        <w:pStyle w:val="ListParagraph"/>
        <w:keepNext/>
        <w:spacing w:before="120" w:after="120"/>
        <w:ind w:left="0" w:firstLine="720"/>
        <w:contextualSpacing w:val="0"/>
        <w:rPr>
          <w:kern w:val="22"/>
          <w:szCs w:val="22"/>
        </w:rPr>
      </w:pPr>
      <w:r w:rsidRPr="00717F31">
        <w:rPr>
          <w:i/>
          <w:kern w:val="22"/>
          <w:szCs w:val="22"/>
        </w:rPr>
        <w:t>The Conference of the Parties,</w:t>
      </w:r>
    </w:p>
    <w:p w:rsidR="008345B2" w:rsidRPr="00717F31" w:rsidRDefault="008345B2" w:rsidP="00717F31">
      <w:pPr>
        <w:pStyle w:val="ListParagraph"/>
        <w:spacing w:before="120" w:after="120"/>
        <w:ind w:left="0" w:firstLine="720"/>
        <w:contextualSpacing w:val="0"/>
        <w:rPr>
          <w:kern w:val="22"/>
          <w:szCs w:val="22"/>
        </w:rPr>
      </w:pPr>
      <w:r w:rsidRPr="00717F31">
        <w:rPr>
          <w:i/>
          <w:kern w:val="22"/>
          <w:szCs w:val="22"/>
        </w:rPr>
        <w:t>The Conference of the Parties serving as the meeting of the Parties to the Cartagena Protocol</w:t>
      </w:r>
      <w:r w:rsidR="00EA0D33" w:rsidRPr="00717F31">
        <w:rPr>
          <w:i/>
          <w:kern w:val="22"/>
          <w:szCs w:val="22"/>
        </w:rPr>
        <w:t xml:space="preserve"> on Biosafety</w:t>
      </w:r>
      <w:r w:rsidRPr="00717F31">
        <w:rPr>
          <w:i/>
          <w:kern w:val="22"/>
          <w:szCs w:val="22"/>
        </w:rPr>
        <w:t>,</w:t>
      </w:r>
    </w:p>
    <w:p w:rsidR="008345B2" w:rsidRPr="00717F31" w:rsidRDefault="008345B2" w:rsidP="00717F31">
      <w:pPr>
        <w:pStyle w:val="ListParagraph"/>
        <w:spacing w:before="120" w:after="120"/>
        <w:ind w:left="0" w:firstLine="720"/>
        <w:contextualSpacing w:val="0"/>
        <w:rPr>
          <w:i/>
          <w:kern w:val="22"/>
          <w:szCs w:val="22"/>
        </w:rPr>
      </w:pPr>
      <w:r w:rsidRPr="00717F31">
        <w:rPr>
          <w:i/>
          <w:kern w:val="22"/>
          <w:szCs w:val="22"/>
        </w:rPr>
        <w:t>The Conference of the Parties serving as the meeting of the Parties to the Nagoya Protocol</w:t>
      </w:r>
      <w:r w:rsidR="00EA0D33" w:rsidRPr="00717F31">
        <w:rPr>
          <w:i/>
          <w:kern w:val="22"/>
          <w:szCs w:val="22"/>
        </w:rPr>
        <w:t xml:space="preserve"> on Access and Benefit-sharing</w:t>
      </w:r>
      <w:r w:rsidRPr="00717F31">
        <w:rPr>
          <w:i/>
          <w:kern w:val="22"/>
          <w:szCs w:val="22"/>
        </w:rPr>
        <w:t>,</w:t>
      </w:r>
    </w:p>
    <w:p w:rsidR="00BF6863" w:rsidRPr="00717F31" w:rsidRDefault="00757851" w:rsidP="00717F31">
      <w:pPr>
        <w:pStyle w:val="ListParagraph"/>
        <w:spacing w:before="120" w:after="120"/>
        <w:ind w:left="0" w:firstLine="720"/>
        <w:contextualSpacing w:val="0"/>
        <w:rPr>
          <w:kern w:val="22"/>
          <w:szCs w:val="22"/>
        </w:rPr>
      </w:pPr>
      <w:r w:rsidRPr="00717F31">
        <w:rPr>
          <w:i/>
          <w:kern w:val="22"/>
          <w:szCs w:val="22"/>
        </w:rPr>
        <w:t xml:space="preserve">Recognizing </w:t>
      </w:r>
      <w:r w:rsidRPr="00717F31">
        <w:rPr>
          <w:kern w:val="22"/>
          <w:szCs w:val="22"/>
        </w:rPr>
        <w:t xml:space="preserve">the </w:t>
      </w:r>
      <w:r w:rsidR="00BF6863" w:rsidRPr="00717F31">
        <w:rPr>
          <w:kern w:val="22"/>
          <w:szCs w:val="22"/>
        </w:rPr>
        <w:t xml:space="preserve">critical </w:t>
      </w:r>
      <w:r w:rsidRPr="00717F31">
        <w:rPr>
          <w:kern w:val="22"/>
          <w:szCs w:val="22"/>
        </w:rPr>
        <w:t xml:space="preserve">importance of taking decisions on the basis of </w:t>
      </w:r>
      <w:r w:rsidR="00BF6863" w:rsidRPr="00717F31">
        <w:rPr>
          <w:kern w:val="22"/>
          <w:szCs w:val="22"/>
        </w:rPr>
        <w:t>the best available expert advice</w:t>
      </w:r>
      <w:r w:rsidR="00887615" w:rsidRPr="00717F31">
        <w:rPr>
          <w:kern w:val="22"/>
          <w:szCs w:val="22"/>
        </w:rPr>
        <w:t>,</w:t>
      </w:r>
    </w:p>
    <w:p w:rsidR="00BF6863" w:rsidRPr="00717F31" w:rsidRDefault="00BF6863" w:rsidP="00717F31">
      <w:pPr>
        <w:pStyle w:val="ListParagraph"/>
        <w:spacing w:before="120" w:after="120"/>
        <w:ind w:left="0" w:firstLine="720"/>
        <w:contextualSpacing w:val="0"/>
        <w:rPr>
          <w:kern w:val="22"/>
          <w:szCs w:val="22"/>
        </w:rPr>
      </w:pPr>
      <w:r w:rsidRPr="00717F31">
        <w:rPr>
          <w:i/>
          <w:kern w:val="22"/>
          <w:szCs w:val="22"/>
        </w:rPr>
        <w:t>Recognizing</w:t>
      </w:r>
      <w:r w:rsidRPr="00717F31">
        <w:rPr>
          <w:i/>
          <w:iCs/>
          <w:kern w:val="22"/>
          <w:szCs w:val="22"/>
        </w:rPr>
        <w:t xml:space="preserve"> also</w:t>
      </w:r>
      <w:r w:rsidRPr="00717F31">
        <w:rPr>
          <w:kern w:val="22"/>
          <w:szCs w:val="22"/>
        </w:rPr>
        <w:t xml:space="preserve"> the need </w:t>
      </w:r>
      <w:r w:rsidR="007E42FD" w:rsidRPr="00717F31">
        <w:rPr>
          <w:kern w:val="22"/>
          <w:szCs w:val="22"/>
        </w:rPr>
        <w:t xml:space="preserve">to </w:t>
      </w:r>
      <w:r w:rsidRPr="00717F31">
        <w:rPr>
          <w:kern w:val="22"/>
          <w:szCs w:val="22"/>
        </w:rPr>
        <w:t>avoid conflict</w:t>
      </w:r>
      <w:r w:rsidR="007E42FD" w:rsidRPr="00717F31">
        <w:rPr>
          <w:kern w:val="22"/>
          <w:szCs w:val="22"/>
        </w:rPr>
        <w:t>s</w:t>
      </w:r>
      <w:r w:rsidRPr="00717F31">
        <w:rPr>
          <w:kern w:val="22"/>
          <w:szCs w:val="22"/>
        </w:rPr>
        <w:t xml:space="preserve"> of interest by members of expert groups established from time to time to review scientific and technical issues and </w:t>
      </w:r>
      <w:r w:rsidR="009C7088" w:rsidRPr="00717F31">
        <w:rPr>
          <w:kern w:val="22"/>
          <w:szCs w:val="22"/>
        </w:rPr>
        <w:t xml:space="preserve">to </w:t>
      </w:r>
      <w:r w:rsidRPr="00717F31">
        <w:rPr>
          <w:kern w:val="22"/>
          <w:szCs w:val="22"/>
        </w:rPr>
        <w:t>develop recommendations</w:t>
      </w:r>
      <w:r w:rsidR="00887615" w:rsidRPr="00717F31">
        <w:rPr>
          <w:kern w:val="22"/>
          <w:szCs w:val="22"/>
        </w:rPr>
        <w:t>,</w:t>
      </w:r>
    </w:p>
    <w:p w:rsidR="00BF6863" w:rsidRPr="00717F31" w:rsidRDefault="00BF6863" w:rsidP="00717F31">
      <w:pPr>
        <w:pStyle w:val="ListParagraph"/>
        <w:spacing w:before="120" w:after="120"/>
        <w:ind w:left="0" w:firstLine="720"/>
        <w:contextualSpacing w:val="0"/>
        <w:rPr>
          <w:kern w:val="22"/>
          <w:szCs w:val="22"/>
        </w:rPr>
      </w:pPr>
      <w:r w:rsidRPr="00717F31">
        <w:rPr>
          <w:kern w:val="22"/>
          <w:szCs w:val="22"/>
        </w:rPr>
        <w:t>1.</w:t>
      </w:r>
      <w:r w:rsidRPr="00717F31">
        <w:rPr>
          <w:kern w:val="22"/>
          <w:szCs w:val="22"/>
        </w:rPr>
        <w:tab/>
      </w:r>
      <w:r w:rsidR="00411FE8" w:rsidRPr="00717F31">
        <w:rPr>
          <w:i/>
          <w:kern w:val="22"/>
          <w:szCs w:val="22"/>
        </w:rPr>
        <w:t>Approves</w:t>
      </w:r>
      <w:r w:rsidR="00411FE8" w:rsidRPr="00717F31">
        <w:rPr>
          <w:kern w:val="22"/>
          <w:szCs w:val="22"/>
        </w:rPr>
        <w:t xml:space="preserve"> </w:t>
      </w:r>
      <w:r w:rsidRPr="00717F31">
        <w:rPr>
          <w:kern w:val="22"/>
          <w:szCs w:val="22"/>
        </w:rPr>
        <w:t xml:space="preserve">the </w:t>
      </w:r>
      <w:r w:rsidR="00D34C26" w:rsidRPr="00717F31">
        <w:rPr>
          <w:kern w:val="22"/>
          <w:szCs w:val="22"/>
        </w:rPr>
        <w:t>p</w:t>
      </w:r>
      <w:r w:rsidR="002D3CEF" w:rsidRPr="00717F31">
        <w:rPr>
          <w:kern w:val="22"/>
          <w:szCs w:val="22"/>
        </w:rPr>
        <w:t>rocedure</w:t>
      </w:r>
      <w:r w:rsidR="00411FE8" w:rsidRPr="00717F31">
        <w:rPr>
          <w:kern w:val="22"/>
          <w:szCs w:val="22"/>
        </w:rPr>
        <w:t xml:space="preserve"> for avoiding or managing</w:t>
      </w:r>
      <w:r w:rsidRPr="00717F31">
        <w:rPr>
          <w:kern w:val="22"/>
          <w:szCs w:val="22"/>
        </w:rPr>
        <w:t xml:space="preserve"> </w:t>
      </w:r>
      <w:r w:rsidR="00411FE8" w:rsidRPr="00717F31">
        <w:rPr>
          <w:kern w:val="22"/>
          <w:szCs w:val="22"/>
        </w:rPr>
        <w:t>c</w:t>
      </w:r>
      <w:r w:rsidRPr="00717F31">
        <w:rPr>
          <w:kern w:val="22"/>
          <w:szCs w:val="22"/>
        </w:rPr>
        <w:t>onflict</w:t>
      </w:r>
      <w:r w:rsidR="00411FE8" w:rsidRPr="00717F31">
        <w:rPr>
          <w:kern w:val="22"/>
          <w:szCs w:val="22"/>
        </w:rPr>
        <w:t>s</w:t>
      </w:r>
      <w:r w:rsidRPr="00717F31">
        <w:rPr>
          <w:kern w:val="22"/>
          <w:szCs w:val="22"/>
        </w:rPr>
        <w:t xml:space="preserve"> of </w:t>
      </w:r>
      <w:r w:rsidR="00411FE8" w:rsidRPr="00717F31">
        <w:rPr>
          <w:kern w:val="22"/>
          <w:szCs w:val="22"/>
        </w:rPr>
        <w:t>i</w:t>
      </w:r>
      <w:r w:rsidRPr="00717F31">
        <w:rPr>
          <w:kern w:val="22"/>
          <w:szCs w:val="22"/>
        </w:rPr>
        <w:t xml:space="preserve">nterest contained in the annex to </w:t>
      </w:r>
      <w:r w:rsidR="007E42FD" w:rsidRPr="00717F31">
        <w:rPr>
          <w:kern w:val="22"/>
          <w:szCs w:val="22"/>
        </w:rPr>
        <w:t xml:space="preserve">the present </w:t>
      </w:r>
      <w:r w:rsidRPr="00717F31">
        <w:rPr>
          <w:kern w:val="22"/>
          <w:szCs w:val="22"/>
        </w:rPr>
        <w:t>decision;</w:t>
      </w:r>
    </w:p>
    <w:p w:rsidR="00757851" w:rsidRPr="00717F31" w:rsidRDefault="00BF6863" w:rsidP="00717F31">
      <w:pPr>
        <w:pStyle w:val="ListParagraph"/>
        <w:spacing w:before="120" w:after="120"/>
        <w:ind w:left="0" w:firstLine="720"/>
        <w:contextualSpacing w:val="0"/>
        <w:rPr>
          <w:kern w:val="22"/>
          <w:szCs w:val="22"/>
        </w:rPr>
      </w:pPr>
      <w:r w:rsidRPr="00717F31">
        <w:rPr>
          <w:kern w:val="22"/>
          <w:szCs w:val="22"/>
        </w:rPr>
        <w:t>2.</w:t>
      </w:r>
      <w:r w:rsidRPr="00717F31">
        <w:rPr>
          <w:kern w:val="22"/>
          <w:szCs w:val="22"/>
        </w:rPr>
        <w:tab/>
      </w:r>
      <w:r w:rsidRPr="00717F31">
        <w:rPr>
          <w:i/>
          <w:iCs/>
          <w:kern w:val="22"/>
          <w:szCs w:val="22"/>
        </w:rPr>
        <w:t>Requests</w:t>
      </w:r>
      <w:r w:rsidRPr="00717F31">
        <w:rPr>
          <w:kern w:val="22"/>
          <w:szCs w:val="22"/>
        </w:rPr>
        <w:t xml:space="preserve"> the Executive Secretary to </w:t>
      </w:r>
      <w:r w:rsidR="009C7088" w:rsidRPr="00717F31">
        <w:rPr>
          <w:kern w:val="22"/>
          <w:szCs w:val="22"/>
        </w:rPr>
        <w:t>ensure</w:t>
      </w:r>
      <w:r w:rsidRPr="00717F31">
        <w:rPr>
          <w:kern w:val="22"/>
          <w:szCs w:val="22"/>
        </w:rPr>
        <w:t xml:space="preserve"> the implementation </w:t>
      </w:r>
      <w:r w:rsidR="009C7088" w:rsidRPr="00717F31">
        <w:rPr>
          <w:kern w:val="22"/>
          <w:szCs w:val="22"/>
        </w:rPr>
        <w:t xml:space="preserve">of </w:t>
      </w:r>
      <w:r w:rsidR="00411FE8" w:rsidRPr="00717F31">
        <w:rPr>
          <w:kern w:val="22"/>
          <w:szCs w:val="22"/>
        </w:rPr>
        <w:t xml:space="preserve">the </w:t>
      </w:r>
      <w:r w:rsidR="002C66E2" w:rsidRPr="00717F31">
        <w:rPr>
          <w:kern w:val="22"/>
          <w:szCs w:val="22"/>
        </w:rPr>
        <w:t xml:space="preserve">conflict of interest management </w:t>
      </w:r>
      <w:r w:rsidR="00411FE8" w:rsidRPr="00717F31">
        <w:rPr>
          <w:kern w:val="22"/>
          <w:szCs w:val="22"/>
        </w:rPr>
        <w:t>procedure</w:t>
      </w:r>
      <w:r w:rsidRPr="00717F31">
        <w:rPr>
          <w:kern w:val="22"/>
          <w:szCs w:val="22"/>
        </w:rPr>
        <w:t xml:space="preserve"> </w:t>
      </w:r>
      <w:r w:rsidR="00AB77C6" w:rsidRPr="00717F31">
        <w:rPr>
          <w:kern w:val="22"/>
          <w:szCs w:val="22"/>
        </w:rPr>
        <w:t xml:space="preserve">with respect to </w:t>
      </w:r>
      <w:r w:rsidR="00411FE8" w:rsidRPr="00717F31">
        <w:rPr>
          <w:kern w:val="22"/>
          <w:szCs w:val="22"/>
        </w:rPr>
        <w:t xml:space="preserve">the work of technical </w:t>
      </w:r>
      <w:r w:rsidR="00AB77C6" w:rsidRPr="00717F31">
        <w:rPr>
          <w:kern w:val="22"/>
          <w:szCs w:val="22"/>
        </w:rPr>
        <w:t>expert groups</w:t>
      </w:r>
      <w:r w:rsidR="00411FE8" w:rsidRPr="00717F31">
        <w:rPr>
          <w:kern w:val="22"/>
          <w:szCs w:val="22"/>
        </w:rPr>
        <w:t>,</w:t>
      </w:r>
      <w:r w:rsidR="00AB77C6" w:rsidRPr="00717F31">
        <w:rPr>
          <w:kern w:val="22"/>
          <w:szCs w:val="22"/>
        </w:rPr>
        <w:t xml:space="preserve"> </w:t>
      </w:r>
      <w:r w:rsidR="00411FE8" w:rsidRPr="00717F31">
        <w:rPr>
          <w:kern w:val="22"/>
          <w:szCs w:val="22"/>
        </w:rPr>
        <w:t xml:space="preserve">in consultation with the Bureau of </w:t>
      </w:r>
      <w:r w:rsidR="00B9173C" w:rsidRPr="00717F31">
        <w:rPr>
          <w:kern w:val="22"/>
          <w:szCs w:val="22"/>
        </w:rPr>
        <w:t>the Subsidiary Body on Scientific, Technical and Technological Advice</w:t>
      </w:r>
      <w:r w:rsidR="00B9173C" w:rsidRPr="00717F31" w:rsidDel="00B9173C">
        <w:rPr>
          <w:kern w:val="22"/>
          <w:szCs w:val="22"/>
        </w:rPr>
        <w:t xml:space="preserve"> </w:t>
      </w:r>
      <w:r w:rsidR="00411FE8" w:rsidRPr="00717F31">
        <w:rPr>
          <w:kern w:val="22"/>
          <w:szCs w:val="22"/>
        </w:rPr>
        <w:t xml:space="preserve">or the </w:t>
      </w:r>
      <w:r w:rsidR="00B9173C" w:rsidRPr="00717F31">
        <w:rPr>
          <w:kern w:val="22"/>
          <w:szCs w:val="22"/>
        </w:rPr>
        <w:t>Conference of the Parties</w:t>
      </w:r>
      <w:r w:rsidR="00411FE8" w:rsidRPr="00717F31">
        <w:rPr>
          <w:kern w:val="22"/>
          <w:szCs w:val="22"/>
        </w:rPr>
        <w:t>, as appropriate</w:t>
      </w:r>
      <w:r w:rsidR="009C7088" w:rsidRPr="00717F31">
        <w:rPr>
          <w:kern w:val="22"/>
          <w:szCs w:val="22"/>
        </w:rPr>
        <w:t>.</w:t>
      </w:r>
    </w:p>
    <w:p w:rsidR="00757851" w:rsidRPr="00717F31" w:rsidRDefault="00757851" w:rsidP="00717F31">
      <w:pPr>
        <w:pStyle w:val="ListParagraph"/>
        <w:spacing w:before="120" w:after="120"/>
        <w:ind w:left="0"/>
        <w:contextualSpacing w:val="0"/>
        <w:rPr>
          <w:kern w:val="22"/>
          <w:szCs w:val="22"/>
        </w:rPr>
      </w:pPr>
    </w:p>
    <w:p w:rsidR="004D0A06" w:rsidRPr="00717F31" w:rsidRDefault="004D0A06">
      <w:pPr>
        <w:jc w:val="left"/>
        <w:rPr>
          <w:bCs/>
          <w:kern w:val="22"/>
          <w:szCs w:val="22"/>
        </w:rPr>
      </w:pPr>
      <w:r w:rsidRPr="00717F31">
        <w:rPr>
          <w:bCs/>
          <w:kern w:val="22"/>
          <w:szCs w:val="22"/>
        </w:rPr>
        <w:br w:type="page"/>
      </w:r>
    </w:p>
    <w:p w:rsidR="00654CF4" w:rsidRPr="00717F31" w:rsidRDefault="00654CF4" w:rsidP="00654CF4">
      <w:pPr>
        <w:jc w:val="center"/>
        <w:rPr>
          <w:i/>
          <w:kern w:val="22"/>
          <w:szCs w:val="22"/>
        </w:rPr>
      </w:pPr>
      <w:r w:rsidRPr="00717F31">
        <w:rPr>
          <w:i/>
          <w:kern w:val="22"/>
          <w:szCs w:val="22"/>
        </w:rPr>
        <w:lastRenderedPageBreak/>
        <w:t>Annex</w:t>
      </w:r>
    </w:p>
    <w:p w:rsidR="00654CF4" w:rsidRPr="00717F31" w:rsidRDefault="002D3CEF" w:rsidP="00717F31">
      <w:pPr>
        <w:pStyle w:val="Heading1"/>
        <w:spacing w:before="120"/>
        <w:rPr>
          <w:kern w:val="22"/>
          <w:szCs w:val="22"/>
        </w:rPr>
      </w:pPr>
      <w:r w:rsidRPr="00717F31">
        <w:rPr>
          <w:kern w:val="22"/>
          <w:szCs w:val="22"/>
        </w:rPr>
        <w:t>PROCEDURE</w:t>
      </w:r>
      <w:r w:rsidR="00411FE8" w:rsidRPr="00717F31">
        <w:rPr>
          <w:kern w:val="22"/>
          <w:szCs w:val="22"/>
        </w:rPr>
        <w:t xml:space="preserve"> FOR AVOIDING OR MANAGING </w:t>
      </w:r>
      <w:r w:rsidR="00BE7878" w:rsidRPr="00717F31">
        <w:rPr>
          <w:kern w:val="22"/>
          <w:szCs w:val="22"/>
        </w:rPr>
        <w:t>CONFLICT</w:t>
      </w:r>
      <w:r w:rsidR="00411FE8" w:rsidRPr="00717F31">
        <w:rPr>
          <w:kern w:val="22"/>
          <w:szCs w:val="22"/>
        </w:rPr>
        <w:t>S</w:t>
      </w:r>
      <w:r w:rsidR="00BE7878" w:rsidRPr="00717F31">
        <w:rPr>
          <w:kern w:val="22"/>
          <w:szCs w:val="22"/>
        </w:rPr>
        <w:t xml:space="preserve"> OF INTEREST</w:t>
      </w:r>
    </w:p>
    <w:p w:rsidR="00654CF4" w:rsidRPr="00717F31" w:rsidRDefault="00E11BFB" w:rsidP="00717F31">
      <w:pPr>
        <w:keepNext/>
        <w:spacing w:before="120" w:after="120"/>
        <w:rPr>
          <w:b/>
          <w:kern w:val="22"/>
          <w:szCs w:val="22"/>
        </w:rPr>
      </w:pPr>
      <w:r w:rsidRPr="00717F31">
        <w:rPr>
          <w:b/>
          <w:kern w:val="22"/>
          <w:szCs w:val="22"/>
        </w:rPr>
        <w:t>1</w:t>
      </w:r>
      <w:r w:rsidR="00654CF4" w:rsidRPr="00717F31">
        <w:rPr>
          <w:b/>
          <w:kern w:val="22"/>
          <w:szCs w:val="22"/>
        </w:rPr>
        <w:t>.</w:t>
      </w:r>
      <w:r w:rsidR="00B823D9" w:rsidRPr="00717F31">
        <w:rPr>
          <w:b/>
          <w:kern w:val="22"/>
          <w:szCs w:val="22"/>
        </w:rPr>
        <w:tab/>
      </w:r>
      <w:r w:rsidR="00654CF4" w:rsidRPr="00717F31">
        <w:rPr>
          <w:b/>
          <w:kern w:val="22"/>
          <w:szCs w:val="22"/>
        </w:rPr>
        <w:t>Purpose</w:t>
      </w:r>
      <w:r w:rsidR="00411FE8" w:rsidRPr="00717F31">
        <w:rPr>
          <w:b/>
          <w:kern w:val="22"/>
          <w:szCs w:val="22"/>
        </w:rPr>
        <w:t xml:space="preserve"> and </w:t>
      </w:r>
      <w:r w:rsidR="004E700C" w:rsidRPr="00717F31">
        <w:rPr>
          <w:b/>
          <w:kern w:val="22"/>
          <w:szCs w:val="22"/>
        </w:rPr>
        <w:t>s</w:t>
      </w:r>
      <w:r w:rsidR="00411FE8" w:rsidRPr="00717F31">
        <w:rPr>
          <w:b/>
          <w:kern w:val="22"/>
          <w:szCs w:val="22"/>
        </w:rPr>
        <w:t>cope</w:t>
      </w:r>
    </w:p>
    <w:p w:rsidR="00666E45" w:rsidRPr="00717F31" w:rsidRDefault="00B823D9" w:rsidP="00717F31">
      <w:pPr>
        <w:pStyle w:val="ListParagraph"/>
        <w:numPr>
          <w:ilvl w:val="1"/>
          <w:numId w:val="38"/>
        </w:numPr>
        <w:spacing w:before="120" w:after="120"/>
        <w:rPr>
          <w:kern w:val="22"/>
          <w:szCs w:val="22"/>
        </w:rPr>
      </w:pPr>
      <w:r w:rsidRPr="00717F31">
        <w:rPr>
          <w:kern w:val="22"/>
          <w:szCs w:val="22"/>
        </w:rPr>
        <w:t>The purpose of th</w:t>
      </w:r>
      <w:r w:rsidR="00133786" w:rsidRPr="00717F31">
        <w:rPr>
          <w:kern w:val="22"/>
          <w:szCs w:val="22"/>
        </w:rPr>
        <w:t>is</w:t>
      </w:r>
      <w:r w:rsidRPr="00717F31">
        <w:rPr>
          <w:kern w:val="22"/>
          <w:szCs w:val="22"/>
        </w:rPr>
        <w:t xml:space="preserve"> </w:t>
      </w:r>
      <w:r w:rsidR="00411FE8" w:rsidRPr="00717F31">
        <w:rPr>
          <w:kern w:val="22"/>
          <w:szCs w:val="22"/>
        </w:rPr>
        <w:t xml:space="preserve">procedure </w:t>
      </w:r>
      <w:r w:rsidRPr="00717F31">
        <w:rPr>
          <w:kern w:val="22"/>
          <w:szCs w:val="22"/>
        </w:rPr>
        <w:t xml:space="preserve">is to contribute to </w:t>
      </w:r>
      <w:r w:rsidR="00654CF4" w:rsidRPr="00717F31">
        <w:rPr>
          <w:kern w:val="22"/>
          <w:szCs w:val="22"/>
        </w:rPr>
        <w:t>ensur</w:t>
      </w:r>
      <w:r w:rsidRPr="00717F31">
        <w:rPr>
          <w:kern w:val="22"/>
          <w:szCs w:val="22"/>
        </w:rPr>
        <w:t>ing</w:t>
      </w:r>
      <w:r w:rsidR="00654CF4" w:rsidRPr="00717F31">
        <w:rPr>
          <w:kern w:val="22"/>
          <w:szCs w:val="22"/>
        </w:rPr>
        <w:t xml:space="preserve"> the </w:t>
      </w:r>
      <w:r w:rsidR="00411FE8" w:rsidRPr="00717F31">
        <w:rPr>
          <w:kern w:val="22"/>
          <w:szCs w:val="22"/>
        </w:rPr>
        <w:t xml:space="preserve">scientific </w:t>
      </w:r>
      <w:r w:rsidR="00654CF4" w:rsidRPr="00717F31">
        <w:rPr>
          <w:kern w:val="22"/>
          <w:szCs w:val="22"/>
        </w:rPr>
        <w:t>integrity of the work of expert group</w:t>
      </w:r>
      <w:r w:rsidRPr="00717F31">
        <w:rPr>
          <w:kern w:val="22"/>
          <w:szCs w:val="22"/>
        </w:rPr>
        <w:t>s, such as a</w:t>
      </w:r>
      <w:r w:rsidR="00654CF4" w:rsidRPr="00717F31">
        <w:rPr>
          <w:kern w:val="22"/>
          <w:szCs w:val="22"/>
        </w:rPr>
        <w:t>d hoc technical expert group</w:t>
      </w:r>
      <w:r w:rsidRPr="00717F31">
        <w:rPr>
          <w:kern w:val="22"/>
          <w:szCs w:val="22"/>
        </w:rPr>
        <w:t>s,</w:t>
      </w:r>
      <w:r w:rsidR="00666E45" w:rsidRPr="00717F31">
        <w:rPr>
          <w:kern w:val="22"/>
          <w:szCs w:val="22"/>
        </w:rPr>
        <w:t xml:space="preserve"> and to allow the Subsidiary Body on Scientific, Technical and Technological Advice </w:t>
      </w:r>
      <w:r w:rsidR="00EA6805" w:rsidRPr="00717F31">
        <w:rPr>
          <w:kern w:val="22"/>
          <w:szCs w:val="22"/>
        </w:rPr>
        <w:t xml:space="preserve">and </w:t>
      </w:r>
      <w:r w:rsidR="00666E45" w:rsidRPr="00717F31">
        <w:rPr>
          <w:kern w:val="22"/>
          <w:szCs w:val="22"/>
        </w:rPr>
        <w:t>the Subsidiary Body on Implementation</w:t>
      </w:r>
      <w:r w:rsidR="00EA6805" w:rsidRPr="00717F31">
        <w:rPr>
          <w:kern w:val="22"/>
          <w:szCs w:val="22"/>
        </w:rPr>
        <w:t>, as appropriate,</w:t>
      </w:r>
      <w:r w:rsidR="00666E45" w:rsidRPr="00717F31">
        <w:rPr>
          <w:kern w:val="22"/>
          <w:szCs w:val="22"/>
        </w:rPr>
        <w:t xml:space="preserve"> </w:t>
      </w:r>
      <w:r w:rsidR="00EA6805" w:rsidRPr="00717F31">
        <w:rPr>
          <w:kern w:val="22"/>
          <w:szCs w:val="22"/>
        </w:rPr>
        <w:t xml:space="preserve">to </w:t>
      </w:r>
      <w:r w:rsidR="00666E45" w:rsidRPr="00717F31">
        <w:rPr>
          <w:kern w:val="22"/>
          <w:szCs w:val="22"/>
        </w:rPr>
        <w:t xml:space="preserve">develop their </w:t>
      </w:r>
      <w:r w:rsidR="00EA6805" w:rsidRPr="00717F31">
        <w:rPr>
          <w:kern w:val="22"/>
          <w:szCs w:val="22"/>
        </w:rPr>
        <w:t xml:space="preserve">conclusions and </w:t>
      </w:r>
      <w:r w:rsidR="00666E45" w:rsidRPr="00717F31">
        <w:rPr>
          <w:kern w:val="22"/>
          <w:szCs w:val="22"/>
        </w:rPr>
        <w:t>recommendation</w:t>
      </w:r>
      <w:r w:rsidRPr="00717F31">
        <w:rPr>
          <w:kern w:val="22"/>
          <w:szCs w:val="22"/>
        </w:rPr>
        <w:t>s</w:t>
      </w:r>
      <w:r w:rsidR="00666E45" w:rsidRPr="00717F31">
        <w:rPr>
          <w:kern w:val="22"/>
          <w:szCs w:val="22"/>
        </w:rPr>
        <w:t xml:space="preserve"> on the best available and unbiased </w:t>
      </w:r>
      <w:r w:rsidR="00EA6805" w:rsidRPr="00717F31">
        <w:rPr>
          <w:kern w:val="22"/>
          <w:szCs w:val="22"/>
        </w:rPr>
        <w:t>advice</w:t>
      </w:r>
      <w:r w:rsidR="00666E45" w:rsidRPr="00717F31">
        <w:rPr>
          <w:kern w:val="22"/>
          <w:szCs w:val="22"/>
        </w:rPr>
        <w:t xml:space="preserve"> received from </w:t>
      </w:r>
      <w:r w:rsidRPr="00717F31">
        <w:rPr>
          <w:kern w:val="22"/>
          <w:szCs w:val="22"/>
        </w:rPr>
        <w:t xml:space="preserve">these </w:t>
      </w:r>
      <w:r w:rsidR="00666E45" w:rsidRPr="00717F31">
        <w:rPr>
          <w:kern w:val="22"/>
          <w:szCs w:val="22"/>
        </w:rPr>
        <w:t>expert groups, and</w:t>
      </w:r>
      <w:r w:rsidR="00E6257C" w:rsidRPr="00717F31">
        <w:rPr>
          <w:kern w:val="22"/>
          <w:szCs w:val="22"/>
        </w:rPr>
        <w:t>/or</w:t>
      </w:r>
      <w:r w:rsidR="00666E45" w:rsidRPr="00717F31">
        <w:rPr>
          <w:kern w:val="22"/>
          <w:szCs w:val="22"/>
        </w:rPr>
        <w:t xml:space="preserve"> to provide the Conference of the Parties to the Convention and the </w:t>
      </w:r>
      <w:r w:rsidR="00B01271" w:rsidRPr="00717F31">
        <w:rPr>
          <w:kern w:val="22"/>
          <w:szCs w:val="22"/>
        </w:rPr>
        <w:t xml:space="preserve">Conference of the Parties serving as the </w:t>
      </w:r>
      <w:r w:rsidR="00666E45" w:rsidRPr="00717F31">
        <w:rPr>
          <w:kern w:val="22"/>
          <w:szCs w:val="22"/>
        </w:rPr>
        <w:t xml:space="preserve">meetings of the Parties to the </w:t>
      </w:r>
      <w:r w:rsidR="00EA6805" w:rsidRPr="00717F31">
        <w:rPr>
          <w:kern w:val="22"/>
          <w:szCs w:val="22"/>
        </w:rPr>
        <w:t xml:space="preserve">Cartagena </w:t>
      </w:r>
      <w:r w:rsidR="00666E45" w:rsidRPr="00717F31">
        <w:rPr>
          <w:kern w:val="22"/>
          <w:szCs w:val="22"/>
        </w:rPr>
        <w:t>Protocol</w:t>
      </w:r>
      <w:r w:rsidR="00EA6805" w:rsidRPr="00717F31">
        <w:rPr>
          <w:kern w:val="22"/>
          <w:szCs w:val="22"/>
        </w:rPr>
        <w:t xml:space="preserve"> and the Nagoya Protocol</w:t>
      </w:r>
      <w:r w:rsidRPr="00717F31">
        <w:rPr>
          <w:kern w:val="22"/>
          <w:szCs w:val="22"/>
        </w:rPr>
        <w:t xml:space="preserve"> with credible, evidence-based and balanced  information for taking</w:t>
      </w:r>
      <w:r w:rsidR="00C14CB9" w:rsidRPr="00717F31">
        <w:rPr>
          <w:kern w:val="22"/>
          <w:szCs w:val="22"/>
        </w:rPr>
        <w:t xml:space="preserve"> decisions</w:t>
      </w:r>
      <w:r w:rsidR="00E6257C" w:rsidRPr="00717F31">
        <w:rPr>
          <w:kern w:val="22"/>
          <w:szCs w:val="22"/>
        </w:rPr>
        <w:t>.</w:t>
      </w:r>
    </w:p>
    <w:p w:rsidR="001349AE" w:rsidRPr="00717F31" w:rsidRDefault="001349AE" w:rsidP="00717F31">
      <w:pPr>
        <w:pStyle w:val="ListParagraph"/>
        <w:spacing w:before="120" w:after="120"/>
        <w:rPr>
          <w:kern w:val="22"/>
          <w:szCs w:val="22"/>
        </w:rPr>
      </w:pPr>
    </w:p>
    <w:p w:rsidR="00654CF4" w:rsidRPr="00717F31" w:rsidRDefault="00411FE8" w:rsidP="00717F31">
      <w:pPr>
        <w:pStyle w:val="ListParagraph"/>
        <w:numPr>
          <w:ilvl w:val="1"/>
          <w:numId w:val="38"/>
        </w:numPr>
        <w:spacing w:before="120" w:after="120"/>
        <w:rPr>
          <w:kern w:val="22"/>
          <w:szCs w:val="22"/>
        </w:rPr>
      </w:pPr>
      <w:r w:rsidRPr="00717F31">
        <w:rPr>
          <w:kern w:val="22"/>
          <w:szCs w:val="22"/>
        </w:rPr>
        <w:t>Th</w:t>
      </w:r>
      <w:r w:rsidR="00133786" w:rsidRPr="00717F31">
        <w:rPr>
          <w:kern w:val="22"/>
          <w:szCs w:val="22"/>
        </w:rPr>
        <w:t>is</w:t>
      </w:r>
      <w:r w:rsidRPr="00717F31">
        <w:rPr>
          <w:kern w:val="22"/>
          <w:szCs w:val="22"/>
        </w:rPr>
        <w:t xml:space="preserve"> procedure apply to experts nominated by Parties, other Governments, and any body or agency, whether </w:t>
      </w:r>
      <w:r w:rsidR="00EF1729" w:rsidRPr="00717F31">
        <w:rPr>
          <w:kern w:val="22"/>
          <w:szCs w:val="22"/>
        </w:rPr>
        <w:t xml:space="preserve">governmental </w:t>
      </w:r>
      <w:r w:rsidRPr="00717F31">
        <w:rPr>
          <w:kern w:val="22"/>
          <w:szCs w:val="22"/>
        </w:rPr>
        <w:t>or non-</w:t>
      </w:r>
      <w:r w:rsidR="00EF1729" w:rsidRPr="00717F31">
        <w:rPr>
          <w:kern w:val="22"/>
          <w:szCs w:val="22"/>
        </w:rPr>
        <w:t>governmental</w:t>
      </w:r>
      <w:r w:rsidRPr="00717F31">
        <w:rPr>
          <w:kern w:val="22"/>
          <w:szCs w:val="22"/>
        </w:rPr>
        <w:t xml:space="preserve">, to serve as an expert member of an ad hoc technical expert group or other technical expert group. It does not apply to representatives of Parties or observers in intergovernmental meetings or in </w:t>
      </w:r>
      <w:r w:rsidR="00964EA4" w:rsidRPr="00717F31">
        <w:rPr>
          <w:kern w:val="22"/>
          <w:szCs w:val="22"/>
        </w:rPr>
        <w:t xml:space="preserve">meetings of </w:t>
      </w:r>
      <w:r w:rsidRPr="00717F31">
        <w:rPr>
          <w:kern w:val="22"/>
          <w:szCs w:val="22"/>
        </w:rPr>
        <w:t>other bodies constituted with members representing Parties or observers.</w:t>
      </w:r>
    </w:p>
    <w:p w:rsidR="00644C74" w:rsidRPr="00717F31" w:rsidRDefault="00E11BFB" w:rsidP="00717F31">
      <w:pPr>
        <w:keepNext/>
        <w:spacing w:before="120" w:after="120"/>
        <w:rPr>
          <w:b/>
          <w:kern w:val="22"/>
          <w:szCs w:val="22"/>
        </w:rPr>
      </w:pPr>
      <w:r w:rsidRPr="00717F31">
        <w:rPr>
          <w:b/>
          <w:kern w:val="22"/>
          <w:szCs w:val="22"/>
        </w:rPr>
        <w:t>2</w:t>
      </w:r>
      <w:r w:rsidR="00B823D9" w:rsidRPr="00717F31">
        <w:rPr>
          <w:b/>
          <w:kern w:val="22"/>
          <w:szCs w:val="22"/>
        </w:rPr>
        <w:t>.</w:t>
      </w:r>
      <w:r w:rsidR="00B823D9" w:rsidRPr="00717F31">
        <w:rPr>
          <w:b/>
          <w:kern w:val="22"/>
          <w:szCs w:val="22"/>
        </w:rPr>
        <w:tab/>
        <w:t>Requirement</w:t>
      </w:r>
      <w:r w:rsidR="00BE7878" w:rsidRPr="00717F31">
        <w:rPr>
          <w:b/>
          <w:kern w:val="22"/>
          <w:szCs w:val="22"/>
        </w:rPr>
        <w:t>s</w:t>
      </w:r>
    </w:p>
    <w:p w:rsidR="006809E9" w:rsidRPr="00717F31" w:rsidRDefault="00E11BFB" w:rsidP="00717F31">
      <w:pPr>
        <w:spacing w:before="120" w:after="120"/>
        <w:ind w:left="720" w:hanging="720"/>
        <w:rPr>
          <w:kern w:val="22"/>
          <w:szCs w:val="22"/>
        </w:rPr>
      </w:pPr>
      <w:r w:rsidRPr="00717F31">
        <w:rPr>
          <w:kern w:val="22"/>
          <w:szCs w:val="22"/>
        </w:rPr>
        <w:t>2.1</w:t>
      </w:r>
      <w:r w:rsidR="00B823D9" w:rsidRPr="00717F31">
        <w:rPr>
          <w:kern w:val="22"/>
          <w:szCs w:val="22"/>
        </w:rPr>
        <w:tab/>
        <w:t xml:space="preserve">In order to participate in the work </w:t>
      </w:r>
      <w:r w:rsidR="006809E9" w:rsidRPr="00717F31">
        <w:rPr>
          <w:kern w:val="22"/>
          <w:szCs w:val="22"/>
        </w:rPr>
        <w:t xml:space="preserve">of an </w:t>
      </w:r>
      <w:r w:rsidR="001329F3" w:rsidRPr="00717F31">
        <w:rPr>
          <w:kern w:val="22"/>
          <w:szCs w:val="22"/>
        </w:rPr>
        <w:t>e</w:t>
      </w:r>
      <w:r w:rsidR="006809E9" w:rsidRPr="00717F31">
        <w:rPr>
          <w:kern w:val="22"/>
          <w:szCs w:val="22"/>
        </w:rPr>
        <w:t xml:space="preserve">xpert </w:t>
      </w:r>
      <w:r w:rsidR="001329F3" w:rsidRPr="00717F31">
        <w:rPr>
          <w:kern w:val="22"/>
          <w:szCs w:val="22"/>
        </w:rPr>
        <w:t>g</w:t>
      </w:r>
      <w:r w:rsidR="006809E9" w:rsidRPr="00717F31">
        <w:rPr>
          <w:kern w:val="22"/>
          <w:szCs w:val="22"/>
        </w:rPr>
        <w:t xml:space="preserve">roup, </w:t>
      </w:r>
      <w:r w:rsidR="009F66C0" w:rsidRPr="00717F31">
        <w:rPr>
          <w:kern w:val="22"/>
          <w:szCs w:val="22"/>
        </w:rPr>
        <w:t>online and/or in</w:t>
      </w:r>
      <w:r w:rsidR="00070B55" w:rsidRPr="00717F31">
        <w:rPr>
          <w:kern w:val="22"/>
          <w:szCs w:val="22"/>
        </w:rPr>
        <w:t xml:space="preserve"> </w:t>
      </w:r>
      <w:r w:rsidR="009F66C0" w:rsidRPr="00717F31">
        <w:rPr>
          <w:kern w:val="22"/>
          <w:szCs w:val="22"/>
        </w:rPr>
        <w:t xml:space="preserve">person, </w:t>
      </w:r>
      <w:r w:rsidR="00810BDE" w:rsidRPr="00717F31">
        <w:rPr>
          <w:kern w:val="22"/>
          <w:szCs w:val="22"/>
        </w:rPr>
        <w:t xml:space="preserve">each expert shall act solely in their personal capacity, regardless of any other governmental, industry, organizational or academic affiliation. </w:t>
      </w:r>
      <w:r w:rsidR="00810BDE" w:rsidRPr="00717F31">
        <w:rPr>
          <w:iCs/>
          <w:kern w:val="22"/>
          <w:szCs w:val="22"/>
        </w:rPr>
        <w:t>Each expert</w:t>
      </w:r>
      <w:r w:rsidR="00810BDE" w:rsidRPr="00717F31">
        <w:rPr>
          <w:i/>
          <w:iCs/>
          <w:kern w:val="22"/>
          <w:szCs w:val="22"/>
        </w:rPr>
        <w:t xml:space="preserve"> </w:t>
      </w:r>
      <w:r w:rsidR="00810BDE" w:rsidRPr="00717F31">
        <w:rPr>
          <w:kern w:val="22"/>
          <w:szCs w:val="22"/>
        </w:rPr>
        <w:t>is expected to comply with the highest professional standards in an objective and neutral way, and to exhibit a high degree of professional</w:t>
      </w:r>
      <w:r w:rsidR="00810BDE" w:rsidRPr="00717F31">
        <w:rPr>
          <w:b/>
          <w:bCs/>
          <w:kern w:val="22"/>
          <w:szCs w:val="22"/>
        </w:rPr>
        <w:t> </w:t>
      </w:r>
      <w:r w:rsidR="00810BDE" w:rsidRPr="00717F31">
        <w:rPr>
          <w:kern w:val="22"/>
          <w:szCs w:val="22"/>
        </w:rPr>
        <w:t>conduct. E</w:t>
      </w:r>
      <w:r w:rsidR="00B823D9" w:rsidRPr="00717F31">
        <w:rPr>
          <w:kern w:val="22"/>
          <w:szCs w:val="22"/>
        </w:rPr>
        <w:t>ach expert is expected to avoid</w:t>
      </w:r>
      <w:r w:rsidR="00411FE8" w:rsidRPr="00717F31">
        <w:rPr>
          <w:kern w:val="22"/>
          <w:szCs w:val="22"/>
        </w:rPr>
        <w:t>, as far as possible,</w:t>
      </w:r>
      <w:r w:rsidR="00B823D9" w:rsidRPr="00717F31">
        <w:rPr>
          <w:kern w:val="22"/>
          <w:szCs w:val="22"/>
        </w:rPr>
        <w:t xml:space="preserve"> situations</w:t>
      </w:r>
      <w:r w:rsidR="006809E9" w:rsidRPr="00717F31">
        <w:rPr>
          <w:kern w:val="22"/>
          <w:szCs w:val="22"/>
        </w:rPr>
        <w:t>, financial or otherwise, that might affect the objectiv</w:t>
      </w:r>
      <w:r w:rsidR="002F109B" w:rsidRPr="00717F31">
        <w:rPr>
          <w:kern w:val="22"/>
          <w:szCs w:val="22"/>
        </w:rPr>
        <w:t xml:space="preserve">ity and independence of the </w:t>
      </w:r>
      <w:r w:rsidR="006809E9" w:rsidRPr="00717F31">
        <w:rPr>
          <w:kern w:val="22"/>
          <w:szCs w:val="22"/>
        </w:rPr>
        <w:t>contribut</w:t>
      </w:r>
      <w:r w:rsidR="002F109B" w:rsidRPr="00717F31">
        <w:rPr>
          <w:kern w:val="22"/>
          <w:szCs w:val="22"/>
        </w:rPr>
        <w:t>ion</w:t>
      </w:r>
      <w:r w:rsidR="006809E9" w:rsidRPr="00717F31">
        <w:rPr>
          <w:kern w:val="22"/>
          <w:szCs w:val="22"/>
        </w:rPr>
        <w:t xml:space="preserve"> </w:t>
      </w:r>
      <w:r w:rsidR="00622096" w:rsidRPr="00717F31">
        <w:rPr>
          <w:kern w:val="22"/>
          <w:szCs w:val="22"/>
        </w:rPr>
        <w:t>that the expert makes</w:t>
      </w:r>
      <w:r w:rsidR="006809E9" w:rsidRPr="00717F31">
        <w:rPr>
          <w:kern w:val="22"/>
          <w:szCs w:val="22"/>
        </w:rPr>
        <w:t xml:space="preserve"> and </w:t>
      </w:r>
      <w:r w:rsidR="00411FE8" w:rsidRPr="00717F31">
        <w:rPr>
          <w:kern w:val="22"/>
          <w:szCs w:val="22"/>
        </w:rPr>
        <w:t xml:space="preserve">thus </w:t>
      </w:r>
      <w:r w:rsidR="006809E9" w:rsidRPr="00717F31">
        <w:rPr>
          <w:kern w:val="22"/>
          <w:szCs w:val="22"/>
        </w:rPr>
        <w:t>affect the outcome of the work</w:t>
      </w:r>
      <w:r w:rsidRPr="00717F31">
        <w:rPr>
          <w:kern w:val="22"/>
          <w:szCs w:val="22"/>
        </w:rPr>
        <w:t xml:space="preserve"> of the </w:t>
      </w:r>
      <w:r w:rsidR="001329F3" w:rsidRPr="00717F31">
        <w:rPr>
          <w:kern w:val="22"/>
          <w:szCs w:val="22"/>
        </w:rPr>
        <w:t>expert group</w:t>
      </w:r>
      <w:r w:rsidR="00035471" w:rsidRPr="00717F31">
        <w:rPr>
          <w:kern w:val="22"/>
          <w:szCs w:val="22"/>
        </w:rPr>
        <w:t>.</w:t>
      </w:r>
    </w:p>
    <w:p w:rsidR="009D548F" w:rsidRPr="00717F31" w:rsidRDefault="00E11BFB" w:rsidP="00717F31">
      <w:pPr>
        <w:spacing w:before="120" w:after="120"/>
        <w:ind w:left="720" w:hanging="720"/>
        <w:rPr>
          <w:kern w:val="22"/>
          <w:szCs w:val="22"/>
        </w:rPr>
      </w:pPr>
      <w:r w:rsidRPr="00717F31">
        <w:rPr>
          <w:kern w:val="22"/>
          <w:szCs w:val="22"/>
        </w:rPr>
        <w:t>2.2.</w:t>
      </w:r>
      <w:r w:rsidR="006809E9" w:rsidRPr="00717F31">
        <w:rPr>
          <w:kern w:val="22"/>
          <w:szCs w:val="22"/>
        </w:rPr>
        <w:tab/>
        <w:t xml:space="preserve">Each expert </w:t>
      </w:r>
      <w:r w:rsidR="009D548F" w:rsidRPr="00717F31">
        <w:rPr>
          <w:kern w:val="22"/>
          <w:szCs w:val="22"/>
        </w:rPr>
        <w:t xml:space="preserve">nominated by a Party, a non-Party Government, </w:t>
      </w:r>
      <w:r w:rsidR="00C548E5" w:rsidRPr="00717F31">
        <w:rPr>
          <w:kern w:val="22"/>
          <w:szCs w:val="22"/>
        </w:rPr>
        <w:t xml:space="preserve">or </w:t>
      </w:r>
      <w:r w:rsidR="009D548F" w:rsidRPr="00717F31">
        <w:rPr>
          <w:kern w:val="22"/>
          <w:szCs w:val="22"/>
        </w:rPr>
        <w:t>a</w:t>
      </w:r>
      <w:r w:rsidR="00BE7878" w:rsidRPr="00717F31">
        <w:rPr>
          <w:kern w:val="22"/>
          <w:szCs w:val="22"/>
        </w:rPr>
        <w:t>ny</w:t>
      </w:r>
      <w:r w:rsidR="009D548F" w:rsidRPr="00717F31">
        <w:rPr>
          <w:kern w:val="22"/>
          <w:szCs w:val="22"/>
        </w:rPr>
        <w:t xml:space="preserve"> body or agency, whether </w:t>
      </w:r>
      <w:r w:rsidR="0031455E" w:rsidRPr="00717F31">
        <w:rPr>
          <w:kern w:val="22"/>
          <w:szCs w:val="22"/>
        </w:rPr>
        <w:t>g</w:t>
      </w:r>
      <w:r w:rsidR="009D548F" w:rsidRPr="00717F31">
        <w:rPr>
          <w:kern w:val="22"/>
          <w:szCs w:val="22"/>
        </w:rPr>
        <w:t>overnmental or non-</w:t>
      </w:r>
      <w:r w:rsidR="0031455E" w:rsidRPr="00717F31">
        <w:rPr>
          <w:kern w:val="22"/>
          <w:szCs w:val="22"/>
        </w:rPr>
        <w:t>g</w:t>
      </w:r>
      <w:r w:rsidR="009D548F" w:rsidRPr="00717F31">
        <w:rPr>
          <w:kern w:val="22"/>
          <w:szCs w:val="22"/>
        </w:rPr>
        <w:t>overnmental</w:t>
      </w:r>
      <w:r w:rsidR="00490451" w:rsidRPr="00717F31">
        <w:rPr>
          <w:kern w:val="22"/>
          <w:szCs w:val="22"/>
        </w:rPr>
        <w:t>,</w:t>
      </w:r>
      <w:r w:rsidR="00BE7878" w:rsidRPr="00717F31">
        <w:rPr>
          <w:kern w:val="22"/>
          <w:szCs w:val="22"/>
        </w:rPr>
        <w:t xml:space="preserve"> </w:t>
      </w:r>
      <w:r w:rsidR="00490451" w:rsidRPr="00717F31">
        <w:rPr>
          <w:kern w:val="22"/>
          <w:szCs w:val="22"/>
        </w:rPr>
        <w:t xml:space="preserve">to </w:t>
      </w:r>
      <w:r w:rsidR="00090603" w:rsidRPr="00717F31">
        <w:rPr>
          <w:kern w:val="22"/>
          <w:szCs w:val="22"/>
        </w:rPr>
        <w:t xml:space="preserve">serve as </w:t>
      </w:r>
      <w:r w:rsidR="00BE7878" w:rsidRPr="00717F31">
        <w:rPr>
          <w:kern w:val="22"/>
          <w:szCs w:val="22"/>
        </w:rPr>
        <w:t xml:space="preserve">a member </w:t>
      </w:r>
      <w:r w:rsidR="00411FE8" w:rsidRPr="00717F31">
        <w:rPr>
          <w:kern w:val="22"/>
          <w:szCs w:val="22"/>
        </w:rPr>
        <w:t xml:space="preserve">of an </w:t>
      </w:r>
      <w:r w:rsidR="001329F3" w:rsidRPr="00717F31">
        <w:rPr>
          <w:kern w:val="22"/>
          <w:szCs w:val="22"/>
        </w:rPr>
        <w:t>expert group</w:t>
      </w:r>
      <w:r w:rsidR="00810BDE" w:rsidRPr="00717F31">
        <w:rPr>
          <w:kern w:val="22"/>
          <w:szCs w:val="22"/>
        </w:rPr>
        <w:t>, in addition to completing a nomination form</w:t>
      </w:r>
      <w:r w:rsidR="0031455E" w:rsidRPr="00717F31">
        <w:rPr>
          <w:kern w:val="22"/>
          <w:szCs w:val="22"/>
        </w:rPr>
        <w:t>,</w:t>
      </w:r>
      <w:r w:rsidR="00810BDE" w:rsidRPr="00717F31">
        <w:rPr>
          <w:rStyle w:val="FootnoteReference"/>
          <w:kern w:val="22"/>
          <w:sz w:val="22"/>
          <w:szCs w:val="22"/>
        </w:rPr>
        <w:footnoteReference w:id="23"/>
      </w:r>
      <w:r w:rsidR="00411FE8" w:rsidRPr="00717F31">
        <w:rPr>
          <w:kern w:val="22"/>
          <w:szCs w:val="22"/>
        </w:rPr>
        <w:t xml:space="preserve"> </w:t>
      </w:r>
      <w:r w:rsidR="00760544" w:rsidRPr="00717F31">
        <w:rPr>
          <w:kern w:val="22"/>
          <w:szCs w:val="22"/>
        </w:rPr>
        <w:t>will</w:t>
      </w:r>
      <w:r w:rsidR="006809E9" w:rsidRPr="00717F31">
        <w:rPr>
          <w:kern w:val="22"/>
          <w:szCs w:val="22"/>
        </w:rPr>
        <w:t xml:space="preserve"> complete </w:t>
      </w:r>
      <w:r w:rsidR="009D548F" w:rsidRPr="00717F31">
        <w:rPr>
          <w:kern w:val="22"/>
          <w:szCs w:val="22"/>
        </w:rPr>
        <w:t xml:space="preserve">and sign a </w:t>
      </w:r>
      <w:r w:rsidR="00622096" w:rsidRPr="00717F31">
        <w:rPr>
          <w:kern w:val="22"/>
          <w:szCs w:val="22"/>
        </w:rPr>
        <w:t xml:space="preserve">conflict of interest </w:t>
      </w:r>
      <w:r w:rsidR="009D548F" w:rsidRPr="00717F31">
        <w:rPr>
          <w:kern w:val="22"/>
          <w:szCs w:val="22"/>
        </w:rPr>
        <w:t>d</w:t>
      </w:r>
      <w:r w:rsidR="00622096" w:rsidRPr="00717F31">
        <w:rPr>
          <w:kern w:val="22"/>
          <w:szCs w:val="22"/>
        </w:rPr>
        <w:t>isclosure</w:t>
      </w:r>
      <w:r w:rsidR="009D548F" w:rsidRPr="00717F31">
        <w:rPr>
          <w:kern w:val="22"/>
          <w:szCs w:val="22"/>
        </w:rPr>
        <w:t xml:space="preserve"> </w:t>
      </w:r>
      <w:r w:rsidR="00622096" w:rsidRPr="00717F31">
        <w:rPr>
          <w:kern w:val="22"/>
          <w:szCs w:val="22"/>
        </w:rPr>
        <w:t>form a</w:t>
      </w:r>
      <w:r w:rsidR="009D548F" w:rsidRPr="00717F31">
        <w:rPr>
          <w:kern w:val="22"/>
          <w:szCs w:val="22"/>
        </w:rPr>
        <w:t xml:space="preserve">s set out in the </w:t>
      </w:r>
      <w:r w:rsidR="0031455E" w:rsidRPr="00717F31">
        <w:rPr>
          <w:kern w:val="22"/>
          <w:szCs w:val="22"/>
        </w:rPr>
        <w:t>a</w:t>
      </w:r>
      <w:r w:rsidR="00B22FEB" w:rsidRPr="00717F31">
        <w:rPr>
          <w:kern w:val="22"/>
          <w:szCs w:val="22"/>
        </w:rPr>
        <w:t xml:space="preserve">ppendix </w:t>
      </w:r>
      <w:r w:rsidR="009D548F" w:rsidRPr="00717F31">
        <w:rPr>
          <w:kern w:val="22"/>
          <w:szCs w:val="22"/>
        </w:rPr>
        <w:t xml:space="preserve">below prior to </w:t>
      </w:r>
      <w:r w:rsidR="00626015" w:rsidRPr="00717F31">
        <w:rPr>
          <w:kern w:val="22"/>
          <w:szCs w:val="22"/>
        </w:rPr>
        <w:t xml:space="preserve">the selection of members </w:t>
      </w:r>
      <w:r w:rsidR="009D548F" w:rsidRPr="00717F31">
        <w:rPr>
          <w:kern w:val="22"/>
          <w:szCs w:val="22"/>
        </w:rPr>
        <w:t xml:space="preserve">of </w:t>
      </w:r>
      <w:r w:rsidR="00BE7878" w:rsidRPr="00717F31">
        <w:rPr>
          <w:kern w:val="22"/>
          <w:szCs w:val="22"/>
        </w:rPr>
        <w:t xml:space="preserve">the </w:t>
      </w:r>
      <w:r w:rsidR="0031455E" w:rsidRPr="00717F31">
        <w:rPr>
          <w:kern w:val="22"/>
          <w:szCs w:val="22"/>
        </w:rPr>
        <w:t xml:space="preserve">expert group </w:t>
      </w:r>
      <w:r w:rsidR="00BE7878" w:rsidRPr="00717F31">
        <w:rPr>
          <w:kern w:val="22"/>
          <w:szCs w:val="22"/>
        </w:rPr>
        <w:t>concerned</w:t>
      </w:r>
      <w:r w:rsidR="00035471" w:rsidRPr="00717F31">
        <w:rPr>
          <w:kern w:val="22"/>
          <w:szCs w:val="22"/>
        </w:rPr>
        <w:t>.</w:t>
      </w:r>
    </w:p>
    <w:p w:rsidR="00416BEB" w:rsidRPr="00717F31" w:rsidRDefault="00E11BFB" w:rsidP="00717F31">
      <w:pPr>
        <w:spacing w:before="120" w:after="120"/>
        <w:ind w:left="720" w:hanging="720"/>
        <w:rPr>
          <w:kern w:val="22"/>
          <w:szCs w:val="22"/>
        </w:rPr>
      </w:pPr>
      <w:r w:rsidRPr="00717F31">
        <w:rPr>
          <w:kern w:val="22"/>
          <w:szCs w:val="22"/>
        </w:rPr>
        <w:t>2.3</w:t>
      </w:r>
      <w:r w:rsidRPr="00717F31">
        <w:rPr>
          <w:kern w:val="22"/>
          <w:szCs w:val="22"/>
        </w:rPr>
        <w:tab/>
      </w:r>
      <w:r w:rsidR="000B4FC2" w:rsidRPr="00717F31">
        <w:rPr>
          <w:kern w:val="22"/>
          <w:szCs w:val="22"/>
        </w:rPr>
        <w:t>Unless otherwise decided, t</w:t>
      </w:r>
      <w:r w:rsidRPr="00717F31">
        <w:rPr>
          <w:kern w:val="22"/>
          <w:szCs w:val="22"/>
        </w:rPr>
        <w:t xml:space="preserve">he requirement to disclose interests shall apply to every </w:t>
      </w:r>
      <w:r w:rsidR="00626015" w:rsidRPr="00717F31">
        <w:rPr>
          <w:kern w:val="22"/>
          <w:szCs w:val="22"/>
        </w:rPr>
        <w:t xml:space="preserve">nominee and </w:t>
      </w:r>
      <w:r w:rsidR="000B4FC2" w:rsidRPr="00717F31">
        <w:rPr>
          <w:kern w:val="22"/>
          <w:szCs w:val="22"/>
        </w:rPr>
        <w:t xml:space="preserve">each </w:t>
      </w:r>
      <w:r w:rsidR="001329F3" w:rsidRPr="00717F31">
        <w:rPr>
          <w:kern w:val="22"/>
          <w:szCs w:val="22"/>
        </w:rPr>
        <w:t xml:space="preserve">expert group </w:t>
      </w:r>
      <w:r w:rsidRPr="00717F31">
        <w:rPr>
          <w:kern w:val="22"/>
          <w:szCs w:val="22"/>
        </w:rPr>
        <w:t xml:space="preserve">established by </w:t>
      </w:r>
      <w:r w:rsidR="000B4FC2" w:rsidRPr="00717F31">
        <w:rPr>
          <w:kern w:val="22"/>
          <w:szCs w:val="22"/>
        </w:rPr>
        <w:t xml:space="preserve">the </w:t>
      </w:r>
      <w:r w:rsidRPr="00717F31">
        <w:rPr>
          <w:kern w:val="22"/>
          <w:szCs w:val="22"/>
        </w:rPr>
        <w:t>Conference of the Parties to the Convention</w:t>
      </w:r>
      <w:r w:rsidR="00760544" w:rsidRPr="00717F31">
        <w:rPr>
          <w:kern w:val="22"/>
          <w:szCs w:val="22"/>
        </w:rPr>
        <w:t xml:space="preserve">, </w:t>
      </w:r>
      <w:r w:rsidR="0035365D" w:rsidRPr="00717F31">
        <w:rPr>
          <w:kern w:val="22"/>
          <w:szCs w:val="22"/>
        </w:rPr>
        <w:t xml:space="preserve">the Conference of the Parties serving as </w:t>
      </w:r>
      <w:r w:rsidRPr="00717F31">
        <w:rPr>
          <w:kern w:val="22"/>
          <w:szCs w:val="22"/>
        </w:rPr>
        <w:t xml:space="preserve">the meeting of the Parties to the </w:t>
      </w:r>
      <w:r w:rsidR="009F66C0" w:rsidRPr="00717F31">
        <w:rPr>
          <w:kern w:val="22"/>
          <w:szCs w:val="22"/>
        </w:rPr>
        <w:t xml:space="preserve">Cartagena </w:t>
      </w:r>
      <w:r w:rsidRPr="00717F31">
        <w:rPr>
          <w:kern w:val="22"/>
          <w:szCs w:val="22"/>
        </w:rPr>
        <w:t>Protocol</w:t>
      </w:r>
      <w:r w:rsidR="0035365D" w:rsidRPr="00717F31">
        <w:rPr>
          <w:kern w:val="22"/>
          <w:szCs w:val="22"/>
        </w:rPr>
        <w:t xml:space="preserve"> on Biosafety</w:t>
      </w:r>
      <w:r w:rsidR="00760544" w:rsidRPr="00717F31">
        <w:rPr>
          <w:kern w:val="22"/>
          <w:szCs w:val="22"/>
        </w:rPr>
        <w:t xml:space="preserve">, </w:t>
      </w:r>
      <w:r w:rsidR="0035365D" w:rsidRPr="00717F31">
        <w:rPr>
          <w:kern w:val="22"/>
          <w:szCs w:val="22"/>
        </w:rPr>
        <w:t xml:space="preserve">and the Conference of the Parties serving as </w:t>
      </w:r>
      <w:r w:rsidR="009F66C0" w:rsidRPr="00717F31">
        <w:rPr>
          <w:kern w:val="22"/>
          <w:szCs w:val="22"/>
        </w:rPr>
        <w:t>the meeting of the Parties to the Nagoya Protocol</w:t>
      </w:r>
      <w:r w:rsidR="0035365D" w:rsidRPr="00717F31">
        <w:rPr>
          <w:kern w:val="22"/>
          <w:szCs w:val="22"/>
        </w:rPr>
        <w:t xml:space="preserve"> on Access and Benefit-sharing</w:t>
      </w:r>
      <w:r w:rsidR="00760544" w:rsidRPr="00717F31">
        <w:rPr>
          <w:kern w:val="22"/>
          <w:szCs w:val="22"/>
        </w:rPr>
        <w:t xml:space="preserve">, or </w:t>
      </w:r>
      <w:r w:rsidR="0035365D" w:rsidRPr="00717F31">
        <w:rPr>
          <w:kern w:val="22"/>
          <w:szCs w:val="22"/>
        </w:rPr>
        <w:t xml:space="preserve">by </w:t>
      </w:r>
      <w:r w:rsidR="00760544" w:rsidRPr="00717F31">
        <w:rPr>
          <w:kern w:val="22"/>
          <w:szCs w:val="22"/>
        </w:rPr>
        <w:t>a subsidiary body</w:t>
      </w:r>
      <w:r w:rsidR="0035365D" w:rsidRPr="00717F31">
        <w:rPr>
          <w:kern w:val="22"/>
          <w:szCs w:val="22"/>
        </w:rPr>
        <w:t>.</w:t>
      </w:r>
    </w:p>
    <w:p w:rsidR="00E11BFB" w:rsidRPr="00717F31" w:rsidRDefault="00416BEB" w:rsidP="00717F31">
      <w:pPr>
        <w:spacing w:before="120" w:after="120"/>
        <w:ind w:left="720" w:hanging="720"/>
        <w:rPr>
          <w:kern w:val="22"/>
          <w:szCs w:val="22"/>
        </w:rPr>
      </w:pPr>
      <w:r w:rsidRPr="00717F31">
        <w:rPr>
          <w:kern w:val="22"/>
          <w:szCs w:val="22"/>
        </w:rPr>
        <w:t>2.4</w:t>
      </w:r>
      <w:r w:rsidRPr="00717F31">
        <w:rPr>
          <w:kern w:val="22"/>
          <w:szCs w:val="22"/>
        </w:rPr>
        <w:tab/>
        <w:t xml:space="preserve">When an expert already serving in an </w:t>
      </w:r>
      <w:r w:rsidR="001329F3" w:rsidRPr="00717F31">
        <w:rPr>
          <w:kern w:val="22"/>
          <w:szCs w:val="22"/>
        </w:rPr>
        <w:t xml:space="preserve">expert group </w:t>
      </w:r>
      <w:r w:rsidR="001C6F69" w:rsidRPr="00717F31">
        <w:rPr>
          <w:kern w:val="22"/>
          <w:szCs w:val="22"/>
        </w:rPr>
        <w:t>is faced with a direct or indirect conflict of interest due to changed circumstances</w:t>
      </w:r>
      <w:r w:rsidR="009E0F1E" w:rsidRPr="00717F31">
        <w:rPr>
          <w:kern w:val="22"/>
          <w:szCs w:val="22"/>
        </w:rPr>
        <w:t xml:space="preserve"> that affect the expert’s independent contribution to the work of the </w:t>
      </w:r>
      <w:r w:rsidR="009B5DA9" w:rsidRPr="00717F31">
        <w:rPr>
          <w:kern w:val="22"/>
          <w:szCs w:val="22"/>
        </w:rPr>
        <w:t>expert group</w:t>
      </w:r>
      <w:r w:rsidR="009E0F1E" w:rsidRPr="00717F31">
        <w:rPr>
          <w:kern w:val="22"/>
          <w:szCs w:val="22"/>
        </w:rPr>
        <w:t xml:space="preserve">, </w:t>
      </w:r>
      <w:r w:rsidR="001C6F69" w:rsidRPr="00717F31">
        <w:rPr>
          <w:kern w:val="22"/>
          <w:szCs w:val="22"/>
        </w:rPr>
        <w:t xml:space="preserve">the expert shall </w:t>
      </w:r>
      <w:r w:rsidR="003E3C6E" w:rsidRPr="00717F31">
        <w:rPr>
          <w:kern w:val="22"/>
          <w:szCs w:val="22"/>
        </w:rPr>
        <w:t xml:space="preserve">immediately </w:t>
      </w:r>
      <w:r w:rsidRPr="00717F31">
        <w:rPr>
          <w:kern w:val="22"/>
          <w:szCs w:val="22"/>
        </w:rPr>
        <w:t>inform</w:t>
      </w:r>
      <w:r w:rsidR="003E3C6E" w:rsidRPr="00717F31">
        <w:rPr>
          <w:kern w:val="22"/>
          <w:szCs w:val="22"/>
        </w:rPr>
        <w:t xml:space="preserve"> </w:t>
      </w:r>
      <w:r w:rsidRPr="00717F31">
        <w:rPr>
          <w:kern w:val="22"/>
          <w:szCs w:val="22"/>
        </w:rPr>
        <w:t xml:space="preserve">the Secretariat </w:t>
      </w:r>
      <w:r w:rsidR="001C6F69" w:rsidRPr="00717F31">
        <w:rPr>
          <w:kern w:val="22"/>
          <w:szCs w:val="22"/>
        </w:rPr>
        <w:t>of the situation.</w:t>
      </w:r>
    </w:p>
    <w:p w:rsidR="00B22FEB" w:rsidRPr="00717F31" w:rsidRDefault="00E11BFB" w:rsidP="00717F31">
      <w:pPr>
        <w:keepNext/>
        <w:spacing w:before="120" w:after="120"/>
        <w:rPr>
          <w:b/>
          <w:kern w:val="22"/>
          <w:szCs w:val="22"/>
        </w:rPr>
      </w:pPr>
      <w:r w:rsidRPr="00717F31">
        <w:rPr>
          <w:b/>
          <w:kern w:val="22"/>
          <w:szCs w:val="22"/>
        </w:rPr>
        <w:t>3</w:t>
      </w:r>
      <w:r w:rsidR="00BE7878" w:rsidRPr="00717F31">
        <w:rPr>
          <w:b/>
          <w:kern w:val="22"/>
          <w:szCs w:val="22"/>
        </w:rPr>
        <w:t>.</w:t>
      </w:r>
      <w:r w:rsidR="00BE7878" w:rsidRPr="00717F31">
        <w:rPr>
          <w:b/>
          <w:kern w:val="22"/>
          <w:szCs w:val="22"/>
        </w:rPr>
        <w:tab/>
      </w:r>
      <w:r w:rsidR="00B22FEB" w:rsidRPr="00717F31">
        <w:rPr>
          <w:b/>
          <w:kern w:val="22"/>
          <w:szCs w:val="22"/>
        </w:rPr>
        <w:t>D</w:t>
      </w:r>
      <w:r w:rsidR="00626243" w:rsidRPr="00717F31">
        <w:rPr>
          <w:b/>
          <w:kern w:val="22"/>
          <w:szCs w:val="22"/>
        </w:rPr>
        <w:t xml:space="preserve">isclosure </w:t>
      </w:r>
      <w:r w:rsidR="004E700C" w:rsidRPr="00717F31">
        <w:rPr>
          <w:b/>
          <w:kern w:val="22"/>
          <w:szCs w:val="22"/>
        </w:rPr>
        <w:t>f</w:t>
      </w:r>
      <w:r w:rsidR="00B22FEB" w:rsidRPr="00717F31">
        <w:rPr>
          <w:b/>
          <w:kern w:val="22"/>
          <w:szCs w:val="22"/>
        </w:rPr>
        <w:t>orm</w:t>
      </w:r>
    </w:p>
    <w:p w:rsidR="00626243" w:rsidRPr="00717F31" w:rsidRDefault="00E11BFB" w:rsidP="00717F31">
      <w:pPr>
        <w:spacing w:before="120" w:after="120"/>
        <w:ind w:left="720" w:hanging="720"/>
        <w:rPr>
          <w:kern w:val="22"/>
          <w:szCs w:val="22"/>
        </w:rPr>
      </w:pPr>
      <w:r w:rsidRPr="00717F31">
        <w:rPr>
          <w:kern w:val="22"/>
          <w:szCs w:val="22"/>
        </w:rPr>
        <w:t>3.1</w:t>
      </w:r>
      <w:r w:rsidR="00622096" w:rsidRPr="00717F31">
        <w:rPr>
          <w:kern w:val="22"/>
          <w:szCs w:val="22"/>
        </w:rPr>
        <w:tab/>
        <w:t xml:space="preserve">The </w:t>
      </w:r>
      <w:r w:rsidR="00322C1C" w:rsidRPr="00717F31">
        <w:rPr>
          <w:kern w:val="22"/>
          <w:szCs w:val="22"/>
        </w:rPr>
        <w:t>conflict of interest disclosure form</w:t>
      </w:r>
      <w:r w:rsidR="00626243" w:rsidRPr="00717F31">
        <w:rPr>
          <w:kern w:val="22"/>
          <w:szCs w:val="22"/>
        </w:rPr>
        <w:t xml:space="preserve"> set out in the </w:t>
      </w:r>
      <w:r w:rsidR="001329F3" w:rsidRPr="00717F31">
        <w:rPr>
          <w:kern w:val="22"/>
          <w:szCs w:val="22"/>
        </w:rPr>
        <w:t xml:space="preserve">appendix </w:t>
      </w:r>
      <w:r w:rsidR="00626243" w:rsidRPr="00717F31">
        <w:rPr>
          <w:kern w:val="22"/>
          <w:szCs w:val="22"/>
        </w:rPr>
        <w:t xml:space="preserve">below shall be used in connection with the designation and review of the status of nominees of members to an </w:t>
      </w:r>
      <w:r w:rsidR="001329F3" w:rsidRPr="00717F31">
        <w:rPr>
          <w:kern w:val="22"/>
          <w:szCs w:val="22"/>
        </w:rPr>
        <w:t>expert group</w:t>
      </w:r>
      <w:r w:rsidR="00322C1C" w:rsidRPr="00717F31">
        <w:rPr>
          <w:kern w:val="22"/>
          <w:szCs w:val="22"/>
        </w:rPr>
        <w:t>.</w:t>
      </w:r>
    </w:p>
    <w:p w:rsidR="00626243" w:rsidRPr="00717F31" w:rsidRDefault="00E11BFB" w:rsidP="00717F31">
      <w:pPr>
        <w:spacing w:before="120" w:after="120"/>
        <w:ind w:left="720" w:hanging="720"/>
        <w:rPr>
          <w:kern w:val="22"/>
          <w:szCs w:val="22"/>
        </w:rPr>
      </w:pPr>
      <w:r w:rsidRPr="00717F31">
        <w:rPr>
          <w:kern w:val="22"/>
          <w:szCs w:val="22"/>
        </w:rPr>
        <w:t>3.2</w:t>
      </w:r>
      <w:r w:rsidR="00626243" w:rsidRPr="00717F31">
        <w:rPr>
          <w:kern w:val="22"/>
          <w:szCs w:val="22"/>
        </w:rPr>
        <w:tab/>
        <w:t xml:space="preserve">The </w:t>
      </w:r>
      <w:r w:rsidR="003B3370" w:rsidRPr="00717F31">
        <w:rPr>
          <w:kern w:val="22"/>
          <w:szCs w:val="22"/>
        </w:rPr>
        <w:t xml:space="preserve">form </w:t>
      </w:r>
      <w:r w:rsidR="00BA30BA" w:rsidRPr="00717F31">
        <w:rPr>
          <w:kern w:val="22"/>
          <w:szCs w:val="22"/>
        </w:rPr>
        <w:t xml:space="preserve">will </w:t>
      </w:r>
      <w:r w:rsidR="00626243" w:rsidRPr="00717F31">
        <w:rPr>
          <w:kern w:val="22"/>
          <w:szCs w:val="22"/>
        </w:rPr>
        <w:t>be made available in all six official languages</w:t>
      </w:r>
      <w:r w:rsidR="003B3370" w:rsidRPr="00717F31">
        <w:rPr>
          <w:kern w:val="22"/>
          <w:szCs w:val="22"/>
        </w:rPr>
        <w:t xml:space="preserve"> of the United Nations</w:t>
      </w:r>
      <w:r w:rsidR="00626243" w:rsidRPr="00717F31">
        <w:rPr>
          <w:kern w:val="22"/>
          <w:szCs w:val="22"/>
        </w:rPr>
        <w:t>.</w:t>
      </w:r>
    </w:p>
    <w:p w:rsidR="00626243" w:rsidRPr="00717F31" w:rsidRDefault="00E11BFB" w:rsidP="00717F31">
      <w:pPr>
        <w:keepNext/>
        <w:spacing w:before="120" w:after="120"/>
        <w:rPr>
          <w:b/>
          <w:kern w:val="22"/>
          <w:szCs w:val="22"/>
        </w:rPr>
      </w:pPr>
      <w:r w:rsidRPr="00717F31">
        <w:rPr>
          <w:b/>
          <w:kern w:val="22"/>
          <w:szCs w:val="22"/>
        </w:rPr>
        <w:t>4</w:t>
      </w:r>
      <w:r w:rsidR="00626243" w:rsidRPr="00717F31">
        <w:rPr>
          <w:b/>
          <w:kern w:val="22"/>
          <w:szCs w:val="22"/>
        </w:rPr>
        <w:t>.</w:t>
      </w:r>
      <w:r w:rsidR="00626243" w:rsidRPr="00717F31">
        <w:rPr>
          <w:b/>
          <w:kern w:val="22"/>
          <w:szCs w:val="22"/>
        </w:rPr>
        <w:tab/>
      </w:r>
      <w:r w:rsidR="007F00F0" w:rsidRPr="00717F31">
        <w:rPr>
          <w:b/>
          <w:kern w:val="22"/>
          <w:szCs w:val="22"/>
        </w:rPr>
        <w:t>Implementation</w:t>
      </w:r>
    </w:p>
    <w:p w:rsidR="00A91917" w:rsidRPr="00717F31" w:rsidRDefault="00F5013C" w:rsidP="00717F31">
      <w:pPr>
        <w:spacing w:before="120" w:after="120"/>
        <w:ind w:left="720" w:hanging="720"/>
        <w:rPr>
          <w:kern w:val="22"/>
          <w:szCs w:val="22"/>
        </w:rPr>
      </w:pPr>
      <w:r w:rsidRPr="00717F31">
        <w:rPr>
          <w:kern w:val="22"/>
          <w:szCs w:val="22"/>
        </w:rPr>
        <w:t>4.1</w:t>
      </w:r>
      <w:r w:rsidRPr="00717F31">
        <w:rPr>
          <w:kern w:val="22"/>
          <w:szCs w:val="22"/>
        </w:rPr>
        <w:tab/>
      </w:r>
      <w:r w:rsidR="00C96880" w:rsidRPr="00717F31">
        <w:rPr>
          <w:kern w:val="22"/>
          <w:szCs w:val="22"/>
        </w:rPr>
        <w:t>N</w:t>
      </w:r>
      <w:r w:rsidRPr="00717F31">
        <w:rPr>
          <w:kern w:val="22"/>
          <w:szCs w:val="22"/>
        </w:rPr>
        <w:t>omination</w:t>
      </w:r>
      <w:r w:rsidR="00C96880" w:rsidRPr="00717F31">
        <w:rPr>
          <w:kern w:val="22"/>
          <w:szCs w:val="22"/>
        </w:rPr>
        <w:t>s</w:t>
      </w:r>
      <w:r w:rsidRPr="00717F31">
        <w:rPr>
          <w:kern w:val="22"/>
          <w:szCs w:val="22"/>
        </w:rPr>
        <w:t xml:space="preserve"> </w:t>
      </w:r>
      <w:r w:rsidR="00242740" w:rsidRPr="00717F31">
        <w:rPr>
          <w:kern w:val="22"/>
          <w:szCs w:val="22"/>
        </w:rPr>
        <w:t>for membership to</w:t>
      </w:r>
      <w:r w:rsidRPr="00717F31">
        <w:rPr>
          <w:kern w:val="22"/>
          <w:szCs w:val="22"/>
        </w:rPr>
        <w:t xml:space="preserve"> an expert group</w:t>
      </w:r>
      <w:r w:rsidR="00242740" w:rsidRPr="00717F31">
        <w:rPr>
          <w:kern w:val="22"/>
          <w:szCs w:val="22"/>
        </w:rPr>
        <w:t xml:space="preserve"> shall be accompanied by a </w:t>
      </w:r>
      <w:r w:rsidR="00D650E5" w:rsidRPr="00717F31">
        <w:rPr>
          <w:kern w:val="22"/>
          <w:szCs w:val="22"/>
        </w:rPr>
        <w:t>conflict of interest disclosure form</w:t>
      </w:r>
      <w:r w:rsidR="00A91917" w:rsidRPr="00717F31">
        <w:rPr>
          <w:kern w:val="22"/>
          <w:szCs w:val="22"/>
        </w:rPr>
        <w:t xml:space="preserve"> </w:t>
      </w:r>
      <w:r w:rsidR="00242740" w:rsidRPr="00717F31">
        <w:rPr>
          <w:kern w:val="22"/>
          <w:szCs w:val="22"/>
        </w:rPr>
        <w:t xml:space="preserve">duly completed and signed by </w:t>
      </w:r>
      <w:r w:rsidR="00C96880" w:rsidRPr="00717F31">
        <w:rPr>
          <w:kern w:val="22"/>
          <w:szCs w:val="22"/>
        </w:rPr>
        <w:t xml:space="preserve">each </w:t>
      </w:r>
      <w:r w:rsidR="00242740" w:rsidRPr="00717F31">
        <w:rPr>
          <w:kern w:val="22"/>
          <w:szCs w:val="22"/>
        </w:rPr>
        <w:t>nominee</w:t>
      </w:r>
      <w:r w:rsidR="006B1703" w:rsidRPr="00717F31">
        <w:rPr>
          <w:kern w:val="22"/>
          <w:szCs w:val="22"/>
        </w:rPr>
        <w:t>.</w:t>
      </w:r>
    </w:p>
    <w:p w:rsidR="00DD5FBB" w:rsidRPr="00717F31" w:rsidRDefault="00A91917" w:rsidP="00717F31">
      <w:pPr>
        <w:spacing w:before="120" w:after="120"/>
        <w:ind w:left="720" w:hanging="720"/>
        <w:rPr>
          <w:kern w:val="22"/>
          <w:szCs w:val="22"/>
        </w:rPr>
      </w:pPr>
      <w:r w:rsidRPr="00717F31">
        <w:rPr>
          <w:kern w:val="22"/>
          <w:szCs w:val="22"/>
        </w:rPr>
        <w:lastRenderedPageBreak/>
        <w:t>4.2</w:t>
      </w:r>
      <w:r w:rsidRPr="00717F31">
        <w:rPr>
          <w:kern w:val="22"/>
          <w:szCs w:val="22"/>
        </w:rPr>
        <w:tab/>
      </w:r>
      <w:r w:rsidR="00946C94" w:rsidRPr="00717F31">
        <w:rPr>
          <w:kern w:val="22"/>
          <w:szCs w:val="22"/>
        </w:rPr>
        <w:t xml:space="preserve">Upon receipt of </w:t>
      </w:r>
      <w:r w:rsidR="00626015" w:rsidRPr="00717F31">
        <w:rPr>
          <w:kern w:val="22"/>
          <w:szCs w:val="22"/>
        </w:rPr>
        <w:t xml:space="preserve">nominations along </w:t>
      </w:r>
      <w:r w:rsidR="00242740" w:rsidRPr="00717F31">
        <w:rPr>
          <w:kern w:val="22"/>
          <w:szCs w:val="22"/>
        </w:rPr>
        <w:t xml:space="preserve">with </w:t>
      </w:r>
      <w:r w:rsidR="00626015" w:rsidRPr="00717F31">
        <w:rPr>
          <w:kern w:val="22"/>
          <w:szCs w:val="22"/>
        </w:rPr>
        <w:t xml:space="preserve">duly </w:t>
      </w:r>
      <w:r w:rsidR="00946C94" w:rsidRPr="00717F31">
        <w:rPr>
          <w:kern w:val="22"/>
          <w:szCs w:val="22"/>
        </w:rPr>
        <w:t xml:space="preserve">completed </w:t>
      </w:r>
      <w:r w:rsidR="007D1646" w:rsidRPr="00717F31">
        <w:rPr>
          <w:kern w:val="22"/>
          <w:szCs w:val="22"/>
        </w:rPr>
        <w:t>conflict of interest disclosure form</w:t>
      </w:r>
      <w:r w:rsidR="00946C94" w:rsidRPr="00717F31">
        <w:rPr>
          <w:kern w:val="22"/>
          <w:szCs w:val="22"/>
        </w:rPr>
        <w:t xml:space="preserve">, the Secretariat </w:t>
      </w:r>
      <w:r w:rsidR="00760544" w:rsidRPr="00717F31">
        <w:rPr>
          <w:kern w:val="22"/>
          <w:szCs w:val="22"/>
        </w:rPr>
        <w:t xml:space="preserve">will </w:t>
      </w:r>
      <w:r w:rsidR="00946C94" w:rsidRPr="00717F31">
        <w:rPr>
          <w:kern w:val="22"/>
          <w:szCs w:val="22"/>
        </w:rPr>
        <w:t xml:space="preserve">review the information provided </w:t>
      </w:r>
      <w:r w:rsidR="00760544" w:rsidRPr="00717F31">
        <w:rPr>
          <w:kern w:val="22"/>
          <w:szCs w:val="22"/>
        </w:rPr>
        <w:t xml:space="preserve">to </w:t>
      </w:r>
      <w:r w:rsidR="00946C94" w:rsidRPr="00717F31">
        <w:rPr>
          <w:kern w:val="22"/>
          <w:szCs w:val="22"/>
        </w:rPr>
        <w:t>determine whether an interest has been declared and</w:t>
      </w:r>
      <w:r w:rsidR="00410834" w:rsidRPr="00717F31">
        <w:rPr>
          <w:kern w:val="22"/>
          <w:szCs w:val="22"/>
        </w:rPr>
        <w:t>,</w:t>
      </w:r>
      <w:r w:rsidR="00946C94" w:rsidRPr="00717F31">
        <w:rPr>
          <w:kern w:val="22"/>
          <w:szCs w:val="22"/>
        </w:rPr>
        <w:t xml:space="preserve"> if so</w:t>
      </w:r>
      <w:r w:rsidR="00410834" w:rsidRPr="00717F31">
        <w:rPr>
          <w:kern w:val="22"/>
          <w:szCs w:val="22"/>
        </w:rPr>
        <w:t>,</w:t>
      </w:r>
      <w:r w:rsidR="00946C94" w:rsidRPr="00717F31">
        <w:rPr>
          <w:kern w:val="22"/>
          <w:szCs w:val="22"/>
        </w:rPr>
        <w:t xml:space="preserve"> whether it is </w:t>
      </w:r>
      <w:r w:rsidR="00760544" w:rsidRPr="00717F31">
        <w:rPr>
          <w:kern w:val="22"/>
          <w:szCs w:val="22"/>
        </w:rPr>
        <w:t xml:space="preserve">significant (i.e. if the declared interest is related to the subject or </w:t>
      </w:r>
      <w:r w:rsidR="007F68C1" w:rsidRPr="00717F31">
        <w:rPr>
          <w:kern w:val="22"/>
          <w:szCs w:val="22"/>
        </w:rPr>
        <w:t xml:space="preserve">work of the </w:t>
      </w:r>
      <w:r w:rsidR="00E1181D" w:rsidRPr="00717F31">
        <w:rPr>
          <w:kern w:val="22"/>
          <w:szCs w:val="22"/>
        </w:rPr>
        <w:t>expert group</w:t>
      </w:r>
      <w:r w:rsidR="00410834" w:rsidRPr="00717F31">
        <w:rPr>
          <w:kern w:val="22"/>
          <w:szCs w:val="22"/>
        </w:rPr>
        <w:t xml:space="preserve"> concerned</w:t>
      </w:r>
      <w:r w:rsidR="00760544" w:rsidRPr="00717F31">
        <w:rPr>
          <w:kern w:val="22"/>
          <w:szCs w:val="22"/>
        </w:rPr>
        <w:t xml:space="preserve"> and may affect, or be reasonably perceived to affect, the expert’s objective and independent judgment), or </w:t>
      </w:r>
      <w:r w:rsidR="00336386" w:rsidRPr="00717F31">
        <w:rPr>
          <w:kern w:val="22"/>
          <w:szCs w:val="22"/>
        </w:rPr>
        <w:t>in</w:t>
      </w:r>
      <w:r w:rsidR="00946C94" w:rsidRPr="00717F31">
        <w:rPr>
          <w:kern w:val="22"/>
          <w:szCs w:val="22"/>
        </w:rPr>
        <w:t xml:space="preserve">significant </w:t>
      </w:r>
      <w:r w:rsidR="00336386" w:rsidRPr="00717F31">
        <w:rPr>
          <w:kern w:val="22"/>
          <w:szCs w:val="22"/>
        </w:rPr>
        <w:t xml:space="preserve">(i.e. if the declared interest is unrelated or tangentially related to the subject </w:t>
      </w:r>
      <w:r w:rsidR="00946C94" w:rsidRPr="00717F31">
        <w:rPr>
          <w:kern w:val="22"/>
          <w:szCs w:val="22"/>
        </w:rPr>
        <w:t xml:space="preserve">or </w:t>
      </w:r>
      <w:r w:rsidR="00336386" w:rsidRPr="00717F31">
        <w:rPr>
          <w:kern w:val="22"/>
          <w:szCs w:val="22"/>
        </w:rPr>
        <w:t xml:space="preserve">work of the </w:t>
      </w:r>
      <w:r w:rsidR="001B00A3" w:rsidRPr="00717F31">
        <w:rPr>
          <w:kern w:val="22"/>
          <w:szCs w:val="22"/>
        </w:rPr>
        <w:t>expert group</w:t>
      </w:r>
      <w:r w:rsidR="009427DD" w:rsidRPr="00717F31">
        <w:rPr>
          <w:kern w:val="22"/>
          <w:szCs w:val="22"/>
        </w:rPr>
        <w:t xml:space="preserve"> concerned</w:t>
      </w:r>
      <w:r w:rsidR="001B00A3" w:rsidRPr="00717F31">
        <w:rPr>
          <w:kern w:val="22"/>
          <w:szCs w:val="22"/>
        </w:rPr>
        <w:t xml:space="preserve"> </w:t>
      </w:r>
      <w:r w:rsidR="00336386" w:rsidRPr="00717F31">
        <w:rPr>
          <w:kern w:val="22"/>
          <w:szCs w:val="22"/>
        </w:rPr>
        <w:t>or is nominal in amount or inconsequential in importance or expired and is unlikely to affect</w:t>
      </w:r>
      <w:r w:rsidR="00760544" w:rsidRPr="00717F31">
        <w:rPr>
          <w:kern w:val="22"/>
          <w:szCs w:val="22"/>
        </w:rPr>
        <w:t xml:space="preserve">, </w:t>
      </w:r>
      <w:r w:rsidR="00336386" w:rsidRPr="00717F31">
        <w:rPr>
          <w:kern w:val="22"/>
          <w:szCs w:val="22"/>
        </w:rPr>
        <w:t>or be reasonably perceived to affect</w:t>
      </w:r>
      <w:r w:rsidR="00760544" w:rsidRPr="00717F31">
        <w:rPr>
          <w:kern w:val="22"/>
          <w:szCs w:val="22"/>
        </w:rPr>
        <w:t>,</w:t>
      </w:r>
      <w:r w:rsidR="00336386" w:rsidRPr="00717F31">
        <w:rPr>
          <w:kern w:val="22"/>
          <w:szCs w:val="22"/>
        </w:rPr>
        <w:t xml:space="preserve"> the expert’s objective </w:t>
      </w:r>
      <w:r w:rsidR="00757851" w:rsidRPr="00717F31">
        <w:rPr>
          <w:kern w:val="22"/>
          <w:szCs w:val="22"/>
        </w:rPr>
        <w:t xml:space="preserve">and independent </w:t>
      </w:r>
      <w:r w:rsidR="00336386" w:rsidRPr="00717F31">
        <w:rPr>
          <w:kern w:val="22"/>
          <w:szCs w:val="22"/>
        </w:rPr>
        <w:t>judgment</w:t>
      </w:r>
      <w:r w:rsidR="00760544" w:rsidRPr="00717F31">
        <w:rPr>
          <w:kern w:val="22"/>
          <w:szCs w:val="22"/>
        </w:rPr>
        <w:t>)</w:t>
      </w:r>
      <w:r w:rsidR="00DD5FBB" w:rsidRPr="00717F31">
        <w:rPr>
          <w:kern w:val="22"/>
          <w:szCs w:val="22"/>
        </w:rPr>
        <w:t xml:space="preserve">. </w:t>
      </w:r>
      <w:r w:rsidR="00810BDE" w:rsidRPr="00717F31">
        <w:rPr>
          <w:kern w:val="22"/>
          <w:szCs w:val="22"/>
        </w:rPr>
        <w:t xml:space="preserve">If the declaration raises potential concerns, </w:t>
      </w:r>
      <w:r w:rsidR="00DD5FBB" w:rsidRPr="00717F31">
        <w:rPr>
          <w:kern w:val="22"/>
          <w:szCs w:val="22"/>
        </w:rPr>
        <w:t>the Secretariat may seek further information from the expert</w:t>
      </w:r>
      <w:r w:rsidR="00810BDE" w:rsidRPr="00717F31">
        <w:rPr>
          <w:kern w:val="22"/>
          <w:szCs w:val="22"/>
        </w:rPr>
        <w:t>, directly, or through the Party or observer concerned</w:t>
      </w:r>
      <w:r w:rsidR="00DD5FBB" w:rsidRPr="00717F31">
        <w:rPr>
          <w:kern w:val="22"/>
          <w:szCs w:val="22"/>
        </w:rPr>
        <w:t>.</w:t>
      </w:r>
    </w:p>
    <w:p w:rsidR="00760544" w:rsidRPr="00717F31" w:rsidRDefault="00336386" w:rsidP="00717F31">
      <w:pPr>
        <w:spacing w:before="120" w:after="120"/>
        <w:ind w:left="720" w:hanging="720"/>
        <w:rPr>
          <w:kern w:val="22"/>
          <w:szCs w:val="22"/>
        </w:rPr>
      </w:pPr>
      <w:r w:rsidRPr="00717F31">
        <w:rPr>
          <w:kern w:val="22"/>
          <w:szCs w:val="22"/>
        </w:rPr>
        <w:t>4.3</w:t>
      </w:r>
      <w:r w:rsidRPr="00717F31">
        <w:rPr>
          <w:kern w:val="22"/>
          <w:szCs w:val="22"/>
        </w:rPr>
        <w:tab/>
      </w:r>
      <w:r w:rsidR="00242740" w:rsidRPr="00717F31">
        <w:rPr>
          <w:kern w:val="22"/>
          <w:szCs w:val="22"/>
        </w:rPr>
        <w:t xml:space="preserve">The Secretariat should, in consultation with the Bureau, determine the </w:t>
      </w:r>
      <w:r w:rsidR="00560D71" w:rsidRPr="00717F31">
        <w:rPr>
          <w:kern w:val="22"/>
          <w:szCs w:val="22"/>
        </w:rPr>
        <w:t>nominees</w:t>
      </w:r>
      <w:r w:rsidR="00242740" w:rsidRPr="00717F31">
        <w:rPr>
          <w:kern w:val="22"/>
          <w:szCs w:val="22"/>
        </w:rPr>
        <w:t xml:space="preserve"> to be selected </w:t>
      </w:r>
      <w:r w:rsidR="00C96880" w:rsidRPr="00717F31">
        <w:rPr>
          <w:kern w:val="22"/>
          <w:szCs w:val="22"/>
        </w:rPr>
        <w:t xml:space="preserve">and invited </w:t>
      </w:r>
      <w:r w:rsidR="00242740" w:rsidRPr="00717F31">
        <w:rPr>
          <w:kern w:val="22"/>
          <w:szCs w:val="22"/>
        </w:rPr>
        <w:t>to serve as members of the expert group</w:t>
      </w:r>
      <w:r w:rsidR="0056014C" w:rsidRPr="00717F31">
        <w:rPr>
          <w:kern w:val="22"/>
          <w:szCs w:val="22"/>
        </w:rPr>
        <w:t xml:space="preserve"> </w:t>
      </w:r>
      <w:r w:rsidR="0056014C" w:rsidRPr="00717F31">
        <w:rPr>
          <w:kern w:val="22"/>
          <w:szCs w:val="22"/>
        </w:rPr>
        <w:t>concerned</w:t>
      </w:r>
      <w:r w:rsidR="00C96880" w:rsidRPr="00717F31">
        <w:rPr>
          <w:kern w:val="22"/>
          <w:szCs w:val="22"/>
        </w:rPr>
        <w:t xml:space="preserve"> on</w:t>
      </w:r>
      <w:r w:rsidR="0016407C" w:rsidRPr="00717F31">
        <w:rPr>
          <w:kern w:val="22"/>
          <w:szCs w:val="22"/>
        </w:rPr>
        <w:t xml:space="preserve"> the basis of</w:t>
      </w:r>
      <w:r w:rsidR="00C96880" w:rsidRPr="00717F31">
        <w:rPr>
          <w:kern w:val="22"/>
          <w:szCs w:val="22"/>
        </w:rPr>
        <w:t>: (</w:t>
      </w:r>
      <w:r w:rsidR="007F00F0" w:rsidRPr="00717F31">
        <w:rPr>
          <w:kern w:val="22"/>
          <w:szCs w:val="22"/>
        </w:rPr>
        <w:t>a</w:t>
      </w:r>
      <w:r w:rsidR="00C96880" w:rsidRPr="00717F31">
        <w:rPr>
          <w:kern w:val="22"/>
          <w:szCs w:val="22"/>
        </w:rPr>
        <w:t>) the terms of reference of the expert group; (</w:t>
      </w:r>
      <w:r w:rsidR="007F00F0" w:rsidRPr="00717F31">
        <w:rPr>
          <w:kern w:val="22"/>
          <w:szCs w:val="22"/>
        </w:rPr>
        <w:t>b</w:t>
      </w:r>
      <w:r w:rsidR="00C96880" w:rsidRPr="00717F31">
        <w:rPr>
          <w:kern w:val="22"/>
          <w:szCs w:val="22"/>
        </w:rPr>
        <w:t xml:space="preserve">) the criteria </w:t>
      </w:r>
      <w:r w:rsidR="00560D71" w:rsidRPr="00717F31">
        <w:rPr>
          <w:kern w:val="22"/>
          <w:szCs w:val="22"/>
        </w:rPr>
        <w:t xml:space="preserve">that may be </w:t>
      </w:r>
      <w:r w:rsidR="00C96880" w:rsidRPr="00717F31">
        <w:rPr>
          <w:kern w:val="22"/>
          <w:szCs w:val="22"/>
        </w:rPr>
        <w:t xml:space="preserve">set </w:t>
      </w:r>
      <w:r w:rsidR="00560D71" w:rsidRPr="00717F31">
        <w:rPr>
          <w:kern w:val="22"/>
          <w:szCs w:val="22"/>
        </w:rPr>
        <w:t xml:space="preserve">out </w:t>
      </w:r>
      <w:r w:rsidR="00C96880" w:rsidRPr="00717F31">
        <w:rPr>
          <w:kern w:val="22"/>
          <w:szCs w:val="22"/>
        </w:rPr>
        <w:t>in the</w:t>
      </w:r>
      <w:r w:rsidR="00560D71" w:rsidRPr="00717F31">
        <w:rPr>
          <w:kern w:val="22"/>
          <w:szCs w:val="22"/>
        </w:rPr>
        <w:t xml:space="preserve"> </w:t>
      </w:r>
      <w:r w:rsidR="00C96880" w:rsidRPr="00717F31">
        <w:rPr>
          <w:kern w:val="22"/>
          <w:szCs w:val="22"/>
        </w:rPr>
        <w:t>notification for nominations; and (</w:t>
      </w:r>
      <w:r w:rsidR="007F00F0" w:rsidRPr="00717F31">
        <w:rPr>
          <w:kern w:val="22"/>
          <w:szCs w:val="22"/>
        </w:rPr>
        <w:t>c</w:t>
      </w:r>
      <w:r w:rsidR="00C96880" w:rsidRPr="00717F31">
        <w:rPr>
          <w:kern w:val="22"/>
          <w:szCs w:val="22"/>
        </w:rPr>
        <w:t xml:space="preserve">) the review of information received through the </w:t>
      </w:r>
      <w:r w:rsidR="00767105" w:rsidRPr="00717F31">
        <w:rPr>
          <w:kern w:val="22"/>
          <w:szCs w:val="22"/>
        </w:rPr>
        <w:t xml:space="preserve">conflict </w:t>
      </w:r>
      <w:r w:rsidR="00C96880" w:rsidRPr="00717F31">
        <w:rPr>
          <w:kern w:val="22"/>
          <w:szCs w:val="22"/>
        </w:rPr>
        <w:t xml:space="preserve">of </w:t>
      </w:r>
      <w:r w:rsidR="00767105" w:rsidRPr="00717F31">
        <w:rPr>
          <w:kern w:val="22"/>
          <w:szCs w:val="22"/>
        </w:rPr>
        <w:t>interest disclosure form</w:t>
      </w:r>
      <w:r w:rsidR="00757851" w:rsidRPr="00717F31">
        <w:rPr>
          <w:kern w:val="22"/>
          <w:szCs w:val="22"/>
        </w:rPr>
        <w:t>.</w:t>
      </w:r>
      <w:r w:rsidR="00760544" w:rsidRPr="00717F31">
        <w:rPr>
          <w:kern w:val="22"/>
          <w:szCs w:val="22"/>
        </w:rPr>
        <w:t xml:space="preserve"> </w:t>
      </w:r>
      <w:r w:rsidR="007F68C1" w:rsidRPr="00717F31">
        <w:rPr>
          <w:kern w:val="22"/>
          <w:szCs w:val="22"/>
        </w:rPr>
        <w:t xml:space="preserve">As far as is possible, </w:t>
      </w:r>
      <w:r w:rsidR="00B13A01" w:rsidRPr="00717F31">
        <w:rPr>
          <w:kern w:val="22"/>
          <w:szCs w:val="22"/>
        </w:rPr>
        <w:t xml:space="preserve">expert groups </w:t>
      </w:r>
      <w:r w:rsidR="00760544" w:rsidRPr="00717F31">
        <w:rPr>
          <w:kern w:val="22"/>
          <w:szCs w:val="22"/>
        </w:rPr>
        <w:t>should be constituted so as to avoid conflicts of interest.</w:t>
      </w:r>
    </w:p>
    <w:p w:rsidR="00760544" w:rsidRPr="00717F31" w:rsidRDefault="00760544" w:rsidP="00717F31">
      <w:pPr>
        <w:spacing w:before="120" w:after="120"/>
        <w:ind w:left="720" w:hanging="720"/>
        <w:rPr>
          <w:kern w:val="22"/>
          <w:szCs w:val="22"/>
        </w:rPr>
      </w:pPr>
      <w:r w:rsidRPr="00717F31">
        <w:rPr>
          <w:kern w:val="22"/>
          <w:szCs w:val="22"/>
        </w:rPr>
        <w:t xml:space="preserve">4.4 </w:t>
      </w:r>
      <w:r w:rsidRPr="00717F31">
        <w:rPr>
          <w:kern w:val="22"/>
          <w:szCs w:val="22"/>
        </w:rPr>
        <w:tab/>
        <w:t>In situations where</w:t>
      </w:r>
      <w:r w:rsidR="004D4696" w:rsidRPr="00717F31">
        <w:rPr>
          <w:kern w:val="22"/>
          <w:szCs w:val="22"/>
        </w:rPr>
        <w:t>in</w:t>
      </w:r>
      <w:r w:rsidRPr="00717F31">
        <w:rPr>
          <w:kern w:val="22"/>
          <w:szCs w:val="22"/>
        </w:rPr>
        <w:t xml:space="preserve"> it is impossible or impractical to constitute </w:t>
      </w:r>
      <w:r w:rsidR="007F68C1" w:rsidRPr="00717F31">
        <w:rPr>
          <w:kern w:val="22"/>
          <w:szCs w:val="22"/>
        </w:rPr>
        <w:t xml:space="preserve">an </w:t>
      </w:r>
      <w:r w:rsidR="00B13A01" w:rsidRPr="00717F31">
        <w:rPr>
          <w:kern w:val="22"/>
          <w:szCs w:val="22"/>
        </w:rPr>
        <w:t xml:space="preserve">expert group </w:t>
      </w:r>
      <w:r w:rsidRPr="00717F31">
        <w:rPr>
          <w:kern w:val="22"/>
          <w:szCs w:val="22"/>
        </w:rPr>
        <w:t xml:space="preserve">with the full range of expertise required for it to carry out its mandate </w:t>
      </w:r>
      <w:r w:rsidR="004D4696" w:rsidRPr="00717F31">
        <w:rPr>
          <w:kern w:val="22"/>
          <w:szCs w:val="22"/>
        </w:rPr>
        <w:t xml:space="preserve">effectively </w:t>
      </w:r>
      <w:r w:rsidRPr="00717F31">
        <w:rPr>
          <w:kern w:val="22"/>
          <w:szCs w:val="22"/>
        </w:rPr>
        <w:t xml:space="preserve">without including individual experts who </w:t>
      </w:r>
      <w:r w:rsidR="00293A35" w:rsidRPr="00717F31">
        <w:rPr>
          <w:kern w:val="22"/>
          <w:szCs w:val="22"/>
        </w:rPr>
        <w:t xml:space="preserve">are otherwise qualified but </w:t>
      </w:r>
      <w:r w:rsidRPr="00717F31">
        <w:rPr>
          <w:kern w:val="22"/>
          <w:szCs w:val="22"/>
        </w:rPr>
        <w:t>may have a potential conflict of interest, the Secretariat</w:t>
      </w:r>
      <w:r w:rsidR="00293A35" w:rsidRPr="00717F31">
        <w:rPr>
          <w:kern w:val="22"/>
          <w:szCs w:val="22"/>
        </w:rPr>
        <w:t xml:space="preserve">, in consultation with the </w:t>
      </w:r>
      <w:r w:rsidR="00E42FDB" w:rsidRPr="00717F31">
        <w:rPr>
          <w:kern w:val="22"/>
          <w:szCs w:val="22"/>
        </w:rPr>
        <w:t>B</w:t>
      </w:r>
      <w:r w:rsidR="00293A35" w:rsidRPr="00717F31">
        <w:rPr>
          <w:kern w:val="22"/>
          <w:szCs w:val="22"/>
        </w:rPr>
        <w:t>ureau,</w:t>
      </w:r>
      <w:r w:rsidRPr="00717F31">
        <w:rPr>
          <w:kern w:val="22"/>
          <w:szCs w:val="22"/>
        </w:rPr>
        <w:t xml:space="preserve"> may </w:t>
      </w:r>
      <w:r w:rsidR="00293A35" w:rsidRPr="00717F31">
        <w:rPr>
          <w:kern w:val="22"/>
          <w:szCs w:val="22"/>
        </w:rPr>
        <w:t>include such experts in the group provided that: (</w:t>
      </w:r>
      <w:r w:rsidR="007F00F0" w:rsidRPr="00717F31">
        <w:rPr>
          <w:kern w:val="22"/>
          <w:szCs w:val="22"/>
        </w:rPr>
        <w:t>a</w:t>
      </w:r>
      <w:r w:rsidR="00293A35" w:rsidRPr="00717F31">
        <w:rPr>
          <w:kern w:val="22"/>
          <w:szCs w:val="22"/>
        </w:rPr>
        <w:t>) there is a balance of such potential interests; (</w:t>
      </w:r>
      <w:r w:rsidR="007F00F0" w:rsidRPr="00717F31">
        <w:rPr>
          <w:kern w:val="22"/>
          <w:szCs w:val="22"/>
        </w:rPr>
        <w:t>b</w:t>
      </w:r>
      <w:r w:rsidR="00293A35" w:rsidRPr="00717F31">
        <w:rPr>
          <w:kern w:val="22"/>
          <w:szCs w:val="22"/>
        </w:rPr>
        <w:t xml:space="preserve">) the experts agree to make information </w:t>
      </w:r>
      <w:r w:rsidR="00810BDE" w:rsidRPr="00717F31">
        <w:rPr>
          <w:kern w:val="22"/>
          <w:szCs w:val="22"/>
        </w:rPr>
        <w:t xml:space="preserve">concerning the potential conflict of interest </w:t>
      </w:r>
      <w:r w:rsidR="00293A35" w:rsidRPr="00717F31">
        <w:rPr>
          <w:kern w:val="22"/>
          <w:szCs w:val="22"/>
        </w:rPr>
        <w:t>publicly available; and (</w:t>
      </w:r>
      <w:r w:rsidR="007F00F0" w:rsidRPr="00717F31">
        <w:rPr>
          <w:kern w:val="22"/>
          <w:szCs w:val="22"/>
        </w:rPr>
        <w:t>c</w:t>
      </w:r>
      <w:r w:rsidR="00293A35" w:rsidRPr="00717F31">
        <w:rPr>
          <w:kern w:val="22"/>
          <w:szCs w:val="22"/>
        </w:rPr>
        <w:t>) the expert</w:t>
      </w:r>
      <w:r w:rsidR="00A72D6A" w:rsidRPr="00717F31">
        <w:rPr>
          <w:kern w:val="22"/>
          <w:szCs w:val="22"/>
        </w:rPr>
        <w:t>s</w:t>
      </w:r>
      <w:r w:rsidR="00293A35" w:rsidRPr="00717F31">
        <w:rPr>
          <w:kern w:val="22"/>
          <w:szCs w:val="22"/>
        </w:rPr>
        <w:t xml:space="preserve"> agree</w:t>
      </w:r>
      <w:r w:rsidR="00810BDE" w:rsidRPr="00717F31">
        <w:rPr>
          <w:kern w:val="22"/>
          <w:szCs w:val="22"/>
        </w:rPr>
        <w:t xml:space="preserve"> </w:t>
      </w:r>
      <w:r w:rsidR="00293A35" w:rsidRPr="00717F31">
        <w:rPr>
          <w:kern w:val="22"/>
          <w:szCs w:val="22"/>
        </w:rPr>
        <w:t>to endeavo</w:t>
      </w:r>
      <w:r w:rsidR="00954990" w:rsidRPr="00717F31">
        <w:rPr>
          <w:kern w:val="22"/>
          <w:szCs w:val="22"/>
        </w:rPr>
        <w:t>u</w:t>
      </w:r>
      <w:r w:rsidR="00293A35" w:rsidRPr="00717F31">
        <w:rPr>
          <w:kern w:val="22"/>
          <w:szCs w:val="22"/>
        </w:rPr>
        <w:t xml:space="preserve">r </w:t>
      </w:r>
      <w:r w:rsidR="00810BDE" w:rsidRPr="00717F31">
        <w:rPr>
          <w:kern w:val="22"/>
          <w:szCs w:val="22"/>
        </w:rPr>
        <w:t>to</w:t>
      </w:r>
      <w:r w:rsidR="00293A35" w:rsidRPr="00717F31">
        <w:rPr>
          <w:kern w:val="22"/>
          <w:szCs w:val="22"/>
        </w:rPr>
        <w:t xml:space="preserve"> </w:t>
      </w:r>
      <w:r w:rsidR="00810BDE" w:rsidRPr="00717F31">
        <w:rPr>
          <w:kern w:val="22"/>
          <w:szCs w:val="22"/>
        </w:rPr>
        <w:t xml:space="preserve">contribute to the work of the group </w:t>
      </w:r>
      <w:r w:rsidR="00293A35" w:rsidRPr="00717F31">
        <w:rPr>
          <w:kern w:val="22"/>
          <w:szCs w:val="22"/>
        </w:rPr>
        <w:t>with objectivity</w:t>
      </w:r>
      <w:r w:rsidR="00D25322" w:rsidRPr="00717F31">
        <w:rPr>
          <w:kern w:val="22"/>
          <w:szCs w:val="22"/>
        </w:rPr>
        <w:t>, and to recuse herself/himself where this is not po</w:t>
      </w:r>
      <w:r w:rsidR="005653ED" w:rsidRPr="00717F31">
        <w:rPr>
          <w:kern w:val="22"/>
          <w:szCs w:val="22"/>
        </w:rPr>
        <w:t>ssible or in doubt</w:t>
      </w:r>
      <w:r w:rsidR="00293A35" w:rsidRPr="00717F31">
        <w:rPr>
          <w:kern w:val="22"/>
          <w:szCs w:val="22"/>
        </w:rPr>
        <w:t>.</w:t>
      </w:r>
    </w:p>
    <w:p w:rsidR="009E0F1E" w:rsidRPr="00717F31" w:rsidRDefault="009E0F1E" w:rsidP="00717F31">
      <w:pPr>
        <w:spacing w:before="120" w:after="120"/>
        <w:ind w:left="720" w:hanging="720"/>
        <w:rPr>
          <w:kern w:val="22"/>
          <w:szCs w:val="22"/>
        </w:rPr>
      </w:pPr>
      <w:r w:rsidRPr="00717F31">
        <w:rPr>
          <w:kern w:val="22"/>
          <w:szCs w:val="22"/>
        </w:rPr>
        <w:t>4.4</w:t>
      </w:r>
      <w:r w:rsidRPr="00717F31">
        <w:rPr>
          <w:kern w:val="22"/>
          <w:szCs w:val="22"/>
        </w:rPr>
        <w:tab/>
        <w:t>I</w:t>
      </w:r>
      <w:r w:rsidR="009B7E3F" w:rsidRPr="00717F31">
        <w:rPr>
          <w:kern w:val="22"/>
          <w:szCs w:val="22"/>
        </w:rPr>
        <w:t xml:space="preserve">f the </w:t>
      </w:r>
      <w:r w:rsidRPr="00717F31">
        <w:rPr>
          <w:kern w:val="22"/>
          <w:szCs w:val="22"/>
        </w:rPr>
        <w:t xml:space="preserve">situation of an expert </w:t>
      </w:r>
      <w:r w:rsidR="009B7E3F" w:rsidRPr="00717F31">
        <w:rPr>
          <w:kern w:val="22"/>
          <w:szCs w:val="22"/>
        </w:rPr>
        <w:t>change</w:t>
      </w:r>
      <w:r w:rsidR="00293A35" w:rsidRPr="00717F31">
        <w:rPr>
          <w:kern w:val="22"/>
          <w:szCs w:val="22"/>
        </w:rPr>
        <w:t>s</w:t>
      </w:r>
      <w:r w:rsidR="009B7E3F" w:rsidRPr="00717F31">
        <w:rPr>
          <w:kern w:val="22"/>
          <w:szCs w:val="22"/>
        </w:rPr>
        <w:t xml:space="preserve"> </w:t>
      </w:r>
      <w:r w:rsidR="00C36C29" w:rsidRPr="00717F31">
        <w:rPr>
          <w:kern w:val="22"/>
          <w:szCs w:val="22"/>
        </w:rPr>
        <w:t xml:space="preserve">during the mandate of the expert group </w:t>
      </w:r>
      <w:r w:rsidR="00293A35" w:rsidRPr="00717F31">
        <w:rPr>
          <w:kern w:val="22"/>
          <w:szCs w:val="22"/>
        </w:rPr>
        <w:t>and the Secretariat is so informed</w:t>
      </w:r>
      <w:r w:rsidR="00C2557F" w:rsidRPr="00717F31">
        <w:rPr>
          <w:kern w:val="22"/>
          <w:szCs w:val="22"/>
        </w:rPr>
        <w:t>,</w:t>
      </w:r>
      <w:r w:rsidR="00293A35" w:rsidRPr="00717F31">
        <w:rPr>
          <w:kern w:val="22"/>
          <w:szCs w:val="22"/>
        </w:rPr>
        <w:t xml:space="preserve"> </w:t>
      </w:r>
      <w:r w:rsidR="009B7E3F" w:rsidRPr="00717F31">
        <w:rPr>
          <w:kern w:val="22"/>
          <w:szCs w:val="22"/>
        </w:rPr>
        <w:t>as specified in paragraph 2.4 above</w:t>
      </w:r>
      <w:r w:rsidR="00293A35" w:rsidRPr="00717F31">
        <w:rPr>
          <w:kern w:val="22"/>
          <w:szCs w:val="22"/>
        </w:rPr>
        <w:t>,</w:t>
      </w:r>
      <w:r w:rsidR="009B7E3F" w:rsidRPr="00717F31">
        <w:rPr>
          <w:kern w:val="22"/>
          <w:szCs w:val="22"/>
        </w:rPr>
        <w:t xml:space="preserve"> or when the Secretariat observes a conflict of interest situation </w:t>
      </w:r>
      <w:r w:rsidR="00C150AE" w:rsidRPr="00717F31">
        <w:rPr>
          <w:kern w:val="22"/>
          <w:szCs w:val="22"/>
        </w:rPr>
        <w:t xml:space="preserve">from </w:t>
      </w:r>
      <w:r w:rsidR="000124C6" w:rsidRPr="00717F31">
        <w:rPr>
          <w:kern w:val="22"/>
          <w:szCs w:val="22"/>
        </w:rPr>
        <w:t xml:space="preserve">the actions of </w:t>
      </w:r>
      <w:r w:rsidR="009B7E3F" w:rsidRPr="00717F31">
        <w:rPr>
          <w:kern w:val="22"/>
          <w:szCs w:val="22"/>
        </w:rPr>
        <w:t>an expert</w:t>
      </w:r>
      <w:r w:rsidR="000124C6" w:rsidRPr="00717F31">
        <w:rPr>
          <w:kern w:val="22"/>
          <w:szCs w:val="22"/>
        </w:rPr>
        <w:t>,</w:t>
      </w:r>
      <w:r w:rsidR="009B7E3F" w:rsidRPr="00717F31">
        <w:rPr>
          <w:kern w:val="22"/>
          <w:szCs w:val="22"/>
        </w:rPr>
        <w:t xml:space="preserve"> the Secretariat </w:t>
      </w:r>
      <w:r w:rsidR="00293A35" w:rsidRPr="00717F31">
        <w:rPr>
          <w:kern w:val="22"/>
          <w:szCs w:val="22"/>
        </w:rPr>
        <w:t>will</w:t>
      </w:r>
      <w:r w:rsidR="009B7E3F" w:rsidRPr="00717F31">
        <w:rPr>
          <w:kern w:val="22"/>
          <w:szCs w:val="22"/>
        </w:rPr>
        <w:t>, in consultation with the chairperson of the expert group, bring the case to the attention of the relevant Bureau</w:t>
      </w:r>
      <w:r w:rsidR="00C36C29" w:rsidRPr="00717F31">
        <w:rPr>
          <w:kern w:val="22"/>
          <w:szCs w:val="22"/>
        </w:rPr>
        <w:t xml:space="preserve"> for its guidance</w:t>
      </w:r>
      <w:r w:rsidR="009B7E3F" w:rsidRPr="00717F31">
        <w:rPr>
          <w:kern w:val="22"/>
          <w:szCs w:val="22"/>
        </w:rPr>
        <w:t>.</w:t>
      </w:r>
    </w:p>
    <w:p w:rsidR="00B22FEB" w:rsidRPr="00717F31" w:rsidRDefault="00B22FEB" w:rsidP="00717F31">
      <w:pPr>
        <w:spacing w:before="240" w:after="120"/>
        <w:jc w:val="center"/>
        <w:rPr>
          <w:bCs/>
          <w:i/>
          <w:kern w:val="22"/>
          <w:szCs w:val="22"/>
        </w:rPr>
      </w:pPr>
      <w:r w:rsidRPr="00717F31">
        <w:rPr>
          <w:bCs/>
          <w:i/>
          <w:kern w:val="22"/>
          <w:szCs w:val="22"/>
        </w:rPr>
        <w:t>Appendix</w:t>
      </w:r>
      <w:r w:rsidR="00293A35" w:rsidRPr="00717F31">
        <w:rPr>
          <w:rStyle w:val="FootnoteReference"/>
          <w:bCs/>
          <w:kern w:val="22"/>
          <w:sz w:val="22"/>
          <w:szCs w:val="22"/>
        </w:rPr>
        <w:footnoteReference w:id="24"/>
      </w:r>
    </w:p>
    <w:p w:rsidR="00293A35" w:rsidRPr="00717F31" w:rsidRDefault="00B22FEB" w:rsidP="00717F31">
      <w:pPr>
        <w:pStyle w:val="HEADING"/>
        <w:spacing w:before="120"/>
        <w:rPr>
          <w:rFonts w:ascii="Times New Roman Bold" w:hAnsi="Times New Roman Bold" w:cs="Times New Roman Bold"/>
          <w:kern w:val="22"/>
          <w:szCs w:val="22"/>
        </w:rPr>
      </w:pPr>
      <w:r w:rsidRPr="00717F31">
        <w:rPr>
          <w:rFonts w:ascii="Times New Roman Bold" w:hAnsi="Times New Roman Bold" w:cs="Times New Roman Bold"/>
          <w:kern w:val="22"/>
          <w:szCs w:val="22"/>
        </w:rPr>
        <w:t xml:space="preserve">Conflict of </w:t>
      </w:r>
      <w:r w:rsidR="006904DE" w:rsidRPr="00717F31">
        <w:rPr>
          <w:rFonts w:ascii="Times New Roman Bold" w:hAnsi="Times New Roman Bold" w:cs="Times New Roman Bold"/>
          <w:kern w:val="22"/>
          <w:szCs w:val="22"/>
        </w:rPr>
        <w:t>interest disclosure form</w:t>
      </w:r>
    </w:p>
    <w:p w:rsidR="00B22FEB" w:rsidRPr="00717F31" w:rsidRDefault="00B22FEB" w:rsidP="00717F31">
      <w:pPr>
        <w:spacing w:before="120" w:after="120"/>
        <w:rPr>
          <w:kern w:val="22"/>
          <w:szCs w:val="22"/>
        </w:rPr>
      </w:pPr>
      <w:r w:rsidRPr="00717F31">
        <w:rPr>
          <w:kern w:val="22"/>
          <w:szCs w:val="22"/>
        </w:rPr>
        <w:t xml:space="preserve">Please sign and date the last page of this form and return it to the Executive Secretary of the </w:t>
      </w:r>
      <w:r w:rsidR="002F109B" w:rsidRPr="00717F31">
        <w:rPr>
          <w:kern w:val="22"/>
          <w:szCs w:val="22"/>
        </w:rPr>
        <w:t>Convention on Biological Diversity</w:t>
      </w:r>
      <w:r w:rsidRPr="00717F31">
        <w:rPr>
          <w:kern w:val="22"/>
          <w:szCs w:val="22"/>
        </w:rPr>
        <w:t>. Kindly retain a copy for your records.</w:t>
      </w:r>
    </w:p>
    <w:p w:rsidR="003A2311" w:rsidRPr="00717F31" w:rsidRDefault="00B22FEB" w:rsidP="00717F31">
      <w:pPr>
        <w:spacing w:before="120" w:after="120"/>
        <w:rPr>
          <w:kern w:val="22"/>
          <w:szCs w:val="22"/>
        </w:rPr>
      </w:pPr>
      <w:r w:rsidRPr="00717F31">
        <w:rPr>
          <w:b/>
          <w:kern w:val="22"/>
          <w:szCs w:val="22"/>
        </w:rPr>
        <w:t>Note:</w:t>
      </w:r>
      <w:r w:rsidR="00DF625F" w:rsidRPr="00717F31">
        <w:rPr>
          <w:kern w:val="22"/>
          <w:szCs w:val="22"/>
        </w:rPr>
        <w:t xml:space="preserve"> You have been nominated and provisionally identified</w:t>
      </w:r>
      <w:r w:rsidRPr="00717F31">
        <w:rPr>
          <w:kern w:val="22"/>
          <w:szCs w:val="22"/>
        </w:rPr>
        <w:t xml:space="preserve"> to serve as an expert in the </w:t>
      </w:r>
      <w:r w:rsidR="002D3CEF" w:rsidRPr="00717F31">
        <w:rPr>
          <w:kern w:val="22"/>
          <w:szCs w:val="22"/>
          <w:u w:val="single"/>
        </w:rPr>
        <w:t>[</w:t>
      </w:r>
      <w:r w:rsidR="00015FE8" w:rsidRPr="00717F31">
        <w:rPr>
          <w:kern w:val="22"/>
          <w:szCs w:val="22"/>
          <w:u w:val="single"/>
        </w:rPr>
        <w:t xml:space="preserve">name </w:t>
      </w:r>
      <w:r w:rsidR="002D3CEF" w:rsidRPr="00717F31">
        <w:rPr>
          <w:kern w:val="22"/>
          <w:szCs w:val="22"/>
          <w:u w:val="single"/>
        </w:rPr>
        <w:t xml:space="preserve">or description of the </w:t>
      </w:r>
      <w:r w:rsidR="00015FE8" w:rsidRPr="00717F31">
        <w:rPr>
          <w:kern w:val="22"/>
          <w:szCs w:val="22"/>
          <w:u w:val="single"/>
        </w:rPr>
        <w:t>expert group</w:t>
      </w:r>
      <w:r w:rsidR="002F109B" w:rsidRPr="00717F31">
        <w:rPr>
          <w:kern w:val="22"/>
          <w:szCs w:val="22"/>
          <w:u w:val="single"/>
        </w:rPr>
        <w:t>]</w:t>
      </w:r>
      <w:r w:rsidRPr="00717F31">
        <w:rPr>
          <w:kern w:val="22"/>
          <w:szCs w:val="22"/>
        </w:rPr>
        <w:t xml:space="preserve"> because of your professional standing and expertise. As outlined in the </w:t>
      </w:r>
      <w:r w:rsidR="00B13A01" w:rsidRPr="00717F31">
        <w:rPr>
          <w:kern w:val="22"/>
          <w:szCs w:val="22"/>
        </w:rPr>
        <w:t>p</w:t>
      </w:r>
      <w:r w:rsidR="00293A35" w:rsidRPr="00717F31">
        <w:rPr>
          <w:kern w:val="22"/>
          <w:szCs w:val="22"/>
        </w:rPr>
        <w:t xml:space="preserve">rocedure for avoiding or managing conflicts of interest </w:t>
      </w:r>
      <w:r w:rsidR="002F109B" w:rsidRPr="00717F31">
        <w:rPr>
          <w:kern w:val="22"/>
          <w:szCs w:val="22"/>
        </w:rPr>
        <w:t>(decision</w:t>
      </w:r>
      <w:r w:rsidR="00614189" w:rsidRPr="00717F31">
        <w:rPr>
          <w:kern w:val="22"/>
          <w:szCs w:val="22"/>
        </w:rPr>
        <w:t>…</w:t>
      </w:r>
      <w:r w:rsidR="002F109B" w:rsidRPr="00717F31">
        <w:rPr>
          <w:kern w:val="22"/>
          <w:szCs w:val="22"/>
        </w:rPr>
        <w:t>…)</w:t>
      </w:r>
      <w:r w:rsidR="00A020C9" w:rsidRPr="00717F31">
        <w:rPr>
          <w:kern w:val="22"/>
          <w:szCs w:val="22"/>
        </w:rPr>
        <w:t>,</w:t>
      </w:r>
      <w:r w:rsidR="002F109B" w:rsidRPr="00717F31">
        <w:rPr>
          <w:kern w:val="22"/>
          <w:szCs w:val="22"/>
        </w:rPr>
        <w:t xml:space="preserve"> you are expected to avoid situations that might affect your objective judgment and independen</w:t>
      </w:r>
      <w:r w:rsidR="003A2311" w:rsidRPr="00717F31">
        <w:rPr>
          <w:kern w:val="22"/>
          <w:szCs w:val="22"/>
        </w:rPr>
        <w:t xml:space="preserve">ce in making </w:t>
      </w:r>
      <w:r w:rsidR="00A020C9" w:rsidRPr="00717F31">
        <w:rPr>
          <w:kern w:val="22"/>
          <w:szCs w:val="22"/>
        </w:rPr>
        <w:t xml:space="preserve">a </w:t>
      </w:r>
      <w:r w:rsidR="002F109B" w:rsidRPr="00717F31">
        <w:rPr>
          <w:kern w:val="22"/>
          <w:szCs w:val="22"/>
        </w:rPr>
        <w:t xml:space="preserve">contribution to </w:t>
      </w:r>
      <w:r w:rsidRPr="00717F31">
        <w:rPr>
          <w:kern w:val="22"/>
          <w:szCs w:val="22"/>
        </w:rPr>
        <w:t xml:space="preserve">the </w:t>
      </w:r>
      <w:r w:rsidR="003A2311" w:rsidRPr="00717F31">
        <w:rPr>
          <w:kern w:val="22"/>
          <w:szCs w:val="22"/>
        </w:rPr>
        <w:t xml:space="preserve">work of the Expert Group. </w:t>
      </w:r>
      <w:r w:rsidRPr="00717F31">
        <w:rPr>
          <w:kern w:val="22"/>
          <w:szCs w:val="22"/>
        </w:rPr>
        <w:t xml:space="preserve">Disclosure of certain matters is therefore </w:t>
      </w:r>
      <w:r w:rsidR="003A2311" w:rsidRPr="00717F31">
        <w:rPr>
          <w:kern w:val="22"/>
          <w:szCs w:val="22"/>
        </w:rPr>
        <w:t xml:space="preserve">necessary </w:t>
      </w:r>
      <w:r w:rsidRPr="00717F31">
        <w:rPr>
          <w:kern w:val="22"/>
          <w:szCs w:val="22"/>
        </w:rPr>
        <w:t xml:space="preserve">to ensure that the work of the </w:t>
      </w:r>
      <w:r w:rsidR="003A2311" w:rsidRPr="00717F31">
        <w:rPr>
          <w:kern w:val="22"/>
          <w:szCs w:val="22"/>
        </w:rPr>
        <w:t xml:space="preserve">Expert Group </w:t>
      </w:r>
      <w:r w:rsidRPr="00717F31">
        <w:rPr>
          <w:kern w:val="22"/>
          <w:szCs w:val="22"/>
        </w:rPr>
        <w:t>is not compromised by conflict</w:t>
      </w:r>
      <w:r w:rsidR="00416BEB" w:rsidRPr="00717F31">
        <w:rPr>
          <w:kern w:val="22"/>
          <w:szCs w:val="22"/>
        </w:rPr>
        <w:t>s</w:t>
      </w:r>
      <w:r w:rsidRPr="00717F31">
        <w:rPr>
          <w:kern w:val="22"/>
          <w:szCs w:val="22"/>
        </w:rPr>
        <w:t xml:space="preserve"> of interest. We are reliant on your professionalism, common sense and honesty in filling out this form.</w:t>
      </w:r>
    </w:p>
    <w:p w:rsidR="00B22FEB" w:rsidRPr="00717F31" w:rsidRDefault="00B22FEB" w:rsidP="00717F31">
      <w:pPr>
        <w:spacing w:before="120" w:after="120"/>
        <w:rPr>
          <w:kern w:val="22"/>
          <w:szCs w:val="22"/>
        </w:rPr>
      </w:pPr>
      <w:r w:rsidRPr="00717F31">
        <w:rPr>
          <w:kern w:val="22"/>
          <w:szCs w:val="22"/>
        </w:rPr>
        <w:t xml:space="preserve">You </w:t>
      </w:r>
      <w:r w:rsidR="003A2311" w:rsidRPr="00717F31">
        <w:rPr>
          <w:kern w:val="22"/>
          <w:szCs w:val="22"/>
        </w:rPr>
        <w:t>are required to</w:t>
      </w:r>
      <w:r w:rsidRPr="00717F31">
        <w:rPr>
          <w:kern w:val="22"/>
          <w:szCs w:val="22"/>
        </w:rPr>
        <w:t xml:space="preserve"> disclose interests that are significant and relevant and relate or have the appearance of relating to your </w:t>
      </w:r>
      <w:r w:rsidR="003A2311" w:rsidRPr="00717F31">
        <w:rPr>
          <w:kern w:val="22"/>
          <w:szCs w:val="22"/>
        </w:rPr>
        <w:t>role in the Expert Group</w:t>
      </w:r>
      <w:r w:rsidRPr="00717F31">
        <w:rPr>
          <w:kern w:val="22"/>
          <w:szCs w:val="22"/>
        </w:rPr>
        <w:t xml:space="preserve"> that could:</w:t>
      </w:r>
    </w:p>
    <w:p w:rsidR="00B22FEB" w:rsidRPr="00717F31" w:rsidRDefault="00B22FEB" w:rsidP="00717F31">
      <w:pPr>
        <w:spacing w:before="120" w:after="120"/>
        <w:ind w:firstLine="720"/>
        <w:rPr>
          <w:kern w:val="22"/>
          <w:szCs w:val="22"/>
        </w:rPr>
      </w:pPr>
      <w:r w:rsidRPr="00717F31">
        <w:rPr>
          <w:kern w:val="22"/>
          <w:szCs w:val="22"/>
        </w:rPr>
        <w:t>(</w:t>
      </w:r>
      <w:r w:rsidR="00AC3622" w:rsidRPr="00717F31">
        <w:rPr>
          <w:kern w:val="22"/>
          <w:szCs w:val="22"/>
        </w:rPr>
        <w:t>a</w:t>
      </w:r>
      <w:r w:rsidRPr="00717F31">
        <w:rPr>
          <w:kern w:val="22"/>
          <w:szCs w:val="22"/>
        </w:rPr>
        <w:t>)</w:t>
      </w:r>
      <w:r w:rsidR="00AC3622" w:rsidRPr="00717F31">
        <w:rPr>
          <w:kern w:val="22"/>
          <w:szCs w:val="22"/>
        </w:rPr>
        <w:tab/>
      </w:r>
      <w:r w:rsidRPr="00717F31">
        <w:rPr>
          <w:kern w:val="22"/>
          <w:szCs w:val="22"/>
        </w:rPr>
        <w:t xml:space="preserve">Significantly impair your objectivity in carrying out your duties and responsibilities </w:t>
      </w:r>
      <w:r w:rsidR="003A2311" w:rsidRPr="00717F31">
        <w:rPr>
          <w:kern w:val="22"/>
          <w:szCs w:val="22"/>
        </w:rPr>
        <w:t>as a member of the Expert Group</w:t>
      </w:r>
      <w:r w:rsidRPr="00717F31">
        <w:rPr>
          <w:kern w:val="22"/>
          <w:szCs w:val="22"/>
        </w:rPr>
        <w:t>;</w:t>
      </w:r>
    </w:p>
    <w:p w:rsidR="00B22FEB" w:rsidRPr="00717F31" w:rsidRDefault="00B22FEB" w:rsidP="00717F31">
      <w:pPr>
        <w:spacing w:before="120" w:after="120"/>
        <w:ind w:firstLine="720"/>
        <w:rPr>
          <w:kern w:val="22"/>
          <w:szCs w:val="22"/>
        </w:rPr>
      </w:pPr>
      <w:r w:rsidRPr="00717F31">
        <w:rPr>
          <w:kern w:val="22"/>
          <w:szCs w:val="22"/>
        </w:rPr>
        <w:lastRenderedPageBreak/>
        <w:t>(</w:t>
      </w:r>
      <w:r w:rsidR="00AC3622" w:rsidRPr="00717F31">
        <w:rPr>
          <w:kern w:val="22"/>
          <w:szCs w:val="22"/>
        </w:rPr>
        <w:t>b</w:t>
      </w:r>
      <w:r w:rsidRPr="00717F31">
        <w:rPr>
          <w:kern w:val="22"/>
          <w:szCs w:val="22"/>
        </w:rPr>
        <w:t>)</w:t>
      </w:r>
      <w:r w:rsidR="00AC3622" w:rsidRPr="00717F31">
        <w:rPr>
          <w:kern w:val="22"/>
          <w:szCs w:val="22"/>
        </w:rPr>
        <w:tab/>
      </w:r>
      <w:r w:rsidRPr="00717F31">
        <w:rPr>
          <w:kern w:val="22"/>
          <w:szCs w:val="22"/>
        </w:rPr>
        <w:t xml:space="preserve">Create an unfair advantage for you or any person or organization and which could result in you securing a direct and material gain </w:t>
      </w:r>
      <w:r w:rsidR="003A2311" w:rsidRPr="00717F31">
        <w:rPr>
          <w:kern w:val="22"/>
          <w:szCs w:val="22"/>
        </w:rPr>
        <w:t xml:space="preserve">from a specific </w:t>
      </w:r>
      <w:r w:rsidRPr="00717F31">
        <w:rPr>
          <w:kern w:val="22"/>
          <w:szCs w:val="22"/>
        </w:rPr>
        <w:t xml:space="preserve">outcome </w:t>
      </w:r>
      <w:r w:rsidR="003A2311" w:rsidRPr="00717F31">
        <w:rPr>
          <w:kern w:val="22"/>
          <w:szCs w:val="22"/>
        </w:rPr>
        <w:t>in the work of the Expert Group</w:t>
      </w:r>
      <w:r w:rsidRPr="00717F31">
        <w:rPr>
          <w:kern w:val="22"/>
          <w:szCs w:val="22"/>
        </w:rPr>
        <w:t>.</w:t>
      </w:r>
    </w:p>
    <w:p w:rsidR="00644C74" w:rsidRPr="00717F31" w:rsidRDefault="00B22FEB" w:rsidP="00717F31">
      <w:pPr>
        <w:spacing w:before="120" w:after="120"/>
        <w:rPr>
          <w:kern w:val="22"/>
          <w:szCs w:val="22"/>
        </w:rPr>
      </w:pPr>
      <w:r w:rsidRPr="00717F31">
        <w:rPr>
          <w:kern w:val="22"/>
          <w:szCs w:val="22"/>
        </w:rPr>
        <w:t xml:space="preserve">For the purposes of this </w:t>
      </w:r>
      <w:r w:rsidR="008B28B2" w:rsidRPr="00717F31">
        <w:rPr>
          <w:kern w:val="22"/>
          <w:szCs w:val="22"/>
        </w:rPr>
        <w:t>requirement</w:t>
      </w:r>
      <w:r w:rsidRPr="00717F31">
        <w:rPr>
          <w:kern w:val="22"/>
          <w:szCs w:val="22"/>
        </w:rPr>
        <w:t>, circumstances that could lead a reasonable person to question your objectivity, or whether an unfair advantage has been created, constitute a potential conflict of interest and should be disclosed on this form. Disclosure of an interest on this form does not automatically mean that a conflict exists or that you will be unable to p</w:t>
      </w:r>
      <w:r w:rsidR="008B28B2" w:rsidRPr="00717F31">
        <w:rPr>
          <w:kern w:val="22"/>
          <w:szCs w:val="22"/>
        </w:rPr>
        <w:t>articipate in the work of the Expert Group</w:t>
      </w:r>
      <w:r w:rsidRPr="00717F31">
        <w:rPr>
          <w:kern w:val="22"/>
          <w:szCs w:val="22"/>
        </w:rPr>
        <w:t>. If you are in any doubt about whether an interest should be disclosed, you are encouraged to disclose such interest.</w:t>
      </w:r>
    </w:p>
    <w:p w:rsidR="00293A35" w:rsidRPr="00717F31" w:rsidRDefault="00293A35" w:rsidP="00717F31">
      <w:pPr>
        <w:spacing w:before="120" w:after="120"/>
        <w:rPr>
          <w:kern w:val="22"/>
          <w:szCs w:val="22"/>
        </w:rPr>
      </w:pPr>
      <w:r w:rsidRPr="00717F31">
        <w:rPr>
          <w:kern w:val="22"/>
          <w:szCs w:val="22"/>
        </w:rPr>
        <w:t>The contents of this form will remain confidential to the Secretariat unless otherwise agreed by the expert completing the form.</w:t>
      </w:r>
    </w:p>
    <w:p w:rsidR="001349AE" w:rsidRPr="00717F31" w:rsidRDefault="001349AE" w:rsidP="00717F31">
      <w:pPr>
        <w:spacing w:before="120" w:after="120"/>
        <w:jc w:val="center"/>
        <w:rPr>
          <w:b/>
          <w:kern w:val="22"/>
          <w:szCs w:val="22"/>
        </w:rPr>
      </w:pPr>
      <w:r w:rsidRPr="00717F31">
        <w:rPr>
          <w:b/>
          <w:kern w:val="22"/>
          <w:szCs w:val="22"/>
        </w:rPr>
        <w:t>Conflict of Interest Disclosure Form</w:t>
      </w:r>
    </w:p>
    <w:p w:rsidR="001349AE" w:rsidRPr="00717F31" w:rsidRDefault="001349AE" w:rsidP="00717F31">
      <w:pPr>
        <w:spacing w:before="120" w:after="120"/>
        <w:jc w:val="center"/>
        <w:rPr>
          <w:b/>
          <w:kern w:val="22"/>
          <w:szCs w:val="22"/>
        </w:rPr>
      </w:pPr>
      <w:r w:rsidRPr="00717F31">
        <w:rPr>
          <w:kern w:val="22"/>
          <w:szCs w:val="22"/>
        </w:rPr>
        <w:t>(Confidential after completed, unless otherwise agreed by the person completing the form)</w:t>
      </w:r>
    </w:p>
    <w:p w:rsidR="008B28B2" w:rsidRPr="00717F31" w:rsidRDefault="008B28B2" w:rsidP="00717F31">
      <w:pPr>
        <w:spacing w:before="120" w:after="120"/>
        <w:rPr>
          <w:kern w:val="22"/>
          <w:szCs w:val="22"/>
        </w:rPr>
      </w:pPr>
      <w:r w:rsidRPr="00717F31">
        <w:rPr>
          <w:kern w:val="22"/>
          <w:szCs w:val="22"/>
        </w:rPr>
        <w:t>NAME: ___________________________________________________________________________</w:t>
      </w:r>
    </w:p>
    <w:p w:rsidR="008B28B2" w:rsidRPr="00717F31" w:rsidRDefault="008B28B2" w:rsidP="00717F31">
      <w:pPr>
        <w:spacing w:before="120" w:after="120"/>
        <w:rPr>
          <w:kern w:val="22"/>
          <w:szCs w:val="22"/>
        </w:rPr>
      </w:pPr>
      <w:r w:rsidRPr="00717F31">
        <w:rPr>
          <w:kern w:val="22"/>
          <w:szCs w:val="22"/>
        </w:rPr>
        <w:t>ADDRESS: ________________________________________________________________________</w:t>
      </w:r>
    </w:p>
    <w:p w:rsidR="008B28B2" w:rsidRPr="00717F31" w:rsidRDefault="008B28B2" w:rsidP="00717F31">
      <w:pPr>
        <w:spacing w:before="120" w:after="120"/>
        <w:rPr>
          <w:kern w:val="22"/>
          <w:szCs w:val="22"/>
        </w:rPr>
      </w:pPr>
      <w:r w:rsidRPr="00717F31">
        <w:rPr>
          <w:kern w:val="22"/>
          <w:szCs w:val="22"/>
        </w:rPr>
        <w:tab/>
        <w:t>___________________________________________________________________________</w:t>
      </w:r>
    </w:p>
    <w:p w:rsidR="008B28B2" w:rsidRPr="00717F31" w:rsidRDefault="008B28B2" w:rsidP="00717F31">
      <w:pPr>
        <w:spacing w:before="120" w:after="120"/>
        <w:rPr>
          <w:kern w:val="22"/>
          <w:szCs w:val="22"/>
        </w:rPr>
      </w:pPr>
      <w:r w:rsidRPr="00717F31">
        <w:rPr>
          <w:kern w:val="22"/>
          <w:szCs w:val="22"/>
        </w:rPr>
        <w:t>TELEPHONE: _________________________ EMAIL ADDRESS: ___________________________</w:t>
      </w:r>
    </w:p>
    <w:p w:rsidR="008B28B2" w:rsidRPr="00717F31" w:rsidRDefault="008B28B2" w:rsidP="00717F31">
      <w:pPr>
        <w:spacing w:before="120" w:after="120"/>
        <w:rPr>
          <w:kern w:val="22"/>
          <w:szCs w:val="22"/>
        </w:rPr>
      </w:pPr>
      <w:r w:rsidRPr="00717F31">
        <w:rPr>
          <w:kern w:val="22"/>
          <w:szCs w:val="22"/>
        </w:rPr>
        <w:t>CURRENT EMPLOYER: ____________________________________________________________</w:t>
      </w:r>
    </w:p>
    <w:p w:rsidR="008B28B2" w:rsidRPr="00717F31" w:rsidRDefault="008B28B2" w:rsidP="00717F31">
      <w:pPr>
        <w:spacing w:before="120" w:after="120"/>
        <w:rPr>
          <w:kern w:val="22"/>
          <w:szCs w:val="22"/>
        </w:rPr>
      </w:pPr>
      <w:r w:rsidRPr="00717F31">
        <w:rPr>
          <w:kern w:val="22"/>
          <w:szCs w:val="22"/>
        </w:rPr>
        <w:t>NOMINATED BY: _____________________________________________________________</w:t>
      </w:r>
    </w:p>
    <w:p w:rsidR="008B28B2" w:rsidRPr="00717F31" w:rsidRDefault="001C6F69" w:rsidP="00277493">
      <w:pPr>
        <w:tabs>
          <w:tab w:val="center" w:pos="4680"/>
        </w:tabs>
        <w:spacing w:before="120" w:after="120"/>
        <w:rPr>
          <w:snapToGrid w:val="0"/>
          <w:kern w:val="22"/>
          <w:szCs w:val="22"/>
        </w:rPr>
      </w:pPr>
      <w:r w:rsidRPr="00717F31">
        <w:rPr>
          <w:snapToGrid w:val="0"/>
          <w:kern w:val="22"/>
          <w:szCs w:val="22"/>
        </w:rPr>
        <w:t>1</w:t>
      </w:r>
      <w:r w:rsidR="00224A76" w:rsidRPr="00717F31">
        <w:rPr>
          <w:snapToGrid w:val="0"/>
          <w:kern w:val="22"/>
          <w:szCs w:val="22"/>
        </w:rPr>
        <w:t>.</w:t>
      </w:r>
      <w:r w:rsidR="008B28B2" w:rsidRPr="00717F31">
        <w:rPr>
          <w:snapToGrid w:val="0"/>
          <w:kern w:val="22"/>
          <w:szCs w:val="22"/>
        </w:rPr>
        <w:t xml:space="preserve"> Are you involved in any significant and relevant professional activities that might be considered as constituting a conflict of interest?</w:t>
      </w:r>
    </w:p>
    <w:p w:rsidR="008B28B2" w:rsidRPr="00717F31" w:rsidRDefault="008B28B2">
      <w:pPr>
        <w:tabs>
          <w:tab w:val="center" w:pos="4680"/>
        </w:tabs>
        <w:spacing w:before="120" w:after="120"/>
        <w:rPr>
          <w:snapToGrid w:val="0"/>
          <w:kern w:val="22"/>
          <w:szCs w:val="22"/>
        </w:rPr>
      </w:pPr>
      <w:r w:rsidRPr="00717F31">
        <w:rPr>
          <w:snapToGrid w:val="0"/>
          <w:kern w:val="22"/>
          <w:szCs w:val="22"/>
        </w:rPr>
        <w:t>___ Yes ____ No (if yes, please give details below</w:t>
      </w:r>
      <w:r w:rsidR="00313B33" w:rsidRPr="00717F31">
        <w:rPr>
          <w:snapToGrid w:val="0"/>
          <w:kern w:val="22"/>
          <w:szCs w:val="22"/>
        </w:rPr>
        <w:t>)</w:t>
      </w:r>
    </w:p>
    <w:p w:rsidR="008B28B2" w:rsidRPr="00717F31" w:rsidRDefault="008B28B2">
      <w:pPr>
        <w:tabs>
          <w:tab w:val="center" w:pos="4680"/>
        </w:tabs>
        <w:spacing w:before="120" w:after="120"/>
        <w:rPr>
          <w:snapToGrid w:val="0"/>
          <w:kern w:val="22"/>
          <w:szCs w:val="22"/>
        </w:rPr>
      </w:pPr>
      <w:r w:rsidRPr="00717F31">
        <w:rPr>
          <w:snapToGrid w:val="0"/>
          <w:kern w:val="22"/>
          <w:szCs w:val="22"/>
        </w:rPr>
        <w:t>___________________________________________________________________________</w:t>
      </w:r>
    </w:p>
    <w:p w:rsidR="00541C9A" w:rsidRPr="00717F31" w:rsidRDefault="008B28B2">
      <w:pPr>
        <w:tabs>
          <w:tab w:val="center" w:pos="4680"/>
        </w:tabs>
        <w:spacing w:before="120" w:after="120"/>
        <w:rPr>
          <w:snapToGrid w:val="0"/>
          <w:kern w:val="22"/>
          <w:szCs w:val="22"/>
        </w:rPr>
      </w:pPr>
      <w:r w:rsidRPr="00717F31">
        <w:rPr>
          <w:snapToGrid w:val="0"/>
          <w:kern w:val="22"/>
          <w:szCs w:val="22"/>
        </w:rPr>
        <w:t xml:space="preserve">Please list significant and relevant </w:t>
      </w:r>
      <w:r w:rsidR="00541C9A" w:rsidRPr="00717F31">
        <w:rPr>
          <w:snapToGrid w:val="0"/>
          <w:kern w:val="22"/>
          <w:szCs w:val="22"/>
        </w:rPr>
        <w:t xml:space="preserve">professional </w:t>
      </w:r>
      <w:r w:rsidRPr="00717F31">
        <w:rPr>
          <w:snapToGrid w:val="0"/>
          <w:kern w:val="22"/>
          <w:szCs w:val="22"/>
        </w:rPr>
        <w:t xml:space="preserve">and other non-financial interests that relate or may have the appearance of relating to your duties </w:t>
      </w:r>
      <w:r w:rsidR="001C6F69" w:rsidRPr="00717F31">
        <w:rPr>
          <w:snapToGrid w:val="0"/>
          <w:kern w:val="22"/>
          <w:szCs w:val="22"/>
        </w:rPr>
        <w:t>in the</w:t>
      </w:r>
      <w:r w:rsidRPr="00717F31">
        <w:rPr>
          <w:snapToGrid w:val="0"/>
          <w:kern w:val="22"/>
          <w:szCs w:val="22"/>
        </w:rPr>
        <w:t xml:space="preserve"> </w:t>
      </w:r>
      <w:r w:rsidR="00541C9A" w:rsidRPr="00717F31">
        <w:rPr>
          <w:snapToGrid w:val="0"/>
          <w:kern w:val="22"/>
          <w:szCs w:val="22"/>
        </w:rPr>
        <w:t>Expert Group</w:t>
      </w:r>
      <w:r w:rsidRPr="00717F31">
        <w:rPr>
          <w:snapToGrid w:val="0"/>
          <w:kern w:val="22"/>
          <w:szCs w:val="22"/>
        </w:rPr>
        <w:t xml:space="preserve"> and could be interpreted as:</w:t>
      </w:r>
    </w:p>
    <w:p w:rsidR="00541C9A" w:rsidRPr="00717F31" w:rsidRDefault="003E3C6E">
      <w:pPr>
        <w:tabs>
          <w:tab w:val="center" w:pos="4680"/>
        </w:tabs>
        <w:spacing w:before="120" w:after="120"/>
        <w:ind w:left="709"/>
        <w:rPr>
          <w:snapToGrid w:val="0"/>
          <w:kern w:val="22"/>
          <w:szCs w:val="22"/>
        </w:rPr>
      </w:pPr>
      <w:r w:rsidRPr="00717F31">
        <w:rPr>
          <w:snapToGrid w:val="0"/>
          <w:kern w:val="22"/>
          <w:szCs w:val="22"/>
        </w:rPr>
        <w:tab/>
      </w:r>
      <w:r w:rsidR="00541C9A" w:rsidRPr="00717F31">
        <w:rPr>
          <w:snapToGrid w:val="0"/>
          <w:kern w:val="22"/>
          <w:szCs w:val="22"/>
        </w:rPr>
        <w:t>(i) Significantly impairing your objectivity in carrying out your duties and responsibilities in the Expert Group;</w:t>
      </w:r>
    </w:p>
    <w:p w:rsidR="00541C9A" w:rsidRPr="00717F31" w:rsidRDefault="00541C9A">
      <w:pPr>
        <w:tabs>
          <w:tab w:val="center" w:pos="4680"/>
        </w:tabs>
        <w:spacing w:before="120" w:after="120"/>
        <w:ind w:left="709"/>
        <w:rPr>
          <w:snapToGrid w:val="0"/>
          <w:kern w:val="22"/>
          <w:szCs w:val="22"/>
        </w:rPr>
      </w:pPr>
      <w:r w:rsidRPr="00717F31">
        <w:rPr>
          <w:snapToGrid w:val="0"/>
          <w:kern w:val="22"/>
          <w:szCs w:val="22"/>
        </w:rPr>
        <w:t>(ii) Creating an unfair advantage for you or any person or organization. This might include, but is not limited to, membership on the boards of advocacy groups.</w:t>
      </w:r>
    </w:p>
    <w:p w:rsidR="00541C9A" w:rsidRPr="00717F31" w:rsidRDefault="003E3C6E">
      <w:pPr>
        <w:tabs>
          <w:tab w:val="center" w:pos="4680"/>
        </w:tabs>
        <w:spacing w:before="120" w:after="120"/>
        <w:rPr>
          <w:snapToGrid w:val="0"/>
          <w:kern w:val="22"/>
          <w:szCs w:val="22"/>
        </w:rPr>
      </w:pPr>
      <w:r w:rsidRPr="00717F31">
        <w:rPr>
          <w:snapToGrid w:val="0"/>
          <w:kern w:val="22"/>
          <w:szCs w:val="22"/>
        </w:rPr>
        <w:t>2</w:t>
      </w:r>
      <w:r w:rsidR="00224A76" w:rsidRPr="00717F31">
        <w:rPr>
          <w:snapToGrid w:val="0"/>
          <w:kern w:val="22"/>
          <w:szCs w:val="22"/>
        </w:rPr>
        <w:t>.</w:t>
      </w:r>
      <w:r w:rsidR="00541C9A" w:rsidRPr="00717F31">
        <w:rPr>
          <w:snapToGrid w:val="0"/>
          <w:kern w:val="22"/>
          <w:szCs w:val="22"/>
        </w:rPr>
        <w:t xml:space="preserve"> Do you have any significant and relevant financial interests in the subject matter of the work in which you will be involved that might be considered as constituting a conflict of interest?</w:t>
      </w:r>
    </w:p>
    <w:p w:rsidR="00541C9A" w:rsidRPr="00717F31" w:rsidRDefault="00541C9A">
      <w:pPr>
        <w:tabs>
          <w:tab w:val="center" w:pos="4680"/>
        </w:tabs>
        <w:spacing w:before="120" w:after="120"/>
        <w:rPr>
          <w:snapToGrid w:val="0"/>
          <w:kern w:val="22"/>
          <w:szCs w:val="22"/>
        </w:rPr>
      </w:pPr>
      <w:r w:rsidRPr="00717F31">
        <w:rPr>
          <w:snapToGrid w:val="0"/>
          <w:kern w:val="22"/>
          <w:szCs w:val="22"/>
        </w:rPr>
        <w:t>___ Yes ____ No (if yes, please give details below)</w:t>
      </w:r>
    </w:p>
    <w:p w:rsidR="00541C9A" w:rsidRPr="00717F31" w:rsidRDefault="00F10802">
      <w:pPr>
        <w:tabs>
          <w:tab w:val="center" w:pos="4680"/>
        </w:tabs>
        <w:spacing w:before="120" w:after="120"/>
        <w:rPr>
          <w:snapToGrid w:val="0"/>
          <w:kern w:val="22"/>
          <w:szCs w:val="22"/>
        </w:rPr>
      </w:pPr>
      <w:r w:rsidRPr="00717F31">
        <w:rPr>
          <w:snapToGrid w:val="0"/>
          <w:kern w:val="22"/>
          <w:szCs w:val="22"/>
        </w:rPr>
        <w:t>__________________________________________________________________________</w:t>
      </w:r>
    </w:p>
    <w:p w:rsidR="00541C9A" w:rsidRPr="00717F31" w:rsidRDefault="00541C9A" w:rsidP="00717F31">
      <w:pPr>
        <w:tabs>
          <w:tab w:val="center" w:pos="4680"/>
        </w:tabs>
        <w:spacing w:before="120" w:after="120"/>
        <w:rPr>
          <w:snapToGrid w:val="0"/>
          <w:kern w:val="22"/>
          <w:szCs w:val="22"/>
        </w:rPr>
      </w:pPr>
      <w:r w:rsidRPr="00717F31">
        <w:rPr>
          <w:snapToGrid w:val="0"/>
          <w:kern w:val="22"/>
          <w:szCs w:val="22"/>
        </w:rPr>
        <w:t xml:space="preserve">Please list significant and relevant financial interests that relate or may have the appearance of relating to your duties for the </w:t>
      </w:r>
      <w:r w:rsidR="00882929" w:rsidRPr="00717F31">
        <w:rPr>
          <w:snapToGrid w:val="0"/>
          <w:kern w:val="22"/>
          <w:szCs w:val="22"/>
        </w:rPr>
        <w:t>Secretariat</w:t>
      </w:r>
      <w:r w:rsidR="00882929" w:rsidRPr="00717F31">
        <w:rPr>
          <w:snapToGrid w:val="0"/>
          <w:kern w:val="22"/>
          <w:szCs w:val="22"/>
        </w:rPr>
        <w:t xml:space="preserve"> </w:t>
      </w:r>
      <w:r w:rsidRPr="00717F31">
        <w:rPr>
          <w:snapToGrid w:val="0"/>
          <w:kern w:val="22"/>
          <w:szCs w:val="22"/>
        </w:rPr>
        <w:t>and could be interpreted as:</w:t>
      </w:r>
    </w:p>
    <w:p w:rsidR="00541C9A" w:rsidRPr="00717F31" w:rsidRDefault="00541C9A">
      <w:pPr>
        <w:tabs>
          <w:tab w:val="center" w:pos="4680"/>
        </w:tabs>
        <w:spacing w:before="120" w:after="120"/>
        <w:ind w:left="709"/>
        <w:rPr>
          <w:snapToGrid w:val="0"/>
          <w:kern w:val="22"/>
          <w:szCs w:val="22"/>
        </w:rPr>
      </w:pPr>
      <w:r w:rsidRPr="00717F31">
        <w:rPr>
          <w:snapToGrid w:val="0"/>
          <w:kern w:val="22"/>
          <w:szCs w:val="22"/>
        </w:rPr>
        <w:t xml:space="preserve">(i) </w:t>
      </w:r>
      <w:r w:rsidRPr="00717F31">
        <w:rPr>
          <w:snapToGrid w:val="0"/>
          <w:kern w:val="22"/>
          <w:szCs w:val="22"/>
        </w:rPr>
        <w:tab/>
        <w:t xml:space="preserve">Significantly impairing your objectivity in carrying out your </w:t>
      </w:r>
      <w:r w:rsidR="001C6F69" w:rsidRPr="00717F31">
        <w:rPr>
          <w:snapToGrid w:val="0"/>
          <w:kern w:val="22"/>
          <w:szCs w:val="22"/>
        </w:rPr>
        <w:t>duties and responsibilities in the Expert Group</w:t>
      </w:r>
      <w:r w:rsidRPr="00717F31">
        <w:rPr>
          <w:snapToGrid w:val="0"/>
          <w:kern w:val="22"/>
          <w:szCs w:val="22"/>
        </w:rPr>
        <w:t>;</w:t>
      </w:r>
    </w:p>
    <w:p w:rsidR="00F10802" w:rsidRPr="00717F31" w:rsidRDefault="00541C9A">
      <w:pPr>
        <w:tabs>
          <w:tab w:val="center" w:pos="4680"/>
        </w:tabs>
        <w:spacing w:before="120" w:after="120"/>
        <w:ind w:left="709"/>
        <w:rPr>
          <w:snapToGrid w:val="0"/>
          <w:kern w:val="22"/>
          <w:szCs w:val="22"/>
        </w:rPr>
      </w:pPr>
      <w:r w:rsidRPr="00717F31">
        <w:rPr>
          <w:snapToGrid w:val="0"/>
          <w:kern w:val="22"/>
          <w:szCs w:val="22"/>
        </w:rPr>
        <w:t>(ii) Creating an unfair advantage for you or any person or organization. These may include employment relationships, consulting relationships, financial investments, intellectual property interests and commercial interests and sources of private-sector research support.</w:t>
      </w:r>
    </w:p>
    <w:p w:rsidR="00541C9A" w:rsidRPr="00717F31" w:rsidRDefault="003E3C6E">
      <w:pPr>
        <w:tabs>
          <w:tab w:val="center" w:pos="4680"/>
        </w:tabs>
        <w:spacing w:before="120" w:after="120"/>
        <w:rPr>
          <w:snapToGrid w:val="0"/>
          <w:kern w:val="22"/>
          <w:szCs w:val="22"/>
        </w:rPr>
      </w:pPr>
      <w:r w:rsidRPr="00717F31">
        <w:rPr>
          <w:snapToGrid w:val="0"/>
          <w:kern w:val="22"/>
          <w:szCs w:val="22"/>
        </w:rPr>
        <w:t>3</w:t>
      </w:r>
      <w:r w:rsidR="00224A76" w:rsidRPr="00717F31">
        <w:rPr>
          <w:snapToGrid w:val="0"/>
          <w:kern w:val="22"/>
          <w:szCs w:val="22"/>
        </w:rPr>
        <w:t>.</w:t>
      </w:r>
      <w:r w:rsidRPr="00717F31">
        <w:rPr>
          <w:snapToGrid w:val="0"/>
          <w:kern w:val="22"/>
          <w:szCs w:val="22"/>
        </w:rPr>
        <w:tab/>
      </w:r>
      <w:r w:rsidR="00F10802" w:rsidRPr="00717F31">
        <w:rPr>
          <w:snapToGrid w:val="0"/>
          <w:kern w:val="22"/>
          <w:szCs w:val="22"/>
        </w:rPr>
        <w:t xml:space="preserve"> Is there any other interest that could affect your objectivity or independence in the work in which you will be involved?</w:t>
      </w:r>
    </w:p>
    <w:p w:rsidR="00F10802" w:rsidRPr="00717F31" w:rsidRDefault="00F10802">
      <w:pPr>
        <w:tabs>
          <w:tab w:val="center" w:pos="4680"/>
        </w:tabs>
        <w:spacing w:before="120" w:after="120"/>
        <w:rPr>
          <w:snapToGrid w:val="0"/>
          <w:kern w:val="22"/>
          <w:szCs w:val="22"/>
        </w:rPr>
      </w:pPr>
      <w:r w:rsidRPr="00717F31">
        <w:rPr>
          <w:snapToGrid w:val="0"/>
          <w:kern w:val="22"/>
          <w:szCs w:val="22"/>
        </w:rPr>
        <w:t>___ Yes ____ No (if yes, please give details below)</w:t>
      </w:r>
    </w:p>
    <w:p w:rsidR="00F10802" w:rsidRPr="00717F31" w:rsidRDefault="00F10802">
      <w:pPr>
        <w:tabs>
          <w:tab w:val="center" w:pos="4680"/>
        </w:tabs>
        <w:spacing w:before="120" w:after="120"/>
        <w:rPr>
          <w:snapToGrid w:val="0"/>
          <w:kern w:val="22"/>
          <w:szCs w:val="22"/>
        </w:rPr>
      </w:pPr>
      <w:r w:rsidRPr="00717F31">
        <w:rPr>
          <w:snapToGrid w:val="0"/>
          <w:kern w:val="22"/>
          <w:szCs w:val="22"/>
        </w:rPr>
        <w:lastRenderedPageBreak/>
        <w:t>______________________________________</w:t>
      </w:r>
      <w:r w:rsidR="008B28B2" w:rsidRPr="00717F31">
        <w:rPr>
          <w:snapToGrid w:val="0"/>
          <w:kern w:val="22"/>
          <w:szCs w:val="22"/>
        </w:rPr>
        <w:tab/>
      </w:r>
      <w:r w:rsidR="00CA6B87" w:rsidRPr="00717F31">
        <w:rPr>
          <w:snapToGrid w:val="0"/>
          <w:kern w:val="22"/>
          <w:szCs w:val="22"/>
        </w:rPr>
        <w:t>__________</w:t>
      </w:r>
      <w:r w:rsidRPr="00717F31">
        <w:rPr>
          <w:snapToGrid w:val="0"/>
          <w:kern w:val="22"/>
          <w:szCs w:val="22"/>
        </w:rPr>
        <w:t>___________________________________</w:t>
      </w:r>
    </w:p>
    <w:p w:rsidR="00736BC2" w:rsidRPr="00717F31" w:rsidRDefault="00F10802">
      <w:pPr>
        <w:spacing w:before="120" w:after="120"/>
        <w:jc w:val="left"/>
        <w:rPr>
          <w:snapToGrid w:val="0"/>
          <w:kern w:val="22"/>
          <w:szCs w:val="22"/>
        </w:rPr>
      </w:pPr>
      <w:r w:rsidRPr="00717F31">
        <w:rPr>
          <w:snapToGrid w:val="0"/>
          <w:kern w:val="22"/>
          <w:szCs w:val="22"/>
        </w:rPr>
        <w:t xml:space="preserve">Further details (if </w:t>
      </w:r>
      <w:r w:rsidR="00935640" w:rsidRPr="00717F31">
        <w:rPr>
          <w:snapToGrid w:val="0"/>
          <w:kern w:val="22"/>
          <w:szCs w:val="22"/>
        </w:rPr>
        <w:t xml:space="preserve">you </w:t>
      </w:r>
      <w:r w:rsidRPr="00717F31">
        <w:rPr>
          <w:snapToGrid w:val="0"/>
          <w:kern w:val="22"/>
          <w:szCs w:val="22"/>
        </w:rPr>
        <w:t>answered “yes” to any of the questions 1–3 above):</w:t>
      </w:r>
    </w:p>
    <w:p w:rsidR="00F10802" w:rsidRPr="00717F31" w:rsidRDefault="00F10802">
      <w:pPr>
        <w:spacing w:before="120" w:after="120"/>
        <w:jc w:val="left"/>
        <w:rPr>
          <w:snapToGrid w:val="0"/>
          <w:kern w:val="22"/>
          <w:szCs w:val="22"/>
        </w:rPr>
      </w:pPr>
      <w:r w:rsidRPr="00717F31">
        <w:rPr>
          <w:snapToGrid w:val="0"/>
          <w:kern w:val="22"/>
          <w:szCs w:val="22"/>
        </w:rPr>
        <w:t>____________________________________________________________________________________</w:t>
      </w:r>
    </w:p>
    <w:p w:rsidR="00F10802" w:rsidRPr="00717F31" w:rsidRDefault="00F10802" w:rsidP="00717F31">
      <w:pPr>
        <w:spacing w:before="120" w:after="120"/>
        <w:jc w:val="left"/>
        <w:rPr>
          <w:snapToGrid w:val="0"/>
          <w:kern w:val="22"/>
          <w:szCs w:val="22"/>
        </w:rPr>
      </w:pPr>
      <w:r w:rsidRPr="00717F31">
        <w:rPr>
          <w:snapToGrid w:val="0"/>
          <w:kern w:val="22"/>
          <w:szCs w:val="22"/>
        </w:rPr>
        <w:t xml:space="preserve">I hereby declare to the best of my knowledge that </w:t>
      </w:r>
      <w:r w:rsidR="00140175" w:rsidRPr="00717F31">
        <w:rPr>
          <w:snapToGrid w:val="0"/>
          <w:kern w:val="22"/>
          <w:szCs w:val="22"/>
        </w:rPr>
        <w:t xml:space="preserve">the </w:t>
      </w:r>
      <w:r w:rsidRPr="00717F31">
        <w:rPr>
          <w:snapToGrid w:val="0"/>
          <w:kern w:val="22"/>
          <w:szCs w:val="22"/>
        </w:rPr>
        <w:t xml:space="preserve">information </w:t>
      </w:r>
      <w:r w:rsidR="00140175" w:rsidRPr="00717F31">
        <w:rPr>
          <w:snapToGrid w:val="0"/>
          <w:kern w:val="22"/>
          <w:szCs w:val="22"/>
        </w:rPr>
        <w:t>disclosed</w:t>
      </w:r>
      <w:r w:rsidR="009A1698" w:rsidRPr="00717F31">
        <w:rPr>
          <w:snapToGrid w:val="0"/>
          <w:kern w:val="22"/>
          <w:szCs w:val="22"/>
        </w:rPr>
        <w:t xml:space="preserve"> herein</w:t>
      </w:r>
      <w:r w:rsidR="00140175" w:rsidRPr="00717F31">
        <w:rPr>
          <w:snapToGrid w:val="0"/>
          <w:kern w:val="22"/>
          <w:szCs w:val="22"/>
        </w:rPr>
        <w:t xml:space="preserve"> </w:t>
      </w:r>
      <w:r w:rsidRPr="00717F31">
        <w:rPr>
          <w:snapToGrid w:val="0"/>
          <w:kern w:val="22"/>
          <w:szCs w:val="22"/>
        </w:rPr>
        <w:t>is complete and correct. I</w:t>
      </w:r>
      <w:r w:rsidR="00B41CED" w:rsidRPr="00717F31">
        <w:rPr>
          <w:snapToGrid w:val="0"/>
          <w:kern w:val="22"/>
          <w:szCs w:val="22"/>
        </w:rPr>
        <w:t> </w:t>
      </w:r>
      <w:r w:rsidRPr="00717F31">
        <w:rPr>
          <w:snapToGrid w:val="0"/>
          <w:kern w:val="22"/>
          <w:szCs w:val="22"/>
        </w:rPr>
        <w:t xml:space="preserve">undertake to inform the </w:t>
      </w:r>
      <w:r w:rsidR="003E3C6E" w:rsidRPr="00717F31">
        <w:rPr>
          <w:snapToGrid w:val="0"/>
          <w:kern w:val="22"/>
          <w:szCs w:val="22"/>
        </w:rPr>
        <w:t>S</w:t>
      </w:r>
      <w:r w:rsidRPr="00717F31">
        <w:rPr>
          <w:snapToGrid w:val="0"/>
          <w:kern w:val="22"/>
          <w:szCs w:val="22"/>
        </w:rPr>
        <w:t xml:space="preserve">ecretariat immediately </w:t>
      </w:r>
      <w:r w:rsidR="00B41CED" w:rsidRPr="00717F31">
        <w:rPr>
          <w:snapToGrid w:val="0"/>
          <w:kern w:val="22"/>
          <w:szCs w:val="22"/>
        </w:rPr>
        <w:t xml:space="preserve">of </w:t>
      </w:r>
      <w:r w:rsidRPr="00717F31">
        <w:rPr>
          <w:snapToGrid w:val="0"/>
          <w:kern w:val="22"/>
          <w:szCs w:val="22"/>
        </w:rPr>
        <w:t xml:space="preserve">any change in my circumstances during the course of </w:t>
      </w:r>
      <w:r w:rsidR="00B41CED" w:rsidRPr="00717F31">
        <w:rPr>
          <w:snapToGrid w:val="0"/>
          <w:kern w:val="22"/>
          <w:szCs w:val="22"/>
        </w:rPr>
        <w:t xml:space="preserve">the </w:t>
      </w:r>
      <w:r w:rsidRPr="00717F31">
        <w:rPr>
          <w:snapToGrid w:val="0"/>
          <w:kern w:val="22"/>
          <w:szCs w:val="22"/>
        </w:rPr>
        <w:t>work assigned to me.</w:t>
      </w:r>
    </w:p>
    <w:p w:rsidR="00A05A16" w:rsidRPr="00717F31" w:rsidRDefault="00F10802" w:rsidP="00717F31">
      <w:pPr>
        <w:spacing w:before="120" w:after="120"/>
        <w:rPr>
          <w:kern w:val="22"/>
          <w:szCs w:val="22"/>
        </w:rPr>
      </w:pPr>
      <w:r w:rsidRPr="00717F31">
        <w:rPr>
          <w:kern w:val="22"/>
          <w:szCs w:val="22"/>
        </w:rPr>
        <w:t xml:space="preserve">I understand that information about my interests will be held by the </w:t>
      </w:r>
      <w:r w:rsidR="003E3C6E" w:rsidRPr="00717F31">
        <w:rPr>
          <w:kern w:val="22"/>
          <w:szCs w:val="22"/>
        </w:rPr>
        <w:t>Secretariat</w:t>
      </w:r>
      <w:r w:rsidRPr="00717F31">
        <w:rPr>
          <w:kern w:val="22"/>
          <w:szCs w:val="22"/>
        </w:rPr>
        <w:t xml:space="preserve"> for a period of five years after the end of </w:t>
      </w:r>
      <w:r w:rsidR="00594227" w:rsidRPr="00717F31">
        <w:rPr>
          <w:kern w:val="22"/>
          <w:szCs w:val="22"/>
        </w:rPr>
        <w:t xml:space="preserve">the </w:t>
      </w:r>
      <w:r w:rsidRPr="00717F31">
        <w:rPr>
          <w:kern w:val="22"/>
          <w:szCs w:val="22"/>
        </w:rPr>
        <w:t xml:space="preserve">activity to which I contributed, after which the information will be destroyed. Subject to the requirement </w:t>
      </w:r>
      <w:r w:rsidR="00A05A16" w:rsidRPr="00717F31">
        <w:rPr>
          <w:kern w:val="22"/>
          <w:szCs w:val="22"/>
        </w:rPr>
        <w:t xml:space="preserve">to </w:t>
      </w:r>
      <w:r w:rsidRPr="00717F31">
        <w:rPr>
          <w:kern w:val="22"/>
          <w:szCs w:val="22"/>
        </w:rPr>
        <w:t xml:space="preserve">notify </w:t>
      </w:r>
      <w:r w:rsidR="00A05A16" w:rsidRPr="00717F31">
        <w:rPr>
          <w:kern w:val="22"/>
          <w:szCs w:val="22"/>
        </w:rPr>
        <w:t xml:space="preserve">the </w:t>
      </w:r>
      <w:r w:rsidRPr="00717F31">
        <w:rPr>
          <w:kern w:val="22"/>
          <w:szCs w:val="22"/>
        </w:rPr>
        <w:t xml:space="preserve">existence of a conflict interest </w:t>
      </w:r>
      <w:r w:rsidR="00A05A16" w:rsidRPr="00717F31">
        <w:rPr>
          <w:kern w:val="22"/>
          <w:szCs w:val="22"/>
        </w:rPr>
        <w:t xml:space="preserve">to </w:t>
      </w:r>
      <w:r w:rsidR="00614189" w:rsidRPr="00717F31">
        <w:rPr>
          <w:kern w:val="22"/>
          <w:szCs w:val="22"/>
        </w:rPr>
        <w:t>the Secretariat</w:t>
      </w:r>
      <w:r w:rsidR="00A05A16" w:rsidRPr="00717F31">
        <w:rPr>
          <w:kern w:val="22"/>
          <w:szCs w:val="22"/>
        </w:rPr>
        <w:t xml:space="preserve"> under </w:t>
      </w:r>
      <w:r w:rsidR="00614189" w:rsidRPr="00717F31">
        <w:rPr>
          <w:kern w:val="22"/>
          <w:szCs w:val="22"/>
        </w:rPr>
        <w:t>section 2</w:t>
      </w:r>
      <w:r w:rsidR="00A05A16" w:rsidRPr="00717F31">
        <w:rPr>
          <w:kern w:val="22"/>
          <w:szCs w:val="22"/>
        </w:rPr>
        <w:t xml:space="preserve"> of the </w:t>
      </w:r>
      <w:r w:rsidR="00594227" w:rsidRPr="00717F31">
        <w:rPr>
          <w:kern w:val="22"/>
          <w:szCs w:val="22"/>
        </w:rPr>
        <w:t>p</w:t>
      </w:r>
      <w:r w:rsidR="00293A35" w:rsidRPr="00717F31">
        <w:rPr>
          <w:kern w:val="22"/>
          <w:szCs w:val="22"/>
        </w:rPr>
        <w:t>rocedure for avoiding or managing conflicts of interest</w:t>
      </w:r>
      <w:r w:rsidR="00A05A16" w:rsidRPr="00717F31">
        <w:rPr>
          <w:kern w:val="22"/>
          <w:szCs w:val="22"/>
        </w:rPr>
        <w:t>, I understand that th</w:t>
      </w:r>
      <w:r w:rsidR="00614189" w:rsidRPr="00717F31">
        <w:rPr>
          <w:kern w:val="22"/>
          <w:szCs w:val="22"/>
        </w:rPr>
        <w:t>is form</w:t>
      </w:r>
      <w:r w:rsidR="00A05A16" w:rsidRPr="00717F31">
        <w:rPr>
          <w:kern w:val="22"/>
          <w:szCs w:val="22"/>
        </w:rPr>
        <w:t xml:space="preserve"> will be considered confidential and will be reviewed in accordance with</w:t>
      </w:r>
      <w:r w:rsidR="00614189" w:rsidRPr="00717F31">
        <w:rPr>
          <w:kern w:val="22"/>
          <w:szCs w:val="22"/>
        </w:rPr>
        <w:t xml:space="preserve"> the </w:t>
      </w:r>
      <w:r w:rsidR="00A05A16" w:rsidRPr="00717F31">
        <w:rPr>
          <w:kern w:val="22"/>
          <w:szCs w:val="22"/>
        </w:rPr>
        <w:t>procedure</w:t>
      </w:r>
      <w:r w:rsidR="00614189" w:rsidRPr="00717F31">
        <w:rPr>
          <w:kern w:val="22"/>
          <w:szCs w:val="22"/>
        </w:rPr>
        <w:t xml:space="preserve"> specified in section 4 of the Guidelines on Conflict of Interest</w:t>
      </w:r>
      <w:r w:rsidR="00A05A16" w:rsidRPr="00717F31">
        <w:rPr>
          <w:kern w:val="22"/>
          <w:szCs w:val="22"/>
        </w:rPr>
        <w:t>.</w:t>
      </w:r>
    </w:p>
    <w:p w:rsidR="00A05A16" w:rsidRPr="00717F31" w:rsidRDefault="00A05A16" w:rsidP="00717F31">
      <w:pPr>
        <w:spacing w:before="120" w:after="120"/>
        <w:rPr>
          <w:kern w:val="22"/>
          <w:szCs w:val="22"/>
        </w:rPr>
      </w:pPr>
      <w:r w:rsidRPr="00717F31">
        <w:rPr>
          <w:kern w:val="22"/>
          <w:szCs w:val="22"/>
        </w:rPr>
        <w:t xml:space="preserve">I hereby declare that I will comply with the </w:t>
      </w:r>
      <w:r w:rsidR="00594227" w:rsidRPr="00717F31">
        <w:rPr>
          <w:kern w:val="22"/>
          <w:szCs w:val="22"/>
        </w:rPr>
        <w:t>p</w:t>
      </w:r>
      <w:r w:rsidR="00293A35" w:rsidRPr="00717F31">
        <w:rPr>
          <w:kern w:val="22"/>
          <w:szCs w:val="22"/>
        </w:rPr>
        <w:t xml:space="preserve">rocedure for avoiding or managing conflicts of interest </w:t>
      </w:r>
      <w:r w:rsidR="00614189" w:rsidRPr="00717F31">
        <w:rPr>
          <w:kern w:val="22"/>
          <w:szCs w:val="22"/>
        </w:rPr>
        <w:t>contained</w:t>
      </w:r>
      <w:r w:rsidR="003E3C6E" w:rsidRPr="00717F31">
        <w:rPr>
          <w:kern w:val="22"/>
          <w:szCs w:val="22"/>
        </w:rPr>
        <w:t xml:space="preserve"> in the </w:t>
      </w:r>
      <w:r w:rsidR="00594227" w:rsidRPr="00717F31">
        <w:rPr>
          <w:kern w:val="22"/>
          <w:szCs w:val="22"/>
        </w:rPr>
        <w:t>a</w:t>
      </w:r>
      <w:r w:rsidR="003E3C6E" w:rsidRPr="00717F31">
        <w:rPr>
          <w:kern w:val="22"/>
          <w:szCs w:val="22"/>
        </w:rPr>
        <w:t>nnex to decisio</w:t>
      </w:r>
      <w:r w:rsidR="005D0930" w:rsidRPr="00717F31">
        <w:rPr>
          <w:kern w:val="22"/>
          <w:szCs w:val="22"/>
        </w:rPr>
        <w:t>n [to be completed]</w:t>
      </w:r>
    </w:p>
    <w:p w:rsidR="00A05A16" w:rsidRPr="00717F31" w:rsidRDefault="00A05A16" w:rsidP="00717F31">
      <w:pPr>
        <w:spacing w:before="120" w:after="120"/>
        <w:rPr>
          <w:kern w:val="22"/>
          <w:szCs w:val="22"/>
        </w:rPr>
      </w:pPr>
    </w:p>
    <w:p w:rsidR="00A05A16" w:rsidRPr="00717F31" w:rsidRDefault="00A05A16" w:rsidP="00717F31">
      <w:pPr>
        <w:spacing w:before="120" w:after="120"/>
        <w:rPr>
          <w:kern w:val="22"/>
          <w:szCs w:val="22"/>
        </w:rPr>
      </w:pPr>
      <w:r w:rsidRPr="00717F31">
        <w:rPr>
          <w:kern w:val="22"/>
          <w:szCs w:val="22"/>
        </w:rPr>
        <w:t>______________________________                                      _____________________________</w:t>
      </w:r>
    </w:p>
    <w:p w:rsidR="00A05A16" w:rsidRPr="00717F31" w:rsidRDefault="00A05A16" w:rsidP="00717F31">
      <w:pPr>
        <w:tabs>
          <w:tab w:val="left" w:pos="5910"/>
        </w:tabs>
        <w:spacing w:before="120" w:after="120"/>
        <w:rPr>
          <w:kern w:val="22"/>
          <w:szCs w:val="22"/>
        </w:rPr>
      </w:pPr>
      <w:r w:rsidRPr="00717F31">
        <w:rPr>
          <w:kern w:val="22"/>
          <w:szCs w:val="22"/>
        </w:rPr>
        <w:t>Signature</w:t>
      </w:r>
      <w:r w:rsidRPr="00717F31">
        <w:rPr>
          <w:kern w:val="22"/>
          <w:szCs w:val="22"/>
        </w:rPr>
        <w:tab/>
        <w:t>Date</w:t>
      </w:r>
    </w:p>
    <w:p w:rsidR="00A05A16" w:rsidRPr="00717F31" w:rsidRDefault="00A05A16" w:rsidP="00717F31">
      <w:pPr>
        <w:tabs>
          <w:tab w:val="left" w:pos="6150"/>
        </w:tabs>
        <w:spacing w:before="120" w:after="120"/>
        <w:rPr>
          <w:kern w:val="22"/>
          <w:szCs w:val="22"/>
        </w:rPr>
      </w:pPr>
      <w:r w:rsidRPr="00717F31">
        <w:rPr>
          <w:kern w:val="22"/>
          <w:szCs w:val="22"/>
        </w:rPr>
        <w:tab/>
      </w:r>
    </w:p>
    <w:p w:rsidR="005D0930" w:rsidRPr="00717F31" w:rsidRDefault="005D0930" w:rsidP="00717F31">
      <w:pPr>
        <w:tabs>
          <w:tab w:val="left" w:pos="6150"/>
        </w:tabs>
        <w:spacing w:before="120" w:after="120"/>
        <w:jc w:val="center"/>
        <w:rPr>
          <w:kern w:val="22"/>
          <w:szCs w:val="22"/>
        </w:rPr>
      </w:pPr>
      <w:r w:rsidRPr="00717F31">
        <w:rPr>
          <w:kern w:val="22"/>
          <w:szCs w:val="22"/>
        </w:rPr>
        <w:t>__________</w:t>
      </w:r>
    </w:p>
    <w:sectPr w:rsidR="005D0930" w:rsidRPr="00717F31" w:rsidSect="00CA1572">
      <w:headerReference w:type="even" r:id="rId30"/>
      <w:headerReference w:type="default" r:id="rId3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DE" w:rsidRDefault="006904DE">
      <w:r>
        <w:separator/>
      </w:r>
    </w:p>
  </w:endnote>
  <w:endnote w:type="continuationSeparator" w:id="0">
    <w:p w:rsidR="006904DE" w:rsidRDefault="0069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DE" w:rsidRDefault="006904DE">
      <w:r>
        <w:separator/>
      </w:r>
    </w:p>
  </w:footnote>
  <w:footnote w:type="continuationSeparator" w:id="0">
    <w:p w:rsidR="006904DE" w:rsidRDefault="006904DE">
      <w:r>
        <w:continuationSeparator/>
      </w:r>
    </w:p>
  </w:footnote>
  <w:footnote w:id="1">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t>*</w:t>
      </w:r>
      <w:r w:rsidRPr="00717F31">
        <w:rPr>
          <w:snapToGrid w:val="0"/>
          <w:kern w:val="18"/>
          <w:szCs w:val="18"/>
        </w:rPr>
        <w:t xml:space="preserve"> CBD/SBI/2/1.</w:t>
      </w:r>
    </w:p>
  </w:footnote>
  <w:footnote w:id="2">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Prior to this, the most comprehensive reviews of the operations of the Convention were those undertaken in response to decisions III/22 and IV/16 of the Conference of the Parties by, respectively, the Conference of the Parties at its fourth meeting and the Inter-Sessional Meeting on the Operations of the Convention. These reviews led to significant changes in the operations of the Convention (decisions IV/16 and V/20) and laid the basis for further, more issue-specific reviews and revisions.</w:t>
      </w:r>
    </w:p>
  </w:footnote>
  <w:footnote w:id="3">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The Nagoya Protocol entered into force on 12 October 2014.</w:t>
      </w:r>
    </w:p>
  </w:footnote>
  <w:footnote w:id="4">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UNEP/CBD/WGRI/1/3 and addenda, and other documents available at </w:t>
      </w:r>
      <w:hyperlink r:id="rId1" w:history="1">
        <w:r w:rsidRPr="00717F31">
          <w:rPr>
            <w:rStyle w:val="Hyperlink"/>
            <w:snapToGrid w:val="0"/>
            <w:kern w:val="18"/>
            <w:szCs w:val="18"/>
          </w:rPr>
          <w:t>https://www.cbd.int/meetings/wgri-01</w:t>
        </w:r>
      </w:hyperlink>
    </w:p>
  </w:footnote>
  <w:footnote w:id="5">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Decision XII/32, para. 24.</w:t>
      </w:r>
    </w:p>
  </w:footnote>
  <w:footnote w:id="6">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Decision XIII/32, para. 22.</w:t>
      </w:r>
    </w:p>
  </w:footnote>
  <w:footnote w:id="7">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Conference of the Parties decision VIII/10, paragraph 15.</w:t>
      </w:r>
    </w:p>
  </w:footnote>
  <w:footnote w:id="8">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Conference of the Parties serving as the meeting of the Parties to the Cartagena Protocol, decision BS-I/4, annex I.</w:t>
      </w:r>
    </w:p>
  </w:footnote>
  <w:footnote w:id="9">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Conference of the Parties serving as the meeting of the Parties to the Cartagena Protocol decision BS-I/4, annex I, G, section 6.</w:t>
      </w:r>
    </w:p>
  </w:footnote>
  <w:footnote w:id="10">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See decision BS-I/7, annex, section II, paragraph 3, and decision NP-1/4, annex, section II, paragraph 4.</w:t>
      </w:r>
    </w:p>
  </w:footnote>
  <w:footnote w:id="11">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w:t>
      </w:r>
      <w:hyperlink r:id="rId2" w:history="1">
        <w:r w:rsidRPr="00717F31">
          <w:rPr>
            <w:rStyle w:val="Hyperlink"/>
            <w:snapToGrid w:val="0"/>
            <w:spacing w:val="-6"/>
            <w:kern w:val="18"/>
            <w:szCs w:val="18"/>
          </w:rPr>
          <w:t>https://cites.org/sites/default/files/eng/cop/16/doc/E-CoP16-11.pdf</w:t>
        </w:r>
      </w:hyperlink>
      <w:r w:rsidRPr="00717F31">
        <w:rPr>
          <w:snapToGrid w:val="0"/>
          <w:spacing w:val="-6"/>
          <w:kern w:val="18"/>
          <w:szCs w:val="18"/>
        </w:rPr>
        <w:t xml:space="preserve"> and </w:t>
      </w:r>
      <w:hyperlink r:id="rId3" w:history="1">
        <w:r w:rsidRPr="00717F31">
          <w:rPr>
            <w:rStyle w:val="Hyperlink"/>
            <w:snapToGrid w:val="0"/>
            <w:spacing w:val="-6"/>
            <w:kern w:val="18"/>
            <w:szCs w:val="18"/>
          </w:rPr>
          <w:t>https://cites.org/sites/default/files/eng/com/sc/66/E-SC66-08.pdf</w:t>
        </w:r>
      </w:hyperlink>
    </w:p>
  </w:footnote>
  <w:footnote w:id="12">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w:t>
      </w:r>
      <w:hyperlink r:id="rId4" w:history="1">
        <w:r w:rsidRPr="00717F31">
          <w:rPr>
            <w:rStyle w:val="Hyperlink"/>
            <w:snapToGrid w:val="0"/>
            <w:kern w:val="18"/>
            <w:szCs w:val="18"/>
          </w:rPr>
          <w:t>http://www.pops.int/Procedures/Declarationofconflictsofinterest/tabid/3471/Default.aspx</w:t>
        </w:r>
      </w:hyperlink>
    </w:p>
  </w:footnote>
  <w:footnote w:id="13">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w:t>
      </w:r>
      <w:hyperlink r:id="rId5" w:history="1">
        <w:r w:rsidRPr="00717F31">
          <w:rPr>
            <w:rStyle w:val="Hyperlink"/>
            <w:snapToGrid w:val="0"/>
            <w:kern w:val="18"/>
            <w:szCs w:val="18"/>
          </w:rPr>
          <w:t>http://www.pic.int/Procedures/DeclarationofConflictsofInterest/tabid/3467/language/en-US/Default.aspx</w:t>
        </w:r>
      </w:hyperlink>
    </w:p>
  </w:footnote>
  <w:footnote w:id="14">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w:t>
      </w:r>
      <w:hyperlink r:id="rId6" w:history="1">
        <w:r w:rsidRPr="00717F31">
          <w:rPr>
            <w:rStyle w:val="Hyperlink"/>
            <w:snapToGrid w:val="0"/>
            <w:kern w:val="18"/>
            <w:szCs w:val="18"/>
          </w:rPr>
          <w:t>https://www.ipbes.net/conflict-interest-policy-implementation-procedures</w:t>
        </w:r>
      </w:hyperlink>
    </w:p>
  </w:footnote>
  <w:footnote w:id="15">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w:t>
      </w:r>
      <w:hyperlink r:id="rId7" w:history="1">
        <w:r w:rsidRPr="00717F31">
          <w:rPr>
            <w:rStyle w:val="Hyperlink"/>
            <w:snapToGrid w:val="0"/>
            <w:kern w:val="18"/>
            <w:szCs w:val="18"/>
          </w:rPr>
          <w:t>https://www.ipbes.net/system/tdf/downloads/Conflict_of_interest_policy.pdf?file=1&amp;type=node&amp;id=15252&amp;force</w:t>
        </w:r>
      </w:hyperlink>
      <w:r w:rsidRPr="00717F31">
        <w:rPr>
          <w:snapToGrid w:val="0"/>
          <w:kern w:val="18"/>
          <w:szCs w:val="18"/>
        </w:rPr>
        <w:t>=</w:t>
      </w:r>
    </w:p>
  </w:footnote>
  <w:footnote w:id="16">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w:t>
      </w:r>
      <w:hyperlink r:id="rId8" w:history="1">
        <w:r w:rsidRPr="00717F31">
          <w:rPr>
            <w:rStyle w:val="Hyperlink"/>
            <w:snapToGrid w:val="0"/>
            <w:kern w:val="18"/>
            <w:szCs w:val="18"/>
          </w:rPr>
          <w:t>http://www.who.int/medicines/news/2017/Guidelines_for_Declaration_of_Interests_WHO_Experts_51b2CRD.pdf</w:t>
        </w:r>
      </w:hyperlink>
    </w:p>
  </w:footnote>
  <w:footnote w:id="17">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GCF/B.01-13/12, Decisions of the Third Meeting of the Board, Annex IX: Additional rules of procedure relating to confidentiality and conflict of interest, </w:t>
      </w:r>
      <w:hyperlink r:id="rId9" w:history="1">
        <w:r w:rsidRPr="00717F31">
          <w:rPr>
            <w:rStyle w:val="Hyperlink"/>
            <w:snapToGrid w:val="0"/>
            <w:kern w:val="18"/>
            <w:szCs w:val="18"/>
          </w:rPr>
          <w:t>https://www.greenclimate.fund/documents/20182/24931/GCF_B.01-13_12_-Decisions_of_the_Board_-_Third_Meeting_of_the_Board__13-15_March_2013.pdf/05f6e4ae-3c80-455c-90c7-4b5750c234a4</w:t>
        </w:r>
      </w:hyperlink>
    </w:p>
  </w:footnote>
  <w:footnote w:id="18">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See, for example, the editorial by </w:t>
      </w:r>
      <w:r w:rsidRPr="00717F31">
        <w:rPr>
          <w:i/>
          <w:iCs/>
          <w:snapToGrid w:val="0"/>
          <w:kern w:val="18"/>
          <w:szCs w:val="18"/>
        </w:rPr>
        <w:t>Nature</w:t>
      </w:r>
      <w:r w:rsidRPr="00717F31">
        <w:rPr>
          <w:snapToGrid w:val="0"/>
          <w:kern w:val="18"/>
          <w:szCs w:val="18"/>
        </w:rPr>
        <w:t xml:space="preserve"> (vol. 552, 7 December 2017) regarding claims that gene-drive researchers and funders were working with a public relations company to unduly influence the work of the CBD online forum on synthetic biology and the Ad Hoc Technical Expert Group on Synthetic Biology, available at </w:t>
      </w:r>
      <w:hyperlink r:id="rId10" w:history="1">
        <w:r w:rsidRPr="00717F31">
          <w:rPr>
            <w:rStyle w:val="Hyperlink"/>
            <w:snapToGrid w:val="0"/>
            <w:kern w:val="18"/>
            <w:szCs w:val="18"/>
          </w:rPr>
          <w:t>https://www.nature.com/articles/d41586-017-08214-4</w:t>
        </w:r>
      </w:hyperlink>
      <w:r w:rsidRPr="00717F31">
        <w:rPr>
          <w:rStyle w:val="Hyperlink"/>
          <w:snapToGrid w:val="0"/>
          <w:kern w:val="18"/>
          <w:szCs w:val="18"/>
        </w:rPr>
        <w:t>.</w:t>
      </w:r>
      <w:r w:rsidRPr="00717F31">
        <w:rPr>
          <w:snapToGrid w:val="0"/>
          <w:kern w:val="18"/>
          <w:szCs w:val="18"/>
        </w:rPr>
        <w:t xml:space="preserve"> In addition, a consortium of non-governmental organizations wrote a letter to the Executive Secretary asking for measures to address conflicts of interest.</w:t>
      </w:r>
    </w:p>
  </w:footnote>
  <w:footnote w:id="19">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lang w:val="en-US"/>
        </w:rPr>
      </w:pPr>
      <w:r w:rsidRPr="00717F31">
        <w:rPr>
          <w:rStyle w:val="FootnoteReference"/>
          <w:snapToGrid w:val="0"/>
          <w:kern w:val="18"/>
        </w:rPr>
        <w:footnoteRef/>
      </w:r>
      <w:r w:rsidRPr="00717F31">
        <w:rPr>
          <w:snapToGrid w:val="0"/>
          <w:kern w:val="18"/>
        </w:rPr>
        <w:t xml:space="preserve"> </w:t>
      </w:r>
      <w:r w:rsidRPr="00717F31">
        <w:rPr>
          <w:snapToGrid w:val="0"/>
          <w:kern w:val="18"/>
          <w:szCs w:val="22"/>
        </w:rPr>
        <w:t>CBD/SBI/2/16/Add.1.</w:t>
      </w:r>
    </w:p>
  </w:footnote>
  <w:footnote w:id="20">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lang w:val="en-US"/>
        </w:rPr>
      </w:pPr>
      <w:r w:rsidRPr="00717F31">
        <w:rPr>
          <w:rStyle w:val="FootnoteReference"/>
          <w:snapToGrid w:val="0"/>
          <w:kern w:val="18"/>
        </w:rPr>
        <w:footnoteRef/>
      </w:r>
      <w:r w:rsidRPr="00717F31">
        <w:rPr>
          <w:snapToGrid w:val="0"/>
          <w:kern w:val="18"/>
        </w:rPr>
        <w:t xml:space="preserve"> </w:t>
      </w:r>
      <w:r w:rsidRPr="00717F31">
        <w:rPr>
          <w:snapToGrid w:val="0"/>
          <w:kern w:val="18"/>
          <w:szCs w:val="22"/>
        </w:rPr>
        <w:t xml:space="preserve">CBD/SBI/2/INF/1 and </w:t>
      </w:r>
      <w:r w:rsidR="00B47971">
        <w:rPr>
          <w:snapToGrid w:val="0"/>
          <w:kern w:val="18"/>
          <w:szCs w:val="22"/>
        </w:rPr>
        <w:t>INF/</w:t>
      </w:r>
      <w:bookmarkStart w:id="1" w:name="_GoBack"/>
      <w:bookmarkEnd w:id="1"/>
      <w:r w:rsidRPr="00717F31">
        <w:rPr>
          <w:snapToGrid w:val="0"/>
          <w:kern w:val="18"/>
          <w:szCs w:val="22"/>
        </w:rPr>
        <w:t>2.</w:t>
      </w:r>
    </w:p>
  </w:footnote>
  <w:footnote w:id="21">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lang w:val="en-US"/>
        </w:rPr>
      </w:pPr>
      <w:r w:rsidRPr="00717F31">
        <w:rPr>
          <w:rStyle w:val="FootnoteReference"/>
          <w:snapToGrid w:val="0"/>
          <w:kern w:val="18"/>
        </w:rPr>
        <w:footnoteRef/>
      </w:r>
      <w:r w:rsidRPr="00717F31">
        <w:rPr>
          <w:snapToGrid w:val="0"/>
          <w:kern w:val="18"/>
        </w:rPr>
        <w:t xml:space="preserve"> </w:t>
      </w:r>
      <w:r w:rsidRPr="00717F31">
        <w:rPr>
          <w:snapToGrid w:val="0"/>
          <w:kern w:val="18"/>
          <w:szCs w:val="22"/>
        </w:rPr>
        <w:t>CBD/SBI/2/16/Add.1.</w:t>
      </w:r>
    </w:p>
  </w:footnote>
  <w:footnote w:id="22">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lang w:val="en-US"/>
        </w:rPr>
      </w:pPr>
      <w:r w:rsidRPr="00717F31">
        <w:rPr>
          <w:rStyle w:val="FootnoteReference"/>
          <w:snapToGrid w:val="0"/>
          <w:kern w:val="18"/>
        </w:rPr>
        <w:footnoteRef/>
      </w:r>
      <w:r w:rsidRPr="00717F31">
        <w:rPr>
          <w:snapToGrid w:val="0"/>
          <w:kern w:val="18"/>
        </w:rPr>
        <w:t xml:space="preserve"> </w:t>
      </w:r>
      <w:r w:rsidRPr="00717F31">
        <w:rPr>
          <w:snapToGrid w:val="0"/>
          <w:kern w:val="18"/>
          <w:szCs w:val="22"/>
        </w:rPr>
        <w:t>CBD/SBI/2/INF/1 and INF/2.</w:t>
      </w:r>
    </w:p>
  </w:footnote>
  <w:footnote w:id="23">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The nomination form is based upon the form required for the roster of experts under the Cartagena Protocol</w:t>
      </w:r>
      <w:r w:rsidR="006B1703" w:rsidRPr="00717F31">
        <w:rPr>
          <w:snapToGrid w:val="0"/>
          <w:kern w:val="18"/>
          <w:szCs w:val="18"/>
        </w:rPr>
        <w:t xml:space="preserve"> on Biosafety</w:t>
      </w:r>
      <w:r w:rsidRPr="00717F31">
        <w:rPr>
          <w:snapToGrid w:val="0"/>
          <w:kern w:val="18"/>
          <w:szCs w:val="18"/>
        </w:rPr>
        <w:t xml:space="preserve"> </w:t>
      </w:r>
      <w:r w:rsidR="006B1703" w:rsidRPr="00717F31">
        <w:rPr>
          <w:snapToGrid w:val="0"/>
          <w:kern w:val="18"/>
          <w:szCs w:val="18"/>
        </w:rPr>
        <w:t>(</w:t>
      </w:r>
      <w:r w:rsidRPr="00717F31">
        <w:rPr>
          <w:snapToGrid w:val="0"/>
          <w:kern w:val="18"/>
          <w:szCs w:val="18"/>
        </w:rPr>
        <w:t xml:space="preserve">decision </w:t>
      </w:r>
      <w:hyperlink r:id="rId11" w:history="1">
        <w:r w:rsidRPr="00717F31">
          <w:rPr>
            <w:rStyle w:val="Hyperlink"/>
            <w:snapToGrid w:val="0"/>
            <w:kern w:val="18"/>
            <w:szCs w:val="18"/>
          </w:rPr>
          <w:t>BS-I/4</w:t>
        </w:r>
      </w:hyperlink>
      <w:r w:rsidRPr="00717F31">
        <w:rPr>
          <w:snapToGrid w:val="0"/>
          <w:kern w:val="18"/>
          <w:szCs w:val="18"/>
        </w:rPr>
        <w:t xml:space="preserve">, </w:t>
      </w:r>
      <w:r w:rsidR="006B1703" w:rsidRPr="00717F31">
        <w:rPr>
          <w:snapToGrid w:val="0"/>
          <w:kern w:val="18"/>
          <w:szCs w:val="18"/>
        </w:rPr>
        <w:t>a</w:t>
      </w:r>
      <w:r w:rsidRPr="00717F31">
        <w:rPr>
          <w:snapToGrid w:val="0"/>
          <w:kern w:val="18"/>
          <w:szCs w:val="18"/>
        </w:rPr>
        <w:t>nnex</w:t>
      </w:r>
      <w:r w:rsidR="006B1703" w:rsidRPr="00717F31">
        <w:rPr>
          <w:snapToGrid w:val="0"/>
          <w:kern w:val="18"/>
          <w:szCs w:val="18"/>
        </w:rPr>
        <w:t> </w:t>
      </w:r>
      <w:r w:rsidRPr="00717F31">
        <w:rPr>
          <w:snapToGrid w:val="0"/>
          <w:kern w:val="18"/>
          <w:szCs w:val="18"/>
        </w:rPr>
        <w:t>I, appendix)</w:t>
      </w:r>
      <w:r w:rsidR="006B1703" w:rsidRPr="00717F31">
        <w:rPr>
          <w:snapToGrid w:val="0"/>
          <w:kern w:val="18"/>
          <w:szCs w:val="18"/>
        </w:rPr>
        <w:t>.</w:t>
      </w:r>
    </w:p>
  </w:footnote>
  <w:footnote w:id="24">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This Form is adapted from the Conflict of Interest Policy and Implementation Procedures that have been adopted by the Plenary of the Intergovernmental Science-Policy Platform on Biodiversity and Ecosystem Services in its decision IPBES -3/3 and contained in </w:t>
      </w:r>
      <w:r w:rsidR="00B13A01" w:rsidRPr="00717F31">
        <w:rPr>
          <w:snapToGrid w:val="0"/>
          <w:kern w:val="18"/>
          <w:szCs w:val="18"/>
        </w:rPr>
        <w:t>a</w:t>
      </w:r>
      <w:r w:rsidRPr="00717F31">
        <w:rPr>
          <w:snapToGrid w:val="0"/>
          <w:kern w:val="18"/>
          <w:szCs w:val="18"/>
        </w:rPr>
        <w:t xml:space="preserve">nnex II </w:t>
      </w:r>
      <w:r w:rsidR="00B13A01" w:rsidRPr="00717F31">
        <w:rPr>
          <w:snapToGrid w:val="0"/>
          <w:kern w:val="18"/>
          <w:szCs w:val="18"/>
        </w:rPr>
        <w:t>to</w:t>
      </w:r>
      <w:r w:rsidRPr="00717F31">
        <w:rPr>
          <w:snapToGrid w:val="0"/>
          <w:kern w:val="18"/>
          <w:szCs w:val="18"/>
        </w:rPr>
        <w:t xml:space="preserve"> that decision.</w:t>
      </w:r>
    </w:p>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snapToGrid w:val="0"/>
          <w:kern w:val="18"/>
          <w:szCs w:val="18"/>
        </w:rPr>
        <w:t xml:space="preserve">  </w:t>
      </w:r>
      <w:hyperlink r:id="rId12" w:history="1">
        <w:r w:rsidRPr="00717F31">
          <w:rPr>
            <w:rStyle w:val="Hyperlink"/>
            <w:snapToGrid w:val="0"/>
            <w:kern w:val="18"/>
            <w:szCs w:val="18"/>
          </w:rPr>
          <w:t>https://www.ipbes.net/system/tdf/downloads/Conflict_of_interest_policy.pdf?file=1&amp;type=node&amp;id=15252&amp;force</w:t>
        </w:r>
      </w:hyperlink>
      <w:r w:rsidRPr="00717F31">
        <w:rPr>
          <w:snapToGrid w:val="0"/>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6904DE" w:rsidRDefault="006904DE" w:rsidP="005440A6">
        <w:pPr>
          <w:pStyle w:val="Header"/>
          <w:tabs>
            <w:tab w:val="clear" w:pos="4320"/>
            <w:tab w:val="clear" w:pos="8640"/>
          </w:tabs>
          <w:jc w:val="left"/>
          <w:rPr>
            <w:noProof/>
            <w:kern w:val="22"/>
          </w:rPr>
        </w:pPr>
        <w:r>
          <w:rPr>
            <w:noProof/>
            <w:kern w:val="22"/>
            <w:lang w:val="en-CA"/>
          </w:rPr>
          <w:t>CBD/SBI/2/16</w:t>
        </w:r>
      </w:p>
    </w:sdtContent>
  </w:sdt>
  <w:p w:rsidR="006904DE" w:rsidRPr="005440A6" w:rsidRDefault="006904DE"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47971">
      <w:rPr>
        <w:noProof/>
        <w:kern w:val="22"/>
      </w:rPr>
      <w:t>8</w:t>
    </w:r>
    <w:r w:rsidRPr="005440A6">
      <w:rPr>
        <w:noProof/>
        <w:kern w:val="22"/>
      </w:rPr>
      <w:fldChar w:fldCharType="end"/>
    </w:r>
  </w:p>
  <w:p w:rsidR="006904DE" w:rsidRPr="005440A6" w:rsidRDefault="006904DE"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6904DE" w:rsidRPr="005440A6" w:rsidRDefault="006904DE" w:rsidP="00BE45DE">
        <w:pPr>
          <w:pStyle w:val="Header"/>
          <w:tabs>
            <w:tab w:val="clear" w:pos="4320"/>
            <w:tab w:val="clear" w:pos="8640"/>
          </w:tabs>
          <w:jc w:val="right"/>
          <w:rPr>
            <w:noProof/>
            <w:kern w:val="22"/>
          </w:rPr>
        </w:pPr>
        <w:r>
          <w:rPr>
            <w:noProof/>
            <w:kern w:val="22"/>
            <w:lang w:val="en-CA"/>
          </w:rPr>
          <w:t>CBD/SBI/2/16</w:t>
        </w:r>
      </w:p>
    </w:sdtContent>
  </w:sdt>
  <w:p w:rsidR="006904DE" w:rsidRPr="005440A6" w:rsidRDefault="006904DE"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47971">
      <w:rPr>
        <w:noProof/>
        <w:kern w:val="22"/>
      </w:rPr>
      <w:t>9</w:t>
    </w:r>
    <w:r w:rsidRPr="005440A6">
      <w:rPr>
        <w:noProof/>
        <w:kern w:val="22"/>
      </w:rPr>
      <w:fldChar w:fldCharType="end"/>
    </w:r>
  </w:p>
  <w:p w:rsidR="006904DE" w:rsidRPr="005440A6" w:rsidRDefault="006904DE"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85pt;height:408pt;visibility:visible;mso-wrap-style:squar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07A06"/>
    <w:multiLevelType w:val="hybridMultilevel"/>
    <w:tmpl w:val="33883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B6190B"/>
    <w:multiLevelType w:val="hybridMultilevel"/>
    <w:tmpl w:val="5A6C4462"/>
    <w:lvl w:ilvl="0" w:tplc="CAB40D4C">
      <w:start w:val="1"/>
      <w:numFmt w:val="lowerLetter"/>
      <w:lvlText w:val="(%1)"/>
      <w:lvlJc w:val="left"/>
      <w:pPr>
        <w:ind w:left="720" w:hanging="360"/>
      </w:pPr>
      <w:rPr>
        <w:rFonts w:hint="default"/>
        <w:b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2BEA63E5"/>
    <w:multiLevelType w:val="hybridMultilevel"/>
    <w:tmpl w:val="4BE4BB6E"/>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CE43C91"/>
    <w:multiLevelType w:val="singleLevel"/>
    <w:tmpl w:val="7174E9C0"/>
    <w:lvl w:ilvl="0">
      <w:start w:val="1"/>
      <w:numFmt w:val="decimal"/>
      <w:lvlText w:val="%1."/>
      <w:lvlJc w:val="left"/>
      <w:pPr>
        <w:tabs>
          <w:tab w:val="num" w:pos="360"/>
        </w:tabs>
        <w:ind w:left="0" w:firstLine="0"/>
      </w:pPr>
    </w:lvl>
  </w:abstractNum>
  <w:abstractNum w:abstractNumId="18">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6381950"/>
    <w:multiLevelType w:val="hybridMultilevel"/>
    <w:tmpl w:val="9850AC6E"/>
    <w:lvl w:ilvl="0" w:tplc="6CC2E84E">
      <w:start w:val="1"/>
      <w:numFmt w:val="decimal"/>
      <w:lvlText w:val="%1."/>
      <w:lvlJc w:val="left"/>
      <w:pPr>
        <w:ind w:left="1080" w:hanging="720"/>
      </w:pPr>
      <w:rPr>
        <w:rFonts w:hint="default"/>
      </w:rPr>
    </w:lvl>
    <w:lvl w:ilvl="1" w:tplc="CAB40D4C">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7BB6674"/>
    <w:multiLevelType w:val="hybridMultilevel"/>
    <w:tmpl w:val="EB825D70"/>
    <w:lvl w:ilvl="0" w:tplc="A37A1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9">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92722D"/>
    <w:multiLevelType w:val="hybridMultilevel"/>
    <w:tmpl w:val="9EACCCAA"/>
    <w:lvl w:ilvl="0" w:tplc="6CC2E84E">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0C7A28"/>
    <w:multiLevelType w:val="hybridMultilevel"/>
    <w:tmpl w:val="320671BE"/>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E04D17"/>
    <w:multiLevelType w:val="hybridMultilevel"/>
    <w:tmpl w:val="77661B88"/>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5"/>
  </w:num>
  <w:num w:numId="5">
    <w:abstractNumId w:val="15"/>
  </w:num>
  <w:num w:numId="6">
    <w:abstractNumId w:val="23"/>
  </w:num>
  <w:num w:numId="7">
    <w:abstractNumId w:val="18"/>
  </w:num>
  <w:num w:numId="8">
    <w:abstractNumId w:val="16"/>
  </w:num>
  <w:num w:numId="9">
    <w:abstractNumId w:val="23"/>
  </w:num>
  <w:num w:numId="10">
    <w:abstractNumId w:val="22"/>
  </w:num>
  <w:num w:numId="11">
    <w:abstractNumId w:val="17"/>
  </w:num>
  <w:num w:numId="12">
    <w:abstractNumId w:val="9"/>
  </w:num>
  <w:num w:numId="13">
    <w:abstractNumId w:val="21"/>
  </w:num>
  <w:num w:numId="14">
    <w:abstractNumId w:val="1"/>
  </w:num>
  <w:num w:numId="15">
    <w:abstractNumId w:val="36"/>
  </w:num>
  <w:num w:numId="16">
    <w:abstractNumId w:val="26"/>
  </w:num>
  <w:num w:numId="17">
    <w:abstractNumId w:val="8"/>
  </w:num>
  <w:num w:numId="18">
    <w:abstractNumId w:val="23"/>
    <w:lvlOverride w:ilvl="0">
      <w:startOverride w:val="1"/>
    </w:lvlOverride>
    <w:lvlOverride w:ilvl="1">
      <w:startOverride w:val="1"/>
    </w:lvlOverride>
    <w:lvlOverride w:ilvl="2">
      <w:startOverride w:val="2"/>
    </w:lvlOverride>
  </w:num>
  <w:num w:numId="19">
    <w:abstractNumId w:val="23"/>
    <w:lvlOverride w:ilvl="0">
      <w:startOverride w:val="1"/>
    </w:lvlOverride>
    <w:lvlOverride w:ilvl="1">
      <w:startOverride w:val="1"/>
    </w:lvlOverride>
    <w:lvlOverride w:ilvl="2">
      <w:startOverride w:val="3"/>
    </w:lvlOverride>
  </w:num>
  <w:num w:numId="20">
    <w:abstractNumId w:val="6"/>
  </w:num>
  <w:num w:numId="21">
    <w:abstractNumId w:val="27"/>
  </w:num>
  <w:num w:numId="22">
    <w:abstractNumId w:val="24"/>
  </w:num>
  <w:num w:numId="23">
    <w:abstractNumId w:val="10"/>
  </w:num>
  <w:num w:numId="24">
    <w:abstractNumId w:val="29"/>
  </w:num>
  <w:num w:numId="25">
    <w:abstractNumId w:val="31"/>
  </w:num>
  <w:num w:numId="26">
    <w:abstractNumId w:val="20"/>
  </w:num>
  <w:num w:numId="27">
    <w:abstractNumId w:val="23"/>
  </w:num>
  <w:num w:numId="28">
    <w:abstractNumId w:val="23"/>
  </w:num>
  <w:num w:numId="29">
    <w:abstractNumId w:val="23"/>
  </w:num>
  <w:num w:numId="30">
    <w:abstractNumId w:val="23"/>
  </w:num>
  <w:num w:numId="31">
    <w:abstractNumId w:val="2"/>
  </w:num>
  <w:num w:numId="32">
    <w:abstractNumId w:val="3"/>
  </w:num>
  <w:num w:numId="33">
    <w:abstractNumId w:val="5"/>
  </w:num>
  <w:num w:numId="34">
    <w:abstractNumId w:val="0"/>
  </w:num>
  <w:num w:numId="35">
    <w:abstractNumId w:val="28"/>
  </w:num>
  <w:num w:numId="36">
    <w:abstractNumId w:val="4"/>
  </w:num>
  <w:num w:numId="37">
    <w:abstractNumId w:val="30"/>
  </w:num>
  <w:num w:numId="38">
    <w:abstractNumId w:val="32"/>
  </w:num>
  <w:num w:numId="39">
    <w:abstractNumId w:val="25"/>
  </w:num>
  <w:num w:numId="40">
    <w:abstractNumId w:val="34"/>
  </w:num>
  <w:num w:numId="41">
    <w:abstractNumId w:val="33"/>
  </w:num>
  <w:num w:numId="42">
    <w:abstractNumId w:val="11"/>
  </w:num>
  <w:num w:numId="43">
    <w:abstractNumId w:val="7"/>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5DD"/>
    <w:rsid w:val="000024B4"/>
    <w:rsid w:val="00003809"/>
    <w:rsid w:val="00005C38"/>
    <w:rsid w:val="000124C6"/>
    <w:rsid w:val="00015510"/>
    <w:rsid w:val="00015FE8"/>
    <w:rsid w:val="00020FD7"/>
    <w:rsid w:val="0002198B"/>
    <w:rsid w:val="000219AC"/>
    <w:rsid w:val="00031D24"/>
    <w:rsid w:val="00035471"/>
    <w:rsid w:val="000359F2"/>
    <w:rsid w:val="00037873"/>
    <w:rsid w:val="0004181A"/>
    <w:rsid w:val="000433C4"/>
    <w:rsid w:val="000542BF"/>
    <w:rsid w:val="00054381"/>
    <w:rsid w:val="000656F5"/>
    <w:rsid w:val="00066160"/>
    <w:rsid w:val="00070B55"/>
    <w:rsid w:val="000711E1"/>
    <w:rsid w:val="00073708"/>
    <w:rsid w:val="00076218"/>
    <w:rsid w:val="00084305"/>
    <w:rsid w:val="00087256"/>
    <w:rsid w:val="00090603"/>
    <w:rsid w:val="000B4B9C"/>
    <w:rsid w:val="000B4FC2"/>
    <w:rsid w:val="000B657F"/>
    <w:rsid w:val="000C533A"/>
    <w:rsid w:val="000E280C"/>
    <w:rsid w:val="000E56B0"/>
    <w:rsid w:val="000E637D"/>
    <w:rsid w:val="000E7E6A"/>
    <w:rsid w:val="000F59CE"/>
    <w:rsid w:val="000F63AB"/>
    <w:rsid w:val="00116217"/>
    <w:rsid w:val="0012214B"/>
    <w:rsid w:val="00126942"/>
    <w:rsid w:val="001327EB"/>
    <w:rsid w:val="001329F3"/>
    <w:rsid w:val="00133446"/>
    <w:rsid w:val="00133786"/>
    <w:rsid w:val="00133D59"/>
    <w:rsid w:val="001349AE"/>
    <w:rsid w:val="00135834"/>
    <w:rsid w:val="0013604D"/>
    <w:rsid w:val="00140175"/>
    <w:rsid w:val="00143F15"/>
    <w:rsid w:val="001633CA"/>
    <w:rsid w:val="00163477"/>
    <w:rsid w:val="0016407C"/>
    <w:rsid w:val="00166367"/>
    <w:rsid w:val="00173194"/>
    <w:rsid w:val="00180E4A"/>
    <w:rsid w:val="001842D1"/>
    <w:rsid w:val="00185C7E"/>
    <w:rsid w:val="00186C2A"/>
    <w:rsid w:val="00192E06"/>
    <w:rsid w:val="001A0C9A"/>
    <w:rsid w:val="001A30D0"/>
    <w:rsid w:val="001A5072"/>
    <w:rsid w:val="001B00A3"/>
    <w:rsid w:val="001B2EBB"/>
    <w:rsid w:val="001C2A38"/>
    <w:rsid w:val="001C5C75"/>
    <w:rsid w:val="001C6F69"/>
    <w:rsid w:val="001D0E2E"/>
    <w:rsid w:val="001F6379"/>
    <w:rsid w:val="0020130D"/>
    <w:rsid w:val="00204415"/>
    <w:rsid w:val="00207850"/>
    <w:rsid w:val="00207A6E"/>
    <w:rsid w:val="00212097"/>
    <w:rsid w:val="00224A76"/>
    <w:rsid w:val="00224B92"/>
    <w:rsid w:val="00232045"/>
    <w:rsid w:val="002357E1"/>
    <w:rsid w:val="00236B97"/>
    <w:rsid w:val="00242740"/>
    <w:rsid w:val="00252897"/>
    <w:rsid w:val="00252DBA"/>
    <w:rsid w:val="00261343"/>
    <w:rsid w:val="002622F8"/>
    <w:rsid w:val="00276D4E"/>
    <w:rsid w:val="00277493"/>
    <w:rsid w:val="00293A35"/>
    <w:rsid w:val="00295DDE"/>
    <w:rsid w:val="002968BD"/>
    <w:rsid w:val="00297E88"/>
    <w:rsid w:val="002A3E28"/>
    <w:rsid w:val="002B0942"/>
    <w:rsid w:val="002B2085"/>
    <w:rsid w:val="002B4C73"/>
    <w:rsid w:val="002C16FA"/>
    <w:rsid w:val="002C4BDB"/>
    <w:rsid w:val="002C66E2"/>
    <w:rsid w:val="002D1190"/>
    <w:rsid w:val="002D3CEF"/>
    <w:rsid w:val="002D4A8F"/>
    <w:rsid w:val="002E0627"/>
    <w:rsid w:val="002F109B"/>
    <w:rsid w:val="00302B3C"/>
    <w:rsid w:val="003047C0"/>
    <w:rsid w:val="003049A9"/>
    <w:rsid w:val="00304D60"/>
    <w:rsid w:val="00313B33"/>
    <w:rsid w:val="0031455E"/>
    <w:rsid w:val="003161AF"/>
    <w:rsid w:val="003210FF"/>
    <w:rsid w:val="00322C1C"/>
    <w:rsid w:val="00325068"/>
    <w:rsid w:val="00325DE3"/>
    <w:rsid w:val="0033168C"/>
    <w:rsid w:val="00336386"/>
    <w:rsid w:val="0033653D"/>
    <w:rsid w:val="00336766"/>
    <w:rsid w:val="00336A1B"/>
    <w:rsid w:val="00340466"/>
    <w:rsid w:val="003457D5"/>
    <w:rsid w:val="00350FBD"/>
    <w:rsid w:val="0035365D"/>
    <w:rsid w:val="00354341"/>
    <w:rsid w:val="00354418"/>
    <w:rsid w:val="00357228"/>
    <w:rsid w:val="003623D1"/>
    <w:rsid w:val="00373BE0"/>
    <w:rsid w:val="00395B32"/>
    <w:rsid w:val="003A2311"/>
    <w:rsid w:val="003A2A82"/>
    <w:rsid w:val="003A2B80"/>
    <w:rsid w:val="003A5A20"/>
    <w:rsid w:val="003B0A5F"/>
    <w:rsid w:val="003B10B9"/>
    <w:rsid w:val="003B3370"/>
    <w:rsid w:val="003B6630"/>
    <w:rsid w:val="003C113F"/>
    <w:rsid w:val="003C462D"/>
    <w:rsid w:val="003C545C"/>
    <w:rsid w:val="003E2DAE"/>
    <w:rsid w:val="003E3C6E"/>
    <w:rsid w:val="003E57FB"/>
    <w:rsid w:val="003E5BD2"/>
    <w:rsid w:val="003E771B"/>
    <w:rsid w:val="003F6E44"/>
    <w:rsid w:val="0040090D"/>
    <w:rsid w:val="0040393B"/>
    <w:rsid w:val="004064B1"/>
    <w:rsid w:val="00406BC6"/>
    <w:rsid w:val="00410834"/>
    <w:rsid w:val="00411FE8"/>
    <w:rsid w:val="00416BEB"/>
    <w:rsid w:val="004306A5"/>
    <w:rsid w:val="00431B76"/>
    <w:rsid w:val="00435259"/>
    <w:rsid w:val="004419AC"/>
    <w:rsid w:val="0044227B"/>
    <w:rsid w:val="004429BD"/>
    <w:rsid w:val="0044424E"/>
    <w:rsid w:val="00445FD6"/>
    <w:rsid w:val="00451CAB"/>
    <w:rsid w:val="004555F9"/>
    <w:rsid w:val="0047219B"/>
    <w:rsid w:val="00477C2C"/>
    <w:rsid w:val="00477E7F"/>
    <w:rsid w:val="00490451"/>
    <w:rsid w:val="004A0BDE"/>
    <w:rsid w:val="004A1645"/>
    <w:rsid w:val="004A47BF"/>
    <w:rsid w:val="004A54F4"/>
    <w:rsid w:val="004B597A"/>
    <w:rsid w:val="004C6D82"/>
    <w:rsid w:val="004C7727"/>
    <w:rsid w:val="004D0A06"/>
    <w:rsid w:val="004D16C6"/>
    <w:rsid w:val="004D23AD"/>
    <w:rsid w:val="004D4696"/>
    <w:rsid w:val="004D717E"/>
    <w:rsid w:val="004E700C"/>
    <w:rsid w:val="004F2164"/>
    <w:rsid w:val="00500530"/>
    <w:rsid w:val="00502FDF"/>
    <w:rsid w:val="005032C9"/>
    <w:rsid w:val="005039B5"/>
    <w:rsid w:val="0051473A"/>
    <w:rsid w:val="00516C26"/>
    <w:rsid w:val="0051753D"/>
    <w:rsid w:val="00520A86"/>
    <w:rsid w:val="00541C9A"/>
    <w:rsid w:val="005440A6"/>
    <w:rsid w:val="00546EF3"/>
    <w:rsid w:val="00551B81"/>
    <w:rsid w:val="0055720E"/>
    <w:rsid w:val="0056014C"/>
    <w:rsid w:val="00560D71"/>
    <w:rsid w:val="005653ED"/>
    <w:rsid w:val="005738F7"/>
    <w:rsid w:val="00577199"/>
    <w:rsid w:val="005928CE"/>
    <w:rsid w:val="00594227"/>
    <w:rsid w:val="005945B6"/>
    <w:rsid w:val="005955D2"/>
    <w:rsid w:val="005A18BD"/>
    <w:rsid w:val="005A4284"/>
    <w:rsid w:val="005B182F"/>
    <w:rsid w:val="005B7F71"/>
    <w:rsid w:val="005C374F"/>
    <w:rsid w:val="005D0930"/>
    <w:rsid w:val="005D139C"/>
    <w:rsid w:val="005D62FA"/>
    <w:rsid w:val="005D69ED"/>
    <w:rsid w:val="005E5D2F"/>
    <w:rsid w:val="005E670B"/>
    <w:rsid w:val="005F4C74"/>
    <w:rsid w:val="0060263F"/>
    <w:rsid w:val="00614092"/>
    <w:rsid w:val="00614189"/>
    <w:rsid w:val="00616F84"/>
    <w:rsid w:val="00622096"/>
    <w:rsid w:val="00626015"/>
    <w:rsid w:val="006260D5"/>
    <w:rsid w:val="00626243"/>
    <w:rsid w:val="00630148"/>
    <w:rsid w:val="00631340"/>
    <w:rsid w:val="0064371E"/>
    <w:rsid w:val="00644C74"/>
    <w:rsid w:val="006457E8"/>
    <w:rsid w:val="00646439"/>
    <w:rsid w:val="006507F2"/>
    <w:rsid w:val="00650C8B"/>
    <w:rsid w:val="00653836"/>
    <w:rsid w:val="00654CF4"/>
    <w:rsid w:val="006556C2"/>
    <w:rsid w:val="0065701C"/>
    <w:rsid w:val="00662A29"/>
    <w:rsid w:val="00666E45"/>
    <w:rsid w:val="00673FE5"/>
    <w:rsid w:val="006809E9"/>
    <w:rsid w:val="006904DE"/>
    <w:rsid w:val="00690847"/>
    <w:rsid w:val="00694487"/>
    <w:rsid w:val="00695982"/>
    <w:rsid w:val="006B074E"/>
    <w:rsid w:val="006B1703"/>
    <w:rsid w:val="006B2138"/>
    <w:rsid w:val="006B2BD5"/>
    <w:rsid w:val="006B404B"/>
    <w:rsid w:val="006C7759"/>
    <w:rsid w:val="006D0E3D"/>
    <w:rsid w:val="006D6A41"/>
    <w:rsid w:val="006D7D9F"/>
    <w:rsid w:val="006E4384"/>
    <w:rsid w:val="006E4827"/>
    <w:rsid w:val="006E4B9C"/>
    <w:rsid w:val="006E63D1"/>
    <w:rsid w:val="006F284C"/>
    <w:rsid w:val="006F7227"/>
    <w:rsid w:val="00700F28"/>
    <w:rsid w:val="00702366"/>
    <w:rsid w:val="0070502C"/>
    <w:rsid w:val="00710BBA"/>
    <w:rsid w:val="007163BC"/>
    <w:rsid w:val="00716A78"/>
    <w:rsid w:val="00717F31"/>
    <w:rsid w:val="00730AE3"/>
    <w:rsid w:val="00731FF0"/>
    <w:rsid w:val="007349C5"/>
    <w:rsid w:val="00736BC2"/>
    <w:rsid w:val="007516D3"/>
    <w:rsid w:val="00757851"/>
    <w:rsid w:val="00760544"/>
    <w:rsid w:val="007632D0"/>
    <w:rsid w:val="00767105"/>
    <w:rsid w:val="00772A6E"/>
    <w:rsid w:val="00773B72"/>
    <w:rsid w:val="0079325E"/>
    <w:rsid w:val="007B1587"/>
    <w:rsid w:val="007B6BB1"/>
    <w:rsid w:val="007C5285"/>
    <w:rsid w:val="007C633B"/>
    <w:rsid w:val="007D1646"/>
    <w:rsid w:val="007D3182"/>
    <w:rsid w:val="007E42FD"/>
    <w:rsid w:val="007E71B7"/>
    <w:rsid w:val="007F00F0"/>
    <w:rsid w:val="007F5457"/>
    <w:rsid w:val="007F64D3"/>
    <w:rsid w:val="007F68C1"/>
    <w:rsid w:val="007F6DA2"/>
    <w:rsid w:val="00803D04"/>
    <w:rsid w:val="00805BDF"/>
    <w:rsid w:val="00807314"/>
    <w:rsid w:val="00810BAB"/>
    <w:rsid w:val="00810BDE"/>
    <w:rsid w:val="0081170F"/>
    <w:rsid w:val="00811FF1"/>
    <w:rsid w:val="00825524"/>
    <w:rsid w:val="0083211E"/>
    <w:rsid w:val="008345B2"/>
    <w:rsid w:val="00843FF1"/>
    <w:rsid w:val="008465BB"/>
    <w:rsid w:val="0085536E"/>
    <w:rsid w:val="00856DB0"/>
    <w:rsid w:val="00856FF0"/>
    <w:rsid w:val="00864F5F"/>
    <w:rsid w:val="0086526D"/>
    <w:rsid w:val="00870D40"/>
    <w:rsid w:val="00876A42"/>
    <w:rsid w:val="00877F33"/>
    <w:rsid w:val="00882929"/>
    <w:rsid w:val="00886258"/>
    <w:rsid w:val="00886622"/>
    <w:rsid w:val="00887615"/>
    <w:rsid w:val="00896EC9"/>
    <w:rsid w:val="008974C6"/>
    <w:rsid w:val="008A457E"/>
    <w:rsid w:val="008B0140"/>
    <w:rsid w:val="008B11D3"/>
    <w:rsid w:val="008B28B2"/>
    <w:rsid w:val="008C013C"/>
    <w:rsid w:val="008C0535"/>
    <w:rsid w:val="008C1E35"/>
    <w:rsid w:val="008D514B"/>
    <w:rsid w:val="008D5AA2"/>
    <w:rsid w:val="008E0DAA"/>
    <w:rsid w:val="008E1963"/>
    <w:rsid w:val="008E255F"/>
    <w:rsid w:val="008E5F84"/>
    <w:rsid w:val="008E7500"/>
    <w:rsid w:val="009067F8"/>
    <w:rsid w:val="00920603"/>
    <w:rsid w:val="009222A1"/>
    <w:rsid w:val="00922EAD"/>
    <w:rsid w:val="0092794B"/>
    <w:rsid w:val="00930109"/>
    <w:rsid w:val="00935640"/>
    <w:rsid w:val="009427DD"/>
    <w:rsid w:val="00946C94"/>
    <w:rsid w:val="00953856"/>
    <w:rsid w:val="00954990"/>
    <w:rsid w:val="009554D5"/>
    <w:rsid w:val="00960138"/>
    <w:rsid w:val="0096294A"/>
    <w:rsid w:val="00964EA4"/>
    <w:rsid w:val="00967A75"/>
    <w:rsid w:val="00976330"/>
    <w:rsid w:val="009769FD"/>
    <w:rsid w:val="0098289B"/>
    <w:rsid w:val="00984F27"/>
    <w:rsid w:val="0098727C"/>
    <w:rsid w:val="00991FBD"/>
    <w:rsid w:val="009A0D21"/>
    <w:rsid w:val="009A1698"/>
    <w:rsid w:val="009A3773"/>
    <w:rsid w:val="009A4387"/>
    <w:rsid w:val="009B5DA9"/>
    <w:rsid w:val="009B5E1D"/>
    <w:rsid w:val="009B6E33"/>
    <w:rsid w:val="009B72AA"/>
    <w:rsid w:val="009B7E3F"/>
    <w:rsid w:val="009C10BF"/>
    <w:rsid w:val="009C7088"/>
    <w:rsid w:val="009D2F92"/>
    <w:rsid w:val="009D548F"/>
    <w:rsid w:val="009E0F1E"/>
    <w:rsid w:val="009E2B79"/>
    <w:rsid w:val="009E76AA"/>
    <w:rsid w:val="009F66C0"/>
    <w:rsid w:val="00A020C9"/>
    <w:rsid w:val="00A050C2"/>
    <w:rsid w:val="00A05A16"/>
    <w:rsid w:val="00A0749D"/>
    <w:rsid w:val="00A10051"/>
    <w:rsid w:val="00A14D1F"/>
    <w:rsid w:val="00A20E50"/>
    <w:rsid w:val="00A20F36"/>
    <w:rsid w:val="00A30DAD"/>
    <w:rsid w:val="00A352E0"/>
    <w:rsid w:val="00A5634D"/>
    <w:rsid w:val="00A60495"/>
    <w:rsid w:val="00A62171"/>
    <w:rsid w:val="00A66120"/>
    <w:rsid w:val="00A72D6A"/>
    <w:rsid w:val="00A83658"/>
    <w:rsid w:val="00A840D4"/>
    <w:rsid w:val="00A84F05"/>
    <w:rsid w:val="00A91917"/>
    <w:rsid w:val="00A93D3F"/>
    <w:rsid w:val="00A968E4"/>
    <w:rsid w:val="00AA014E"/>
    <w:rsid w:val="00AA2DB2"/>
    <w:rsid w:val="00AA4C9E"/>
    <w:rsid w:val="00AB397B"/>
    <w:rsid w:val="00AB4206"/>
    <w:rsid w:val="00AB5139"/>
    <w:rsid w:val="00AB77C6"/>
    <w:rsid w:val="00AC1E69"/>
    <w:rsid w:val="00AC3622"/>
    <w:rsid w:val="00AC7923"/>
    <w:rsid w:val="00AD3B47"/>
    <w:rsid w:val="00AD7375"/>
    <w:rsid w:val="00AE50D6"/>
    <w:rsid w:val="00AF4DD9"/>
    <w:rsid w:val="00AF73EC"/>
    <w:rsid w:val="00B01271"/>
    <w:rsid w:val="00B0422A"/>
    <w:rsid w:val="00B13A01"/>
    <w:rsid w:val="00B21962"/>
    <w:rsid w:val="00B22FEB"/>
    <w:rsid w:val="00B233F9"/>
    <w:rsid w:val="00B24944"/>
    <w:rsid w:val="00B2576C"/>
    <w:rsid w:val="00B271A0"/>
    <w:rsid w:val="00B27D0E"/>
    <w:rsid w:val="00B3299A"/>
    <w:rsid w:val="00B40B44"/>
    <w:rsid w:val="00B41CED"/>
    <w:rsid w:val="00B47971"/>
    <w:rsid w:val="00B56B11"/>
    <w:rsid w:val="00B70370"/>
    <w:rsid w:val="00B7476C"/>
    <w:rsid w:val="00B749F5"/>
    <w:rsid w:val="00B823D9"/>
    <w:rsid w:val="00B85F9B"/>
    <w:rsid w:val="00B9173C"/>
    <w:rsid w:val="00B92CE4"/>
    <w:rsid w:val="00B96116"/>
    <w:rsid w:val="00B96355"/>
    <w:rsid w:val="00BA1498"/>
    <w:rsid w:val="00BA30BA"/>
    <w:rsid w:val="00BA3233"/>
    <w:rsid w:val="00BA344D"/>
    <w:rsid w:val="00BC2AC0"/>
    <w:rsid w:val="00BE37A4"/>
    <w:rsid w:val="00BE45DE"/>
    <w:rsid w:val="00BE4A56"/>
    <w:rsid w:val="00BE7878"/>
    <w:rsid w:val="00BF0FE7"/>
    <w:rsid w:val="00BF3C64"/>
    <w:rsid w:val="00BF6863"/>
    <w:rsid w:val="00C05456"/>
    <w:rsid w:val="00C076A9"/>
    <w:rsid w:val="00C14CB9"/>
    <w:rsid w:val="00C150AE"/>
    <w:rsid w:val="00C15A65"/>
    <w:rsid w:val="00C15BBB"/>
    <w:rsid w:val="00C164DE"/>
    <w:rsid w:val="00C25117"/>
    <w:rsid w:val="00C2557F"/>
    <w:rsid w:val="00C257DC"/>
    <w:rsid w:val="00C305CB"/>
    <w:rsid w:val="00C30B99"/>
    <w:rsid w:val="00C31FC0"/>
    <w:rsid w:val="00C33250"/>
    <w:rsid w:val="00C36C29"/>
    <w:rsid w:val="00C37EB6"/>
    <w:rsid w:val="00C37FF1"/>
    <w:rsid w:val="00C43D56"/>
    <w:rsid w:val="00C44CD9"/>
    <w:rsid w:val="00C45DC4"/>
    <w:rsid w:val="00C507CD"/>
    <w:rsid w:val="00C512B4"/>
    <w:rsid w:val="00C5254B"/>
    <w:rsid w:val="00C548E5"/>
    <w:rsid w:val="00C627F6"/>
    <w:rsid w:val="00C717E5"/>
    <w:rsid w:val="00C71DB6"/>
    <w:rsid w:val="00C85EA4"/>
    <w:rsid w:val="00C90043"/>
    <w:rsid w:val="00C912FE"/>
    <w:rsid w:val="00C96880"/>
    <w:rsid w:val="00CA1572"/>
    <w:rsid w:val="00CA6B87"/>
    <w:rsid w:val="00CB77C0"/>
    <w:rsid w:val="00CC2031"/>
    <w:rsid w:val="00CD158B"/>
    <w:rsid w:val="00CE295A"/>
    <w:rsid w:val="00CE51C3"/>
    <w:rsid w:val="00CE7120"/>
    <w:rsid w:val="00CE7215"/>
    <w:rsid w:val="00CE7D8D"/>
    <w:rsid w:val="00CF4F69"/>
    <w:rsid w:val="00D04537"/>
    <w:rsid w:val="00D15589"/>
    <w:rsid w:val="00D2054B"/>
    <w:rsid w:val="00D20E6A"/>
    <w:rsid w:val="00D22AE8"/>
    <w:rsid w:val="00D25322"/>
    <w:rsid w:val="00D31E44"/>
    <w:rsid w:val="00D34C26"/>
    <w:rsid w:val="00D41446"/>
    <w:rsid w:val="00D432AD"/>
    <w:rsid w:val="00D455C1"/>
    <w:rsid w:val="00D51069"/>
    <w:rsid w:val="00D650E5"/>
    <w:rsid w:val="00D67B34"/>
    <w:rsid w:val="00D772F7"/>
    <w:rsid w:val="00D823E6"/>
    <w:rsid w:val="00D8256B"/>
    <w:rsid w:val="00D83355"/>
    <w:rsid w:val="00D83C89"/>
    <w:rsid w:val="00D9020C"/>
    <w:rsid w:val="00D9378E"/>
    <w:rsid w:val="00D9537D"/>
    <w:rsid w:val="00DB46EC"/>
    <w:rsid w:val="00DD07E0"/>
    <w:rsid w:val="00DD12FA"/>
    <w:rsid w:val="00DD52CC"/>
    <w:rsid w:val="00DD5FBB"/>
    <w:rsid w:val="00DE128D"/>
    <w:rsid w:val="00DE308B"/>
    <w:rsid w:val="00DF625F"/>
    <w:rsid w:val="00E01974"/>
    <w:rsid w:val="00E11546"/>
    <w:rsid w:val="00E1181D"/>
    <w:rsid w:val="00E11BFB"/>
    <w:rsid w:val="00E15792"/>
    <w:rsid w:val="00E37A7A"/>
    <w:rsid w:val="00E42FDB"/>
    <w:rsid w:val="00E4525F"/>
    <w:rsid w:val="00E47630"/>
    <w:rsid w:val="00E53C89"/>
    <w:rsid w:val="00E55B3B"/>
    <w:rsid w:val="00E55E91"/>
    <w:rsid w:val="00E56CE2"/>
    <w:rsid w:val="00E57516"/>
    <w:rsid w:val="00E6257C"/>
    <w:rsid w:val="00E653E4"/>
    <w:rsid w:val="00E75033"/>
    <w:rsid w:val="00E91E67"/>
    <w:rsid w:val="00E94733"/>
    <w:rsid w:val="00E95506"/>
    <w:rsid w:val="00E96230"/>
    <w:rsid w:val="00EA0D33"/>
    <w:rsid w:val="00EA2B50"/>
    <w:rsid w:val="00EA3DA2"/>
    <w:rsid w:val="00EA6805"/>
    <w:rsid w:val="00EA7525"/>
    <w:rsid w:val="00EB0D38"/>
    <w:rsid w:val="00EB16E5"/>
    <w:rsid w:val="00EB1BCA"/>
    <w:rsid w:val="00EC0891"/>
    <w:rsid w:val="00ED5647"/>
    <w:rsid w:val="00EE20FA"/>
    <w:rsid w:val="00EE51DB"/>
    <w:rsid w:val="00EE54FC"/>
    <w:rsid w:val="00EE62E2"/>
    <w:rsid w:val="00EF1729"/>
    <w:rsid w:val="00EF7F13"/>
    <w:rsid w:val="00F016A7"/>
    <w:rsid w:val="00F04F1A"/>
    <w:rsid w:val="00F10802"/>
    <w:rsid w:val="00F11F9F"/>
    <w:rsid w:val="00F13C17"/>
    <w:rsid w:val="00F13DC0"/>
    <w:rsid w:val="00F14485"/>
    <w:rsid w:val="00F16F02"/>
    <w:rsid w:val="00F26A60"/>
    <w:rsid w:val="00F30C39"/>
    <w:rsid w:val="00F31B5B"/>
    <w:rsid w:val="00F34E70"/>
    <w:rsid w:val="00F421D9"/>
    <w:rsid w:val="00F422CD"/>
    <w:rsid w:val="00F465B6"/>
    <w:rsid w:val="00F5013C"/>
    <w:rsid w:val="00F61DB2"/>
    <w:rsid w:val="00F64CB9"/>
    <w:rsid w:val="00F67181"/>
    <w:rsid w:val="00F77628"/>
    <w:rsid w:val="00F80632"/>
    <w:rsid w:val="00F838DD"/>
    <w:rsid w:val="00F86240"/>
    <w:rsid w:val="00F8724B"/>
    <w:rsid w:val="00F87848"/>
    <w:rsid w:val="00F94C8D"/>
    <w:rsid w:val="00FA60E6"/>
    <w:rsid w:val="00FB3B70"/>
    <w:rsid w:val="00FC6159"/>
    <w:rsid w:val="00FD061C"/>
    <w:rsid w:val="00FD12A1"/>
    <w:rsid w:val="00FD1484"/>
    <w:rsid w:val="00FE1C32"/>
    <w:rsid w:val="00FE301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33168C"/>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39B5"/>
    <w:rPr>
      <w:color w:val="605E5C"/>
      <w:shd w:val="clear" w:color="auto" w:fill="E1DFDD"/>
    </w:rPr>
  </w:style>
  <w:style w:type="paragraph" w:styleId="NormalWeb">
    <w:name w:val="Normal (Web)"/>
    <w:basedOn w:val="Normal"/>
    <w:uiPriority w:val="99"/>
    <w:semiHidden/>
    <w:unhideWhenUsed/>
    <w:rsid w:val="00810BDE"/>
    <w:rPr>
      <w:sz w:val="24"/>
    </w:rPr>
  </w:style>
  <w:style w:type="character" w:customStyle="1" w:styleId="UnresolvedMention">
    <w:name w:val="Unresolved Mention"/>
    <w:basedOn w:val="DefaultParagraphFont"/>
    <w:uiPriority w:val="99"/>
    <w:semiHidden/>
    <w:unhideWhenUsed/>
    <w:rsid w:val="005D093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33168C"/>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39B5"/>
    <w:rPr>
      <w:color w:val="605E5C"/>
      <w:shd w:val="clear" w:color="auto" w:fill="E1DFDD"/>
    </w:rPr>
  </w:style>
  <w:style w:type="paragraph" w:styleId="NormalWeb">
    <w:name w:val="Normal (Web)"/>
    <w:basedOn w:val="Normal"/>
    <w:uiPriority w:val="99"/>
    <w:semiHidden/>
    <w:unhideWhenUsed/>
    <w:rsid w:val="00810BDE"/>
    <w:rPr>
      <w:sz w:val="24"/>
    </w:rPr>
  </w:style>
  <w:style w:type="character" w:customStyle="1" w:styleId="UnresolvedMention">
    <w:name w:val="Unresolved Mention"/>
    <w:basedOn w:val="DefaultParagraphFont"/>
    <w:uiPriority w:val="99"/>
    <w:semiHidden/>
    <w:unhideWhenUsed/>
    <w:rsid w:val="005D09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5084">
      <w:bodyDiv w:val="1"/>
      <w:marLeft w:val="0"/>
      <w:marRight w:val="0"/>
      <w:marTop w:val="0"/>
      <w:marBottom w:val="0"/>
      <w:divBdr>
        <w:top w:val="none" w:sz="0" w:space="0" w:color="auto"/>
        <w:left w:val="none" w:sz="0" w:space="0" w:color="auto"/>
        <w:bottom w:val="none" w:sz="0" w:space="0" w:color="auto"/>
        <w:right w:val="none" w:sz="0" w:space="0" w:color="auto"/>
      </w:divBdr>
    </w:div>
    <w:div w:id="1150564239">
      <w:bodyDiv w:val="1"/>
      <w:marLeft w:val="0"/>
      <w:marRight w:val="0"/>
      <w:marTop w:val="0"/>
      <w:marBottom w:val="0"/>
      <w:divBdr>
        <w:top w:val="none" w:sz="0" w:space="0" w:color="auto"/>
        <w:left w:val="none" w:sz="0" w:space="0" w:color="auto"/>
        <w:bottom w:val="none" w:sz="0" w:space="0" w:color="auto"/>
        <w:right w:val="none" w:sz="0" w:space="0" w:color="auto"/>
      </w:divBdr>
    </w:div>
    <w:div w:id="1219127877">
      <w:bodyDiv w:val="1"/>
      <w:marLeft w:val="0"/>
      <w:marRight w:val="0"/>
      <w:marTop w:val="0"/>
      <w:marBottom w:val="0"/>
      <w:divBdr>
        <w:top w:val="none" w:sz="0" w:space="0" w:color="auto"/>
        <w:left w:val="none" w:sz="0" w:space="0" w:color="auto"/>
        <w:bottom w:val="none" w:sz="0" w:space="0" w:color="auto"/>
        <w:right w:val="none" w:sz="0" w:space="0" w:color="auto"/>
      </w:divBdr>
      <w:divsChild>
        <w:div w:id="408429486">
          <w:marLeft w:val="0"/>
          <w:marRight w:val="0"/>
          <w:marTop w:val="90"/>
          <w:marBottom w:val="90"/>
          <w:divBdr>
            <w:top w:val="none" w:sz="0" w:space="0" w:color="auto"/>
            <w:left w:val="none" w:sz="0" w:space="0" w:color="auto"/>
            <w:bottom w:val="none" w:sz="0" w:space="0" w:color="auto"/>
            <w:right w:val="none" w:sz="0" w:space="0" w:color="auto"/>
          </w:divBdr>
        </w:div>
        <w:div w:id="1529873046">
          <w:marLeft w:val="0"/>
          <w:marRight w:val="0"/>
          <w:marTop w:val="90"/>
          <w:marBottom w:val="90"/>
          <w:divBdr>
            <w:top w:val="none" w:sz="0" w:space="0" w:color="auto"/>
            <w:left w:val="none" w:sz="0" w:space="0" w:color="auto"/>
            <w:bottom w:val="none" w:sz="0" w:space="0" w:color="auto"/>
            <w:right w:val="none" w:sz="0" w:space="0" w:color="auto"/>
          </w:divBdr>
        </w:div>
      </w:divsChild>
    </w:div>
    <w:div w:id="1338263513">
      <w:bodyDiv w:val="1"/>
      <w:marLeft w:val="0"/>
      <w:marRight w:val="0"/>
      <w:marTop w:val="0"/>
      <w:marBottom w:val="0"/>
      <w:divBdr>
        <w:top w:val="none" w:sz="0" w:space="0" w:color="auto"/>
        <w:left w:val="none" w:sz="0" w:space="0" w:color="auto"/>
        <w:bottom w:val="none" w:sz="0" w:space="0" w:color="auto"/>
        <w:right w:val="none" w:sz="0" w:space="0" w:color="auto"/>
      </w:divBdr>
    </w:div>
    <w:div w:id="1389036698">
      <w:bodyDiv w:val="1"/>
      <w:marLeft w:val="0"/>
      <w:marRight w:val="0"/>
      <w:marTop w:val="0"/>
      <w:marBottom w:val="0"/>
      <w:divBdr>
        <w:top w:val="none" w:sz="0" w:space="0" w:color="auto"/>
        <w:left w:val="none" w:sz="0" w:space="0" w:color="auto"/>
        <w:bottom w:val="none" w:sz="0" w:space="0" w:color="auto"/>
        <w:right w:val="none" w:sz="0" w:space="0" w:color="auto"/>
      </w:divBdr>
    </w:div>
    <w:div w:id="1585258851">
      <w:bodyDiv w:val="1"/>
      <w:marLeft w:val="0"/>
      <w:marRight w:val="0"/>
      <w:marTop w:val="0"/>
      <w:marBottom w:val="0"/>
      <w:divBdr>
        <w:top w:val="none" w:sz="0" w:space="0" w:color="auto"/>
        <w:left w:val="none" w:sz="0" w:space="0" w:color="auto"/>
        <w:bottom w:val="none" w:sz="0" w:space="0" w:color="auto"/>
        <w:right w:val="none" w:sz="0" w:space="0" w:color="auto"/>
      </w:divBdr>
    </w:div>
    <w:div w:id="1775247510">
      <w:bodyDiv w:val="1"/>
      <w:marLeft w:val="0"/>
      <w:marRight w:val="0"/>
      <w:marTop w:val="0"/>
      <w:marBottom w:val="0"/>
      <w:divBdr>
        <w:top w:val="none" w:sz="0" w:space="0" w:color="auto"/>
        <w:left w:val="none" w:sz="0" w:space="0" w:color="auto"/>
        <w:bottom w:val="none" w:sz="0" w:space="0" w:color="auto"/>
        <w:right w:val="none" w:sz="0" w:space="0" w:color="auto"/>
      </w:divBdr>
    </w:div>
    <w:div w:id="178260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31-en.pdf" TargetMode="External"/><Relationship Id="rId18" Type="http://schemas.openxmlformats.org/officeDocument/2006/relationships/hyperlink" Target="https://www.cbd.int/doc/decisions/np-mop-01/np-mop-01-dec-12-en.pdf" TargetMode="External"/><Relationship Id="rId26" Type="http://schemas.openxmlformats.org/officeDocument/2006/relationships/hyperlink" Target="https://www.cbd.int/doc/decisions/cop-13/cop-13-dec-26-en.pdf" TargetMode="External"/><Relationship Id="rId3" Type="http://schemas.openxmlformats.org/officeDocument/2006/relationships/styles" Target="styles.xml"/><Relationship Id="rId21" Type="http://schemas.openxmlformats.org/officeDocument/2006/relationships/hyperlink" Target="https://www.cbd.int/doc/decisions/np-mop-02/np-mop-02-dec-12-en.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1/cop-11-dec-10-en.pdf" TargetMode="External"/><Relationship Id="rId17" Type="http://schemas.openxmlformats.org/officeDocument/2006/relationships/hyperlink" Target="https://www.cbd.int/doc/decisions/mop-07/mop-07-dec-09-en.pdf" TargetMode="External"/><Relationship Id="rId25" Type="http://schemas.openxmlformats.org/officeDocument/2006/relationships/hyperlink" Target="https://www.cbd.int/doc/decisions/np-mop-01/np-mop-01-dec-12-en.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oc/decisions/cop-12/cop-12-dec-27-en.pdf" TargetMode="External"/><Relationship Id="rId20" Type="http://schemas.openxmlformats.org/officeDocument/2006/relationships/hyperlink" Target="https://www.cbd.int/doc/decisions/mop-08/mop-08-dec-10-en.pdf" TargetMode="External"/><Relationship Id="rId29" Type="http://schemas.openxmlformats.org/officeDocument/2006/relationships/hyperlink" Target="https://www.cbd.int/doc/decisions/np-mop-02/np-mop-02-dec-12-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hyperlink" Target="https://www.cbd.int/doc/decisions/mop-07/mop-07-dec-09-en.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08/cop-08-dec-10-en.pdf" TargetMode="External"/><Relationship Id="rId23" Type="http://schemas.openxmlformats.org/officeDocument/2006/relationships/hyperlink" Target="https://www.cbd.int/doc/decisions/cop-12/cop-12-dec-27-en.pdf" TargetMode="External"/><Relationship Id="rId28" Type="http://schemas.openxmlformats.org/officeDocument/2006/relationships/hyperlink" Target="https://www.cbd.int/doc/decisions/mop-08/mop-08-dec-10-en.pdf" TargetMode="External"/><Relationship Id="rId10" Type="http://schemas.openxmlformats.org/officeDocument/2006/relationships/image" Target="media/image3.emf"/><Relationship Id="rId19" Type="http://schemas.openxmlformats.org/officeDocument/2006/relationships/hyperlink" Target="https://www.cbd.int/doc/decisions/cop-13/cop-13-dec-26-en.pdf"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www.cbd.int/doc/decisions/cop-07/cop-07-dec-30-en.pdf" TargetMode="External"/><Relationship Id="rId22" Type="http://schemas.openxmlformats.org/officeDocument/2006/relationships/hyperlink" Target="https://www.cbd.int/decision/mop/default.shtml?id=8286" TargetMode="External"/><Relationship Id="rId27" Type="http://schemas.openxmlformats.org/officeDocument/2006/relationships/hyperlink" Target="https://www.cbd.int/doc/decisions/cop-13/cop-13-dec-33-en.pdf" TargetMode="External"/><Relationship Id="rId30" Type="http://schemas.openxmlformats.org/officeDocument/2006/relationships/header" Target="header1.xml"/><Relationship Id="rId35"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medicines/news/2017/Guidelines_for_Declaration_of_Interests_WHO_Experts_51b2CRD.pdf" TargetMode="External"/><Relationship Id="rId3" Type="http://schemas.openxmlformats.org/officeDocument/2006/relationships/hyperlink" Target="https://cites.org/sites/default/files/eng/com/sc/66/E-SC66-08.pdf" TargetMode="External"/><Relationship Id="rId7" Type="http://schemas.openxmlformats.org/officeDocument/2006/relationships/hyperlink" Target="https://www.ipbes.net/system/tdf/downloads/Conflict_of_interest_policy.pdf?file=1&amp;type=node&amp;id=15252&amp;force" TargetMode="External"/><Relationship Id="rId12" Type="http://schemas.openxmlformats.org/officeDocument/2006/relationships/hyperlink" Target="https://www.ipbes.net/system/tdf/downloads/Conflict_of_interest_policy.pdf?file=1&amp;type=node&amp;id=15252&amp;force" TargetMode="External"/><Relationship Id="rId2" Type="http://schemas.openxmlformats.org/officeDocument/2006/relationships/hyperlink" Target="https://cites.org/sites/default/files/eng/cop/16/doc/E-CoP16-11.pdf" TargetMode="External"/><Relationship Id="rId1" Type="http://schemas.openxmlformats.org/officeDocument/2006/relationships/hyperlink" Target="https://www.cbd.int/meetings/wgri-01" TargetMode="External"/><Relationship Id="rId6" Type="http://schemas.openxmlformats.org/officeDocument/2006/relationships/hyperlink" Target="https://www.ipbes.net/conflict-interest-policy-implementation-procedures" TargetMode="External"/><Relationship Id="rId11" Type="http://schemas.openxmlformats.org/officeDocument/2006/relationships/hyperlink" Target="http://bch.cbd.int/protocol/decisions/?decisionID=8286" TargetMode="External"/><Relationship Id="rId5" Type="http://schemas.openxmlformats.org/officeDocument/2006/relationships/hyperlink" Target="http://www.pic.int/Procedures/DeclarationofConflictsofInterest/tabid/3467/language/en-US/Default.aspx" TargetMode="External"/><Relationship Id="rId10" Type="http://schemas.openxmlformats.org/officeDocument/2006/relationships/hyperlink" Target="https://www.nature.com/articles/d41586-017-08214-4" TargetMode="External"/><Relationship Id="rId4" Type="http://schemas.openxmlformats.org/officeDocument/2006/relationships/hyperlink" Target="http://www.pops.int/Procedures/Declarationofconflictsofinterest/tabid/3471/Default.aspx" TargetMode="External"/><Relationship Id="rId9" Type="http://schemas.openxmlformats.org/officeDocument/2006/relationships/hyperlink" Target="https://www.greenclimate.fund/documents/20182/24931/GCF_B.01-13_12_-Decisions_of_the_Board_-_Third_Meeting_of_the_Board__13-15_March_2013.pdf/05f6e4ae-3c80-455c-90c7-4b5750c234a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C16D1CAE4A344423B0F4F04BD3446B31"/>
        <w:category>
          <w:name w:val="General"/>
          <w:gallery w:val="placeholder"/>
        </w:category>
        <w:types>
          <w:type w:val="bbPlcHdr"/>
        </w:types>
        <w:behaviors>
          <w:behavior w:val="content"/>
        </w:behaviors>
        <w:guid w:val="{63F70D3F-43BD-46C5-B512-1C1F3D332B7A}"/>
      </w:docPartPr>
      <w:docPartBody>
        <w:p w:rsidR="002C06C1" w:rsidRDefault="002C06C1">
          <w:r w:rsidRPr="00DC4F3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B29AF"/>
    <w:rsid w:val="00246769"/>
    <w:rsid w:val="0029753A"/>
    <w:rsid w:val="002C06C1"/>
    <w:rsid w:val="0037757D"/>
    <w:rsid w:val="003918F7"/>
    <w:rsid w:val="003D610B"/>
    <w:rsid w:val="004A69EC"/>
    <w:rsid w:val="00662577"/>
    <w:rsid w:val="0073213C"/>
    <w:rsid w:val="007E501A"/>
    <w:rsid w:val="0083264A"/>
    <w:rsid w:val="009B6AFA"/>
    <w:rsid w:val="00A02BF9"/>
    <w:rsid w:val="00A27574"/>
    <w:rsid w:val="00B36C7B"/>
    <w:rsid w:val="00BB2CFE"/>
    <w:rsid w:val="00D5481D"/>
    <w:rsid w:val="00EC17B5"/>
    <w:rsid w:val="00FB5A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C06C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C06C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FACF-C070-4F70-B18D-81A6AAA3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14</Pages>
  <Words>7364</Words>
  <Characters>41975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Review of the effectiveness of processes under the Convention and its Protocols</vt:lpstr>
    </vt:vector>
  </TitlesOfParts>
  <Company>Biodiversity</Company>
  <LinksUpToDate>false</LinksUpToDate>
  <CharactersWithSpaces>49241</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effectiveness of processes under the Convention and its Protocols</dc:title>
  <dc:subject>CBD/SBI/2/16</dc:subject>
  <dc:creator>SCBD</dc:creator>
  <cp:lastModifiedBy>Orestes Plasencia</cp:lastModifiedBy>
  <cp:revision>4</cp:revision>
  <cp:lastPrinted>2018-06-05T19:50:00Z</cp:lastPrinted>
  <dcterms:created xsi:type="dcterms:W3CDTF">2018-06-07T00:48:00Z</dcterms:created>
  <dcterms:modified xsi:type="dcterms:W3CDTF">2018-06-07T00:50:00Z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