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D0479" w:rsidRPr="008D0479" w14:paraId="73E237B4" w14:textId="77777777" w:rsidTr="002377CB">
        <w:trPr>
          <w:trHeight w:val="851"/>
        </w:trPr>
        <w:tc>
          <w:tcPr>
            <w:tcW w:w="465" w:type="pct"/>
            <w:tcBorders>
              <w:bottom w:val="single" w:sz="8" w:space="0" w:color="auto"/>
            </w:tcBorders>
            <w:vAlign w:val="bottom"/>
          </w:tcPr>
          <w:p w14:paraId="000563D2" w14:textId="77777777" w:rsidR="00A96B21" w:rsidRPr="008D0479" w:rsidRDefault="00A96B21" w:rsidP="002377CB">
            <w:pPr>
              <w:spacing w:after="120"/>
              <w:jc w:val="left"/>
            </w:pPr>
            <w:bookmarkStart w:id="0" w:name="_Hlk137651738"/>
            <w:r w:rsidRPr="008D0479">
              <w:rPr>
                <w:noProof/>
              </w:rPr>
              <w:drawing>
                <wp:inline distT="0" distB="0" distL="0" distR="0" wp14:anchorId="2AD998F9" wp14:editId="78CE5B6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9D32622" w14:textId="77777777" w:rsidR="00A96B21" w:rsidRPr="008D0479" w:rsidRDefault="00A96B21" w:rsidP="002377CB">
            <w:pPr>
              <w:spacing w:after="120"/>
              <w:jc w:val="left"/>
            </w:pPr>
            <w:r w:rsidRPr="008D0479">
              <w:rPr>
                <w:noProof/>
              </w:rPr>
              <w:drawing>
                <wp:inline distT="0" distB="0" distL="0" distR="0" wp14:anchorId="1F955B2E" wp14:editId="3FD7C8C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46AE50E" w14:textId="31BFF18E" w:rsidR="00A96B21" w:rsidRPr="008D0479" w:rsidRDefault="00A96B21" w:rsidP="00184909">
            <w:pPr>
              <w:spacing w:after="120"/>
              <w:ind w:left="2021"/>
              <w:jc w:val="right"/>
              <w:rPr>
                <w:szCs w:val="22"/>
              </w:rPr>
            </w:pPr>
            <w:r w:rsidRPr="008D0479">
              <w:rPr>
                <w:sz w:val="40"/>
                <w:szCs w:val="40"/>
              </w:rPr>
              <w:t>CBD</w:t>
            </w:r>
            <w:r w:rsidR="00A00234" w:rsidRPr="008D0479">
              <w:rPr>
                <w:szCs w:val="40"/>
              </w:rPr>
              <w:t>/COP/16/</w:t>
            </w:r>
            <w:r w:rsidR="00BC2359" w:rsidRPr="008D0479">
              <w:rPr>
                <w:szCs w:val="40"/>
              </w:rPr>
              <w:t>6</w:t>
            </w:r>
            <w:r w:rsidR="00D16FA7" w:rsidRPr="008D0479">
              <w:rPr>
                <w:szCs w:val="40"/>
              </w:rPr>
              <w:t>/Add.1</w:t>
            </w:r>
          </w:p>
        </w:tc>
      </w:tr>
      <w:tr w:rsidR="008D0479" w:rsidRPr="008D0479" w14:paraId="0FA2BCC5" w14:textId="77777777" w:rsidTr="002377CB">
        <w:tc>
          <w:tcPr>
            <w:tcW w:w="2297" w:type="pct"/>
            <w:gridSpan w:val="2"/>
            <w:tcBorders>
              <w:top w:val="single" w:sz="8" w:space="0" w:color="auto"/>
              <w:bottom w:val="single" w:sz="12" w:space="0" w:color="auto"/>
            </w:tcBorders>
          </w:tcPr>
          <w:p w14:paraId="487FEAA1" w14:textId="77777777" w:rsidR="00A96B21" w:rsidRPr="008D0479" w:rsidRDefault="00A96B21" w:rsidP="002377CB">
            <w:pPr>
              <w:pStyle w:val="Cornernotation"/>
              <w:suppressLineNumbers/>
              <w:suppressAutoHyphens/>
              <w:spacing w:before="120" w:after="120"/>
              <w:ind w:left="0" w:right="0" w:firstLine="0"/>
            </w:pPr>
            <w:r w:rsidRPr="008D0479">
              <w:rPr>
                <w:b w:val="0"/>
                <w:bCs/>
                <w:noProof/>
              </w:rPr>
              <w:drawing>
                <wp:inline distT="0" distB="0" distL="0" distR="0" wp14:anchorId="543D742C" wp14:editId="549E909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E58EE3D" w14:textId="77777777" w:rsidR="00A96B21" w:rsidRPr="008D0479" w:rsidRDefault="00A96B21" w:rsidP="003C6F10">
            <w:pPr>
              <w:ind w:left="2584"/>
              <w:rPr>
                <w:sz w:val="22"/>
                <w:szCs w:val="22"/>
              </w:rPr>
            </w:pPr>
            <w:r w:rsidRPr="008D0479">
              <w:rPr>
                <w:sz w:val="22"/>
                <w:szCs w:val="22"/>
              </w:rPr>
              <w:t>Distr.: General</w:t>
            </w:r>
          </w:p>
          <w:p w14:paraId="64B88C80" w14:textId="7A3B5C9D" w:rsidR="00A96B21" w:rsidRPr="008D0479" w:rsidRDefault="00BC2359" w:rsidP="003C6F10">
            <w:pPr>
              <w:ind w:left="2584"/>
              <w:rPr>
                <w:sz w:val="22"/>
                <w:szCs w:val="22"/>
              </w:rPr>
            </w:pPr>
            <w:r w:rsidRPr="008D0479">
              <w:rPr>
                <w:sz w:val="22"/>
                <w:szCs w:val="22"/>
              </w:rPr>
              <w:t xml:space="preserve">10 September </w:t>
            </w:r>
            <w:r w:rsidR="00A96B21" w:rsidRPr="008D0479">
              <w:rPr>
                <w:sz w:val="22"/>
                <w:szCs w:val="22"/>
              </w:rPr>
              <w:t>202</w:t>
            </w:r>
            <w:r w:rsidR="00A00234" w:rsidRPr="008D0479">
              <w:rPr>
                <w:sz w:val="22"/>
                <w:szCs w:val="22"/>
              </w:rPr>
              <w:t>4</w:t>
            </w:r>
          </w:p>
          <w:p w14:paraId="16F2EB89" w14:textId="77777777" w:rsidR="00A96B21" w:rsidRPr="008D0479" w:rsidRDefault="00A96B21" w:rsidP="003C6F10">
            <w:pPr>
              <w:ind w:left="2584"/>
              <w:rPr>
                <w:sz w:val="22"/>
                <w:szCs w:val="22"/>
              </w:rPr>
            </w:pPr>
          </w:p>
          <w:p w14:paraId="0042A2DE" w14:textId="77777777" w:rsidR="00A96B21" w:rsidRPr="008D0479" w:rsidRDefault="00A96B21" w:rsidP="003C6F10">
            <w:pPr>
              <w:ind w:left="2584"/>
              <w:rPr>
                <w:sz w:val="22"/>
                <w:szCs w:val="22"/>
              </w:rPr>
            </w:pPr>
            <w:r w:rsidRPr="008D0479">
              <w:rPr>
                <w:sz w:val="22"/>
                <w:szCs w:val="22"/>
              </w:rPr>
              <w:t>Original: English</w:t>
            </w:r>
          </w:p>
          <w:p w14:paraId="176EC5B0" w14:textId="77777777" w:rsidR="00A96B21" w:rsidRPr="008D0479" w:rsidRDefault="00A96B21" w:rsidP="002377CB"/>
        </w:tc>
      </w:tr>
    </w:tbl>
    <w:p w14:paraId="71308C83" w14:textId="77777777" w:rsidR="00874541" w:rsidRPr="008D0479" w:rsidRDefault="00A00234" w:rsidP="00A00234">
      <w:pPr>
        <w:pStyle w:val="Cornernotation"/>
        <w:ind w:left="0" w:right="5249" w:firstLine="0"/>
        <w:rPr>
          <w:bCs/>
        </w:rPr>
      </w:pPr>
      <w:r w:rsidRPr="008D0479">
        <w:rPr>
          <w:bCs/>
        </w:rPr>
        <w:t>Conference of the Parties to the Convention on Biological Diversity</w:t>
      </w:r>
    </w:p>
    <w:p w14:paraId="6E8B83C4" w14:textId="77777777" w:rsidR="00A96B21" w:rsidRPr="008D0479" w:rsidRDefault="00A00234" w:rsidP="00A96B21">
      <w:pPr>
        <w:pStyle w:val="Cornernotation"/>
        <w:rPr>
          <w:bCs/>
          <w:sz w:val="22"/>
        </w:rPr>
      </w:pPr>
      <w:r w:rsidRPr="008D0479">
        <w:rPr>
          <w:bCs/>
          <w:sz w:val="22"/>
        </w:rPr>
        <w:t>Sixteenth</w:t>
      </w:r>
      <w:r w:rsidR="00A96B21" w:rsidRPr="008D0479">
        <w:rPr>
          <w:bCs/>
          <w:sz w:val="22"/>
        </w:rPr>
        <w:t xml:space="preserve"> meeting </w:t>
      </w:r>
    </w:p>
    <w:p w14:paraId="794AE41F" w14:textId="77777777" w:rsidR="00A96B21" w:rsidRPr="008D0479" w:rsidRDefault="00A00234" w:rsidP="00A96B21">
      <w:pPr>
        <w:pStyle w:val="Venuedate"/>
      </w:pPr>
      <w:r w:rsidRPr="008D0479">
        <w:t>Cali, Colombia, 21 October–1 November 2024</w:t>
      </w:r>
    </w:p>
    <w:p w14:paraId="491E6515" w14:textId="6C049C79" w:rsidR="00A96B21" w:rsidRPr="008D0479" w:rsidRDefault="00A96B21" w:rsidP="00A96B21">
      <w:pPr>
        <w:pStyle w:val="Cornernotation-Item"/>
        <w:rPr>
          <w:b w:val="0"/>
          <w:bCs w:val="0"/>
        </w:rPr>
      </w:pPr>
      <w:r w:rsidRPr="008D0479">
        <w:rPr>
          <w:b w:val="0"/>
          <w:bCs w:val="0"/>
        </w:rPr>
        <w:t xml:space="preserve">Item </w:t>
      </w:r>
      <w:r w:rsidR="00BC2359" w:rsidRPr="008D0479">
        <w:rPr>
          <w:b w:val="0"/>
          <w:bCs w:val="0"/>
        </w:rPr>
        <w:t>11</w:t>
      </w:r>
      <w:r w:rsidRPr="008D0479">
        <w:rPr>
          <w:b w:val="0"/>
          <w:bCs w:val="0"/>
        </w:rPr>
        <w:t xml:space="preserve"> of the provisional agenda</w:t>
      </w:r>
      <w:r w:rsidRPr="008D0479">
        <w:rPr>
          <w:rStyle w:val="FootnoteReference"/>
          <w:b w:val="0"/>
          <w:bCs w:val="0"/>
        </w:rPr>
        <w:footnoteReference w:customMarkFollows="1" w:id="2"/>
        <w:t>*</w:t>
      </w:r>
    </w:p>
    <w:p w14:paraId="2E18BF28" w14:textId="102DE69A" w:rsidR="00A96B21" w:rsidRPr="008D0479" w:rsidRDefault="00BC2359" w:rsidP="00A96B21">
      <w:pPr>
        <w:pStyle w:val="Cornernotation-Item"/>
      </w:pPr>
      <w:r w:rsidRPr="008D0479">
        <w:t>Resource mobilization and financial mechanism</w:t>
      </w:r>
    </w:p>
    <w:bookmarkEnd w:id="0"/>
    <w:p w14:paraId="066A23EC" w14:textId="432FD5E8" w:rsidR="00A96B21" w:rsidRPr="008D0479" w:rsidRDefault="00000000" w:rsidP="008D0479">
      <w:pPr>
        <w:pStyle w:val="CBDTitle"/>
        <w:rPr>
          <w:rFonts w:hint="eastAsia"/>
        </w:rPr>
      </w:pPr>
      <w:sdt>
        <w:sdtPr>
          <w:alias w:val="Title"/>
          <w:tag w:val=""/>
          <w:id w:val="-1975355689"/>
          <w:placeholder>
            <w:docPart w:val="3A89CCC28B624B1CAFEA04171FAB20FC"/>
          </w:placeholder>
          <w:dataBinding w:prefixMappings="xmlns:ns0='http://purl.org/dc/elements/1.1/' xmlns:ns1='http://schemas.openxmlformats.org/package/2006/metadata/core-properties' " w:xpath="/ns1:coreProperties[1]/ns0:title[1]" w:storeItemID="{6C3C8BC8-F283-45AE-878A-BAB7291924A1}"/>
          <w:text/>
        </w:sdtPr>
        <w:sdtContent>
          <w:r w:rsidR="00D16FA7" w:rsidRPr="008D0479">
            <w:t>Consolidated previous guidance to the Global Environment Facility</w:t>
          </w:r>
        </w:sdtContent>
      </w:sdt>
      <w:r w:rsidR="00DF0F7C" w:rsidRPr="008D0479">
        <w:rPr>
          <w:rStyle w:val="FootnoteReference"/>
        </w:rPr>
        <w:footnoteReference w:customMarkFollows="1" w:id="3"/>
        <w:t>**</w:t>
      </w:r>
    </w:p>
    <w:p w14:paraId="30F0C5AA" w14:textId="77777777" w:rsidR="00A96B21" w:rsidRPr="008D0479" w:rsidRDefault="00A96B21" w:rsidP="008D0479">
      <w:pPr>
        <w:pStyle w:val="CBDSubTitle"/>
        <w:rPr>
          <w:rFonts w:hint="eastAsia"/>
        </w:rPr>
      </w:pPr>
      <w:r w:rsidRPr="008D0479">
        <w:t>Note by the Secretariat</w:t>
      </w:r>
    </w:p>
    <w:p w14:paraId="60B1BED3" w14:textId="627B1030" w:rsidR="008F1436" w:rsidRPr="008D0479" w:rsidRDefault="00B411AF" w:rsidP="008D0479">
      <w:pPr>
        <w:pStyle w:val="CBDH1"/>
      </w:pPr>
      <w:r w:rsidRPr="008D0479">
        <w:t>I.</w:t>
      </w:r>
      <w:r w:rsidRPr="008D0479">
        <w:tab/>
      </w:r>
      <w:r w:rsidR="00C366E8" w:rsidRPr="008D0479">
        <w:t>Introduction</w:t>
      </w:r>
    </w:p>
    <w:p w14:paraId="6CB0C4D4" w14:textId="00ACB5CE" w:rsidR="0029030B" w:rsidRPr="008D0479" w:rsidRDefault="0029030B" w:rsidP="008D0479">
      <w:pPr>
        <w:pStyle w:val="CBDNormalNumber"/>
      </w:pPr>
      <w:r w:rsidRPr="008D0479">
        <w:t xml:space="preserve">To enhance coherence and facilitate implementation, the Conference of the Parties at its tenth meeting reviewed the decisions and elements of decisions related to the financial mechanism that </w:t>
      </w:r>
      <w:r w:rsidR="00A152D3" w:rsidRPr="008D0479">
        <w:t>had been</w:t>
      </w:r>
      <w:r w:rsidRPr="008D0479">
        <w:t xml:space="preserve"> adopted </w:t>
      </w:r>
      <w:r w:rsidR="00A152D3" w:rsidRPr="008D0479">
        <w:t>at</w:t>
      </w:r>
      <w:r w:rsidRPr="008D0479">
        <w:t xml:space="preserve"> its first to ninth meetings and</w:t>
      </w:r>
      <w:r w:rsidR="00A152D3" w:rsidRPr="008D0479">
        <w:t>,</w:t>
      </w:r>
      <w:r w:rsidRPr="008D0479">
        <w:t xml:space="preserve"> </w:t>
      </w:r>
      <w:r w:rsidR="00A152D3" w:rsidRPr="008D0479">
        <w:t xml:space="preserve">in its decision X/24, </w:t>
      </w:r>
      <w:r w:rsidRPr="008D0479">
        <w:t xml:space="preserve">adopted the first consolidated list of guidance to </w:t>
      </w:r>
      <w:r w:rsidR="00A152D3" w:rsidRPr="008D0479">
        <w:t>the Global Environment Facility</w:t>
      </w:r>
      <w:r w:rsidRPr="008D0479">
        <w:t>, including programme priorities. Subsequently</w:t>
      </w:r>
      <w:r w:rsidR="00DE3148" w:rsidRPr="008D0479">
        <w:t>,</w:t>
      </w:r>
      <w:r w:rsidRPr="008D0479">
        <w:t xml:space="preserve"> the Conference of the Parties at its thirteenth meeting adopted, by decision XIII/21, an updated consolidation for the seventh replenishment of the Global Environment Facility Trust Fund and</w:t>
      </w:r>
      <w:r w:rsidR="00BA7AE1" w:rsidRPr="008D0479">
        <w:t>,</w:t>
      </w:r>
      <w:r w:rsidRPr="008D0479">
        <w:t xml:space="preserve"> at its fifteenth meeting, by decision 15/15, a further consolidation for the eighth replenishment. </w:t>
      </w:r>
    </w:p>
    <w:p w14:paraId="552D4FF0" w14:textId="17B20155" w:rsidR="00D16FA7" w:rsidRPr="008D0479" w:rsidRDefault="00D16FA7" w:rsidP="008D0479">
      <w:pPr>
        <w:pStyle w:val="CBDNormalNumber"/>
        <w:rPr>
          <w:snapToGrid w:val="0"/>
          <w:kern w:val="22"/>
        </w:rPr>
      </w:pPr>
      <w:r w:rsidRPr="008D0479">
        <w:rPr>
          <w:snapToGrid w:val="0"/>
          <w:kern w:val="22"/>
        </w:rPr>
        <w:t xml:space="preserve">The consolidated previous guidance to the Global Environment Facility </w:t>
      </w:r>
      <w:r w:rsidR="00B558C0" w:rsidRPr="008D0479">
        <w:rPr>
          <w:snapToGrid w:val="0"/>
          <w:kern w:val="22"/>
        </w:rPr>
        <w:t xml:space="preserve">for its ninth replenishment period </w:t>
      </w:r>
      <w:r w:rsidRPr="008D0479">
        <w:rPr>
          <w:snapToGrid w:val="0"/>
          <w:kern w:val="22"/>
        </w:rPr>
        <w:t xml:space="preserve">is contained in the annex to the present note. This updates the previous consolidation contained in annex </w:t>
      </w:r>
      <w:r w:rsidR="00627870" w:rsidRPr="008D0479">
        <w:rPr>
          <w:snapToGrid w:val="0"/>
          <w:kern w:val="22"/>
        </w:rPr>
        <w:t>II</w:t>
      </w:r>
      <w:r w:rsidR="003A03DA" w:rsidRPr="008D0479">
        <w:rPr>
          <w:snapToGrid w:val="0"/>
          <w:kern w:val="22"/>
        </w:rPr>
        <w:t xml:space="preserve"> </w:t>
      </w:r>
      <w:r w:rsidR="00627870" w:rsidRPr="008D0479">
        <w:rPr>
          <w:snapToGrid w:val="0"/>
          <w:kern w:val="22"/>
        </w:rPr>
        <w:t>A</w:t>
      </w:r>
      <w:r w:rsidRPr="008D0479">
        <w:rPr>
          <w:snapToGrid w:val="0"/>
          <w:kern w:val="22"/>
        </w:rPr>
        <w:t xml:space="preserve"> to decision 15/15</w:t>
      </w:r>
      <w:r w:rsidR="00165C16" w:rsidRPr="008D0479">
        <w:rPr>
          <w:snapToGrid w:val="0"/>
          <w:kern w:val="22"/>
        </w:rPr>
        <w:t>,</w:t>
      </w:r>
      <w:r w:rsidRPr="008D0479">
        <w:rPr>
          <w:snapToGrid w:val="0"/>
          <w:kern w:val="22"/>
        </w:rPr>
        <w:t xml:space="preserve"> with the additional guidance adopted by the Conference of the Parties in the same decision.</w:t>
      </w:r>
    </w:p>
    <w:p w14:paraId="065CA0FD" w14:textId="77777777" w:rsidR="00E31D44" w:rsidRPr="008D0479" w:rsidRDefault="00E31D44" w:rsidP="00E31D44"/>
    <w:p w14:paraId="2A98AF4D" w14:textId="77777777" w:rsidR="00E31D44" w:rsidRPr="008D0479" w:rsidRDefault="00E31D44" w:rsidP="00E31D44">
      <w:pPr>
        <w:rPr>
          <w:i/>
        </w:rPr>
      </w:pPr>
      <w:r w:rsidRPr="008D0479">
        <w:rPr>
          <w:i/>
        </w:rPr>
        <w:br w:type="page"/>
      </w:r>
      <w:bookmarkStart w:id="1" w:name="_Toc118354996"/>
    </w:p>
    <w:p w14:paraId="1030573E" w14:textId="77777777" w:rsidR="00D371FE" w:rsidRPr="008D0479" w:rsidRDefault="00E31D44" w:rsidP="008D0479">
      <w:pPr>
        <w:pStyle w:val="CBDAnnex"/>
        <w:rPr>
          <w:rFonts w:hint="eastAsia"/>
        </w:rPr>
      </w:pPr>
      <w:r w:rsidRPr="008D0479">
        <w:lastRenderedPageBreak/>
        <w:t>Annex</w:t>
      </w:r>
      <w:bookmarkEnd w:id="1"/>
    </w:p>
    <w:p w14:paraId="4BBA9329" w14:textId="0EE8B339" w:rsidR="00E31D44" w:rsidRPr="008D0479" w:rsidRDefault="00E31D44" w:rsidP="008D0479">
      <w:pPr>
        <w:pStyle w:val="CBDTitle"/>
        <w:rPr>
          <w:rFonts w:hint="eastAsia"/>
        </w:rPr>
      </w:pPr>
      <w:r w:rsidRPr="008D0479">
        <w:t xml:space="preserve">Consolidated previous guidance </w:t>
      </w:r>
      <w:r w:rsidR="004014B7" w:rsidRPr="008D0479">
        <w:t>t</w:t>
      </w:r>
      <w:r w:rsidRPr="008D0479">
        <w:t>o the Global Environment Facility (202</w:t>
      </w:r>
      <w:r w:rsidR="004014B7" w:rsidRPr="008D0479">
        <w:t>4</w:t>
      </w:r>
      <w:r w:rsidRPr="008D0479">
        <w:t>,</w:t>
      </w:r>
      <w:r w:rsidR="004014B7" w:rsidRPr="008D0479">
        <w:t xml:space="preserve"> fourth</w:t>
      </w:r>
      <w:r w:rsidRPr="008D0479">
        <w:t xml:space="preserve"> edition)</w:t>
      </w:r>
    </w:p>
    <w:p w14:paraId="4FAC606A" w14:textId="3EA602EB" w:rsidR="00E31D44" w:rsidRPr="008D0479" w:rsidRDefault="00E31D44" w:rsidP="008D0479">
      <w:pPr>
        <w:pStyle w:val="CBDNormalNumber"/>
        <w:numPr>
          <w:ilvl w:val="0"/>
          <w:numId w:val="206"/>
        </w:numPr>
      </w:pPr>
      <w:bookmarkStart w:id="2" w:name="_Toc259455678"/>
      <w:bookmarkStart w:id="3" w:name="_Toc260384328"/>
      <w:bookmarkStart w:id="4" w:name="_Toc263089318"/>
      <w:r w:rsidRPr="008D0479">
        <w:t>Guidance to the Global Environment Facility should be incorporated into a single decision, including the identification of priority issues which will provide support for cross-cutting issues and capacity-building, especially for developing countries and countries with economies in transition, in a manner that: (a) is transparent; (b) allows participation; and (c) allows full consideration of its other decisions.</w:t>
      </w:r>
      <w:r w:rsidRPr="008D0479">
        <w:rPr>
          <w:vertAlign w:val="superscript"/>
        </w:rPr>
        <w:footnoteReference w:id="4"/>
      </w:r>
    </w:p>
    <w:p w14:paraId="22FB9827" w14:textId="4B25732B" w:rsidR="00E31D44" w:rsidRPr="008D0479" w:rsidRDefault="00E31D44" w:rsidP="008D0479">
      <w:pPr>
        <w:pStyle w:val="CBDNormalNumber"/>
        <w:numPr>
          <w:ilvl w:val="0"/>
          <w:numId w:val="68"/>
        </w:numPr>
      </w:pPr>
      <w:r w:rsidRPr="008D0479">
        <w:t xml:space="preserve">Guidance to the Global Environment Facility, for a specific replenishment period, consists of a consolidated list of programme priorities that defines what to be financed, and an outcome-oriented framework, </w:t>
      </w:r>
      <w:proofErr w:type="gramStart"/>
      <w:r w:rsidRPr="008D0479">
        <w:t>taking into account</w:t>
      </w:r>
      <w:proofErr w:type="gramEnd"/>
      <w:r w:rsidRPr="008D0479">
        <w:t xml:space="preserve"> the strategies and plans under the Convention and its Protocols and associated indicators. With a view to further streamlining guidance to the Global Environment Facility, proposed new guidance will be reviewed to avoid or reduce repetitiveness, to consolidate previous guidance where appropriate, and to prioritize guidance in the context of the goals and targets of the Kunming-Montreal </w:t>
      </w:r>
      <w:r w:rsidRPr="008D0479">
        <w:rPr>
          <w:bCs/>
        </w:rPr>
        <w:t>Global Biodiversity Framework</w:t>
      </w:r>
      <w:r w:rsidRPr="008D0479">
        <w:t>.</w:t>
      </w:r>
      <w:r w:rsidRPr="008D0479">
        <w:rPr>
          <w:vertAlign w:val="superscript"/>
        </w:rPr>
        <w:footnoteReference w:id="5"/>
      </w:r>
    </w:p>
    <w:p w14:paraId="2908DB3F" w14:textId="77777777" w:rsidR="00E31D44" w:rsidRPr="008D0479" w:rsidRDefault="00E31D44" w:rsidP="008D0479">
      <w:pPr>
        <w:pStyle w:val="CBDH2"/>
      </w:pPr>
      <w:r w:rsidRPr="008D0479">
        <w:t>A.</w:t>
      </w:r>
      <w:r w:rsidRPr="008D0479">
        <w:tab/>
        <w:t>Policy and strategy</w:t>
      </w:r>
      <w:bookmarkEnd w:id="2"/>
      <w:bookmarkEnd w:id="3"/>
      <w:bookmarkEnd w:id="4"/>
    </w:p>
    <w:p w14:paraId="53CFD9E0" w14:textId="3C204DE9" w:rsidR="00E31D44" w:rsidRPr="008D0479" w:rsidRDefault="00E31D44" w:rsidP="008D0479">
      <w:pPr>
        <w:pStyle w:val="CBDNormalNumber"/>
        <w:numPr>
          <w:ilvl w:val="0"/>
          <w:numId w:val="68"/>
        </w:numPr>
      </w:pPr>
      <w:r w:rsidRPr="008D0479">
        <w:t>Financial resources should be allocated to projects that fulfil the eligibility criteria and are endorsed and promoted by the Parties concerned. Projects should contribute to the extent possible to build cooperation at the subregional, regional and international levels in the implementation of the Convention. Projects should promote the utilization of local and regional expertise. The conservation of biological diversity and sustainable use of its components is one of the key elements in achieving sustainable development and therefore contributing to combating poverty.</w:t>
      </w:r>
      <w:r w:rsidRPr="008D0479">
        <w:rPr>
          <w:vertAlign w:val="superscript"/>
        </w:rPr>
        <w:footnoteReference w:id="6"/>
      </w:r>
    </w:p>
    <w:p w14:paraId="67E645FB" w14:textId="77777777" w:rsidR="00E31D44" w:rsidRPr="008D0479" w:rsidRDefault="00E31D44" w:rsidP="008D0479">
      <w:pPr>
        <w:pStyle w:val="CBDH2"/>
      </w:pPr>
      <w:bookmarkStart w:id="5" w:name="_Toc260384331"/>
      <w:bookmarkStart w:id="6" w:name="_Toc263089321"/>
      <w:r w:rsidRPr="008D0479">
        <w:t>B.</w:t>
      </w:r>
      <w:r w:rsidRPr="008D0479">
        <w:tab/>
        <w:t>Programme priorities</w:t>
      </w:r>
      <w:bookmarkEnd w:id="5"/>
      <w:bookmarkEnd w:id="6"/>
    </w:p>
    <w:p w14:paraId="0817A5B3" w14:textId="0EE06F61" w:rsidR="00E31D44" w:rsidRPr="008D0479" w:rsidRDefault="00E31D44" w:rsidP="008D0479">
      <w:pPr>
        <w:pStyle w:val="CBDNormalNumber"/>
        <w:numPr>
          <w:ilvl w:val="0"/>
          <w:numId w:val="68"/>
        </w:numPr>
      </w:pPr>
      <w:r w:rsidRPr="008D0479">
        <w:t>The Global Environment Facility should provide financial resources to developing country Parties, taking into account the special needs of the least developed countries and small island developing States, as well as Parties with economies in transition, for country-driven activities and programmes, consistent with national priorities and objectives and in accordance with the following programme priorities, recognizing that economic and social development and poverty eradication are the first and overriding priorities of developing countries, and taking fully into consideration all relevant decisions from the Conference of the Parties.</w:t>
      </w:r>
      <w:r w:rsidRPr="008D0479">
        <w:rPr>
          <w:vertAlign w:val="superscript"/>
        </w:rPr>
        <w:footnoteReference w:id="7"/>
      </w:r>
    </w:p>
    <w:p w14:paraId="0E3C6CA4" w14:textId="77777777" w:rsidR="00E31D44" w:rsidRPr="008D0479" w:rsidRDefault="00E31D44" w:rsidP="008D0479">
      <w:pPr>
        <w:pStyle w:val="CBDH3"/>
        <w:rPr>
          <w:i/>
          <w:iCs/>
        </w:rPr>
      </w:pPr>
      <w:r w:rsidRPr="008D0479">
        <w:t>Article 1.</w:t>
      </w:r>
      <w:r w:rsidRPr="008D0479">
        <w:rPr>
          <w:i/>
          <w:iCs/>
        </w:rPr>
        <w:t xml:space="preserve"> </w:t>
      </w:r>
      <w:r w:rsidRPr="008D0479">
        <w:t>Objectives</w:t>
      </w:r>
    </w:p>
    <w:p w14:paraId="3F20944A" w14:textId="000D960B" w:rsidR="00E31D44" w:rsidRPr="008D0479" w:rsidRDefault="00E31D44" w:rsidP="008D0479">
      <w:pPr>
        <w:pStyle w:val="CBDNormalNumber"/>
        <w:numPr>
          <w:ilvl w:val="0"/>
          <w:numId w:val="68"/>
        </w:numPr>
      </w:pPr>
      <w:r w:rsidRPr="008D0479">
        <w:t>Projects that utilize the ecosystem approach, without prejudice to differing national needs and priorities which may require the application of approaches such as single species conservation programmes.</w:t>
      </w:r>
      <w:r w:rsidRPr="008D0479">
        <w:rPr>
          <w:vertAlign w:val="superscript"/>
        </w:rPr>
        <w:footnoteReference w:id="8"/>
      </w:r>
    </w:p>
    <w:p w14:paraId="5FE5A403" w14:textId="0DBBA0A9" w:rsidR="00E31D44" w:rsidRPr="008D0479" w:rsidRDefault="001E6B07" w:rsidP="008D0479">
      <w:pPr>
        <w:pStyle w:val="sub-headingitalics"/>
      </w:pPr>
      <w:r w:rsidRPr="008D0479">
        <w:t>(a)</w:t>
      </w:r>
      <w:r w:rsidRPr="008D0479">
        <w:tab/>
      </w:r>
      <w:r w:rsidR="00E31D44" w:rsidRPr="008D0479">
        <w:t>Ecosystem restoration</w:t>
      </w:r>
    </w:p>
    <w:p w14:paraId="07D1EBB9" w14:textId="06452579" w:rsidR="00E31D44" w:rsidRPr="008D0479" w:rsidRDefault="00E31D44" w:rsidP="008D0479">
      <w:pPr>
        <w:pStyle w:val="CBDNormalNumber"/>
        <w:numPr>
          <w:ilvl w:val="0"/>
          <w:numId w:val="68"/>
        </w:numPr>
      </w:pPr>
      <w:r w:rsidRPr="008D0479">
        <w:t>Ecosystem restoration activities, as well as monitoring processes as appropriate, and integrated where relevant into programmes and initiatives for sustainable development, food, water and energy security, job creation, climate change mitigation, adaptation, disaster risk reduction, and poverty eradication;</w:t>
      </w:r>
      <w:r w:rsidRPr="008D0479">
        <w:rPr>
          <w:vertAlign w:val="superscript"/>
        </w:rPr>
        <w:footnoteReference w:id="9"/>
      </w:r>
    </w:p>
    <w:p w14:paraId="1B4CC983" w14:textId="68583288" w:rsidR="00E31D44" w:rsidRPr="008D0479" w:rsidRDefault="001E6B07" w:rsidP="008D0479">
      <w:pPr>
        <w:pStyle w:val="sub-headingitalics"/>
      </w:pPr>
      <w:r w:rsidRPr="008D0479">
        <w:lastRenderedPageBreak/>
        <w:t>(b)</w:t>
      </w:r>
      <w:r w:rsidRPr="008D0479">
        <w:tab/>
      </w:r>
      <w:r w:rsidR="00E31D44" w:rsidRPr="008D0479">
        <w:t>Ecosystem resilience and climate change</w:t>
      </w:r>
    </w:p>
    <w:p w14:paraId="6BDB6DFF" w14:textId="788C035B" w:rsidR="00E31D44" w:rsidRPr="008D0479" w:rsidRDefault="00E31D44" w:rsidP="008D0479">
      <w:pPr>
        <w:pStyle w:val="CBDNormalNumber"/>
        <w:numPr>
          <w:ilvl w:val="0"/>
          <w:numId w:val="68"/>
        </w:numPr>
      </w:pPr>
      <w:r w:rsidRPr="008D0479">
        <w:t>Ecosystem resilience and climate change:</w:t>
      </w:r>
      <w:r w:rsidRPr="008D0479">
        <w:rPr>
          <w:vertAlign w:val="superscript"/>
        </w:rPr>
        <w:footnoteReference w:id="10"/>
      </w:r>
    </w:p>
    <w:p w14:paraId="5C17AD72" w14:textId="77777777" w:rsidR="00E31D44" w:rsidRPr="008D0479" w:rsidRDefault="00E31D44" w:rsidP="008D0479">
      <w:pPr>
        <w:pStyle w:val="CBDNormalNumber"/>
        <w:numPr>
          <w:ilvl w:val="1"/>
          <w:numId w:val="61"/>
        </w:numPr>
      </w:pPr>
      <w:r w:rsidRPr="008D0479">
        <w:t xml:space="preserve">Capacity-building with the aim of increasing the effectiveness in addressing environmental issues through their commitments under the Convention on Biological Diversity, the United Nations Framework Convention on Climate Change, and the United Nations Convention to Combat Desertification, inter alia, by applying the ecosystem </w:t>
      </w:r>
      <w:proofErr w:type="gramStart"/>
      <w:r w:rsidRPr="008D0479">
        <w:t>approach;</w:t>
      </w:r>
      <w:proofErr w:type="gramEnd"/>
    </w:p>
    <w:p w14:paraId="1365D824" w14:textId="77777777" w:rsidR="00E31D44" w:rsidRPr="008D0479" w:rsidRDefault="00E31D44" w:rsidP="008D0479">
      <w:pPr>
        <w:pStyle w:val="CBDNormalNumber"/>
        <w:numPr>
          <w:ilvl w:val="1"/>
          <w:numId w:val="61"/>
        </w:numPr>
      </w:pPr>
      <w:r w:rsidRPr="008D0479">
        <w:t xml:space="preserve">Developing synergy-oriented programmes to conserve and sustainably manage all ecosystems, such as forests, wetlands and marine environments, that also contribute to poverty </w:t>
      </w:r>
      <w:proofErr w:type="gramStart"/>
      <w:r w:rsidRPr="008D0479">
        <w:t>eradication;</w:t>
      </w:r>
      <w:proofErr w:type="gramEnd"/>
    </w:p>
    <w:p w14:paraId="45219BDE" w14:textId="77777777" w:rsidR="00E31D44" w:rsidRPr="008D0479" w:rsidRDefault="00E31D44" w:rsidP="008D0479">
      <w:pPr>
        <w:pStyle w:val="CBDNormalNumber"/>
        <w:numPr>
          <w:ilvl w:val="1"/>
          <w:numId w:val="61"/>
        </w:numPr>
      </w:pPr>
      <w:r w:rsidRPr="008D0479">
        <w:t xml:space="preserve">Country-driven activities, including pilot projects, aimed at projects related to ecosystem conservation, restoration of degraded lands and marine environments and overall ecosystem integrity that </w:t>
      </w:r>
      <w:proofErr w:type="gramStart"/>
      <w:r w:rsidRPr="008D0479">
        <w:t>take into account</w:t>
      </w:r>
      <w:proofErr w:type="gramEnd"/>
      <w:r w:rsidRPr="008D0479">
        <w:t xml:space="preserve"> impacts of climate change.</w:t>
      </w:r>
    </w:p>
    <w:p w14:paraId="356575BB" w14:textId="1A19909D" w:rsidR="00E31D44" w:rsidRPr="008D0479" w:rsidRDefault="00E4165A" w:rsidP="008D0479">
      <w:pPr>
        <w:pStyle w:val="sub-headingitalics"/>
      </w:pPr>
      <w:r w:rsidRPr="008D0479">
        <w:t>(c)</w:t>
      </w:r>
      <w:r w:rsidRPr="008D0479">
        <w:tab/>
      </w:r>
      <w:r w:rsidR="00E31D44" w:rsidRPr="008D0479">
        <w:t>Marine and coastal ecosystems</w:t>
      </w:r>
    </w:p>
    <w:p w14:paraId="106257DC" w14:textId="037E82F8" w:rsidR="00E31D44" w:rsidRPr="008D0479" w:rsidRDefault="00E31D44" w:rsidP="008D0479">
      <w:pPr>
        <w:pStyle w:val="CBDNormalNumber"/>
        <w:numPr>
          <w:ilvl w:val="0"/>
          <w:numId w:val="68"/>
        </w:numPr>
      </w:pPr>
      <w:r w:rsidRPr="008D0479">
        <w:t>Marine and coastal ecosystems:</w:t>
      </w:r>
      <w:r w:rsidRPr="008D0479">
        <w:rPr>
          <w:vertAlign w:val="superscript"/>
        </w:rPr>
        <w:footnoteReference w:id="11"/>
      </w:r>
    </w:p>
    <w:p w14:paraId="27D14CFE" w14:textId="77777777" w:rsidR="00E31D44" w:rsidRPr="008D0479" w:rsidRDefault="00E31D44" w:rsidP="008D0479">
      <w:pPr>
        <w:pStyle w:val="CBDNormalNumber"/>
        <w:numPr>
          <w:ilvl w:val="1"/>
          <w:numId w:val="61"/>
        </w:numPr>
      </w:pPr>
      <w:r w:rsidRPr="008D0479">
        <w:t xml:space="preserve">Projects that promote the conservation and sustainable use of marine and coastal biodiversity under threat, and implement the elaborated programme of work on marine and coastal biodiversity and the programme of work on island </w:t>
      </w:r>
      <w:proofErr w:type="gramStart"/>
      <w:r w:rsidRPr="008D0479">
        <w:t>biodiversity;</w:t>
      </w:r>
      <w:proofErr w:type="gramEnd"/>
    </w:p>
    <w:p w14:paraId="23837D59" w14:textId="77777777" w:rsidR="00E31D44" w:rsidRPr="008D0479" w:rsidRDefault="00E31D44" w:rsidP="008D0479">
      <w:pPr>
        <w:pStyle w:val="CBDNormalNumber"/>
        <w:numPr>
          <w:ilvl w:val="1"/>
          <w:numId w:val="61"/>
        </w:numPr>
      </w:pPr>
      <w:r w:rsidRPr="008D0479">
        <w:t xml:space="preserve">Country-driven activities aimed at enhancing capabilities to address the impacts of mortality related to coral bleaching and physical degradation and destruction of coral reefs, including developing rapid response capabilities to implement measures to address coral-reef degradation, mortality and subsequent </w:t>
      </w:r>
      <w:proofErr w:type="gramStart"/>
      <w:r w:rsidRPr="008D0479">
        <w:t>recovery;</w:t>
      </w:r>
      <w:proofErr w:type="gramEnd"/>
    </w:p>
    <w:p w14:paraId="066C8758" w14:textId="77777777" w:rsidR="00E31D44" w:rsidRPr="008D0479" w:rsidRDefault="00E31D44" w:rsidP="008D0479">
      <w:pPr>
        <w:pStyle w:val="CBDNormalNumber"/>
        <w:numPr>
          <w:ilvl w:val="1"/>
          <w:numId w:val="61"/>
        </w:numPr>
      </w:pPr>
      <w:r w:rsidRPr="008D0479">
        <w:t>Implementation of training and capacity</w:t>
      </w:r>
      <w:r w:rsidRPr="008D0479">
        <w:noBreakHyphen/>
        <w:t>building and other activities related to ecologically or biologically significant marine areas (EBSAs</w:t>
      </w:r>
      <w:proofErr w:type="gramStart"/>
      <w:r w:rsidRPr="008D0479">
        <w:t>);</w:t>
      </w:r>
      <w:proofErr w:type="gramEnd"/>
    </w:p>
    <w:p w14:paraId="0C90DD70" w14:textId="77777777" w:rsidR="00E31D44" w:rsidRPr="008D0479" w:rsidRDefault="00E31D44" w:rsidP="008D0479">
      <w:pPr>
        <w:pStyle w:val="CBDNormalNumber"/>
        <w:numPr>
          <w:ilvl w:val="1"/>
          <w:numId w:val="61"/>
        </w:numPr>
      </w:pPr>
      <w:r w:rsidRPr="008D0479">
        <w:t xml:space="preserve">Support for capacity-building </w:t>
      </w:r>
      <w:proofErr w:type="gramStart"/>
      <w:r w:rsidRPr="008D0479">
        <w:t>in order to</w:t>
      </w:r>
      <w:proofErr w:type="gramEnd"/>
      <w:r w:rsidRPr="008D0479">
        <w:t xml:space="preserve"> further accelerate existing efforts towards achieving the goals and targets of the Kunming-Montreal </w:t>
      </w:r>
      <w:r w:rsidRPr="008D0479">
        <w:rPr>
          <w:bCs/>
        </w:rPr>
        <w:t xml:space="preserve">Global Biodiversity Framework </w:t>
      </w:r>
      <w:r w:rsidRPr="008D0479">
        <w:t>in marine and coastal areas.</w:t>
      </w:r>
    </w:p>
    <w:p w14:paraId="2C8BDA72" w14:textId="4363F48B" w:rsidR="00E31D44" w:rsidRPr="008D0479" w:rsidRDefault="009F333A" w:rsidP="008D0479">
      <w:pPr>
        <w:pStyle w:val="sub-headingitalics"/>
      </w:pPr>
      <w:r w:rsidRPr="008D0479">
        <w:t>(d)</w:t>
      </w:r>
      <w:r w:rsidRPr="008D0479">
        <w:tab/>
      </w:r>
      <w:r w:rsidR="00E31D44" w:rsidRPr="008D0479">
        <w:t>Forest biological diversity</w:t>
      </w:r>
    </w:p>
    <w:p w14:paraId="0C480934" w14:textId="4D770157" w:rsidR="00E31D44" w:rsidRPr="008D0479" w:rsidRDefault="00E31D44" w:rsidP="008D0479">
      <w:pPr>
        <w:pStyle w:val="CBDNormalNumber"/>
        <w:numPr>
          <w:ilvl w:val="0"/>
          <w:numId w:val="68"/>
        </w:numPr>
      </w:pPr>
      <w:r w:rsidRPr="008D0479">
        <w:t>Projects focusing on the identified national priorities, as well as regional and international actions that assist the implementation of the expanded work programme on forest biological diversity considering conservation of biological diversity, sustainable use of its components and fair and equitable sharing of the benefits from genetic resources in a balanced way, underscoring the importance of ensuring long-term conservation, sustainable use, and benefit-sharing of native forests, and the use of the clearing-house mechanism to include activities that contribute to halting and addressing deforestation, basic assessments and monitoring of forest biological diversity, including taxonomic studies and inventories, focusing on forest species, other important components of forest biological diversity and ecosystems under threat.</w:t>
      </w:r>
      <w:r w:rsidRPr="008D0479">
        <w:rPr>
          <w:vertAlign w:val="superscript"/>
        </w:rPr>
        <w:footnoteReference w:id="12"/>
      </w:r>
    </w:p>
    <w:p w14:paraId="4295D5CD" w14:textId="5634D226" w:rsidR="00E31D44" w:rsidRPr="008D0479" w:rsidRDefault="009F333A" w:rsidP="008D0479">
      <w:pPr>
        <w:pStyle w:val="sub-headingitalics"/>
      </w:pPr>
      <w:r w:rsidRPr="008D0479">
        <w:t>(e)</w:t>
      </w:r>
      <w:r w:rsidRPr="008D0479">
        <w:tab/>
      </w:r>
      <w:r w:rsidR="00E31D44" w:rsidRPr="008D0479">
        <w:t>Inland water ecosystems</w:t>
      </w:r>
    </w:p>
    <w:p w14:paraId="0937DF03" w14:textId="2F5647AD" w:rsidR="00E31D44" w:rsidRPr="008D0479" w:rsidRDefault="00E31D44" w:rsidP="008D0479">
      <w:pPr>
        <w:pStyle w:val="CBDNormalNumber"/>
        <w:numPr>
          <w:ilvl w:val="0"/>
          <w:numId w:val="68"/>
        </w:numPr>
      </w:pPr>
      <w:r w:rsidRPr="008D0479">
        <w:t xml:space="preserve">Projects that assist with the implementation of the programme of work on biological diversity of inland water ecosystems, and which help Parties to develop and implement national, sectoral and cross-sectoral plans for the conservation and sustainable use of biological diversity of inland water ecosystems, including comprehensive assessments of the biological diversity of inland waters, and capacity-building programmes for monitoring the implementation of the programme of work and the </w:t>
      </w:r>
      <w:r w:rsidRPr="008D0479">
        <w:lastRenderedPageBreak/>
        <w:t>trends in inland water biological diversity and for information gathering and dissemination among riparian communities.</w:t>
      </w:r>
      <w:r w:rsidRPr="008D0479">
        <w:rPr>
          <w:vertAlign w:val="superscript"/>
        </w:rPr>
        <w:footnoteReference w:id="13"/>
      </w:r>
    </w:p>
    <w:p w14:paraId="3F7318C8" w14:textId="5E5F6F45" w:rsidR="00E31D44" w:rsidRPr="008D0479" w:rsidRDefault="009F333A" w:rsidP="008D0479">
      <w:pPr>
        <w:pStyle w:val="sub-headingitalics"/>
      </w:pPr>
      <w:r w:rsidRPr="008D0479">
        <w:t>(f)</w:t>
      </w:r>
      <w:r w:rsidRPr="008D0479">
        <w:tab/>
      </w:r>
      <w:r w:rsidR="00E31D44" w:rsidRPr="008D0479">
        <w:t>Arid and semi-arid areas</w:t>
      </w:r>
    </w:p>
    <w:p w14:paraId="3D8A8E51" w14:textId="5E2F1EC1" w:rsidR="00E31D44" w:rsidRPr="008D0479" w:rsidRDefault="00E31D44" w:rsidP="008D0479">
      <w:pPr>
        <w:pStyle w:val="CBDNormalNumber"/>
        <w:numPr>
          <w:ilvl w:val="0"/>
          <w:numId w:val="68"/>
        </w:numPr>
      </w:pPr>
      <w:r w:rsidRPr="008D0479">
        <w:t>Projects that promote the conservation and sustainable use of biological diversity in arid and semi-arid areas, including the implementation of the Convention’s programme of work on biodiversity of dry and sub-humid lands.</w:t>
      </w:r>
      <w:r w:rsidRPr="008D0479">
        <w:rPr>
          <w:vertAlign w:val="superscript"/>
        </w:rPr>
        <w:footnoteReference w:id="14"/>
      </w:r>
    </w:p>
    <w:p w14:paraId="07829537" w14:textId="7CBDC73E" w:rsidR="00E31D44" w:rsidRPr="008D0479" w:rsidRDefault="009F333A" w:rsidP="008D0479">
      <w:pPr>
        <w:pStyle w:val="sub-headingitalics"/>
      </w:pPr>
      <w:r w:rsidRPr="008D0479">
        <w:t>(g)</w:t>
      </w:r>
      <w:r w:rsidRPr="008D0479">
        <w:tab/>
      </w:r>
      <w:r w:rsidR="00E31D44" w:rsidRPr="008D0479">
        <w:t>Mountainous areas</w:t>
      </w:r>
    </w:p>
    <w:p w14:paraId="37A32603" w14:textId="360B86D0" w:rsidR="00E31D44" w:rsidRPr="008D0479" w:rsidRDefault="00E31D44" w:rsidP="008D0479">
      <w:pPr>
        <w:pStyle w:val="CBDNormalNumber"/>
        <w:numPr>
          <w:ilvl w:val="0"/>
          <w:numId w:val="68"/>
        </w:numPr>
      </w:pPr>
      <w:r w:rsidRPr="008D0479">
        <w:t>Projects which promote the conservation and sustainable use of biological diversity in mountainous areas.</w:t>
      </w:r>
      <w:r w:rsidRPr="008D0479">
        <w:rPr>
          <w:vertAlign w:val="superscript"/>
        </w:rPr>
        <w:footnoteReference w:id="15"/>
      </w:r>
    </w:p>
    <w:p w14:paraId="08F6226D" w14:textId="3A52158E" w:rsidR="00E31D44" w:rsidRPr="008D0479" w:rsidRDefault="009F333A" w:rsidP="008D0479">
      <w:pPr>
        <w:pStyle w:val="sub-headingitalics"/>
      </w:pPr>
      <w:r w:rsidRPr="008D0479">
        <w:t>(h)</w:t>
      </w:r>
      <w:r w:rsidRPr="008D0479">
        <w:tab/>
      </w:r>
      <w:r w:rsidR="00E31D44" w:rsidRPr="008D0479">
        <w:t>Agricultural biodiversity</w:t>
      </w:r>
    </w:p>
    <w:p w14:paraId="65936133" w14:textId="0DB9A482" w:rsidR="00E31D44" w:rsidRPr="008D0479" w:rsidRDefault="00E31D44" w:rsidP="008D0479">
      <w:pPr>
        <w:pStyle w:val="CBDNormalNumber"/>
        <w:numPr>
          <w:ilvl w:val="0"/>
          <w:numId w:val="68"/>
        </w:numPr>
      </w:pPr>
      <w:r w:rsidRPr="008D0479">
        <w:t>Projects which implement the Convention’s programme of work on agricultural biodiversity.</w:t>
      </w:r>
      <w:r w:rsidRPr="008D0479">
        <w:rPr>
          <w:vertAlign w:val="superscript"/>
        </w:rPr>
        <w:footnoteReference w:id="16"/>
      </w:r>
    </w:p>
    <w:p w14:paraId="6204C4CE" w14:textId="0A39EDF6" w:rsidR="00E31D44" w:rsidRPr="008D0479" w:rsidRDefault="00E31D44" w:rsidP="008D0479">
      <w:pPr>
        <w:pStyle w:val="CBDNormalNumber"/>
        <w:numPr>
          <w:ilvl w:val="0"/>
          <w:numId w:val="68"/>
        </w:numPr>
      </w:pPr>
      <w:r w:rsidRPr="008D0479">
        <w:t>National and regional projects that address the implementation of the Plan of Action 2018</w:t>
      </w:r>
      <w:r w:rsidRPr="008D0479">
        <w:rPr>
          <w:b/>
          <w:bCs/>
          <w:iCs/>
        </w:rPr>
        <w:t>–</w:t>
      </w:r>
      <w:r w:rsidRPr="008D0479">
        <w:t>2030 for the International Initiative for the Conservation and Sustainable Use of Pollinators;</w:t>
      </w:r>
      <w:r w:rsidRPr="008D0479">
        <w:rPr>
          <w:vertAlign w:val="superscript"/>
        </w:rPr>
        <w:footnoteReference w:id="17"/>
      </w:r>
    </w:p>
    <w:p w14:paraId="10C008E6" w14:textId="463E4EAC" w:rsidR="00C634D4" w:rsidRPr="008D0479" w:rsidRDefault="00BC62EB" w:rsidP="008D0479">
      <w:pPr>
        <w:pStyle w:val="CBDNormalNumber"/>
        <w:numPr>
          <w:ilvl w:val="0"/>
          <w:numId w:val="68"/>
        </w:numPr>
        <w:rPr>
          <w:iCs/>
        </w:rPr>
      </w:pPr>
      <w:r w:rsidRPr="008D0479">
        <w:rPr>
          <w:iCs/>
        </w:rPr>
        <w:t>N</w:t>
      </w:r>
      <w:r w:rsidR="00C634D4" w:rsidRPr="008D0479">
        <w:rPr>
          <w:iCs/>
        </w:rPr>
        <w:t>ational, subnational and regional projects that address the implementation of the Plan of Action (2020</w:t>
      </w:r>
      <w:r w:rsidR="00C634D4" w:rsidRPr="008D0479">
        <w:t>–</w:t>
      </w:r>
      <w:r w:rsidR="00C634D4" w:rsidRPr="008D0479">
        <w:rPr>
          <w:iCs/>
        </w:rPr>
        <w:t xml:space="preserve">2030) for the </w:t>
      </w:r>
      <w:r w:rsidR="00C634D4" w:rsidRPr="008D0479">
        <w:t>International</w:t>
      </w:r>
      <w:r w:rsidR="00C634D4" w:rsidRPr="008D0479">
        <w:rPr>
          <w:iCs/>
        </w:rPr>
        <w:t xml:space="preserve"> Initiative for the Conservation and Sustainable Use of Soil Biodiversity</w:t>
      </w:r>
      <w:r w:rsidRPr="008D0479">
        <w:rPr>
          <w:iCs/>
        </w:rPr>
        <w:t>.</w:t>
      </w:r>
      <w:r w:rsidRPr="008D0479">
        <w:rPr>
          <w:rStyle w:val="FootnoteReference"/>
          <w:iCs/>
        </w:rPr>
        <w:footnoteReference w:id="18"/>
      </w:r>
    </w:p>
    <w:p w14:paraId="2C1EFB98" w14:textId="12E74076" w:rsidR="00362C8E" w:rsidRPr="008D0479" w:rsidRDefault="009F333A" w:rsidP="008D0479">
      <w:pPr>
        <w:pStyle w:val="sub-headingitalics"/>
      </w:pPr>
      <w:r w:rsidRPr="008D0479">
        <w:t>(</w:t>
      </w:r>
      <w:proofErr w:type="spellStart"/>
      <w:r w:rsidRPr="008D0479">
        <w:t>i</w:t>
      </w:r>
      <w:proofErr w:type="spellEnd"/>
      <w:r w:rsidRPr="008D0479">
        <w:t>)</w:t>
      </w:r>
      <w:r w:rsidRPr="008D0479">
        <w:tab/>
      </w:r>
      <w:r w:rsidR="00362C8E" w:rsidRPr="008D0479">
        <w:t>Biodiversity and health</w:t>
      </w:r>
    </w:p>
    <w:p w14:paraId="3BA6B589" w14:textId="41CF5411" w:rsidR="00362C8E" w:rsidRPr="008D0479" w:rsidRDefault="00A122C4" w:rsidP="008D0479">
      <w:pPr>
        <w:pStyle w:val="CBDNormalNumber"/>
        <w:numPr>
          <w:ilvl w:val="0"/>
          <w:numId w:val="68"/>
        </w:numPr>
        <w:rPr>
          <w:iCs/>
        </w:rPr>
      </w:pPr>
      <w:r w:rsidRPr="008D0479">
        <w:rPr>
          <w:iCs/>
        </w:rPr>
        <w:t>C</w:t>
      </w:r>
      <w:r w:rsidR="00362C8E" w:rsidRPr="008D0479">
        <w:rPr>
          <w:iCs/>
        </w:rPr>
        <w:t>onsider</w:t>
      </w:r>
      <w:r w:rsidR="008D1A3C" w:rsidRPr="008D0479">
        <w:rPr>
          <w:iCs/>
        </w:rPr>
        <w:t>ing</w:t>
      </w:r>
      <w:r w:rsidR="00362C8E" w:rsidRPr="008D0479">
        <w:rPr>
          <w:iCs/>
        </w:rPr>
        <w:t xml:space="preserve"> providing </w:t>
      </w:r>
      <w:r w:rsidR="00362C8E" w:rsidRPr="008D0479">
        <w:t>technical</w:t>
      </w:r>
      <w:r w:rsidR="00362C8E" w:rsidRPr="008D0479">
        <w:rPr>
          <w:iCs/>
        </w:rPr>
        <w:t xml:space="preserve"> and financial support for mainstreaming biodiversity and health linkages</w:t>
      </w:r>
      <w:r w:rsidR="00BC62EB" w:rsidRPr="008D0479">
        <w:rPr>
          <w:iCs/>
        </w:rPr>
        <w:t>.</w:t>
      </w:r>
      <w:r w:rsidR="00BC62EB" w:rsidRPr="008D0479">
        <w:rPr>
          <w:rStyle w:val="FootnoteReference"/>
          <w:iCs/>
        </w:rPr>
        <w:footnoteReference w:id="19"/>
      </w:r>
    </w:p>
    <w:p w14:paraId="058F0EE8" w14:textId="082FE464" w:rsidR="00362C8E" w:rsidRPr="008D0479" w:rsidRDefault="009F333A" w:rsidP="008D0479">
      <w:pPr>
        <w:pStyle w:val="sub-headingitalics"/>
      </w:pPr>
      <w:r w:rsidRPr="008D0479">
        <w:t>(j)</w:t>
      </w:r>
      <w:r w:rsidRPr="008D0479">
        <w:tab/>
      </w:r>
      <w:r w:rsidR="00362C8E" w:rsidRPr="008D0479">
        <w:t>Engagement with subnational governments, cities and other local authorities</w:t>
      </w:r>
    </w:p>
    <w:p w14:paraId="5C3B8E5B" w14:textId="75441132" w:rsidR="00362C8E" w:rsidRPr="008D0479" w:rsidRDefault="00A122C4" w:rsidP="008D0479">
      <w:pPr>
        <w:pStyle w:val="CBDNormalNumber"/>
        <w:numPr>
          <w:ilvl w:val="0"/>
          <w:numId w:val="68"/>
        </w:numPr>
        <w:rPr>
          <w:iCs/>
        </w:rPr>
      </w:pPr>
      <w:r w:rsidRPr="008D0479">
        <w:rPr>
          <w:iCs/>
        </w:rPr>
        <w:t>C</w:t>
      </w:r>
      <w:r w:rsidR="00362C8E" w:rsidRPr="008D0479">
        <w:rPr>
          <w:iCs/>
        </w:rPr>
        <w:t>onsider</w:t>
      </w:r>
      <w:r w:rsidR="008D1A3C" w:rsidRPr="008D0479">
        <w:rPr>
          <w:iCs/>
        </w:rPr>
        <w:t>ing</w:t>
      </w:r>
      <w:r w:rsidR="00362C8E" w:rsidRPr="008D0479">
        <w:rPr>
          <w:iCs/>
        </w:rPr>
        <w:t xml:space="preserve"> further expanding and strengthening its sustainable cities initiatives in its future replenishments, and piloting land- </w:t>
      </w:r>
      <w:r w:rsidR="00362C8E" w:rsidRPr="008D0479">
        <w:t>and</w:t>
      </w:r>
      <w:r w:rsidR="00362C8E" w:rsidRPr="008D0479">
        <w:rPr>
          <w:iCs/>
        </w:rPr>
        <w:t xml:space="preserve"> seascape level initiatives targeted at subnational and local governance, infrastructure, biodiversity-inclusive spatial and land-use planning, and urban-rural linkages, in accordance with the priorities identified in national biodiversity strategies and action plans</w:t>
      </w:r>
      <w:r w:rsidRPr="008D0479">
        <w:rPr>
          <w:iCs/>
        </w:rPr>
        <w:t>.</w:t>
      </w:r>
      <w:r w:rsidRPr="008D0479">
        <w:rPr>
          <w:rStyle w:val="FootnoteReference"/>
          <w:iCs/>
        </w:rPr>
        <w:footnoteReference w:id="20"/>
      </w:r>
    </w:p>
    <w:p w14:paraId="6BFF0686" w14:textId="77777777" w:rsidR="00E31D44" w:rsidRPr="008D0479" w:rsidRDefault="00E31D44" w:rsidP="008D0479">
      <w:pPr>
        <w:pStyle w:val="CBDH3"/>
      </w:pPr>
      <w:r w:rsidRPr="008D0479">
        <w:t>Article 5. Cooperation</w:t>
      </w:r>
    </w:p>
    <w:p w14:paraId="31AA2DE7" w14:textId="46F1B787" w:rsidR="00E31D44" w:rsidRPr="008D0479" w:rsidRDefault="00E31D44" w:rsidP="008D0479">
      <w:pPr>
        <w:pStyle w:val="CBDNormalNumber"/>
        <w:numPr>
          <w:ilvl w:val="0"/>
          <w:numId w:val="68"/>
        </w:numPr>
      </w:pPr>
      <w:r w:rsidRPr="008D0479">
        <w:rPr>
          <w:iCs/>
        </w:rPr>
        <w:t>Consideration</w:t>
      </w:r>
      <w:r w:rsidRPr="008D0479">
        <w:t xml:space="preserve"> of establishing a South-South biodiversity cooperation trust fund for the implementation of the Kunming-Montreal Global Biodiversity Framework based on voluntary contributions.</w:t>
      </w:r>
      <w:r w:rsidRPr="008D0479">
        <w:rPr>
          <w:vertAlign w:val="superscript"/>
        </w:rPr>
        <w:footnoteReference w:id="21"/>
      </w:r>
    </w:p>
    <w:p w14:paraId="68AFCE0F" w14:textId="77777777" w:rsidR="00E31D44" w:rsidRPr="008D0479" w:rsidRDefault="00E31D44" w:rsidP="008D0479">
      <w:pPr>
        <w:pStyle w:val="CBDH3"/>
      </w:pPr>
      <w:r w:rsidRPr="008D0479">
        <w:t>Article 6. General measures for conservation and sustainable use</w:t>
      </w:r>
    </w:p>
    <w:p w14:paraId="3B80F8CE" w14:textId="172EC51C" w:rsidR="00E31D44" w:rsidRPr="008D0479" w:rsidRDefault="0094079B" w:rsidP="008D0479">
      <w:pPr>
        <w:pStyle w:val="sub-headingitalics"/>
      </w:pPr>
      <w:r w:rsidRPr="008D0479">
        <w:t xml:space="preserve">(a) </w:t>
      </w:r>
      <w:r w:rsidRPr="008D0479">
        <w:tab/>
      </w:r>
      <w:r w:rsidR="00E31D44" w:rsidRPr="008D0479">
        <w:t>National biodiversity strategies and action plans</w:t>
      </w:r>
    </w:p>
    <w:p w14:paraId="5DD5CB21" w14:textId="6D29AE75" w:rsidR="00E31D44" w:rsidRPr="008D0479" w:rsidRDefault="00E31D44" w:rsidP="008D0479">
      <w:pPr>
        <w:pStyle w:val="CBDNormalNumber"/>
        <w:numPr>
          <w:ilvl w:val="0"/>
          <w:numId w:val="68"/>
        </w:numPr>
      </w:pPr>
      <w:r w:rsidRPr="008D0479">
        <w:t xml:space="preserve">Review, revision, </w:t>
      </w:r>
      <w:r w:rsidRPr="008D0479">
        <w:rPr>
          <w:iCs/>
        </w:rPr>
        <w:t>updating</w:t>
      </w:r>
      <w:r w:rsidRPr="008D0479">
        <w:t>, and implementation of national biodiversity strategies and action plans.</w:t>
      </w:r>
      <w:r w:rsidRPr="008D0479">
        <w:rPr>
          <w:vertAlign w:val="superscript"/>
        </w:rPr>
        <w:footnoteReference w:id="22"/>
      </w:r>
    </w:p>
    <w:p w14:paraId="6DDE9816" w14:textId="29348631" w:rsidR="00E31D44" w:rsidRPr="008D0479" w:rsidRDefault="00E31D44" w:rsidP="008D0479">
      <w:pPr>
        <w:pStyle w:val="CBDNormalNumber"/>
        <w:numPr>
          <w:ilvl w:val="0"/>
          <w:numId w:val="68"/>
        </w:numPr>
      </w:pPr>
      <w:r w:rsidRPr="008D0479">
        <w:lastRenderedPageBreak/>
        <w:t>Development and implementation of national biodiversity strategies and action plans, in line with the strategy and targets for resource mobilization agreed to in decision XII/3.</w:t>
      </w:r>
      <w:r w:rsidRPr="008D0479">
        <w:rPr>
          <w:vertAlign w:val="superscript"/>
        </w:rPr>
        <w:footnoteReference w:id="23"/>
      </w:r>
    </w:p>
    <w:p w14:paraId="0F7D81CD" w14:textId="58ECC667" w:rsidR="00E31D44" w:rsidRPr="008D0479" w:rsidRDefault="0094079B" w:rsidP="008D0479">
      <w:pPr>
        <w:pStyle w:val="sub-headingitalics"/>
      </w:pPr>
      <w:r w:rsidRPr="008D0479">
        <w:t>(b)</w:t>
      </w:r>
      <w:r w:rsidRPr="008D0479">
        <w:tab/>
      </w:r>
      <w:r w:rsidR="00E31D44" w:rsidRPr="008D0479">
        <w:t>Mainstreaming and integration</w:t>
      </w:r>
    </w:p>
    <w:p w14:paraId="5CE9480C" w14:textId="37D6FFD6" w:rsidR="00E31D44" w:rsidRPr="008D0479" w:rsidRDefault="00E31D44" w:rsidP="008D0479">
      <w:pPr>
        <w:pStyle w:val="CBDNormalNumber"/>
        <w:numPr>
          <w:ilvl w:val="0"/>
          <w:numId w:val="68"/>
        </w:numPr>
      </w:pPr>
      <w:r w:rsidRPr="008D0479">
        <w:t>Further development of approaches on the integration of biodiversity into poverty eradication and development processes.</w:t>
      </w:r>
      <w:r w:rsidRPr="008D0479">
        <w:rPr>
          <w:vertAlign w:val="superscript"/>
        </w:rPr>
        <w:footnoteReference w:id="24"/>
      </w:r>
    </w:p>
    <w:p w14:paraId="7C7DE57F" w14:textId="72CCDABD" w:rsidR="00E31D44" w:rsidRPr="008D0479" w:rsidRDefault="00E31D44" w:rsidP="008D0479">
      <w:pPr>
        <w:pStyle w:val="CBDNormalNumber"/>
        <w:numPr>
          <w:ilvl w:val="0"/>
          <w:numId w:val="68"/>
        </w:numPr>
      </w:pPr>
      <w:r w:rsidRPr="008D0479">
        <w:t>Country-driven projects that address cross-sectoral mainstreaming.</w:t>
      </w:r>
      <w:r w:rsidRPr="008D0479">
        <w:rPr>
          <w:vertAlign w:val="superscript"/>
        </w:rPr>
        <w:footnoteReference w:id="25"/>
      </w:r>
    </w:p>
    <w:p w14:paraId="04DA43FC" w14:textId="77777777" w:rsidR="00E31D44" w:rsidRPr="008D0479" w:rsidRDefault="00E31D44" w:rsidP="008D0479">
      <w:pPr>
        <w:pStyle w:val="CBDH3"/>
      </w:pPr>
      <w:r w:rsidRPr="008D0479">
        <w:t>Article 7. Identification and monitoring</w:t>
      </w:r>
    </w:p>
    <w:p w14:paraId="446EBDFD" w14:textId="4AA0A349" w:rsidR="00E31D44" w:rsidRPr="008D0479" w:rsidRDefault="00E31D44" w:rsidP="008D0479">
      <w:pPr>
        <w:pStyle w:val="CBDNormalNumber"/>
        <w:numPr>
          <w:ilvl w:val="0"/>
          <w:numId w:val="68"/>
        </w:numPr>
      </w:pPr>
      <w:r w:rsidRPr="008D0479">
        <w:t>Development and implementation of national biodiversity targets, indicator framework, and monitoring programmes.</w:t>
      </w:r>
      <w:r w:rsidRPr="008D0479">
        <w:rPr>
          <w:vertAlign w:val="superscript"/>
        </w:rPr>
        <w:footnoteReference w:id="26"/>
      </w:r>
    </w:p>
    <w:p w14:paraId="46E8D791" w14:textId="2936156C" w:rsidR="00BC62EB" w:rsidRPr="008D0479" w:rsidRDefault="00BC62EB" w:rsidP="008D0479">
      <w:pPr>
        <w:pStyle w:val="CBDNormalNumber"/>
        <w:numPr>
          <w:ilvl w:val="0"/>
          <w:numId w:val="68"/>
        </w:numPr>
        <w:rPr>
          <w:iCs/>
        </w:rPr>
      </w:pPr>
      <w:r w:rsidRPr="008D0479">
        <w:rPr>
          <w:iCs/>
        </w:rPr>
        <w:t xml:space="preserve">National, </w:t>
      </w:r>
      <w:r w:rsidRPr="008D0479">
        <w:t>regional</w:t>
      </w:r>
      <w:r w:rsidRPr="008D0479">
        <w:rPr>
          <w:iCs/>
        </w:rPr>
        <w:t xml:space="preserve"> and global biodiversity </w:t>
      </w:r>
      <w:r w:rsidRPr="008D0479">
        <w:t>monitoring</w:t>
      </w:r>
      <w:r w:rsidRPr="008D0479">
        <w:rPr>
          <w:iCs/>
        </w:rPr>
        <w:t xml:space="preserve"> systems, recognizing the need for enhanced international cooperation and capacity-building especially for developing countries.</w:t>
      </w:r>
      <w:r w:rsidRPr="008D0479">
        <w:rPr>
          <w:rStyle w:val="FootnoteReference"/>
          <w:iCs/>
        </w:rPr>
        <w:footnoteReference w:id="27"/>
      </w:r>
    </w:p>
    <w:p w14:paraId="677B6986" w14:textId="77777777" w:rsidR="00E31D44" w:rsidRPr="008D0479" w:rsidRDefault="00E31D44" w:rsidP="008D0479">
      <w:pPr>
        <w:pStyle w:val="CBDH3"/>
      </w:pPr>
      <w:r w:rsidRPr="008D0479">
        <w:t>Article 8. In situ conservation</w:t>
      </w:r>
    </w:p>
    <w:p w14:paraId="048C38FD" w14:textId="5AFFF283" w:rsidR="00E31D44" w:rsidRPr="008D0479" w:rsidRDefault="00885455" w:rsidP="008D0479">
      <w:pPr>
        <w:pStyle w:val="sub-headingitalics"/>
      </w:pPr>
      <w:r w:rsidRPr="008D0479">
        <w:t>(a)</w:t>
      </w:r>
      <w:r w:rsidRPr="008D0479">
        <w:tab/>
      </w:r>
      <w:r w:rsidR="00E31D44" w:rsidRPr="008D0479">
        <w:t>Area-based conservation</w:t>
      </w:r>
    </w:p>
    <w:p w14:paraId="1272E654" w14:textId="6B9E46DC" w:rsidR="00E31D44" w:rsidRPr="008D0479" w:rsidRDefault="00E31D44" w:rsidP="008D0479">
      <w:pPr>
        <w:pStyle w:val="CBDNormalNumber"/>
        <w:numPr>
          <w:ilvl w:val="0"/>
          <w:numId w:val="68"/>
        </w:numPr>
      </w:pPr>
      <w:r w:rsidRPr="008D0479">
        <w:t>Community conserved areas, national and regional systems of protected areas, further development of the portfolio on protected areas towards comprehensive, representative and effectively managed protected area systems addressing system wide needs, country driven early action activities of the programme of work on protected areas to enable its full implementation, projects that demonstrate the role-protected areas play in addressing climate change, and address the long-term financial sustainability of protected areas, including through different mechanisms and instruments.</w:t>
      </w:r>
      <w:r w:rsidRPr="008D0479">
        <w:rPr>
          <w:vertAlign w:val="superscript"/>
        </w:rPr>
        <w:footnoteReference w:id="28"/>
      </w:r>
    </w:p>
    <w:p w14:paraId="5CFAE2A1" w14:textId="0258603B" w:rsidR="00E31D44" w:rsidRPr="008D0479" w:rsidRDefault="00885455" w:rsidP="008D0479">
      <w:pPr>
        <w:pStyle w:val="sub-headingitalics"/>
      </w:pPr>
      <w:r w:rsidRPr="008D0479">
        <w:t>(b)</w:t>
      </w:r>
      <w:r w:rsidRPr="008D0479">
        <w:tab/>
      </w:r>
      <w:r w:rsidR="00E31D44" w:rsidRPr="008D0479">
        <w:t>Diversity of species and genetic resources</w:t>
      </w:r>
    </w:p>
    <w:p w14:paraId="1FD52A95" w14:textId="2FB706FE" w:rsidR="00E31D44" w:rsidRPr="008D0479" w:rsidRDefault="00E31D44" w:rsidP="008D0479">
      <w:pPr>
        <w:pStyle w:val="CBDNormalNumber"/>
        <w:numPr>
          <w:ilvl w:val="0"/>
          <w:numId w:val="68"/>
        </w:numPr>
      </w:pPr>
      <w:r w:rsidRPr="008D0479">
        <w:t>Projects that promote the conservation and/or sustainable use of endemic species</w:t>
      </w:r>
      <w:r w:rsidRPr="008D0479">
        <w:rPr>
          <w:vertAlign w:val="superscript"/>
        </w:rPr>
        <w:t>.</w:t>
      </w:r>
      <w:r w:rsidRPr="008D0479">
        <w:rPr>
          <w:vertAlign w:val="superscript"/>
        </w:rPr>
        <w:footnoteReference w:id="29"/>
      </w:r>
    </w:p>
    <w:p w14:paraId="4FCF65C7" w14:textId="64301E86" w:rsidR="00E31D44" w:rsidRPr="008D0479" w:rsidRDefault="00E31D44" w:rsidP="008D0479">
      <w:pPr>
        <w:pStyle w:val="CBDNormalNumber"/>
        <w:numPr>
          <w:ilvl w:val="0"/>
          <w:numId w:val="68"/>
        </w:numPr>
      </w:pPr>
      <w:r w:rsidRPr="008D0479">
        <w:t>Implementation of the Global Strategy for Plant Conservation 2011</w:t>
      </w:r>
      <w:r w:rsidRPr="008D0479">
        <w:rPr>
          <w:b/>
          <w:bCs/>
          <w:iCs/>
        </w:rPr>
        <w:t>–</w:t>
      </w:r>
      <w:r w:rsidRPr="008D0479">
        <w:t>2020.</w:t>
      </w:r>
      <w:r w:rsidRPr="008D0479">
        <w:rPr>
          <w:vertAlign w:val="superscript"/>
        </w:rPr>
        <w:footnoteReference w:id="30"/>
      </w:r>
    </w:p>
    <w:p w14:paraId="6280605A" w14:textId="6169C23C" w:rsidR="00E31D44" w:rsidRPr="008D0479" w:rsidRDefault="00E31D44" w:rsidP="008D0479">
      <w:pPr>
        <w:pStyle w:val="CBDNormalNumber"/>
        <w:numPr>
          <w:ilvl w:val="0"/>
          <w:numId w:val="68"/>
        </w:numPr>
      </w:pPr>
      <w:r w:rsidRPr="008D0479">
        <w:t>National and regional taxonomic capacity-building activities for the Global Taxonomy Initiative, and project components that address taxonomic needs in the achievement of the Convention’s objectives.</w:t>
      </w:r>
      <w:r w:rsidRPr="008D0479">
        <w:rPr>
          <w:vertAlign w:val="superscript"/>
        </w:rPr>
        <w:footnoteReference w:id="31"/>
      </w:r>
    </w:p>
    <w:p w14:paraId="71FD4D76" w14:textId="6D39BD80" w:rsidR="00E31D44" w:rsidRPr="008D0479" w:rsidRDefault="00885455" w:rsidP="008D0479">
      <w:pPr>
        <w:pStyle w:val="sub-headingitalics"/>
      </w:pPr>
      <w:r w:rsidRPr="008D0479">
        <w:t>(c)</w:t>
      </w:r>
      <w:r w:rsidRPr="008D0479">
        <w:tab/>
      </w:r>
      <w:r w:rsidR="00E31D44" w:rsidRPr="008D0479">
        <w:t>Invasive alien species</w:t>
      </w:r>
    </w:p>
    <w:p w14:paraId="1D918FDF" w14:textId="3259BBFC" w:rsidR="00E31D44" w:rsidRPr="008D0479" w:rsidRDefault="00E31D44" w:rsidP="008D0479">
      <w:pPr>
        <w:pStyle w:val="CBDNormalNumber"/>
        <w:numPr>
          <w:ilvl w:val="0"/>
          <w:numId w:val="68"/>
        </w:numPr>
      </w:pPr>
      <w:r w:rsidRPr="008D0479">
        <w:t xml:space="preserve">Projects that assist with the development and implementation, at national and regional levels, of invasive alien species strategies and action plans, </w:t>
      </w:r>
      <w:proofErr w:type="gramStart"/>
      <w:r w:rsidRPr="008D0479">
        <w:t>in particular</w:t>
      </w:r>
      <w:proofErr w:type="gramEnd"/>
      <w:r w:rsidRPr="008D0479">
        <w:t xml:space="preserve"> those strategies and actions related to geographically and evolutionarily isolated ecosystems, capacity-building to prevent or minimize the risks of the dispersal and establishment of invasive alien species, improved prevention, rapid response and management measures to address threats of alien invasive species.</w:t>
      </w:r>
      <w:r w:rsidRPr="008D0479">
        <w:rPr>
          <w:vertAlign w:val="superscript"/>
        </w:rPr>
        <w:footnoteReference w:id="32"/>
      </w:r>
    </w:p>
    <w:p w14:paraId="744915FB" w14:textId="7493D410" w:rsidR="00E31D44" w:rsidRPr="008D0479" w:rsidRDefault="00885455" w:rsidP="008D0479">
      <w:pPr>
        <w:pStyle w:val="sub-headingitalics"/>
      </w:pPr>
      <w:r w:rsidRPr="008D0479">
        <w:lastRenderedPageBreak/>
        <w:t>(d)</w:t>
      </w:r>
      <w:r w:rsidRPr="008D0479">
        <w:tab/>
      </w:r>
      <w:r w:rsidR="00E31D44" w:rsidRPr="008D0479">
        <w:t>Article 8(j) and related provisions</w:t>
      </w:r>
    </w:p>
    <w:p w14:paraId="32DD3253" w14:textId="3463CB69" w:rsidR="00E31D44" w:rsidRPr="008D0479" w:rsidRDefault="00E31D44" w:rsidP="008D0479">
      <w:pPr>
        <w:pStyle w:val="CBDNormalNumber"/>
        <w:numPr>
          <w:ilvl w:val="0"/>
          <w:numId w:val="68"/>
        </w:numPr>
      </w:pPr>
      <w:r w:rsidRPr="008D0479">
        <w:t>Inclusion of perspectives of indigenous peoples and local communities, particularly women, in the financing of biodiversity and ecosystem services.</w:t>
      </w:r>
      <w:r w:rsidRPr="008D0479">
        <w:rPr>
          <w:vertAlign w:val="superscript"/>
        </w:rPr>
        <w:footnoteReference w:id="33"/>
      </w:r>
    </w:p>
    <w:p w14:paraId="6AE0629B" w14:textId="1DA25A96" w:rsidR="00E31D44" w:rsidRPr="008D0479" w:rsidRDefault="00E31D44" w:rsidP="008D0479">
      <w:pPr>
        <w:pStyle w:val="CBDNormalNumber"/>
        <w:numPr>
          <w:ilvl w:val="0"/>
          <w:numId w:val="68"/>
        </w:numPr>
      </w:pPr>
      <w:r w:rsidRPr="008D0479">
        <w:t>Implementation of programmes and projects that strengthen the involvement of indigenous peoples and local communities, advance community conservation, promote customary sustainable use of biological diversity.</w:t>
      </w:r>
      <w:r w:rsidRPr="008D0479">
        <w:rPr>
          <w:vertAlign w:val="superscript"/>
        </w:rPr>
        <w:footnoteReference w:id="34"/>
      </w:r>
    </w:p>
    <w:p w14:paraId="3D33C6F3" w14:textId="6936EDA6" w:rsidR="00E31D44" w:rsidRPr="008D0479" w:rsidRDefault="00E31D44" w:rsidP="008D0479">
      <w:pPr>
        <w:pStyle w:val="CBDNormalNumber"/>
        <w:numPr>
          <w:ilvl w:val="0"/>
          <w:numId w:val="68"/>
        </w:numPr>
      </w:pPr>
      <w:r w:rsidRPr="008D0479">
        <w:t xml:space="preserve">Raising awareness and building capacity relevant to the implementation of the </w:t>
      </w:r>
      <w:proofErr w:type="spellStart"/>
      <w:r w:rsidRPr="008D0479">
        <w:t>Rutzolijirisaxik</w:t>
      </w:r>
      <w:proofErr w:type="spellEnd"/>
      <w:r w:rsidRPr="008D0479">
        <w:t xml:space="preserve"> Voluntary Guidelines for the Repatriation of Traditional Knowledge of Indigenous Peoples and Local Communities Relevant for the Conservation and Sustainable Use of Biological Diversity, and developing, as appropriate, community protocols or processes for “prior and informed consent” or “free, prior and informed consent”, depending on national circumstances, or “approval and involvement”, and fair and equitable benefit-sharing.</w:t>
      </w:r>
      <w:r w:rsidRPr="008D0479">
        <w:rPr>
          <w:vertAlign w:val="superscript"/>
        </w:rPr>
        <w:footnoteReference w:id="35"/>
      </w:r>
    </w:p>
    <w:p w14:paraId="06642ED3" w14:textId="1E1C4116" w:rsidR="00E31D44" w:rsidRPr="008D0479" w:rsidRDefault="00E31D44" w:rsidP="008D0479">
      <w:pPr>
        <w:pStyle w:val="CBDNormalNumber"/>
        <w:numPr>
          <w:ilvl w:val="0"/>
          <w:numId w:val="68"/>
        </w:numPr>
      </w:pPr>
      <w:r w:rsidRPr="008D0479">
        <w:t>Raising awareness and building capacity relevant to the implementation of the guidelines (</w:t>
      </w:r>
      <w:proofErr w:type="spellStart"/>
      <w:r w:rsidRPr="008D0479">
        <w:t>Mo’otz</w:t>
      </w:r>
      <w:proofErr w:type="spellEnd"/>
      <w:r w:rsidRPr="008D0479">
        <w:t xml:space="preserve"> </w:t>
      </w:r>
      <w:proofErr w:type="spellStart"/>
      <w:r w:rsidRPr="008D0479">
        <w:t>Kuxtal</w:t>
      </w:r>
      <w:proofErr w:type="spellEnd"/>
      <w:r w:rsidRPr="008D0479">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and developing, as appropriate, community protocols or processes for “prior and informed consent”, “free, prior and informed consent” or “approval and involvement”, depending on national circumstances, for fair and equitable benefit-sharing.</w:t>
      </w:r>
      <w:r w:rsidRPr="008D0479">
        <w:rPr>
          <w:vertAlign w:val="superscript"/>
        </w:rPr>
        <w:footnoteReference w:id="36"/>
      </w:r>
    </w:p>
    <w:p w14:paraId="4C650043" w14:textId="77777777" w:rsidR="00E31D44" w:rsidRPr="008D0479" w:rsidRDefault="00E31D44" w:rsidP="008D0479">
      <w:pPr>
        <w:pStyle w:val="CBDH3"/>
      </w:pPr>
      <w:r w:rsidRPr="008D0479">
        <w:t>Article 9. Ex situ conservation</w:t>
      </w:r>
    </w:p>
    <w:p w14:paraId="59C7D93D" w14:textId="77777777" w:rsidR="00E31D44" w:rsidRPr="008D0479" w:rsidRDefault="00E31D44" w:rsidP="008D0479">
      <w:pPr>
        <w:pStyle w:val="CBDH3"/>
      </w:pPr>
      <w:r w:rsidRPr="008D0479">
        <w:t>Article 10. Sustainable use of components of biological diversity</w:t>
      </w:r>
    </w:p>
    <w:p w14:paraId="62E5DD43" w14:textId="0CFB4089" w:rsidR="00E31D44" w:rsidRPr="008D0479" w:rsidRDefault="00E31D44" w:rsidP="008D0479">
      <w:pPr>
        <w:pStyle w:val="CBDNormalNumber"/>
        <w:numPr>
          <w:ilvl w:val="0"/>
          <w:numId w:val="68"/>
        </w:numPr>
      </w:pPr>
      <w:r w:rsidRPr="008D0479">
        <w:t>Implementation of the Addis Ababa Principles and Guidelines at the national level to ensure that the use of biological diversity is sustainable.</w:t>
      </w:r>
      <w:r w:rsidRPr="008D0479">
        <w:rPr>
          <w:vertAlign w:val="superscript"/>
        </w:rPr>
        <w:footnoteReference w:id="37"/>
      </w:r>
    </w:p>
    <w:p w14:paraId="276646F5" w14:textId="3B3A89B4" w:rsidR="00E31D44" w:rsidRPr="008D0479" w:rsidRDefault="00E31D44" w:rsidP="008D0479">
      <w:pPr>
        <w:pStyle w:val="CBDNormalNumber"/>
        <w:numPr>
          <w:ilvl w:val="0"/>
          <w:numId w:val="68"/>
        </w:numPr>
      </w:pPr>
      <w:r w:rsidRPr="008D0479">
        <w:t>Sustainable tourism that contributes to the objectives of the Convention.</w:t>
      </w:r>
      <w:r w:rsidRPr="008D0479">
        <w:rPr>
          <w:vertAlign w:val="superscript"/>
        </w:rPr>
        <w:footnoteReference w:id="38"/>
      </w:r>
    </w:p>
    <w:p w14:paraId="19BCE2E6" w14:textId="77777777" w:rsidR="00E31D44" w:rsidRPr="008D0479" w:rsidRDefault="00E31D44" w:rsidP="008D0479">
      <w:pPr>
        <w:pStyle w:val="CBDH3"/>
      </w:pPr>
      <w:r w:rsidRPr="008D0479">
        <w:t>Article 11. Incentive measures</w:t>
      </w:r>
    </w:p>
    <w:p w14:paraId="7E594660" w14:textId="3886E26E" w:rsidR="00E31D44" w:rsidRPr="008D0479" w:rsidRDefault="00E31D44" w:rsidP="008D0479">
      <w:pPr>
        <w:pStyle w:val="CBDNormalNumber"/>
        <w:numPr>
          <w:ilvl w:val="0"/>
          <w:numId w:val="68"/>
        </w:numPr>
      </w:pPr>
      <w:r w:rsidRPr="008D0479">
        <w:t>Development and implementation of innovative measures, including in the field of economic incentives and those which assist developing countries to address situations where opportunity costs are incurred by local communities and to identify ways and means by which these can be compensated.</w:t>
      </w:r>
      <w:r w:rsidRPr="008D0479">
        <w:rPr>
          <w:vertAlign w:val="superscript"/>
        </w:rPr>
        <w:footnoteReference w:id="39"/>
      </w:r>
    </w:p>
    <w:p w14:paraId="41EDD340" w14:textId="77777777" w:rsidR="00E31D44" w:rsidRPr="008D0479" w:rsidRDefault="00E31D44" w:rsidP="008D0479">
      <w:pPr>
        <w:pStyle w:val="CBDH3"/>
      </w:pPr>
      <w:r w:rsidRPr="008D0479">
        <w:t>Article 12. Research and training</w:t>
      </w:r>
    </w:p>
    <w:p w14:paraId="5BCE1A30" w14:textId="570CDEAE" w:rsidR="00E31D44" w:rsidRPr="008D0479" w:rsidRDefault="00E31D44" w:rsidP="008D0479">
      <w:pPr>
        <w:pStyle w:val="CBDNormalNumber"/>
        <w:numPr>
          <w:ilvl w:val="0"/>
          <w:numId w:val="68"/>
        </w:numPr>
      </w:pPr>
      <w:r w:rsidRPr="008D0479">
        <w:t>Project components addressing targeted research which contributes to the conservation of biological diversity and sustainable use of its components including research for reversing current trends of biodiversity loss and species extinction.</w:t>
      </w:r>
      <w:r w:rsidRPr="008D0479">
        <w:rPr>
          <w:vertAlign w:val="superscript"/>
        </w:rPr>
        <w:footnoteReference w:id="40"/>
      </w:r>
    </w:p>
    <w:p w14:paraId="0CCF7869" w14:textId="77777777" w:rsidR="00E31D44" w:rsidRPr="008D0479" w:rsidRDefault="00E31D44" w:rsidP="008D0479">
      <w:pPr>
        <w:pStyle w:val="CBDH3"/>
      </w:pPr>
      <w:r w:rsidRPr="008D0479">
        <w:lastRenderedPageBreak/>
        <w:t>Article 13. Public education and awareness</w:t>
      </w:r>
    </w:p>
    <w:p w14:paraId="0E4B06E0" w14:textId="1E07A689" w:rsidR="00E31D44" w:rsidRPr="008D0479" w:rsidRDefault="00E31D44" w:rsidP="008D0479">
      <w:pPr>
        <w:pStyle w:val="CBDNormalNumber"/>
        <w:numPr>
          <w:ilvl w:val="0"/>
          <w:numId w:val="68"/>
        </w:numPr>
      </w:pPr>
      <w:r w:rsidRPr="008D0479">
        <w:t>Development and implementation of communication, education and public awareness priority activities at the national and regional levels.</w:t>
      </w:r>
      <w:r w:rsidRPr="008D0479">
        <w:rPr>
          <w:vertAlign w:val="superscript"/>
        </w:rPr>
        <w:footnoteReference w:id="41"/>
      </w:r>
    </w:p>
    <w:p w14:paraId="6F5371B9" w14:textId="77777777" w:rsidR="00E31D44" w:rsidRPr="008D0479" w:rsidRDefault="00E31D44" w:rsidP="008D0479">
      <w:pPr>
        <w:pStyle w:val="CBDH3"/>
      </w:pPr>
      <w:r w:rsidRPr="008D0479">
        <w:t>Article 14. Impact assessment and minimizing adverse impacts</w:t>
      </w:r>
    </w:p>
    <w:p w14:paraId="6F3EC8CE" w14:textId="77777777" w:rsidR="00E31D44" w:rsidRPr="008D0479" w:rsidRDefault="00E31D44" w:rsidP="008D0479">
      <w:pPr>
        <w:pStyle w:val="CBDH3"/>
      </w:pPr>
      <w:r w:rsidRPr="008D0479">
        <w:t>Article 15. Access to genetic resources (Nagoya Protocol on Access and Benefit-sharing)</w:t>
      </w:r>
    </w:p>
    <w:p w14:paraId="56AA77C0" w14:textId="7FA438F9" w:rsidR="00E31D44" w:rsidRPr="008D0479" w:rsidRDefault="00885455" w:rsidP="008D0479">
      <w:pPr>
        <w:pStyle w:val="sub-headingitalics"/>
      </w:pPr>
      <w:r w:rsidRPr="008D0479">
        <w:t>(a)</w:t>
      </w:r>
      <w:r w:rsidRPr="008D0479">
        <w:tab/>
      </w:r>
      <w:r w:rsidR="00E31D44" w:rsidRPr="008D0479">
        <w:t>National measures</w:t>
      </w:r>
    </w:p>
    <w:p w14:paraId="64C0F6C3" w14:textId="35BADC35" w:rsidR="00E31D44" w:rsidRPr="008D0479" w:rsidRDefault="00E31D44" w:rsidP="008D0479">
      <w:pPr>
        <w:pStyle w:val="CBDNormalNumber"/>
        <w:numPr>
          <w:ilvl w:val="0"/>
          <w:numId w:val="68"/>
        </w:numPr>
      </w:pPr>
      <w:r w:rsidRPr="008D0479">
        <w:t>Projects that support the ratification and implementation of the Nagoya Protocol on Access and Benefit-sharing, including the establishment of legislative, administrative and policy measures on access and benefit-sharing and related institutional arrangements.</w:t>
      </w:r>
      <w:r w:rsidRPr="008D0479">
        <w:rPr>
          <w:vertAlign w:val="superscript"/>
        </w:rPr>
        <w:footnoteReference w:id="42"/>
      </w:r>
    </w:p>
    <w:p w14:paraId="59C773E6" w14:textId="559AE441" w:rsidR="00E31D44" w:rsidRPr="008D0479" w:rsidRDefault="00885455" w:rsidP="008D0479">
      <w:pPr>
        <w:pStyle w:val="sub-headingitalics"/>
      </w:pPr>
      <w:r w:rsidRPr="008D0479">
        <w:t>(b)</w:t>
      </w:r>
      <w:r w:rsidRPr="008D0479">
        <w:tab/>
      </w:r>
      <w:r w:rsidR="00E31D44" w:rsidRPr="008D0479">
        <w:t>Capacity-building</w:t>
      </w:r>
    </w:p>
    <w:p w14:paraId="53B62F52" w14:textId="560DA208" w:rsidR="00E31D44" w:rsidRPr="008D0479" w:rsidRDefault="00E31D44" w:rsidP="008D0479">
      <w:pPr>
        <w:pStyle w:val="CBDNormalNumber"/>
        <w:numPr>
          <w:ilvl w:val="0"/>
          <w:numId w:val="68"/>
        </w:numPr>
      </w:pPr>
      <w:r w:rsidRPr="008D0479">
        <w:t>Building the capacity to develop, implement and enforce domestic legislative, administrative or policy measures on access and benefit-sharing, thereby contributing to the conservation of biological diversity and sustainable use of its components,</w:t>
      </w:r>
      <w:r w:rsidRPr="008D0479">
        <w:rPr>
          <w:vertAlign w:val="superscript"/>
        </w:rPr>
        <w:footnoteReference w:id="43"/>
      </w:r>
      <w:r w:rsidRPr="008D0479">
        <w:t xml:space="preserve"> including through:</w:t>
      </w:r>
    </w:p>
    <w:p w14:paraId="0F4244CB" w14:textId="77777777" w:rsidR="00E31D44" w:rsidRPr="008D0479" w:rsidRDefault="00E31D44" w:rsidP="008D0479">
      <w:pPr>
        <w:numPr>
          <w:ilvl w:val="0"/>
          <w:numId w:val="5"/>
        </w:numPr>
        <w:spacing w:after="120"/>
        <w:ind w:left="567" w:firstLine="567"/>
      </w:pPr>
      <w:r w:rsidRPr="008D0479">
        <w:t xml:space="preserve">Identification of relevant actors and existing legal and institutional expertise for the implementation of the Nagoya </w:t>
      </w:r>
      <w:proofErr w:type="gramStart"/>
      <w:r w:rsidRPr="008D0479">
        <w:t>Protocol;</w:t>
      </w:r>
      <w:proofErr w:type="gramEnd"/>
    </w:p>
    <w:p w14:paraId="7C55D7B7" w14:textId="77777777" w:rsidR="00E31D44" w:rsidRPr="008D0479" w:rsidRDefault="00E31D44" w:rsidP="008D0479">
      <w:pPr>
        <w:numPr>
          <w:ilvl w:val="0"/>
          <w:numId w:val="5"/>
        </w:numPr>
        <w:spacing w:after="120"/>
        <w:ind w:left="567" w:firstLine="567"/>
      </w:pPr>
      <w:r w:rsidRPr="008D0479">
        <w:t xml:space="preserve">Taking stock of domestic measures relevant to access and benefit-sharing in the light of the obligations of the Nagoya </w:t>
      </w:r>
      <w:proofErr w:type="gramStart"/>
      <w:r w:rsidRPr="008D0479">
        <w:t>Protocol;</w:t>
      </w:r>
      <w:proofErr w:type="gramEnd"/>
    </w:p>
    <w:p w14:paraId="04417BA0" w14:textId="77777777" w:rsidR="00E31D44" w:rsidRPr="008D0479" w:rsidRDefault="00E31D44" w:rsidP="008D0479">
      <w:pPr>
        <w:numPr>
          <w:ilvl w:val="0"/>
          <w:numId w:val="5"/>
        </w:numPr>
        <w:spacing w:after="120"/>
        <w:ind w:left="567" w:firstLine="567"/>
      </w:pPr>
      <w:r w:rsidRPr="008D0479">
        <w:t xml:space="preserve">Development and/or amendment of access and benefit-sharing legislative, administrative or policy measures with a view to implementing their obligations under the Nagoya </w:t>
      </w:r>
      <w:proofErr w:type="gramStart"/>
      <w:r w:rsidRPr="008D0479">
        <w:t>Protocol;</w:t>
      </w:r>
      <w:proofErr w:type="gramEnd"/>
    </w:p>
    <w:p w14:paraId="5F304B37" w14:textId="77777777" w:rsidR="00E31D44" w:rsidRPr="008D0479" w:rsidRDefault="00E31D44" w:rsidP="008D0479">
      <w:pPr>
        <w:numPr>
          <w:ilvl w:val="0"/>
          <w:numId w:val="5"/>
        </w:numPr>
        <w:spacing w:after="120"/>
        <w:ind w:left="567" w:firstLine="567"/>
      </w:pPr>
      <w:r w:rsidRPr="008D0479">
        <w:t xml:space="preserve">Establishment of ways to address transboundary </w:t>
      </w:r>
      <w:proofErr w:type="gramStart"/>
      <w:r w:rsidRPr="008D0479">
        <w:t>issues;</w:t>
      </w:r>
      <w:proofErr w:type="gramEnd"/>
    </w:p>
    <w:p w14:paraId="5AC26F9F" w14:textId="77777777" w:rsidR="00E31D44" w:rsidRPr="008D0479" w:rsidRDefault="00E31D44" w:rsidP="008D0479">
      <w:pPr>
        <w:numPr>
          <w:ilvl w:val="0"/>
          <w:numId w:val="5"/>
        </w:numPr>
        <w:spacing w:after="120"/>
        <w:ind w:left="567" w:firstLine="567"/>
      </w:pPr>
      <w:r w:rsidRPr="008D0479">
        <w:t xml:space="preserve">Establishment of institutional arrangements and administrative systems to provide access to genetic resources, ensure benefit-sharing, support compliance with prior informed consent and mutually agreed terms and monitor the utilization of genetic resources and traditional knowledge associated with genetic resources, including support for the establishment of check </w:t>
      </w:r>
      <w:proofErr w:type="gramStart"/>
      <w:r w:rsidRPr="008D0479">
        <w:t>points;</w:t>
      </w:r>
      <w:proofErr w:type="gramEnd"/>
    </w:p>
    <w:p w14:paraId="7040FD27" w14:textId="111CC079" w:rsidR="00E31D44" w:rsidRPr="008D0479" w:rsidRDefault="00E31D44" w:rsidP="008D0479">
      <w:pPr>
        <w:pStyle w:val="CBDNormalNumber"/>
        <w:numPr>
          <w:ilvl w:val="0"/>
          <w:numId w:val="68"/>
        </w:numPr>
      </w:pPr>
      <w:r w:rsidRPr="008D0479">
        <w:t>Supporting the implementation of the strategic framework for capacity-building and development to support the effective implementation of the Nagoya Protocol.</w:t>
      </w:r>
      <w:r w:rsidRPr="008D0479">
        <w:rPr>
          <w:vertAlign w:val="superscript"/>
        </w:rPr>
        <w:footnoteReference w:id="44"/>
      </w:r>
    </w:p>
    <w:p w14:paraId="083CAB92" w14:textId="11C4B0A7" w:rsidR="00E31D44" w:rsidRPr="008D0479" w:rsidRDefault="00556B48" w:rsidP="008D0479">
      <w:pPr>
        <w:pStyle w:val="sub-headingitalics"/>
      </w:pPr>
      <w:r w:rsidRPr="008D0479">
        <w:t>(c)</w:t>
      </w:r>
      <w:r w:rsidRPr="008D0479">
        <w:tab/>
      </w:r>
      <w:r w:rsidR="00E31D44" w:rsidRPr="008D0479">
        <w:t>Capacity on mutually agreed terms</w:t>
      </w:r>
    </w:p>
    <w:p w14:paraId="1A8EB0D2" w14:textId="4939EC1C" w:rsidR="00E31D44" w:rsidRPr="008D0479" w:rsidRDefault="00E31D44" w:rsidP="008D0479">
      <w:pPr>
        <w:pStyle w:val="CBDNormalNumber"/>
        <w:numPr>
          <w:ilvl w:val="0"/>
          <w:numId w:val="68"/>
        </w:numPr>
      </w:pPr>
      <w:r w:rsidRPr="008D0479">
        <w:t>Building the capacity to negotiate mutually agreed terms to promote equity and fairness in negotiations in the development and implementation of access and benefit-sharing agreements, including through enhanced understanding of business models and intellectual property rights.</w:t>
      </w:r>
      <w:r w:rsidRPr="008D0479">
        <w:rPr>
          <w:vertAlign w:val="superscript"/>
        </w:rPr>
        <w:footnoteReference w:id="45"/>
      </w:r>
    </w:p>
    <w:p w14:paraId="6F222547" w14:textId="1D967AA5" w:rsidR="00E31D44" w:rsidRPr="008D0479" w:rsidRDefault="00556B48" w:rsidP="008D0479">
      <w:pPr>
        <w:pStyle w:val="sub-headingitalics"/>
      </w:pPr>
      <w:r w:rsidRPr="008D0479">
        <w:t>(d)</w:t>
      </w:r>
      <w:r w:rsidRPr="008D0479">
        <w:tab/>
      </w:r>
      <w:r w:rsidR="00E31D44" w:rsidRPr="008D0479">
        <w:t>Endogenous research capabilities</w:t>
      </w:r>
    </w:p>
    <w:p w14:paraId="0BFD0F74" w14:textId="1A9C845A" w:rsidR="00E31D44" w:rsidRPr="008D0479" w:rsidRDefault="00E31D44" w:rsidP="008D0479">
      <w:pPr>
        <w:pStyle w:val="CBDNormalNumber"/>
        <w:numPr>
          <w:ilvl w:val="0"/>
          <w:numId w:val="68"/>
        </w:numPr>
      </w:pPr>
      <w:r w:rsidRPr="008D0479">
        <w:t>Building the capacity of Parties to develop their endogenous research capabilities to add value to their own genetic resources and traditional knowledge associated with genetic resources through, inter alia, technology transfer; bioprospecting and associated research and taxonomic studies; and development and use of valuation methods.</w:t>
      </w:r>
      <w:r w:rsidRPr="008D0479">
        <w:rPr>
          <w:vertAlign w:val="superscript"/>
        </w:rPr>
        <w:footnoteReference w:id="46"/>
      </w:r>
    </w:p>
    <w:p w14:paraId="064695F5" w14:textId="55A10C62" w:rsidR="00E31D44" w:rsidRPr="008D0479" w:rsidRDefault="00556B48" w:rsidP="008D0479">
      <w:pPr>
        <w:pStyle w:val="sub-headingitalics"/>
      </w:pPr>
      <w:r w:rsidRPr="008D0479">
        <w:lastRenderedPageBreak/>
        <w:t>(e)</w:t>
      </w:r>
      <w:r w:rsidRPr="008D0479">
        <w:tab/>
      </w:r>
      <w:r w:rsidR="00E31D44" w:rsidRPr="008D0479">
        <w:t>Indigenous peoples and local communities and relevant stakeholders</w:t>
      </w:r>
    </w:p>
    <w:p w14:paraId="5CF3900D" w14:textId="30ACE151" w:rsidR="00E31D44" w:rsidRPr="008D0479" w:rsidRDefault="00E31D44" w:rsidP="008D0479">
      <w:pPr>
        <w:pStyle w:val="CBDNormalNumber"/>
        <w:numPr>
          <w:ilvl w:val="0"/>
          <w:numId w:val="68"/>
        </w:numPr>
      </w:pPr>
      <w:r w:rsidRPr="008D0479">
        <w:t>Addressing the capacity needs and priorities of indigenous peoples and local communities and relevant stakeholders, in particular projects that would:</w:t>
      </w:r>
      <w:r w:rsidRPr="008D0479">
        <w:rPr>
          <w:vertAlign w:val="superscript"/>
        </w:rPr>
        <w:t xml:space="preserve"> </w:t>
      </w:r>
      <w:r w:rsidRPr="008D0479">
        <w:rPr>
          <w:vertAlign w:val="superscript"/>
        </w:rPr>
        <w:footnoteReference w:id="47"/>
      </w:r>
    </w:p>
    <w:p w14:paraId="06EA1778" w14:textId="77777777" w:rsidR="00E31D44" w:rsidRPr="008D0479" w:rsidRDefault="00E31D44" w:rsidP="008D0479">
      <w:pPr>
        <w:numPr>
          <w:ilvl w:val="0"/>
          <w:numId w:val="6"/>
        </w:numPr>
        <w:spacing w:after="120"/>
        <w:ind w:left="567" w:firstLine="567"/>
      </w:pPr>
      <w:r w:rsidRPr="008D0479">
        <w:t xml:space="preserve">Encourage their participation in legal, policy and decision-making </w:t>
      </w:r>
      <w:proofErr w:type="gramStart"/>
      <w:r w:rsidRPr="008D0479">
        <w:t>processes;</w:t>
      </w:r>
      <w:proofErr w:type="gramEnd"/>
      <w:r w:rsidRPr="008D0479">
        <w:t xml:space="preserve"> </w:t>
      </w:r>
    </w:p>
    <w:p w14:paraId="5D931AC7" w14:textId="77777777" w:rsidR="00E31D44" w:rsidRPr="008D0479" w:rsidRDefault="00E31D44" w:rsidP="008D0479">
      <w:pPr>
        <w:numPr>
          <w:ilvl w:val="0"/>
          <w:numId w:val="6"/>
        </w:numPr>
        <w:spacing w:after="120"/>
        <w:ind w:left="567" w:firstLine="567"/>
      </w:pPr>
      <w:r w:rsidRPr="008D0479">
        <w:t xml:space="preserve">Assist in building their capacity related to genetic resources and traditional knowledge associated with genetic resources, such as through the development of community protocols, model contractual clauses and minimum requirements for mutually agreed terms to secure the fair and equitable sharing of </w:t>
      </w:r>
      <w:proofErr w:type="gramStart"/>
      <w:r w:rsidRPr="008D0479">
        <w:t>benefits;</w:t>
      </w:r>
      <w:proofErr w:type="gramEnd"/>
      <w:r w:rsidRPr="008D0479">
        <w:t xml:space="preserve"> </w:t>
      </w:r>
    </w:p>
    <w:p w14:paraId="6F77295E" w14:textId="3A347C33" w:rsidR="00E31D44" w:rsidRPr="008D0479" w:rsidRDefault="00556B48" w:rsidP="008D0479">
      <w:pPr>
        <w:pStyle w:val="sub-headingitalics"/>
      </w:pPr>
      <w:r w:rsidRPr="008D0479">
        <w:t>(f)</w:t>
      </w:r>
      <w:r w:rsidRPr="008D0479">
        <w:tab/>
      </w:r>
      <w:proofErr w:type="gramStart"/>
      <w:r w:rsidR="00E31D44" w:rsidRPr="008D0479">
        <w:t>Clearing-house</w:t>
      </w:r>
      <w:proofErr w:type="gramEnd"/>
    </w:p>
    <w:p w14:paraId="497AFCA0" w14:textId="394839CB" w:rsidR="00E31D44" w:rsidRPr="008D0479" w:rsidRDefault="00E31D44" w:rsidP="008D0479">
      <w:pPr>
        <w:pStyle w:val="CBDNormalNumber"/>
        <w:numPr>
          <w:ilvl w:val="0"/>
          <w:numId w:val="68"/>
        </w:numPr>
        <w:rPr>
          <w:vertAlign w:val="superscript"/>
        </w:rPr>
      </w:pPr>
      <w:r w:rsidRPr="008D0479">
        <w:t>Enabling Parties to actively participate in the Access and Benefit-sharing Clearing-House and use the best available communication tools and Internet-based systems for access and benefit-sharing.</w:t>
      </w:r>
      <w:r w:rsidRPr="008D0479">
        <w:rPr>
          <w:vertAlign w:val="superscript"/>
        </w:rPr>
        <w:footnoteReference w:id="48"/>
      </w:r>
    </w:p>
    <w:p w14:paraId="0E3A5B2C" w14:textId="4EEF2DB1" w:rsidR="00E31D44" w:rsidRPr="008D0479" w:rsidRDefault="00556B48" w:rsidP="008D0479">
      <w:pPr>
        <w:pStyle w:val="sub-headingitalics"/>
      </w:pPr>
      <w:r w:rsidRPr="008D0479">
        <w:t>(g)</w:t>
      </w:r>
      <w:r w:rsidRPr="008D0479">
        <w:tab/>
      </w:r>
      <w:r w:rsidR="00E31D44" w:rsidRPr="008D0479">
        <w:t>Awareness-raising</w:t>
      </w:r>
    </w:p>
    <w:p w14:paraId="6FC860AD" w14:textId="24BDB90E" w:rsidR="00E31D44" w:rsidRPr="008D0479" w:rsidRDefault="00E31D44" w:rsidP="008D0479">
      <w:pPr>
        <w:pStyle w:val="CBDNormalNumber"/>
        <w:numPr>
          <w:ilvl w:val="0"/>
          <w:numId w:val="68"/>
        </w:numPr>
      </w:pPr>
      <w:r w:rsidRPr="008D0479">
        <w:t>Raising awareness of the importance of genetic resources and traditional knowledge associated with genetic resources, and related access and benefit</w:t>
      </w:r>
      <w:r w:rsidRPr="008D0479">
        <w:noBreakHyphen/>
        <w:t>sharing issues, notably through the development and implementation of national and regional awareness-raising strategies.</w:t>
      </w:r>
      <w:r w:rsidRPr="008D0479">
        <w:rPr>
          <w:vertAlign w:val="superscript"/>
        </w:rPr>
        <w:footnoteReference w:id="49"/>
      </w:r>
    </w:p>
    <w:p w14:paraId="7531C7CD" w14:textId="3B1BA022" w:rsidR="00E31D44" w:rsidRPr="008D0479" w:rsidRDefault="00556B48" w:rsidP="008D0479">
      <w:pPr>
        <w:pStyle w:val="sub-headingitalics"/>
      </w:pPr>
      <w:r w:rsidRPr="008D0479">
        <w:t>(h)</w:t>
      </w:r>
      <w:r w:rsidRPr="008D0479">
        <w:tab/>
      </w:r>
      <w:r w:rsidR="00E31D44" w:rsidRPr="008D0479">
        <w:t>National reporting</w:t>
      </w:r>
    </w:p>
    <w:p w14:paraId="457389AB" w14:textId="441DEF85" w:rsidR="00C634D4" w:rsidRPr="008D0479" w:rsidRDefault="00E31D44" w:rsidP="008D0479">
      <w:pPr>
        <w:pStyle w:val="CBDNormalNumber"/>
        <w:numPr>
          <w:ilvl w:val="0"/>
          <w:numId w:val="68"/>
        </w:numPr>
      </w:pPr>
      <w:r w:rsidRPr="008D0479">
        <w:t>Making financial resources available to assist Parties in preparing their national report.</w:t>
      </w:r>
      <w:r w:rsidRPr="008D0479">
        <w:rPr>
          <w:vertAlign w:val="superscript"/>
        </w:rPr>
        <w:footnoteReference w:id="50"/>
      </w:r>
    </w:p>
    <w:p w14:paraId="34C610AE" w14:textId="3458F79D" w:rsidR="00E31D44" w:rsidRPr="008D0479" w:rsidRDefault="00556B48" w:rsidP="008D0479">
      <w:pPr>
        <w:pStyle w:val="sub-headingitalics"/>
      </w:pPr>
      <w:r w:rsidRPr="008D0479">
        <w:t>(</w:t>
      </w:r>
      <w:proofErr w:type="spellStart"/>
      <w:r w:rsidRPr="008D0479">
        <w:t>i</w:t>
      </w:r>
      <w:proofErr w:type="spellEnd"/>
      <w:r w:rsidRPr="008D0479">
        <w:t>)</w:t>
      </w:r>
      <w:r w:rsidRPr="008D0479">
        <w:tab/>
      </w:r>
      <w:r w:rsidR="00E31D44" w:rsidRPr="008D0479">
        <w:t>Regional cooperation</w:t>
      </w:r>
    </w:p>
    <w:p w14:paraId="2D7AC06C" w14:textId="0F33AEB2" w:rsidR="00E31D44" w:rsidRPr="008D0479" w:rsidRDefault="00E31D44" w:rsidP="008D0479">
      <w:pPr>
        <w:pStyle w:val="CBDNormalNumber"/>
        <w:numPr>
          <w:ilvl w:val="0"/>
          <w:numId w:val="68"/>
        </w:numPr>
        <w:rPr>
          <w:iCs/>
        </w:rPr>
      </w:pPr>
      <w:r w:rsidRPr="008D0479">
        <w:rPr>
          <w:iCs/>
        </w:rPr>
        <w:t xml:space="preserve">Issues </w:t>
      </w:r>
      <w:r w:rsidRPr="008D0479">
        <w:t>identified</w:t>
      </w:r>
      <w:r w:rsidRPr="008D0479">
        <w:rPr>
          <w:iCs/>
        </w:rPr>
        <w:t xml:space="preserve"> by the Parties to facilitate further implementation of the Nagoya Protocol on Access and Benefit-sharing, </w:t>
      </w:r>
      <w:r w:rsidRPr="008D0479">
        <w:t>including</w:t>
      </w:r>
      <w:r w:rsidRPr="008D0479">
        <w:rPr>
          <w:iCs/>
        </w:rPr>
        <w:t xml:space="preserve"> regional cooperation projects, with a view to facilitating the sharing of experiences and lessons learned and harnessing associated synergies.</w:t>
      </w:r>
      <w:r w:rsidRPr="008D0479">
        <w:rPr>
          <w:iCs/>
          <w:vertAlign w:val="superscript"/>
        </w:rPr>
        <w:footnoteReference w:id="51"/>
      </w:r>
    </w:p>
    <w:p w14:paraId="28E983E8" w14:textId="006766DA" w:rsidR="00C634D4" w:rsidRPr="008D0479" w:rsidRDefault="0048022A" w:rsidP="008D0479">
      <w:pPr>
        <w:pStyle w:val="CBDNormalNumber"/>
        <w:numPr>
          <w:ilvl w:val="0"/>
          <w:numId w:val="68"/>
        </w:numPr>
        <w:rPr>
          <w:iCs/>
        </w:rPr>
      </w:pPr>
      <w:r w:rsidRPr="008D0479">
        <w:rPr>
          <w:iCs/>
        </w:rPr>
        <w:t>J</w:t>
      </w:r>
      <w:r w:rsidR="00C634D4" w:rsidRPr="008D0479">
        <w:rPr>
          <w:iCs/>
        </w:rPr>
        <w:t xml:space="preserve">oint projects, at global, regional or national levels, </w:t>
      </w:r>
      <w:proofErr w:type="gramStart"/>
      <w:r w:rsidR="00C634D4" w:rsidRPr="008D0479">
        <w:rPr>
          <w:iCs/>
        </w:rPr>
        <w:t>in order to</w:t>
      </w:r>
      <w:proofErr w:type="gramEnd"/>
      <w:r w:rsidR="00C634D4" w:rsidRPr="008D0479">
        <w:rPr>
          <w:iCs/>
        </w:rPr>
        <w:t xml:space="preserve"> maximize synergies and opportunities for cost</w:t>
      </w:r>
      <w:r w:rsidR="00C634D4" w:rsidRPr="008D0479">
        <w:rPr>
          <w:iCs/>
        </w:rPr>
        <w:noBreakHyphen/>
        <w:t>effective sharing of resources, information, experiences and expertise</w:t>
      </w:r>
      <w:r w:rsidRPr="008D0479">
        <w:rPr>
          <w:iCs/>
        </w:rPr>
        <w:t>.</w:t>
      </w:r>
      <w:r w:rsidRPr="008D0479">
        <w:rPr>
          <w:rStyle w:val="FootnoteReference"/>
          <w:iCs/>
        </w:rPr>
        <w:footnoteReference w:id="52"/>
      </w:r>
    </w:p>
    <w:p w14:paraId="5934C793" w14:textId="77777777" w:rsidR="00E31D44" w:rsidRPr="008D0479" w:rsidRDefault="00E31D44" w:rsidP="008D0479">
      <w:pPr>
        <w:pStyle w:val="CBDH3"/>
      </w:pPr>
      <w:r w:rsidRPr="008D0479">
        <w:t>Article 16. Access to and transfer of technology</w:t>
      </w:r>
    </w:p>
    <w:p w14:paraId="58D93229" w14:textId="51707AFB" w:rsidR="00E31D44" w:rsidRPr="008D0479" w:rsidRDefault="00E31D44" w:rsidP="008D0479">
      <w:pPr>
        <w:pStyle w:val="CBDNormalNumber"/>
        <w:numPr>
          <w:ilvl w:val="0"/>
          <w:numId w:val="68"/>
        </w:numPr>
      </w:pPr>
      <w:r w:rsidRPr="008D0479">
        <w:t>Preparation of national assessments of technology needs for implementation of the Convention, and promotion of access to, transfer of and cooperation for joint development of technology.</w:t>
      </w:r>
      <w:r w:rsidRPr="008D0479">
        <w:rPr>
          <w:vertAlign w:val="superscript"/>
        </w:rPr>
        <w:footnoteReference w:id="53"/>
      </w:r>
    </w:p>
    <w:p w14:paraId="1F662DFB" w14:textId="77777777" w:rsidR="00E31D44" w:rsidRPr="008D0479" w:rsidRDefault="00E31D44" w:rsidP="008D0479">
      <w:pPr>
        <w:pStyle w:val="CBDH3"/>
      </w:pPr>
      <w:r w:rsidRPr="008D0479">
        <w:t>Article 17. Exchange of information</w:t>
      </w:r>
    </w:p>
    <w:p w14:paraId="2DFEBCEB" w14:textId="77777777" w:rsidR="00E31D44" w:rsidRPr="008D0479" w:rsidRDefault="00E31D44" w:rsidP="008D0479">
      <w:pPr>
        <w:pStyle w:val="CBDH3"/>
      </w:pPr>
      <w:r w:rsidRPr="008D0479">
        <w:t>Article 18. Technical and scientific cooperation</w:t>
      </w:r>
    </w:p>
    <w:p w14:paraId="20A248D5" w14:textId="58B16360" w:rsidR="00E31D44" w:rsidRPr="008D0479" w:rsidRDefault="00E31D44" w:rsidP="008D0479">
      <w:pPr>
        <w:pStyle w:val="CBDNormalNumber"/>
        <w:numPr>
          <w:ilvl w:val="0"/>
          <w:numId w:val="68"/>
        </w:numPr>
      </w:pPr>
      <w:r w:rsidRPr="008D0479">
        <w:t>Strengthening biodiversity information systems such as, inter alia, training, technology and processes related to the collection, organization, maintenance and updating of data and information, and building capacity for the clearing-house mechanism, such as training in information and communication technologies and web content management that enable developing countries and countries with economies in transition to fully benefit from modern communication, including the Internet.</w:t>
      </w:r>
      <w:r w:rsidRPr="008D0479">
        <w:rPr>
          <w:vertAlign w:val="superscript"/>
        </w:rPr>
        <w:footnoteReference w:id="54"/>
      </w:r>
    </w:p>
    <w:p w14:paraId="6D99FE42" w14:textId="4C53A7BE" w:rsidR="00C634D4" w:rsidRPr="008D0479" w:rsidRDefault="0048022A" w:rsidP="008D0479">
      <w:pPr>
        <w:pStyle w:val="CBDNormalNumber"/>
        <w:numPr>
          <w:ilvl w:val="0"/>
          <w:numId w:val="68"/>
        </w:numPr>
      </w:pPr>
      <w:r w:rsidRPr="008D0479">
        <w:rPr>
          <w:iCs/>
        </w:rPr>
        <w:lastRenderedPageBreak/>
        <w:t>E</w:t>
      </w:r>
      <w:r w:rsidR="00C634D4" w:rsidRPr="008D0479">
        <w:rPr>
          <w:iCs/>
        </w:rPr>
        <w:t xml:space="preserve">ligible activities of the regional and/or subregional technical and scientific cooperation support centres and the </w:t>
      </w:r>
      <w:r w:rsidR="00C634D4" w:rsidRPr="008D0479">
        <w:t>global</w:t>
      </w:r>
      <w:r w:rsidR="00C634D4" w:rsidRPr="008D0479">
        <w:rPr>
          <w:iCs/>
        </w:rPr>
        <w:t xml:space="preserve"> coordination entity contributing to technical and scientific cooperation, technology transfer, and capacity-building and development at global, regional, subregional and national levels, as appropriate</w:t>
      </w:r>
      <w:r w:rsidRPr="008D0479">
        <w:rPr>
          <w:iCs/>
        </w:rPr>
        <w:t>.</w:t>
      </w:r>
      <w:r w:rsidRPr="008D0479">
        <w:rPr>
          <w:rStyle w:val="FootnoteReference"/>
          <w:iCs/>
        </w:rPr>
        <w:footnoteReference w:id="55"/>
      </w:r>
    </w:p>
    <w:p w14:paraId="0CD0D578" w14:textId="77777777" w:rsidR="00E31D44" w:rsidRPr="008D0479" w:rsidRDefault="00E31D44" w:rsidP="008D0479">
      <w:pPr>
        <w:pStyle w:val="CBDH3"/>
      </w:pPr>
      <w:r w:rsidRPr="008D0479">
        <w:t>Article 19. Handling of biotechnology and distribution of its benefits (Cartagena Protocol on Biosafety)</w:t>
      </w:r>
    </w:p>
    <w:p w14:paraId="5D0EBDF4" w14:textId="2B6EBD0F" w:rsidR="00AE38B1" w:rsidRPr="008D0479" w:rsidRDefault="00CC742F" w:rsidP="008D0479">
      <w:pPr>
        <w:pStyle w:val="CBDNormalNumber"/>
        <w:numPr>
          <w:ilvl w:val="0"/>
          <w:numId w:val="68"/>
        </w:numPr>
        <w:rPr>
          <w:iCs/>
        </w:rPr>
      </w:pPr>
      <w:r w:rsidRPr="008D0479">
        <w:t>E</w:t>
      </w:r>
      <w:r w:rsidR="00AE38B1" w:rsidRPr="008D0479">
        <w:rPr>
          <w:iCs/>
        </w:rPr>
        <w:t>xamin</w:t>
      </w:r>
      <w:r w:rsidRPr="008D0479">
        <w:rPr>
          <w:iCs/>
        </w:rPr>
        <w:t>ation of</w:t>
      </w:r>
      <w:r w:rsidR="00AE38B1" w:rsidRPr="008D0479">
        <w:rPr>
          <w:iCs/>
        </w:rPr>
        <w:t xml:space="preserve"> the possibility to create a finance window specifically for the Cartagena Protocol on Biosafety.</w:t>
      </w:r>
      <w:r w:rsidR="00AE38B1" w:rsidRPr="008D0479">
        <w:rPr>
          <w:rStyle w:val="FootnoteReference"/>
          <w:iCs/>
        </w:rPr>
        <w:footnoteReference w:id="56"/>
      </w:r>
    </w:p>
    <w:p w14:paraId="617CE49C" w14:textId="4E087A46" w:rsidR="00CC742F" w:rsidRPr="008D0479" w:rsidRDefault="00CC742F" w:rsidP="008D0479">
      <w:pPr>
        <w:pStyle w:val="CBDNormalNumber"/>
        <w:numPr>
          <w:ilvl w:val="0"/>
          <w:numId w:val="68"/>
        </w:numPr>
        <w:rPr>
          <w:iCs/>
        </w:rPr>
      </w:pPr>
      <w:r w:rsidRPr="008D0479">
        <w:rPr>
          <w:iCs/>
        </w:rPr>
        <w:t xml:space="preserve">Strengthening of its funding programme dedicated to the Cartagena Protocol on Biosafety to support eligible </w:t>
      </w:r>
      <w:r w:rsidRPr="008D0479">
        <w:t>Parties</w:t>
      </w:r>
      <w:r w:rsidRPr="008D0479">
        <w:rPr>
          <w:iCs/>
        </w:rPr>
        <w:t xml:space="preserve"> in implementing the Protocol, the Implementation Plan for the Cartagena Protocol on Biosafety and the Capacity</w:t>
      </w:r>
      <w:r w:rsidRPr="008D0479">
        <w:rPr>
          <w:iCs/>
        </w:rPr>
        <w:noBreakHyphen/>
        <w:t>building Action Plan for the Cartagena Protocol on Biosafety.</w:t>
      </w:r>
      <w:r w:rsidRPr="008D0479">
        <w:rPr>
          <w:rStyle w:val="FootnoteReference"/>
          <w:iCs/>
        </w:rPr>
        <w:footnoteReference w:id="57"/>
      </w:r>
    </w:p>
    <w:p w14:paraId="09B47A5B" w14:textId="2C2FE718" w:rsidR="0048022A" w:rsidRPr="008D0479" w:rsidRDefault="0048022A" w:rsidP="008D0479">
      <w:pPr>
        <w:pStyle w:val="CBDNormalNumber"/>
        <w:numPr>
          <w:ilvl w:val="0"/>
          <w:numId w:val="68"/>
        </w:numPr>
        <w:rPr>
          <w:iCs/>
        </w:rPr>
      </w:pPr>
      <w:r w:rsidRPr="008D0479">
        <w:rPr>
          <w:iCs/>
        </w:rPr>
        <w:t xml:space="preserve">Improving and </w:t>
      </w:r>
      <w:r w:rsidRPr="008D0479">
        <w:t>simplifying</w:t>
      </w:r>
      <w:r w:rsidRPr="008D0479">
        <w:rPr>
          <w:iCs/>
        </w:rPr>
        <w:t xml:space="preserve"> the modalities for access to its funding for the Cartagena Protocol, to support eligible Parties in the implementation of the Protocol, its Implementation Plan and Capacity</w:t>
      </w:r>
      <w:r w:rsidRPr="008D0479">
        <w:rPr>
          <w:iCs/>
        </w:rPr>
        <w:noBreakHyphen/>
        <w:t>building Action Plan.</w:t>
      </w:r>
      <w:r w:rsidRPr="008D0479">
        <w:rPr>
          <w:rStyle w:val="FootnoteReference"/>
          <w:iCs/>
        </w:rPr>
        <w:footnoteReference w:id="58"/>
      </w:r>
    </w:p>
    <w:p w14:paraId="429A1803" w14:textId="5A60AE01" w:rsidR="00E31D44" w:rsidRPr="008D0479" w:rsidRDefault="00611452" w:rsidP="008D0479">
      <w:pPr>
        <w:pStyle w:val="sub-headingitalics"/>
      </w:pPr>
      <w:r w:rsidRPr="008D0479">
        <w:t>(a)</w:t>
      </w:r>
      <w:r w:rsidRPr="008D0479">
        <w:tab/>
      </w:r>
      <w:r w:rsidR="00E31D44" w:rsidRPr="008D0479">
        <w:t>National measures</w:t>
      </w:r>
    </w:p>
    <w:p w14:paraId="2C980681" w14:textId="098B9E03" w:rsidR="00E31D44" w:rsidRPr="008D0479" w:rsidRDefault="00E31D44" w:rsidP="008D0479">
      <w:pPr>
        <w:pStyle w:val="CBDNormalNumber"/>
        <w:numPr>
          <w:ilvl w:val="0"/>
          <w:numId w:val="68"/>
        </w:numPr>
      </w:pPr>
      <w:r w:rsidRPr="008D0479">
        <w:t>Ratification and implementation of the Cartagena Protocol on Biosafety and the Nagoya–Kuala Lumpur Supplementary Protocol on Liability and Redress.</w:t>
      </w:r>
      <w:r w:rsidRPr="008D0479">
        <w:rPr>
          <w:vertAlign w:val="superscript"/>
        </w:rPr>
        <w:footnoteReference w:id="59"/>
      </w:r>
    </w:p>
    <w:p w14:paraId="5F3E4D6A" w14:textId="1D8D3575" w:rsidR="00E31D44" w:rsidRPr="008D0479" w:rsidRDefault="00E31D44" w:rsidP="008D0479">
      <w:pPr>
        <w:pStyle w:val="CBDNormalNumber"/>
        <w:numPr>
          <w:ilvl w:val="0"/>
          <w:numId w:val="68"/>
        </w:numPr>
        <w:rPr>
          <w:iCs/>
        </w:rPr>
      </w:pPr>
      <w:r w:rsidRPr="008D0479">
        <w:t>Development and implementation of national biosafety frameworks, in particular biosafety legislation,</w:t>
      </w:r>
      <w:r w:rsidRPr="008D0479">
        <w:rPr>
          <w:vertAlign w:val="superscript"/>
        </w:rPr>
        <w:footnoteReference w:id="60"/>
      </w:r>
      <w:r w:rsidRPr="008D0479">
        <w:t xml:space="preserve"> including those Parties that have not yet done so in fully putting in place measures to implement the Protocol.</w:t>
      </w:r>
      <w:r w:rsidRPr="008D0479">
        <w:rPr>
          <w:iCs/>
          <w:vertAlign w:val="superscript"/>
        </w:rPr>
        <w:footnoteReference w:id="61"/>
      </w:r>
    </w:p>
    <w:p w14:paraId="742CD171" w14:textId="79F3A70E" w:rsidR="00E31D44" w:rsidRPr="008D0479" w:rsidRDefault="00611452" w:rsidP="008D0479">
      <w:pPr>
        <w:pStyle w:val="Heading5"/>
        <w:numPr>
          <w:ilvl w:val="0"/>
          <w:numId w:val="0"/>
        </w:numPr>
        <w:ind w:left="567" w:hanging="567"/>
      </w:pPr>
      <w:r w:rsidRPr="008D0479">
        <w:t>(</w:t>
      </w:r>
      <w:r w:rsidRPr="008D0479">
        <w:rPr>
          <w:rFonts w:eastAsia="SimSun"/>
          <w:bCs/>
        </w:rPr>
        <w:t>b)</w:t>
      </w:r>
      <w:r w:rsidRPr="008D0479">
        <w:rPr>
          <w:rFonts w:eastAsia="SimSun"/>
          <w:bCs/>
        </w:rPr>
        <w:tab/>
      </w:r>
      <w:r w:rsidR="00E31D44" w:rsidRPr="008D0479">
        <w:rPr>
          <w:rFonts w:eastAsia="SimSun"/>
          <w:bCs/>
        </w:rPr>
        <w:t>Detection and identification</w:t>
      </w:r>
    </w:p>
    <w:p w14:paraId="766BD881" w14:textId="1A9E394D" w:rsidR="00E31D44" w:rsidRPr="008D0479" w:rsidRDefault="00E31D44" w:rsidP="008D0479">
      <w:pPr>
        <w:pStyle w:val="CBDNormalNumber"/>
        <w:numPr>
          <w:ilvl w:val="0"/>
          <w:numId w:val="68"/>
        </w:numPr>
      </w:pPr>
      <w:r w:rsidRPr="008D0479">
        <w:t>Identification of living modified organisms or specific traits that may have adverse effects on the conservation and sustainable use of biological diversity, taking also into account risks to human health.</w:t>
      </w:r>
      <w:r w:rsidRPr="008D0479">
        <w:rPr>
          <w:vertAlign w:val="superscript"/>
        </w:rPr>
        <w:footnoteReference w:id="62"/>
      </w:r>
    </w:p>
    <w:p w14:paraId="225DC1D4" w14:textId="02805A60" w:rsidR="00E31D44" w:rsidRPr="008D0479" w:rsidRDefault="00E31D44" w:rsidP="008D0479">
      <w:pPr>
        <w:pStyle w:val="CBDNormalNumber"/>
        <w:numPr>
          <w:ilvl w:val="0"/>
          <w:numId w:val="68"/>
        </w:numPr>
      </w:pPr>
      <w:r w:rsidRPr="008D0479">
        <w:t>Regional projects to support the implementation of the Cartagena Protocol, including projects aimed at building scientific capacity that could support countries’ actions towards detection and identification of living modified organisms, and in particular that could promote North-South and South-South sharing of experiences and lessons.</w:t>
      </w:r>
      <w:r w:rsidRPr="008D0479">
        <w:rPr>
          <w:iCs/>
          <w:vertAlign w:val="superscript"/>
        </w:rPr>
        <w:footnoteReference w:id="63"/>
      </w:r>
    </w:p>
    <w:p w14:paraId="01E1AA53" w14:textId="33F98D81" w:rsidR="00E31D44" w:rsidRPr="008D0479" w:rsidRDefault="00611452" w:rsidP="008D0479">
      <w:pPr>
        <w:pStyle w:val="sub-headingitalics"/>
      </w:pPr>
      <w:r w:rsidRPr="008D0479">
        <w:t>(c)</w:t>
      </w:r>
      <w:r w:rsidRPr="008D0479">
        <w:tab/>
      </w:r>
      <w:r w:rsidR="00E31D44" w:rsidRPr="008D0479">
        <w:t>Risk assessment and risk management</w:t>
      </w:r>
    </w:p>
    <w:p w14:paraId="494FF07E" w14:textId="59C8C936" w:rsidR="00E31D44" w:rsidRPr="008D0479" w:rsidRDefault="00E31D44" w:rsidP="008D0479">
      <w:pPr>
        <w:pStyle w:val="CBDNormalNumber"/>
        <w:numPr>
          <w:ilvl w:val="0"/>
          <w:numId w:val="68"/>
        </w:numPr>
        <w:rPr>
          <w:vertAlign w:val="superscript"/>
        </w:rPr>
      </w:pPr>
      <w:r w:rsidRPr="008D0479">
        <w:t>Building, consolidating and enhancing sustainable human resource capacity in risk assessment and risk management</w:t>
      </w:r>
      <w:r w:rsidRPr="008D0479">
        <w:rPr>
          <w:vertAlign w:val="superscript"/>
        </w:rPr>
        <w:footnoteReference w:id="64"/>
      </w:r>
      <w:r w:rsidRPr="008D0479">
        <w:rPr>
          <w:vertAlign w:val="superscript"/>
        </w:rPr>
        <w:t xml:space="preserve"> </w:t>
      </w:r>
      <w:r w:rsidRPr="008D0479">
        <w:t>in the context of country-driven projects.</w:t>
      </w:r>
      <w:r w:rsidRPr="008D0479">
        <w:rPr>
          <w:vertAlign w:val="superscript"/>
        </w:rPr>
        <w:footnoteReference w:id="65"/>
      </w:r>
    </w:p>
    <w:p w14:paraId="1AC9F06A" w14:textId="464110E9" w:rsidR="00E31D44" w:rsidRPr="008D0479" w:rsidRDefault="00611452" w:rsidP="008D0479">
      <w:pPr>
        <w:pStyle w:val="sub-headingitalics"/>
      </w:pPr>
      <w:r w:rsidRPr="008D0479">
        <w:t>(d)</w:t>
      </w:r>
      <w:r w:rsidRPr="008D0479">
        <w:tab/>
      </w:r>
      <w:r w:rsidR="00E31D44" w:rsidRPr="008D0479">
        <w:t>Socioeconomic considerations</w:t>
      </w:r>
    </w:p>
    <w:p w14:paraId="5018C66F" w14:textId="37D71FAF" w:rsidR="00E31D44" w:rsidRPr="008D0479" w:rsidRDefault="00E31D44" w:rsidP="008D0479">
      <w:pPr>
        <w:pStyle w:val="CBDNormalNumber"/>
        <w:numPr>
          <w:ilvl w:val="0"/>
          <w:numId w:val="68"/>
        </w:numPr>
      </w:pPr>
      <w:r w:rsidRPr="008D0479">
        <w:t>Capacity-building on socioeconomic considerations.</w:t>
      </w:r>
      <w:r w:rsidRPr="008D0479">
        <w:rPr>
          <w:vertAlign w:val="superscript"/>
        </w:rPr>
        <w:footnoteReference w:id="66"/>
      </w:r>
    </w:p>
    <w:p w14:paraId="61816571" w14:textId="6C6A8F52" w:rsidR="00E31D44" w:rsidRPr="008D0479" w:rsidRDefault="00611452" w:rsidP="008D0479">
      <w:pPr>
        <w:pStyle w:val="sub-headingitalics"/>
      </w:pPr>
      <w:r w:rsidRPr="008D0479">
        <w:lastRenderedPageBreak/>
        <w:t>(e)</w:t>
      </w:r>
      <w:r w:rsidRPr="008D0479">
        <w:tab/>
      </w:r>
      <w:r w:rsidR="00E31D44" w:rsidRPr="008D0479">
        <w:t>Unintentional release</w:t>
      </w:r>
    </w:p>
    <w:p w14:paraId="3C1D8714" w14:textId="17C36766" w:rsidR="00E31D44" w:rsidRPr="008D0479" w:rsidRDefault="00E31D44" w:rsidP="008D0479">
      <w:pPr>
        <w:pStyle w:val="CBDNormalNumber"/>
        <w:numPr>
          <w:ilvl w:val="0"/>
          <w:numId w:val="68"/>
        </w:numPr>
      </w:pPr>
      <w:r w:rsidRPr="008D0479">
        <w:t>Capacity-building to take appropriate measures in cases of unintentional release of living modified organisms.</w:t>
      </w:r>
      <w:r w:rsidRPr="008D0479">
        <w:rPr>
          <w:vertAlign w:val="superscript"/>
        </w:rPr>
        <w:footnoteReference w:id="67"/>
      </w:r>
    </w:p>
    <w:p w14:paraId="53D3DABD" w14:textId="1C8537F0" w:rsidR="00E31D44" w:rsidRPr="008D0479" w:rsidRDefault="00611452" w:rsidP="008D0479">
      <w:pPr>
        <w:pStyle w:val="sub-headingitalics"/>
      </w:pPr>
      <w:r w:rsidRPr="008D0479">
        <w:t>(f)</w:t>
      </w:r>
      <w:r w:rsidRPr="008D0479">
        <w:tab/>
      </w:r>
      <w:r w:rsidR="00E31D44" w:rsidRPr="008D0479">
        <w:t>Public awareness</w:t>
      </w:r>
    </w:p>
    <w:p w14:paraId="017B61A6" w14:textId="67756DCA" w:rsidR="00E31D44" w:rsidRPr="008D0479" w:rsidRDefault="00E31D44" w:rsidP="008D0479">
      <w:pPr>
        <w:pStyle w:val="CBDNormalNumber"/>
        <w:numPr>
          <w:ilvl w:val="0"/>
          <w:numId w:val="68"/>
        </w:numPr>
        <w:rPr>
          <w:vertAlign w:val="superscript"/>
        </w:rPr>
      </w:pPr>
      <w:r w:rsidRPr="008D0479">
        <w:t>Enhancing capacity for public awareness, education and participation regarding the safe transfer, handling and use of living modified organisms, including for indigenous peoples and local communities.</w:t>
      </w:r>
      <w:r w:rsidRPr="008D0479">
        <w:rPr>
          <w:vertAlign w:val="superscript"/>
        </w:rPr>
        <w:footnoteReference w:id="68"/>
      </w:r>
    </w:p>
    <w:p w14:paraId="755DE0BD" w14:textId="3C14CAF2" w:rsidR="00E31D44" w:rsidRPr="008D0479" w:rsidRDefault="00E31D44" w:rsidP="008D0479">
      <w:pPr>
        <w:pStyle w:val="CBDNormalNumber"/>
        <w:numPr>
          <w:ilvl w:val="0"/>
          <w:numId w:val="68"/>
        </w:numPr>
      </w:pPr>
      <w:r w:rsidRPr="008D0479">
        <w:t>Effective implementation of the programme of work on public awareness, education and participation concerning the safe transfer, handling and use of living modified organisms, in the context of relevant project activities and within its mandate.</w:t>
      </w:r>
      <w:r w:rsidRPr="008D0479">
        <w:rPr>
          <w:vertAlign w:val="superscript"/>
        </w:rPr>
        <w:footnoteReference w:id="69"/>
      </w:r>
    </w:p>
    <w:p w14:paraId="2D839EC9" w14:textId="536F1745" w:rsidR="00E31D44" w:rsidRPr="008D0479" w:rsidRDefault="00611452" w:rsidP="008D0479">
      <w:pPr>
        <w:pStyle w:val="sub-headingitalics"/>
      </w:pPr>
      <w:r w:rsidRPr="008D0479">
        <w:t>(g)</w:t>
      </w:r>
      <w:r w:rsidRPr="008D0479">
        <w:tab/>
      </w:r>
      <w:proofErr w:type="gramStart"/>
      <w:r w:rsidR="00E31D44" w:rsidRPr="008D0479">
        <w:t>Clearing-house</w:t>
      </w:r>
      <w:proofErr w:type="gramEnd"/>
    </w:p>
    <w:p w14:paraId="2D6F483B" w14:textId="0463E38E" w:rsidR="00E31D44" w:rsidRPr="008D0479" w:rsidRDefault="00E31D44" w:rsidP="008D0479">
      <w:pPr>
        <w:pStyle w:val="CBDNormalNumber"/>
        <w:numPr>
          <w:ilvl w:val="0"/>
          <w:numId w:val="68"/>
        </w:numPr>
      </w:pPr>
      <w:r w:rsidRPr="008D0479">
        <w:t xml:space="preserve">Public participation and information sharing, and use of the Biosafety </w:t>
      </w:r>
      <w:proofErr w:type="gramStart"/>
      <w:r w:rsidRPr="008D0479">
        <w:t>Clearing-House</w:t>
      </w:r>
      <w:proofErr w:type="gramEnd"/>
      <w:r w:rsidRPr="008D0479">
        <w:t>.</w:t>
      </w:r>
      <w:r w:rsidRPr="008D0479">
        <w:rPr>
          <w:vertAlign w:val="superscript"/>
        </w:rPr>
        <w:footnoteReference w:id="70"/>
      </w:r>
    </w:p>
    <w:p w14:paraId="2132D6A7" w14:textId="3A8B6D20" w:rsidR="00E31D44" w:rsidRPr="008D0479" w:rsidRDefault="00611452" w:rsidP="008D0479">
      <w:pPr>
        <w:pStyle w:val="sub-headingitalics"/>
      </w:pPr>
      <w:r w:rsidRPr="008D0479">
        <w:t>(h)</w:t>
      </w:r>
      <w:r w:rsidRPr="008D0479">
        <w:tab/>
      </w:r>
      <w:r w:rsidR="00E31D44" w:rsidRPr="008D0479">
        <w:t>Capacity-building</w:t>
      </w:r>
    </w:p>
    <w:p w14:paraId="366188A1" w14:textId="5B1B8FD4" w:rsidR="00E31D44" w:rsidRPr="008D0479" w:rsidRDefault="00E31D44" w:rsidP="008D0479">
      <w:pPr>
        <w:pStyle w:val="CBDNormalNumber"/>
        <w:numPr>
          <w:ilvl w:val="0"/>
          <w:numId w:val="68"/>
        </w:numPr>
      </w:pPr>
      <w:r w:rsidRPr="008D0479">
        <w:rPr>
          <w:iCs/>
        </w:rPr>
        <w:t>F</w:t>
      </w:r>
      <w:r w:rsidRPr="008D0479">
        <w:t>urther implementation of the Framework and Action Plan for Capacity-Building.</w:t>
      </w:r>
      <w:r w:rsidRPr="008D0479">
        <w:rPr>
          <w:vertAlign w:val="superscript"/>
        </w:rPr>
        <w:footnoteReference w:id="71"/>
      </w:r>
    </w:p>
    <w:p w14:paraId="56C358A9" w14:textId="2525E77D" w:rsidR="00E31D44" w:rsidRPr="008D0479" w:rsidRDefault="00611452" w:rsidP="008D0479">
      <w:pPr>
        <w:pStyle w:val="sub-headingitalics"/>
      </w:pPr>
      <w:r w:rsidRPr="008D0479">
        <w:t>(</w:t>
      </w:r>
      <w:proofErr w:type="spellStart"/>
      <w:r w:rsidRPr="008D0479">
        <w:t>i</w:t>
      </w:r>
      <w:proofErr w:type="spellEnd"/>
      <w:r w:rsidRPr="008D0479">
        <w:t>)</w:t>
      </w:r>
      <w:r w:rsidRPr="008D0479">
        <w:tab/>
      </w:r>
      <w:r w:rsidR="00E31D44" w:rsidRPr="008D0479">
        <w:t>Reporting</w:t>
      </w:r>
    </w:p>
    <w:p w14:paraId="1F2D32DF" w14:textId="51B73506" w:rsidR="00E31D44" w:rsidRPr="008D0479" w:rsidRDefault="00E31D44" w:rsidP="008D0479">
      <w:pPr>
        <w:pStyle w:val="CBDNormalNumber"/>
        <w:numPr>
          <w:ilvl w:val="0"/>
          <w:numId w:val="68"/>
        </w:numPr>
      </w:pPr>
      <w:r w:rsidRPr="008D0479">
        <w:t>National reports under the Cartagena Protocol on Biosafety.</w:t>
      </w:r>
      <w:r w:rsidRPr="008D0479">
        <w:rPr>
          <w:vertAlign w:val="superscript"/>
        </w:rPr>
        <w:footnoteReference w:id="72"/>
      </w:r>
    </w:p>
    <w:p w14:paraId="240568EF" w14:textId="4E1B91D9" w:rsidR="00E31D44" w:rsidRPr="008D0479" w:rsidRDefault="00611452" w:rsidP="008D0479">
      <w:pPr>
        <w:pStyle w:val="sub-headingitalics"/>
      </w:pPr>
      <w:r w:rsidRPr="008D0479">
        <w:t>(j)</w:t>
      </w:r>
      <w:r w:rsidRPr="008D0479">
        <w:tab/>
      </w:r>
      <w:r w:rsidR="00E31D44" w:rsidRPr="008D0479">
        <w:t>Compliance</w:t>
      </w:r>
    </w:p>
    <w:p w14:paraId="7E975D15" w14:textId="2C3B7839" w:rsidR="00E31D44" w:rsidRPr="008D0479" w:rsidRDefault="00E31D44" w:rsidP="008D0479">
      <w:pPr>
        <w:pStyle w:val="CBDNormalNumber"/>
        <w:numPr>
          <w:ilvl w:val="0"/>
          <w:numId w:val="68"/>
        </w:numPr>
      </w:pPr>
      <w:r w:rsidRPr="008D0479">
        <w:t>Implementing compliance action plans regarding the achievement of compliance with the Protocol</w:t>
      </w:r>
      <w:r w:rsidRPr="008D0479">
        <w:rPr>
          <w:iCs/>
        </w:rPr>
        <w:t>.</w:t>
      </w:r>
      <w:r w:rsidRPr="008D0479">
        <w:rPr>
          <w:iCs/>
          <w:vertAlign w:val="superscript"/>
        </w:rPr>
        <w:footnoteReference w:id="73"/>
      </w:r>
    </w:p>
    <w:p w14:paraId="0FDADAAE" w14:textId="469AC800" w:rsidR="00E31D44" w:rsidRPr="008D0479" w:rsidRDefault="00611452" w:rsidP="008D0479">
      <w:pPr>
        <w:pStyle w:val="sub-headingitalics"/>
      </w:pPr>
      <w:r w:rsidRPr="008D0479">
        <w:t>(k)</w:t>
      </w:r>
      <w:r w:rsidRPr="008D0479">
        <w:tab/>
      </w:r>
      <w:r w:rsidR="00E31D44" w:rsidRPr="008D0479">
        <w:t>Regional cooperation</w:t>
      </w:r>
    </w:p>
    <w:p w14:paraId="5A03F5FD" w14:textId="2C66BC62" w:rsidR="00E31D44" w:rsidRPr="008D0479" w:rsidRDefault="00E31D44" w:rsidP="008D0479">
      <w:pPr>
        <w:pStyle w:val="CBDNormalNumber"/>
        <w:numPr>
          <w:ilvl w:val="0"/>
          <w:numId w:val="68"/>
        </w:numPr>
      </w:pPr>
      <w:r w:rsidRPr="008D0479">
        <w:rPr>
          <w:iCs/>
        </w:rPr>
        <w:t>P</w:t>
      </w:r>
      <w:r w:rsidRPr="008D0479">
        <w:t>rojects and capacity-building activities on issues identified by the Parties to facilitate further implementation of the Cartagena Protocol on Biosafety, including regional cooperation projects, such as those using regional and subregional networks to build capacity for the detection of living modified organisms, with a view to facilitating the sharing of experiences and lessons learned, and harnessing associated synergies.</w:t>
      </w:r>
      <w:r w:rsidRPr="008D0479">
        <w:rPr>
          <w:vertAlign w:val="superscript"/>
        </w:rPr>
        <w:footnoteReference w:id="74"/>
      </w:r>
    </w:p>
    <w:p w14:paraId="6500CE43" w14:textId="77777777" w:rsidR="00E31D44" w:rsidRPr="008D0479" w:rsidRDefault="00E31D44" w:rsidP="008D0479">
      <w:pPr>
        <w:pStyle w:val="CBDH3"/>
      </w:pPr>
      <w:r w:rsidRPr="008D0479">
        <w:t>Article 20. Financial resources</w:t>
      </w:r>
    </w:p>
    <w:p w14:paraId="6AF5DAFF" w14:textId="2D748FC9" w:rsidR="00E31D44" w:rsidRPr="008D0479" w:rsidRDefault="00E31D44" w:rsidP="008D0479">
      <w:pPr>
        <w:pStyle w:val="CBDNormalNumber"/>
        <w:numPr>
          <w:ilvl w:val="0"/>
          <w:numId w:val="68"/>
        </w:numPr>
      </w:pPr>
      <w:r w:rsidRPr="008D0479">
        <w:t>Development and implementation of country-specific resource mobilization strategies.</w:t>
      </w:r>
      <w:r w:rsidRPr="008D0479">
        <w:rPr>
          <w:vertAlign w:val="superscript"/>
        </w:rPr>
        <w:footnoteReference w:id="75"/>
      </w:r>
    </w:p>
    <w:p w14:paraId="401C8369" w14:textId="34629912" w:rsidR="00C634D4" w:rsidRPr="008D0479" w:rsidRDefault="00AE38B1" w:rsidP="008D0479">
      <w:pPr>
        <w:pStyle w:val="CBDNormalNumber"/>
        <w:numPr>
          <w:ilvl w:val="0"/>
          <w:numId w:val="68"/>
        </w:numPr>
        <w:rPr>
          <w:iCs/>
        </w:rPr>
      </w:pPr>
      <w:r w:rsidRPr="008D0479">
        <w:rPr>
          <w:iCs/>
        </w:rPr>
        <w:t>D</w:t>
      </w:r>
      <w:r w:rsidR="00C634D4" w:rsidRPr="008D0479">
        <w:rPr>
          <w:iCs/>
        </w:rPr>
        <w:t xml:space="preserve">evelopment and implementation of national biodiversity finance plans or similar planning instruments to support efforts by </w:t>
      </w:r>
      <w:r w:rsidR="00C634D4" w:rsidRPr="008D0479">
        <w:t>recipient</w:t>
      </w:r>
      <w:r w:rsidR="00C634D4" w:rsidRPr="008D0479">
        <w:rPr>
          <w:iCs/>
        </w:rPr>
        <w:t xml:space="preserve"> countries to mobilize domestic and international resources to reach their national goals, as defined in their national biodiversity strategies and action plans, and to contribute to the </w:t>
      </w:r>
      <w:r w:rsidR="00C634D4" w:rsidRPr="008D0479">
        <w:t xml:space="preserve">Kunming-Montreal </w:t>
      </w:r>
      <w:r w:rsidR="00C634D4" w:rsidRPr="008D0479">
        <w:rPr>
          <w:bCs/>
        </w:rPr>
        <w:t>Global Biodiversity Framework</w:t>
      </w:r>
      <w:r w:rsidRPr="008D0479">
        <w:rPr>
          <w:iCs/>
        </w:rPr>
        <w:t>.</w:t>
      </w:r>
      <w:r w:rsidRPr="008D0479">
        <w:rPr>
          <w:rStyle w:val="FootnoteReference"/>
          <w:iCs/>
        </w:rPr>
        <w:footnoteReference w:id="76"/>
      </w:r>
    </w:p>
    <w:p w14:paraId="74DF4FBC" w14:textId="77777777" w:rsidR="00E31D44" w:rsidRPr="008D0479" w:rsidRDefault="00E31D44" w:rsidP="008D0479">
      <w:pPr>
        <w:pStyle w:val="CBDH3"/>
      </w:pPr>
      <w:r w:rsidRPr="008D0479">
        <w:lastRenderedPageBreak/>
        <w:t>Article 21. Financial mechanism</w:t>
      </w:r>
    </w:p>
    <w:p w14:paraId="3602DD1A" w14:textId="2B905275" w:rsidR="00E31D44" w:rsidRPr="008D0479" w:rsidRDefault="00611452" w:rsidP="008D0479">
      <w:pPr>
        <w:pStyle w:val="sub-headingitalics"/>
      </w:pPr>
      <w:r w:rsidRPr="008D0479">
        <w:t>(a)</w:t>
      </w:r>
      <w:r w:rsidRPr="008D0479">
        <w:tab/>
      </w:r>
      <w:r w:rsidR="00E31D44" w:rsidRPr="008D0479">
        <w:t>Access modalities</w:t>
      </w:r>
    </w:p>
    <w:p w14:paraId="26E90763" w14:textId="775C6C04" w:rsidR="00E31D44" w:rsidRPr="008D0479" w:rsidRDefault="00E31D44" w:rsidP="008D0479">
      <w:pPr>
        <w:pStyle w:val="CBDNormalNumber"/>
        <w:numPr>
          <w:ilvl w:val="0"/>
          <w:numId w:val="68"/>
        </w:numPr>
      </w:pPr>
      <w:r w:rsidRPr="008D0479">
        <w:t xml:space="preserve">To consider improving its access modalities, including enabling the participation of </w:t>
      </w:r>
      <w:proofErr w:type="gramStart"/>
      <w:r w:rsidRPr="008D0479">
        <w:t>a number of</w:t>
      </w:r>
      <w:proofErr w:type="gramEnd"/>
      <w:r w:rsidRPr="008D0479">
        <w:t xml:space="preserve"> additional national agencies from developing countries, based on its own experiences, including the conclusions of this assessment, and taking into account the experience of other international financial instruments with relevant access modalities.</w:t>
      </w:r>
      <w:r w:rsidRPr="008D0479">
        <w:rPr>
          <w:vertAlign w:val="superscript"/>
        </w:rPr>
        <w:footnoteReference w:id="77"/>
      </w:r>
    </w:p>
    <w:p w14:paraId="54CD2BBE" w14:textId="36B82621" w:rsidR="00E31D44" w:rsidRPr="008D0479" w:rsidRDefault="00611452" w:rsidP="008D0479">
      <w:pPr>
        <w:pStyle w:val="sub-headingitalics"/>
      </w:pPr>
      <w:r w:rsidRPr="008D0479">
        <w:t>(b)</w:t>
      </w:r>
      <w:r w:rsidRPr="008D0479">
        <w:tab/>
      </w:r>
      <w:r w:rsidR="00E31D44" w:rsidRPr="008D0479">
        <w:t>Gender</w:t>
      </w:r>
    </w:p>
    <w:p w14:paraId="5E13FC80" w14:textId="250EEB12" w:rsidR="00E31D44" w:rsidRPr="008D0479" w:rsidRDefault="00E31D44" w:rsidP="008D0479">
      <w:pPr>
        <w:pStyle w:val="CBDNormalNumber"/>
        <w:numPr>
          <w:ilvl w:val="0"/>
          <w:numId w:val="68"/>
        </w:numPr>
      </w:pPr>
      <w:r w:rsidRPr="008D0479">
        <w:t>To include gender in the financing of biodiversity and ecosystem services.</w:t>
      </w:r>
      <w:r w:rsidRPr="008D0479">
        <w:rPr>
          <w:vertAlign w:val="superscript"/>
        </w:rPr>
        <w:footnoteReference w:id="78"/>
      </w:r>
    </w:p>
    <w:p w14:paraId="069102D7" w14:textId="2BFBC53C" w:rsidR="00C634D4" w:rsidRPr="008D0479" w:rsidRDefault="00AE38B1" w:rsidP="008D0479">
      <w:pPr>
        <w:pStyle w:val="CBDNormalNumber"/>
        <w:numPr>
          <w:ilvl w:val="0"/>
          <w:numId w:val="68"/>
        </w:numPr>
        <w:rPr>
          <w:iCs/>
        </w:rPr>
      </w:pPr>
      <w:r w:rsidRPr="008D0479">
        <w:rPr>
          <w:iCs/>
        </w:rPr>
        <w:t>T</w:t>
      </w:r>
      <w:r w:rsidR="00C634D4" w:rsidRPr="008D0479">
        <w:rPr>
          <w:iCs/>
        </w:rPr>
        <w:t>o provide technical and financial support, as well as capacity-building and development, for implementation of the Gender Plan of Action;</w:t>
      </w:r>
      <w:r w:rsidRPr="008D0479">
        <w:rPr>
          <w:rStyle w:val="FootnoteReference"/>
          <w:iCs/>
        </w:rPr>
        <w:footnoteReference w:id="79"/>
      </w:r>
    </w:p>
    <w:p w14:paraId="3FCAAA98" w14:textId="60EBB818" w:rsidR="00E31D44" w:rsidRPr="008D0479" w:rsidRDefault="00611452" w:rsidP="008D0479">
      <w:pPr>
        <w:pStyle w:val="sub-headingitalics"/>
      </w:pPr>
      <w:r w:rsidRPr="008D0479">
        <w:t>(c)</w:t>
      </w:r>
      <w:r w:rsidRPr="008D0479">
        <w:tab/>
      </w:r>
      <w:bookmarkStart w:id="7" w:name="_Toc259455708"/>
      <w:bookmarkStart w:id="8" w:name="_Toc260384358"/>
      <w:bookmarkStart w:id="9" w:name="_Toc263089348"/>
      <w:r w:rsidR="00E31D44" w:rsidRPr="008D0479">
        <w:t>Project procedures</w:t>
      </w:r>
      <w:bookmarkEnd w:id="7"/>
      <w:bookmarkEnd w:id="8"/>
      <w:bookmarkEnd w:id="9"/>
    </w:p>
    <w:p w14:paraId="5CFF58DE" w14:textId="2EC47A18" w:rsidR="00E31D44" w:rsidRPr="008D0479" w:rsidRDefault="00E31D44" w:rsidP="008D0479">
      <w:pPr>
        <w:pStyle w:val="CBDNormalNumber"/>
        <w:numPr>
          <w:ilvl w:val="0"/>
          <w:numId w:val="68"/>
        </w:numPr>
      </w:pPr>
      <w:r w:rsidRPr="008D0479">
        <w:t xml:space="preserve">To further streamline its project cycle with a view to making project preparation simpler, more transparent and more </w:t>
      </w:r>
      <w:proofErr w:type="gramStart"/>
      <w:r w:rsidRPr="008D0479">
        <w:t>country-driven</w:t>
      </w:r>
      <w:proofErr w:type="gramEnd"/>
      <w:r w:rsidRPr="008D0479">
        <w:t>.</w:t>
      </w:r>
      <w:r w:rsidRPr="008D0479">
        <w:rPr>
          <w:vertAlign w:val="superscript"/>
        </w:rPr>
        <w:footnoteReference w:id="80"/>
      </w:r>
    </w:p>
    <w:p w14:paraId="4B0119B6" w14:textId="049F0A5D" w:rsidR="00E31D44" w:rsidRPr="008D0479" w:rsidRDefault="00E31D44" w:rsidP="008D0479">
      <w:pPr>
        <w:pStyle w:val="CBDNormalNumber"/>
        <w:numPr>
          <w:ilvl w:val="0"/>
          <w:numId w:val="68"/>
        </w:numPr>
      </w:pPr>
      <w:r w:rsidRPr="008D0479">
        <w:t>To further simplify and expedite procedures for approval and implementation, including disbursement, for GEF-funded projects, based on a flexible and national demand driven approach, and avoid additional and lengthy processes.</w:t>
      </w:r>
      <w:r w:rsidRPr="008D0479">
        <w:rPr>
          <w:vertAlign w:val="superscript"/>
        </w:rPr>
        <w:footnoteReference w:id="81"/>
      </w:r>
    </w:p>
    <w:p w14:paraId="04442586" w14:textId="064D7DBB" w:rsidR="00E31D44" w:rsidRPr="008D0479" w:rsidRDefault="00E31D44" w:rsidP="008D0479">
      <w:pPr>
        <w:pStyle w:val="CBDNormalNumber"/>
        <w:numPr>
          <w:ilvl w:val="0"/>
          <w:numId w:val="68"/>
        </w:numPr>
      </w:pPr>
      <w:r w:rsidRPr="008D0479">
        <w:t>To develop policies and procedures that fully comply with the guidance from the Conference of the Parties in a straightforward and timely manner.</w:t>
      </w:r>
      <w:r w:rsidRPr="008D0479">
        <w:rPr>
          <w:vertAlign w:val="superscript"/>
        </w:rPr>
        <w:footnoteReference w:id="82"/>
      </w:r>
    </w:p>
    <w:p w14:paraId="45604751" w14:textId="2A1B8038" w:rsidR="00E31D44" w:rsidRPr="008D0479" w:rsidRDefault="00E31D44" w:rsidP="008D0479">
      <w:pPr>
        <w:pStyle w:val="CBDNormalNumber"/>
        <w:numPr>
          <w:ilvl w:val="0"/>
          <w:numId w:val="68"/>
        </w:numPr>
      </w:pPr>
      <w:r w:rsidRPr="008D0479">
        <w:t>To increase its flexibility to respond to the thematic longer-term programme of work of the Convention on Biological Diversity, in accordance with the guidance of the Conference of the Parties.</w:t>
      </w:r>
      <w:r w:rsidRPr="008D0479">
        <w:rPr>
          <w:vertAlign w:val="superscript"/>
        </w:rPr>
        <w:footnoteReference w:id="83"/>
      </w:r>
    </w:p>
    <w:p w14:paraId="199CCCC3" w14:textId="29C8D568" w:rsidR="00E31D44" w:rsidRPr="008D0479" w:rsidRDefault="00E31D44" w:rsidP="008D0479">
      <w:pPr>
        <w:pStyle w:val="CBDNormalNumber"/>
        <w:numPr>
          <w:ilvl w:val="0"/>
          <w:numId w:val="68"/>
        </w:numPr>
      </w:pPr>
      <w:r w:rsidRPr="008D0479">
        <w:t>To improve project information system, including through data sets and web-based data tools, to increase the accessibility of project information and allow for better tracking against the guidance from the Conference of the Parties.</w:t>
      </w:r>
      <w:r w:rsidRPr="008D0479">
        <w:rPr>
          <w:vertAlign w:val="superscript"/>
        </w:rPr>
        <w:footnoteReference w:id="84"/>
      </w:r>
    </w:p>
    <w:p w14:paraId="2F68229E" w14:textId="656AE8DC" w:rsidR="00E31D44" w:rsidRPr="008D0479" w:rsidRDefault="00E31D44" w:rsidP="008D0479">
      <w:pPr>
        <w:pStyle w:val="CBDNormalNumber"/>
        <w:numPr>
          <w:ilvl w:val="0"/>
          <w:numId w:val="68"/>
        </w:numPr>
      </w:pPr>
      <w:r w:rsidRPr="008D0479">
        <w:t>To consider the benefits to Parties, particularly small island developing States, of an appropriate balance between national and regional projects in the implementation of decisions of the Conference of the Parties.</w:t>
      </w:r>
      <w:r w:rsidRPr="008D0479">
        <w:rPr>
          <w:vertAlign w:val="superscript"/>
        </w:rPr>
        <w:footnoteReference w:id="85"/>
      </w:r>
    </w:p>
    <w:p w14:paraId="4904CFB4" w14:textId="2A167CB7" w:rsidR="00E31D44" w:rsidRPr="008D0479" w:rsidRDefault="00611452" w:rsidP="008D0479">
      <w:pPr>
        <w:pStyle w:val="sub-headingitalics"/>
      </w:pPr>
      <w:r w:rsidRPr="008D0479">
        <w:t>(d)</w:t>
      </w:r>
      <w:r w:rsidRPr="008D0479">
        <w:tab/>
      </w:r>
      <w:bookmarkStart w:id="10" w:name="_Toc257060647"/>
      <w:bookmarkStart w:id="11" w:name="_Toc259455710"/>
      <w:bookmarkStart w:id="12" w:name="_Toc260384360"/>
      <w:bookmarkStart w:id="13" w:name="_Toc263089350"/>
      <w:r w:rsidR="00E31D44" w:rsidRPr="008D0479">
        <w:t>Catalytic role and co-financing</w:t>
      </w:r>
      <w:bookmarkEnd w:id="10"/>
      <w:bookmarkEnd w:id="11"/>
      <w:bookmarkEnd w:id="12"/>
      <w:bookmarkEnd w:id="13"/>
    </w:p>
    <w:p w14:paraId="58A11118" w14:textId="5865467B" w:rsidR="00E31D44" w:rsidRPr="008D0479" w:rsidRDefault="00E31D44" w:rsidP="008D0479">
      <w:pPr>
        <w:pStyle w:val="CBDNormalNumber"/>
        <w:numPr>
          <w:ilvl w:val="0"/>
          <w:numId w:val="68"/>
        </w:numPr>
      </w:pPr>
      <w:r w:rsidRPr="008D0479">
        <w:t xml:space="preserve">To mobilize co-financing and other modes of financing for its projects related to implementation of the </w:t>
      </w:r>
      <w:proofErr w:type="gramStart"/>
      <w:r w:rsidRPr="008D0479">
        <w:t>Convention, and</w:t>
      </w:r>
      <w:proofErr w:type="gramEnd"/>
      <w:r w:rsidRPr="008D0479">
        <w:t xml:space="preserve"> apply co-financing arrangements in ways that do not create unnecessary barriers and costs for recipient Parties to access GEF funds.</w:t>
      </w:r>
      <w:r w:rsidRPr="008D0479">
        <w:rPr>
          <w:vertAlign w:val="superscript"/>
        </w:rPr>
        <w:footnoteReference w:id="86"/>
      </w:r>
    </w:p>
    <w:p w14:paraId="3619A45B" w14:textId="679ADB0F" w:rsidR="00E31D44" w:rsidRPr="008D0479" w:rsidRDefault="00E31D44" w:rsidP="008D0479">
      <w:pPr>
        <w:pStyle w:val="CBDNormalNumber"/>
        <w:numPr>
          <w:ilvl w:val="0"/>
          <w:numId w:val="68"/>
        </w:numPr>
        <w:rPr>
          <w:vertAlign w:val="superscript"/>
        </w:rPr>
      </w:pPr>
      <w:r w:rsidRPr="008D0479">
        <w:t>To support diffusion, and facilitate replication and scaling-up, of new and innovative financing mechanism initiatives that have proved to be successful.</w:t>
      </w:r>
      <w:r w:rsidRPr="008D0479">
        <w:rPr>
          <w:vertAlign w:val="superscript"/>
        </w:rPr>
        <w:footnoteReference w:id="87"/>
      </w:r>
    </w:p>
    <w:p w14:paraId="10C2FA59" w14:textId="5DA534C5" w:rsidR="00E31D44" w:rsidRPr="008D0479" w:rsidRDefault="00E31D44" w:rsidP="008D0479">
      <w:pPr>
        <w:pStyle w:val="CBDNormalNumber"/>
        <w:numPr>
          <w:ilvl w:val="0"/>
          <w:numId w:val="68"/>
        </w:numPr>
      </w:pPr>
      <w:r w:rsidRPr="008D0479">
        <w:lastRenderedPageBreak/>
        <w:t>To consider joint financing, in partnership with other international financial instruments, of projects designed to achieve the objectives of more than one Rio convention.</w:t>
      </w:r>
      <w:r w:rsidRPr="008D0479">
        <w:rPr>
          <w:vertAlign w:val="superscript"/>
        </w:rPr>
        <w:footnoteReference w:id="88"/>
      </w:r>
    </w:p>
    <w:p w14:paraId="230AE028" w14:textId="4A300343" w:rsidR="00E31D44" w:rsidRPr="008D0479" w:rsidRDefault="00E31D44" w:rsidP="008D0479">
      <w:pPr>
        <w:pStyle w:val="CBDNormalNumber"/>
        <w:numPr>
          <w:ilvl w:val="0"/>
          <w:numId w:val="68"/>
        </w:numPr>
      </w:pPr>
      <w:r w:rsidRPr="008D0479">
        <w:t>To enhance its catalytic role in mobilizing new and additional financial resources while not compromising project goals.</w:t>
      </w:r>
      <w:r w:rsidRPr="008D0479">
        <w:rPr>
          <w:vertAlign w:val="superscript"/>
        </w:rPr>
        <w:footnoteReference w:id="89"/>
      </w:r>
    </w:p>
    <w:p w14:paraId="73461E5E" w14:textId="56180633" w:rsidR="00E31D44" w:rsidRPr="008D0479" w:rsidRDefault="00611452" w:rsidP="008D0479">
      <w:pPr>
        <w:pStyle w:val="sub-headingitalics"/>
      </w:pPr>
      <w:r w:rsidRPr="008D0479">
        <w:t>(e)</w:t>
      </w:r>
      <w:r w:rsidRPr="008D0479">
        <w:tab/>
      </w:r>
      <w:r w:rsidR="00E31D44" w:rsidRPr="008D0479">
        <w:t>Incremental costs</w:t>
      </w:r>
    </w:p>
    <w:p w14:paraId="6407F30F" w14:textId="1FDBA3AB" w:rsidR="00E31D44" w:rsidRPr="008D0479" w:rsidRDefault="00E31D44" w:rsidP="008D0479">
      <w:pPr>
        <w:pStyle w:val="CBDNormalNumber"/>
        <w:numPr>
          <w:ilvl w:val="0"/>
          <w:numId w:val="68"/>
        </w:numPr>
      </w:pPr>
      <w:r w:rsidRPr="008D0479">
        <w:t>To apply in a more flexible, pragmatic and transparent manner the incremental cost principle.</w:t>
      </w:r>
      <w:r w:rsidRPr="008D0479">
        <w:rPr>
          <w:vertAlign w:val="superscript"/>
        </w:rPr>
        <w:footnoteReference w:id="90"/>
      </w:r>
    </w:p>
    <w:p w14:paraId="20046A7B" w14:textId="6D192679" w:rsidR="00E31D44" w:rsidRPr="008D0479" w:rsidRDefault="00611452" w:rsidP="008D0479">
      <w:pPr>
        <w:pStyle w:val="sub-headingitalics"/>
      </w:pPr>
      <w:r w:rsidRPr="008D0479">
        <w:t>(f)</w:t>
      </w:r>
      <w:r w:rsidRPr="008D0479">
        <w:tab/>
      </w:r>
      <w:r w:rsidR="00E31D44" w:rsidRPr="008D0479">
        <w:t>Sustainability</w:t>
      </w:r>
    </w:p>
    <w:p w14:paraId="6475B6F7" w14:textId="27FE7055" w:rsidR="00E31D44" w:rsidRPr="008D0479" w:rsidRDefault="00E31D44" w:rsidP="008D0479">
      <w:pPr>
        <w:pStyle w:val="CBDNormalNumber"/>
        <w:numPr>
          <w:ilvl w:val="0"/>
          <w:numId w:val="68"/>
        </w:numPr>
      </w:pPr>
      <w:r w:rsidRPr="008D0479">
        <w:t>To promote exchange of experience and lessons learned in addressing sustainability of funded projects on biological diversity.</w:t>
      </w:r>
      <w:r w:rsidRPr="008D0479">
        <w:rPr>
          <w:vertAlign w:val="superscript"/>
        </w:rPr>
        <w:footnoteReference w:id="91"/>
      </w:r>
    </w:p>
    <w:p w14:paraId="12F90A1C" w14:textId="506096E4" w:rsidR="00E31D44" w:rsidRPr="008D0479" w:rsidRDefault="00E31D44" w:rsidP="008D0479">
      <w:pPr>
        <w:pStyle w:val="CBDNormalNumber"/>
        <w:numPr>
          <w:ilvl w:val="0"/>
          <w:numId w:val="68"/>
        </w:numPr>
      </w:pPr>
      <w:r w:rsidRPr="008D0479">
        <w:t>To further improve the sustainability of funded projects and programmes, including sustainable financing of protected areas.</w:t>
      </w:r>
      <w:r w:rsidRPr="008D0479">
        <w:rPr>
          <w:iCs/>
          <w:vertAlign w:val="superscript"/>
        </w:rPr>
        <w:footnoteReference w:id="92"/>
      </w:r>
    </w:p>
    <w:p w14:paraId="7705889E" w14:textId="4321AA48" w:rsidR="00E31D44" w:rsidRPr="008D0479" w:rsidRDefault="00611452" w:rsidP="008D0479">
      <w:pPr>
        <w:pStyle w:val="sub-headingitalics"/>
      </w:pPr>
      <w:r w:rsidRPr="008D0479">
        <w:t>(g)</w:t>
      </w:r>
      <w:r w:rsidRPr="008D0479">
        <w:tab/>
      </w:r>
      <w:r w:rsidR="00E31D44" w:rsidRPr="008D0479">
        <w:t>Country ownership</w:t>
      </w:r>
    </w:p>
    <w:p w14:paraId="2A571B4C" w14:textId="6B6E54F3" w:rsidR="00E31D44" w:rsidRPr="008D0479" w:rsidRDefault="00E31D44" w:rsidP="008D0479">
      <w:pPr>
        <w:pStyle w:val="CBDNormalNumber"/>
        <w:numPr>
          <w:ilvl w:val="0"/>
          <w:numId w:val="68"/>
        </w:numPr>
      </w:pPr>
      <w:r w:rsidRPr="008D0479">
        <w:t>To promote genuine country ownership through greater involvement of participant countries in GEF</w:t>
      </w:r>
      <w:r w:rsidRPr="008D0479">
        <w:noBreakHyphen/>
        <w:t>funded activities.</w:t>
      </w:r>
      <w:r w:rsidRPr="008D0479">
        <w:rPr>
          <w:vertAlign w:val="superscript"/>
        </w:rPr>
        <w:footnoteReference w:id="93"/>
      </w:r>
    </w:p>
    <w:p w14:paraId="6ABEFCDC" w14:textId="3115D100" w:rsidR="00E31D44" w:rsidRPr="008D0479" w:rsidRDefault="00E31D44" w:rsidP="008D0479">
      <w:pPr>
        <w:pStyle w:val="CBDNormalNumber"/>
        <w:numPr>
          <w:ilvl w:val="0"/>
          <w:numId w:val="68"/>
        </w:numPr>
      </w:pPr>
      <w:r w:rsidRPr="008D0479">
        <w:t>To promote utilization of regional and local expertise and be flexible to accommodate national priorities and regional needs within the objectives of the Convention</w:t>
      </w:r>
      <w:r w:rsidRPr="008D0479">
        <w:rPr>
          <w:vertAlign w:val="superscript"/>
        </w:rPr>
        <w:t>.</w:t>
      </w:r>
      <w:r w:rsidRPr="008D0479">
        <w:rPr>
          <w:vertAlign w:val="superscript"/>
        </w:rPr>
        <w:footnoteReference w:id="94"/>
      </w:r>
    </w:p>
    <w:p w14:paraId="3BF78459" w14:textId="11A502BA" w:rsidR="00E31D44" w:rsidRPr="008D0479" w:rsidRDefault="00E31D44" w:rsidP="008D0479">
      <w:pPr>
        <w:pStyle w:val="CBDNormalNumber"/>
        <w:numPr>
          <w:ilvl w:val="0"/>
          <w:numId w:val="68"/>
        </w:numPr>
      </w:pPr>
      <w:r w:rsidRPr="008D0479">
        <w:t>To encourage collaboration at national level between CBD national focal points for related environmental agreements and for the Global Environment Facility, including through the projects supported by the Facility, and including through regional and national workshops for the focal points.</w:t>
      </w:r>
      <w:r w:rsidRPr="008D0479">
        <w:rPr>
          <w:vertAlign w:val="superscript"/>
        </w:rPr>
        <w:footnoteReference w:id="95"/>
      </w:r>
    </w:p>
    <w:p w14:paraId="219D30E9" w14:textId="00DC588A" w:rsidR="00E31D44" w:rsidRPr="008D0479" w:rsidRDefault="00611452" w:rsidP="008D0479">
      <w:pPr>
        <w:pStyle w:val="sub-headingitalics"/>
      </w:pPr>
      <w:r w:rsidRPr="008D0479">
        <w:t>(h)</w:t>
      </w:r>
      <w:r w:rsidRPr="008D0479">
        <w:tab/>
      </w:r>
      <w:r w:rsidR="00E31D44" w:rsidRPr="008D0479">
        <w:t>Compliance and collaboration of agencies</w:t>
      </w:r>
    </w:p>
    <w:p w14:paraId="266A27AC" w14:textId="5550F6C3" w:rsidR="00E31D44" w:rsidRPr="008D0479" w:rsidRDefault="00E31D44" w:rsidP="008D0479">
      <w:pPr>
        <w:pStyle w:val="CBDNormalNumber"/>
        <w:numPr>
          <w:ilvl w:val="0"/>
          <w:numId w:val="68"/>
        </w:numPr>
      </w:pPr>
      <w:r w:rsidRPr="008D0479">
        <w:t>To promote efforts to ensure that the implementing agencies fully comply with the policy, strategy, programme priorities and eligibility criteria of the Conference of the Parties in their support for country-driven activities funded by the Global Environment Facility.</w:t>
      </w:r>
      <w:r w:rsidRPr="008D0479">
        <w:rPr>
          <w:vertAlign w:val="superscript"/>
        </w:rPr>
        <w:footnoteReference w:id="96"/>
      </w:r>
    </w:p>
    <w:p w14:paraId="5180C0D5" w14:textId="2BB7F07B" w:rsidR="00E31D44" w:rsidRPr="008D0479" w:rsidRDefault="00E31D44" w:rsidP="008D0479">
      <w:pPr>
        <w:pStyle w:val="CBDNormalNumber"/>
        <w:numPr>
          <w:ilvl w:val="0"/>
          <w:numId w:val="68"/>
        </w:numPr>
      </w:pPr>
      <w:r w:rsidRPr="008D0479">
        <w:t>To undertake efforts to improve the efficiency, effectiveness and transparency of the process of cooperation and coordination between the implementing agencies with a view to improving the processing and delivery systems of the Global Environment Facility, and to avoid duplication and parallel processes.</w:t>
      </w:r>
      <w:r w:rsidRPr="008D0479">
        <w:rPr>
          <w:vertAlign w:val="superscript"/>
        </w:rPr>
        <w:footnoteReference w:id="97"/>
      </w:r>
    </w:p>
    <w:p w14:paraId="537292EE" w14:textId="310DF2D6" w:rsidR="00E31D44" w:rsidRPr="008D0479" w:rsidRDefault="00611452" w:rsidP="008D0479">
      <w:pPr>
        <w:pStyle w:val="sub-headingitalics"/>
      </w:pPr>
      <w:r w:rsidRPr="008D0479">
        <w:t>(</w:t>
      </w:r>
      <w:proofErr w:type="spellStart"/>
      <w:r w:rsidRPr="008D0479">
        <w:t>i</w:t>
      </w:r>
      <w:proofErr w:type="spellEnd"/>
      <w:r w:rsidRPr="008D0479">
        <w:t>)</w:t>
      </w:r>
      <w:r w:rsidRPr="008D0479">
        <w:tab/>
      </w:r>
      <w:r w:rsidR="00E31D44" w:rsidRPr="008D0479">
        <w:t>Partnership</w:t>
      </w:r>
    </w:p>
    <w:p w14:paraId="6D7B8F59" w14:textId="00A277D0" w:rsidR="00E31D44" w:rsidRPr="008D0479" w:rsidRDefault="00E31D44" w:rsidP="008D0479">
      <w:pPr>
        <w:pStyle w:val="CBDNormalNumber"/>
        <w:numPr>
          <w:ilvl w:val="0"/>
          <w:numId w:val="68"/>
        </w:numPr>
      </w:pPr>
      <w:r w:rsidRPr="008D0479">
        <w:t>To continue to improve the efficiency and accountability of the Global Environment Facility partnership.</w:t>
      </w:r>
      <w:r w:rsidRPr="008D0479">
        <w:rPr>
          <w:iCs/>
          <w:vertAlign w:val="superscript"/>
        </w:rPr>
        <w:footnoteReference w:id="98"/>
      </w:r>
    </w:p>
    <w:p w14:paraId="38372FD6" w14:textId="0F0DEAB2" w:rsidR="00E31D44" w:rsidRPr="008D0479" w:rsidRDefault="00611452" w:rsidP="008D0479">
      <w:pPr>
        <w:pStyle w:val="sub-headingitalics"/>
      </w:pPr>
      <w:r w:rsidRPr="008D0479">
        <w:lastRenderedPageBreak/>
        <w:t>(j)</w:t>
      </w:r>
      <w:r w:rsidRPr="008D0479">
        <w:tab/>
      </w:r>
      <w:r w:rsidR="00E31D44" w:rsidRPr="008D0479">
        <w:t>Monitoring and evaluation</w:t>
      </w:r>
    </w:p>
    <w:p w14:paraId="3832EACD" w14:textId="1E0A29FC" w:rsidR="00E31D44" w:rsidRPr="008D0479" w:rsidRDefault="00E31D44" w:rsidP="008D0479">
      <w:pPr>
        <w:pStyle w:val="CBDNormalNumber"/>
        <w:numPr>
          <w:ilvl w:val="0"/>
          <w:numId w:val="68"/>
        </w:numPr>
      </w:pPr>
      <w:r w:rsidRPr="008D0479">
        <w:t>To Consult with the Executive Secretary in relevant review processes undertaken by the Global Environment Facility that affect the financial mechanism of the Convention.</w:t>
      </w:r>
      <w:r w:rsidRPr="008D0479">
        <w:rPr>
          <w:vertAlign w:val="superscript"/>
        </w:rPr>
        <w:footnoteReference w:id="99"/>
      </w:r>
    </w:p>
    <w:p w14:paraId="14668DF2" w14:textId="472E82C1" w:rsidR="00E31D44" w:rsidRPr="008D0479" w:rsidRDefault="00E31D44" w:rsidP="008D0479">
      <w:pPr>
        <w:pStyle w:val="CBDNormalNumber"/>
        <w:numPr>
          <w:ilvl w:val="0"/>
          <w:numId w:val="68"/>
        </w:numPr>
      </w:pPr>
      <w:r w:rsidRPr="008D0479">
        <w:t>To include in its monitoring and evaluation activities the assessment of the compliance with the policy, strategy, programme priorities and eligibility criteria established by the Conference of the Parties.</w:t>
      </w:r>
      <w:r w:rsidRPr="008D0479">
        <w:rPr>
          <w:vertAlign w:val="superscript"/>
        </w:rPr>
        <w:footnoteReference w:id="100"/>
      </w:r>
    </w:p>
    <w:p w14:paraId="3D603DBA" w14:textId="0D1091F7" w:rsidR="00E31D44" w:rsidRPr="008D0479" w:rsidRDefault="00E31D44" w:rsidP="008D0479">
      <w:pPr>
        <w:pStyle w:val="CBDNormalNumber"/>
        <w:numPr>
          <w:ilvl w:val="0"/>
          <w:numId w:val="68"/>
        </w:numPr>
      </w:pPr>
      <w:r w:rsidRPr="008D0479">
        <w:t>To elaborate and transmit to the Conference of the Parties, well-summarized evaluation products and full evaluation reports relevant to biological diversity and to the guidance provided by the Conference of the Parties.</w:t>
      </w:r>
      <w:r w:rsidRPr="008D0479">
        <w:rPr>
          <w:vertAlign w:val="superscript"/>
        </w:rPr>
        <w:footnoteReference w:id="101"/>
      </w:r>
    </w:p>
    <w:p w14:paraId="302CE6FB" w14:textId="0C691591" w:rsidR="00E31D44" w:rsidRPr="008D0479" w:rsidRDefault="00E31D44" w:rsidP="008D0479">
      <w:pPr>
        <w:pStyle w:val="CBDNormalNumber"/>
        <w:numPr>
          <w:ilvl w:val="0"/>
          <w:numId w:val="68"/>
        </w:numPr>
      </w:pPr>
      <w:r w:rsidRPr="008D0479">
        <w:t>To include in its regular report findings, conclusions and recommendations of all relevant evaluations of the GEF Evaluation Office.</w:t>
      </w:r>
      <w:r w:rsidRPr="008D0479">
        <w:rPr>
          <w:vertAlign w:val="superscript"/>
        </w:rPr>
        <w:footnoteReference w:id="102"/>
      </w:r>
    </w:p>
    <w:p w14:paraId="45A5FFED" w14:textId="4AAE4CCF" w:rsidR="00E31D44" w:rsidRPr="008D0479" w:rsidRDefault="00611452" w:rsidP="008D0479">
      <w:pPr>
        <w:pStyle w:val="sub-headingitalics"/>
      </w:pPr>
      <w:r w:rsidRPr="008D0479">
        <w:t>(k)</w:t>
      </w:r>
      <w:r w:rsidRPr="008D0479">
        <w:tab/>
      </w:r>
      <w:r w:rsidR="00E31D44" w:rsidRPr="008D0479">
        <w:t>Efficiency</w:t>
      </w:r>
    </w:p>
    <w:p w14:paraId="0C5811A6" w14:textId="68913FA4" w:rsidR="00E31D44" w:rsidRPr="008D0479" w:rsidRDefault="00E31D44" w:rsidP="008D0479">
      <w:pPr>
        <w:pStyle w:val="CBDNormalNumber"/>
        <w:numPr>
          <w:ilvl w:val="0"/>
          <w:numId w:val="68"/>
        </w:numPr>
      </w:pPr>
      <w:r w:rsidRPr="008D0479">
        <w:t xml:space="preserve">To support national implementation activities under the Kunming-Montreal </w:t>
      </w:r>
      <w:r w:rsidRPr="008D0479">
        <w:rPr>
          <w:bCs/>
        </w:rPr>
        <w:t xml:space="preserve">Global Biodiversity Framework </w:t>
      </w:r>
      <w:r w:rsidRPr="008D0479">
        <w:t>in an efficient manner, with a view to enabling Parties to enhance progress towards the goals and targets of the Framework.</w:t>
      </w:r>
      <w:r w:rsidRPr="008D0479">
        <w:rPr>
          <w:iCs/>
          <w:vertAlign w:val="superscript"/>
        </w:rPr>
        <w:footnoteReference w:id="103"/>
      </w:r>
    </w:p>
    <w:p w14:paraId="29A9CC05" w14:textId="51D7A566" w:rsidR="00E31D44" w:rsidRPr="008D0479" w:rsidRDefault="00611452" w:rsidP="008D0479">
      <w:pPr>
        <w:pStyle w:val="sub-headingitalics"/>
      </w:pPr>
      <w:r w:rsidRPr="008D0479">
        <w:t>(l)</w:t>
      </w:r>
      <w:r w:rsidRPr="008D0479">
        <w:tab/>
      </w:r>
      <w:r w:rsidR="00E31D44" w:rsidRPr="008D0479">
        <w:t>Small grants programme</w:t>
      </w:r>
    </w:p>
    <w:p w14:paraId="7204B6ED" w14:textId="4CC87B88" w:rsidR="00E31D44" w:rsidRPr="008D0479" w:rsidRDefault="00E31D44" w:rsidP="008D0479">
      <w:pPr>
        <w:pStyle w:val="CBDNormalNumber"/>
        <w:numPr>
          <w:ilvl w:val="0"/>
          <w:numId w:val="68"/>
        </w:numPr>
      </w:pPr>
      <w:r w:rsidRPr="008D0479">
        <w:t>To continue expansion of the Small Grants Programme of the Global Environment Facility to other developing countries, in particular the least developed countries and small island developing States.</w:t>
      </w:r>
      <w:r w:rsidRPr="008D0479">
        <w:rPr>
          <w:vertAlign w:val="superscript"/>
        </w:rPr>
        <w:footnoteReference w:id="104"/>
      </w:r>
    </w:p>
    <w:p w14:paraId="39EA9D81" w14:textId="5A7E0499" w:rsidR="00E31D44" w:rsidRPr="008D0479" w:rsidRDefault="00611452" w:rsidP="008D0479">
      <w:pPr>
        <w:pStyle w:val="sub-headingitalics"/>
      </w:pPr>
      <w:r w:rsidRPr="008D0479">
        <w:t>(m)</w:t>
      </w:r>
      <w:r w:rsidRPr="008D0479">
        <w:tab/>
      </w:r>
      <w:r w:rsidR="00E31D44" w:rsidRPr="008D0479">
        <w:t>Currency risks</w:t>
      </w:r>
    </w:p>
    <w:p w14:paraId="78A93DFE" w14:textId="3E0676F4" w:rsidR="00E31D44" w:rsidRPr="008D0479" w:rsidRDefault="00E31D44" w:rsidP="008D0479">
      <w:pPr>
        <w:pStyle w:val="CBDNormalNumber"/>
        <w:numPr>
          <w:ilvl w:val="0"/>
          <w:numId w:val="68"/>
        </w:numPr>
      </w:pPr>
      <w:r w:rsidRPr="008D0479">
        <w:rPr>
          <w:iCs/>
        </w:rPr>
        <w:t>T</w:t>
      </w:r>
      <w:r w:rsidRPr="008D0479">
        <w:t xml:space="preserve">o consider exploring measures to mitigate possible risks, including currency risks, </w:t>
      </w:r>
      <w:proofErr w:type="gramStart"/>
      <w:r w:rsidRPr="008D0479">
        <w:t>in order to</w:t>
      </w:r>
      <w:proofErr w:type="gramEnd"/>
      <w:r w:rsidRPr="008D0479">
        <w:t xml:space="preserve"> avoid potential negative impacts on future replenishment periods for the provision of financial resources for all Global Environment Facility recipient countries, taking fully into account the provisions of paragraphs 5 and 6 of Article 20 of the Convention.</w:t>
      </w:r>
      <w:r w:rsidRPr="008D0479">
        <w:rPr>
          <w:vertAlign w:val="superscript"/>
        </w:rPr>
        <w:footnoteReference w:id="105"/>
      </w:r>
    </w:p>
    <w:p w14:paraId="0FBC3B34" w14:textId="32A83314" w:rsidR="00E31D44" w:rsidRPr="008D0479" w:rsidRDefault="00611452" w:rsidP="008D0479">
      <w:pPr>
        <w:pStyle w:val="sub-headingitalics"/>
      </w:pPr>
      <w:r w:rsidRPr="008D0479">
        <w:t>(n)</w:t>
      </w:r>
      <w:r w:rsidRPr="008D0479">
        <w:tab/>
      </w:r>
      <w:r w:rsidR="00E31D44" w:rsidRPr="008D0479">
        <w:t>Integrated approach</w:t>
      </w:r>
    </w:p>
    <w:p w14:paraId="4337EC2B" w14:textId="6A34A095" w:rsidR="00E31D44" w:rsidRPr="008D0479" w:rsidRDefault="00E31D44" w:rsidP="008D0479">
      <w:pPr>
        <w:pStyle w:val="CBDNormalNumber"/>
        <w:numPr>
          <w:ilvl w:val="0"/>
          <w:numId w:val="68"/>
        </w:numPr>
      </w:pPr>
      <w:r w:rsidRPr="008D0479">
        <w:t xml:space="preserve">To continue and further strengthen integrated programming </w:t>
      </w:r>
      <w:proofErr w:type="gramStart"/>
      <w:r w:rsidRPr="008D0479">
        <w:t>as a means to</w:t>
      </w:r>
      <w:proofErr w:type="gramEnd"/>
      <w:r w:rsidRPr="008D0479">
        <w:t xml:space="preserve"> harness opportunities for synergy in implementing related multilateral environmental agreements as well as the 2030 Agenda for Sustainable Development and its Sustainable Development Goals, in particular Sustainable Development Goals 14 and 15.</w:t>
      </w:r>
      <w:r w:rsidRPr="008D0479">
        <w:rPr>
          <w:vertAlign w:val="superscript"/>
        </w:rPr>
        <w:footnoteReference w:id="106"/>
      </w:r>
    </w:p>
    <w:p w14:paraId="536C02E3" w14:textId="67A0D814" w:rsidR="00E31D44" w:rsidRPr="008D0479" w:rsidRDefault="00611452" w:rsidP="008D0479">
      <w:pPr>
        <w:pStyle w:val="sub-headingitalics"/>
      </w:pPr>
      <w:r w:rsidRPr="008D0479">
        <w:t>(o)</w:t>
      </w:r>
      <w:r w:rsidRPr="008D0479">
        <w:tab/>
      </w:r>
      <w:r w:rsidR="00E31D44" w:rsidRPr="008D0479">
        <w:t>Conflict resolution</w:t>
      </w:r>
    </w:p>
    <w:p w14:paraId="71B7B36D" w14:textId="70BDDD8B" w:rsidR="00E31D44" w:rsidRPr="008D0479" w:rsidRDefault="00E31D44" w:rsidP="008D0479">
      <w:pPr>
        <w:pStyle w:val="CBDNormalNumber"/>
        <w:numPr>
          <w:ilvl w:val="0"/>
          <w:numId w:val="68"/>
        </w:numPr>
      </w:pPr>
      <w:r w:rsidRPr="008D0479">
        <w:t>To promote awareness to the existing processes under the Conflict Resolution Commissioner to address complaints related to the operations of the financial mechanism.</w:t>
      </w:r>
      <w:r w:rsidRPr="008D0479">
        <w:rPr>
          <w:iCs/>
          <w:vertAlign w:val="superscript"/>
        </w:rPr>
        <w:footnoteReference w:id="107"/>
      </w:r>
    </w:p>
    <w:p w14:paraId="2F6B4B31" w14:textId="77777777" w:rsidR="00E31D44" w:rsidRPr="008D0479" w:rsidRDefault="00E31D44" w:rsidP="008D0479">
      <w:pPr>
        <w:pStyle w:val="CBDH3"/>
      </w:pPr>
      <w:r w:rsidRPr="008D0479">
        <w:t>Article 22. Relationship with other international conventions</w:t>
      </w:r>
    </w:p>
    <w:p w14:paraId="42307489" w14:textId="5497675C" w:rsidR="00E31D44" w:rsidRPr="008D0479" w:rsidRDefault="00E31D44" w:rsidP="008D0479">
      <w:pPr>
        <w:pStyle w:val="CBDNormalNumber"/>
        <w:numPr>
          <w:ilvl w:val="0"/>
          <w:numId w:val="68"/>
        </w:numPr>
      </w:pPr>
      <w:r w:rsidRPr="008D0479">
        <w:t>Projects and activities to improve synergies among relevant multilateral environment agreements.</w:t>
      </w:r>
      <w:r w:rsidRPr="008D0479">
        <w:rPr>
          <w:vertAlign w:val="superscript"/>
        </w:rPr>
        <w:footnoteReference w:id="108"/>
      </w:r>
    </w:p>
    <w:p w14:paraId="57F38E86" w14:textId="77777777" w:rsidR="00E31D44" w:rsidRPr="008D0479" w:rsidRDefault="00E31D44" w:rsidP="008D0479">
      <w:pPr>
        <w:pStyle w:val="CBDH3"/>
      </w:pPr>
      <w:r w:rsidRPr="008D0479">
        <w:lastRenderedPageBreak/>
        <w:t>Article 26. Reports</w:t>
      </w:r>
    </w:p>
    <w:p w14:paraId="35AF93F4" w14:textId="7D52103B" w:rsidR="00E31D44" w:rsidRPr="008D0479" w:rsidRDefault="00E31D44" w:rsidP="008D0479">
      <w:pPr>
        <w:pStyle w:val="CBDNormalNumber"/>
        <w:numPr>
          <w:ilvl w:val="0"/>
          <w:numId w:val="68"/>
        </w:numPr>
      </w:pPr>
      <w:r w:rsidRPr="008D0479">
        <w:t>Preparation of future national reports,</w:t>
      </w:r>
      <w:r w:rsidRPr="008D0479">
        <w:rPr>
          <w:vertAlign w:val="superscript"/>
        </w:rPr>
        <w:footnoteReference w:id="109"/>
      </w:r>
      <w:r w:rsidRPr="008D0479">
        <w:t xml:space="preserve"> in a timely and expeditious manner.</w:t>
      </w:r>
      <w:r w:rsidRPr="008D0479">
        <w:rPr>
          <w:vertAlign w:val="superscript"/>
        </w:rPr>
        <w:footnoteReference w:id="110"/>
      </w:r>
    </w:p>
    <w:p w14:paraId="2BCBD959" w14:textId="77777777" w:rsidR="00E31D44" w:rsidRPr="008D0479" w:rsidRDefault="00E31D44" w:rsidP="008D0479">
      <w:pPr>
        <w:pStyle w:val="CBDH2"/>
        <w:outlineLvl w:val="1"/>
      </w:pPr>
      <w:bookmarkStart w:id="14" w:name="_Toc259455679"/>
      <w:bookmarkStart w:id="15" w:name="_Toc260384329"/>
      <w:bookmarkStart w:id="16" w:name="_Toc263089319"/>
      <w:bookmarkStart w:id="17" w:name="_Toc257060636"/>
      <w:bookmarkStart w:id="18" w:name="_Toc259455705"/>
      <w:bookmarkStart w:id="19" w:name="_Toc260384356"/>
      <w:bookmarkStart w:id="20" w:name="_Toc263089346"/>
      <w:r w:rsidRPr="008D0479">
        <w:t>C.</w:t>
      </w:r>
      <w:r w:rsidRPr="008D0479">
        <w:tab/>
        <w:t>Eligibility criteria</w:t>
      </w:r>
      <w:bookmarkEnd w:id="14"/>
      <w:bookmarkEnd w:id="15"/>
      <w:bookmarkEnd w:id="16"/>
    </w:p>
    <w:p w14:paraId="465DFFC7" w14:textId="517E2F74" w:rsidR="00E31D44" w:rsidRPr="008D0479" w:rsidRDefault="00E33F9C" w:rsidP="008D0479">
      <w:pPr>
        <w:pStyle w:val="CBDH3"/>
        <w:outlineLvl w:val="2"/>
      </w:pPr>
      <w:r w:rsidRPr="008D0479">
        <w:t>1.</w:t>
      </w:r>
      <w:r w:rsidRPr="008D0479">
        <w:tab/>
      </w:r>
      <w:r w:rsidR="00E31D44" w:rsidRPr="008D0479">
        <w:t>Convention on Biological Diversity</w:t>
      </w:r>
      <w:r w:rsidR="00E31D44" w:rsidRPr="008D0479">
        <w:rPr>
          <w:vertAlign w:val="superscript"/>
        </w:rPr>
        <w:footnoteReference w:id="111"/>
      </w:r>
    </w:p>
    <w:p w14:paraId="1F2A43F8" w14:textId="65A03AF7" w:rsidR="00E31D44" w:rsidRPr="008D0479" w:rsidRDefault="00E31D44" w:rsidP="008D0479">
      <w:pPr>
        <w:pStyle w:val="CBDNormalNumber"/>
        <w:numPr>
          <w:ilvl w:val="0"/>
          <w:numId w:val="68"/>
        </w:numPr>
      </w:pPr>
      <w:r w:rsidRPr="008D0479">
        <w:t xml:space="preserve">Only developing countries that are Parties to the Convention are eligible to receive funding upon the entry into force of the Convention for them. In accordance with the provisions of the Convention, projects that seek to meet the objectives of conservation of biological diversity and sustainable use of its components are eligible for financial support from the institutional </w:t>
      </w:r>
      <w:proofErr w:type="gramStart"/>
      <w:r w:rsidRPr="008D0479">
        <w:t>structure;</w:t>
      </w:r>
      <w:proofErr w:type="gramEnd"/>
    </w:p>
    <w:p w14:paraId="337E504B" w14:textId="21CC35BA" w:rsidR="00E31D44" w:rsidRPr="008D0479" w:rsidRDefault="00E31D44" w:rsidP="008D0479">
      <w:pPr>
        <w:pStyle w:val="CBDNormalNumber"/>
        <w:numPr>
          <w:ilvl w:val="0"/>
          <w:numId w:val="68"/>
        </w:numPr>
      </w:pPr>
      <w:r w:rsidRPr="008D0479">
        <w:t>The Global Environment Facility continues to provide financial resources to Parties with economies in transition for biodiversity-related projects.</w:t>
      </w:r>
    </w:p>
    <w:p w14:paraId="0FDB26DD" w14:textId="37DF6886" w:rsidR="00E31D44" w:rsidRPr="008D0479" w:rsidRDefault="00E33F9C" w:rsidP="008D0479">
      <w:pPr>
        <w:pStyle w:val="CBDH3"/>
      </w:pPr>
      <w:r w:rsidRPr="008D0479">
        <w:t>2.</w:t>
      </w:r>
      <w:r w:rsidRPr="008D0479">
        <w:tab/>
      </w:r>
      <w:r w:rsidR="00E31D44" w:rsidRPr="008D0479">
        <w:t>Cartagena Protocol on Biosafety</w:t>
      </w:r>
      <w:r w:rsidR="00E31D44" w:rsidRPr="008D0479">
        <w:rPr>
          <w:vertAlign w:val="superscript"/>
        </w:rPr>
        <w:footnoteReference w:id="112"/>
      </w:r>
    </w:p>
    <w:p w14:paraId="656EA90D" w14:textId="74622AC8" w:rsidR="00E31D44" w:rsidRPr="008D0479" w:rsidRDefault="00E31D44" w:rsidP="008D0479">
      <w:pPr>
        <w:pStyle w:val="CBDNormalNumber"/>
        <w:numPr>
          <w:ilvl w:val="0"/>
          <w:numId w:val="68"/>
        </w:numPr>
      </w:pPr>
      <w:r w:rsidRPr="008D0479">
        <w:t>All developing countries, in particular the least developed countries and small island developing States, as well as countries with economies in transition, including countries among these that are centres of origin and centres of genetic diversity, which are Parties to the Cartagena Protocol on Biosafety, are eligible for funding by the Global Environment Facility.</w:t>
      </w:r>
    </w:p>
    <w:p w14:paraId="61583D79" w14:textId="4EE30FDD" w:rsidR="00E31D44" w:rsidRPr="008D0479" w:rsidRDefault="00E31D44" w:rsidP="008D0479">
      <w:pPr>
        <w:pStyle w:val="CBDNormalNumber"/>
        <w:numPr>
          <w:ilvl w:val="0"/>
          <w:numId w:val="68"/>
        </w:numPr>
      </w:pPr>
      <w:r w:rsidRPr="008D0479">
        <w:t>All developing countries, in particular the least developed countries and small island developing States, as well as countries with economies in transition, including countries among these that are centres of origin and centres of genetic diversity, which are Parties to the Convention and provide a clear political commitment towards becoming Parties to the Protocol, shall also be eligible for funding by the Global Environment Facility for the development of national biosafety frameworks and the development of national biosafety clearing-houses and other necessary institutional capabilities to enable a non-Party to become a Party. Evidence of such political commitment shall take the form of a written assurance to the Executive Secretary that the country intends to become a Party to the Protocol on completion of the activities to be funded.</w:t>
      </w:r>
    </w:p>
    <w:p w14:paraId="113B3E6D" w14:textId="242C46E2" w:rsidR="00E31D44" w:rsidRPr="008D0479" w:rsidRDefault="00E33F9C" w:rsidP="008D0479">
      <w:pPr>
        <w:pStyle w:val="CBDH3"/>
      </w:pPr>
      <w:r w:rsidRPr="008D0479">
        <w:t>3.</w:t>
      </w:r>
      <w:r w:rsidRPr="008D0479">
        <w:tab/>
      </w:r>
      <w:r w:rsidR="00E31D44" w:rsidRPr="008D0479">
        <w:t>Nagoya Protocol on Access and Benefit-sharing</w:t>
      </w:r>
      <w:r w:rsidR="00E31D44" w:rsidRPr="008D0479">
        <w:rPr>
          <w:vertAlign w:val="superscript"/>
        </w:rPr>
        <w:footnoteReference w:id="113"/>
      </w:r>
    </w:p>
    <w:p w14:paraId="28D68B8E" w14:textId="7CAD49BB" w:rsidR="00E31D44" w:rsidRPr="008D0479" w:rsidRDefault="00E31D44" w:rsidP="008D0479">
      <w:pPr>
        <w:pStyle w:val="CBDNormalNumber"/>
        <w:numPr>
          <w:ilvl w:val="0"/>
          <w:numId w:val="68"/>
        </w:numPr>
      </w:pPr>
      <w:r w:rsidRPr="008D0479">
        <w:t>All developing countries, in particular the least developed countries and small island developing States, as well as countries with economies in transition, which are Parties to the Nagoya Protocol, are eligible for funding by the Global Environment Facility in accordance with its mandate.</w:t>
      </w:r>
    </w:p>
    <w:p w14:paraId="49B483A7" w14:textId="3B116762" w:rsidR="00E31D44" w:rsidRPr="008D0479" w:rsidRDefault="00E31D44" w:rsidP="008D0479">
      <w:pPr>
        <w:pStyle w:val="CBDNormalNumber"/>
        <w:numPr>
          <w:ilvl w:val="0"/>
          <w:numId w:val="68"/>
        </w:numPr>
      </w:pPr>
      <w:r w:rsidRPr="008D0479">
        <w:t xml:space="preserve">Developing countries, in particular the least developed countries and small island developing States among them, and countries with economies in transition that are Parties to the Convention and provide a clear political commitment towards becoming Parties to the Protocol, shall also be eligible for funding by the Global Environment Facility for the development of national measures and institutional capabilities </w:t>
      </w:r>
      <w:proofErr w:type="gramStart"/>
      <w:r w:rsidRPr="008D0479">
        <w:t>in order to</w:t>
      </w:r>
      <w:proofErr w:type="gramEnd"/>
      <w:r w:rsidRPr="008D0479">
        <w:t xml:space="preserve"> enable them to become a Party. Evidence of such political commitment, accompanied by indicative activities and expected milestones, shall take the form of a written assurance to the Executive Secretary that the country intends to become a Party to the Nagoya Protocol on completion of the activities to be funded.</w:t>
      </w:r>
    </w:p>
    <w:p w14:paraId="2D2B78EF" w14:textId="77777777" w:rsidR="00E31D44" w:rsidRPr="008D0479" w:rsidRDefault="00E31D44" w:rsidP="008D0479">
      <w:pPr>
        <w:pStyle w:val="CBDH2"/>
        <w:outlineLvl w:val="1"/>
      </w:pPr>
      <w:bookmarkStart w:id="21" w:name="_Hlk174445191"/>
      <w:r w:rsidRPr="008D0479">
        <w:t>D.</w:t>
      </w:r>
      <w:r w:rsidRPr="008D0479">
        <w:tab/>
        <w:t>Reporting from the Council of the Global Environment Facility to the Conference of the Parties</w:t>
      </w:r>
      <w:bookmarkEnd w:id="17"/>
      <w:bookmarkEnd w:id="18"/>
      <w:bookmarkEnd w:id="19"/>
      <w:bookmarkEnd w:id="20"/>
    </w:p>
    <w:p w14:paraId="77CB2570" w14:textId="04AEAEF6" w:rsidR="00E31D44" w:rsidRPr="008D0479" w:rsidRDefault="00FB2501" w:rsidP="008D0479">
      <w:pPr>
        <w:pStyle w:val="CBDH3"/>
      </w:pPr>
      <w:r w:rsidRPr="008D0479">
        <w:t>1.</w:t>
      </w:r>
      <w:r w:rsidRPr="008D0479">
        <w:tab/>
      </w:r>
      <w:r w:rsidR="00E31D44" w:rsidRPr="008D0479">
        <w:t>Timing</w:t>
      </w:r>
    </w:p>
    <w:p w14:paraId="476837DE" w14:textId="7DEEFBCA" w:rsidR="00E31D44" w:rsidRPr="008D0479" w:rsidRDefault="00E31D44" w:rsidP="008D0479">
      <w:pPr>
        <w:pStyle w:val="CBDNormalNumber"/>
        <w:numPr>
          <w:ilvl w:val="0"/>
          <w:numId w:val="68"/>
        </w:numPr>
      </w:pPr>
      <w:r w:rsidRPr="008D0479">
        <w:t xml:space="preserve">The report from the Council of the Global Environment Facility to the Conference of the Parties should be made available three months prior to an ordinary meeting of the Conference of the </w:t>
      </w:r>
      <w:r w:rsidRPr="008D0479">
        <w:lastRenderedPageBreak/>
        <w:t>Parties as well as with updates as appropriate, and in accordance with rules 28 and 54 of the Rules of Procedure for meetings of the Conference of the Parties, the Executive Secretary should make it available in all six official languages of the United Nations.</w:t>
      </w:r>
      <w:r w:rsidRPr="008D0479">
        <w:rPr>
          <w:vertAlign w:val="superscript"/>
        </w:rPr>
        <w:footnoteReference w:id="114"/>
      </w:r>
    </w:p>
    <w:p w14:paraId="043414FF" w14:textId="6ABA2B67" w:rsidR="00E31D44" w:rsidRPr="008D0479" w:rsidRDefault="00FB2501" w:rsidP="008D0479">
      <w:pPr>
        <w:pStyle w:val="CBDH3"/>
      </w:pPr>
      <w:r w:rsidRPr="008D0479">
        <w:t>2.</w:t>
      </w:r>
      <w:r w:rsidRPr="008D0479">
        <w:tab/>
      </w:r>
      <w:r w:rsidR="00E31D44" w:rsidRPr="008D0479">
        <w:t>Preliminary draft</w:t>
      </w:r>
    </w:p>
    <w:p w14:paraId="5D1629D7" w14:textId="6B27F6E2" w:rsidR="00E31D44" w:rsidRPr="008D0479" w:rsidRDefault="00E31D44" w:rsidP="008D0479">
      <w:pPr>
        <w:pStyle w:val="CBDNormalNumber"/>
        <w:numPr>
          <w:ilvl w:val="0"/>
          <w:numId w:val="68"/>
        </w:numPr>
      </w:pPr>
      <w:r w:rsidRPr="008D0479">
        <w:t>The Global Environment Facility should make available a preliminary draft of its report to the Conference of the Parties, particularly focusing on the response of the Global Environment Facility to previous guidance from the Conference of the Parties, to the Subsidiary Body on Implementation prior to the meeting of the Conference of the Parties at which the report will be formally considered, with a view to promoting effective and timely consideration of the information provided in the report.</w:t>
      </w:r>
      <w:r w:rsidRPr="008D0479">
        <w:rPr>
          <w:vertAlign w:val="superscript"/>
        </w:rPr>
        <w:footnoteReference w:id="115"/>
      </w:r>
    </w:p>
    <w:p w14:paraId="36500794" w14:textId="563B5024" w:rsidR="00E31D44" w:rsidRPr="008D0479" w:rsidRDefault="00FB2501" w:rsidP="008D0479">
      <w:pPr>
        <w:pStyle w:val="CBDH3"/>
      </w:pPr>
      <w:r w:rsidRPr="008D0479">
        <w:t>3.</w:t>
      </w:r>
      <w:r w:rsidRPr="008D0479">
        <w:tab/>
      </w:r>
      <w:r w:rsidR="00E31D44" w:rsidRPr="008D0479">
        <w:t>Comprehensiveness and conciseness</w:t>
      </w:r>
    </w:p>
    <w:p w14:paraId="373F96E0" w14:textId="7F1AFDE6" w:rsidR="00E31D44" w:rsidRPr="008D0479" w:rsidRDefault="00E31D44" w:rsidP="008D0479">
      <w:pPr>
        <w:pStyle w:val="CBDNormalNumber"/>
        <w:numPr>
          <w:ilvl w:val="0"/>
          <w:numId w:val="68"/>
        </w:numPr>
      </w:pPr>
      <w:r w:rsidRPr="008D0479">
        <w:t xml:space="preserve">The Global Environment Facility should explore ways to balance the comprehensiveness and conciseness of the report of the Global Environment Facility, acknowledging the need to demonstrate progress in programming resources towards achievement of the goals and targets of the Kunming-Montreal </w:t>
      </w:r>
      <w:r w:rsidRPr="008D0479">
        <w:rPr>
          <w:bCs/>
        </w:rPr>
        <w:t>Global Biodiversity Framework</w:t>
      </w:r>
      <w:r w:rsidRPr="008D0479">
        <w:t>.</w:t>
      </w:r>
      <w:r w:rsidRPr="008D0479">
        <w:rPr>
          <w:vertAlign w:val="superscript"/>
        </w:rPr>
        <w:footnoteReference w:id="116"/>
      </w:r>
    </w:p>
    <w:p w14:paraId="1D8BEE9C" w14:textId="0515407E" w:rsidR="00E31D44" w:rsidRPr="008D0479" w:rsidRDefault="00FB2501" w:rsidP="008D0479">
      <w:pPr>
        <w:pStyle w:val="CBDH3"/>
      </w:pPr>
      <w:r w:rsidRPr="008D0479">
        <w:t>4.</w:t>
      </w:r>
      <w:r w:rsidRPr="008D0479">
        <w:tab/>
      </w:r>
      <w:r w:rsidR="00E31D44" w:rsidRPr="008D0479">
        <w:t>Results-based reporting</w:t>
      </w:r>
    </w:p>
    <w:p w14:paraId="1C4DAB58" w14:textId="0A37B97B" w:rsidR="00E31D44" w:rsidRPr="008D0479" w:rsidRDefault="00E31D44" w:rsidP="008D0479">
      <w:pPr>
        <w:pStyle w:val="CBDNormalNumber"/>
        <w:numPr>
          <w:ilvl w:val="0"/>
          <w:numId w:val="68"/>
        </w:numPr>
      </w:pPr>
      <w:r w:rsidRPr="008D0479">
        <w:t>The Global Environment Facility should improve results-based reporting on the total contribution of the Global Environment Facility to achieving the objectives of the Convention, including the Facility’s contribution to incremental-cost financing and leveraging co-financing.</w:t>
      </w:r>
      <w:r w:rsidRPr="008D0479">
        <w:rPr>
          <w:vertAlign w:val="superscript"/>
        </w:rPr>
        <w:footnoteReference w:id="117"/>
      </w:r>
    </w:p>
    <w:p w14:paraId="6AB30C2F" w14:textId="430C1BEA" w:rsidR="00E31D44" w:rsidRPr="008D0479" w:rsidRDefault="00FB2501" w:rsidP="008D0479">
      <w:pPr>
        <w:pStyle w:val="CBDH3"/>
      </w:pPr>
      <w:r w:rsidRPr="008D0479">
        <w:t>5.</w:t>
      </w:r>
      <w:r w:rsidRPr="008D0479">
        <w:tab/>
      </w:r>
      <w:r w:rsidR="00E31D44" w:rsidRPr="008D0479">
        <w:t>Report on four-year outcome-oriented framework of programme priorities</w:t>
      </w:r>
    </w:p>
    <w:p w14:paraId="71E75045" w14:textId="3304DEBD" w:rsidR="00E31D44" w:rsidRPr="008D0479" w:rsidRDefault="00E31D44" w:rsidP="008D0479">
      <w:pPr>
        <w:pStyle w:val="CBDNormalNumber"/>
        <w:numPr>
          <w:ilvl w:val="0"/>
          <w:numId w:val="68"/>
        </w:numPr>
      </w:pPr>
      <w:r w:rsidRPr="008D0479">
        <w:t>The Global Environment Facility should report on its implementation of the four-year outcome</w:t>
      </w:r>
      <w:r w:rsidRPr="008D0479">
        <w:noBreakHyphen/>
        <w:t>oriented framework of programme priorities and how it responds to the individual elements.</w:t>
      </w:r>
      <w:r w:rsidRPr="008D0479">
        <w:rPr>
          <w:vertAlign w:val="superscript"/>
        </w:rPr>
        <w:footnoteReference w:id="118"/>
      </w:r>
    </w:p>
    <w:p w14:paraId="51FF682B" w14:textId="720CDED6" w:rsidR="00E31D44" w:rsidRPr="008D0479" w:rsidRDefault="00E31D44" w:rsidP="008D0479">
      <w:pPr>
        <w:pStyle w:val="CBDNormalNumber"/>
        <w:numPr>
          <w:ilvl w:val="0"/>
          <w:numId w:val="68"/>
        </w:numPr>
      </w:pPr>
      <w:r w:rsidRPr="008D0479">
        <w:rPr>
          <w:iCs/>
        </w:rPr>
        <w:t xml:space="preserve">The </w:t>
      </w:r>
      <w:r w:rsidRPr="008D0479">
        <w:t xml:space="preserve">Global Environment Facility should include information regarding the individual elements of the consolidated guidance, </w:t>
      </w:r>
      <w:proofErr w:type="gramStart"/>
      <w:r w:rsidRPr="008D0479">
        <w:t>in particular</w:t>
      </w:r>
      <w:proofErr w:type="gramEnd"/>
      <w:r w:rsidRPr="008D0479">
        <w:t xml:space="preserve"> the four-year outcome-oriented framework of programme priorities, in its future reports to the Conference of the Parties.</w:t>
      </w:r>
      <w:r w:rsidRPr="008D0479">
        <w:rPr>
          <w:vertAlign w:val="superscript"/>
        </w:rPr>
        <w:footnoteReference w:id="119"/>
      </w:r>
    </w:p>
    <w:p w14:paraId="4E4C1243" w14:textId="11B5541D" w:rsidR="00E31D44" w:rsidRPr="008D0479" w:rsidRDefault="00FB2501" w:rsidP="008D0479">
      <w:pPr>
        <w:pStyle w:val="CBDH3"/>
      </w:pPr>
      <w:r w:rsidRPr="008D0479">
        <w:t>6.</w:t>
      </w:r>
      <w:r w:rsidRPr="008D0479">
        <w:tab/>
      </w:r>
      <w:r w:rsidR="00E31D44" w:rsidRPr="008D0479">
        <w:t>Reporting on needs assessment results</w:t>
      </w:r>
    </w:p>
    <w:p w14:paraId="5765699B" w14:textId="5A86F3C5" w:rsidR="00E31D44" w:rsidRPr="008D0479" w:rsidRDefault="00E31D44" w:rsidP="008D0479">
      <w:pPr>
        <w:pStyle w:val="CBDNormalNumber"/>
        <w:numPr>
          <w:ilvl w:val="0"/>
          <w:numId w:val="68"/>
        </w:numPr>
      </w:pPr>
      <w:r w:rsidRPr="008D0479">
        <w:t>The Global Environment Facility should indicate in its report to the Conference of the Parties, how it plans to respond to the report on the determination of funding requirements, pursuant to paragraph 5.2 of the Memorandum of Understanding.</w:t>
      </w:r>
      <w:r w:rsidRPr="008D0479">
        <w:rPr>
          <w:vertAlign w:val="superscript"/>
        </w:rPr>
        <w:footnoteReference w:id="120"/>
      </w:r>
    </w:p>
    <w:p w14:paraId="68915445" w14:textId="16E314C8" w:rsidR="00E31D44" w:rsidRPr="008D0479" w:rsidRDefault="00E31D44" w:rsidP="008D0479">
      <w:pPr>
        <w:pStyle w:val="CBDNormalNumber"/>
        <w:numPr>
          <w:ilvl w:val="0"/>
          <w:numId w:val="68"/>
        </w:numPr>
      </w:pPr>
      <w:r w:rsidRPr="008D0479">
        <w:t>The Global Environment Facility will in its regular report to the Conference of Parties indicate how it has responded during the replenishment cycle to the previous assessment by the Conference of the Parties.</w:t>
      </w:r>
      <w:r w:rsidRPr="008D0479">
        <w:rPr>
          <w:vertAlign w:val="superscript"/>
        </w:rPr>
        <w:footnoteReference w:id="121"/>
      </w:r>
    </w:p>
    <w:p w14:paraId="2A5AC9AA" w14:textId="026D1948" w:rsidR="00E31D44" w:rsidRPr="008D0479" w:rsidRDefault="00FB2501" w:rsidP="008D0479">
      <w:pPr>
        <w:pStyle w:val="CBDH3"/>
      </w:pPr>
      <w:r w:rsidRPr="008D0479">
        <w:t>7.</w:t>
      </w:r>
      <w:r w:rsidRPr="008D0479">
        <w:tab/>
      </w:r>
      <w:r w:rsidR="00E31D44" w:rsidRPr="008D0479">
        <w:t>Transparency</w:t>
      </w:r>
    </w:p>
    <w:p w14:paraId="77F73620" w14:textId="5C9C0B49" w:rsidR="00E31D44" w:rsidRPr="008D0479" w:rsidRDefault="00E31D44" w:rsidP="008D0479">
      <w:pPr>
        <w:pStyle w:val="CBDNormalNumber"/>
        <w:numPr>
          <w:ilvl w:val="0"/>
          <w:numId w:val="68"/>
        </w:numPr>
      </w:pPr>
      <w:r w:rsidRPr="008D0479">
        <w:t xml:space="preserve">The Global Environment Facility, in response to the concerns of the Parties on transparency of the process of approving Global Environment Facility projects, should include in its report to the </w:t>
      </w:r>
      <w:r w:rsidRPr="008D0479">
        <w:lastRenderedPageBreak/>
        <w:t>Conference of the Parties, information regarding paragraph 3.3(d) of the Memorandum of Understanding.</w:t>
      </w:r>
      <w:r w:rsidRPr="008D0479">
        <w:rPr>
          <w:vertAlign w:val="superscript"/>
        </w:rPr>
        <w:footnoteReference w:id="122"/>
      </w:r>
    </w:p>
    <w:p w14:paraId="61E472BE" w14:textId="67CC4648" w:rsidR="00E31D44" w:rsidRPr="008D0479" w:rsidRDefault="00FB2501" w:rsidP="008D0479">
      <w:pPr>
        <w:pStyle w:val="CBDH3"/>
      </w:pPr>
      <w:r w:rsidRPr="008D0479">
        <w:t>8.</w:t>
      </w:r>
      <w:r w:rsidRPr="008D0479">
        <w:tab/>
      </w:r>
      <w:r w:rsidR="00E31D44" w:rsidRPr="008D0479">
        <w:t>Safeguards</w:t>
      </w:r>
    </w:p>
    <w:p w14:paraId="1412CC73" w14:textId="351FBDF8" w:rsidR="00E31D44" w:rsidRPr="008D0479" w:rsidRDefault="00E31D44" w:rsidP="008D0479">
      <w:pPr>
        <w:pStyle w:val="CBDNormalNumber"/>
        <w:numPr>
          <w:ilvl w:val="0"/>
          <w:numId w:val="68"/>
        </w:numPr>
      </w:pPr>
      <w:r w:rsidRPr="008D0479">
        <w:rPr>
          <w:iCs/>
        </w:rPr>
        <w:t>T</w:t>
      </w:r>
      <w:r w:rsidRPr="008D0479">
        <w:t xml:space="preserve">he Global Environment Facility should inform the Conference of the Parties about how it is </w:t>
      </w:r>
      <w:proofErr w:type="gramStart"/>
      <w:r w:rsidRPr="008D0479">
        <w:t>taking into account</w:t>
      </w:r>
      <w:proofErr w:type="gramEnd"/>
      <w:r w:rsidRPr="008D0479">
        <w:t xml:space="preserve"> the Convention’s voluntary guidelines on safeguards in biodiversity financing mechanisms.</w:t>
      </w:r>
      <w:r w:rsidRPr="008D0479">
        <w:rPr>
          <w:iCs/>
          <w:vertAlign w:val="superscript"/>
        </w:rPr>
        <w:footnoteReference w:id="123"/>
      </w:r>
    </w:p>
    <w:p w14:paraId="303A210F" w14:textId="06ED10EB" w:rsidR="00E31D44" w:rsidRPr="008D0479" w:rsidRDefault="00FB2501" w:rsidP="008D0479">
      <w:pPr>
        <w:pStyle w:val="CBDH3"/>
      </w:pPr>
      <w:r w:rsidRPr="008D0479">
        <w:t>9.</w:t>
      </w:r>
      <w:r w:rsidRPr="008D0479">
        <w:tab/>
      </w:r>
      <w:r w:rsidR="00E31D44" w:rsidRPr="008D0479">
        <w:t>Co-financing</w:t>
      </w:r>
    </w:p>
    <w:p w14:paraId="411308A7" w14:textId="1B0EAE49" w:rsidR="00E31D44" w:rsidRPr="008D0479" w:rsidRDefault="00E31D44" w:rsidP="008D0479">
      <w:pPr>
        <w:pStyle w:val="CBDNormalNumber"/>
        <w:numPr>
          <w:ilvl w:val="0"/>
          <w:numId w:val="68"/>
        </w:numPr>
      </w:pPr>
      <w:r w:rsidRPr="008D0479">
        <w:rPr>
          <w:iCs/>
        </w:rPr>
        <w:t>T</w:t>
      </w:r>
      <w:r w:rsidRPr="008D0479">
        <w:t>he Global Environment Facility should include the information regarding progress in implementing the new co-financing policy in its report to the Conference of the Parties.</w:t>
      </w:r>
      <w:r w:rsidRPr="008D0479">
        <w:rPr>
          <w:iCs/>
          <w:vertAlign w:val="superscript"/>
        </w:rPr>
        <w:footnoteReference w:id="124"/>
      </w:r>
    </w:p>
    <w:p w14:paraId="123FBE18" w14:textId="76CB0EA8" w:rsidR="00E31D44" w:rsidRPr="008D0479" w:rsidRDefault="00FB2501" w:rsidP="008D0479">
      <w:pPr>
        <w:pStyle w:val="CBDH3"/>
      </w:pPr>
      <w:r w:rsidRPr="008D0479">
        <w:t>10.</w:t>
      </w:r>
      <w:r w:rsidRPr="008D0479">
        <w:tab/>
      </w:r>
      <w:r w:rsidR="00E31D44" w:rsidRPr="008D0479">
        <w:t>Agencies</w:t>
      </w:r>
    </w:p>
    <w:p w14:paraId="326C66E0" w14:textId="5E82D9ED" w:rsidR="00E31D44" w:rsidRPr="008D0479" w:rsidRDefault="00E31D44" w:rsidP="008D0479">
      <w:pPr>
        <w:pStyle w:val="CBDNormalNumber"/>
        <w:numPr>
          <w:ilvl w:val="0"/>
          <w:numId w:val="68"/>
        </w:numPr>
      </w:pPr>
      <w:r w:rsidRPr="008D0479">
        <w:rPr>
          <w:iCs/>
        </w:rPr>
        <w:t>T</w:t>
      </w:r>
      <w:r w:rsidRPr="008D0479">
        <w:t>he Global Environment Facility should include the information regarding performance of the Global Environment Facility’s network of agencies in its report to the Conference of the Parties.</w:t>
      </w:r>
      <w:r w:rsidRPr="008D0479">
        <w:rPr>
          <w:iCs/>
          <w:vertAlign w:val="superscript"/>
        </w:rPr>
        <w:footnoteReference w:id="125"/>
      </w:r>
    </w:p>
    <w:p w14:paraId="03B37625" w14:textId="77777777" w:rsidR="00E31D44" w:rsidRPr="008D0479" w:rsidRDefault="00E31D44" w:rsidP="008D0479">
      <w:pPr>
        <w:pStyle w:val="CBDH2"/>
      </w:pPr>
      <w:bookmarkStart w:id="22" w:name="_Toc257060643"/>
      <w:bookmarkStart w:id="23" w:name="_Toc259455706"/>
      <w:bookmarkStart w:id="24" w:name="_Toc260384357"/>
      <w:bookmarkStart w:id="25" w:name="_Toc263089347"/>
      <w:bookmarkEnd w:id="21"/>
      <w:r w:rsidRPr="008D0479">
        <w:t>E.</w:t>
      </w:r>
      <w:r w:rsidRPr="008D0479">
        <w:tab/>
        <w:t>Review of the effectiveness of the financial mechanism</w:t>
      </w:r>
      <w:bookmarkEnd w:id="22"/>
      <w:bookmarkEnd w:id="23"/>
      <w:bookmarkEnd w:id="24"/>
      <w:bookmarkEnd w:id="25"/>
    </w:p>
    <w:p w14:paraId="16C829F5" w14:textId="65CDDA97" w:rsidR="00E31D44" w:rsidRPr="008D0479" w:rsidRDefault="00E31D44" w:rsidP="008D0479">
      <w:pPr>
        <w:pStyle w:val="CBDNormalNumber"/>
        <w:numPr>
          <w:ilvl w:val="0"/>
          <w:numId w:val="68"/>
        </w:numPr>
      </w:pPr>
      <w:r w:rsidRPr="008D0479">
        <w:t>The review of the effectiveness of the financial mechanism will be conducted every four years and this review should coincide with the meeting of the Conference of the Parties.</w:t>
      </w:r>
      <w:r w:rsidRPr="008D0479">
        <w:rPr>
          <w:vertAlign w:val="superscript"/>
        </w:rPr>
        <w:footnoteReference w:id="126"/>
      </w:r>
    </w:p>
    <w:p w14:paraId="17FE5E8B" w14:textId="77777777" w:rsidR="00E31D44" w:rsidRPr="008D0479" w:rsidRDefault="00E31D44" w:rsidP="008D0479">
      <w:pPr>
        <w:pStyle w:val="CBDH2"/>
      </w:pPr>
      <w:bookmarkStart w:id="26" w:name="_Toc257060652"/>
      <w:bookmarkStart w:id="27" w:name="_Toc259455717"/>
      <w:bookmarkStart w:id="28" w:name="_Toc260384367"/>
      <w:bookmarkStart w:id="29" w:name="_Toc263089357"/>
      <w:r w:rsidRPr="008D0479">
        <w:t>F.</w:t>
      </w:r>
      <w:r w:rsidRPr="008D0479">
        <w:tab/>
        <w:t>Replenishment of the Global Environment Facility Trust Fund</w:t>
      </w:r>
      <w:bookmarkEnd w:id="26"/>
      <w:bookmarkEnd w:id="27"/>
      <w:bookmarkEnd w:id="28"/>
      <w:bookmarkEnd w:id="29"/>
    </w:p>
    <w:p w14:paraId="147DB95D" w14:textId="2F5D2EB2" w:rsidR="00E31D44" w:rsidRPr="008D0479" w:rsidRDefault="00E31D44" w:rsidP="008D0479">
      <w:pPr>
        <w:pStyle w:val="CBDNormalNumber"/>
        <w:numPr>
          <w:ilvl w:val="0"/>
          <w:numId w:val="68"/>
        </w:numPr>
      </w:pPr>
      <w:r w:rsidRPr="008D0479">
        <w:t>The updated list of developed country Parties and other Parties that voluntarily assume the obligations of developed country Parties in accordance with Article 20, paragraph 2 of the Convention, is contained in the annex to decision VIII/18.</w:t>
      </w:r>
      <w:r w:rsidRPr="008D0479">
        <w:rPr>
          <w:vertAlign w:val="superscript"/>
        </w:rPr>
        <w:footnoteReference w:id="127"/>
      </w:r>
    </w:p>
    <w:p w14:paraId="363CE779" w14:textId="385E19FD" w:rsidR="00E31D44" w:rsidRPr="008D0479" w:rsidRDefault="00E31D44" w:rsidP="008D0479">
      <w:pPr>
        <w:pStyle w:val="CBDNormalNumber"/>
        <w:numPr>
          <w:ilvl w:val="0"/>
          <w:numId w:val="68"/>
        </w:numPr>
      </w:pPr>
      <w:r w:rsidRPr="008D0479">
        <w:t>The developed country Parties and others are invited to increase their financial contributions through the financial mechanism during the replenishment of the Global Environment Facility Trust Fund.</w:t>
      </w:r>
      <w:r w:rsidRPr="008D0479">
        <w:rPr>
          <w:vertAlign w:val="superscript"/>
        </w:rPr>
        <w:footnoteReference w:id="128"/>
      </w:r>
    </w:p>
    <w:p w14:paraId="5988D9C2" w14:textId="5CCE548D" w:rsidR="00E31D44" w:rsidRPr="008D0479" w:rsidRDefault="00E31D44" w:rsidP="008D0479">
      <w:pPr>
        <w:pStyle w:val="CBDNormalNumber"/>
        <w:numPr>
          <w:ilvl w:val="0"/>
          <w:numId w:val="68"/>
        </w:numPr>
      </w:pPr>
      <w:r w:rsidRPr="008D0479">
        <w:t>The Global Environment Facility is urged, in the process of replenishment, to give due consideration to all aspects of the needs assessment report on the levels of funding for biodiversity.</w:t>
      </w:r>
      <w:r w:rsidRPr="008D0479">
        <w:rPr>
          <w:vertAlign w:val="superscript"/>
        </w:rPr>
        <w:footnoteReference w:id="129"/>
      </w:r>
      <w:bookmarkStart w:id="30" w:name="_Toc257060653"/>
      <w:bookmarkStart w:id="31" w:name="_Toc259455718"/>
      <w:bookmarkStart w:id="32" w:name="_Toc260384368"/>
      <w:bookmarkStart w:id="33" w:name="_Toc263089358"/>
    </w:p>
    <w:p w14:paraId="7216C848" w14:textId="77777777" w:rsidR="00E31D44" w:rsidRPr="008D0479" w:rsidRDefault="00E31D44" w:rsidP="008D0479">
      <w:pPr>
        <w:pStyle w:val="CBDH2"/>
      </w:pPr>
      <w:r w:rsidRPr="008D0479">
        <w:t>G.</w:t>
      </w:r>
      <w:r w:rsidRPr="008D0479">
        <w:tab/>
        <w:t>Inter-secretariat cooperation</w:t>
      </w:r>
      <w:bookmarkEnd w:id="30"/>
      <w:bookmarkEnd w:id="31"/>
      <w:bookmarkEnd w:id="32"/>
      <w:bookmarkEnd w:id="33"/>
    </w:p>
    <w:p w14:paraId="6F0E6611" w14:textId="4C54FA41" w:rsidR="00E31D44" w:rsidRPr="008D0479" w:rsidRDefault="00E31D44" w:rsidP="008D0479">
      <w:pPr>
        <w:pStyle w:val="CBDNormalNumber"/>
        <w:numPr>
          <w:ilvl w:val="0"/>
          <w:numId w:val="68"/>
        </w:numPr>
      </w:pPr>
      <w:r w:rsidRPr="008D0479">
        <w:t>Participation of a representative of the Subsidiary Body on Scientific, Technical and Technological Advice of the Convention and of the Scientific and Technical Advisory Panel of the Global Environment Facility is requested in respective meetings of the Subsidiary Body on Scientific, Technical and Technological Advice and the Scientific and Technical Advisory Panel on a reciprocal basis.</w:t>
      </w:r>
      <w:r w:rsidRPr="008D0479">
        <w:rPr>
          <w:vertAlign w:val="superscript"/>
        </w:rPr>
        <w:footnoteReference w:id="130"/>
      </w:r>
    </w:p>
    <w:p w14:paraId="166E9A62" w14:textId="2E2EFA64" w:rsidR="00E31D44" w:rsidRPr="008D0479" w:rsidRDefault="00E31D44" w:rsidP="008D0479">
      <w:pPr>
        <w:pStyle w:val="CBDNormalNumber"/>
        <w:numPr>
          <w:ilvl w:val="0"/>
          <w:numId w:val="68"/>
        </w:numPr>
      </w:pPr>
      <w:r w:rsidRPr="008D0479">
        <w:t>The Executive Secretary should promote, in collaboration with the Global Environment Facility, exchange of experience and good practice in financing for biological diversity.</w:t>
      </w:r>
      <w:r w:rsidRPr="008D0479">
        <w:rPr>
          <w:vertAlign w:val="superscript"/>
        </w:rPr>
        <w:footnoteReference w:id="131"/>
      </w:r>
    </w:p>
    <w:p w14:paraId="2C254CFD" w14:textId="342003DA" w:rsidR="00E31D44" w:rsidRPr="008D0479" w:rsidRDefault="00E31D44" w:rsidP="008D0479">
      <w:pPr>
        <w:pStyle w:val="CBDNormalNumber"/>
        <w:numPr>
          <w:ilvl w:val="0"/>
          <w:numId w:val="68"/>
        </w:numPr>
      </w:pPr>
      <w:r w:rsidRPr="008D0479">
        <w:t xml:space="preserve">The Executive Secretary and the Chief Executive Officer of the Global Environment Facility should continue to strengthen inter-secretariat cooperation and collaborate with the Independent </w:t>
      </w:r>
      <w:r w:rsidRPr="008D0479">
        <w:lastRenderedPageBreak/>
        <w:t>Evaluation Office of the Global Environment Facility and the Global Environment Facility agencies.</w:t>
      </w:r>
      <w:r w:rsidRPr="008D0479">
        <w:rPr>
          <w:vertAlign w:val="superscript"/>
        </w:rPr>
        <w:footnoteReference w:id="132"/>
      </w:r>
    </w:p>
    <w:p w14:paraId="2E073FE8" w14:textId="2BA1DA5D" w:rsidR="00E31D44" w:rsidRPr="008D0479" w:rsidRDefault="00E31D44" w:rsidP="008D0479">
      <w:pPr>
        <w:pStyle w:val="CBDNormalNumber"/>
        <w:numPr>
          <w:ilvl w:val="0"/>
          <w:numId w:val="68"/>
        </w:numPr>
        <w:rPr>
          <w:iCs/>
        </w:rPr>
      </w:pPr>
      <w:r w:rsidRPr="008D0479">
        <w:t>T</w:t>
      </w:r>
      <w:r w:rsidRPr="008D0479">
        <w:rPr>
          <w:iCs/>
        </w:rPr>
        <w:t xml:space="preserve">he </w:t>
      </w:r>
      <w:r w:rsidRPr="008D0479">
        <w:t>Executive</w:t>
      </w:r>
      <w:r w:rsidRPr="008D0479">
        <w:rPr>
          <w:iCs/>
        </w:rPr>
        <w:t xml:space="preserve"> Secretary is encouraged to work closely with the Global Environment Facility in the transition to the </w:t>
      </w:r>
      <w:r w:rsidRPr="008D0479">
        <w:t xml:space="preserve">Kunming-Montreal </w:t>
      </w:r>
      <w:r w:rsidRPr="008D0479">
        <w:rPr>
          <w:bCs/>
        </w:rPr>
        <w:t>Global Biodiversity Framework</w:t>
      </w:r>
      <w:r w:rsidRPr="008D0479">
        <w:rPr>
          <w:iCs/>
        </w:rPr>
        <w:t>.</w:t>
      </w:r>
      <w:r w:rsidRPr="008D0479">
        <w:rPr>
          <w:iCs/>
          <w:vertAlign w:val="superscript"/>
        </w:rPr>
        <w:footnoteReference w:id="133"/>
      </w:r>
    </w:p>
    <w:p w14:paraId="672B7162" w14:textId="3376737C" w:rsidR="00E31D44" w:rsidRPr="008D0479" w:rsidRDefault="00E31D44" w:rsidP="008D0479">
      <w:pPr>
        <w:pStyle w:val="CBDNormalNumber"/>
        <w:numPr>
          <w:ilvl w:val="0"/>
          <w:numId w:val="68"/>
        </w:numPr>
        <w:rPr>
          <w:i/>
        </w:rPr>
      </w:pPr>
      <w:r w:rsidRPr="008D0479">
        <w:t>T</w:t>
      </w:r>
      <w:r w:rsidRPr="008D0479">
        <w:rPr>
          <w:iCs/>
        </w:rPr>
        <w:t xml:space="preserve">he Executive Secretary is encouraged </w:t>
      </w:r>
      <w:r w:rsidRPr="008D0479">
        <w:t xml:space="preserve">to work closely with agencies associated with the Global Environment Facility in the transition to the Kunming-Montreal </w:t>
      </w:r>
      <w:r w:rsidRPr="008D0479">
        <w:rPr>
          <w:bCs/>
        </w:rPr>
        <w:t>Global Biodiversity Framework</w:t>
      </w:r>
      <w:r w:rsidRPr="008D0479">
        <w:t xml:space="preserve">, </w:t>
      </w:r>
      <w:proofErr w:type="gramStart"/>
      <w:r w:rsidRPr="008D0479">
        <w:t>taking into account</w:t>
      </w:r>
      <w:proofErr w:type="gramEnd"/>
      <w:r w:rsidRPr="008D0479">
        <w:t xml:space="preserve"> the need to promote greater synergies between the Global Environment Facility and other financing mechanisms.</w:t>
      </w:r>
      <w:r w:rsidRPr="008D0479">
        <w:rPr>
          <w:iCs/>
          <w:vertAlign w:val="superscript"/>
        </w:rPr>
        <w:t xml:space="preserve"> </w:t>
      </w:r>
      <w:r w:rsidRPr="008D0479">
        <w:rPr>
          <w:iCs/>
          <w:vertAlign w:val="superscript"/>
        </w:rPr>
        <w:footnoteReference w:id="134"/>
      </w:r>
    </w:p>
    <w:p w14:paraId="765FC235" w14:textId="25B112C7" w:rsidR="006C5C70" w:rsidRPr="008D0479" w:rsidRDefault="006C5C70" w:rsidP="008D0479">
      <w:pPr>
        <w:pStyle w:val="CBDH2"/>
        <w:rPr>
          <w:iCs/>
        </w:rPr>
      </w:pPr>
      <w:r w:rsidRPr="008D0479">
        <w:rPr>
          <w:iCs/>
        </w:rPr>
        <w:t>H.</w:t>
      </w:r>
      <w:r w:rsidRPr="008D0479">
        <w:rPr>
          <w:iCs/>
        </w:rPr>
        <w:tab/>
        <w:t>Global</w:t>
      </w:r>
      <w:r w:rsidRPr="008D0479">
        <w:t xml:space="preserve"> Biodiversity Framework Fund </w:t>
      </w:r>
    </w:p>
    <w:p w14:paraId="5F798693" w14:textId="23319851" w:rsidR="00D84C57" w:rsidRPr="008D0479" w:rsidRDefault="00D84C57" w:rsidP="008D0479">
      <w:pPr>
        <w:pStyle w:val="CBDNormalNumber"/>
        <w:numPr>
          <w:ilvl w:val="0"/>
          <w:numId w:val="68"/>
        </w:numPr>
        <w:rPr>
          <w:iCs/>
        </w:rPr>
      </w:pPr>
      <w:r w:rsidRPr="008D0479">
        <w:rPr>
          <w:iCs/>
        </w:rPr>
        <w:t xml:space="preserve">The Global Environment </w:t>
      </w:r>
      <w:r w:rsidRPr="008D0479">
        <w:t>Facility</w:t>
      </w:r>
      <w:r w:rsidRPr="008D0479">
        <w:rPr>
          <w:iCs/>
        </w:rPr>
        <w:t xml:space="preserve"> was requested to:</w:t>
      </w:r>
      <w:r w:rsidRPr="008D0479">
        <w:rPr>
          <w:rStyle w:val="FootnoteReference"/>
          <w:iCs/>
        </w:rPr>
        <w:footnoteReference w:id="135"/>
      </w:r>
    </w:p>
    <w:p w14:paraId="6C90745A" w14:textId="73983FFD" w:rsidR="006C5C70" w:rsidRPr="008D0479" w:rsidRDefault="00054952" w:rsidP="008D0479">
      <w:pPr>
        <w:numPr>
          <w:ilvl w:val="0"/>
          <w:numId w:val="11"/>
        </w:numPr>
        <w:ind w:left="567" w:firstLine="567"/>
        <w:rPr>
          <w:iCs/>
        </w:rPr>
      </w:pPr>
      <w:r w:rsidRPr="008D0479">
        <w:t>E</w:t>
      </w:r>
      <w:r w:rsidR="006C5C70" w:rsidRPr="008D0479">
        <w:t xml:space="preserve">stablish, in 2023, and until 2030 unless the Conference of the Parties decides otherwise, a special trust fund to support </w:t>
      </w:r>
      <w:r w:rsidR="006C5C70" w:rsidRPr="008D0479">
        <w:rPr>
          <w:snapToGrid w:val="0"/>
          <w:kern w:val="20"/>
        </w:rPr>
        <w:t>the implementation of the Kunming-Montreal Global Biodiversity Framework</w:t>
      </w:r>
      <w:r w:rsidR="006C5C70" w:rsidRPr="008D0479">
        <w:t xml:space="preserve">, to complement existing support and scale up financing to ensure its timely implementation, </w:t>
      </w:r>
      <w:proofErr w:type="gramStart"/>
      <w:r w:rsidR="006C5C70" w:rsidRPr="008D0479">
        <w:t>taking into account</w:t>
      </w:r>
      <w:proofErr w:type="gramEnd"/>
      <w:r w:rsidR="006C5C70" w:rsidRPr="008D0479">
        <w:t xml:space="preserve"> the need for adequacy, predictability, and timely flow of funds</w:t>
      </w:r>
      <w:r w:rsidR="00D84C57" w:rsidRPr="008D0479">
        <w:t>;</w:t>
      </w:r>
      <w:r w:rsidR="006C5C70" w:rsidRPr="008D0479">
        <w:rPr>
          <w:rStyle w:val="FootnoteReference"/>
        </w:rPr>
        <w:footnoteReference w:id="136"/>
      </w:r>
    </w:p>
    <w:p w14:paraId="7CCC9954" w14:textId="6890675A" w:rsidR="006C5C70" w:rsidRPr="008D0479" w:rsidRDefault="00D84C57" w:rsidP="008D0479">
      <w:pPr>
        <w:numPr>
          <w:ilvl w:val="0"/>
          <w:numId w:val="11"/>
        </w:numPr>
        <w:ind w:left="567" w:firstLine="567"/>
        <w:rPr>
          <w:iCs/>
        </w:rPr>
      </w:pPr>
      <w:r w:rsidRPr="008D0479">
        <w:t>Prepare a d</w:t>
      </w:r>
      <w:r w:rsidR="006C5C70" w:rsidRPr="008D0479">
        <w:t xml:space="preserve">ecision </w:t>
      </w:r>
      <w:r w:rsidRPr="008D0479">
        <w:t xml:space="preserve">to be considered </w:t>
      </w:r>
      <w:r w:rsidR="006C5C70" w:rsidRPr="008D0479">
        <w:t>by the Council</w:t>
      </w:r>
      <w:r w:rsidRPr="008D0479">
        <w:t>,</w:t>
      </w:r>
      <w:r w:rsidR="006C5C70" w:rsidRPr="008D0479">
        <w:t xml:space="preserve"> on the approval of the Global Biodiversity Framework Fund, with its own </w:t>
      </w:r>
      <w:r w:rsidR="006C5C70" w:rsidRPr="008D0479">
        <w:rPr>
          <w:snapToGrid w:val="0"/>
          <w:kern w:val="20"/>
        </w:rPr>
        <w:t>equitable</w:t>
      </w:r>
      <w:r w:rsidR="006C5C70" w:rsidRPr="008D0479">
        <w:t xml:space="preserve"> governing body, to be dedicated exclusively to supporting the implementation of the goals and targets of the </w:t>
      </w:r>
      <w:r w:rsidR="006C5C70" w:rsidRPr="008D0479">
        <w:rPr>
          <w:snapToGrid w:val="0"/>
          <w:kern w:val="22"/>
          <w:lang w:eastAsia="zh-CN"/>
        </w:rPr>
        <w:t>Kunming-Montreal Global Biodiversity Framework</w:t>
      </w:r>
      <w:r w:rsidRPr="008D0479">
        <w:rPr>
          <w:snapToGrid w:val="0"/>
          <w:kern w:val="22"/>
          <w:lang w:eastAsia="zh-CN"/>
        </w:rPr>
        <w:t>;</w:t>
      </w:r>
      <w:r w:rsidR="00054952" w:rsidRPr="008D0479">
        <w:rPr>
          <w:rStyle w:val="FootnoteReference"/>
        </w:rPr>
        <w:footnoteReference w:id="137"/>
      </w:r>
      <w:r w:rsidR="006C5C70" w:rsidRPr="008D0479">
        <w:t xml:space="preserve"> </w:t>
      </w:r>
    </w:p>
    <w:p w14:paraId="50231670" w14:textId="6BA30DC6" w:rsidR="006C5C70" w:rsidRPr="008D0479" w:rsidRDefault="00054952" w:rsidP="008D0479">
      <w:pPr>
        <w:numPr>
          <w:ilvl w:val="0"/>
          <w:numId w:val="11"/>
        </w:numPr>
        <w:ind w:left="567" w:firstLine="567"/>
        <w:rPr>
          <w:iCs/>
        </w:rPr>
      </w:pPr>
      <w:r w:rsidRPr="008D0479">
        <w:t>A</w:t>
      </w:r>
      <w:r w:rsidR="006C5C70" w:rsidRPr="008D0479">
        <w:t>dvanc</w:t>
      </w:r>
      <w:r w:rsidR="00D84C57" w:rsidRPr="008D0479">
        <w:t>e</w:t>
      </w:r>
      <w:r w:rsidR="006C5C70" w:rsidRPr="008D0479">
        <w:t xml:space="preserve"> the necessary institutional and </w:t>
      </w:r>
      <w:r w:rsidR="006C5C70" w:rsidRPr="008D0479">
        <w:rPr>
          <w:snapToGrid w:val="0"/>
          <w:kern w:val="20"/>
        </w:rPr>
        <w:t>governance</w:t>
      </w:r>
      <w:r w:rsidR="006C5C70" w:rsidRPr="008D0479">
        <w:t xml:space="preserve"> arrangements to allow for the Global Biodiversity Framework Fund to receive financing from all sources, in addition to official development assistance</w:t>
      </w:r>
      <w:r w:rsidR="00D84C57" w:rsidRPr="008D0479">
        <w:t>;</w:t>
      </w:r>
      <w:r w:rsidRPr="008D0479">
        <w:rPr>
          <w:rStyle w:val="FootnoteReference"/>
        </w:rPr>
        <w:t xml:space="preserve"> </w:t>
      </w:r>
      <w:r w:rsidRPr="008D0479">
        <w:rPr>
          <w:rStyle w:val="FootnoteReference"/>
        </w:rPr>
        <w:footnoteReference w:id="138"/>
      </w:r>
    </w:p>
    <w:p w14:paraId="6D20A851" w14:textId="5EB1CC44" w:rsidR="006C5C70" w:rsidRPr="008D0479" w:rsidRDefault="00054952" w:rsidP="008D0479">
      <w:pPr>
        <w:numPr>
          <w:ilvl w:val="0"/>
          <w:numId w:val="11"/>
        </w:numPr>
        <w:ind w:left="567" w:firstLine="567"/>
        <w:rPr>
          <w:iCs/>
        </w:rPr>
      </w:pPr>
      <w:r w:rsidRPr="008D0479">
        <w:t>D</w:t>
      </w:r>
      <w:r w:rsidR="006C5C70" w:rsidRPr="008D0479">
        <w:t xml:space="preserve">esign and implement a </w:t>
      </w:r>
      <w:r w:rsidR="006C5C70" w:rsidRPr="008D0479">
        <w:rPr>
          <w:snapToGrid w:val="0"/>
          <w:kern w:val="20"/>
        </w:rPr>
        <w:t>project</w:t>
      </w:r>
      <w:r w:rsidR="006C5C70" w:rsidRPr="008D0479">
        <w:t xml:space="preserve"> cycle with a simple and effective application and approval process, providing easy and efficient access to resources of the Global Biodiversity Framework Fund</w:t>
      </w:r>
      <w:r w:rsidR="00077D6C" w:rsidRPr="008D0479">
        <w:t>;</w:t>
      </w:r>
      <w:r w:rsidRPr="008D0479">
        <w:rPr>
          <w:rStyle w:val="FootnoteReference"/>
        </w:rPr>
        <w:t xml:space="preserve"> </w:t>
      </w:r>
      <w:r w:rsidRPr="008D0479">
        <w:rPr>
          <w:rStyle w:val="FootnoteReference"/>
        </w:rPr>
        <w:footnoteReference w:id="139"/>
      </w:r>
    </w:p>
    <w:p w14:paraId="72CBCC53" w14:textId="7A8829DF" w:rsidR="00D84C57" w:rsidRPr="008D0479" w:rsidRDefault="00D84C57" w:rsidP="008D0479">
      <w:pPr>
        <w:numPr>
          <w:ilvl w:val="0"/>
          <w:numId w:val="11"/>
        </w:numPr>
        <w:ind w:left="567" w:firstLine="567"/>
        <w:rPr>
          <w:iCs/>
        </w:rPr>
      </w:pPr>
      <w:r w:rsidRPr="008D0479">
        <w:rPr>
          <w:iCs/>
        </w:rPr>
        <w:t xml:space="preserve">Approve these </w:t>
      </w:r>
      <w:r w:rsidRPr="008D0479">
        <w:rPr>
          <w:snapToGrid w:val="0"/>
          <w:kern w:val="20"/>
        </w:rPr>
        <w:t>decisions</w:t>
      </w:r>
      <w:r w:rsidRPr="008D0479">
        <w:rPr>
          <w:iCs/>
        </w:rPr>
        <w:t xml:space="preserve"> at the next possible session of the Council and its ratification at the next possible session of the Assembly in 2023;</w:t>
      </w:r>
      <w:r w:rsidR="004C32AE" w:rsidRPr="008D0479">
        <w:rPr>
          <w:rStyle w:val="FootnoteReference"/>
          <w:iCs/>
        </w:rPr>
        <w:footnoteReference w:id="140"/>
      </w:r>
    </w:p>
    <w:p w14:paraId="6F852B10" w14:textId="32F188F9" w:rsidR="006C5C70" w:rsidRPr="008D0479" w:rsidRDefault="00054952" w:rsidP="008D0479">
      <w:pPr>
        <w:numPr>
          <w:ilvl w:val="0"/>
          <w:numId w:val="11"/>
        </w:numPr>
        <w:ind w:left="567" w:firstLine="567"/>
        <w:rPr>
          <w:iCs/>
        </w:rPr>
      </w:pPr>
      <w:r w:rsidRPr="008D0479">
        <w:t>E</w:t>
      </w:r>
      <w:r w:rsidR="006C5C70" w:rsidRPr="008D0479">
        <w:t>ngag</w:t>
      </w:r>
      <w:r w:rsidR="00D84C57" w:rsidRPr="008D0479">
        <w:t>e</w:t>
      </w:r>
      <w:r w:rsidR="006C5C70" w:rsidRPr="008D0479">
        <w:t xml:space="preserve"> all multilateral development banks and other international financial institutions in the design and operationalization of the Global Biodiversity Framework Fund, with the view of leveraging additional </w:t>
      </w:r>
      <w:r w:rsidR="006C5C70" w:rsidRPr="008D0479">
        <w:rPr>
          <w:snapToGrid w:val="0"/>
          <w:kern w:val="20"/>
        </w:rPr>
        <w:t>resources</w:t>
      </w:r>
      <w:r w:rsidR="006C5C70" w:rsidRPr="008D0479">
        <w:t xml:space="preserve"> from and for the Fund and channel them through new and existing biodiversity portfolios, which need to be aligned with the goals and targets of the Kunming-Montreal Global Biodiversity Framework</w:t>
      </w:r>
      <w:r w:rsidR="00077D6C" w:rsidRPr="008D0479">
        <w:t>;</w:t>
      </w:r>
      <w:r w:rsidRPr="008D0479">
        <w:rPr>
          <w:rStyle w:val="FootnoteReference"/>
        </w:rPr>
        <w:t xml:space="preserve"> </w:t>
      </w:r>
      <w:r w:rsidRPr="008D0479">
        <w:rPr>
          <w:rStyle w:val="FootnoteReference"/>
        </w:rPr>
        <w:footnoteReference w:id="141"/>
      </w:r>
    </w:p>
    <w:p w14:paraId="62D20011" w14:textId="7720967D" w:rsidR="006C5C70" w:rsidRPr="008D0479" w:rsidRDefault="00054952" w:rsidP="008D0479">
      <w:pPr>
        <w:numPr>
          <w:ilvl w:val="0"/>
          <w:numId w:val="11"/>
        </w:numPr>
        <w:ind w:left="567" w:firstLine="567"/>
        <w:rPr>
          <w:iCs/>
        </w:rPr>
      </w:pPr>
      <w:r w:rsidRPr="008D0479">
        <w:t>R</w:t>
      </w:r>
      <w:r w:rsidR="006C5C70" w:rsidRPr="008D0479">
        <w:t xml:space="preserve">eport on the progress in </w:t>
      </w:r>
      <w:r w:rsidR="006C5C70" w:rsidRPr="008D0479">
        <w:rPr>
          <w:snapToGrid w:val="0"/>
          <w:kern w:val="20"/>
        </w:rPr>
        <w:t>establishing</w:t>
      </w:r>
      <w:r w:rsidR="006C5C70" w:rsidRPr="008D0479">
        <w:t>, and on the operations and performance of, the Global Biodiversity Framework Fund, to future meetings of the Conference of the Parties</w:t>
      </w:r>
      <w:r w:rsidR="00077D6C" w:rsidRPr="008D0479">
        <w:t>;</w:t>
      </w:r>
      <w:r w:rsidRPr="008D0479">
        <w:rPr>
          <w:rStyle w:val="FootnoteReference"/>
        </w:rPr>
        <w:t xml:space="preserve"> </w:t>
      </w:r>
      <w:r w:rsidRPr="008D0479">
        <w:rPr>
          <w:rStyle w:val="FootnoteReference"/>
        </w:rPr>
        <w:footnoteReference w:id="142"/>
      </w:r>
    </w:p>
    <w:p w14:paraId="783C1A4A" w14:textId="2C5A0902" w:rsidR="00077D6C" w:rsidRPr="008D0479" w:rsidRDefault="00077D6C" w:rsidP="008D0479">
      <w:pPr>
        <w:pStyle w:val="CBDNormalNumber"/>
        <w:numPr>
          <w:ilvl w:val="0"/>
          <w:numId w:val="68"/>
        </w:numPr>
      </w:pPr>
      <w:r w:rsidRPr="008D0479">
        <w:t xml:space="preserve">The Conference of the </w:t>
      </w:r>
      <w:r w:rsidR="00AE53D0" w:rsidRPr="008D0479">
        <w:t>P</w:t>
      </w:r>
      <w:r w:rsidRPr="008D0479">
        <w:t>arties is to:</w:t>
      </w:r>
    </w:p>
    <w:p w14:paraId="2D5984BD" w14:textId="7976C22D" w:rsidR="006C5C70" w:rsidRPr="008D0479" w:rsidRDefault="00077D6C" w:rsidP="008D0479">
      <w:pPr>
        <w:numPr>
          <w:ilvl w:val="0"/>
          <w:numId w:val="12"/>
        </w:numPr>
        <w:ind w:left="567" w:firstLine="567"/>
        <w:rPr>
          <w:iCs/>
        </w:rPr>
      </w:pPr>
      <w:r w:rsidRPr="008D0479">
        <w:t>A</w:t>
      </w:r>
      <w:r w:rsidR="006C5C70" w:rsidRPr="008D0479">
        <w:t xml:space="preserve">ssess the progress made in establishing, and on the operations and performance of, the Global </w:t>
      </w:r>
      <w:r w:rsidR="006C5C70" w:rsidRPr="008D0479">
        <w:rPr>
          <w:snapToGrid w:val="0"/>
          <w:kern w:val="20"/>
        </w:rPr>
        <w:t>Biodiversity</w:t>
      </w:r>
      <w:r w:rsidR="006C5C70" w:rsidRPr="008D0479">
        <w:t xml:space="preserve"> Framework Fund, and to consider and adopt further guidance to the Global Environment Facility and to the </w:t>
      </w:r>
      <w:r w:rsidR="006C5C70" w:rsidRPr="008D0479">
        <w:rPr>
          <w:snapToGrid w:val="0"/>
          <w:kern w:val="20"/>
        </w:rPr>
        <w:t>governing</w:t>
      </w:r>
      <w:r w:rsidR="006C5C70" w:rsidRPr="008D0479">
        <w:t xml:space="preserve"> body referred to paragraph 21 above, on the modalities and operation of the Fund,</w:t>
      </w:r>
      <w:r w:rsidR="00345847" w:rsidRPr="008D0479">
        <w:t xml:space="preserve"> </w:t>
      </w:r>
      <w:r w:rsidR="006C5C70" w:rsidRPr="008D0479">
        <w:t>at its future meetings;</w:t>
      </w:r>
      <w:r w:rsidR="00054952" w:rsidRPr="008D0479">
        <w:rPr>
          <w:rStyle w:val="FootnoteReference"/>
        </w:rPr>
        <w:footnoteReference w:id="143"/>
      </w:r>
    </w:p>
    <w:p w14:paraId="5E46041A" w14:textId="2A92789B" w:rsidR="006C5C70" w:rsidRPr="008D0479" w:rsidRDefault="00077D6C" w:rsidP="008D0479">
      <w:pPr>
        <w:numPr>
          <w:ilvl w:val="0"/>
          <w:numId w:val="12"/>
        </w:numPr>
        <w:ind w:left="567" w:firstLine="567"/>
      </w:pPr>
      <w:r w:rsidRPr="008D0479">
        <w:lastRenderedPageBreak/>
        <w:t>U</w:t>
      </w:r>
      <w:r w:rsidR="006C5C70" w:rsidRPr="008D0479">
        <w:t xml:space="preserve">ndertake and act upon, at its eighteenth meeting, a stocktake review on the operations and performance </w:t>
      </w:r>
      <w:r w:rsidR="006C5C70" w:rsidRPr="008D0479">
        <w:rPr>
          <w:snapToGrid w:val="0"/>
          <w:kern w:val="20"/>
        </w:rPr>
        <w:t>of</w:t>
      </w:r>
      <w:r w:rsidR="006C5C70" w:rsidRPr="008D0479">
        <w:t xml:space="preserve"> the Global Biodiversity Framework Fund regarding its scale, speed, accessibility, and future arrangements.</w:t>
      </w:r>
      <w:r w:rsidR="00054952" w:rsidRPr="008D0479">
        <w:rPr>
          <w:rStyle w:val="FootnoteReference"/>
        </w:rPr>
        <w:t xml:space="preserve"> </w:t>
      </w:r>
      <w:r w:rsidR="00054952" w:rsidRPr="008D0479">
        <w:rPr>
          <w:rStyle w:val="FootnoteReference"/>
        </w:rPr>
        <w:footnoteReference w:id="144"/>
      </w:r>
    </w:p>
    <w:p w14:paraId="326B7F6C" w14:textId="29D66299" w:rsidR="00436E4D" w:rsidRPr="008D0479" w:rsidRDefault="00436E4D" w:rsidP="00FF6E76">
      <w:pPr>
        <w:rPr>
          <w:i/>
        </w:rPr>
      </w:pPr>
    </w:p>
    <w:p w14:paraId="724A638A" w14:textId="77777777" w:rsidR="002B559C" w:rsidRPr="008D0479" w:rsidRDefault="00ED3849" w:rsidP="008D0479">
      <w:pPr>
        <w:pStyle w:val="Para1"/>
        <w:jc w:val="center"/>
      </w:pPr>
      <w:r w:rsidRPr="008D0479">
        <w:t>__________</w:t>
      </w:r>
    </w:p>
    <w:sectPr w:rsidR="002B559C" w:rsidRPr="008D0479" w:rsidSect="00BC2359">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59775" w14:textId="77777777" w:rsidR="00B150FB" w:rsidRPr="00165C16" w:rsidRDefault="00B150FB" w:rsidP="00A96B21">
      <w:r w:rsidRPr="00165C16">
        <w:separator/>
      </w:r>
    </w:p>
  </w:endnote>
  <w:endnote w:type="continuationSeparator" w:id="0">
    <w:p w14:paraId="77327992" w14:textId="77777777" w:rsidR="00B150FB" w:rsidRPr="00165C16" w:rsidRDefault="00B150FB" w:rsidP="00A96B21">
      <w:r w:rsidRPr="00165C16">
        <w:continuationSeparator/>
      </w:r>
    </w:p>
  </w:endnote>
  <w:endnote w:type="continuationNotice" w:id="1">
    <w:p w14:paraId="4160A569" w14:textId="77777777" w:rsidR="00B150FB" w:rsidRPr="00165C16" w:rsidRDefault="00B15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0CCE16C" w14:textId="77777777" w:rsidR="00A152D3" w:rsidRPr="00165C16" w:rsidRDefault="00A152D3">
            <w:pPr>
              <w:pStyle w:val="Footer"/>
            </w:pPr>
            <w:r w:rsidRPr="00165C16">
              <w:rPr>
                <w:szCs w:val="20"/>
              </w:rPr>
              <w:fldChar w:fldCharType="begin"/>
            </w:r>
            <w:r w:rsidRPr="00165C16">
              <w:rPr>
                <w:szCs w:val="20"/>
              </w:rPr>
              <w:instrText xml:space="preserve"> PAGE </w:instrText>
            </w:r>
            <w:r w:rsidRPr="00165C16">
              <w:rPr>
                <w:szCs w:val="20"/>
              </w:rPr>
              <w:fldChar w:fldCharType="separate"/>
            </w:r>
            <w:r w:rsidRPr="00165C16">
              <w:rPr>
                <w:noProof/>
                <w:szCs w:val="20"/>
              </w:rPr>
              <w:t>2</w:t>
            </w:r>
            <w:r w:rsidRPr="00165C16">
              <w:rPr>
                <w:szCs w:val="20"/>
              </w:rPr>
              <w:fldChar w:fldCharType="end"/>
            </w:r>
            <w:r w:rsidRPr="00165C16">
              <w:rPr>
                <w:szCs w:val="20"/>
              </w:rPr>
              <w:t>/</w:t>
            </w:r>
            <w:r w:rsidRPr="00165C16">
              <w:rPr>
                <w:szCs w:val="20"/>
              </w:rPr>
              <w:fldChar w:fldCharType="begin"/>
            </w:r>
            <w:r w:rsidRPr="00165C16">
              <w:rPr>
                <w:szCs w:val="20"/>
              </w:rPr>
              <w:instrText xml:space="preserve"> NUMPAGES  </w:instrText>
            </w:r>
            <w:r w:rsidRPr="00165C16">
              <w:rPr>
                <w:szCs w:val="20"/>
              </w:rPr>
              <w:fldChar w:fldCharType="separate"/>
            </w:r>
            <w:r w:rsidRPr="00165C16">
              <w:rPr>
                <w:noProof/>
                <w:szCs w:val="20"/>
              </w:rPr>
              <w:t>2</w:t>
            </w:r>
            <w:r w:rsidRPr="00165C1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3E9DCD" w14:textId="77777777" w:rsidR="00A152D3" w:rsidRPr="00165C16" w:rsidRDefault="00A152D3" w:rsidP="002B559C">
            <w:pPr>
              <w:pStyle w:val="Footer"/>
              <w:jc w:val="right"/>
            </w:pPr>
            <w:r w:rsidRPr="00165C16">
              <w:rPr>
                <w:szCs w:val="20"/>
              </w:rPr>
              <w:fldChar w:fldCharType="begin"/>
            </w:r>
            <w:r w:rsidRPr="00165C16">
              <w:rPr>
                <w:szCs w:val="20"/>
              </w:rPr>
              <w:instrText xml:space="preserve"> PAGE </w:instrText>
            </w:r>
            <w:r w:rsidRPr="00165C16">
              <w:rPr>
                <w:szCs w:val="20"/>
              </w:rPr>
              <w:fldChar w:fldCharType="separate"/>
            </w:r>
            <w:r w:rsidRPr="00165C16">
              <w:rPr>
                <w:noProof/>
                <w:szCs w:val="20"/>
              </w:rPr>
              <w:t>2</w:t>
            </w:r>
            <w:r w:rsidRPr="00165C16">
              <w:rPr>
                <w:szCs w:val="20"/>
              </w:rPr>
              <w:fldChar w:fldCharType="end"/>
            </w:r>
            <w:r w:rsidRPr="00165C16">
              <w:rPr>
                <w:szCs w:val="20"/>
              </w:rPr>
              <w:t>/</w:t>
            </w:r>
            <w:r w:rsidRPr="00165C16">
              <w:rPr>
                <w:szCs w:val="20"/>
              </w:rPr>
              <w:fldChar w:fldCharType="begin"/>
            </w:r>
            <w:r w:rsidRPr="00165C16">
              <w:rPr>
                <w:szCs w:val="20"/>
              </w:rPr>
              <w:instrText xml:space="preserve"> NUMPAGES  </w:instrText>
            </w:r>
            <w:r w:rsidRPr="00165C16">
              <w:rPr>
                <w:szCs w:val="20"/>
              </w:rPr>
              <w:fldChar w:fldCharType="separate"/>
            </w:r>
            <w:r w:rsidRPr="00165C16">
              <w:rPr>
                <w:noProof/>
                <w:szCs w:val="20"/>
              </w:rPr>
              <w:t>2</w:t>
            </w:r>
            <w:r w:rsidRPr="00165C16">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E593C8" w14:textId="77777777" w:rsidR="00B150FB" w:rsidRPr="00165C16" w:rsidRDefault="00B150FB" w:rsidP="00A96B21">
      <w:r w:rsidRPr="00165C16">
        <w:separator/>
      </w:r>
    </w:p>
  </w:footnote>
  <w:footnote w:type="continuationSeparator" w:id="0">
    <w:p w14:paraId="377059FD" w14:textId="77777777" w:rsidR="00B150FB" w:rsidRPr="00165C16" w:rsidRDefault="00B150FB" w:rsidP="00A96B21">
      <w:r w:rsidRPr="00165C16">
        <w:continuationSeparator/>
      </w:r>
    </w:p>
  </w:footnote>
  <w:footnote w:type="continuationNotice" w:id="1">
    <w:p w14:paraId="63B6E398" w14:textId="77777777" w:rsidR="00B150FB" w:rsidRPr="00165C16" w:rsidRDefault="00B150FB"/>
  </w:footnote>
  <w:footnote w:id="2">
    <w:p w14:paraId="4285CE98" w14:textId="77777777" w:rsidR="00A152D3" w:rsidRPr="008D0479" w:rsidRDefault="00A152D3" w:rsidP="00D71FFB">
      <w:pPr>
        <w:pStyle w:val="Footnote"/>
      </w:pPr>
      <w:r w:rsidRPr="008D0479">
        <w:rPr>
          <w:rStyle w:val="FootnoteReference"/>
        </w:rPr>
        <w:t>*</w:t>
      </w:r>
      <w:r w:rsidRPr="008D0479">
        <w:t xml:space="preserve"> CBD/COP/16/1.</w:t>
      </w:r>
    </w:p>
  </w:footnote>
  <w:footnote w:id="3">
    <w:p w14:paraId="1D2E0A5D" w14:textId="78F7B771" w:rsidR="00DF0F7C" w:rsidRPr="008D0479" w:rsidRDefault="00DF0F7C">
      <w:pPr>
        <w:pStyle w:val="FootnoteText"/>
        <w:rPr>
          <w:lang w:val="en-US"/>
        </w:rPr>
      </w:pPr>
      <w:r w:rsidRPr="008D0479">
        <w:rPr>
          <w:rStyle w:val="FootnoteReference"/>
        </w:rPr>
        <w:t>**</w:t>
      </w:r>
      <w:r w:rsidRPr="008D0479">
        <w:t xml:space="preserve"> </w:t>
      </w:r>
      <w:r w:rsidRPr="008D0479">
        <w:rPr>
          <w:lang w:val="en-US"/>
        </w:rPr>
        <w:t>The present document is being issued without formal editing.</w:t>
      </w:r>
    </w:p>
  </w:footnote>
  <w:footnote w:id="4">
    <w:p w14:paraId="415C0A52" w14:textId="1BD2742F"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864C6" w:rsidRPr="008D0479">
        <w:rPr>
          <w:snapToGrid w:val="0"/>
          <w:kern w:val="18"/>
          <w:szCs w:val="18"/>
        </w:rPr>
        <w:t>.</w:t>
      </w:r>
      <w:r w:rsidRPr="008D0479">
        <w:rPr>
          <w:snapToGrid w:val="0"/>
          <w:kern w:val="18"/>
          <w:szCs w:val="18"/>
        </w:rPr>
        <w:t xml:space="preserve"> 52</w:t>
      </w:r>
      <w:r w:rsidR="004864C6" w:rsidRPr="008D0479">
        <w:rPr>
          <w:snapToGrid w:val="0"/>
          <w:kern w:val="18"/>
          <w:szCs w:val="18"/>
        </w:rPr>
        <w:t>.</w:t>
      </w:r>
    </w:p>
  </w:footnote>
  <w:footnote w:id="5">
    <w:p w14:paraId="0304BBF7" w14:textId="24D2FC5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Adapted from decisions XIII/21, annex II, para</w:t>
      </w:r>
      <w:r w:rsidR="00165C16" w:rsidRPr="008D0479">
        <w:rPr>
          <w:snapToGrid w:val="0"/>
          <w:kern w:val="18"/>
          <w:szCs w:val="18"/>
        </w:rPr>
        <w:t>.</w:t>
      </w:r>
      <w:r w:rsidRPr="008D0479">
        <w:rPr>
          <w:snapToGrid w:val="0"/>
          <w:kern w:val="18"/>
          <w:szCs w:val="18"/>
        </w:rPr>
        <w:t xml:space="preserve"> 53, and 14/23, para</w:t>
      </w:r>
      <w:r w:rsidR="00165C16" w:rsidRPr="008D0479">
        <w:rPr>
          <w:snapToGrid w:val="0"/>
          <w:kern w:val="18"/>
          <w:szCs w:val="18"/>
        </w:rPr>
        <w:t>.</w:t>
      </w:r>
      <w:r w:rsidRPr="008D0479">
        <w:rPr>
          <w:snapToGrid w:val="0"/>
          <w:kern w:val="18"/>
          <w:szCs w:val="18"/>
        </w:rPr>
        <w:t xml:space="preserve"> 2</w:t>
      </w:r>
      <w:r w:rsidR="00165C16" w:rsidRPr="008D0479">
        <w:rPr>
          <w:snapToGrid w:val="0"/>
          <w:kern w:val="18"/>
          <w:szCs w:val="18"/>
        </w:rPr>
        <w:t>.</w:t>
      </w:r>
    </w:p>
  </w:footnote>
  <w:footnote w:id="6">
    <w:p w14:paraId="67ABB3D7" w14:textId="4D2778BC" w:rsidR="00A152D3" w:rsidRPr="008D0479" w:rsidRDefault="00A152D3" w:rsidP="00E31D44">
      <w:pPr>
        <w:pStyle w:val="FootnoteText"/>
        <w:suppressLineNumbers/>
        <w:tabs>
          <w:tab w:val="left" w:pos="7118"/>
        </w:tab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1</w:t>
      </w:r>
      <w:r w:rsidR="00165C16" w:rsidRPr="008D0479">
        <w:rPr>
          <w:snapToGrid w:val="0"/>
          <w:kern w:val="18"/>
          <w:szCs w:val="18"/>
        </w:rPr>
        <w:t>.</w:t>
      </w:r>
    </w:p>
  </w:footnote>
  <w:footnote w:id="7">
    <w:p w14:paraId="411F3964" w14:textId="7E4FAA0C"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2</w:t>
      </w:r>
      <w:r w:rsidR="00165C16" w:rsidRPr="008D0479">
        <w:rPr>
          <w:snapToGrid w:val="0"/>
          <w:kern w:val="18"/>
          <w:szCs w:val="18"/>
        </w:rPr>
        <w:t>.</w:t>
      </w:r>
    </w:p>
  </w:footnote>
  <w:footnote w:id="8">
    <w:p w14:paraId="65E98C97" w14:textId="513B81D3"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3</w:t>
      </w:r>
      <w:r w:rsidR="00165C16" w:rsidRPr="008D0479">
        <w:rPr>
          <w:snapToGrid w:val="0"/>
          <w:kern w:val="18"/>
          <w:szCs w:val="18"/>
        </w:rPr>
        <w:t>.</w:t>
      </w:r>
    </w:p>
  </w:footnote>
  <w:footnote w:id="9">
    <w:p w14:paraId="4BC35FD6" w14:textId="1ECCEDBC" w:rsidR="00A152D3" w:rsidRPr="008D0479" w:rsidRDefault="00A152D3" w:rsidP="00E31D44">
      <w:pPr>
        <w:pStyle w:val="FootnoteText"/>
        <w:suppressLineNumbers/>
        <w:suppressAutoHyphens/>
        <w:adjustRightInd w:val="0"/>
        <w:snapToGrid w:val="0"/>
        <w:rPr>
          <w:szCs w:val="24"/>
        </w:rPr>
      </w:pPr>
      <w:r w:rsidRPr="008D0479">
        <w:rPr>
          <w:rStyle w:val="FootnoteReference"/>
          <w:rFonts w:eastAsiaTheme="majorEastAsia"/>
        </w:rPr>
        <w:footnoteRef/>
      </w:r>
      <w:r w:rsidRPr="008D0479">
        <w:t xml:space="preserve"> </w:t>
      </w:r>
      <w:r w:rsidRPr="008D0479">
        <w:rPr>
          <w:snapToGrid w:val="0"/>
          <w:kern w:val="18"/>
          <w:szCs w:val="18"/>
        </w:rPr>
        <w:t>Decisions XIII/21, para</w:t>
      </w:r>
      <w:r w:rsidR="00165C16" w:rsidRPr="008D0479">
        <w:rPr>
          <w:snapToGrid w:val="0"/>
          <w:kern w:val="18"/>
          <w:szCs w:val="18"/>
        </w:rPr>
        <w:t>.</w:t>
      </w:r>
      <w:r w:rsidRPr="008D0479">
        <w:rPr>
          <w:snapToGrid w:val="0"/>
          <w:kern w:val="18"/>
          <w:szCs w:val="18"/>
        </w:rPr>
        <w:t xml:space="preserve"> 24 and </w:t>
      </w:r>
      <w:r w:rsidRPr="008D0479">
        <w:t>XIII/5, para</w:t>
      </w:r>
      <w:r w:rsidR="00165C16" w:rsidRPr="008D0479">
        <w:t>.</w:t>
      </w:r>
      <w:r w:rsidRPr="008D0479">
        <w:t xml:space="preserve"> 4</w:t>
      </w:r>
      <w:r w:rsidR="00165C16" w:rsidRPr="008D0479">
        <w:t>.</w:t>
      </w:r>
    </w:p>
  </w:footnote>
  <w:footnote w:id="10">
    <w:p w14:paraId="21406C8F" w14:textId="36C919BE"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4.</w:t>
      </w:r>
    </w:p>
  </w:footnote>
  <w:footnote w:id="11">
    <w:p w14:paraId="3F917F4B" w14:textId="5BED5CB2"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Updated from decision XIII/21, annex II, para</w:t>
      </w:r>
      <w:r w:rsidR="00165C16" w:rsidRPr="008D0479">
        <w:rPr>
          <w:snapToGrid w:val="0"/>
          <w:kern w:val="18"/>
          <w:szCs w:val="18"/>
        </w:rPr>
        <w:t>.</w:t>
      </w:r>
      <w:r w:rsidRPr="008D0479">
        <w:rPr>
          <w:snapToGrid w:val="0"/>
          <w:kern w:val="18"/>
          <w:szCs w:val="18"/>
        </w:rPr>
        <w:t xml:space="preserve"> 5.</w:t>
      </w:r>
    </w:p>
  </w:footnote>
  <w:footnote w:id="12">
    <w:p w14:paraId="4BCD35D0" w14:textId="3C0A0E3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6.</w:t>
      </w:r>
    </w:p>
  </w:footnote>
  <w:footnote w:id="13">
    <w:p w14:paraId="1A96570A" w14:textId="68D0A0AF"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7</w:t>
      </w:r>
      <w:r w:rsidR="00165C16" w:rsidRPr="008D0479">
        <w:rPr>
          <w:snapToGrid w:val="0"/>
          <w:kern w:val="18"/>
          <w:szCs w:val="18"/>
        </w:rPr>
        <w:t>.</w:t>
      </w:r>
    </w:p>
  </w:footnote>
  <w:footnote w:id="14">
    <w:p w14:paraId="1495D262" w14:textId="26B13CB5"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 xml:space="preserve">. </w:t>
      </w:r>
      <w:r w:rsidRPr="008D0479">
        <w:rPr>
          <w:snapToGrid w:val="0"/>
          <w:kern w:val="18"/>
          <w:szCs w:val="18"/>
        </w:rPr>
        <w:t>8</w:t>
      </w:r>
      <w:r w:rsidR="00165C16" w:rsidRPr="008D0479">
        <w:rPr>
          <w:snapToGrid w:val="0"/>
          <w:kern w:val="18"/>
          <w:szCs w:val="18"/>
        </w:rPr>
        <w:t>.</w:t>
      </w:r>
    </w:p>
  </w:footnote>
  <w:footnote w:id="15">
    <w:p w14:paraId="52B4B279" w14:textId="7872AB24"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9</w:t>
      </w:r>
      <w:r w:rsidR="00165C16" w:rsidRPr="008D0479">
        <w:rPr>
          <w:snapToGrid w:val="0"/>
          <w:kern w:val="18"/>
          <w:szCs w:val="18"/>
        </w:rPr>
        <w:t>.</w:t>
      </w:r>
    </w:p>
  </w:footnote>
  <w:footnote w:id="16">
    <w:p w14:paraId="792FA09F" w14:textId="621C778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165C16" w:rsidRPr="008D0479">
        <w:rPr>
          <w:snapToGrid w:val="0"/>
          <w:kern w:val="18"/>
          <w:szCs w:val="18"/>
        </w:rPr>
        <w:t>.</w:t>
      </w:r>
      <w:r w:rsidRPr="008D0479">
        <w:rPr>
          <w:snapToGrid w:val="0"/>
          <w:kern w:val="18"/>
          <w:szCs w:val="18"/>
        </w:rPr>
        <w:t xml:space="preserve"> 10</w:t>
      </w:r>
      <w:r w:rsidR="00165C16" w:rsidRPr="008D0479">
        <w:rPr>
          <w:snapToGrid w:val="0"/>
          <w:kern w:val="18"/>
          <w:szCs w:val="18"/>
        </w:rPr>
        <w:t>.</w:t>
      </w:r>
    </w:p>
  </w:footnote>
  <w:footnote w:id="17">
    <w:p w14:paraId="3331FDB5" w14:textId="7922E5E3" w:rsidR="00A152D3" w:rsidRPr="008D0479" w:rsidRDefault="00A152D3" w:rsidP="00E31D44">
      <w:pPr>
        <w:pStyle w:val="FootnoteText"/>
        <w:suppressLineNumbers/>
        <w:suppressAutoHyphens/>
        <w:adjustRightInd w:val="0"/>
        <w:snapToGrid w:val="0"/>
        <w:rPr>
          <w:szCs w:val="24"/>
        </w:rPr>
      </w:pPr>
      <w:r w:rsidRPr="008D0479">
        <w:rPr>
          <w:rStyle w:val="FootnoteReference"/>
          <w:rFonts w:eastAsiaTheme="majorEastAsia"/>
        </w:rPr>
        <w:footnoteRef/>
      </w:r>
      <w:r w:rsidRPr="008D0479">
        <w:t xml:space="preserve"> Decision 14/6, </w:t>
      </w:r>
      <w:r w:rsidRPr="008D0479">
        <w:rPr>
          <w:snapToGrid w:val="0"/>
          <w:kern w:val="18"/>
          <w:szCs w:val="18"/>
        </w:rPr>
        <w:t>para</w:t>
      </w:r>
      <w:r w:rsidR="00165C16" w:rsidRPr="008D0479">
        <w:rPr>
          <w:snapToGrid w:val="0"/>
          <w:kern w:val="18"/>
          <w:szCs w:val="18"/>
        </w:rPr>
        <w:t>.</w:t>
      </w:r>
      <w:r w:rsidRPr="008D0479">
        <w:t xml:space="preserve"> 7</w:t>
      </w:r>
      <w:r w:rsidR="00165C16" w:rsidRPr="008D0479">
        <w:t>.</w:t>
      </w:r>
    </w:p>
  </w:footnote>
  <w:footnote w:id="18">
    <w:p w14:paraId="557A625C" w14:textId="4ADA1FDD" w:rsidR="00A152D3" w:rsidRPr="008D0479" w:rsidRDefault="00A152D3">
      <w:pPr>
        <w:pStyle w:val="FootnoteText"/>
      </w:pPr>
      <w:r w:rsidRPr="008D0479">
        <w:rPr>
          <w:rStyle w:val="FootnoteReference"/>
        </w:rPr>
        <w:footnoteRef/>
      </w:r>
      <w:r w:rsidRPr="008D0479">
        <w:t xml:space="preserve"> Decision 15/15, annex II B, para</w:t>
      </w:r>
      <w:r w:rsidR="00165C16" w:rsidRPr="008D0479">
        <w:t>.</w:t>
      </w:r>
      <w:r w:rsidRPr="008D0479">
        <w:t xml:space="preserve"> 2</w:t>
      </w:r>
      <w:r w:rsidR="00165C16" w:rsidRPr="008D0479">
        <w:t>.</w:t>
      </w:r>
    </w:p>
  </w:footnote>
  <w:footnote w:id="19">
    <w:p w14:paraId="3283C742" w14:textId="2D05386E" w:rsidR="00A152D3" w:rsidRPr="008D0479" w:rsidRDefault="00A152D3">
      <w:pPr>
        <w:pStyle w:val="FootnoteText"/>
      </w:pPr>
      <w:r w:rsidRPr="008D0479">
        <w:rPr>
          <w:rStyle w:val="FootnoteReference"/>
        </w:rPr>
        <w:footnoteRef/>
      </w:r>
      <w:r w:rsidRPr="008D0479">
        <w:t xml:space="preserve"> Decision 15/15, annex II B, para</w:t>
      </w:r>
      <w:r w:rsidR="00165C16" w:rsidRPr="008D0479">
        <w:t>.</w:t>
      </w:r>
      <w:r w:rsidRPr="008D0479">
        <w:t xml:space="preserve"> 3</w:t>
      </w:r>
      <w:r w:rsidR="00165C16" w:rsidRPr="008D0479">
        <w:t>.</w:t>
      </w:r>
    </w:p>
  </w:footnote>
  <w:footnote w:id="20">
    <w:p w14:paraId="6E5A3118" w14:textId="3C5290F4" w:rsidR="00A152D3" w:rsidRPr="008D0479" w:rsidRDefault="00A152D3">
      <w:pPr>
        <w:pStyle w:val="FootnoteText"/>
      </w:pPr>
      <w:r w:rsidRPr="008D0479">
        <w:rPr>
          <w:rStyle w:val="FootnoteReference"/>
        </w:rPr>
        <w:footnoteRef/>
      </w:r>
      <w:r w:rsidRPr="008D0479">
        <w:t xml:space="preserve"> Decision 15/15, annex II B, para</w:t>
      </w:r>
      <w:r w:rsidR="00165C16" w:rsidRPr="008D0479">
        <w:t>.</w:t>
      </w:r>
      <w:r w:rsidRPr="008D0479">
        <w:t xml:space="preserve"> 5</w:t>
      </w:r>
      <w:r w:rsidR="00165C16" w:rsidRPr="008D0479">
        <w:t>.</w:t>
      </w:r>
    </w:p>
  </w:footnote>
  <w:footnote w:id="21">
    <w:p w14:paraId="1FDECBAB" w14:textId="468FB4EF"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Updated from decision XIII/21, annex II, para</w:t>
      </w:r>
      <w:r w:rsidR="00165C16" w:rsidRPr="008D0479">
        <w:rPr>
          <w:snapToGrid w:val="0"/>
          <w:kern w:val="18"/>
          <w:szCs w:val="18"/>
        </w:rPr>
        <w:t>.</w:t>
      </w:r>
      <w:r w:rsidRPr="008D0479">
        <w:rPr>
          <w:snapToGrid w:val="0"/>
          <w:kern w:val="18"/>
          <w:szCs w:val="18"/>
        </w:rPr>
        <w:t xml:space="preserve"> 11</w:t>
      </w:r>
      <w:r w:rsidR="00165C16" w:rsidRPr="008D0479">
        <w:rPr>
          <w:snapToGrid w:val="0"/>
          <w:kern w:val="18"/>
          <w:szCs w:val="18"/>
        </w:rPr>
        <w:t>.</w:t>
      </w:r>
    </w:p>
  </w:footnote>
  <w:footnote w:id="22">
    <w:p w14:paraId="41381A77" w14:textId="01C52A8B"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AA140B" w:rsidRPr="008D0479">
        <w:rPr>
          <w:snapToGrid w:val="0"/>
          <w:kern w:val="18"/>
          <w:szCs w:val="18"/>
        </w:rPr>
        <w:t>s</w:t>
      </w:r>
      <w:r w:rsidRPr="008D0479">
        <w:rPr>
          <w:snapToGrid w:val="0"/>
          <w:kern w:val="18"/>
          <w:szCs w:val="18"/>
        </w:rPr>
        <w:t xml:space="preserve"> XIII/21, annex II, para</w:t>
      </w:r>
      <w:r w:rsidR="00165C16" w:rsidRPr="008D0479">
        <w:rPr>
          <w:snapToGrid w:val="0"/>
          <w:kern w:val="18"/>
          <w:szCs w:val="18"/>
        </w:rPr>
        <w:t>.</w:t>
      </w:r>
      <w:r w:rsidRPr="008D0479">
        <w:rPr>
          <w:snapToGrid w:val="0"/>
          <w:kern w:val="18"/>
          <w:szCs w:val="18"/>
        </w:rPr>
        <w:t xml:space="preserve"> 12</w:t>
      </w:r>
      <w:r w:rsidR="00AA140B" w:rsidRPr="008D0479">
        <w:rPr>
          <w:snapToGrid w:val="0"/>
          <w:kern w:val="18"/>
          <w:szCs w:val="18"/>
        </w:rPr>
        <w:t>,</w:t>
      </w:r>
      <w:r w:rsidRPr="008D0479">
        <w:rPr>
          <w:snapToGrid w:val="0"/>
          <w:kern w:val="18"/>
          <w:szCs w:val="18"/>
        </w:rPr>
        <w:t xml:space="preserve"> and 15/15, annex II B, para. 1</w:t>
      </w:r>
      <w:r w:rsidR="00165C16" w:rsidRPr="008D0479">
        <w:rPr>
          <w:snapToGrid w:val="0"/>
          <w:kern w:val="18"/>
          <w:szCs w:val="18"/>
        </w:rPr>
        <w:t>.</w:t>
      </w:r>
    </w:p>
  </w:footnote>
  <w:footnote w:id="23">
    <w:p w14:paraId="205C1BAD" w14:textId="4A68ACCB" w:rsidR="00A152D3" w:rsidRPr="008D0479" w:rsidRDefault="00A152D3" w:rsidP="00E31D44">
      <w:pPr>
        <w:pStyle w:val="FootnoteText"/>
        <w:suppressLineNumbers/>
        <w:suppressAutoHyphens/>
        <w:adjustRightInd w:val="0"/>
        <w:snapToGrid w:val="0"/>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w:t>
      </w:r>
      <w:r w:rsidR="00F25B40" w:rsidRPr="008D0479">
        <w:rPr>
          <w:snapToGrid w:val="0"/>
          <w:kern w:val="18"/>
          <w:szCs w:val="18"/>
        </w:rPr>
        <w:t>.</w:t>
      </w:r>
      <w:r w:rsidRPr="008D0479">
        <w:rPr>
          <w:snapToGrid w:val="0"/>
          <w:kern w:val="18"/>
          <w:szCs w:val="18"/>
        </w:rPr>
        <w:t xml:space="preserve"> 25 and </w:t>
      </w:r>
      <w:r w:rsidRPr="008D0479">
        <w:t>XIII/1, para</w:t>
      </w:r>
      <w:r w:rsidR="00F25B40" w:rsidRPr="008D0479">
        <w:t>.</w:t>
      </w:r>
      <w:r w:rsidRPr="008D0479">
        <w:t xml:space="preserve"> 20</w:t>
      </w:r>
      <w:r w:rsidR="00F25B40" w:rsidRPr="008D0479">
        <w:t>.</w:t>
      </w:r>
    </w:p>
  </w:footnote>
  <w:footnote w:id="24">
    <w:p w14:paraId="089E8A87" w14:textId="2CB9BF1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F25B40" w:rsidRPr="008D0479">
        <w:rPr>
          <w:snapToGrid w:val="0"/>
          <w:kern w:val="18"/>
          <w:szCs w:val="18"/>
        </w:rPr>
        <w:t>.</w:t>
      </w:r>
      <w:r w:rsidRPr="008D0479">
        <w:rPr>
          <w:snapToGrid w:val="0"/>
          <w:kern w:val="18"/>
          <w:szCs w:val="18"/>
        </w:rPr>
        <w:t xml:space="preserve"> 13</w:t>
      </w:r>
      <w:r w:rsidR="00F25B40" w:rsidRPr="008D0479">
        <w:rPr>
          <w:snapToGrid w:val="0"/>
          <w:kern w:val="18"/>
          <w:szCs w:val="18"/>
        </w:rPr>
        <w:t>.</w:t>
      </w:r>
    </w:p>
  </w:footnote>
  <w:footnote w:id="25">
    <w:p w14:paraId="453505E1" w14:textId="3D6FA342" w:rsidR="00A152D3" w:rsidRPr="008D0479" w:rsidRDefault="00A152D3" w:rsidP="00E31D44">
      <w:pPr>
        <w:pStyle w:val="FootnoteText"/>
        <w:suppressLineNumbers/>
        <w:suppressAutoHyphens/>
        <w:adjustRightInd w:val="0"/>
        <w:snapToGrid w:val="0"/>
        <w:rPr>
          <w:szCs w:val="24"/>
        </w:rPr>
      </w:pPr>
      <w:r w:rsidRPr="008D0479">
        <w:rPr>
          <w:rStyle w:val="FootnoteReference"/>
          <w:rFonts w:eastAsiaTheme="majorEastAsia"/>
        </w:rPr>
        <w:footnoteRef/>
      </w:r>
      <w:r w:rsidRPr="008D0479">
        <w:t xml:space="preserve"> </w:t>
      </w:r>
      <w:r w:rsidRPr="008D0479">
        <w:rPr>
          <w:snapToGrid w:val="0"/>
          <w:kern w:val="18"/>
          <w:szCs w:val="18"/>
        </w:rPr>
        <w:t>Decision</w:t>
      </w:r>
      <w:r w:rsidR="00F25B40" w:rsidRPr="008D0479">
        <w:rPr>
          <w:snapToGrid w:val="0"/>
          <w:kern w:val="18"/>
          <w:szCs w:val="18"/>
        </w:rPr>
        <w:t>s</w:t>
      </w:r>
      <w:r w:rsidRPr="008D0479">
        <w:rPr>
          <w:snapToGrid w:val="0"/>
          <w:kern w:val="18"/>
          <w:szCs w:val="18"/>
        </w:rPr>
        <w:t xml:space="preserve"> XIII/21, para</w:t>
      </w:r>
      <w:r w:rsidR="00F25B40" w:rsidRPr="008D0479">
        <w:rPr>
          <w:snapToGrid w:val="0"/>
          <w:kern w:val="18"/>
          <w:szCs w:val="18"/>
        </w:rPr>
        <w:t>.</w:t>
      </w:r>
      <w:r w:rsidRPr="008D0479">
        <w:rPr>
          <w:snapToGrid w:val="0"/>
          <w:kern w:val="18"/>
          <w:szCs w:val="18"/>
        </w:rPr>
        <w:t xml:space="preserve"> 28, and </w:t>
      </w:r>
      <w:r w:rsidRPr="008D0479">
        <w:t>XIII/3, para</w:t>
      </w:r>
      <w:r w:rsidR="00F25B40" w:rsidRPr="008D0479">
        <w:t>.</w:t>
      </w:r>
      <w:r w:rsidRPr="008D0479">
        <w:t xml:space="preserve"> 112</w:t>
      </w:r>
      <w:r w:rsidR="00F25B40" w:rsidRPr="008D0479">
        <w:t>.</w:t>
      </w:r>
    </w:p>
  </w:footnote>
  <w:footnote w:id="26">
    <w:p w14:paraId="1E2F625B" w14:textId="7ED6DCD6"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F25B40" w:rsidRPr="008D0479">
        <w:rPr>
          <w:snapToGrid w:val="0"/>
          <w:kern w:val="18"/>
          <w:szCs w:val="18"/>
        </w:rPr>
        <w:t>.</w:t>
      </w:r>
      <w:r w:rsidRPr="008D0479">
        <w:rPr>
          <w:snapToGrid w:val="0"/>
          <w:kern w:val="18"/>
          <w:szCs w:val="18"/>
        </w:rPr>
        <w:t xml:space="preserve"> 14</w:t>
      </w:r>
      <w:r w:rsidR="00F25B40" w:rsidRPr="008D0479">
        <w:rPr>
          <w:snapToGrid w:val="0"/>
          <w:kern w:val="18"/>
          <w:szCs w:val="18"/>
        </w:rPr>
        <w:t>.</w:t>
      </w:r>
    </w:p>
  </w:footnote>
  <w:footnote w:id="27">
    <w:p w14:paraId="3A99E241" w14:textId="2A6415AB" w:rsidR="00A152D3" w:rsidRPr="008D0479" w:rsidRDefault="00A152D3">
      <w:pPr>
        <w:pStyle w:val="FootnoteText"/>
      </w:pPr>
      <w:r w:rsidRPr="008D0479">
        <w:rPr>
          <w:rStyle w:val="FootnoteReference"/>
        </w:rPr>
        <w:footnoteRef/>
      </w:r>
      <w:r w:rsidRPr="008D0479">
        <w:t xml:space="preserve"> Decision 15/15, annex II B, para. 6</w:t>
      </w:r>
    </w:p>
  </w:footnote>
  <w:footnote w:id="28">
    <w:p w14:paraId="1ADCF9D4" w14:textId="3487CA8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F25B40" w:rsidRPr="008D0479">
        <w:rPr>
          <w:snapToGrid w:val="0"/>
          <w:kern w:val="18"/>
          <w:szCs w:val="18"/>
        </w:rPr>
        <w:t>s</w:t>
      </w:r>
      <w:r w:rsidRPr="008D0479">
        <w:rPr>
          <w:snapToGrid w:val="0"/>
          <w:kern w:val="18"/>
          <w:szCs w:val="18"/>
        </w:rPr>
        <w:t xml:space="preserve"> XIII/21, annex II, para</w:t>
      </w:r>
      <w:r w:rsidR="00F25B40" w:rsidRPr="008D0479">
        <w:rPr>
          <w:snapToGrid w:val="0"/>
          <w:kern w:val="18"/>
          <w:szCs w:val="18"/>
        </w:rPr>
        <w:t>.</w:t>
      </w:r>
      <w:r w:rsidRPr="008D0479">
        <w:rPr>
          <w:snapToGrid w:val="0"/>
          <w:kern w:val="18"/>
          <w:szCs w:val="18"/>
        </w:rPr>
        <w:t xml:space="preserve"> 15; XIII/21, para</w:t>
      </w:r>
      <w:r w:rsidR="00F25B40" w:rsidRPr="008D0479">
        <w:rPr>
          <w:snapToGrid w:val="0"/>
          <w:kern w:val="18"/>
          <w:szCs w:val="18"/>
        </w:rPr>
        <w:t>.</w:t>
      </w:r>
      <w:r w:rsidRPr="008D0479">
        <w:rPr>
          <w:snapToGrid w:val="0"/>
          <w:kern w:val="18"/>
          <w:szCs w:val="18"/>
        </w:rPr>
        <w:t xml:space="preserve"> 26, and </w:t>
      </w:r>
      <w:r w:rsidRPr="008D0479">
        <w:t>XIII/2, para</w:t>
      </w:r>
      <w:r w:rsidR="00F25B40" w:rsidRPr="008D0479">
        <w:t>.</w:t>
      </w:r>
      <w:r w:rsidRPr="008D0479">
        <w:t xml:space="preserve"> 11</w:t>
      </w:r>
      <w:r w:rsidR="00F25B40" w:rsidRPr="008D0479">
        <w:t>.</w:t>
      </w:r>
    </w:p>
  </w:footnote>
  <w:footnote w:id="29">
    <w:p w14:paraId="2A68F968" w14:textId="5871E20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F25B40" w:rsidRPr="008D0479">
        <w:rPr>
          <w:snapToGrid w:val="0"/>
          <w:kern w:val="18"/>
          <w:szCs w:val="18"/>
        </w:rPr>
        <w:t>.</w:t>
      </w:r>
      <w:r w:rsidRPr="008D0479">
        <w:rPr>
          <w:snapToGrid w:val="0"/>
          <w:kern w:val="18"/>
          <w:szCs w:val="18"/>
        </w:rPr>
        <w:t xml:space="preserve"> 16</w:t>
      </w:r>
      <w:r w:rsidR="00F25B40" w:rsidRPr="008D0479">
        <w:rPr>
          <w:snapToGrid w:val="0"/>
          <w:kern w:val="18"/>
          <w:szCs w:val="18"/>
        </w:rPr>
        <w:t>.</w:t>
      </w:r>
    </w:p>
  </w:footnote>
  <w:footnote w:id="30">
    <w:p w14:paraId="1834D7E3" w14:textId="23F914D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F25B40" w:rsidRPr="008D0479">
        <w:rPr>
          <w:snapToGrid w:val="0"/>
          <w:kern w:val="18"/>
          <w:szCs w:val="18"/>
        </w:rPr>
        <w:t>.</w:t>
      </w:r>
      <w:r w:rsidRPr="008D0479">
        <w:rPr>
          <w:snapToGrid w:val="0"/>
          <w:kern w:val="18"/>
          <w:szCs w:val="18"/>
        </w:rPr>
        <w:t xml:space="preserve"> 16</w:t>
      </w:r>
      <w:r w:rsidR="00F25B40" w:rsidRPr="008D0479">
        <w:rPr>
          <w:snapToGrid w:val="0"/>
          <w:kern w:val="18"/>
          <w:szCs w:val="18"/>
        </w:rPr>
        <w:t>.</w:t>
      </w:r>
    </w:p>
  </w:footnote>
  <w:footnote w:id="31">
    <w:p w14:paraId="3E4ACF6B" w14:textId="25A13DF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F25B40" w:rsidRPr="008D0479">
        <w:rPr>
          <w:snapToGrid w:val="0"/>
          <w:kern w:val="18"/>
          <w:szCs w:val="18"/>
        </w:rPr>
        <w:t>.</w:t>
      </w:r>
      <w:r w:rsidRPr="008D0479">
        <w:rPr>
          <w:snapToGrid w:val="0"/>
          <w:kern w:val="18"/>
          <w:szCs w:val="18"/>
        </w:rPr>
        <w:t xml:space="preserve"> 16</w:t>
      </w:r>
      <w:r w:rsidR="00F25B40" w:rsidRPr="008D0479">
        <w:rPr>
          <w:snapToGrid w:val="0"/>
          <w:kern w:val="18"/>
          <w:szCs w:val="18"/>
        </w:rPr>
        <w:t>.</w:t>
      </w:r>
    </w:p>
  </w:footnote>
  <w:footnote w:id="32">
    <w:p w14:paraId="57041F4D" w14:textId="35D31FF9"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F25B40" w:rsidRPr="008D0479">
        <w:rPr>
          <w:snapToGrid w:val="0"/>
          <w:kern w:val="18"/>
          <w:szCs w:val="18"/>
        </w:rPr>
        <w:t>s</w:t>
      </w:r>
      <w:r w:rsidRPr="008D0479">
        <w:rPr>
          <w:snapToGrid w:val="0"/>
          <w:kern w:val="18"/>
          <w:szCs w:val="18"/>
        </w:rPr>
        <w:t xml:space="preserve"> XIII/21, annex II, para</w:t>
      </w:r>
      <w:r w:rsidR="00F25B40" w:rsidRPr="008D0479">
        <w:rPr>
          <w:snapToGrid w:val="0"/>
          <w:kern w:val="18"/>
          <w:szCs w:val="18"/>
        </w:rPr>
        <w:t>.</w:t>
      </w:r>
      <w:r w:rsidRPr="008D0479">
        <w:rPr>
          <w:snapToGrid w:val="0"/>
          <w:kern w:val="18"/>
          <w:szCs w:val="18"/>
        </w:rPr>
        <w:t xml:space="preserve"> 16; </w:t>
      </w:r>
      <w:r w:rsidRPr="008D0479">
        <w:t>14/11, para. 14</w:t>
      </w:r>
      <w:r w:rsidR="00AA140B" w:rsidRPr="008D0479">
        <w:t>.</w:t>
      </w:r>
    </w:p>
  </w:footnote>
  <w:footnote w:id="33">
    <w:p w14:paraId="5431A83C" w14:textId="7F7E54DE"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17</w:t>
      </w:r>
      <w:r w:rsidR="00412C60" w:rsidRPr="008D0479">
        <w:rPr>
          <w:snapToGrid w:val="0"/>
          <w:kern w:val="18"/>
          <w:szCs w:val="18"/>
        </w:rPr>
        <w:t>.</w:t>
      </w:r>
    </w:p>
  </w:footnote>
  <w:footnote w:id="34">
    <w:p w14:paraId="100FE8C8" w14:textId="2C8AB871"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17</w:t>
      </w:r>
      <w:r w:rsidR="00412C60" w:rsidRPr="008D0479">
        <w:rPr>
          <w:snapToGrid w:val="0"/>
          <w:kern w:val="18"/>
          <w:szCs w:val="18"/>
        </w:rPr>
        <w:t>.</w:t>
      </w:r>
    </w:p>
  </w:footnote>
  <w:footnote w:id="35">
    <w:p w14:paraId="4D61F21C" w14:textId="60D2A130"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w:t>
      </w:r>
      <w:r w:rsidR="00412C60" w:rsidRPr="008D0479">
        <w:rPr>
          <w:snapToGrid w:val="0"/>
          <w:kern w:val="18"/>
          <w:szCs w:val="18"/>
        </w:rPr>
        <w:t>.</w:t>
      </w:r>
      <w:r w:rsidRPr="008D0479">
        <w:rPr>
          <w:snapToGrid w:val="0"/>
          <w:kern w:val="18"/>
          <w:szCs w:val="18"/>
        </w:rPr>
        <w:t xml:space="preserve"> 29</w:t>
      </w:r>
      <w:r w:rsidR="00412C60" w:rsidRPr="008D0479">
        <w:rPr>
          <w:snapToGrid w:val="0"/>
          <w:kern w:val="18"/>
          <w:szCs w:val="18"/>
        </w:rPr>
        <w:t>.</w:t>
      </w:r>
    </w:p>
  </w:footnote>
  <w:footnote w:id="36">
    <w:p w14:paraId="4191F184" w14:textId="0B7E9BFC" w:rsidR="00A152D3" w:rsidRPr="008D0479" w:rsidRDefault="00A152D3" w:rsidP="00E31D44">
      <w:pPr>
        <w:pStyle w:val="FootnoteText"/>
        <w:suppressLineNumbers/>
        <w:suppressAutoHyphens/>
        <w:adjustRightInd w:val="0"/>
        <w:snapToGrid w:val="0"/>
      </w:pPr>
      <w:r w:rsidRPr="008D0479">
        <w:rPr>
          <w:rStyle w:val="FootnoteReference"/>
          <w:rFonts w:eastAsiaTheme="majorEastAsia"/>
        </w:rPr>
        <w:footnoteRef/>
      </w:r>
      <w:r w:rsidRPr="008D0479">
        <w:t xml:space="preserve"> Decision XIII/18, </w:t>
      </w:r>
      <w:r w:rsidRPr="008D0479">
        <w:rPr>
          <w:snapToGrid w:val="0"/>
          <w:kern w:val="18"/>
          <w:szCs w:val="18"/>
        </w:rPr>
        <w:t>para</w:t>
      </w:r>
      <w:r w:rsidR="00412C60" w:rsidRPr="008D0479">
        <w:t>.</w:t>
      </w:r>
      <w:r w:rsidRPr="008D0479">
        <w:t xml:space="preserve"> 10</w:t>
      </w:r>
      <w:r w:rsidR="00412C60" w:rsidRPr="008D0479">
        <w:t>.</w:t>
      </w:r>
    </w:p>
  </w:footnote>
  <w:footnote w:id="37">
    <w:p w14:paraId="16EB2A86" w14:textId="1332DB75"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18</w:t>
      </w:r>
      <w:r w:rsidR="00412C60" w:rsidRPr="008D0479">
        <w:rPr>
          <w:snapToGrid w:val="0"/>
          <w:kern w:val="18"/>
          <w:szCs w:val="18"/>
        </w:rPr>
        <w:t>.</w:t>
      </w:r>
    </w:p>
  </w:footnote>
  <w:footnote w:id="38">
    <w:p w14:paraId="56CB1ACA" w14:textId="2119C0DE"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 xml:space="preserve">. </w:t>
      </w:r>
      <w:r w:rsidRPr="008D0479">
        <w:rPr>
          <w:snapToGrid w:val="0"/>
          <w:kern w:val="18"/>
          <w:szCs w:val="18"/>
        </w:rPr>
        <w:t>19</w:t>
      </w:r>
      <w:r w:rsidR="00412C60" w:rsidRPr="008D0479">
        <w:rPr>
          <w:snapToGrid w:val="0"/>
          <w:kern w:val="18"/>
          <w:szCs w:val="18"/>
        </w:rPr>
        <w:t>.</w:t>
      </w:r>
    </w:p>
  </w:footnote>
  <w:footnote w:id="39">
    <w:p w14:paraId="48CF957E" w14:textId="7408C250"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20</w:t>
      </w:r>
      <w:r w:rsidR="00412C60" w:rsidRPr="008D0479">
        <w:rPr>
          <w:snapToGrid w:val="0"/>
          <w:kern w:val="18"/>
          <w:szCs w:val="18"/>
        </w:rPr>
        <w:t>.</w:t>
      </w:r>
    </w:p>
  </w:footnote>
  <w:footnote w:id="40">
    <w:p w14:paraId="5EA6E201" w14:textId="0F1363B6"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21</w:t>
      </w:r>
      <w:r w:rsidR="00412C60" w:rsidRPr="008D0479">
        <w:rPr>
          <w:snapToGrid w:val="0"/>
          <w:kern w:val="18"/>
          <w:szCs w:val="18"/>
        </w:rPr>
        <w:t>.</w:t>
      </w:r>
    </w:p>
  </w:footnote>
  <w:footnote w:id="41">
    <w:p w14:paraId="43393B65" w14:textId="75E4FF4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22</w:t>
      </w:r>
      <w:r w:rsidR="00412C60" w:rsidRPr="008D0479">
        <w:rPr>
          <w:snapToGrid w:val="0"/>
          <w:kern w:val="18"/>
          <w:szCs w:val="18"/>
        </w:rPr>
        <w:t>.</w:t>
      </w:r>
    </w:p>
  </w:footnote>
  <w:footnote w:id="42">
    <w:p w14:paraId="05A87546" w14:textId="5386BEF0"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412C60" w:rsidRPr="008D0479">
        <w:rPr>
          <w:snapToGrid w:val="0"/>
          <w:kern w:val="18"/>
          <w:szCs w:val="18"/>
        </w:rPr>
        <w:t>s</w:t>
      </w:r>
      <w:r w:rsidRPr="008D0479">
        <w:rPr>
          <w:snapToGrid w:val="0"/>
          <w:kern w:val="18"/>
          <w:szCs w:val="18"/>
        </w:rPr>
        <w:t xml:space="preserve"> XIII/21, annex II, para</w:t>
      </w:r>
      <w:r w:rsidR="00412C60" w:rsidRPr="008D0479">
        <w:rPr>
          <w:snapToGrid w:val="0"/>
          <w:kern w:val="18"/>
          <w:szCs w:val="18"/>
        </w:rPr>
        <w:t>.</w:t>
      </w:r>
      <w:r w:rsidRPr="008D0479">
        <w:rPr>
          <w:snapToGrid w:val="0"/>
          <w:kern w:val="18"/>
          <w:szCs w:val="18"/>
        </w:rPr>
        <w:t xml:space="preserve"> 23, and </w:t>
      </w:r>
      <w:r w:rsidRPr="008D0479">
        <w:t>14/23, para</w:t>
      </w:r>
      <w:r w:rsidR="00412C60" w:rsidRPr="008D0479">
        <w:t>.</w:t>
      </w:r>
      <w:r w:rsidRPr="008D0479">
        <w:t xml:space="preserve"> 11</w:t>
      </w:r>
      <w:r w:rsidR="00412C60" w:rsidRPr="008D0479">
        <w:t>.</w:t>
      </w:r>
    </w:p>
  </w:footnote>
  <w:footnote w:id="43">
    <w:p w14:paraId="2AA7C144" w14:textId="7357D620"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23</w:t>
      </w:r>
      <w:r w:rsidR="00412C60" w:rsidRPr="008D0479">
        <w:rPr>
          <w:snapToGrid w:val="0"/>
          <w:kern w:val="18"/>
          <w:szCs w:val="18"/>
        </w:rPr>
        <w:t>.</w:t>
      </w:r>
    </w:p>
  </w:footnote>
  <w:footnote w:id="44">
    <w:p w14:paraId="00AE2872" w14:textId="0BBE7AC5"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23</w:t>
      </w:r>
      <w:r w:rsidR="00412C60" w:rsidRPr="008D0479">
        <w:rPr>
          <w:snapToGrid w:val="0"/>
          <w:kern w:val="18"/>
          <w:szCs w:val="18"/>
        </w:rPr>
        <w:t>.</w:t>
      </w:r>
    </w:p>
  </w:footnote>
  <w:footnote w:id="45">
    <w:p w14:paraId="34524F9E" w14:textId="257895D5"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23</w:t>
      </w:r>
      <w:r w:rsidR="00412C60" w:rsidRPr="008D0479">
        <w:rPr>
          <w:snapToGrid w:val="0"/>
          <w:kern w:val="18"/>
          <w:szCs w:val="18"/>
        </w:rPr>
        <w:t>.</w:t>
      </w:r>
    </w:p>
  </w:footnote>
  <w:footnote w:id="46">
    <w:p w14:paraId="54C52EB3" w14:textId="1E18E40C"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23</w:t>
      </w:r>
      <w:r w:rsidR="00412C60" w:rsidRPr="008D0479">
        <w:rPr>
          <w:snapToGrid w:val="0"/>
          <w:kern w:val="18"/>
          <w:szCs w:val="18"/>
        </w:rPr>
        <w:t>.</w:t>
      </w:r>
    </w:p>
  </w:footnote>
  <w:footnote w:id="47">
    <w:p w14:paraId="2B9D6740" w14:textId="3BF167C4"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23</w:t>
      </w:r>
      <w:r w:rsidR="00412C60" w:rsidRPr="008D0479">
        <w:rPr>
          <w:snapToGrid w:val="0"/>
          <w:kern w:val="18"/>
          <w:szCs w:val="18"/>
        </w:rPr>
        <w:t>.</w:t>
      </w:r>
    </w:p>
  </w:footnote>
  <w:footnote w:id="48">
    <w:p w14:paraId="508ED8B7" w14:textId="610864D0"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412C60" w:rsidRPr="008D0479">
        <w:rPr>
          <w:snapToGrid w:val="0"/>
          <w:kern w:val="18"/>
          <w:szCs w:val="18"/>
        </w:rPr>
        <w:t>s</w:t>
      </w:r>
      <w:r w:rsidRPr="008D0479">
        <w:rPr>
          <w:snapToGrid w:val="0"/>
          <w:kern w:val="18"/>
          <w:szCs w:val="18"/>
        </w:rPr>
        <w:t xml:space="preserve"> XIII/21, annex II, para</w:t>
      </w:r>
      <w:r w:rsidR="00412C60" w:rsidRPr="008D0479">
        <w:rPr>
          <w:snapToGrid w:val="0"/>
          <w:kern w:val="18"/>
          <w:szCs w:val="18"/>
        </w:rPr>
        <w:t>.</w:t>
      </w:r>
      <w:r w:rsidRPr="008D0479">
        <w:rPr>
          <w:snapToGrid w:val="0"/>
          <w:kern w:val="18"/>
          <w:szCs w:val="18"/>
        </w:rPr>
        <w:t xml:space="preserve"> 23, and </w:t>
      </w:r>
      <w:r w:rsidRPr="008D0479">
        <w:t>14/23, para</w:t>
      </w:r>
      <w:r w:rsidR="00412C60" w:rsidRPr="008D0479">
        <w:t>.</w:t>
      </w:r>
      <w:r w:rsidRPr="008D0479">
        <w:t xml:space="preserve"> 7(b)</w:t>
      </w:r>
      <w:r w:rsidR="00412C60" w:rsidRPr="008D0479">
        <w:t>.</w:t>
      </w:r>
    </w:p>
  </w:footnote>
  <w:footnote w:id="49">
    <w:p w14:paraId="131CD5DA" w14:textId="1A1064B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412C60" w:rsidRPr="008D0479">
        <w:rPr>
          <w:snapToGrid w:val="0"/>
          <w:kern w:val="18"/>
          <w:szCs w:val="18"/>
        </w:rPr>
        <w:t>.</w:t>
      </w:r>
      <w:r w:rsidRPr="008D0479">
        <w:rPr>
          <w:snapToGrid w:val="0"/>
          <w:kern w:val="18"/>
          <w:szCs w:val="18"/>
        </w:rPr>
        <w:t xml:space="preserve"> 23</w:t>
      </w:r>
      <w:r w:rsidR="00412C60" w:rsidRPr="008D0479">
        <w:rPr>
          <w:snapToGrid w:val="0"/>
          <w:kern w:val="18"/>
          <w:szCs w:val="18"/>
        </w:rPr>
        <w:t>.</w:t>
      </w:r>
    </w:p>
  </w:footnote>
  <w:footnote w:id="50">
    <w:p w14:paraId="5444B8DA" w14:textId="6CE4DC82"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412C60" w:rsidRPr="008D0479">
        <w:rPr>
          <w:snapToGrid w:val="0"/>
          <w:kern w:val="18"/>
          <w:szCs w:val="18"/>
        </w:rPr>
        <w:t>s</w:t>
      </w:r>
      <w:r w:rsidRPr="008D0479">
        <w:rPr>
          <w:snapToGrid w:val="0"/>
          <w:kern w:val="18"/>
          <w:szCs w:val="18"/>
        </w:rPr>
        <w:t xml:space="preserve"> XIII/21, annex II, para</w:t>
      </w:r>
      <w:r w:rsidR="00412C60" w:rsidRPr="008D0479">
        <w:rPr>
          <w:snapToGrid w:val="0"/>
          <w:kern w:val="18"/>
          <w:szCs w:val="18"/>
        </w:rPr>
        <w:t>.</w:t>
      </w:r>
      <w:r w:rsidRPr="008D0479">
        <w:rPr>
          <w:snapToGrid w:val="0"/>
          <w:kern w:val="18"/>
          <w:szCs w:val="18"/>
        </w:rPr>
        <w:t xml:space="preserve"> 23, and XIII/21, para</w:t>
      </w:r>
      <w:r w:rsidR="00412C60" w:rsidRPr="008D0479">
        <w:rPr>
          <w:snapToGrid w:val="0"/>
          <w:kern w:val="18"/>
          <w:szCs w:val="18"/>
        </w:rPr>
        <w:t>.</w:t>
      </w:r>
      <w:r w:rsidRPr="008D0479">
        <w:rPr>
          <w:snapToGrid w:val="0"/>
          <w:kern w:val="18"/>
          <w:szCs w:val="18"/>
        </w:rPr>
        <w:t xml:space="preserve"> 38, </w:t>
      </w:r>
      <w:r w:rsidRPr="008D0479">
        <w:t>14/23, para</w:t>
      </w:r>
      <w:r w:rsidR="00412C60" w:rsidRPr="008D0479">
        <w:t>.</w:t>
      </w:r>
      <w:r w:rsidRPr="008D0479">
        <w:t xml:space="preserve"> 10; </w:t>
      </w:r>
      <w:r w:rsidR="00DC079D" w:rsidRPr="008D0479">
        <w:t xml:space="preserve">and </w:t>
      </w:r>
      <w:r w:rsidRPr="008D0479">
        <w:t>15/15, annex II B, para</w:t>
      </w:r>
      <w:r w:rsidR="00DC079D" w:rsidRPr="008D0479">
        <w:t>.</w:t>
      </w:r>
      <w:r w:rsidRPr="008D0479">
        <w:t xml:space="preserve"> </w:t>
      </w:r>
      <w:r w:rsidRPr="008D0479">
        <w:rPr>
          <w:iCs/>
        </w:rPr>
        <w:t>12</w:t>
      </w:r>
      <w:r w:rsidR="00DC079D" w:rsidRPr="008D0479">
        <w:rPr>
          <w:iCs/>
        </w:rPr>
        <w:t>.</w:t>
      </w:r>
    </w:p>
  </w:footnote>
  <w:footnote w:id="51">
    <w:p w14:paraId="6B7466EC" w14:textId="22EC4C88"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 14/23, para</w:t>
      </w:r>
      <w:r w:rsidR="00DC079D" w:rsidRPr="008D0479">
        <w:t>.</w:t>
      </w:r>
      <w:r w:rsidRPr="008D0479">
        <w:t xml:space="preserve"> 7</w:t>
      </w:r>
      <w:r w:rsidR="00BC49A3" w:rsidRPr="008D0479">
        <w:t xml:space="preserve"> </w:t>
      </w:r>
      <w:r w:rsidRPr="008D0479">
        <w:t>(a)</w:t>
      </w:r>
      <w:r w:rsidR="00DC079D" w:rsidRPr="008D0479">
        <w:t>.</w:t>
      </w:r>
    </w:p>
  </w:footnote>
  <w:footnote w:id="52">
    <w:p w14:paraId="2049A9E3" w14:textId="5E40C70F" w:rsidR="00A152D3" w:rsidRPr="008D0479" w:rsidRDefault="00A152D3">
      <w:pPr>
        <w:pStyle w:val="FootnoteText"/>
      </w:pPr>
      <w:r w:rsidRPr="008D0479">
        <w:rPr>
          <w:rStyle w:val="FootnoteReference"/>
        </w:rPr>
        <w:footnoteRef/>
      </w:r>
      <w:r w:rsidRPr="008D0479">
        <w:t xml:space="preserve"> Decision 15/15, annex II B, para</w:t>
      </w:r>
      <w:r w:rsidR="00DC079D" w:rsidRPr="008D0479">
        <w:t>.</w:t>
      </w:r>
      <w:r w:rsidRPr="008D0479">
        <w:t xml:space="preserve"> 11</w:t>
      </w:r>
      <w:r w:rsidR="00DC079D" w:rsidRPr="008D0479">
        <w:t>.</w:t>
      </w:r>
    </w:p>
  </w:footnote>
  <w:footnote w:id="53">
    <w:p w14:paraId="6B9D62DE" w14:textId="7621797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24</w:t>
      </w:r>
      <w:r w:rsidR="00DC079D" w:rsidRPr="008D0479">
        <w:rPr>
          <w:snapToGrid w:val="0"/>
          <w:kern w:val="18"/>
          <w:szCs w:val="18"/>
        </w:rPr>
        <w:t>.</w:t>
      </w:r>
    </w:p>
  </w:footnote>
  <w:footnote w:id="54">
    <w:p w14:paraId="0FE6D7A9" w14:textId="7D3EB7F4"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25</w:t>
      </w:r>
      <w:r w:rsidR="00DC079D" w:rsidRPr="008D0479">
        <w:rPr>
          <w:snapToGrid w:val="0"/>
          <w:kern w:val="18"/>
          <w:szCs w:val="18"/>
        </w:rPr>
        <w:t>.</w:t>
      </w:r>
    </w:p>
  </w:footnote>
  <w:footnote w:id="55">
    <w:p w14:paraId="0E3EE2AE" w14:textId="018B8A61" w:rsidR="00A152D3" w:rsidRPr="008D0479" w:rsidRDefault="00A152D3">
      <w:pPr>
        <w:pStyle w:val="FootnoteText"/>
      </w:pPr>
      <w:r w:rsidRPr="008D0479">
        <w:rPr>
          <w:rStyle w:val="FootnoteReference"/>
        </w:rPr>
        <w:footnoteRef/>
      </w:r>
      <w:r w:rsidRPr="008D0479">
        <w:t xml:space="preserve"> Decision 15/15, </w:t>
      </w:r>
      <w:r w:rsidR="00DC079D" w:rsidRPr="008D0479">
        <w:t>a</w:t>
      </w:r>
      <w:r w:rsidRPr="008D0479">
        <w:t>nnex II B, para</w:t>
      </w:r>
      <w:r w:rsidR="00DC079D" w:rsidRPr="008D0479">
        <w:t>.</w:t>
      </w:r>
      <w:r w:rsidRPr="008D0479">
        <w:t xml:space="preserve"> 7</w:t>
      </w:r>
      <w:r w:rsidR="00DC079D" w:rsidRPr="008D0479">
        <w:t>.</w:t>
      </w:r>
    </w:p>
  </w:footnote>
  <w:footnote w:id="56">
    <w:p w14:paraId="199A2ADC" w14:textId="6148544C" w:rsidR="00A152D3" w:rsidRPr="008D0479" w:rsidRDefault="00A152D3" w:rsidP="00AE38B1">
      <w:pPr>
        <w:pStyle w:val="FootnoteText"/>
      </w:pPr>
      <w:r w:rsidRPr="008D0479">
        <w:rPr>
          <w:rStyle w:val="FootnoteReference"/>
        </w:rPr>
        <w:footnoteRef/>
      </w:r>
      <w:r w:rsidRPr="008D0479">
        <w:t xml:space="preserve"> Decision 15/15, annex II B, para</w:t>
      </w:r>
      <w:r w:rsidR="00DC079D" w:rsidRPr="008D0479">
        <w:t>.</w:t>
      </w:r>
      <w:r w:rsidRPr="008D0479">
        <w:t xml:space="preserve"> 10</w:t>
      </w:r>
      <w:r w:rsidR="00DC079D" w:rsidRPr="008D0479">
        <w:t>.</w:t>
      </w:r>
    </w:p>
  </w:footnote>
  <w:footnote w:id="57">
    <w:p w14:paraId="348A7AC7" w14:textId="2ED6D622" w:rsidR="00A152D3" w:rsidRPr="008D0479" w:rsidRDefault="00A152D3" w:rsidP="00CC742F">
      <w:pPr>
        <w:pStyle w:val="FootnoteText"/>
      </w:pPr>
      <w:r w:rsidRPr="008D0479">
        <w:rPr>
          <w:rStyle w:val="FootnoteReference"/>
        </w:rPr>
        <w:footnoteRef/>
      </w:r>
      <w:r w:rsidRPr="008D0479">
        <w:t xml:space="preserve"> Decision 15/15, annex II B, para</w:t>
      </w:r>
      <w:r w:rsidR="00DC079D" w:rsidRPr="008D0479">
        <w:t>.</w:t>
      </w:r>
      <w:r w:rsidRPr="008D0479">
        <w:t xml:space="preserve"> 9</w:t>
      </w:r>
      <w:r w:rsidR="00DC079D" w:rsidRPr="008D0479">
        <w:t xml:space="preserve"> </w:t>
      </w:r>
      <w:r w:rsidRPr="008D0479">
        <w:t>(a)</w:t>
      </w:r>
      <w:r w:rsidR="00DC079D" w:rsidRPr="008D0479">
        <w:t>.</w:t>
      </w:r>
    </w:p>
  </w:footnote>
  <w:footnote w:id="58">
    <w:p w14:paraId="3DD231BD" w14:textId="22B34D35" w:rsidR="00A152D3" w:rsidRPr="008D0479" w:rsidRDefault="00A152D3" w:rsidP="0048022A">
      <w:pPr>
        <w:pStyle w:val="FootnoteText"/>
      </w:pPr>
      <w:r w:rsidRPr="008D0479">
        <w:rPr>
          <w:rStyle w:val="FootnoteReference"/>
        </w:rPr>
        <w:footnoteRef/>
      </w:r>
      <w:r w:rsidRPr="008D0479">
        <w:t xml:space="preserve"> Decision 15/15, </w:t>
      </w:r>
      <w:r w:rsidR="00DC079D" w:rsidRPr="008D0479">
        <w:t>a</w:t>
      </w:r>
      <w:r w:rsidRPr="008D0479">
        <w:t>nnex II B, para</w:t>
      </w:r>
      <w:r w:rsidR="00DC079D" w:rsidRPr="008D0479">
        <w:t>.</w:t>
      </w:r>
      <w:r w:rsidRPr="008D0479">
        <w:t xml:space="preserve"> 9</w:t>
      </w:r>
      <w:r w:rsidR="00DC079D" w:rsidRPr="008D0479">
        <w:t xml:space="preserve"> </w:t>
      </w:r>
      <w:r w:rsidRPr="008D0479">
        <w:t>(b)</w:t>
      </w:r>
      <w:r w:rsidR="00DC079D" w:rsidRPr="008D0479">
        <w:t>.</w:t>
      </w:r>
    </w:p>
  </w:footnote>
  <w:footnote w:id="59">
    <w:p w14:paraId="25EC2F5C" w14:textId="53A59C15"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26</w:t>
      </w:r>
      <w:r w:rsidR="00DC079D" w:rsidRPr="008D0479">
        <w:rPr>
          <w:snapToGrid w:val="0"/>
          <w:kern w:val="18"/>
          <w:szCs w:val="18"/>
        </w:rPr>
        <w:t>.</w:t>
      </w:r>
    </w:p>
  </w:footnote>
  <w:footnote w:id="60">
    <w:p w14:paraId="70E1A267" w14:textId="1361BA75"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26</w:t>
      </w:r>
      <w:r w:rsidR="00DC079D" w:rsidRPr="008D0479">
        <w:rPr>
          <w:snapToGrid w:val="0"/>
          <w:kern w:val="18"/>
          <w:szCs w:val="18"/>
        </w:rPr>
        <w:t>.</w:t>
      </w:r>
    </w:p>
  </w:footnote>
  <w:footnote w:id="61">
    <w:p w14:paraId="1B203C49" w14:textId="16A6803A"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 14/23, para</w:t>
      </w:r>
      <w:r w:rsidR="00DC079D" w:rsidRPr="008D0479">
        <w:t>.</w:t>
      </w:r>
      <w:r w:rsidRPr="008D0479">
        <w:t xml:space="preserve"> 8(a); </w:t>
      </w:r>
      <w:r w:rsidRPr="008D0479">
        <w:rPr>
          <w:snapToGrid w:val="0"/>
          <w:kern w:val="18"/>
          <w:szCs w:val="18"/>
        </w:rPr>
        <w:t>XIII/21, paras</w:t>
      </w:r>
      <w:r w:rsidR="00DC079D" w:rsidRPr="008D0479">
        <w:rPr>
          <w:snapToGrid w:val="0"/>
          <w:kern w:val="18"/>
          <w:szCs w:val="18"/>
        </w:rPr>
        <w:t>.</w:t>
      </w:r>
      <w:r w:rsidRPr="008D0479">
        <w:rPr>
          <w:snapToGrid w:val="0"/>
          <w:kern w:val="18"/>
          <w:szCs w:val="18"/>
        </w:rPr>
        <w:t xml:space="preserve"> 33 and 36</w:t>
      </w:r>
      <w:r w:rsidR="00DC079D" w:rsidRPr="008D0479">
        <w:rPr>
          <w:snapToGrid w:val="0"/>
          <w:kern w:val="18"/>
          <w:szCs w:val="18"/>
        </w:rPr>
        <w:t>.</w:t>
      </w:r>
    </w:p>
  </w:footnote>
  <w:footnote w:id="62">
    <w:p w14:paraId="3EB58187" w14:textId="57B6D577" w:rsidR="00A152D3" w:rsidRPr="008D0479" w:rsidRDefault="00A152D3" w:rsidP="00E31D44">
      <w:pPr>
        <w:pStyle w:val="FootnoteText"/>
        <w:suppressLineNumbers/>
        <w:suppressAutoHyphens/>
        <w:adjustRightInd w:val="0"/>
        <w:snapToGrid w:val="0"/>
        <w:rPr>
          <w:snapToGrid w:val="0"/>
          <w:kern w:val="18"/>
          <w:szCs w:val="18"/>
          <w:lang w:val="fr-FR"/>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w:t>
      </w:r>
      <w:proofErr w:type="gramStart"/>
      <w:r w:rsidRPr="008D0479">
        <w:rPr>
          <w:snapToGrid w:val="0"/>
          <w:kern w:val="18"/>
          <w:szCs w:val="18"/>
          <w:lang w:val="fr-FR"/>
        </w:rPr>
        <w:t>26;</w:t>
      </w:r>
      <w:proofErr w:type="gramEnd"/>
      <w:r w:rsidRPr="008D0479">
        <w:rPr>
          <w:lang w:val="fr-FR"/>
        </w:rPr>
        <w:t xml:space="preserve"> 15/15, </w:t>
      </w:r>
      <w:proofErr w:type="spellStart"/>
      <w:r w:rsidRPr="008D0479">
        <w:rPr>
          <w:lang w:val="fr-FR"/>
        </w:rPr>
        <w:t>annex</w:t>
      </w:r>
      <w:proofErr w:type="spellEnd"/>
      <w:r w:rsidRPr="008D0479">
        <w:rPr>
          <w:lang w:val="fr-FR"/>
        </w:rPr>
        <w:t xml:space="preserve"> II B, para</w:t>
      </w:r>
      <w:r w:rsidR="00DC079D" w:rsidRPr="008D0479">
        <w:rPr>
          <w:lang w:val="fr-FR"/>
        </w:rPr>
        <w:t>.</w:t>
      </w:r>
      <w:r w:rsidRPr="008D0479">
        <w:rPr>
          <w:lang w:val="fr-FR"/>
        </w:rPr>
        <w:t xml:space="preserve"> 9</w:t>
      </w:r>
      <w:r w:rsidR="00162A3E" w:rsidRPr="008D0479">
        <w:rPr>
          <w:lang w:val="fr-FR"/>
        </w:rPr>
        <w:t xml:space="preserve"> </w:t>
      </w:r>
      <w:r w:rsidRPr="008D0479">
        <w:rPr>
          <w:lang w:val="fr-FR"/>
        </w:rPr>
        <w:t>(d)</w:t>
      </w:r>
      <w:r w:rsidR="00DC079D" w:rsidRPr="008D0479">
        <w:rPr>
          <w:lang w:val="fr-FR"/>
        </w:rPr>
        <w:t>.</w:t>
      </w:r>
    </w:p>
  </w:footnote>
  <w:footnote w:id="63">
    <w:p w14:paraId="5436FD0C" w14:textId="1C281864"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 14/23, para</w:t>
      </w:r>
      <w:r w:rsidR="00DC079D" w:rsidRPr="008D0479">
        <w:t>.</w:t>
      </w:r>
      <w:r w:rsidRPr="008D0479">
        <w:t xml:space="preserve"> 9</w:t>
      </w:r>
      <w:r w:rsidR="00DC079D" w:rsidRPr="008D0479">
        <w:t>.</w:t>
      </w:r>
    </w:p>
  </w:footnote>
  <w:footnote w:id="64">
    <w:p w14:paraId="5C968981" w14:textId="2D1C5EDF"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26, and XIII/21, para</w:t>
      </w:r>
      <w:r w:rsidR="00DC079D" w:rsidRPr="008D0479">
        <w:rPr>
          <w:snapToGrid w:val="0"/>
          <w:kern w:val="18"/>
          <w:szCs w:val="18"/>
        </w:rPr>
        <w:t>.</w:t>
      </w:r>
      <w:r w:rsidRPr="008D0479">
        <w:rPr>
          <w:snapToGrid w:val="0"/>
          <w:kern w:val="18"/>
          <w:szCs w:val="18"/>
        </w:rPr>
        <w:t xml:space="preserve"> 35</w:t>
      </w:r>
      <w:r w:rsidR="00DC079D" w:rsidRPr="008D0479">
        <w:rPr>
          <w:snapToGrid w:val="0"/>
          <w:kern w:val="18"/>
          <w:szCs w:val="18"/>
        </w:rPr>
        <w:t>.</w:t>
      </w:r>
    </w:p>
  </w:footnote>
  <w:footnote w:id="65">
    <w:p w14:paraId="1625F308" w14:textId="567E0D5A"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26; </w:t>
      </w:r>
      <w:r w:rsidRPr="008D0479">
        <w:t>15/15, annex II B, para</w:t>
      </w:r>
      <w:r w:rsidR="00DC079D" w:rsidRPr="008D0479">
        <w:t>.</w:t>
      </w:r>
      <w:r w:rsidRPr="008D0479">
        <w:t xml:space="preserve"> 9</w:t>
      </w:r>
      <w:r w:rsidR="00162A3E" w:rsidRPr="008D0479">
        <w:t xml:space="preserve"> </w:t>
      </w:r>
      <w:r w:rsidRPr="008D0479">
        <w:t>(d)</w:t>
      </w:r>
      <w:r w:rsidR="00DC079D" w:rsidRPr="008D0479">
        <w:t>.</w:t>
      </w:r>
    </w:p>
  </w:footnote>
  <w:footnote w:id="66">
    <w:p w14:paraId="48E9333A" w14:textId="08248B2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26</w:t>
      </w:r>
      <w:r w:rsidRPr="008D0479">
        <w:t>; 15/15, annex II B, para</w:t>
      </w:r>
      <w:r w:rsidR="00DC079D" w:rsidRPr="008D0479">
        <w:t>.</w:t>
      </w:r>
      <w:r w:rsidRPr="008D0479">
        <w:t xml:space="preserve"> 9</w:t>
      </w:r>
      <w:r w:rsidR="00162A3E" w:rsidRPr="008D0479">
        <w:t xml:space="preserve"> </w:t>
      </w:r>
      <w:r w:rsidRPr="008D0479">
        <w:t>(d)</w:t>
      </w:r>
      <w:r w:rsidR="00DC079D" w:rsidRPr="008D0479">
        <w:t>.</w:t>
      </w:r>
    </w:p>
  </w:footnote>
  <w:footnote w:id="67">
    <w:p w14:paraId="355F1030" w14:textId="7CFB075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26</w:t>
      </w:r>
      <w:r w:rsidR="00DC079D" w:rsidRPr="008D0479">
        <w:rPr>
          <w:snapToGrid w:val="0"/>
          <w:kern w:val="18"/>
          <w:szCs w:val="18"/>
        </w:rPr>
        <w:t>.</w:t>
      </w:r>
    </w:p>
  </w:footnote>
  <w:footnote w:id="68">
    <w:p w14:paraId="1AFCCC4B" w14:textId="03CC8664" w:rsidR="00A152D3" w:rsidRPr="008D0479" w:rsidRDefault="00A152D3" w:rsidP="00E31D44">
      <w:pPr>
        <w:pStyle w:val="FootnoteText"/>
        <w:suppressLineNumbers/>
        <w:suppressAutoHyphens/>
        <w:adjustRightInd w:val="0"/>
        <w:snapToGrid w:val="0"/>
        <w:rPr>
          <w:snapToGrid w:val="0"/>
          <w:kern w:val="18"/>
          <w:szCs w:val="18"/>
          <w:lang w:val="fr-FR"/>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w:t>
      </w:r>
      <w:proofErr w:type="gramStart"/>
      <w:r w:rsidRPr="008D0479">
        <w:rPr>
          <w:snapToGrid w:val="0"/>
          <w:kern w:val="18"/>
          <w:szCs w:val="18"/>
          <w:lang w:val="fr-FR"/>
        </w:rPr>
        <w:t>26;</w:t>
      </w:r>
      <w:proofErr w:type="gramEnd"/>
      <w:r w:rsidRPr="008D0479">
        <w:rPr>
          <w:snapToGrid w:val="0"/>
          <w:kern w:val="18"/>
          <w:szCs w:val="18"/>
          <w:lang w:val="fr-FR"/>
        </w:rPr>
        <w:t xml:space="preserve"> </w:t>
      </w:r>
      <w:r w:rsidRPr="008D0479">
        <w:rPr>
          <w:lang w:val="fr-FR"/>
        </w:rPr>
        <w:t xml:space="preserve">15/15, </w:t>
      </w:r>
      <w:proofErr w:type="spellStart"/>
      <w:r w:rsidRPr="008D0479">
        <w:rPr>
          <w:lang w:val="fr-FR"/>
        </w:rPr>
        <w:t>annex</w:t>
      </w:r>
      <w:proofErr w:type="spellEnd"/>
      <w:r w:rsidRPr="008D0479">
        <w:rPr>
          <w:lang w:val="fr-FR"/>
        </w:rPr>
        <w:t xml:space="preserve"> II B, para</w:t>
      </w:r>
      <w:r w:rsidR="00DC079D" w:rsidRPr="008D0479">
        <w:rPr>
          <w:lang w:val="fr-FR"/>
        </w:rPr>
        <w:t>.</w:t>
      </w:r>
      <w:r w:rsidRPr="008D0479">
        <w:rPr>
          <w:lang w:val="fr-FR"/>
        </w:rPr>
        <w:t xml:space="preserve"> 9</w:t>
      </w:r>
      <w:r w:rsidR="00DC079D" w:rsidRPr="008D0479">
        <w:rPr>
          <w:lang w:val="fr-FR"/>
        </w:rPr>
        <w:t xml:space="preserve"> </w:t>
      </w:r>
      <w:r w:rsidRPr="008D0479">
        <w:rPr>
          <w:lang w:val="fr-FR"/>
        </w:rPr>
        <w:t>(c)</w:t>
      </w:r>
      <w:r w:rsidR="00DC079D" w:rsidRPr="008D0479">
        <w:rPr>
          <w:lang w:val="fr-FR"/>
        </w:rPr>
        <w:t>.</w:t>
      </w:r>
    </w:p>
  </w:footnote>
  <w:footnote w:id="69">
    <w:p w14:paraId="6F361E54" w14:textId="584C4FA4" w:rsidR="00A152D3" w:rsidRPr="008D0479" w:rsidRDefault="00A152D3" w:rsidP="00E31D44">
      <w:pPr>
        <w:pStyle w:val="FootnoteText"/>
        <w:rPr>
          <w:szCs w:val="24"/>
          <w:lang w:val="fr-FR"/>
        </w:rPr>
      </w:pPr>
      <w:r w:rsidRPr="008D0479">
        <w:rPr>
          <w:rStyle w:val="FootnoteReference"/>
          <w:rFonts w:eastAsiaTheme="majorEastAsia"/>
        </w:rPr>
        <w:footnoteRef/>
      </w:r>
      <w:r w:rsidRPr="008D0479">
        <w:rPr>
          <w:lang w:val="fr-FR"/>
        </w:rPr>
        <w:t xml:space="preserve"> </w:t>
      </w:r>
      <w:proofErr w:type="spellStart"/>
      <w:r w:rsidRPr="008D0479">
        <w:rPr>
          <w:snapToGrid w:val="0"/>
          <w:kern w:val="18"/>
          <w:szCs w:val="18"/>
          <w:lang w:val="fr-FR"/>
        </w:rPr>
        <w:t>Decision</w:t>
      </w:r>
      <w:proofErr w:type="spellEnd"/>
      <w:r w:rsidRPr="008D0479">
        <w:rPr>
          <w:snapToGrid w:val="0"/>
          <w:kern w:val="18"/>
          <w:szCs w:val="18"/>
          <w:lang w:val="fr-FR"/>
        </w:rPr>
        <w:t xml:space="preserve"> XIII/21, para</w:t>
      </w:r>
      <w:r w:rsidR="00DC079D" w:rsidRPr="008D0479">
        <w:rPr>
          <w:snapToGrid w:val="0"/>
          <w:kern w:val="18"/>
          <w:szCs w:val="18"/>
          <w:lang w:val="fr-FR"/>
        </w:rPr>
        <w:t>.</w:t>
      </w:r>
      <w:r w:rsidRPr="008D0479">
        <w:rPr>
          <w:snapToGrid w:val="0"/>
          <w:kern w:val="18"/>
          <w:szCs w:val="18"/>
          <w:lang w:val="fr-FR"/>
        </w:rPr>
        <w:t xml:space="preserve"> 34</w:t>
      </w:r>
      <w:r w:rsidR="00DC079D" w:rsidRPr="008D0479">
        <w:rPr>
          <w:snapToGrid w:val="0"/>
          <w:kern w:val="18"/>
          <w:szCs w:val="18"/>
          <w:lang w:val="fr-FR"/>
        </w:rPr>
        <w:t>.</w:t>
      </w:r>
    </w:p>
  </w:footnote>
  <w:footnote w:id="70">
    <w:p w14:paraId="0A36687E" w14:textId="50E927B2"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lang w:val="fr-FR"/>
        </w:rPr>
        <w:t xml:space="preserve"> </w:t>
      </w:r>
      <w:proofErr w:type="spellStart"/>
      <w:r w:rsidRPr="008D0479">
        <w:rPr>
          <w:snapToGrid w:val="0"/>
          <w:kern w:val="18"/>
          <w:szCs w:val="18"/>
          <w:lang w:val="fr-FR"/>
        </w:rPr>
        <w:t>Decision</w:t>
      </w:r>
      <w:r w:rsidR="00DC079D" w:rsidRPr="008D0479">
        <w:rPr>
          <w:snapToGrid w:val="0"/>
          <w:kern w:val="18"/>
          <w:szCs w:val="18"/>
          <w:lang w:val="fr-FR"/>
        </w:rPr>
        <w:t>s</w:t>
      </w:r>
      <w:proofErr w:type="spellEnd"/>
      <w:r w:rsidRPr="008D0479">
        <w:rPr>
          <w:snapToGrid w:val="0"/>
          <w:kern w:val="18"/>
          <w:szCs w:val="18"/>
          <w:lang w:val="fr-FR"/>
        </w:rPr>
        <w:t xml:space="preserve"> XIII/21, </w:t>
      </w:r>
      <w:proofErr w:type="spellStart"/>
      <w:r w:rsidRPr="008D0479">
        <w:rPr>
          <w:snapToGrid w:val="0"/>
          <w:kern w:val="18"/>
          <w:szCs w:val="18"/>
          <w:lang w:val="fr-FR"/>
        </w:rPr>
        <w:t>annex</w:t>
      </w:r>
      <w:proofErr w:type="spellEnd"/>
      <w:r w:rsidRPr="008D0479">
        <w:rPr>
          <w:snapToGrid w:val="0"/>
          <w:kern w:val="18"/>
          <w:szCs w:val="18"/>
          <w:lang w:val="fr-FR"/>
        </w:rPr>
        <w:t xml:space="preserve"> II, para</w:t>
      </w:r>
      <w:r w:rsidR="00DC079D" w:rsidRPr="008D0479">
        <w:rPr>
          <w:snapToGrid w:val="0"/>
          <w:kern w:val="18"/>
          <w:szCs w:val="18"/>
          <w:lang w:val="fr-FR"/>
        </w:rPr>
        <w:t>.</w:t>
      </w:r>
      <w:r w:rsidRPr="008D0479">
        <w:rPr>
          <w:snapToGrid w:val="0"/>
          <w:kern w:val="18"/>
          <w:szCs w:val="18"/>
          <w:lang w:val="fr-FR"/>
        </w:rPr>
        <w:t xml:space="preserve"> </w:t>
      </w:r>
      <w:proofErr w:type="gramStart"/>
      <w:r w:rsidRPr="008D0479">
        <w:rPr>
          <w:snapToGrid w:val="0"/>
          <w:kern w:val="18"/>
          <w:szCs w:val="18"/>
          <w:lang w:val="fr-FR"/>
        </w:rPr>
        <w:t>26;</w:t>
      </w:r>
      <w:proofErr w:type="gramEnd"/>
      <w:r w:rsidRPr="008D0479">
        <w:rPr>
          <w:snapToGrid w:val="0"/>
          <w:kern w:val="18"/>
          <w:szCs w:val="18"/>
          <w:lang w:val="fr-FR"/>
        </w:rPr>
        <w:t xml:space="preserve"> XIII/21, paras</w:t>
      </w:r>
      <w:r w:rsidR="00DC079D" w:rsidRPr="008D0479">
        <w:rPr>
          <w:snapToGrid w:val="0"/>
          <w:kern w:val="18"/>
          <w:szCs w:val="18"/>
          <w:lang w:val="fr-FR"/>
        </w:rPr>
        <w:t>.</w:t>
      </w:r>
      <w:r w:rsidRPr="008D0479">
        <w:rPr>
          <w:snapToGrid w:val="0"/>
          <w:kern w:val="18"/>
          <w:szCs w:val="18"/>
          <w:lang w:val="fr-FR"/>
        </w:rPr>
        <w:t xml:space="preserve"> </w:t>
      </w:r>
      <w:r w:rsidRPr="008D0479">
        <w:rPr>
          <w:snapToGrid w:val="0"/>
          <w:kern w:val="18"/>
          <w:szCs w:val="18"/>
        </w:rPr>
        <w:t xml:space="preserve">30 and 31; </w:t>
      </w:r>
      <w:r w:rsidRPr="008D0479">
        <w:t>14/23, para</w:t>
      </w:r>
      <w:r w:rsidR="00DC079D" w:rsidRPr="008D0479">
        <w:t>.</w:t>
      </w:r>
      <w:r w:rsidRPr="008D0479">
        <w:t xml:space="preserve"> 7</w:t>
      </w:r>
      <w:r w:rsidR="00DC079D" w:rsidRPr="008D0479">
        <w:t xml:space="preserve"> </w:t>
      </w:r>
      <w:r w:rsidRPr="008D0479">
        <w:t>(b); 15/15, annex II B, para</w:t>
      </w:r>
      <w:r w:rsidR="00DC079D" w:rsidRPr="008D0479">
        <w:t>.</w:t>
      </w:r>
      <w:r w:rsidRPr="008D0479">
        <w:t xml:space="preserve"> 9</w:t>
      </w:r>
      <w:r w:rsidR="00DC079D" w:rsidRPr="008D0479">
        <w:t xml:space="preserve"> </w:t>
      </w:r>
      <w:r w:rsidRPr="008D0479">
        <w:t>(d)</w:t>
      </w:r>
      <w:r w:rsidR="00DC079D" w:rsidRPr="008D0479">
        <w:t>.</w:t>
      </w:r>
    </w:p>
  </w:footnote>
  <w:footnote w:id="71">
    <w:p w14:paraId="64535382" w14:textId="1BA4B09B"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w:t>
      </w:r>
      <w:r w:rsidR="00DC079D" w:rsidRPr="008D0479">
        <w:rPr>
          <w:snapToGrid w:val="0"/>
          <w:kern w:val="18"/>
          <w:szCs w:val="18"/>
        </w:rPr>
        <w:t>.</w:t>
      </w:r>
      <w:r w:rsidRPr="008D0479">
        <w:rPr>
          <w:snapToGrid w:val="0"/>
          <w:kern w:val="18"/>
          <w:szCs w:val="18"/>
        </w:rPr>
        <w:t xml:space="preserve"> 32</w:t>
      </w:r>
      <w:r w:rsidR="00DC079D" w:rsidRPr="008D0479">
        <w:rPr>
          <w:snapToGrid w:val="0"/>
          <w:kern w:val="18"/>
          <w:szCs w:val="18"/>
        </w:rPr>
        <w:t>.</w:t>
      </w:r>
    </w:p>
  </w:footnote>
  <w:footnote w:id="72">
    <w:p w14:paraId="6BB782BB" w14:textId="6A22317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26; </w:t>
      </w:r>
      <w:r w:rsidRPr="008D0479">
        <w:t>14/23, para. 8(b); 15/15, annex II B, para</w:t>
      </w:r>
      <w:r w:rsidR="00DC079D" w:rsidRPr="008D0479">
        <w:t>.</w:t>
      </w:r>
      <w:r w:rsidRPr="008D0479">
        <w:t xml:space="preserve"> 9</w:t>
      </w:r>
      <w:r w:rsidR="00DC079D" w:rsidRPr="008D0479">
        <w:t xml:space="preserve"> </w:t>
      </w:r>
      <w:r w:rsidRPr="008D0479">
        <w:t>(c)-(d)</w:t>
      </w:r>
      <w:r w:rsidR="00DC079D" w:rsidRPr="008D0479">
        <w:t>.</w:t>
      </w:r>
    </w:p>
  </w:footnote>
  <w:footnote w:id="73">
    <w:p w14:paraId="7A1F3E56" w14:textId="2E4A0796"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w:t>
      </w:r>
      <w:r w:rsidR="00DC079D" w:rsidRPr="008D0479">
        <w:t>s</w:t>
      </w:r>
      <w:r w:rsidRPr="008D0479">
        <w:t xml:space="preserve"> 14/23, para</w:t>
      </w:r>
      <w:r w:rsidR="00DC079D" w:rsidRPr="008D0479">
        <w:t>.</w:t>
      </w:r>
      <w:r w:rsidRPr="008D0479">
        <w:t xml:space="preserve"> </w:t>
      </w:r>
      <w:r w:rsidRPr="008D0479">
        <w:rPr>
          <w:lang w:val="fr-FR"/>
        </w:rPr>
        <w:t>8</w:t>
      </w:r>
      <w:r w:rsidR="00DC079D" w:rsidRPr="008D0479">
        <w:rPr>
          <w:lang w:val="fr-FR"/>
        </w:rPr>
        <w:t xml:space="preserve"> </w:t>
      </w:r>
      <w:r w:rsidRPr="008D0479">
        <w:rPr>
          <w:lang w:val="fr-FR"/>
        </w:rPr>
        <w:t>(c</w:t>
      </w:r>
      <w:proofErr w:type="gramStart"/>
      <w:r w:rsidRPr="008D0479">
        <w:rPr>
          <w:lang w:val="fr-FR"/>
        </w:rPr>
        <w:t>);</w:t>
      </w:r>
      <w:proofErr w:type="gramEnd"/>
      <w:r w:rsidRPr="008D0479">
        <w:rPr>
          <w:lang w:val="fr-FR"/>
        </w:rPr>
        <w:t xml:space="preserve"> 15/15, </w:t>
      </w:r>
      <w:proofErr w:type="spellStart"/>
      <w:r w:rsidRPr="008D0479">
        <w:rPr>
          <w:lang w:val="fr-FR"/>
        </w:rPr>
        <w:t>annex</w:t>
      </w:r>
      <w:proofErr w:type="spellEnd"/>
      <w:r w:rsidRPr="008D0479">
        <w:rPr>
          <w:lang w:val="fr-FR"/>
        </w:rPr>
        <w:t xml:space="preserve"> II B, para</w:t>
      </w:r>
      <w:r w:rsidR="00DC079D" w:rsidRPr="008D0479">
        <w:rPr>
          <w:lang w:val="fr-FR"/>
        </w:rPr>
        <w:t>.</w:t>
      </w:r>
      <w:r w:rsidRPr="008D0479">
        <w:rPr>
          <w:lang w:val="fr-FR"/>
        </w:rPr>
        <w:t xml:space="preserve"> </w:t>
      </w:r>
      <w:r w:rsidRPr="008D0479">
        <w:t>9</w:t>
      </w:r>
      <w:r w:rsidR="00DC079D" w:rsidRPr="008D0479">
        <w:t xml:space="preserve"> </w:t>
      </w:r>
      <w:r w:rsidRPr="008D0479">
        <w:t>(d)</w:t>
      </w:r>
      <w:r w:rsidR="00DC079D" w:rsidRPr="008D0479">
        <w:t>.</w:t>
      </w:r>
    </w:p>
  </w:footnote>
  <w:footnote w:id="74">
    <w:p w14:paraId="1BA75391" w14:textId="6911E28D" w:rsidR="00A152D3" w:rsidRPr="008D0479" w:rsidRDefault="00A152D3" w:rsidP="00E31D44">
      <w:pPr>
        <w:pStyle w:val="FootnoteText"/>
      </w:pPr>
      <w:r w:rsidRPr="008D0479">
        <w:rPr>
          <w:rStyle w:val="FootnoteReference"/>
          <w:rFonts w:eastAsiaTheme="majorEastAsia"/>
        </w:rPr>
        <w:footnoteRef/>
      </w:r>
      <w:r w:rsidRPr="008D0479">
        <w:t xml:space="preserve"> </w:t>
      </w:r>
      <w:r w:rsidRPr="008D0479">
        <w:rPr>
          <w:snapToGrid w:val="0"/>
          <w:kern w:val="18"/>
          <w:szCs w:val="18"/>
        </w:rPr>
        <w:t>Decision</w:t>
      </w:r>
      <w:r w:rsidR="00DC079D" w:rsidRPr="008D0479">
        <w:rPr>
          <w:snapToGrid w:val="0"/>
          <w:kern w:val="18"/>
          <w:szCs w:val="18"/>
        </w:rPr>
        <w:t>s</w:t>
      </w:r>
      <w:r w:rsidRPr="008D0479">
        <w:rPr>
          <w:snapToGrid w:val="0"/>
          <w:kern w:val="18"/>
          <w:szCs w:val="18"/>
        </w:rPr>
        <w:t xml:space="preserve"> XIII/21, para</w:t>
      </w:r>
      <w:r w:rsidR="00DC079D" w:rsidRPr="008D0479">
        <w:rPr>
          <w:snapToGrid w:val="0"/>
          <w:kern w:val="18"/>
          <w:szCs w:val="18"/>
        </w:rPr>
        <w:t>.</w:t>
      </w:r>
      <w:r w:rsidRPr="008D0479">
        <w:rPr>
          <w:snapToGrid w:val="0"/>
          <w:kern w:val="18"/>
          <w:szCs w:val="18"/>
        </w:rPr>
        <w:t xml:space="preserve"> 36</w:t>
      </w:r>
      <w:r w:rsidR="00DC079D" w:rsidRPr="008D0479">
        <w:rPr>
          <w:snapToGrid w:val="0"/>
          <w:kern w:val="18"/>
          <w:szCs w:val="18"/>
        </w:rPr>
        <w:t xml:space="preserve"> </w:t>
      </w:r>
      <w:r w:rsidRPr="008D0479">
        <w:rPr>
          <w:snapToGrid w:val="0"/>
          <w:kern w:val="18"/>
          <w:szCs w:val="18"/>
        </w:rPr>
        <w:t xml:space="preserve">(b); </w:t>
      </w:r>
      <w:r w:rsidRPr="008D0479">
        <w:t>14/23, para. 7(a)</w:t>
      </w:r>
    </w:p>
  </w:footnote>
  <w:footnote w:id="75">
    <w:p w14:paraId="7D3DB1EC" w14:textId="6E2D2BF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27</w:t>
      </w:r>
      <w:r w:rsidR="00DC079D" w:rsidRPr="008D0479">
        <w:rPr>
          <w:snapToGrid w:val="0"/>
          <w:kern w:val="18"/>
          <w:szCs w:val="18"/>
        </w:rPr>
        <w:t>.</w:t>
      </w:r>
    </w:p>
  </w:footnote>
  <w:footnote w:id="76">
    <w:p w14:paraId="748332B8" w14:textId="55FD70E9" w:rsidR="00A152D3" w:rsidRPr="008D0479" w:rsidRDefault="00A152D3">
      <w:pPr>
        <w:pStyle w:val="FootnoteText"/>
      </w:pPr>
      <w:r w:rsidRPr="008D0479">
        <w:rPr>
          <w:rStyle w:val="FootnoteReference"/>
        </w:rPr>
        <w:footnoteRef/>
      </w:r>
      <w:r w:rsidRPr="008D0479">
        <w:t xml:space="preserve"> Decision 15/15, annex II B, para</w:t>
      </w:r>
      <w:r w:rsidR="00DC079D" w:rsidRPr="008D0479">
        <w:t>.</w:t>
      </w:r>
      <w:r w:rsidRPr="008D0479">
        <w:t xml:space="preserve"> 8</w:t>
      </w:r>
      <w:r w:rsidR="00DC079D" w:rsidRPr="008D0479">
        <w:t>.</w:t>
      </w:r>
    </w:p>
  </w:footnote>
  <w:footnote w:id="77">
    <w:p w14:paraId="42DF992E" w14:textId="76E178FA"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w:t>
      </w:r>
      <w:r w:rsidR="00DC079D" w:rsidRPr="008D0479">
        <w:rPr>
          <w:snapToGrid w:val="0"/>
          <w:kern w:val="18"/>
          <w:szCs w:val="18"/>
        </w:rPr>
        <w:t>.</w:t>
      </w:r>
      <w:r w:rsidRPr="008D0479">
        <w:rPr>
          <w:snapToGrid w:val="0"/>
          <w:kern w:val="18"/>
          <w:szCs w:val="18"/>
        </w:rPr>
        <w:t xml:space="preserve"> 4</w:t>
      </w:r>
      <w:r w:rsidR="00DC079D" w:rsidRPr="008D0479">
        <w:rPr>
          <w:snapToGrid w:val="0"/>
          <w:kern w:val="18"/>
          <w:szCs w:val="18"/>
        </w:rPr>
        <w:t>.</w:t>
      </w:r>
    </w:p>
  </w:footnote>
  <w:footnote w:id="78">
    <w:p w14:paraId="170449AA" w14:textId="42EB02F6"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79">
    <w:p w14:paraId="4B95E9EF" w14:textId="4CDD5FD3" w:rsidR="00A152D3" w:rsidRPr="008D0479" w:rsidRDefault="00A152D3">
      <w:pPr>
        <w:pStyle w:val="FootnoteText"/>
      </w:pPr>
      <w:r w:rsidRPr="008D0479">
        <w:rPr>
          <w:rStyle w:val="FootnoteReference"/>
        </w:rPr>
        <w:footnoteRef/>
      </w:r>
      <w:r w:rsidRPr="008D0479">
        <w:t xml:space="preserve"> Decision 15/15, annex II B, para</w:t>
      </w:r>
      <w:r w:rsidR="00DC079D" w:rsidRPr="008D0479">
        <w:t>.</w:t>
      </w:r>
      <w:r w:rsidRPr="008D0479">
        <w:t xml:space="preserve"> 4</w:t>
      </w:r>
      <w:r w:rsidR="00DC079D" w:rsidRPr="008D0479">
        <w:t>.</w:t>
      </w:r>
    </w:p>
  </w:footnote>
  <w:footnote w:id="80">
    <w:p w14:paraId="1A8AAAF8" w14:textId="63B1EDE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1">
    <w:p w14:paraId="54CDA603" w14:textId="3C0199DB"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2">
    <w:p w14:paraId="7066AA96" w14:textId="24782A9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3">
    <w:p w14:paraId="2DAB331B" w14:textId="3106E05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4">
    <w:p w14:paraId="1BD45AF8" w14:textId="6FDA0CC6"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5">
    <w:p w14:paraId="3CB28C7F" w14:textId="1B29029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6">
    <w:p w14:paraId="28C4CB04" w14:textId="32922F2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28; XIII/21, para</w:t>
      </w:r>
      <w:r w:rsidR="00DC079D" w:rsidRPr="008D0479">
        <w:rPr>
          <w:snapToGrid w:val="0"/>
          <w:kern w:val="18"/>
          <w:szCs w:val="18"/>
        </w:rPr>
        <w:t>.</w:t>
      </w:r>
      <w:r w:rsidRPr="008D0479">
        <w:rPr>
          <w:snapToGrid w:val="0"/>
          <w:kern w:val="18"/>
          <w:szCs w:val="18"/>
        </w:rPr>
        <w:t xml:space="preserve"> 21</w:t>
      </w:r>
      <w:r w:rsidR="00DC079D" w:rsidRPr="008D0479">
        <w:rPr>
          <w:snapToGrid w:val="0"/>
          <w:kern w:val="18"/>
          <w:szCs w:val="18"/>
        </w:rPr>
        <w:t>.</w:t>
      </w:r>
    </w:p>
  </w:footnote>
  <w:footnote w:id="87">
    <w:p w14:paraId="20AD1AFE" w14:textId="2D27AF5B"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88">
    <w:p w14:paraId="2BF14124" w14:textId="667EF4C6"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w:t>
      </w:r>
      <w:r w:rsidR="00DC079D" w:rsidRPr="008D0479">
        <w:rPr>
          <w:snapToGrid w:val="0"/>
          <w:kern w:val="18"/>
          <w:szCs w:val="18"/>
        </w:rPr>
        <w:t>.</w:t>
      </w:r>
      <w:r w:rsidRPr="008D0479">
        <w:rPr>
          <w:snapToGrid w:val="0"/>
          <w:kern w:val="18"/>
          <w:szCs w:val="18"/>
        </w:rPr>
        <w:t xml:space="preserve"> 17</w:t>
      </w:r>
      <w:r w:rsidR="00DC079D" w:rsidRPr="008D0479">
        <w:rPr>
          <w:snapToGrid w:val="0"/>
          <w:kern w:val="18"/>
          <w:szCs w:val="18"/>
        </w:rPr>
        <w:t>.</w:t>
      </w:r>
    </w:p>
  </w:footnote>
  <w:footnote w:id="89">
    <w:p w14:paraId="615CC4C3" w14:textId="2F812B0B"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0">
    <w:p w14:paraId="3EF56001" w14:textId="095D1A0B"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1">
    <w:p w14:paraId="6670E72B" w14:textId="53BCD1B1"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2">
    <w:p w14:paraId="1461508A" w14:textId="0DC547E6"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 14/23, para</w:t>
      </w:r>
      <w:r w:rsidR="00DC079D" w:rsidRPr="008D0479">
        <w:t>.</w:t>
      </w:r>
      <w:r w:rsidRPr="008D0479">
        <w:t xml:space="preserve"> 12</w:t>
      </w:r>
      <w:r w:rsidR="00DC079D" w:rsidRPr="008D0479">
        <w:t xml:space="preserve"> </w:t>
      </w:r>
      <w:r w:rsidRPr="008D0479">
        <w:t>(c)</w:t>
      </w:r>
      <w:r w:rsidR="00DC079D" w:rsidRPr="008D0479">
        <w:t>.</w:t>
      </w:r>
    </w:p>
  </w:footnote>
  <w:footnote w:id="93">
    <w:p w14:paraId="745B7188" w14:textId="6A4CBDC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w:t>
      </w:r>
      <w:r w:rsidR="00DC079D" w:rsidRPr="008D0479">
        <w:rPr>
          <w:snapToGrid w:val="0"/>
          <w:kern w:val="18"/>
          <w:szCs w:val="18"/>
        </w:rPr>
        <w:t>s</w:t>
      </w:r>
      <w:r w:rsidRPr="008D0479">
        <w:rPr>
          <w:snapToGrid w:val="0"/>
          <w:kern w:val="18"/>
          <w:szCs w:val="18"/>
        </w:rPr>
        <w:t xml:space="preserve"> XIII/21, annex II, para</w:t>
      </w:r>
      <w:r w:rsidR="00DC079D" w:rsidRPr="008D0479">
        <w:rPr>
          <w:snapToGrid w:val="0"/>
          <w:kern w:val="18"/>
          <w:szCs w:val="18"/>
        </w:rPr>
        <w:t>.</w:t>
      </w:r>
      <w:r w:rsidRPr="008D0479">
        <w:rPr>
          <w:snapToGrid w:val="0"/>
          <w:kern w:val="18"/>
          <w:szCs w:val="18"/>
        </w:rPr>
        <w:t xml:space="preserve"> 28; XIII/21, para</w:t>
      </w:r>
      <w:r w:rsidR="00DC079D" w:rsidRPr="008D0479">
        <w:rPr>
          <w:snapToGrid w:val="0"/>
          <w:kern w:val="18"/>
          <w:szCs w:val="18"/>
        </w:rPr>
        <w:t>.</w:t>
      </w:r>
      <w:r w:rsidRPr="008D0479">
        <w:rPr>
          <w:snapToGrid w:val="0"/>
          <w:kern w:val="18"/>
          <w:szCs w:val="18"/>
        </w:rPr>
        <w:t xml:space="preserve"> 6</w:t>
      </w:r>
      <w:r w:rsidR="00DC079D" w:rsidRPr="008D0479">
        <w:rPr>
          <w:snapToGrid w:val="0"/>
          <w:kern w:val="18"/>
          <w:szCs w:val="18"/>
        </w:rPr>
        <w:t>.</w:t>
      </w:r>
    </w:p>
  </w:footnote>
  <w:footnote w:id="94">
    <w:p w14:paraId="731F5F78" w14:textId="1D19EF1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5">
    <w:p w14:paraId="159E828C" w14:textId="482C83E2"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6">
    <w:p w14:paraId="7D02E363" w14:textId="6ECC45F2"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7">
    <w:p w14:paraId="72DA4572" w14:textId="2DA454BE"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98">
    <w:p w14:paraId="3AA7299D" w14:textId="1453D25F"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 14/23, para</w:t>
      </w:r>
      <w:r w:rsidR="00DC079D" w:rsidRPr="008D0479">
        <w:t>.</w:t>
      </w:r>
      <w:r w:rsidRPr="008D0479">
        <w:t xml:space="preserve"> 12</w:t>
      </w:r>
      <w:r w:rsidR="00DC079D" w:rsidRPr="008D0479">
        <w:t xml:space="preserve"> </w:t>
      </w:r>
      <w:r w:rsidRPr="008D0479">
        <w:t>(d)</w:t>
      </w:r>
      <w:r w:rsidR="00DC079D" w:rsidRPr="008D0479">
        <w:t>.</w:t>
      </w:r>
    </w:p>
  </w:footnote>
  <w:footnote w:id="99">
    <w:p w14:paraId="39F447F9" w14:textId="6EBA35B7"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100">
    <w:p w14:paraId="6B79F06C" w14:textId="78AB97F3"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101">
    <w:p w14:paraId="40095EB0" w14:textId="69F149D3"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102">
    <w:p w14:paraId="42825EBA" w14:textId="68AA09ED"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103">
    <w:p w14:paraId="1E78E8C7" w14:textId="5E4BC6FA"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Updated from decision 14/23, para</w:t>
      </w:r>
      <w:r w:rsidR="00DC079D" w:rsidRPr="008D0479">
        <w:t>.</w:t>
      </w:r>
      <w:r w:rsidRPr="008D0479">
        <w:t xml:space="preserve"> 6</w:t>
      </w:r>
      <w:r w:rsidR="00DC079D" w:rsidRPr="008D0479">
        <w:t>.</w:t>
      </w:r>
    </w:p>
  </w:footnote>
  <w:footnote w:id="104">
    <w:p w14:paraId="1F86E0A7" w14:textId="1C1D44A8"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DC079D" w:rsidRPr="008D0479">
        <w:rPr>
          <w:snapToGrid w:val="0"/>
          <w:kern w:val="18"/>
          <w:szCs w:val="18"/>
        </w:rPr>
        <w:t>.</w:t>
      </w:r>
      <w:r w:rsidRPr="008D0479">
        <w:rPr>
          <w:snapToGrid w:val="0"/>
          <w:kern w:val="18"/>
          <w:szCs w:val="18"/>
        </w:rPr>
        <w:t xml:space="preserve"> 28</w:t>
      </w:r>
      <w:r w:rsidR="00DC079D" w:rsidRPr="008D0479">
        <w:rPr>
          <w:snapToGrid w:val="0"/>
          <w:kern w:val="18"/>
          <w:szCs w:val="18"/>
        </w:rPr>
        <w:t>.</w:t>
      </w:r>
    </w:p>
  </w:footnote>
  <w:footnote w:id="105">
    <w:p w14:paraId="14652FA7" w14:textId="29DFA0B9"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paras</w:t>
      </w:r>
      <w:r w:rsidR="003D6D45" w:rsidRPr="008D0479">
        <w:rPr>
          <w:snapToGrid w:val="0"/>
          <w:kern w:val="18"/>
          <w:szCs w:val="18"/>
        </w:rPr>
        <w:t>.</w:t>
      </w:r>
      <w:r w:rsidRPr="008D0479">
        <w:rPr>
          <w:snapToGrid w:val="0"/>
          <w:kern w:val="18"/>
          <w:szCs w:val="18"/>
        </w:rPr>
        <w:t xml:space="preserve"> 18, 19 and 20</w:t>
      </w:r>
      <w:r w:rsidR="00DC079D" w:rsidRPr="008D0479">
        <w:rPr>
          <w:snapToGrid w:val="0"/>
          <w:kern w:val="18"/>
          <w:szCs w:val="18"/>
        </w:rPr>
        <w:t>.</w:t>
      </w:r>
    </w:p>
  </w:footnote>
  <w:footnote w:id="106">
    <w:p w14:paraId="08E1CA00" w14:textId="6C4DC331" w:rsidR="00A152D3" w:rsidRPr="008D0479" w:rsidRDefault="00A152D3" w:rsidP="00E31D44">
      <w:pPr>
        <w:pStyle w:val="FootnoteText"/>
        <w:rPr>
          <w:lang w:val="fr-FR"/>
        </w:rPr>
      </w:pPr>
      <w:r w:rsidRPr="008D0479">
        <w:rPr>
          <w:rStyle w:val="FootnoteReference"/>
          <w:rFonts w:eastAsiaTheme="majorEastAsia"/>
        </w:rPr>
        <w:footnoteRef/>
      </w:r>
      <w:r w:rsidRPr="008D0479">
        <w:rPr>
          <w:lang w:val="fr-FR"/>
        </w:rPr>
        <w:t xml:space="preserve"> </w:t>
      </w:r>
      <w:proofErr w:type="spellStart"/>
      <w:r w:rsidRPr="008D0479">
        <w:rPr>
          <w:snapToGrid w:val="0"/>
          <w:kern w:val="18"/>
          <w:szCs w:val="18"/>
          <w:lang w:val="fr-FR"/>
        </w:rPr>
        <w:t>Decision</w:t>
      </w:r>
      <w:r w:rsidR="003D6D45" w:rsidRPr="008D0479">
        <w:rPr>
          <w:snapToGrid w:val="0"/>
          <w:kern w:val="18"/>
          <w:szCs w:val="18"/>
          <w:lang w:val="fr-FR"/>
        </w:rPr>
        <w:t>s</w:t>
      </w:r>
      <w:proofErr w:type="spellEnd"/>
      <w:r w:rsidRPr="008D0479">
        <w:rPr>
          <w:snapToGrid w:val="0"/>
          <w:kern w:val="18"/>
          <w:szCs w:val="18"/>
          <w:lang w:val="fr-FR"/>
        </w:rPr>
        <w:t xml:space="preserve"> XIII/21, para</w:t>
      </w:r>
      <w:r w:rsidR="003D6D45" w:rsidRPr="008D0479">
        <w:rPr>
          <w:snapToGrid w:val="0"/>
          <w:kern w:val="18"/>
          <w:szCs w:val="18"/>
          <w:lang w:val="fr-FR"/>
        </w:rPr>
        <w:t>.</w:t>
      </w:r>
      <w:r w:rsidRPr="008D0479">
        <w:rPr>
          <w:snapToGrid w:val="0"/>
          <w:kern w:val="18"/>
          <w:szCs w:val="18"/>
          <w:lang w:val="fr-FR"/>
        </w:rPr>
        <w:t xml:space="preserve"> </w:t>
      </w:r>
      <w:proofErr w:type="gramStart"/>
      <w:r w:rsidRPr="008D0479">
        <w:rPr>
          <w:snapToGrid w:val="0"/>
          <w:kern w:val="18"/>
          <w:szCs w:val="18"/>
          <w:lang w:val="fr-FR"/>
        </w:rPr>
        <w:t>3;</w:t>
      </w:r>
      <w:proofErr w:type="gramEnd"/>
      <w:r w:rsidRPr="008D0479">
        <w:rPr>
          <w:snapToGrid w:val="0"/>
          <w:kern w:val="18"/>
          <w:szCs w:val="18"/>
          <w:lang w:val="fr-FR"/>
        </w:rPr>
        <w:t xml:space="preserve"> </w:t>
      </w:r>
      <w:r w:rsidRPr="008D0479">
        <w:rPr>
          <w:lang w:val="fr-FR"/>
        </w:rPr>
        <w:t>14/30, para</w:t>
      </w:r>
      <w:r w:rsidR="003D6D45" w:rsidRPr="008D0479">
        <w:rPr>
          <w:lang w:val="fr-FR"/>
        </w:rPr>
        <w:t>.</w:t>
      </w:r>
      <w:r w:rsidRPr="008D0479">
        <w:rPr>
          <w:lang w:val="fr-FR"/>
        </w:rPr>
        <w:t xml:space="preserve"> </w:t>
      </w:r>
      <w:proofErr w:type="gramStart"/>
      <w:r w:rsidRPr="008D0479">
        <w:rPr>
          <w:lang w:val="fr-FR"/>
        </w:rPr>
        <w:t>14;</w:t>
      </w:r>
      <w:proofErr w:type="gramEnd"/>
      <w:r w:rsidRPr="008D0479">
        <w:rPr>
          <w:lang w:val="fr-FR"/>
        </w:rPr>
        <w:t xml:space="preserve"> XIII/24, para</w:t>
      </w:r>
      <w:r w:rsidR="003D6D45" w:rsidRPr="008D0479">
        <w:rPr>
          <w:lang w:val="fr-FR"/>
        </w:rPr>
        <w:t>.</w:t>
      </w:r>
      <w:r w:rsidRPr="008D0479">
        <w:rPr>
          <w:lang w:val="fr-FR"/>
        </w:rPr>
        <w:t xml:space="preserve"> 7</w:t>
      </w:r>
      <w:r w:rsidR="003D6D45" w:rsidRPr="008D0479">
        <w:rPr>
          <w:lang w:val="fr-FR"/>
        </w:rPr>
        <w:t>.</w:t>
      </w:r>
    </w:p>
  </w:footnote>
  <w:footnote w:id="107">
    <w:p w14:paraId="590F1B8B" w14:textId="1BE421F0" w:rsidR="00A152D3" w:rsidRPr="008D0479" w:rsidRDefault="00A152D3" w:rsidP="00E31D44">
      <w:pPr>
        <w:pStyle w:val="FootnoteText"/>
      </w:pPr>
      <w:r w:rsidRPr="008D0479">
        <w:rPr>
          <w:rStyle w:val="FootnoteReference"/>
          <w:rFonts w:eastAsiaTheme="majorEastAsia"/>
        </w:rPr>
        <w:footnoteRef/>
      </w:r>
      <w:r w:rsidRPr="008D0479">
        <w:t xml:space="preserve"> Decision 14/23, para. 12</w:t>
      </w:r>
      <w:r w:rsidR="003D6D45" w:rsidRPr="008D0479">
        <w:t xml:space="preserve"> </w:t>
      </w:r>
      <w:r w:rsidRPr="008D0479">
        <w:t>(b)</w:t>
      </w:r>
      <w:r w:rsidR="003D6D45" w:rsidRPr="008D0479">
        <w:t>.</w:t>
      </w:r>
    </w:p>
  </w:footnote>
  <w:footnote w:id="108">
    <w:p w14:paraId="33A09085" w14:textId="7E4612F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3D6D45" w:rsidRPr="008D0479">
        <w:rPr>
          <w:snapToGrid w:val="0"/>
          <w:kern w:val="18"/>
          <w:szCs w:val="18"/>
        </w:rPr>
        <w:t>.</w:t>
      </w:r>
      <w:r w:rsidRPr="008D0479">
        <w:rPr>
          <w:snapToGrid w:val="0"/>
          <w:kern w:val="18"/>
          <w:szCs w:val="18"/>
        </w:rPr>
        <w:t xml:space="preserve"> 29</w:t>
      </w:r>
    </w:p>
  </w:footnote>
  <w:footnote w:id="109">
    <w:p w14:paraId="31D4FCCF" w14:textId="6152FB7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037AC7" w:rsidRPr="008D0479">
        <w:rPr>
          <w:snapToGrid w:val="0"/>
          <w:kern w:val="18"/>
          <w:szCs w:val="18"/>
        </w:rPr>
        <w:t>.</w:t>
      </w:r>
      <w:r w:rsidRPr="008D0479">
        <w:rPr>
          <w:snapToGrid w:val="0"/>
          <w:kern w:val="18"/>
          <w:szCs w:val="18"/>
        </w:rPr>
        <w:t xml:space="preserve"> 30</w:t>
      </w:r>
      <w:r w:rsidR="00037AC7" w:rsidRPr="008D0479">
        <w:rPr>
          <w:snapToGrid w:val="0"/>
          <w:kern w:val="18"/>
          <w:szCs w:val="18"/>
        </w:rPr>
        <w:t>.</w:t>
      </w:r>
    </w:p>
  </w:footnote>
  <w:footnote w:id="110">
    <w:p w14:paraId="52F35768" w14:textId="2FC22B9B"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w:t>
      </w:r>
      <w:r w:rsidR="00037AC7" w:rsidRPr="008D0479">
        <w:rPr>
          <w:snapToGrid w:val="0"/>
          <w:kern w:val="18"/>
          <w:szCs w:val="18"/>
        </w:rPr>
        <w:t>s</w:t>
      </w:r>
      <w:r w:rsidRPr="008D0479">
        <w:rPr>
          <w:snapToGrid w:val="0"/>
          <w:kern w:val="18"/>
          <w:szCs w:val="18"/>
        </w:rPr>
        <w:t xml:space="preserve"> XIII/21, para</w:t>
      </w:r>
      <w:r w:rsidR="00037AC7" w:rsidRPr="008D0479">
        <w:rPr>
          <w:snapToGrid w:val="0"/>
          <w:kern w:val="18"/>
          <w:szCs w:val="18"/>
        </w:rPr>
        <w:t>.</w:t>
      </w:r>
      <w:r w:rsidRPr="008D0479">
        <w:rPr>
          <w:snapToGrid w:val="0"/>
          <w:kern w:val="18"/>
          <w:szCs w:val="18"/>
        </w:rPr>
        <w:t xml:space="preserve"> 27; </w:t>
      </w:r>
      <w:r w:rsidRPr="008D0479">
        <w:t>XIII/27, para</w:t>
      </w:r>
      <w:r w:rsidR="00037AC7" w:rsidRPr="008D0479">
        <w:t>.</w:t>
      </w:r>
      <w:r w:rsidRPr="008D0479">
        <w:t xml:space="preserve"> 4; 14/27, para</w:t>
      </w:r>
      <w:r w:rsidR="00037AC7" w:rsidRPr="008D0479">
        <w:t>.</w:t>
      </w:r>
      <w:r w:rsidRPr="008D0479">
        <w:t xml:space="preserve"> 3</w:t>
      </w:r>
      <w:r w:rsidR="00037AC7" w:rsidRPr="008D0479">
        <w:t xml:space="preserve"> </w:t>
      </w:r>
      <w:r w:rsidRPr="008D0479">
        <w:t>(a)</w:t>
      </w:r>
      <w:r w:rsidR="00037AC7" w:rsidRPr="008D0479">
        <w:t>.</w:t>
      </w:r>
    </w:p>
  </w:footnote>
  <w:footnote w:id="111">
    <w:p w14:paraId="5C6D1230" w14:textId="470F9D7E"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w:t>
      </w:r>
      <w:r w:rsidR="00037AC7" w:rsidRPr="008D0479">
        <w:rPr>
          <w:snapToGrid w:val="0"/>
          <w:kern w:val="18"/>
          <w:szCs w:val="18"/>
        </w:rPr>
        <w:t>s.</w:t>
      </w:r>
      <w:r w:rsidRPr="008D0479">
        <w:rPr>
          <w:snapToGrid w:val="0"/>
          <w:kern w:val="18"/>
          <w:szCs w:val="18"/>
        </w:rPr>
        <w:t xml:space="preserve"> 31-32</w:t>
      </w:r>
      <w:r w:rsidR="00037AC7" w:rsidRPr="008D0479">
        <w:rPr>
          <w:snapToGrid w:val="0"/>
          <w:kern w:val="18"/>
          <w:szCs w:val="18"/>
        </w:rPr>
        <w:t>.</w:t>
      </w:r>
    </w:p>
  </w:footnote>
  <w:footnote w:id="112">
    <w:p w14:paraId="5F5F9A5F" w14:textId="3D19CFDA" w:rsidR="00A152D3" w:rsidRPr="008D0479" w:rsidRDefault="00A152D3" w:rsidP="00E31D44">
      <w:pPr>
        <w:pStyle w:val="FootnoteText"/>
        <w:suppressLineNumbers/>
        <w:suppressAutoHyphens/>
        <w:adjustRightInd w:val="0"/>
        <w:snapToGrid w:val="0"/>
        <w:rPr>
          <w:snapToGrid w:val="0"/>
          <w:kern w:val="18"/>
          <w:szCs w:val="18"/>
        </w:rPr>
      </w:pPr>
      <w:r w:rsidRPr="008D0479">
        <w:rPr>
          <w:rStyle w:val="FootnoteReference"/>
          <w:rFonts w:eastAsiaTheme="majorEastAsia"/>
          <w:snapToGrid w:val="0"/>
          <w:kern w:val="18"/>
          <w:szCs w:val="18"/>
        </w:rPr>
        <w:footnoteRef/>
      </w:r>
      <w:r w:rsidRPr="008D0479">
        <w:rPr>
          <w:snapToGrid w:val="0"/>
          <w:kern w:val="18"/>
          <w:szCs w:val="18"/>
        </w:rPr>
        <w:t xml:space="preserve"> Decision XIII/21, annex II, paras</w:t>
      </w:r>
      <w:r w:rsidR="00037AC7" w:rsidRPr="008D0479">
        <w:rPr>
          <w:snapToGrid w:val="0"/>
          <w:kern w:val="18"/>
          <w:szCs w:val="18"/>
        </w:rPr>
        <w:t>.</w:t>
      </w:r>
      <w:r w:rsidRPr="008D0479">
        <w:rPr>
          <w:snapToGrid w:val="0"/>
          <w:kern w:val="18"/>
          <w:szCs w:val="18"/>
        </w:rPr>
        <w:t xml:space="preserve"> 33-34</w:t>
      </w:r>
      <w:r w:rsidR="00037AC7" w:rsidRPr="008D0479">
        <w:rPr>
          <w:snapToGrid w:val="0"/>
          <w:kern w:val="18"/>
          <w:szCs w:val="18"/>
        </w:rPr>
        <w:t>.</w:t>
      </w:r>
    </w:p>
  </w:footnote>
  <w:footnote w:id="113">
    <w:p w14:paraId="71B20DAB" w14:textId="2247B94F"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paras</w:t>
      </w:r>
      <w:r w:rsidR="00037AC7" w:rsidRPr="008D0479">
        <w:rPr>
          <w:snapToGrid w:val="0"/>
          <w:kern w:val="18"/>
          <w:szCs w:val="18"/>
        </w:rPr>
        <w:t>.</w:t>
      </w:r>
      <w:r w:rsidRPr="008D0479">
        <w:rPr>
          <w:snapToGrid w:val="0"/>
          <w:kern w:val="18"/>
          <w:szCs w:val="18"/>
        </w:rPr>
        <w:t xml:space="preserve"> 35-36</w:t>
      </w:r>
      <w:r w:rsidR="00037AC7" w:rsidRPr="008D0479">
        <w:rPr>
          <w:snapToGrid w:val="0"/>
          <w:kern w:val="18"/>
          <w:szCs w:val="18"/>
        </w:rPr>
        <w:t>.</w:t>
      </w:r>
    </w:p>
  </w:footnote>
  <w:footnote w:id="114">
    <w:p w14:paraId="56C34D2F" w14:textId="349CE0BE"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037AC7" w:rsidRPr="008D0479">
        <w:rPr>
          <w:snapToGrid w:val="0"/>
          <w:kern w:val="18"/>
          <w:szCs w:val="18"/>
        </w:rPr>
        <w:t>.</w:t>
      </w:r>
      <w:r w:rsidRPr="008D0479">
        <w:rPr>
          <w:snapToGrid w:val="0"/>
          <w:kern w:val="18"/>
          <w:szCs w:val="18"/>
        </w:rPr>
        <w:t xml:space="preserve"> 37</w:t>
      </w:r>
      <w:r w:rsidR="00037AC7" w:rsidRPr="008D0479">
        <w:rPr>
          <w:snapToGrid w:val="0"/>
          <w:kern w:val="18"/>
          <w:szCs w:val="18"/>
        </w:rPr>
        <w:t>.</w:t>
      </w:r>
    </w:p>
  </w:footnote>
  <w:footnote w:id="115">
    <w:p w14:paraId="1D74EBDA" w14:textId="0166B916"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037AC7" w:rsidRPr="008D0479">
        <w:rPr>
          <w:snapToGrid w:val="0"/>
          <w:kern w:val="18"/>
          <w:szCs w:val="18"/>
        </w:rPr>
        <w:t>.</w:t>
      </w:r>
      <w:r w:rsidRPr="008D0479">
        <w:rPr>
          <w:snapToGrid w:val="0"/>
          <w:kern w:val="18"/>
          <w:szCs w:val="18"/>
        </w:rPr>
        <w:t xml:space="preserve"> 40</w:t>
      </w:r>
      <w:r w:rsidR="00037AC7" w:rsidRPr="008D0479">
        <w:rPr>
          <w:snapToGrid w:val="0"/>
          <w:kern w:val="18"/>
          <w:szCs w:val="18"/>
        </w:rPr>
        <w:t>.</w:t>
      </w:r>
    </w:p>
  </w:footnote>
  <w:footnote w:id="116">
    <w:p w14:paraId="2988D3A0" w14:textId="5CD72F39"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Updated from decision XIII/21, annex II, para</w:t>
      </w:r>
      <w:r w:rsidR="00037AC7" w:rsidRPr="008D0479">
        <w:rPr>
          <w:snapToGrid w:val="0"/>
          <w:kern w:val="18"/>
          <w:szCs w:val="18"/>
        </w:rPr>
        <w:t>.</w:t>
      </w:r>
      <w:r w:rsidRPr="008D0479">
        <w:rPr>
          <w:snapToGrid w:val="0"/>
          <w:kern w:val="18"/>
          <w:szCs w:val="18"/>
        </w:rPr>
        <w:t xml:space="preserve"> 41</w:t>
      </w:r>
      <w:r w:rsidR="00037AC7" w:rsidRPr="008D0479">
        <w:rPr>
          <w:snapToGrid w:val="0"/>
          <w:kern w:val="18"/>
          <w:szCs w:val="18"/>
        </w:rPr>
        <w:t>.</w:t>
      </w:r>
    </w:p>
  </w:footnote>
  <w:footnote w:id="117">
    <w:p w14:paraId="012B7B45" w14:textId="463B7A52"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037AC7" w:rsidRPr="008D0479">
        <w:rPr>
          <w:snapToGrid w:val="0"/>
          <w:kern w:val="18"/>
          <w:szCs w:val="18"/>
        </w:rPr>
        <w:t>.</w:t>
      </w:r>
      <w:r w:rsidRPr="008D0479">
        <w:rPr>
          <w:snapToGrid w:val="0"/>
          <w:kern w:val="18"/>
          <w:szCs w:val="18"/>
        </w:rPr>
        <w:t xml:space="preserve"> 38</w:t>
      </w:r>
      <w:r w:rsidR="00037AC7" w:rsidRPr="008D0479">
        <w:rPr>
          <w:snapToGrid w:val="0"/>
          <w:kern w:val="18"/>
          <w:szCs w:val="18"/>
        </w:rPr>
        <w:t>.</w:t>
      </w:r>
    </w:p>
  </w:footnote>
  <w:footnote w:id="118">
    <w:p w14:paraId="7C24A6E2" w14:textId="72D06E35"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037AC7" w:rsidRPr="008D0479">
        <w:rPr>
          <w:snapToGrid w:val="0"/>
          <w:kern w:val="18"/>
          <w:szCs w:val="18"/>
        </w:rPr>
        <w:t>.</w:t>
      </w:r>
      <w:r w:rsidRPr="008D0479">
        <w:rPr>
          <w:snapToGrid w:val="0"/>
          <w:kern w:val="18"/>
          <w:szCs w:val="18"/>
        </w:rPr>
        <w:t xml:space="preserve"> 39</w:t>
      </w:r>
      <w:r w:rsidR="00037AC7" w:rsidRPr="008D0479">
        <w:rPr>
          <w:snapToGrid w:val="0"/>
          <w:kern w:val="18"/>
          <w:szCs w:val="18"/>
        </w:rPr>
        <w:t>.</w:t>
      </w:r>
    </w:p>
  </w:footnote>
  <w:footnote w:id="119">
    <w:p w14:paraId="25231B60" w14:textId="4120DFF7"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w:t>
      </w:r>
      <w:r w:rsidRPr="008D0479">
        <w:rPr>
          <w:snapToGrid w:val="0"/>
          <w:kern w:val="18"/>
          <w:szCs w:val="18"/>
        </w:rPr>
        <w:t>Decision XIII/21, para</w:t>
      </w:r>
      <w:r w:rsidR="00037AC7" w:rsidRPr="008D0479">
        <w:rPr>
          <w:snapToGrid w:val="0"/>
          <w:kern w:val="18"/>
          <w:szCs w:val="18"/>
        </w:rPr>
        <w:t>.</w:t>
      </w:r>
      <w:r w:rsidRPr="008D0479">
        <w:rPr>
          <w:snapToGrid w:val="0"/>
          <w:kern w:val="18"/>
          <w:szCs w:val="18"/>
        </w:rPr>
        <w:t xml:space="preserve"> 5</w:t>
      </w:r>
      <w:r w:rsidR="00037AC7" w:rsidRPr="008D0479">
        <w:rPr>
          <w:snapToGrid w:val="0"/>
          <w:kern w:val="18"/>
          <w:szCs w:val="18"/>
        </w:rPr>
        <w:t>.</w:t>
      </w:r>
    </w:p>
  </w:footnote>
  <w:footnote w:id="120">
    <w:p w14:paraId="4EDDE6D9" w14:textId="253CD22F"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vertAlign w:val="superscript"/>
        </w:rPr>
        <w:t xml:space="preserve"> </w:t>
      </w:r>
      <w:r w:rsidRPr="008D0479">
        <w:rPr>
          <w:snapToGrid w:val="0"/>
          <w:kern w:val="18"/>
          <w:szCs w:val="18"/>
        </w:rPr>
        <w:t>Decision XIII/21, annex II, para</w:t>
      </w:r>
      <w:r w:rsidR="00037AC7" w:rsidRPr="008D0479">
        <w:rPr>
          <w:snapToGrid w:val="0"/>
          <w:kern w:val="18"/>
          <w:szCs w:val="18"/>
        </w:rPr>
        <w:t>.</w:t>
      </w:r>
      <w:r w:rsidRPr="008D0479">
        <w:rPr>
          <w:snapToGrid w:val="0"/>
          <w:kern w:val="18"/>
          <w:szCs w:val="18"/>
        </w:rPr>
        <w:t xml:space="preserve"> 42</w:t>
      </w:r>
      <w:r w:rsidR="00037AC7" w:rsidRPr="008D0479">
        <w:rPr>
          <w:snapToGrid w:val="0"/>
          <w:kern w:val="18"/>
          <w:szCs w:val="18"/>
        </w:rPr>
        <w:t>.</w:t>
      </w:r>
    </w:p>
  </w:footnote>
  <w:footnote w:id="121">
    <w:p w14:paraId="31EDFCC8" w14:textId="368B3E80" w:rsidR="00A152D3" w:rsidRPr="008D0479" w:rsidRDefault="00A152D3" w:rsidP="00E31D44">
      <w:pPr>
        <w:pStyle w:val="FootnoteText"/>
        <w:suppressLineNumbers/>
        <w:suppressAutoHyphens/>
        <w:adjustRightInd w:val="0"/>
        <w:snapToGrid w:val="0"/>
        <w:rPr>
          <w:szCs w:val="24"/>
          <w:lang w:val="fr-FR"/>
        </w:rPr>
      </w:pPr>
      <w:r w:rsidRPr="008D0479">
        <w:rPr>
          <w:rStyle w:val="FootnoteReference"/>
          <w:rFonts w:eastAsiaTheme="majorEastAsia"/>
        </w:rPr>
        <w:footnoteRef/>
      </w:r>
      <w:r w:rsidRPr="008D0479">
        <w:t xml:space="preserve"> </w:t>
      </w:r>
      <w:r w:rsidRPr="008D0479">
        <w:rPr>
          <w:snapToGrid w:val="0"/>
          <w:kern w:val="18"/>
          <w:szCs w:val="18"/>
        </w:rPr>
        <w:t>Decision XIII/21, annex II, para</w:t>
      </w:r>
      <w:r w:rsidR="00037AC7" w:rsidRPr="008D0479">
        <w:rPr>
          <w:snapToGrid w:val="0"/>
          <w:kern w:val="18"/>
          <w:szCs w:val="18"/>
        </w:rPr>
        <w:t>.</w:t>
      </w:r>
      <w:r w:rsidRPr="008D0479">
        <w:rPr>
          <w:snapToGrid w:val="0"/>
          <w:kern w:val="18"/>
          <w:szCs w:val="18"/>
        </w:rPr>
        <w:t xml:space="preserve"> </w:t>
      </w:r>
      <w:proofErr w:type="gramStart"/>
      <w:r w:rsidRPr="008D0479">
        <w:rPr>
          <w:snapToGrid w:val="0"/>
          <w:kern w:val="18"/>
          <w:szCs w:val="18"/>
          <w:lang w:val="fr-FR"/>
        </w:rPr>
        <w:t>47;</w:t>
      </w:r>
      <w:proofErr w:type="gramEnd"/>
      <w:r w:rsidRPr="008D0479">
        <w:rPr>
          <w:snapToGrid w:val="0"/>
          <w:kern w:val="18"/>
          <w:szCs w:val="18"/>
          <w:lang w:val="fr-FR"/>
        </w:rPr>
        <w:t xml:space="preserve"> XIII/21, para</w:t>
      </w:r>
      <w:r w:rsidR="00037AC7" w:rsidRPr="008D0479">
        <w:rPr>
          <w:snapToGrid w:val="0"/>
          <w:kern w:val="18"/>
          <w:szCs w:val="18"/>
          <w:lang w:val="fr-FR"/>
        </w:rPr>
        <w:t>.</w:t>
      </w:r>
      <w:r w:rsidRPr="008D0479">
        <w:rPr>
          <w:snapToGrid w:val="0"/>
          <w:kern w:val="18"/>
          <w:szCs w:val="18"/>
          <w:lang w:val="fr-FR"/>
        </w:rPr>
        <w:t xml:space="preserve"> 15</w:t>
      </w:r>
      <w:r w:rsidR="00037AC7" w:rsidRPr="008D0479">
        <w:rPr>
          <w:snapToGrid w:val="0"/>
          <w:kern w:val="18"/>
          <w:szCs w:val="18"/>
          <w:lang w:val="fr-FR"/>
        </w:rPr>
        <w:t>.</w:t>
      </w:r>
    </w:p>
  </w:footnote>
  <w:footnote w:id="122">
    <w:p w14:paraId="1207585B" w14:textId="16E98786" w:rsidR="00A152D3" w:rsidRPr="008D0479" w:rsidRDefault="00A152D3" w:rsidP="00E31D44">
      <w:pPr>
        <w:pStyle w:val="FootnoteText"/>
      </w:pPr>
      <w:r w:rsidRPr="008D0479">
        <w:rPr>
          <w:rStyle w:val="FootnoteReference"/>
          <w:rFonts w:eastAsiaTheme="majorEastAsia"/>
        </w:rPr>
        <w:footnoteRef/>
      </w:r>
      <w:r w:rsidRPr="008D0479">
        <w:rPr>
          <w:lang w:val="fr-FR"/>
        </w:rPr>
        <w:t xml:space="preserve"> </w:t>
      </w:r>
      <w:proofErr w:type="spellStart"/>
      <w:r w:rsidRPr="008D0479">
        <w:rPr>
          <w:snapToGrid w:val="0"/>
          <w:kern w:val="18"/>
          <w:szCs w:val="18"/>
          <w:lang w:val="fr-FR"/>
        </w:rPr>
        <w:t>Decision</w:t>
      </w:r>
      <w:proofErr w:type="spellEnd"/>
      <w:r w:rsidRPr="008D0479">
        <w:rPr>
          <w:snapToGrid w:val="0"/>
          <w:kern w:val="18"/>
          <w:szCs w:val="18"/>
          <w:lang w:val="fr-FR"/>
        </w:rPr>
        <w:t xml:space="preserve"> XIII/21, paras</w:t>
      </w:r>
      <w:r w:rsidR="00037AC7" w:rsidRPr="008D0479">
        <w:rPr>
          <w:snapToGrid w:val="0"/>
          <w:kern w:val="18"/>
          <w:szCs w:val="18"/>
          <w:lang w:val="fr-FR"/>
        </w:rPr>
        <w:t>.</w:t>
      </w:r>
      <w:r w:rsidRPr="008D0479">
        <w:rPr>
          <w:snapToGrid w:val="0"/>
          <w:kern w:val="18"/>
          <w:szCs w:val="18"/>
          <w:lang w:val="fr-FR"/>
        </w:rPr>
        <w:t xml:space="preserve"> </w:t>
      </w:r>
      <w:r w:rsidRPr="008D0479">
        <w:rPr>
          <w:snapToGrid w:val="0"/>
          <w:kern w:val="18"/>
          <w:szCs w:val="18"/>
        </w:rPr>
        <w:t>22 and 23</w:t>
      </w:r>
      <w:r w:rsidR="00037AC7" w:rsidRPr="008D0479">
        <w:rPr>
          <w:snapToGrid w:val="0"/>
          <w:kern w:val="18"/>
          <w:szCs w:val="18"/>
        </w:rPr>
        <w:t>.</w:t>
      </w:r>
    </w:p>
  </w:footnote>
  <w:footnote w:id="123">
    <w:p w14:paraId="3ED54A6A" w14:textId="742CE621" w:rsidR="00A152D3" w:rsidRPr="008D0479" w:rsidRDefault="00A152D3" w:rsidP="00E31D44">
      <w:pPr>
        <w:pStyle w:val="FootnoteText"/>
      </w:pPr>
      <w:r w:rsidRPr="008D0479">
        <w:rPr>
          <w:rStyle w:val="FootnoteReference"/>
          <w:rFonts w:eastAsiaTheme="majorEastAsia"/>
        </w:rPr>
        <w:footnoteRef/>
      </w:r>
      <w:r w:rsidRPr="008D0479">
        <w:t xml:space="preserve"> Decision 14/23, para</w:t>
      </w:r>
      <w:r w:rsidR="00037AC7" w:rsidRPr="008D0479">
        <w:t>.</w:t>
      </w:r>
      <w:r w:rsidRPr="008D0479">
        <w:t xml:space="preserve"> 3; 14/15, para</w:t>
      </w:r>
      <w:r w:rsidR="008B61F2" w:rsidRPr="008D0479">
        <w:t>.</w:t>
      </w:r>
      <w:r w:rsidRPr="008D0479">
        <w:t xml:space="preserve"> 6</w:t>
      </w:r>
      <w:r w:rsidR="008B61F2" w:rsidRPr="008D0479">
        <w:t>.</w:t>
      </w:r>
    </w:p>
  </w:footnote>
  <w:footnote w:id="124">
    <w:p w14:paraId="1794968F" w14:textId="798578D8" w:rsidR="00A152D3" w:rsidRPr="008D0479" w:rsidRDefault="00A152D3" w:rsidP="00E31D44">
      <w:pPr>
        <w:pStyle w:val="FootnoteText"/>
      </w:pPr>
      <w:r w:rsidRPr="008D0479">
        <w:rPr>
          <w:rStyle w:val="FootnoteReference"/>
          <w:rFonts w:eastAsiaTheme="majorEastAsia"/>
        </w:rPr>
        <w:footnoteRef/>
      </w:r>
      <w:r w:rsidRPr="008D0479">
        <w:t xml:space="preserve"> Decision 14/23, para</w:t>
      </w:r>
      <w:r w:rsidR="008B61F2" w:rsidRPr="008D0479">
        <w:t>.</w:t>
      </w:r>
      <w:r w:rsidRPr="008D0479">
        <w:t xml:space="preserve"> 12</w:t>
      </w:r>
      <w:r w:rsidR="008B61F2" w:rsidRPr="008D0479">
        <w:t xml:space="preserve"> </w:t>
      </w:r>
      <w:r w:rsidRPr="008D0479">
        <w:t>(e)</w:t>
      </w:r>
      <w:r w:rsidR="008B61F2" w:rsidRPr="008D0479">
        <w:t xml:space="preserve"> </w:t>
      </w:r>
      <w:r w:rsidRPr="008D0479">
        <w:t>(</w:t>
      </w:r>
      <w:proofErr w:type="spellStart"/>
      <w:r w:rsidRPr="008D0479">
        <w:t>i</w:t>
      </w:r>
      <w:proofErr w:type="spellEnd"/>
      <w:r w:rsidRPr="008D0479">
        <w:t>)</w:t>
      </w:r>
      <w:r w:rsidR="008B61F2" w:rsidRPr="008D0479">
        <w:t>.</w:t>
      </w:r>
    </w:p>
  </w:footnote>
  <w:footnote w:id="125">
    <w:p w14:paraId="3A609B74" w14:textId="1079F63A" w:rsidR="00A152D3" w:rsidRPr="008D0479" w:rsidRDefault="00A152D3" w:rsidP="00E31D44">
      <w:pPr>
        <w:pStyle w:val="FootnoteText"/>
      </w:pPr>
      <w:r w:rsidRPr="008D0479">
        <w:rPr>
          <w:rStyle w:val="FootnoteReference"/>
          <w:rFonts w:eastAsiaTheme="majorEastAsia"/>
        </w:rPr>
        <w:footnoteRef/>
      </w:r>
      <w:r w:rsidRPr="008D0479">
        <w:t xml:space="preserve"> Decision 14/23, para</w:t>
      </w:r>
      <w:r w:rsidR="008B61F2" w:rsidRPr="008D0479">
        <w:t>.</w:t>
      </w:r>
      <w:r w:rsidRPr="008D0479">
        <w:t xml:space="preserve"> 12</w:t>
      </w:r>
      <w:r w:rsidR="008B61F2" w:rsidRPr="008D0479">
        <w:t xml:space="preserve"> </w:t>
      </w:r>
      <w:r w:rsidRPr="008D0479">
        <w:t>(e)</w:t>
      </w:r>
      <w:r w:rsidR="008B61F2" w:rsidRPr="008D0479">
        <w:t xml:space="preserve"> </w:t>
      </w:r>
      <w:r w:rsidRPr="008D0479">
        <w:t>(ii)</w:t>
      </w:r>
      <w:r w:rsidR="008B61F2" w:rsidRPr="008D0479">
        <w:t>.</w:t>
      </w:r>
    </w:p>
  </w:footnote>
  <w:footnote w:id="126">
    <w:p w14:paraId="27389120" w14:textId="31E7B702"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8B61F2" w:rsidRPr="008D0479">
        <w:rPr>
          <w:snapToGrid w:val="0"/>
          <w:kern w:val="18"/>
          <w:szCs w:val="18"/>
        </w:rPr>
        <w:t>.</w:t>
      </w:r>
      <w:r w:rsidRPr="008D0479">
        <w:rPr>
          <w:snapToGrid w:val="0"/>
          <w:kern w:val="18"/>
          <w:szCs w:val="18"/>
        </w:rPr>
        <w:t xml:space="preserve"> 43</w:t>
      </w:r>
      <w:r w:rsidR="008B61F2" w:rsidRPr="008D0479">
        <w:rPr>
          <w:snapToGrid w:val="0"/>
          <w:kern w:val="18"/>
          <w:szCs w:val="18"/>
        </w:rPr>
        <w:t>.</w:t>
      </w:r>
    </w:p>
  </w:footnote>
  <w:footnote w:id="127">
    <w:p w14:paraId="40244640" w14:textId="21649A73" w:rsidR="00A152D3" w:rsidRPr="008D0479" w:rsidRDefault="00A152D3" w:rsidP="00E31D44">
      <w:pPr>
        <w:pStyle w:val="FootnoteText"/>
        <w:suppressLineNumbers/>
        <w:suppressAutoHyphens/>
        <w:adjustRightInd w:val="0"/>
        <w:snapToGrid w:val="0"/>
        <w:rPr>
          <w:szCs w:val="24"/>
        </w:rPr>
      </w:pPr>
      <w:r w:rsidRPr="008D0479">
        <w:rPr>
          <w:rStyle w:val="FootnoteReference"/>
          <w:rFonts w:eastAsiaTheme="majorEastAsia"/>
        </w:rPr>
        <w:footnoteRef/>
      </w:r>
      <w:r w:rsidRPr="008D0479">
        <w:t xml:space="preserve"> </w:t>
      </w:r>
      <w:r w:rsidRPr="008D0479">
        <w:rPr>
          <w:snapToGrid w:val="0"/>
          <w:kern w:val="18"/>
          <w:szCs w:val="18"/>
        </w:rPr>
        <w:t>Decision XIII/21, annex II, para</w:t>
      </w:r>
      <w:r w:rsidR="008B61F2" w:rsidRPr="008D0479">
        <w:rPr>
          <w:snapToGrid w:val="0"/>
          <w:kern w:val="18"/>
          <w:szCs w:val="18"/>
        </w:rPr>
        <w:t>.</w:t>
      </w:r>
      <w:r w:rsidRPr="008D0479">
        <w:rPr>
          <w:snapToGrid w:val="0"/>
          <w:kern w:val="18"/>
          <w:szCs w:val="18"/>
        </w:rPr>
        <w:t xml:space="preserve"> 44</w:t>
      </w:r>
      <w:r w:rsidR="008B61F2" w:rsidRPr="008D0479">
        <w:rPr>
          <w:snapToGrid w:val="0"/>
          <w:kern w:val="18"/>
          <w:szCs w:val="18"/>
        </w:rPr>
        <w:t>.</w:t>
      </w:r>
    </w:p>
  </w:footnote>
  <w:footnote w:id="128">
    <w:p w14:paraId="4AA7E5FB" w14:textId="2B85F5A3" w:rsidR="00A152D3" w:rsidRPr="008D0479" w:rsidRDefault="00A152D3" w:rsidP="00E31D44">
      <w:pPr>
        <w:pStyle w:val="FootnoteText"/>
        <w:suppressLineNumbers/>
        <w:suppressAutoHyphens/>
        <w:adjustRightInd w:val="0"/>
        <w:snapToGrid w:val="0"/>
      </w:pPr>
      <w:r w:rsidRPr="008D0479">
        <w:rPr>
          <w:rStyle w:val="FootnoteReference"/>
          <w:rFonts w:eastAsiaTheme="majorEastAsia"/>
        </w:rPr>
        <w:footnoteRef/>
      </w:r>
      <w:r w:rsidRPr="008D0479">
        <w:t xml:space="preserve"> </w:t>
      </w:r>
      <w:r w:rsidRPr="008D0479">
        <w:rPr>
          <w:snapToGrid w:val="0"/>
          <w:kern w:val="18"/>
          <w:szCs w:val="18"/>
        </w:rPr>
        <w:t>Decision XIII/21, annex II, para</w:t>
      </w:r>
      <w:r w:rsidR="008B61F2" w:rsidRPr="008D0479">
        <w:rPr>
          <w:snapToGrid w:val="0"/>
          <w:kern w:val="18"/>
          <w:szCs w:val="18"/>
        </w:rPr>
        <w:t>.</w:t>
      </w:r>
      <w:r w:rsidRPr="008D0479">
        <w:rPr>
          <w:snapToGrid w:val="0"/>
          <w:kern w:val="18"/>
          <w:szCs w:val="18"/>
        </w:rPr>
        <w:t xml:space="preserve"> 45</w:t>
      </w:r>
      <w:r w:rsidR="008B61F2" w:rsidRPr="008D0479">
        <w:rPr>
          <w:snapToGrid w:val="0"/>
          <w:kern w:val="18"/>
          <w:szCs w:val="18"/>
        </w:rPr>
        <w:t>.</w:t>
      </w:r>
    </w:p>
  </w:footnote>
  <w:footnote w:id="129">
    <w:p w14:paraId="262EBB22" w14:textId="7D6DA105" w:rsidR="00A152D3" w:rsidRPr="008D0479" w:rsidRDefault="00A152D3" w:rsidP="00E31D44">
      <w:pPr>
        <w:pStyle w:val="FootnoteText"/>
        <w:suppressLineNumbers/>
        <w:suppressAutoHyphens/>
        <w:adjustRightInd w:val="0"/>
        <w:snapToGrid w:val="0"/>
      </w:pPr>
      <w:r w:rsidRPr="008D0479">
        <w:rPr>
          <w:rStyle w:val="FootnoteReference"/>
          <w:rFonts w:eastAsiaTheme="majorEastAsia"/>
        </w:rPr>
        <w:footnoteRef/>
      </w:r>
      <w:r w:rsidRPr="008D0479">
        <w:t xml:space="preserve"> </w:t>
      </w:r>
      <w:r w:rsidRPr="008D0479">
        <w:rPr>
          <w:snapToGrid w:val="0"/>
          <w:kern w:val="18"/>
          <w:szCs w:val="18"/>
        </w:rPr>
        <w:t>Decision</w:t>
      </w:r>
      <w:r w:rsidR="008B61F2" w:rsidRPr="008D0479">
        <w:rPr>
          <w:snapToGrid w:val="0"/>
          <w:kern w:val="18"/>
          <w:szCs w:val="18"/>
        </w:rPr>
        <w:t>s</w:t>
      </w:r>
      <w:r w:rsidRPr="008D0479">
        <w:rPr>
          <w:snapToGrid w:val="0"/>
          <w:kern w:val="18"/>
          <w:szCs w:val="18"/>
        </w:rPr>
        <w:t xml:space="preserve"> XIII/21, annex II, paras</w:t>
      </w:r>
      <w:r w:rsidR="008B61F2" w:rsidRPr="008D0479">
        <w:rPr>
          <w:snapToGrid w:val="0"/>
          <w:kern w:val="18"/>
          <w:szCs w:val="18"/>
        </w:rPr>
        <w:t>.</w:t>
      </w:r>
      <w:r w:rsidRPr="008D0479">
        <w:rPr>
          <w:snapToGrid w:val="0"/>
          <w:kern w:val="18"/>
          <w:szCs w:val="18"/>
        </w:rPr>
        <w:t xml:space="preserve"> 46, 48; XIII/21, para</w:t>
      </w:r>
      <w:r w:rsidR="008B61F2" w:rsidRPr="008D0479">
        <w:rPr>
          <w:snapToGrid w:val="0"/>
          <w:kern w:val="18"/>
          <w:szCs w:val="18"/>
        </w:rPr>
        <w:t>.</w:t>
      </w:r>
      <w:r w:rsidRPr="008D0479">
        <w:rPr>
          <w:snapToGrid w:val="0"/>
          <w:kern w:val="18"/>
          <w:szCs w:val="18"/>
        </w:rPr>
        <w:t xml:space="preserve"> 16; </w:t>
      </w:r>
      <w:r w:rsidRPr="008D0479">
        <w:t>14/23, para</w:t>
      </w:r>
      <w:r w:rsidR="008B61F2" w:rsidRPr="008D0479">
        <w:t>.</w:t>
      </w:r>
      <w:r w:rsidRPr="008D0479">
        <w:t xml:space="preserve"> 1</w:t>
      </w:r>
      <w:r w:rsidR="008B61F2" w:rsidRPr="008D0479">
        <w:t>.</w:t>
      </w:r>
    </w:p>
  </w:footnote>
  <w:footnote w:id="130">
    <w:p w14:paraId="69CDBEDF" w14:textId="71C73021"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8B61F2" w:rsidRPr="008D0479">
        <w:rPr>
          <w:snapToGrid w:val="0"/>
          <w:kern w:val="18"/>
          <w:szCs w:val="18"/>
        </w:rPr>
        <w:t>.</w:t>
      </w:r>
      <w:r w:rsidRPr="008D0479">
        <w:rPr>
          <w:snapToGrid w:val="0"/>
          <w:kern w:val="18"/>
          <w:szCs w:val="18"/>
        </w:rPr>
        <w:t xml:space="preserve"> 49</w:t>
      </w:r>
      <w:r w:rsidR="008B61F2" w:rsidRPr="008D0479">
        <w:rPr>
          <w:snapToGrid w:val="0"/>
          <w:kern w:val="18"/>
          <w:szCs w:val="18"/>
        </w:rPr>
        <w:t>.</w:t>
      </w:r>
    </w:p>
  </w:footnote>
  <w:footnote w:id="131">
    <w:p w14:paraId="152061B5" w14:textId="018E50D0"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8B61F2" w:rsidRPr="008D0479">
        <w:rPr>
          <w:snapToGrid w:val="0"/>
          <w:kern w:val="18"/>
          <w:szCs w:val="18"/>
        </w:rPr>
        <w:t>.</w:t>
      </w:r>
      <w:r w:rsidRPr="008D0479">
        <w:rPr>
          <w:snapToGrid w:val="0"/>
          <w:kern w:val="18"/>
          <w:szCs w:val="18"/>
        </w:rPr>
        <w:t xml:space="preserve"> 50</w:t>
      </w:r>
      <w:r w:rsidR="008B61F2" w:rsidRPr="008D0479">
        <w:rPr>
          <w:snapToGrid w:val="0"/>
          <w:kern w:val="18"/>
          <w:szCs w:val="18"/>
        </w:rPr>
        <w:t>.</w:t>
      </w:r>
    </w:p>
  </w:footnote>
  <w:footnote w:id="132">
    <w:p w14:paraId="1651176D" w14:textId="4BBEE18D" w:rsidR="00A152D3" w:rsidRPr="008D0479" w:rsidRDefault="00A152D3" w:rsidP="00E31D44">
      <w:pPr>
        <w:pStyle w:val="FootnoteText"/>
        <w:suppressLineNumbers/>
        <w:suppressAutoHyphens/>
        <w:adjustRightInd w:val="0"/>
        <w:snapToGrid w:val="0"/>
        <w:rPr>
          <w:snapToGrid w:val="0"/>
          <w:kern w:val="18"/>
          <w:szCs w:val="18"/>
        </w:rPr>
      </w:pPr>
      <w:r w:rsidRPr="008D0479">
        <w:rPr>
          <w:snapToGrid w:val="0"/>
          <w:kern w:val="18"/>
          <w:szCs w:val="18"/>
          <w:vertAlign w:val="superscript"/>
        </w:rPr>
        <w:footnoteRef/>
      </w:r>
      <w:r w:rsidRPr="008D0479">
        <w:rPr>
          <w:snapToGrid w:val="0"/>
          <w:kern w:val="18"/>
          <w:szCs w:val="18"/>
        </w:rPr>
        <w:t xml:space="preserve"> Decision XIII/21, annex II, para</w:t>
      </w:r>
      <w:r w:rsidR="00C52DEC" w:rsidRPr="008D0479">
        <w:rPr>
          <w:snapToGrid w:val="0"/>
          <w:kern w:val="18"/>
          <w:szCs w:val="18"/>
        </w:rPr>
        <w:t>.</w:t>
      </w:r>
      <w:r w:rsidRPr="008D0479">
        <w:rPr>
          <w:snapToGrid w:val="0"/>
          <w:kern w:val="18"/>
          <w:szCs w:val="18"/>
        </w:rPr>
        <w:t xml:space="preserve"> 51</w:t>
      </w:r>
      <w:r w:rsidR="00C52DEC" w:rsidRPr="008D0479">
        <w:rPr>
          <w:snapToGrid w:val="0"/>
          <w:kern w:val="18"/>
          <w:szCs w:val="18"/>
        </w:rPr>
        <w:t>.</w:t>
      </w:r>
    </w:p>
  </w:footnote>
  <w:footnote w:id="133">
    <w:p w14:paraId="3FFC6CB1" w14:textId="74DFBB95" w:rsidR="00A152D3" w:rsidRPr="008D0479" w:rsidRDefault="00A152D3" w:rsidP="00E31D44">
      <w:pPr>
        <w:pStyle w:val="FootnoteText"/>
        <w:rPr>
          <w:szCs w:val="24"/>
        </w:rPr>
      </w:pPr>
      <w:r w:rsidRPr="008D0479">
        <w:rPr>
          <w:rStyle w:val="FootnoteReference"/>
          <w:rFonts w:eastAsiaTheme="majorEastAsia"/>
        </w:rPr>
        <w:footnoteRef/>
      </w:r>
      <w:r w:rsidRPr="008D0479">
        <w:t xml:space="preserve"> Decision 14/23, para</w:t>
      </w:r>
      <w:r w:rsidR="00C52DEC" w:rsidRPr="008D0479">
        <w:t>.</w:t>
      </w:r>
      <w:r w:rsidRPr="008D0479">
        <w:t xml:space="preserve"> 18</w:t>
      </w:r>
      <w:r w:rsidR="00C52DEC" w:rsidRPr="008D0479">
        <w:t>.</w:t>
      </w:r>
    </w:p>
  </w:footnote>
  <w:footnote w:id="134">
    <w:p w14:paraId="51E28FB3" w14:textId="462C34DF" w:rsidR="00A152D3" w:rsidRPr="008D0479" w:rsidRDefault="00A152D3" w:rsidP="00E31D44">
      <w:pPr>
        <w:pStyle w:val="FootnoteText"/>
      </w:pPr>
      <w:r w:rsidRPr="008D0479">
        <w:rPr>
          <w:rStyle w:val="FootnoteReference"/>
          <w:rFonts w:eastAsiaTheme="majorEastAsia"/>
        </w:rPr>
        <w:footnoteRef/>
      </w:r>
      <w:r w:rsidRPr="008D0479">
        <w:t xml:space="preserve"> Decision 14/23, para</w:t>
      </w:r>
      <w:r w:rsidR="00C52DEC" w:rsidRPr="008D0479">
        <w:t>.</w:t>
      </w:r>
      <w:r w:rsidRPr="008D0479">
        <w:t xml:space="preserve"> 19</w:t>
      </w:r>
      <w:r w:rsidR="00C52DEC" w:rsidRPr="008D0479">
        <w:t>.</w:t>
      </w:r>
    </w:p>
  </w:footnote>
  <w:footnote w:id="135">
    <w:p w14:paraId="40AD242E" w14:textId="28F51EAA" w:rsidR="00A152D3" w:rsidRPr="008D0479" w:rsidRDefault="00A152D3">
      <w:pPr>
        <w:pStyle w:val="FootnoteText"/>
      </w:pPr>
      <w:r w:rsidRPr="008D0479">
        <w:rPr>
          <w:rStyle w:val="FootnoteReference"/>
        </w:rPr>
        <w:footnoteRef/>
      </w:r>
      <w:r w:rsidRPr="008D0479">
        <w:t xml:space="preserve"> Decision 15/15, paras</w:t>
      </w:r>
      <w:r w:rsidR="00C52DEC" w:rsidRPr="008D0479">
        <w:t>.</w:t>
      </w:r>
      <w:r w:rsidRPr="008D0479">
        <w:t xml:space="preserve"> 20 to 27</w:t>
      </w:r>
      <w:r w:rsidR="00C52DEC" w:rsidRPr="008D0479">
        <w:t>.</w:t>
      </w:r>
    </w:p>
  </w:footnote>
  <w:footnote w:id="136">
    <w:p w14:paraId="62C12ABE" w14:textId="5EA61674" w:rsidR="00A152D3" w:rsidRPr="008D0479" w:rsidRDefault="00A152D3">
      <w:pPr>
        <w:pStyle w:val="FootnoteText"/>
      </w:pPr>
      <w:r w:rsidRPr="008D0479">
        <w:rPr>
          <w:rStyle w:val="FootnoteReference"/>
        </w:rPr>
        <w:footnoteRef/>
      </w:r>
      <w:r w:rsidRPr="008D0479">
        <w:t xml:space="preserve"> Decision 15/15, para</w:t>
      </w:r>
      <w:r w:rsidR="00C52DEC" w:rsidRPr="008D0479">
        <w:t>.</w:t>
      </w:r>
      <w:r w:rsidRPr="008D0479">
        <w:t xml:space="preserve"> 20</w:t>
      </w:r>
      <w:r w:rsidR="00C52DEC" w:rsidRPr="008D0479">
        <w:t>.</w:t>
      </w:r>
    </w:p>
  </w:footnote>
  <w:footnote w:id="137">
    <w:p w14:paraId="0ED279A1" w14:textId="24B850E9" w:rsidR="00A152D3" w:rsidRPr="008D0479" w:rsidRDefault="00A152D3" w:rsidP="00054952">
      <w:pPr>
        <w:pStyle w:val="FootnoteText"/>
      </w:pPr>
      <w:r w:rsidRPr="008D0479">
        <w:rPr>
          <w:rStyle w:val="FootnoteReference"/>
        </w:rPr>
        <w:footnoteRef/>
      </w:r>
      <w:r w:rsidRPr="008D0479">
        <w:t xml:space="preserve"> Decision 15/15, paras</w:t>
      </w:r>
      <w:r w:rsidR="00C52DEC" w:rsidRPr="008D0479">
        <w:t>.</w:t>
      </w:r>
      <w:r w:rsidRPr="008D0479">
        <w:t xml:space="preserve"> 21 and 24</w:t>
      </w:r>
      <w:r w:rsidR="00C52DEC" w:rsidRPr="008D0479">
        <w:t>.</w:t>
      </w:r>
    </w:p>
  </w:footnote>
  <w:footnote w:id="138">
    <w:p w14:paraId="68962B8D" w14:textId="4E04BC48" w:rsidR="00A152D3" w:rsidRPr="008D0479" w:rsidRDefault="00A152D3" w:rsidP="00054952">
      <w:pPr>
        <w:pStyle w:val="FootnoteText"/>
      </w:pPr>
      <w:r w:rsidRPr="008D0479">
        <w:rPr>
          <w:rStyle w:val="FootnoteReference"/>
        </w:rPr>
        <w:footnoteRef/>
      </w:r>
      <w:r w:rsidRPr="008D0479">
        <w:t xml:space="preserve"> Decision 15/15, para</w:t>
      </w:r>
      <w:r w:rsidR="00C52DEC" w:rsidRPr="008D0479">
        <w:t>.</w:t>
      </w:r>
      <w:r w:rsidRPr="008D0479">
        <w:t xml:space="preserve"> 22</w:t>
      </w:r>
      <w:r w:rsidR="00C52DEC" w:rsidRPr="008D0479">
        <w:t>.</w:t>
      </w:r>
    </w:p>
  </w:footnote>
  <w:footnote w:id="139">
    <w:p w14:paraId="4B093FBB" w14:textId="26B7F47E" w:rsidR="00A152D3" w:rsidRPr="008D0479" w:rsidRDefault="00A152D3" w:rsidP="00054952">
      <w:pPr>
        <w:pStyle w:val="FootnoteText"/>
      </w:pPr>
      <w:r w:rsidRPr="008D0479">
        <w:rPr>
          <w:rStyle w:val="FootnoteReference"/>
        </w:rPr>
        <w:footnoteRef/>
      </w:r>
      <w:r w:rsidRPr="008D0479">
        <w:t xml:space="preserve"> Decision 15/15, para</w:t>
      </w:r>
      <w:r w:rsidR="00C52DEC" w:rsidRPr="008D0479">
        <w:t>.</w:t>
      </w:r>
      <w:r w:rsidRPr="008D0479">
        <w:t xml:space="preserve"> 23</w:t>
      </w:r>
      <w:r w:rsidR="00C52DEC" w:rsidRPr="008D0479">
        <w:t>.</w:t>
      </w:r>
    </w:p>
  </w:footnote>
  <w:footnote w:id="140">
    <w:p w14:paraId="54BB54C9" w14:textId="7A2B538C" w:rsidR="00A152D3" w:rsidRPr="008D0479" w:rsidRDefault="00A152D3">
      <w:pPr>
        <w:pStyle w:val="FootnoteText"/>
      </w:pPr>
      <w:r w:rsidRPr="008D0479">
        <w:rPr>
          <w:rStyle w:val="FootnoteReference"/>
        </w:rPr>
        <w:footnoteRef/>
      </w:r>
      <w:r w:rsidRPr="008D0479">
        <w:t xml:space="preserve"> Decision 15/15, para</w:t>
      </w:r>
      <w:r w:rsidR="00C52DEC" w:rsidRPr="008D0479">
        <w:t>.</w:t>
      </w:r>
      <w:r w:rsidRPr="008D0479">
        <w:t xml:space="preserve"> 24</w:t>
      </w:r>
      <w:r w:rsidR="00C52DEC" w:rsidRPr="008D0479">
        <w:t>.</w:t>
      </w:r>
    </w:p>
  </w:footnote>
  <w:footnote w:id="141">
    <w:p w14:paraId="2192D852" w14:textId="6B311087" w:rsidR="00A152D3" w:rsidRPr="008D0479" w:rsidRDefault="00A152D3" w:rsidP="00054952">
      <w:pPr>
        <w:pStyle w:val="FootnoteText"/>
      </w:pPr>
      <w:r w:rsidRPr="008D0479">
        <w:rPr>
          <w:rStyle w:val="FootnoteReference"/>
        </w:rPr>
        <w:footnoteRef/>
      </w:r>
      <w:r w:rsidRPr="008D0479">
        <w:t xml:space="preserve"> Decision 15/15, para</w:t>
      </w:r>
      <w:r w:rsidR="00C52DEC" w:rsidRPr="008D0479">
        <w:t>.</w:t>
      </w:r>
      <w:r w:rsidRPr="008D0479">
        <w:t xml:space="preserve"> 26</w:t>
      </w:r>
      <w:r w:rsidR="00C52DEC" w:rsidRPr="008D0479">
        <w:t>.</w:t>
      </w:r>
    </w:p>
  </w:footnote>
  <w:footnote w:id="142">
    <w:p w14:paraId="0F73F27F" w14:textId="5453EFD2" w:rsidR="00A152D3" w:rsidRPr="008D0479" w:rsidRDefault="00A152D3" w:rsidP="00054952">
      <w:pPr>
        <w:pStyle w:val="FootnoteText"/>
      </w:pPr>
      <w:r w:rsidRPr="008D0479">
        <w:rPr>
          <w:rStyle w:val="FootnoteReference"/>
        </w:rPr>
        <w:footnoteRef/>
      </w:r>
      <w:r w:rsidRPr="008D0479">
        <w:t xml:space="preserve"> Decision 15/15, para</w:t>
      </w:r>
      <w:r w:rsidR="00C52DEC" w:rsidRPr="008D0479">
        <w:t>.</w:t>
      </w:r>
      <w:r w:rsidRPr="008D0479">
        <w:t xml:space="preserve"> 27</w:t>
      </w:r>
      <w:r w:rsidR="00C52DEC" w:rsidRPr="008D0479">
        <w:t>.</w:t>
      </w:r>
    </w:p>
  </w:footnote>
  <w:footnote w:id="143">
    <w:p w14:paraId="6F6CBE1E" w14:textId="332430F8" w:rsidR="00A152D3" w:rsidRPr="008D0479" w:rsidRDefault="00A152D3">
      <w:pPr>
        <w:pStyle w:val="FootnoteText"/>
      </w:pPr>
      <w:r w:rsidRPr="008D0479">
        <w:rPr>
          <w:rStyle w:val="FootnoteReference"/>
        </w:rPr>
        <w:footnoteRef/>
      </w:r>
      <w:r w:rsidRPr="008D0479">
        <w:t xml:space="preserve"> Decision 15/15, para</w:t>
      </w:r>
      <w:r w:rsidR="00C52DEC" w:rsidRPr="008D0479">
        <w:t>.</w:t>
      </w:r>
      <w:r w:rsidRPr="008D0479">
        <w:t xml:space="preserve"> 28</w:t>
      </w:r>
      <w:r w:rsidR="00C52DEC" w:rsidRPr="008D0479">
        <w:t>.</w:t>
      </w:r>
    </w:p>
  </w:footnote>
  <w:footnote w:id="144">
    <w:p w14:paraId="354EB939" w14:textId="4EB586E8" w:rsidR="00A152D3" w:rsidRPr="008D0479" w:rsidRDefault="00A152D3" w:rsidP="00054952">
      <w:pPr>
        <w:pStyle w:val="FootnoteText"/>
      </w:pPr>
      <w:r w:rsidRPr="008D0479">
        <w:rPr>
          <w:rStyle w:val="FootnoteReference"/>
        </w:rPr>
        <w:footnoteRef/>
      </w:r>
      <w:r w:rsidRPr="008D0479">
        <w:t xml:space="preserve"> Decision 15/15, paragraph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4" w:name="_Hlk137802784"/>
  <w:bookmarkStart w:id="35" w:name="_Hlk137802785"/>
  <w:p w14:paraId="704837A3" w14:textId="3EF5E8D6" w:rsidR="00A152D3" w:rsidRPr="00165C16" w:rsidRDefault="00000000" w:rsidP="008D0479">
    <w:pPr>
      <w:pStyle w:val="Header"/>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152D3" w:rsidRPr="00165C16">
          <w:rPr>
            <w:szCs w:val="20"/>
          </w:rPr>
          <w:t>CBD/COP/16/6/Add.1</w:t>
        </w:r>
      </w:sdtContent>
    </w:sdt>
    <w:bookmarkEnd w:id="34"/>
    <w:bookmarkEnd w:id="3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44F0F5E" w14:textId="4832CE0D" w:rsidR="00A152D3" w:rsidRPr="008D0479" w:rsidRDefault="00A152D3" w:rsidP="002B559C">
        <w:pPr>
          <w:pStyle w:val="Header"/>
          <w:spacing w:after="240"/>
          <w:jc w:val="right"/>
          <w:rPr>
            <w:szCs w:val="20"/>
          </w:rPr>
        </w:pPr>
        <w:r w:rsidRPr="008D0479">
          <w:rPr>
            <w:szCs w:val="20"/>
          </w:rPr>
          <w:t>CBD/COP/16/6/Add.1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162473E"/>
    <w:multiLevelType w:val="hybridMultilevel"/>
    <w:tmpl w:val="92C4CF0E"/>
    <w:lvl w:ilvl="0" w:tplc="CAB40D4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2EB7232"/>
    <w:multiLevelType w:val="hybridMultilevel"/>
    <w:tmpl w:val="403242A0"/>
    <w:lvl w:ilvl="0" w:tplc="FFFFFFFF">
      <w:start w:val="1"/>
      <w:numFmt w:val="lowerLetter"/>
      <w:lvlText w:val="(%1)"/>
      <w:lvlJc w:val="left"/>
      <w:pPr>
        <w:ind w:left="720" w:hanging="360"/>
      </w:pPr>
      <w:rPr>
        <w:b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E16CCC"/>
    <w:multiLevelType w:val="hybridMultilevel"/>
    <w:tmpl w:val="85DA6A78"/>
    <w:lvl w:ilvl="0" w:tplc="FFFFFFFF">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0" w15:restartNumberingAfterBreak="0">
    <w:nsid w:val="64380731"/>
    <w:multiLevelType w:val="hybridMultilevel"/>
    <w:tmpl w:val="85DA6A78"/>
    <w:lvl w:ilvl="0" w:tplc="FFFFFFFF">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1"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89939408">
    <w:abstractNumId w:val="31"/>
  </w:num>
  <w:num w:numId="2" w16cid:durableId="167260756">
    <w:abstractNumId w:val="42"/>
  </w:num>
  <w:num w:numId="3" w16cid:durableId="821891448">
    <w:abstractNumId w:val="37"/>
  </w:num>
  <w:num w:numId="4" w16cid:durableId="1144617260">
    <w:abstractNumId w:val="12"/>
    <w:lvlOverride w:ilvl="0">
      <w:startOverride w:val="1"/>
    </w:lvlOverride>
    <w:lvlOverride w:ilvl="1"/>
    <w:lvlOverride w:ilvl="2"/>
    <w:lvlOverride w:ilvl="3"/>
    <w:lvlOverride w:ilvl="4"/>
    <w:lvlOverride w:ilvl="5"/>
    <w:lvlOverride w:ilvl="6"/>
    <w:lvlOverride w:ilvl="7"/>
    <w:lvlOverride w:ilvl="8"/>
  </w:num>
  <w:num w:numId="5" w16cid:durableId="3795930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893623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60664361">
    <w:abstractNumId w:val="42"/>
    <w:lvlOverride w:ilvl="0">
      <w:startOverride w:val="1"/>
    </w:lvlOverride>
  </w:num>
  <w:num w:numId="8" w16cid:durableId="1780371691">
    <w:abstractNumId w:val="17"/>
  </w:num>
  <w:num w:numId="9" w16cid:durableId="440104145">
    <w:abstractNumId w:val="39"/>
  </w:num>
  <w:num w:numId="10" w16cid:durableId="1096294266">
    <w:abstractNumId w:val="12"/>
  </w:num>
  <w:num w:numId="11" w16cid:durableId="2030252238">
    <w:abstractNumId w:val="40"/>
  </w:num>
  <w:num w:numId="12" w16cid:durableId="556937495">
    <w:abstractNumId w:val="28"/>
  </w:num>
  <w:num w:numId="13" w16cid:durableId="560672902">
    <w:abstractNumId w:val="15"/>
  </w:num>
  <w:num w:numId="14" w16cid:durableId="1072390599">
    <w:abstractNumId w:val="44"/>
  </w:num>
  <w:num w:numId="15" w16cid:durableId="1933662228">
    <w:abstractNumId w:val="27"/>
  </w:num>
  <w:num w:numId="16" w16cid:durableId="1991909117">
    <w:abstractNumId w:val="11"/>
  </w:num>
  <w:num w:numId="17" w16cid:durableId="1138956019">
    <w:abstractNumId w:val="20"/>
  </w:num>
  <w:num w:numId="18" w16cid:durableId="607395260">
    <w:abstractNumId w:val="9"/>
  </w:num>
  <w:num w:numId="19" w16cid:durableId="98110136">
    <w:abstractNumId w:val="7"/>
  </w:num>
  <w:num w:numId="20" w16cid:durableId="920676582">
    <w:abstractNumId w:val="6"/>
  </w:num>
  <w:num w:numId="21" w16cid:durableId="447286378">
    <w:abstractNumId w:val="5"/>
  </w:num>
  <w:num w:numId="22" w16cid:durableId="1532258362">
    <w:abstractNumId w:val="4"/>
  </w:num>
  <w:num w:numId="23" w16cid:durableId="1587106058">
    <w:abstractNumId w:val="8"/>
  </w:num>
  <w:num w:numId="24" w16cid:durableId="1646355732">
    <w:abstractNumId w:val="3"/>
  </w:num>
  <w:num w:numId="25" w16cid:durableId="2006930253">
    <w:abstractNumId w:val="2"/>
  </w:num>
  <w:num w:numId="26" w16cid:durableId="1811677887">
    <w:abstractNumId w:val="1"/>
  </w:num>
  <w:num w:numId="27" w16cid:durableId="537353487">
    <w:abstractNumId w:val="0"/>
  </w:num>
  <w:num w:numId="28" w16cid:durableId="158270868">
    <w:abstractNumId w:val="45"/>
  </w:num>
  <w:num w:numId="29" w16cid:durableId="159275565">
    <w:abstractNumId w:val="22"/>
  </w:num>
  <w:num w:numId="30" w16cid:durableId="271714945">
    <w:abstractNumId w:val="23"/>
  </w:num>
  <w:num w:numId="31" w16cid:durableId="1865050652">
    <w:abstractNumId w:val="34"/>
  </w:num>
  <w:num w:numId="32" w16cid:durableId="80179172">
    <w:abstractNumId w:val="36"/>
  </w:num>
  <w:num w:numId="33"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60385107">
    <w:abstractNumId w:val="32"/>
  </w:num>
  <w:num w:numId="35" w16cid:durableId="1771076976">
    <w:abstractNumId w:val="16"/>
  </w:num>
  <w:num w:numId="36" w16cid:durableId="939752621">
    <w:abstractNumId w:val="33"/>
  </w:num>
  <w:num w:numId="37" w16cid:durableId="915044361">
    <w:abstractNumId w:val="29"/>
  </w:num>
  <w:num w:numId="38" w16cid:durableId="855196379">
    <w:abstractNumId w:val="19"/>
  </w:num>
  <w:num w:numId="3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1917413">
    <w:abstractNumId w:val="21"/>
  </w:num>
  <w:num w:numId="41" w16cid:durableId="708722651">
    <w:abstractNumId w:val="10"/>
  </w:num>
  <w:num w:numId="4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8112374">
    <w:abstractNumId w:val="13"/>
  </w:num>
  <w:num w:numId="45" w16cid:durableId="1607615596">
    <w:abstractNumId w:val="24"/>
  </w:num>
  <w:num w:numId="46" w16cid:durableId="643118139">
    <w:abstractNumId w:val="24"/>
    <w:lvlOverride w:ilvl="0">
      <w:startOverride w:val="1"/>
    </w:lvlOverride>
  </w:num>
  <w:num w:numId="47" w16cid:durableId="820851909">
    <w:abstractNumId w:val="24"/>
    <w:lvlOverride w:ilvl="0">
      <w:startOverride w:val="1"/>
    </w:lvlOverride>
  </w:num>
  <w:num w:numId="48" w16cid:durableId="709648587">
    <w:abstractNumId w:val="24"/>
    <w:lvlOverride w:ilvl="0">
      <w:startOverride w:val="1"/>
    </w:lvlOverride>
  </w:num>
  <w:num w:numId="49" w16cid:durableId="1353799543">
    <w:abstractNumId w:val="26"/>
  </w:num>
  <w:num w:numId="50" w16cid:durableId="1570270110">
    <w:abstractNumId w:val="35"/>
  </w:num>
  <w:num w:numId="51" w16cid:durableId="2125995167">
    <w:abstractNumId w:val="30"/>
  </w:num>
  <w:num w:numId="52" w16cid:durableId="893932166">
    <w:abstractNumId w:val="43"/>
  </w:num>
  <w:num w:numId="53" w16cid:durableId="1627851340">
    <w:abstractNumId w:val="25"/>
  </w:num>
  <w:num w:numId="54" w16cid:durableId="1945532808">
    <w:abstractNumId w:val="18"/>
  </w:num>
  <w:num w:numId="55" w16cid:durableId="68447852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06494965">
    <w:abstractNumId w:val="14"/>
  </w:num>
  <w:num w:numId="59"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23945383">
    <w:abstractNumId w:val="38"/>
  </w:num>
  <w:num w:numId="62" w16cid:durableId="866606398">
    <w:abstractNumId w:val="8"/>
  </w:num>
  <w:num w:numId="63" w16cid:durableId="1606426885">
    <w:abstractNumId w:val="3"/>
  </w:num>
  <w:num w:numId="64" w16cid:durableId="20207459">
    <w:abstractNumId w:val="2"/>
  </w:num>
  <w:num w:numId="65" w16cid:durableId="515922111">
    <w:abstractNumId w:val="1"/>
  </w:num>
  <w:num w:numId="66" w16cid:durableId="284822437">
    <w:abstractNumId w:val="0"/>
  </w:num>
  <w:num w:numId="67" w16cid:durableId="1283148120">
    <w:abstractNumId w:val="38"/>
  </w:num>
  <w:num w:numId="68" w16cid:durableId="1946309401">
    <w:abstractNumId w:val="3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16cid:durableId="1999766564">
    <w:abstractNumId w:val="38"/>
  </w:num>
  <w:num w:numId="70" w16cid:durableId="633368780">
    <w:abstractNumId w:val="38"/>
  </w:num>
  <w:num w:numId="71" w16cid:durableId="175198074">
    <w:abstractNumId w:val="38"/>
  </w:num>
  <w:num w:numId="72" w16cid:durableId="643779475">
    <w:abstractNumId w:val="38"/>
  </w:num>
  <w:num w:numId="73" w16cid:durableId="1484930023">
    <w:abstractNumId w:val="38"/>
  </w:num>
  <w:num w:numId="74" w16cid:durableId="143661572">
    <w:abstractNumId w:val="38"/>
  </w:num>
  <w:num w:numId="75" w16cid:durableId="350188201">
    <w:abstractNumId w:val="38"/>
  </w:num>
  <w:num w:numId="76" w16cid:durableId="2140873826">
    <w:abstractNumId w:val="38"/>
  </w:num>
  <w:num w:numId="77" w16cid:durableId="1186557398">
    <w:abstractNumId w:val="38"/>
  </w:num>
  <w:num w:numId="78" w16cid:durableId="842670302">
    <w:abstractNumId w:val="38"/>
  </w:num>
  <w:num w:numId="79" w16cid:durableId="1320040254">
    <w:abstractNumId w:val="38"/>
  </w:num>
  <w:num w:numId="80" w16cid:durableId="2144500907">
    <w:abstractNumId w:val="38"/>
  </w:num>
  <w:num w:numId="81" w16cid:durableId="1880241131">
    <w:abstractNumId w:val="38"/>
  </w:num>
  <w:num w:numId="82" w16cid:durableId="1776249537">
    <w:abstractNumId w:val="38"/>
  </w:num>
  <w:num w:numId="83" w16cid:durableId="1729036308">
    <w:abstractNumId w:val="38"/>
  </w:num>
  <w:num w:numId="84" w16cid:durableId="91828948">
    <w:abstractNumId w:val="38"/>
  </w:num>
  <w:num w:numId="85" w16cid:durableId="523174299">
    <w:abstractNumId w:val="38"/>
  </w:num>
  <w:num w:numId="86" w16cid:durableId="592788319">
    <w:abstractNumId w:val="38"/>
  </w:num>
  <w:num w:numId="87" w16cid:durableId="2145196752">
    <w:abstractNumId w:val="38"/>
  </w:num>
  <w:num w:numId="88" w16cid:durableId="1203442242">
    <w:abstractNumId w:val="38"/>
  </w:num>
  <w:num w:numId="89" w16cid:durableId="459226674">
    <w:abstractNumId w:val="38"/>
  </w:num>
  <w:num w:numId="90" w16cid:durableId="867059084">
    <w:abstractNumId w:val="38"/>
  </w:num>
  <w:num w:numId="91" w16cid:durableId="1461873499">
    <w:abstractNumId w:val="38"/>
  </w:num>
  <w:num w:numId="92" w16cid:durableId="1497528742">
    <w:abstractNumId w:val="38"/>
  </w:num>
  <w:num w:numId="93" w16cid:durableId="394666328">
    <w:abstractNumId w:val="38"/>
  </w:num>
  <w:num w:numId="94" w16cid:durableId="824667429">
    <w:abstractNumId w:val="38"/>
  </w:num>
  <w:num w:numId="95" w16cid:durableId="783767717">
    <w:abstractNumId w:val="38"/>
  </w:num>
  <w:num w:numId="96" w16cid:durableId="2061636309">
    <w:abstractNumId w:val="38"/>
  </w:num>
  <w:num w:numId="97" w16cid:durableId="905729520">
    <w:abstractNumId w:val="38"/>
  </w:num>
  <w:num w:numId="98" w16cid:durableId="1231118464">
    <w:abstractNumId w:val="38"/>
  </w:num>
  <w:num w:numId="99" w16cid:durableId="438721868">
    <w:abstractNumId w:val="38"/>
  </w:num>
  <w:num w:numId="100" w16cid:durableId="1685861414">
    <w:abstractNumId w:val="38"/>
  </w:num>
  <w:num w:numId="101" w16cid:durableId="664553143">
    <w:abstractNumId w:val="38"/>
  </w:num>
  <w:num w:numId="102" w16cid:durableId="1223176012">
    <w:abstractNumId w:val="38"/>
  </w:num>
  <w:num w:numId="103" w16cid:durableId="82185701">
    <w:abstractNumId w:val="38"/>
  </w:num>
  <w:num w:numId="104" w16cid:durableId="716977703">
    <w:abstractNumId w:val="38"/>
  </w:num>
  <w:num w:numId="105" w16cid:durableId="1376003190">
    <w:abstractNumId w:val="38"/>
  </w:num>
  <w:num w:numId="106" w16cid:durableId="1873490142">
    <w:abstractNumId w:val="38"/>
  </w:num>
  <w:num w:numId="107" w16cid:durableId="937251172">
    <w:abstractNumId w:val="38"/>
  </w:num>
  <w:num w:numId="108" w16cid:durableId="493691648">
    <w:abstractNumId w:val="38"/>
  </w:num>
  <w:num w:numId="109" w16cid:durableId="1233198029">
    <w:abstractNumId w:val="38"/>
  </w:num>
  <w:num w:numId="110" w16cid:durableId="1977638041">
    <w:abstractNumId w:val="38"/>
  </w:num>
  <w:num w:numId="111" w16cid:durableId="914319477">
    <w:abstractNumId w:val="38"/>
  </w:num>
  <w:num w:numId="112" w16cid:durableId="432360158">
    <w:abstractNumId w:val="38"/>
  </w:num>
  <w:num w:numId="113" w16cid:durableId="1823306475">
    <w:abstractNumId w:val="38"/>
  </w:num>
  <w:num w:numId="114" w16cid:durableId="2002272726">
    <w:abstractNumId w:val="38"/>
  </w:num>
  <w:num w:numId="115" w16cid:durableId="73741334">
    <w:abstractNumId w:val="38"/>
  </w:num>
  <w:num w:numId="116" w16cid:durableId="1122067724">
    <w:abstractNumId w:val="38"/>
  </w:num>
  <w:num w:numId="117" w16cid:durableId="813448771">
    <w:abstractNumId w:val="38"/>
  </w:num>
  <w:num w:numId="118" w16cid:durableId="827137477">
    <w:abstractNumId w:val="38"/>
  </w:num>
  <w:num w:numId="119" w16cid:durableId="2075732304">
    <w:abstractNumId w:val="38"/>
  </w:num>
  <w:num w:numId="120" w16cid:durableId="1036270651">
    <w:abstractNumId w:val="38"/>
  </w:num>
  <w:num w:numId="121" w16cid:durableId="320280673">
    <w:abstractNumId w:val="38"/>
  </w:num>
  <w:num w:numId="122" w16cid:durableId="312023961">
    <w:abstractNumId w:val="38"/>
  </w:num>
  <w:num w:numId="123" w16cid:durableId="936594819">
    <w:abstractNumId w:val="38"/>
  </w:num>
  <w:num w:numId="124" w16cid:durableId="1564951960">
    <w:abstractNumId w:val="38"/>
  </w:num>
  <w:num w:numId="125" w16cid:durableId="1063911920">
    <w:abstractNumId w:val="38"/>
  </w:num>
  <w:num w:numId="126" w16cid:durableId="1000621761">
    <w:abstractNumId w:val="38"/>
  </w:num>
  <w:num w:numId="127" w16cid:durableId="1070271875">
    <w:abstractNumId w:val="38"/>
  </w:num>
  <w:num w:numId="128" w16cid:durableId="1210722339">
    <w:abstractNumId w:val="38"/>
  </w:num>
  <w:num w:numId="129" w16cid:durableId="720397814">
    <w:abstractNumId w:val="38"/>
  </w:num>
  <w:num w:numId="130" w16cid:durableId="1196626080">
    <w:abstractNumId w:val="38"/>
  </w:num>
  <w:num w:numId="131" w16cid:durableId="1518151722">
    <w:abstractNumId w:val="38"/>
  </w:num>
  <w:num w:numId="132" w16cid:durableId="376010695">
    <w:abstractNumId w:val="38"/>
  </w:num>
  <w:num w:numId="133" w16cid:durableId="539632203">
    <w:abstractNumId w:val="38"/>
  </w:num>
  <w:num w:numId="134" w16cid:durableId="859709588">
    <w:abstractNumId w:val="38"/>
  </w:num>
  <w:num w:numId="135" w16cid:durableId="1419252307">
    <w:abstractNumId w:val="38"/>
  </w:num>
  <w:num w:numId="136" w16cid:durableId="915750964">
    <w:abstractNumId w:val="38"/>
  </w:num>
  <w:num w:numId="137" w16cid:durableId="963733746">
    <w:abstractNumId w:val="38"/>
  </w:num>
  <w:num w:numId="138" w16cid:durableId="1607613742">
    <w:abstractNumId w:val="38"/>
  </w:num>
  <w:num w:numId="139" w16cid:durableId="1868056625">
    <w:abstractNumId w:val="38"/>
  </w:num>
  <w:num w:numId="140" w16cid:durableId="1570653748">
    <w:abstractNumId w:val="38"/>
  </w:num>
  <w:num w:numId="141" w16cid:durableId="1145590520">
    <w:abstractNumId w:val="38"/>
  </w:num>
  <w:num w:numId="142" w16cid:durableId="1072775482">
    <w:abstractNumId w:val="38"/>
  </w:num>
  <w:num w:numId="143" w16cid:durableId="1544243999">
    <w:abstractNumId w:val="38"/>
  </w:num>
  <w:num w:numId="144" w16cid:durableId="898982238">
    <w:abstractNumId w:val="38"/>
  </w:num>
  <w:num w:numId="145" w16cid:durableId="1784349937">
    <w:abstractNumId w:val="38"/>
  </w:num>
  <w:num w:numId="146" w16cid:durableId="991325740">
    <w:abstractNumId w:val="38"/>
  </w:num>
  <w:num w:numId="147" w16cid:durableId="1320378640">
    <w:abstractNumId w:val="38"/>
  </w:num>
  <w:num w:numId="148" w16cid:durableId="1233929101">
    <w:abstractNumId w:val="38"/>
  </w:num>
  <w:num w:numId="149" w16cid:durableId="525022803">
    <w:abstractNumId w:val="38"/>
  </w:num>
  <w:num w:numId="150" w16cid:durableId="496651139">
    <w:abstractNumId w:val="38"/>
  </w:num>
  <w:num w:numId="151" w16cid:durableId="781338279">
    <w:abstractNumId w:val="38"/>
  </w:num>
  <w:num w:numId="152" w16cid:durableId="1506827362">
    <w:abstractNumId w:val="38"/>
  </w:num>
  <w:num w:numId="153" w16cid:durableId="1892811679">
    <w:abstractNumId w:val="38"/>
  </w:num>
  <w:num w:numId="154" w16cid:durableId="1949003136">
    <w:abstractNumId w:val="38"/>
  </w:num>
  <w:num w:numId="155" w16cid:durableId="1200967926">
    <w:abstractNumId w:val="38"/>
  </w:num>
  <w:num w:numId="156" w16cid:durableId="805587352">
    <w:abstractNumId w:val="38"/>
  </w:num>
  <w:num w:numId="157" w16cid:durableId="1860658277">
    <w:abstractNumId w:val="38"/>
  </w:num>
  <w:num w:numId="158" w16cid:durableId="985936266">
    <w:abstractNumId w:val="38"/>
  </w:num>
  <w:num w:numId="159" w16cid:durableId="1655724010">
    <w:abstractNumId w:val="38"/>
  </w:num>
  <w:num w:numId="160" w16cid:durableId="851990211">
    <w:abstractNumId w:val="38"/>
  </w:num>
  <w:num w:numId="161" w16cid:durableId="2042701505">
    <w:abstractNumId w:val="38"/>
  </w:num>
  <w:num w:numId="162" w16cid:durableId="847254977">
    <w:abstractNumId w:val="38"/>
  </w:num>
  <w:num w:numId="163" w16cid:durableId="1992784833">
    <w:abstractNumId w:val="38"/>
  </w:num>
  <w:num w:numId="164" w16cid:durableId="1655524704">
    <w:abstractNumId w:val="38"/>
  </w:num>
  <w:num w:numId="165" w16cid:durableId="1025904957">
    <w:abstractNumId w:val="38"/>
  </w:num>
  <w:num w:numId="166" w16cid:durableId="1594049643">
    <w:abstractNumId w:val="38"/>
  </w:num>
  <w:num w:numId="167" w16cid:durableId="775295208">
    <w:abstractNumId w:val="38"/>
  </w:num>
  <w:num w:numId="168" w16cid:durableId="890266779">
    <w:abstractNumId w:val="38"/>
  </w:num>
  <w:num w:numId="169" w16cid:durableId="1226069186">
    <w:abstractNumId w:val="38"/>
  </w:num>
  <w:num w:numId="170" w16cid:durableId="354355752">
    <w:abstractNumId w:val="38"/>
  </w:num>
  <w:num w:numId="171" w16cid:durableId="2056275028">
    <w:abstractNumId w:val="38"/>
  </w:num>
  <w:num w:numId="172" w16cid:durableId="1226987208">
    <w:abstractNumId w:val="38"/>
  </w:num>
  <w:num w:numId="173" w16cid:durableId="1138649219">
    <w:abstractNumId w:val="38"/>
  </w:num>
  <w:num w:numId="174" w16cid:durableId="898975925">
    <w:abstractNumId w:val="38"/>
  </w:num>
  <w:num w:numId="175" w16cid:durableId="30233733">
    <w:abstractNumId w:val="38"/>
  </w:num>
  <w:num w:numId="176" w16cid:durableId="821505420">
    <w:abstractNumId w:val="38"/>
  </w:num>
  <w:num w:numId="177" w16cid:durableId="487330993">
    <w:abstractNumId w:val="38"/>
  </w:num>
  <w:num w:numId="178" w16cid:durableId="1768455263">
    <w:abstractNumId w:val="38"/>
  </w:num>
  <w:num w:numId="179" w16cid:durableId="1592155136">
    <w:abstractNumId w:val="38"/>
  </w:num>
  <w:num w:numId="180" w16cid:durableId="1920481117">
    <w:abstractNumId w:val="38"/>
  </w:num>
  <w:num w:numId="181" w16cid:durableId="418529297">
    <w:abstractNumId w:val="38"/>
  </w:num>
  <w:num w:numId="182" w16cid:durableId="1291210038">
    <w:abstractNumId w:val="38"/>
  </w:num>
  <w:num w:numId="183" w16cid:durableId="1884437876">
    <w:abstractNumId w:val="38"/>
  </w:num>
  <w:num w:numId="184" w16cid:durableId="1930305482">
    <w:abstractNumId w:val="38"/>
  </w:num>
  <w:num w:numId="185" w16cid:durableId="1683898469">
    <w:abstractNumId w:val="38"/>
  </w:num>
  <w:num w:numId="186" w16cid:durableId="881091682">
    <w:abstractNumId w:val="38"/>
  </w:num>
  <w:num w:numId="187" w16cid:durableId="1070811894">
    <w:abstractNumId w:val="38"/>
  </w:num>
  <w:num w:numId="188" w16cid:durableId="765031738">
    <w:abstractNumId w:val="38"/>
  </w:num>
  <w:num w:numId="189" w16cid:durableId="1215578656">
    <w:abstractNumId w:val="38"/>
  </w:num>
  <w:num w:numId="190" w16cid:durableId="227571278">
    <w:abstractNumId w:val="38"/>
  </w:num>
  <w:num w:numId="191" w16cid:durableId="1211696274">
    <w:abstractNumId w:val="38"/>
  </w:num>
  <w:num w:numId="192" w16cid:durableId="1779567812">
    <w:abstractNumId w:val="38"/>
  </w:num>
  <w:num w:numId="193" w16cid:durableId="1459301312">
    <w:abstractNumId w:val="38"/>
  </w:num>
  <w:num w:numId="194" w16cid:durableId="583226302">
    <w:abstractNumId w:val="38"/>
  </w:num>
  <w:num w:numId="195" w16cid:durableId="405961266">
    <w:abstractNumId w:val="38"/>
  </w:num>
  <w:num w:numId="196" w16cid:durableId="465587517">
    <w:abstractNumId w:val="38"/>
  </w:num>
  <w:num w:numId="197" w16cid:durableId="1948073439">
    <w:abstractNumId w:val="38"/>
  </w:num>
  <w:num w:numId="198" w16cid:durableId="1508400023">
    <w:abstractNumId w:val="38"/>
  </w:num>
  <w:num w:numId="199" w16cid:durableId="1171213626">
    <w:abstractNumId w:val="38"/>
  </w:num>
  <w:num w:numId="200" w16cid:durableId="224075035">
    <w:abstractNumId w:val="38"/>
  </w:num>
  <w:num w:numId="201" w16cid:durableId="1838377084">
    <w:abstractNumId w:val="38"/>
  </w:num>
  <w:num w:numId="202" w16cid:durableId="1445466181">
    <w:abstractNumId w:val="38"/>
  </w:num>
  <w:num w:numId="203" w16cid:durableId="886382646">
    <w:abstractNumId w:val="38"/>
  </w:num>
  <w:num w:numId="204" w16cid:durableId="630938106">
    <w:abstractNumId w:val="38"/>
  </w:num>
  <w:num w:numId="205" w16cid:durableId="461197027">
    <w:abstractNumId w:val="38"/>
  </w:num>
  <w:num w:numId="206" w16cid:durableId="1379471091">
    <w:abstractNumId w:val="3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2D"/>
    <w:rsid w:val="00000403"/>
    <w:rsid w:val="00000A79"/>
    <w:rsid w:val="00002767"/>
    <w:rsid w:val="000030BC"/>
    <w:rsid w:val="00004FFE"/>
    <w:rsid w:val="000072BA"/>
    <w:rsid w:val="000119F7"/>
    <w:rsid w:val="000131B5"/>
    <w:rsid w:val="000218C2"/>
    <w:rsid w:val="00022133"/>
    <w:rsid w:val="00032430"/>
    <w:rsid w:val="00033782"/>
    <w:rsid w:val="00034F0E"/>
    <w:rsid w:val="00037AC7"/>
    <w:rsid w:val="00040598"/>
    <w:rsid w:val="0004083E"/>
    <w:rsid w:val="00043102"/>
    <w:rsid w:val="000442F2"/>
    <w:rsid w:val="000446F8"/>
    <w:rsid w:val="0004600C"/>
    <w:rsid w:val="00046CAF"/>
    <w:rsid w:val="00047AF0"/>
    <w:rsid w:val="00050635"/>
    <w:rsid w:val="000518C5"/>
    <w:rsid w:val="00052EE7"/>
    <w:rsid w:val="00054952"/>
    <w:rsid w:val="000624B1"/>
    <w:rsid w:val="0006308A"/>
    <w:rsid w:val="000665EC"/>
    <w:rsid w:val="00074209"/>
    <w:rsid w:val="00077D6C"/>
    <w:rsid w:val="0008408E"/>
    <w:rsid w:val="0008560A"/>
    <w:rsid w:val="00092D7E"/>
    <w:rsid w:val="000956E6"/>
    <w:rsid w:val="00096C34"/>
    <w:rsid w:val="00097031"/>
    <w:rsid w:val="000A2160"/>
    <w:rsid w:val="000A3E3D"/>
    <w:rsid w:val="000B09BC"/>
    <w:rsid w:val="000B1DFC"/>
    <w:rsid w:val="000B20BA"/>
    <w:rsid w:val="000B405A"/>
    <w:rsid w:val="000B6D7E"/>
    <w:rsid w:val="000C0F36"/>
    <w:rsid w:val="000C65B7"/>
    <w:rsid w:val="000C6DCE"/>
    <w:rsid w:val="000C7FC7"/>
    <w:rsid w:val="000D058A"/>
    <w:rsid w:val="000D3C23"/>
    <w:rsid w:val="000D4499"/>
    <w:rsid w:val="000D47F4"/>
    <w:rsid w:val="000D5D8F"/>
    <w:rsid w:val="000D7AE1"/>
    <w:rsid w:val="000E3701"/>
    <w:rsid w:val="000E4055"/>
    <w:rsid w:val="000E4325"/>
    <w:rsid w:val="000E6076"/>
    <w:rsid w:val="000F167D"/>
    <w:rsid w:val="001002F8"/>
    <w:rsid w:val="00105FD4"/>
    <w:rsid w:val="00106B8B"/>
    <w:rsid w:val="00110C16"/>
    <w:rsid w:val="0011338F"/>
    <w:rsid w:val="00113CBB"/>
    <w:rsid w:val="00114387"/>
    <w:rsid w:val="00117F51"/>
    <w:rsid w:val="001216D6"/>
    <w:rsid w:val="00126036"/>
    <w:rsid w:val="00132581"/>
    <w:rsid w:val="00133C8F"/>
    <w:rsid w:val="001347D8"/>
    <w:rsid w:val="00135B81"/>
    <w:rsid w:val="001478D0"/>
    <w:rsid w:val="001541A1"/>
    <w:rsid w:val="001549E3"/>
    <w:rsid w:val="001558E2"/>
    <w:rsid w:val="00162A3E"/>
    <w:rsid w:val="00163BB0"/>
    <w:rsid w:val="00165C16"/>
    <w:rsid w:val="00166EAA"/>
    <w:rsid w:val="001675F9"/>
    <w:rsid w:val="00167739"/>
    <w:rsid w:val="00174A76"/>
    <w:rsid w:val="00176460"/>
    <w:rsid w:val="00181B9C"/>
    <w:rsid w:val="00183587"/>
    <w:rsid w:val="00183FE2"/>
    <w:rsid w:val="00184909"/>
    <w:rsid w:val="00184B82"/>
    <w:rsid w:val="00184DEA"/>
    <w:rsid w:val="00185EE8"/>
    <w:rsid w:val="00195EDA"/>
    <w:rsid w:val="001A3EBA"/>
    <w:rsid w:val="001A5224"/>
    <w:rsid w:val="001B0937"/>
    <w:rsid w:val="001B3E3D"/>
    <w:rsid w:val="001B6A1F"/>
    <w:rsid w:val="001B7B34"/>
    <w:rsid w:val="001C6663"/>
    <w:rsid w:val="001D3F0D"/>
    <w:rsid w:val="001D74F0"/>
    <w:rsid w:val="001D7501"/>
    <w:rsid w:val="001E2C13"/>
    <w:rsid w:val="001E63AB"/>
    <w:rsid w:val="001E6B07"/>
    <w:rsid w:val="001E6FAB"/>
    <w:rsid w:val="001F38C2"/>
    <w:rsid w:val="001F68D4"/>
    <w:rsid w:val="002038C7"/>
    <w:rsid w:val="00204217"/>
    <w:rsid w:val="002070EC"/>
    <w:rsid w:val="0020793F"/>
    <w:rsid w:val="00211C0D"/>
    <w:rsid w:val="00211CDC"/>
    <w:rsid w:val="00216547"/>
    <w:rsid w:val="002377CB"/>
    <w:rsid w:val="00240A94"/>
    <w:rsid w:val="00243BBD"/>
    <w:rsid w:val="00247C1E"/>
    <w:rsid w:val="0025013C"/>
    <w:rsid w:val="00252ACA"/>
    <w:rsid w:val="00252D45"/>
    <w:rsid w:val="002537ED"/>
    <w:rsid w:val="002568C6"/>
    <w:rsid w:val="00260D3C"/>
    <w:rsid w:val="0026439C"/>
    <w:rsid w:val="002673C8"/>
    <w:rsid w:val="002740A3"/>
    <w:rsid w:val="00274D60"/>
    <w:rsid w:val="00280FFE"/>
    <w:rsid w:val="002822F5"/>
    <w:rsid w:val="00282E45"/>
    <w:rsid w:val="0029030B"/>
    <w:rsid w:val="00293734"/>
    <w:rsid w:val="00297E0B"/>
    <w:rsid w:val="002A0E21"/>
    <w:rsid w:val="002A1758"/>
    <w:rsid w:val="002A20C6"/>
    <w:rsid w:val="002A43F0"/>
    <w:rsid w:val="002A6119"/>
    <w:rsid w:val="002B00CA"/>
    <w:rsid w:val="002B0A5C"/>
    <w:rsid w:val="002B1051"/>
    <w:rsid w:val="002B5368"/>
    <w:rsid w:val="002B559C"/>
    <w:rsid w:val="002B753A"/>
    <w:rsid w:val="002C5830"/>
    <w:rsid w:val="002D132F"/>
    <w:rsid w:val="002D46D6"/>
    <w:rsid w:val="002D6924"/>
    <w:rsid w:val="002E14AC"/>
    <w:rsid w:val="002F5232"/>
    <w:rsid w:val="002F5730"/>
    <w:rsid w:val="002F5A72"/>
    <w:rsid w:val="002F63B5"/>
    <w:rsid w:val="002F6B30"/>
    <w:rsid w:val="00300089"/>
    <w:rsid w:val="00301FBB"/>
    <w:rsid w:val="0030257D"/>
    <w:rsid w:val="003052C5"/>
    <w:rsid w:val="00307B70"/>
    <w:rsid w:val="00310608"/>
    <w:rsid w:val="00313E79"/>
    <w:rsid w:val="003159A0"/>
    <w:rsid w:val="003219BF"/>
    <w:rsid w:val="0032252F"/>
    <w:rsid w:val="00323B3A"/>
    <w:rsid w:val="00323F22"/>
    <w:rsid w:val="00332825"/>
    <w:rsid w:val="00334214"/>
    <w:rsid w:val="0033444E"/>
    <w:rsid w:val="0034305C"/>
    <w:rsid w:val="00345847"/>
    <w:rsid w:val="003476A9"/>
    <w:rsid w:val="00355492"/>
    <w:rsid w:val="003574C7"/>
    <w:rsid w:val="0036058E"/>
    <w:rsid w:val="00362543"/>
    <w:rsid w:val="00362C8E"/>
    <w:rsid w:val="003640CD"/>
    <w:rsid w:val="00365065"/>
    <w:rsid w:val="00376979"/>
    <w:rsid w:val="003808E1"/>
    <w:rsid w:val="00381EBC"/>
    <w:rsid w:val="003826F2"/>
    <w:rsid w:val="00385611"/>
    <w:rsid w:val="0039526C"/>
    <w:rsid w:val="00396523"/>
    <w:rsid w:val="003A03DA"/>
    <w:rsid w:val="003A4A1B"/>
    <w:rsid w:val="003A5AA2"/>
    <w:rsid w:val="003B064A"/>
    <w:rsid w:val="003B29BF"/>
    <w:rsid w:val="003B59CE"/>
    <w:rsid w:val="003B5EE5"/>
    <w:rsid w:val="003B6216"/>
    <w:rsid w:val="003B703E"/>
    <w:rsid w:val="003B7EE8"/>
    <w:rsid w:val="003C05E1"/>
    <w:rsid w:val="003C1240"/>
    <w:rsid w:val="003C6F10"/>
    <w:rsid w:val="003C7629"/>
    <w:rsid w:val="003D0F01"/>
    <w:rsid w:val="003D4C14"/>
    <w:rsid w:val="003D6D45"/>
    <w:rsid w:val="003E1D2D"/>
    <w:rsid w:val="003E3830"/>
    <w:rsid w:val="003E4309"/>
    <w:rsid w:val="003E5012"/>
    <w:rsid w:val="003F0CCF"/>
    <w:rsid w:val="003F1C80"/>
    <w:rsid w:val="003F4B80"/>
    <w:rsid w:val="003F5D69"/>
    <w:rsid w:val="003F61AA"/>
    <w:rsid w:val="003F70CF"/>
    <w:rsid w:val="003F7EC0"/>
    <w:rsid w:val="004014B7"/>
    <w:rsid w:val="00402021"/>
    <w:rsid w:val="0040448B"/>
    <w:rsid w:val="0040732F"/>
    <w:rsid w:val="00407CB8"/>
    <w:rsid w:val="004121EE"/>
    <w:rsid w:val="00412C60"/>
    <w:rsid w:val="00412CB1"/>
    <w:rsid w:val="00417414"/>
    <w:rsid w:val="00417699"/>
    <w:rsid w:val="00421DA6"/>
    <w:rsid w:val="00423B72"/>
    <w:rsid w:val="00427D14"/>
    <w:rsid w:val="00436E4D"/>
    <w:rsid w:val="004400C8"/>
    <w:rsid w:val="00441498"/>
    <w:rsid w:val="00441738"/>
    <w:rsid w:val="00444264"/>
    <w:rsid w:val="004442B7"/>
    <w:rsid w:val="0044552F"/>
    <w:rsid w:val="00457CBE"/>
    <w:rsid w:val="00462563"/>
    <w:rsid w:val="00464784"/>
    <w:rsid w:val="00464AB1"/>
    <w:rsid w:val="00466939"/>
    <w:rsid w:val="004701EE"/>
    <w:rsid w:val="0047121E"/>
    <w:rsid w:val="00473C4E"/>
    <w:rsid w:val="00474954"/>
    <w:rsid w:val="0048022A"/>
    <w:rsid w:val="00480A8D"/>
    <w:rsid w:val="00484D5C"/>
    <w:rsid w:val="004864C6"/>
    <w:rsid w:val="00493F78"/>
    <w:rsid w:val="00493FE8"/>
    <w:rsid w:val="0049543B"/>
    <w:rsid w:val="004960B1"/>
    <w:rsid w:val="00497E88"/>
    <w:rsid w:val="004A0877"/>
    <w:rsid w:val="004A2A2D"/>
    <w:rsid w:val="004A4ECC"/>
    <w:rsid w:val="004A75EE"/>
    <w:rsid w:val="004B4A26"/>
    <w:rsid w:val="004C32AE"/>
    <w:rsid w:val="004C4EBE"/>
    <w:rsid w:val="004C7184"/>
    <w:rsid w:val="004C7458"/>
    <w:rsid w:val="004D0887"/>
    <w:rsid w:val="004D0980"/>
    <w:rsid w:val="004D427C"/>
    <w:rsid w:val="004D6709"/>
    <w:rsid w:val="004E16EF"/>
    <w:rsid w:val="004E36C8"/>
    <w:rsid w:val="004F29BD"/>
    <w:rsid w:val="004F3364"/>
    <w:rsid w:val="004F3BAD"/>
    <w:rsid w:val="004F42F9"/>
    <w:rsid w:val="004F5A62"/>
    <w:rsid w:val="004F69FE"/>
    <w:rsid w:val="004F6A9A"/>
    <w:rsid w:val="004F6F49"/>
    <w:rsid w:val="00500384"/>
    <w:rsid w:val="00505402"/>
    <w:rsid w:val="00505748"/>
    <w:rsid w:val="005074D7"/>
    <w:rsid w:val="00511746"/>
    <w:rsid w:val="00513B76"/>
    <w:rsid w:val="0051687F"/>
    <w:rsid w:val="005245B1"/>
    <w:rsid w:val="00525655"/>
    <w:rsid w:val="0052753E"/>
    <w:rsid w:val="00531804"/>
    <w:rsid w:val="005337CD"/>
    <w:rsid w:val="00533998"/>
    <w:rsid w:val="00536B00"/>
    <w:rsid w:val="00537248"/>
    <w:rsid w:val="00541227"/>
    <w:rsid w:val="005464C2"/>
    <w:rsid w:val="00546AB9"/>
    <w:rsid w:val="0055253A"/>
    <w:rsid w:val="00556B48"/>
    <w:rsid w:val="00564EE3"/>
    <w:rsid w:val="00565EF1"/>
    <w:rsid w:val="00567498"/>
    <w:rsid w:val="00567B2E"/>
    <w:rsid w:val="0057395F"/>
    <w:rsid w:val="005740BB"/>
    <w:rsid w:val="00576B40"/>
    <w:rsid w:val="005774DD"/>
    <w:rsid w:val="00580076"/>
    <w:rsid w:val="005819C0"/>
    <w:rsid w:val="00582265"/>
    <w:rsid w:val="0058266E"/>
    <w:rsid w:val="0058547F"/>
    <w:rsid w:val="0058624E"/>
    <w:rsid w:val="00587F7F"/>
    <w:rsid w:val="005910AE"/>
    <w:rsid w:val="00591697"/>
    <w:rsid w:val="00595A79"/>
    <w:rsid w:val="00597F9C"/>
    <w:rsid w:val="005A0EA3"/>
    <w:rsid w:val="005A206E"/>
    <w:rsid w:val="005A2207"/>
    <w:rsid w:val="005A5A4D"/>
    <w:rsid w:val="005A630B"/>
    <w:rsid w:val="005B030D"/>
    <w:rsid w:val="005B25FD"/>
    <w:rsid w:val="005B3C6E"/>
    <w:rsid w:val="005C0058"/>
    <w:rsid w:val="005C005B"/>
    <w:rsid w:val="005C3A1E"/>
    <w:rsid w:val="005C5020"/>
    <w:rsid w:val="005C6C7E"/>
    <w:rsid w:val="005D6633"/>
    <w:rsid w:val="005E193E"/>
    <w:rsid w:val="005E2605"/>
    <w:rsid w:val="005E69A4"/>
    <w:rsid w:val="005F4C53"/>
    <w:rsid w:val="00602829"/>
    <w:rsid w:val="00604F9F"/>
    <w:rsid w:val="00605C0A"/>
    <w:rsid w:val="00610B2C"/>
    <w:rsid w:val="00611452"/>
    <w:rsid w:val="00613BE1"/>
    <w:rsid w:val="006168F8"/>
    <w:rsid w:val="006211BC"/>
    <w:rsid w:val="00622EF5"/>
    <w:rsid w:val="00623AD4"/>
    <w:rsid w:val="006241E7"/>
    <w:rsid w:val="00625009"/>
    <w:rsid w:val="00627870"/>
    <w:rsid w:val="006363E9"/>
    <w:rsid w:val="0064062C"/>
    <w:rsid w:val="0064447F"/>
    <w:rsid w:val="006451E5"/>
    <w:rsid w:val="00645BAD"/>
    <w:rsid w:val="00651915"/>
    <w:rsid w:val="00652AD5"/>
    <w:rsid w:val="00653DD5"/>
    <w:rsid w:val="006552A7"/>
    <w:rsid w:val="0065606C"/>
    <w:rsid w:val="00656BC7"/>
    <w:rsid w:val="00656C11"/>
    <w:rsid w:val="00657ED6"/>
    <w:rsid w:val="006657E7"/>
    <w:rsid w:val="006661BA"/>
    <w:rsid w:val="006670E0"/>
    <w:rsid w:val="00673E0D"/>
    <w:rsid w:val="00675BC6"/>
    <w:rsid w:val="00677403"/>
    <w:rsid w:val="00681DE2"/>
    <w:rsid w:val="0068206E"/>
    <w:rsid w:val="0068243C"/>
    <w:rsid w:val="00685316"/>
    <w:rsid w:val="006941F8"/>
    <w:rsid w:val="00694FA3"/>
    <w:rsid w:val="00696A4C"/>
    <w:rsid w:val="0069755F"/>
    <w:rsid w:val="006A69DD"/>
    <w:rsid w:val="006B09C6"/>
    <w:rsid w:val="006B293D"/>
    <w:rsid w:val="006B35A6"/>
    <w:rsid w:val="006B6AAE"/>
    <w:rsid w:val="006B71F0"/>
    <w:rsid w:val="006C5C70"/>
    <w:rsid w:val="006D5E1D"/>
    <w:rsid w:val="006D63F6"/>
    <w:rsid w:val="006F17A3"/>
    <w:rsid w:val="006F4790"/>
    <w:rsid w:val="00702684"/>
    <w:rsid w:val="00705070"/>
    <w:rsid w:val="0070573C"/>
    <w:rsid w:val="00706CB2"/>
    <w:rsid w:val="0072098A"/>
    <w:rsid w:val="00721663"/>
    <w:rsid w:val="00723C7C"/>
    <w:rsid w:val="0072403F"/>
    <w:rsid w:val="007248C7"/>
    <w:rsid w:val="00725222"/>
    <w:rsid w:val="00731B30"/>
    <w:rsid w:val="0073266D"/>
    <w:rsid w:val="007334AE"/>
    <w:rsid w:val="00734320"/>
    <w:rsid w:val="007361AB"/>
    <w:rsid w:val="0074082A"/>
    <w:rsid w:val="0074298D"/>
    <w:rsid w:val="0074618C"/>
    <w:rsid w:val="0075018F"/>
    <w:rsid w:val="00753D1B"/>
    <w:rsid w:val="00754A65"/>
    <w:rsid w:val="0075635D"/>
    <w:rsid w:val="0076137A"/>
    <w:rsid w:val="0076622F"/>
    <w:rsid w:val="00770280"/>
    <w:rsid w:val="00771F66"/>
    <w:rsid w:val="00772A12"/>
    <w:rsid w:val="00772ED3"/>
    <w:rsid w:val="007801F3"/>
    <w:rsid w:val="007820A8"/>
    <w:rsid w:val="007831C3"/>
    <w:rsid w:val="00786AF6"/>
    <w:rsid w:val="00792AB5"/>
    <w:rsid w:val="00794103"/>
    <w:rsid w:val="00794373"/>
    <w:rsid w:val="00795F81"/>
    <w:rsid w:val="007979F6"/>
    <w:rsid w:val="007A0C00"/>
    <w:rsid w:val="007A5C6F"/>
    <w:rsid w:val="007A6076"/>
    <w:rsid w:val="007A6518"/>
    <w:rsid w:val="007A6A8B"/>
    <w:rsid w:val="007B06BA"/>
    <w:rsid w:val="007B086F"/>
    <w:rsid w:val="007B2AF2"/>
    <w:rsid w:val="007C062E"/>
    <w:rsid w:val="007C09B4"/>
    <w:rsid w:val="007C1895"/>
    <w:rsid w:val="007C24C3"/>
    <w:rsid w:val="007C2B5B"/>
    <w:rsid w:val="007C4BC0"/>
    <w:rsid w:val="007C77BC"/>
    <w:rsid w:val="007D0561"/>
    <w:rsid w:val="007D0945"/>
    <w:rsid w:val="007D1E28"/>
    <w:rsid w:val="007D74C1"/>
    <w:rsid w:val="007E0DA0"/>
    <w:rsid w:val="007E272E"/>
    <w:rsid w:val="007E3A40"/>
    <w:rsid w:val="007E5EA3"/>
    <w:rsid w:val="007F314C"/>
    <w:rsid w:val="007F36F2"/>
    <w:rsid w:val="007F4868"/>
    <w:rsid w:val="00804B61"/>
    <w:rsid w:val="00812FAC"/>
    <w:rsid w:val="008130A3"/>
    <w:rsid w:val="00814CD0"/>
    <w:rsid w:val="0081586D"/>
    <w:rsid w:val="00817CA5"/>
    <w:rsid w:val="008204FC"/>
    <w:rsid w:val="00820794"/>
    <w:rsid w:val="0082119E"/>
    <w:rsid w:val="0082265A"/>
    <w:rsid w:val="008228C3"/>
    <w:rsid w:val="0082547B"/>
    <w:rsid w:val="0083183E"/>
    <w:rsid w:val="008374CC"/>
    <w:rsid w:val="00843584"/>
    <w:rsid w:val="00843F04"/>
    <w:rsid w:val="008446E8"/>
    <w:rsid w:val="00845F8C"/>
    <w:rsid w:val="0085171F"/>
    <w:rsid w:val="00865502"/>
    <w:rsid w:val="008663A9"/>
    <w:rsid w:val="00866B0E"/>
    <w:rsid w:val="00867B1D"/>
    <w:rsid w:val="00871DC7"/>
    <w:rsid w:val="0087274D"/>
    <w:rsid w:val="00872CCC"/>
    <w:rsid w:val="00874541"/>
    <w:rsid w:val="00875179"/>
    <w:rsid w:val="0088094E"/>
    <w:rsid w:val="00883950"/>
    <w:rsid w:val="00884430"/>
    <w:rsid w:val="008847DE"/>
    <w:rsid w:val="00885455"/>
    <w:rsid w:val="0088593D"/>
    <w:rsid w:val="0089610A"/>
    <w:rsid w:val="00897728"/>
    <w:rsid w:val="008A04E1"/>
    <w:rsid w:val="008A4502"/>
    <w:rsid w:val="008A61F2"/>
    <w:rsid w:val="008A66A8"/>
    <w:rsid w:val="008B1630"/>
    <w:rsid w:val="008B22AC"/>
    <w:rsid w:val="008B3927"/>
    <w:rsid w:val="008B3E91"/>
    <w:rsid w:val="008B61F2"/>
    <w:rsid w:val="008C181F"/>
    <w:rsid w:val="008D0479"/>
    <w:rsid w:val="008D0A1F"/>
    <w:rsid w:val="008D1A2F"/>
    <w:rsid w:val="008D1A3C"/>
    <w:rsid w:val="008E031F"/>
    <w:rsid w:val="008E0581"/>
    <w:rsid w:val="008E09DA"/>
    <w:rsid w:val="008E3A83"/>
    <w:rsid w:val="008F0E08"/>
    <w:rsid w:val="008F0EC2"/>
    <w:rsid w:val="008F1109"/>
    <w:rsid w:val="008F1436"/>
    <w:rsid w:val="008F3797"/>
    <w:rsid w:val="009050AD"/>
    <w:rsid w:val="0090780E"/>
    <w:rsid w:val="00911D5A"/>
    <w:rsid w:val="009167B3"/>
    <w:rsid w:val="0092164D"/>
    <w:rsid w:val="00926CB7"/>
    <w:rsid w:val="009271EB"/>
    <w:rsid w:val="00927896"/>
    <w:rsid w:val="00930884"/>
    <w:rsid w:val="00930A01"/>
    <w:rsid w:val="0093433E"/>
    <w:rsid w:val="00935461"/>
    <w:rsid w:val="0094079B"/>
    <w:rsid w:val="0094276F"/>
    <w:rsid w:val="0094562B"/>
    <w:rsid w:val="009459E3"/>
    <w:rsid w:val="00947DA8"/>
    <w:rsid w:val="00951A92"/>
    <w:rsid w:val="00956454"/>
    <w:rsid w:val="00961763"/>
    <w:rsid w:val="00962EB1"/>
    <w:rsid w:val="00966B13"/>
    <w:rsid w:val="00973BC6"/>
    <w:rsid w:val="00980B8D"/>
    <w:rsid w:val="00982416"/>
    <w:rsid w:val="00985215"/>
    <w:rsid w:val="00986027"/>
    <w:rsid w:val="00986D9B"/>
    <w:rsid w:val="00990FBF"/>
    <w:rsid w:val="00991CA4"/>
    <w:rsid w:val="0099217F"/>
    <w:rsid w:val="00995DDC"/>
    <w:rsid w:val="00997779"/>
    <w:rsid w:val="00997D2F"/>
    <w:rsid w:val="009A081F"/>
    <w:rsid w:val="009A53BD"/>
    <w:rsid w:val="009A5F9F"/>
    <w:rsid w:val="009A65C7"/>
    <w:rsid w:val="009B21A8"/>
    <w:rsid w:val="009B248D"/>
    <w:rsid w:val="009B40DB"/>
    <w:rsid w:val="009C1114"/>
    <w:rsid w:val="009C12C4"/>
    <w:rsid w:val="009C21C6"/>
    <w:rsid w:val="009D607E"/>
    <w:rsid w:val="009D72E7"/>
    <w:rsid w:val="009E097A"/>
    <w:rsid w:val="009E2D9F"/>
    <w:rsid w:val="009E33ED"/>
    <w:rsid w:val="009E52ED"/>
    <w:rsid w:val="009E6AF4"/>
    <w:rsid w:val="009F2BA5"/>
    <w:rsid w:val="009F333A"/>
    <w:rsid w:val="00A00234"/>
    <w:rsid w:val="00A01BC6"/>
    <w:rsid w:val="00A026B8"/>
    <w:rsid w:val="00A102CB"/>
    <w:rsid w:val="00A10A57"/>
    <w:rsid w:val="00A10A87"/>
    <w:rsid w:val="00A122C4"/>
    <w:rsid w:val="00A130F5"/>
    <w:rsid w:val="00A152D3"/>
    <w:rsid w:val="00A20BDA"/>
    <w:rsid w:val="00A232E3"/>
    <w:rsid w:val="00A24C3D"/>
    <w:rsid w:val="00A31AE7"/>
    <w:rsid w:val="00A33722"/>
    <w:rsid w:val="00A37431"/>
    <w:rsid w:val="00A37B79"/>
    <w:rsid w:val="00A423A5"/>
    <w:rsid w:val="00A429D8"/>
    <w:rsid w:val="00A42E38"/>
    <w:rsid w:val="00A4425E"/>
    <w:rsid w:val="00A47504"/>
    <w:rsid w:val="00A5163E"/>
    <w:rsid w:val="00A52567"/>
    <w:rsid w:val="00A53EC6"/>
    <w:rsid w:val="00A54FA0"/>
    <w:rsid w:val="00A64920"/>
    <w:rsid w:val="00A653F2"/>
    <w:rsid w:val="00A67AE3"/>
    <w:rsid w:val="00A74B36"/>
    <w:rsid w:val="00A74E2B"/>
    <w:rsid w:val="00A8027E"/>
    <w:rsid w:val="00A83928"/>
    <w:rsid w:val="00A91AE9"/>
    <w:rsid w:val="00A945F5"/>
    <w:rsid w:val="00A96B21"/>
    <w:rsid w:val="00AA140B"/>
    <w:rsid w:val="00AB0A21"/>
    <w:rsid w:val="00AB0E73"/>
    <w:rsid w:val="00AB66E8"/>
    <w:rsid w:val="00AC0FC0"/>
    <w:rsid w:val="00AC2EF1"/>
    <w:rsid w:val="00AC4FBD"/>
    <w:rsid w:val="00AC5FFB"/>
    <w:rsid w:val="00AD0704"/>
    <w:rsid w:val="00AD23FA"/>
    <w:rsid w:val="00AD4E7A"/>
    <w:rsid w:val="00AD7A7A"/>
    <w:rsid w:val="00AE0248"/>
    <w:rsid w:val="00AE1A95"/>
    <w:rsid w:val="00AE3187"/>
    <w:rsid w:val="00AE38B1"/>
    <w:rsid w:val="00AE4C17"/>
    <w:rsid w:val="00AE5020"/>
    <w:rsid w:val="00AE53D0"/>
    <w:rsid w:val="00AE57E8"/>
    <w:rsid w:val="00AE7B80"/>
    <w:rsid w:val="00AF5095"/>
    <w:rsid w:val="00AF59C1"/>
    <w:rsid w:val="00AF60AC"/>
    <w:rsid w:val="00AF6408"/>
    <w:rsid w:val="00B004A1"/>
    <w:rsid w:val="00B019FF"/>
    <w:rsid w:val="00B03BB7"/>
    <w:rsid w:val="00B04286"/>
    <w:rsid w:val="00B10EB7"/>
    <w:rsid w:val="00B115C8"/>
    <w:rsid w:val="00B137F8"/>
    <w:rsid w:val="00B150FB"/>
    <w:rsid w:val="00B2136B"/>
    <w:rsid w:val="00B21499"/>
    <w:rsid w:val="00B24539"/>
    <w:rsid w:val="00B24F1D"/>
    <w:rsid w:val="00B2709C"/>
    <w:rsid w:val="00B271DC"/>
    <w:rsid w:val="00B30E79"/>
    <w:rsid w:val="00B31182"/>
    <w:rsid w:val="00B329B5"/>
    <w:rsid w:val="00B32AF9"/>
    <w:rsid w:val="00B34707"/>
    <w:rsid w:val="00B36EA9"/>
    <w:rsid w:val="00B411AF"/>
    <w:rsid w:val="00B418FA"/>
    <w:rsid w:val="00B46E71"/>
    <w:rsid w:val="00B47BB1"/>
    <w:rsid w:val="00B50E8E"/>
    <w:rsid w:val="00B52F1F"/>
    <w:rsid w:val="00B5305F"/>
    <w:rsid w:val="00B558C0"/>
    <w:rsid w:val="00B660AF"/>
    <w:rsid w:val="00B66E91"/>
    <w:rsid w:val="00B74011"/>
    <w:rsid w:val="00B742E0"/>
    <w:rsid w:val="00B7554D"/>
    <w:rsid w:val="00B81194"/>
    <w:rsid w:val="00B83043"/>
    <w:rsid w:val="00B83422"/>
    <w:rsid w:val="00B84EE6"/>
    <w:rsid w:val="00B94453"/>
    <w:rsid w:val="00BA03C1"/>
    <w:rsid w:val="00BA456C"/>
    <w:rsid w:val="00BA7AE1"/>
    <w:rsid w:val="00BA7B6A"/>
    <w:rsid w:val="00BB4923"/>
    <w:rsid w:val="00BB5194"/>
    <w:rsid w:val="00BB5C7E"/>
    <w:rsid w:val="00BC2359"/>
    <w:rsid w:val="00BC3A8F"/>
    <w:rsid w:val="00BC49A3"/>
    <w:rsid w:val="00BC62EB"/>
    <w:rsid w:val="00BD016E"/>
    <w:rsid w:val="00BD0C8B"/>
    <w:rsid w:val="00BD53BB"/>
    <w:rsid w:val="00BD715D"/>
    <w:rsid w:val="00BE1475"/>
    <w:rsid w:val="00BE3C44"/>
    <w:rsid w:val="00BE6876"/>
    <w:rsid w:val="00BE6A3D"/>
    <w:rsid w:val="00BE73EE"/>
    <w:rsid w:val="00BE7625"/>
    <w:rsid w:val="00BF0841"/>
    <w:rsid w:val="00BF189E"/>
    <w:rsid w:val="00BF50C7"/>
    <w:rsid w:val="00C02981"/>
    <w:rsid w:val="00C071EE"/>
    <w:rsid w:val="00C126B8"/>
    <w:rsid w:val="00C17F80"/>
    <w:rsid w:val="00C22E12"/>
    <w:rsid w:val="00C2354A"/>
    <w:rsid w:val="00C23F4F"/>
    <w:rsid w:val="00C33773"/>
    <w:rsid w:val="00C34FF8"/>
    <w:rsid w:val="00C366E8"/>
    <w:rsid w:val="00C4129F"/>
    <w:rsid w:val="00C447F0"/>
    <w:rsid w:val="00C4542B"/>
    <w:rsid w:val="00C46AD2"/>
    <w:rsid w:val="00C52DEC"/>
    <w:rsid w:val="00C5312F"/>
    <w:rsid w:val="00C605B3"/>
    <w:rsid w:val="00C634D4"/>
    <w:rsid w:val="00C656AE"/>
    <w:rsid w:val="00C66590"/>
    <w:rsid w:val="00C6706C"/>
    <w:rsid w:val="00C8175F"/>
    <w:rsid w:val="00C83F5F"/>
    <w:rsid w:val="00C84C33"/>
    <w:rsid w:val="00C90975"/>
    <w:rsid w:val="00C92D89"/>
    <w:rsid w:val="00C9477B"/>
    <w:rsid w:val="00C957F3"/>
    <w:rsid w:val="00C95A2D"/>
    <w:rsid w:val="00C9710A"/>
    <w:rsid w:val="00CA00FC"/>
    <w:rsid w:val="00CA1E14"/>
    <w:rsid w:val="00CA53AC"/>
    <w:rsid w:val="00CA5BFF"/>
    <w:rsid w:val="00CB07F5"/>
    <w:rsid w:val="00CB1589"/>
    <w:rsid w:val="00CB2829"/>
    <w:rsid w:val="00CB4BCB"/>
    <w:rsid w:val="00CB7B30"/>
    <w:rsid w:val="00CC3B26"/>
    <w:rsid w:val="00CC686E"/>
    <w:rsid w:val="00CC742F"/>
    <w:rsid w:val="00CD60A6"/>
    <w:rsid w:val="00CD7889"/>
    <w:rsid w:val="00CE305B"/>
    <w:rsid w:val="00CE554D"/>
    <w:rsid w:val="00CF2A0B"/>
    <w:rsid w:val="00CF70AB"/>
    <w:rsid w:val="00D01463"/>
    <w:rsid w:val="00D0350C"/>
    <w:rsid w:val="00D06A08"/>
    <w:rsid w:val="00D06BC8"/>
    <w:rsid w:val="00D07451"/>
    <w:rsid w:val="00D07456"/>
    <w:rsid w:val="00D10801"/>
    <w:rsid w:val="00D16FA7"/>
    <w:rsid w:val="00D21488"/>
    <w:rsid w:val="00D26FFC"/>
    <w:rsid w:val="00D3059B"/>
    <w:rsid w:val="00D30AC2"/>
    <w:rsid w:val="00D31641"/>
    <w:rsid w:val="00D371FE"/>
    <w:rsid w:val="00D40D2B"/>
    <w:rsid w:val="00D452B7"/>
    <w:rsid w:val="00D4748F"/>
    <w:rsid w:val="00D47FB2"/>
    <w:rsid w:val="00D52D4D"/>
    <w:rsid w:val="00D52D72"/>
    <w:rsid w:val="00D54FD6"/>
    <w:rsid w:val="00D55D77"/>
    <w:rsid w:val="00D56CBD"/>
    <w:rsid w:val="00D60046"/>
    <w:rsid w:val="00D617CD"/>
    <w:rsid w:val="00D635AF"/>
    <w:rsid w:val="00D63F09"/>
    <w:rsid w:val="00D66716"/>
    <w:rsid w:val="00D70934"/>
    <w:rsid w:val="00D71FFB"/>
    <w:rsid w:val="00D76E24"/>
    <w:rsid w:val="00D77F2C"/>
    <w:rsid w:val="00D80C27"/>
    <w:rsid w:val="00D84C57"/>
    <w:rsid w:val="00D951E5"/>
    <w:rsid w:val="00D96C47"/>
    <w:rsid w:val="00D97149"/>
    <w:rsid w:val="00DA1934"/>
    <w:rsid w:val="00DA2764"/>
    <w:rsid w:val="00DB4C30"/>
    <w:rsid w:val="00DB706D"/>
    <w:rsid w:val="00DB7D9E"/>
    <w:rsid w:val="00DC079D"/>
    <w:rsid w:val="00DC13CA"/>
    <w:rsid w:val="00DC5F5A"/>
    <w:rsid w:val="00DC7275"/>
    <w:rsid w:val="00DC7CBA"/>
    <w:rsid w:val="00DD461B"/>
    <w:rsid w:val="00DE0AF6"/>
    <w:rsid w:val="00DE3148"/>
    <w:rsid w:val="00DE7AA2"/>
    <w:rsid w:val="00DF0F7C"/>
    <w:rsid w:val="00DF3623"/>
    <w:rsid w:val="00DF56CE"/>
    <w:rsid w:val="00DF5EA2"/>
    <w:rsid w:val="00DF622B"/>
    <w:rsid w:val="00E15345"/>
    <w:rsid w:val="00E1597C"/>
    <w:rsid w:val="00E21CB2"/>
    <w:rsid w:val="00E24769"/>
    <w:rsid w:val="00E257D1"/>
    <w:rsid w:val="00E279D0"/>
    <w:rsid w:val="00E30335"/>
    <w:rsid w:val="00E31D44"/>
    <w:rsid w:val="00E3370E"/>
    <w:rsid w:val="00E33F9C"/>
    <w:rsid w:val="00E36DE4"/>
    <w:rsid w:val="00E374C1"/>
    <w:rsid w:val="00E4165A"/>
    <w:rsid w:val="00E41C7D"/>
    <w:rsid w:val="00E4268F"/>
    <w:rsid w:val="00E44C11"/>
    <w:rsid w:val="00E4551C"/>
    <w:rsid w:val="00E5052C"/>
    <w:rsid w:val="00E572AA"/>
    <w:rsid w:val="00E65982"/>
    <w:rsid w:val="00E668A7"/>
    <w:rsid w:val="00E67A8A"/>
    <w:rsid w:val="00E73AC4"/>
    <w:rsid w:val="00E7419F"/>
    <w:rsid w:val="00E77FB3"/>
    <w:rsid w:val="00E97CD6"/>
    <w:rsid w:val="00EA1723"/>
    <w:rsid w:val="00EA385A"/>
    <w:rsid w:val="00EA64F7"/>
    <w:rsid w:val="00EB2088"/>
    <w:rsid w:val="00EB23E4"/>
    <w:rsid w:val="00EB763C"/>
    <w:rsid w:val="00EC6864"/>
    <w:rsid w:val="00ED3849"/>
    <w:rsid w:val="00ED540C"/>
    <w:rsid w:val="00EE0E5E"/>
    <w:rsid w:val="00EE0F99"/>
    <w:rsid w:val="00EE2E2E"/>
    <w:rsid w:val="00EE5171"/>
    <w:rsid w:val="00EE79DA"/>
    <w:rsid w:val="00EF54EE"/>
    <w:rsid w:val="00F026DD"/>
    <w:rsid w:val="00F04609"/>
    <w:rsid w:val="00F04B8F"/>
    <w:rsid w:val="00F1375B"/>
    <w:rsid w:val="00F15E8D"/>
    <w:rsid w:val="00F22EC0"/>
    <w:rsid w:val="00F258FB"/>
    <w:rsid w:val="00F25B40"/>
    <w:rsid w:val="00F27079"/>
    <w:rsid w:val="00F347B5"/>
    <w:rsid w:val="00F3764A"/>
    <w:rsid w:val="00F378AF"/>
    <w:rsid w:val="00F439A0"/>
    <w:rsid w:val="00F4517B"/>
    <w:rsid w:val="00F46E08"/>
    <w:rsid w:val="00F5026A"/>
    <w:rsid w:val="00F50F95"/>
    <w:rsid w:val="00F53364"/>
    <w:rsid w:val="00F541F5"/>
    <w:rsid w:val="00F6074F"/>
    <w:rsid w:val="00F624A3"/>
    <w:rsid w:val="00F648D4"/>
    <w:rsid w:val="00F71214"/>
    <w:rsid w:val="00F746A4"/>
    <w:rsid w:val="00F74F62"/>
    <w:rsid w:val="00F75F90"/>
    <w:rsid w:val="00F812B9"/>
    <w:rsid w:val="00F938B4"/>
    <w:rsid w:val="00F97405"/>
    <w:rsid w:val="00FA0FAB"/>
    <w:rsid w:val="00FA18C9"/>
    <w:rsid w:val="00FA5193"/>
    <w:rsid w:val="00FA651B"/>
    <w:rsid w:val="00FB000E"/>
    <w:rsid w:val="00FB1408"/>
    <w:rsid w:val="00FB2501"/>
    <w:rsid w:val="00FB4748"/>
    <w:rsid w:val="00FB6DD1"/>
    <w:rsid w:val="00FC36FA"/>
    <w:rsid w:val="00FC3BDF"/>
    <w:rsid w:val="00FC77FB"/>
    <w:rsid w:val="00FD024F"/>
    <w:rsid w:val="00FD038C"/>
    <w:rsid w:val="00FD15FB"/>
    <w:rsid w:val="00FD2AC3"/>
    <w:rsid w:val="00FD501E"/>
    <w:rsid w:val="00FD542D"/>
    <w:rsid w:val="00FF3991"/>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02E99"/>
  <w15:chartTrackingRefBased/>
  <w15:docId w15:val="{60015E87-C212-42F0-AC41-5F7D519F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C1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65C16"/>
    <w:pPr>
      <w:keepNext/>
      <w:keepLines/>
      <w:numPr>
        <w:numId w:val="5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65C16"/>
    <w:pPr>
      <w:keepNext/>
      <w:keepLines/>
      <w:numPr>
        <w:ilvl w:val="1"/>
        <w:numId w:val="5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65C16"/>
    <w:pPr>
      <w:keepNext/>
      <w:keepLines/>
      <w:numPr>
        <w:ilvl w:val="2"/>
        <w:numId w:val="5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65C16"/>
    <w:pPr>
      <w:keepNext/>
      <w:numPr>
        <w:ilvl w:val="3"/>
        <w:numId w:val="5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65C16"/>
    <w:pPr>
      <w:keepNext/>
      <w:numPr>
        <w:ilvl w:val="4"/>
        <w:numId w:val="5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65C16"/>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65C16"/>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65C16"/>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65C16"/>
    <w:pPr>
      <w:keepNext/>
      <w:widowControl w:val="0"/>
      <w:numPr>
        <w:ilvl w:val="8"/>
        <w:numId w:val="14"/>
      </w:numPr>
      <w:suppressAutoHyphens/>
      <w:jc w:val="left"/>
      <w:outlineLvl w:val="8"/>
    </w:pPr>
    <w:rPr>
      <w:snapToGrid w:val="0"/>
      <w:u w:val="single"/>
    </w:rPr>
  </w:style>
  <w:style w:type="character" w:default="1" w:styleId="DefaultParagraphFont">
    <w:name w:val="Default Paragraph Font"/>
    <w:uiPriority w:val="1"/>
    <w:semiHidden/>
    <w:unhideWhenUsed/>
    <w:rsid w:val="00165C16"/>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sid w:val="00165C16"/>
  </w:style>
  <w:style w:type="paragraph" w:customStyle="1" w:styleId="Item">
    <w:name w:val="Item"/>
    <w:basedOn w:val="Normal"/>
    <w:qFormat/>
    <w:rsid w:val="00165C1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65C16"/>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65C1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65C1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165C1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165C16"/>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165C16"/>
    <w:rPr>
      <w:vertAlign w:val="superscript"/>
      <w:lang w:val="en-GB"/>
    </w:rPr>
  </w:style>
  <w:style w:type="paragraph" w:customStyle="1" w:styleId="Footnote">
    <w:name w:val="Footnote"/>
    <w:basedOn w:val="FootnoteText"/>
    <w:qFormat/>
    <w:rsid w:val="00165C1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65C16"/>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65C1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65C16"/>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65C16"/>
    <w:pPr>
      <w:tabs>
        <w:tab w:val="center" w:pos="4680"/>
        <w:tab w:val="right" w:pos="9360"/>
      </w:tabs>
    </w:pPr>
    <w:rPr>
      <w:sz w:val="20"/>
    </w:rPr>
  </w:style>
  <w:style w:type="character" w:customStyle="1" w:styleId="FooterChar">
    <w:name w:val="Footer Char"/>
    <w:basedOn w:val="DefaultParagraphFont"/>
    <w:link w:val="Footer"/>
    <w:uiPriority w:val="99"/>
    <w:rsid w:val="00165C16"/>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65C16"/>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65C16"/>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65C16"/>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65C16"/>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165C16"/>
    <w:rPr>
      <w:sz w:val="16"/>
      <w:szCs w:val="16"/>
      <w:lang w:val="en-GB"/>
    </w:rPr>
  </w:style>
  <w:style w:type="paragraph" w:styleId="CommentText">
    <w:name w:val="annotation text"/>
    <w:basedOn w:val="Normal"/>
    <w:link w:val="CommentTextChar"/>
    <w:uiPriority w:val="99"/>
    <w:rsid w:val="00165C16"/>
    <w:rPr>
      <w:sz w:val="20"/>
      <w:szCs w:val="20"/>
    </w:rPr>
  </w:style>
  <w:style w:type="character" w:customStyle="1" w:styleId="CommentTextChar">
    <w:name w:val="Comment Text Char"/>
    <w:basedOn w:val="DefaultParagraphFont"/>
    <w:link w:val="CommentText"/>
    <w:uiPriority w:val="99"/>
    <w:rsid w:val="00165C16"/>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65C16"/>
    <w:rPr>
      <w:b/>
      <w:bCs/>
    </w:rPr>
  </w:style>
  <w:style w:type="character" w:customStyle="1" w:styleId="CommentSubjectChar">
    <w:name w:val="Comment Subject Char"/>
    <w:basedOn w:val="CommentTextChar"/>
    <w:link w:val="CommentSubject"/>
    <w:uiPriority w:val="99"/>
    <w:semiHidden/>
    <w:rsid w:val="00165C16"/>
    <w:rPr>
      <w:rFonts w:ascii="Times New Roman" w:eastAsia="SimSun" w:hAnsi="Times New Roman" w:cs="Times New Roman"/>
      <w:b/>
      <w:bCs/>
      <w:kern w:val="0"/>
      <w:sz w:val="20"/>
      <w:szCs w:val="2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65C16"/>
    <w:pPr>
      <w:ind w:left="720"/>
      <w:contextualSpacing/>
    </w:pPr>
  </w:style>
  <w:style w:type="character" w:styleId="Hyperlink">
    <w:name w:val="Hyperlink"/>
    <w:basedOn w:val="DefaultParagraphFont"/>
    <w:uiPriority w:val="99"/>
    <w:unhideWhenUsed/>
    <w:rsid w:val="00165C16"/>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E31D44"/>
    <w:rPr>
      <w:color w:val="605E5C"/>
      <w:shd w:val="clear" w:color="auto" w:fill="E1DFDD"/>
      <w:lang w:val="en-GB"/>
    </w:rPr>
  </w:style>
  <w:style w:type="paragraph" w:styleId="BodyTextIndent">
    <w:name w:val="Body Text Indent"/>
    <w:basedOn w:val="Normal"/>
    <w:link w:val="BodyTextIndentChar"/>
    <w:rsid w:val="00AB0E73"/>
    <w:pPr>
      <w:spacing w:before="120" w:after="120"/>
      <w:ind w:left="1440" w:hanging="720"/>
      <w:jc w:val="left"/>
    </w:pPr>
  </w:style>
  <w:style w:type="character" w:customStyle="1" w:styleId="BodyTextIndentChar">
    <w:name w:val="Body Text Indent Char"/>
    <w:basedOn w:val="DefaultParagraphFont"/>
    <w:link w:val="BodyTextIndent"/>
    <w:rsid w:val="00AB0E73"/>
    <w:rPr>
      <w:rFonts w:ascii="Times New Roman" w:eastAsia="SimSun" w:hAnsi="Times New Roman" w:cs="Times New Roman"/>
      <w:kern w:val="0"/>
      <w:lang w:val="en-GB"/>
      <w14:ligatures w14:val="none"/>
    </w:rPr>
  </w:style>
  <w:style w:type="paragraph" w:customStyle="1" w:styleId="Para10">
    <w:name w:val="Para1"/>
    <w:basedOn w:val="Normal"/>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SimSun" w:hAnsi="Times New Roman" w:cs="Times New Roman"/>
      <w:snapToGrid w:val="0"/>
      <w:color w:val="000000"/>
      <w:kern w:val="22"/>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114387"/>
    <w:rPr>
      <w:rFonts w:ascii="Times New Roman" w:eastAsia="SimSun" w:hAnsi="Times New Roman" w:cs="Times New Roman"/>
      <w:kern w:val="0"/>
      <w:lang w:val="en-GB"/>
      <w14:ligatures w14:val="none"/>
    </w:rPr>
  </w:style>
  <w:style w:type="character" w:customStyle="1" w:styleId="normaltextrun">
    <w:name w:val="normaltextrun"/>
    <w:rsid w:val="00B019FF"/>
    <w:rPr>
      <w:lang w:val="en-GB"/>
    </w:rPr>
  </w:style>
  <w:style w:type="paragraph" w:customStyle="1" w:styleId="paragraph">
    <w:name w:val="paragraph"/>
    <w:basedOn w:val="Normal"/>
    <w:rsid w:val="00F22EC0"/>
    <w:pPr>
      <w:spacing w:before="100" w:beforeAutospacing="1" w:after="100" w:afterAutospacing="1"/>
      <w:jc w:val="left"/>
    </w:pPr>
    <w:rPr>
      <w:sz w:val="24"/>
    </w:rPr>
  </w:style>
  <w:style w:type="paragraph" w:styleId="NormalWeb">
    <w:name w:val="Normal (Web)"/>
    <w:basedOn w:val="Normal"/>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BalloonText">
    <w:name w:val="Balloon Text"/>
    <w:basedOn w:val="Normal"/>
    <w:link w:val="BalloonTextChar"/>
    <w:uiPriority w:val="99"/>
    <w:semiHidden/>
    <w:unhideWhenUsed/>
    <w:rsid w:val="002377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77CB"/>
    <w:rPr>
      <w:rFonts w:ascii="Segoe UI" w:eastAsia="SimSun" w:hAnsi="Segoe UI" w:cs="Segoe UI"/>
      <w:kern w:val="0"/>
      <w:sz w:val="18"/>
      <w:szCs w:val="18"/>
      <w:lang w:val="en-GB"/>
      <w14:ligatures w14:val="none"/>
    </w:rPr>
  </w:style>
  <w:style w:type="paragraph" w:styleId="Revision">
    <w:name w:val="Revision"/>
    <w:hidden/>
    <w:uiPriority w:val="99"/>
    <w:semiHidden/>
    <w:rsid w:val="00165C16"/>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Heading6Char">
    <w:name w:val="Heading 6 Char"/>
    <w:basedOn w:val="DefaultParagraphFont"/>
    <w:link w:val="Heading6"/>
    <w:semiHidden/>
    <w:rsid w:val="00165C16"/>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65C16"/>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65C16"/>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65C1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65C1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65C16"/>
    <w:pPr>
      <w:spacing w:after="120"/>
      <w:ind w:left="567"/>
    </w:pPr>
  </w:style>
  <w:style w:type="paragraph" w:customStyle="1" w:styleId="ABSymbol">
    <w:name w:val="AB_Symbol"/>
    <w:basedOn w:val="Normal"/>
    <w:qFormat/>
    <w:rsid w:val="00165C1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65C16"/>
    <w:pPr>
      <w:numPr>
        <w:numId w:val="61"/>
      </w:numPr>
      <w:tabs>
        <w:tab w:val="left" w:pos="3969"/>
      </w:tabs>
      <w:spacing w:before="120" w:after="120"/>
    </w:pPr>
  </w:style>
  <w:style w:type="paragraph" w:customStyle="1" w:styleId="AFCorNotNormal">
    <w:name w:val="AF_CorNotNormal"/>
    <w:basedOn w:val="Normal"/>
    <w:unhideWhenUsed/>
    <w:rsid w:val="00165C16"/>
  </w:style>
  <w:style w:type="paragraph" w:customStyle="1" w:styleId="AEDistrNormal">
    <w:name w:val="AE_DistrNormal"/>
    <w:basedOn w:val="Normal"/>
    <w:unhideWhenUsed/>
    <w:rsid w:val="00165C16"/>
    <w:pPr>
      <w:jc w:val="left"/>
    </w:pPr>
  </w:style>
  <w:style w:type="paragraph" w:customStyle="1" w:styleId="AASmallLogo">
    <w:name w:val="AA_SmallLogo"/>
    <w:basedOn w:val="AEDistrNormal"/>
    <w:unhideWhenUsed/>
    <w:rsid w:val="00165C16"/>
    <w:pPr>
      <w:spacing w:before="40"/>
    </w:pPr>
    <w:rPr>
      <w:sz w:val="4"/>
    </w:rPr>
  </w:style>
  <w:style w:type="paragraph" w:customStyle="1" w:styleId="ACLargeLogo">
    <w:name w:val="AC_LargeLogo"/>
    <w:basedOn w:val="AFCorNotNormal"/>
    <w:next w:val="AISpacer"/>
    <w:unhideWhenUsed/>
    <w:rsid w:val="00165C16"/>
    <w:pPr>
      <w:spacing w:before="120"/>
      <w:contextualSpacing/>
      <w:jc w:val="left"/>
    </w:pPr>
    <w:rPr>
      <w:sz w:val="8"/>
    </w:rPr>
  </w:style>
  <w:style w:type="paragraph" w:customStyle="1" w:styleId="CBDNormal">
    <w:name w:val="CBD_Normal"/>
    <w:unhideWhenUsed/>
    <w:qFormat/>
    <w:rsid w:val="00165C1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165C16"/>
    <w:pPr>
      <w:contextualSpacing/>
    </w:pPr>
  </w:style>
  <w:style w:type="numbering" w:customStyle="1" w:styleId="ListCBD">
    <w:name w:val="ListCBD"/>
    <w:basedOn w:val="NoList"/>
    <w:uiPriority w:val="99"/>
    <w:rsid w:val="00165C16"/>
    <w:pPr>
      <w:numPr>
        <w:numId w:val="57"/>
      </w:numPr>
    </w:pPr>
  </w:style>
  <w:style w:type="numbering" w:customStyle="1" w:styleId="CBDHeadings">
    <w:name w:val="CBD_Headings"/>
    <w:basedOn w:val="ListCBD"/>
    <w:uiPriority w:val="99"/>
    <w:rsid w:val="00165C16"/>
    <w:pPr>
      <w:numPr>
        <w:numId w:val="52"/>
      </w:numPr>
    </w:pPr>
  </w:style>
  <w:style w:type="paragraph" w:customStyle="1" w:styleId="AISpacer">
    <w:name w:val="AI_Spacer"/>
    <w:next w:val="Normal"/>
    <w:unhideWhenUsed/>
    <w:qFormat/>
    <w:rsid w:val="00165C1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165C16"/>
    <w:pPr>
      <w:spacing w:before="120"/>
    </w:pPr>
  </w:style>
  <w:style w:type="paragraph" w:customStyle="1" w:styleId="AFCorNotBold">
    <w:name w:val="AF_CorNotBold"/>
    <w:basedOn w:val="AFCorNotNormal"/>
    <w:next w:val="AFCorNotNormal"/>
    <w:unhideWhenUsed/>
    <w:qFormat/>
    <w:rsid w:val="00165C16"/>
    <w:rPr>
      <w:b/>
    </w:rPr>
  </w:style>
  <w:style w:type="paragraph" w:customStyle="1" w:styleId="AFCorNot12Bold">
    <w:name w:val="AF_CorNot12Bold"/>
    <w:basedOn w:val="AFCorNotNormal"/>
    <w:next w:val="AFCorNotNormal"/>
    <w:unhideWhenUsed/>
    <w:qFormat/>
    <w:rsid w:val="00165C16"/>
    <w:pPr>
      <w:jc w:val="left"/>
    </w:pPr>
    <w:rPr>
      <w:b/>
      <w:sz w:val="24"/>
    </w:rPr>
  </w:style>
  <w:style w:type="paragraph" w:customStyle="1" w:styleId="CBDAgendaItem">
    <w:name w:val="CBD_AgendaItem"/>
    <w:basedOn w:val="Normal"/>
    <w:qFormat/>
    <w:rsid w:val="00165C16"/>
    <w:pPr>
      <w:keepNext/>
      <w:keepLines/>
      <w:spacing w:before="240" w:after="120"/>
      <w:jc w:val="left"/>
    </w:pPr>
    <w:rPr>
      <w:b/>
      <w:sz w:val="24"/>
    </w:rPr>
  </w:style>
  <w:style w:type="paragraph" w:customStyle="1" w:styleId="CBDDesicionText">
    <w:name w:val="CBD_DesicionText"/>
    <w:basedOn w:val="CBDNormal"/>
    <w:qFormat/>
    <w:rsid w:val="00165C16"/>
    <w:pPr>
      <w:spacing w:after="120"/>
      <w:ind w:left="567"/>
    </w:pPr>
  </w:style>
  <w:style w:type="paragraph" w:customStyle="1" w:styleId="CBDDesicionAnnex">
    <w:name w:val="CBD_DesicionAnnex"/>
    <w:basedOn w:val="CBDNormal"/>
    <w:next w:val="CBDDesicionText"/>
    <w:qFormat/>
    <w:rsid w:val="00165C1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165C16"/>
    <w:pPr>
      <w:keepNext/>
      <w:keepLines/>
      <w:spacing w:after="240"/>
      <w:jc w:val="left"/>
    </w:pPr>
    <w:rPr>
      <w:b/>
      <w:sz w:val="28"/>
      <w:lang w:bidi="ar-SY"/>
    </w:rPr>
  </w:style>
  <w:style w:type="paragraph" w:customStyle="1" w:styleId="CBDSubTitle">
    <w:name w:val="CBD_SubTitle"/>
    <w:basedOn w:val="CBDNormal"/>
    <w:qFormat/>
    <w:rsid w:val="00165C16"/>
    <w:pPr>
      <w:keepNext/>
      <w:keepLines/>
      <w:spacing w:before="240" w:after="240"/>
      <w:ind w:left="567"/>
      <w:jc w:val="left"/>
    </w:pPr>
    <w:rPr>
      <w:b/>
    </w:rPr>
  </w:style>
  <w:style w:type="paragraph" w:customStyle="1" w:styleId="CBDTitle">
    <w:name w:val="CBD_Title"/>
    <w:basedOn w:val="CBDNormal"/>
    <w:next w:val="CBDSubTitle"/>
    <w:qFormat/>
    <w:rsid w:val="00165C16"/>
    <w:pPr>
      <w:keepNext/>
      <w:keepLines/>
      <w:spacing w:before="240" w:after="240"/>
      <w:ind w:left="567"/>
      <w:jc w:val="left"/>
    </w:pPr>
    <w:rPr>
      <w:b/>
      <w:sz w:val="28"/>
    </w:rPr>
  </w:style>
  <w:style w:type="paragraph" w:customStyle="1" w:styleId="AENormal">
    <w:name w:val="AE_Normal"/>
    <w:basedOn w:val="Normal"/>
    <w:rsid w:val="00165C16"/>
  </w:style>
  <w:style w:type="paragraph" w:customStyle="1" w:styleId="CBDH1">
    <w:name w:val="CBD_H1"/>
    <w:basedOn w:val="CBDNormal"/>
    <w:qFormat/>
    <w:rsid w:val="00165C16"/>
    <w:pPr>
      <w:keepNext/>
      <w:keepLines/>
      <w:spacing w:before="240" w:after="120"/>
      <w:ind w:left="567" w:hanging="567"/>
      <w:jc w:val="left"/>
      <w:outlineLvl w:val="0"/>
    </w:pPr>
    <w:rPr>
      <w:b/>
      <w:sz w:val="28"/>
    </w:rPr>
  </w:style>
  <w:style w:type="paragraph" w:customStyle="1" w:styleId="CBDH2">
    <w:name w:val="CBD_H2"/>
    <w:basedOn w:val="CBDNormalNumber"/>
    <w:qFormat/>
    <w:rsid w:val="00165C16"/>
    <w:pPr>
      <w:keepNext/>
      <w:keepLines/>
      <w:numPr>
        <w:numId w:val="0"/>
      </w:numPr>
      <w:ind w:left="567" w:hanging="567"/>
    </w:pPr>
    <w:rPr>
      <w:b/>
      <w:sz w:val="24"/>
    </w:rPr>
  </w:style>
  <w:style w:type="paragraph" w:customStyle="1" w:styleId="CBDFootnoteText">
    <w:name w:val="CBD_Footnote_Text"/>
    <w:basedOn w:val="CBDNormal"/>
    <w:qFormat/>
    <w:rsid w:val="00165C16"/>
    <w:pPr>
      <w:jc w:val="left"/>
    </w:pPr>
    <w:rPr>
      <w:sz w:val="18"/>
    </w:rPr>
  </w:style>
  <w:style w:type="paragraph" w:customStyle="1" w:styleId="CBDFooter">
    <w:name w:val="CBD_Footer"/>
    <w:basedOn w:val="CBDNormal"/>
    <w:qFormat/>
    <w:rsid w:val="00165C16"/>
    <w:rPr>
      <w:sz w:val="20"/>
    </w:rPr>
  </w:style>
  <w:style w:type="paragraph" w:customStyle="1" w:styleId="CBDHeader">
    <w:name w:val="CBD_Header"/>
    <w:basedOn w:val="CBDNormal"/>
    <w:next w:val="CBDFooter"/>
    <w:qFormat/>
    <w:rsid w:val="00165C1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65C16"/>
    <w:pPr>
      <w:keepNext/>
      <w:keepLines/>
      <w:spacing w:before="120" w:after="120"/>
      <w:ind w:left="567" w:hanging="567"/>
      <w:jc w:val="left"/>
    </w:pPr>
    <w:rPr>
      <w:b/>
    </w:rPr>
  </w:style>
  <w:style w:type="paragraph" w:customStyle="1" w:styleId="CBDH4">
    <w:name w:val="CBD_H4"/>
    <w:basedOn w:val="CBDNormal"/>
    <w:rsid w:val="00165C16"/>
    <w:pPr>
      <w:keepNext/>
      <w:keepLines/>
      <w:spacing w:before="120" w:after="120"/>
      <w:ind w:left="567" w:hanging="567"/>
      <w:jc w:val="left"/>
    </w:pPr>
    <w:rPr>
      <w:b/>
    </w:rPr>
  </w:style>
  <w:style w:type="paragraph" w:customStyle="1" w:styleId="CBDH5">
    <w:name w:val="CBD_H5"/>
    <w:basedOn w:val="CBDNormal"/>
    <w:qFormat/>
    <w:rsid w:val="00165C16"/>
    <w:pPr>
      <w:keepNext/>
      <w:keepLines/>
      <w:spacing w:before="120" w:after="120"/>
      <w:ind w:left="567" w:hanging="567"/>
      <w:jc w:val="left"/>
    </w:pPr>
    <w:rPr>
      <w:i/>
    </w:rPr>
  </w:style>
  <w:style w:type="paragraph" w:customStyle="1" w:styleId="CBDTableNormal">
    <w:name w:val="CBD_TableNormal"/>
    <w:basedOn w:val="CBDNormal"/>
    <w:qFormat/>
    <w:rsid w:val="00165C16"/>
    <w:pPr>
      <w:spacing w:before="40" w:after="80"/>
      <w:jc w:val="left"/>
    </w:pPr>
    <w:rPr>
      <w:sz w:val="20"/>
    </w:rPr>
  </w:style>
  <w:style w:type="paragraph" w:customStyle="1" w:styleId="CBDTableTitle">
    <w:name w:val="CBD_TableTitle"/>
    <w:basedOn w:val="CBDNormal"/>
    <w:qFormat/>
    <w:rsid w:val="00165C16"/>
    <w:pPr>
      <w:keepNext/>
      <w:keepLines/>
      <w:spacing w:before="120" w:after="60"/>
      <w:ind w:left="567"/>
      <w:jc w:val="left"/>
    </w:pPr>
    <w:rPr>
      <w:b/>
    </w:rPr>
  </w:style>
  <w:style w:type="paragraph" w:customStyle="1" w:styleId="CBDFigureTitle">
    <w:name w:val="CBD_FigureTitle"/>
    <w:basedOn w:val="CBDNormal"/>
    <w:next w:val="CBDNormalNoNumber"/>
    <w:qFormat/>
    <w:rsid w:val="00165C16"/>
    <w:pPr>
      <w:keepNext/>
      <w:keepLines/>
      <w:spacing w:before="120" w:after="60"/>
      <w:ind w:left="567"/>
      <w:jc w:val="left"/>
    </w:pPr>
    <w:rPr>
      <w:b/>
    </w:rPr>
  </w:style>
  <w:style w:type="paragraph" w:styleId="Bibliography">
    <w:name w:val="Bibliography"/>
    <w:basedOn w:val="Normal"/>
    <w:next w:val="Normal"/>
    <w:uiPriority w:val="37"/>
    <w:semiHidden/>
    <w:unhideWhenUsed/>
    <w:rsid w:val="00493F78"/>
  </w:style>
  <w:style w:type="paragraph" w:styleId="BlockText">
    <w:name w:val="Block Text"/>
    <w:basedOn w:val="Normal"/>
    <w:uiPriority w:val="99"/>
    <w:semiHidden/>
    <w:unhideWhenUsed/>
    <w:rsid w:val="00493F7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93F78"/>
    <w:pPr>
      <w:spacing w:after="120" w:line="480" w:lineRule="auto"/>
    </w:pPr>
  </w:style>
  <w:style w:type="character" w:customStyle="1" w:styleId="BodyText2Char">
    <w:name w:val="Body Text 2 Char"/>
    <w:basedOn w:val="DefaultParagraphFont"/>
    <w:link w:val="BodyText2"/>
    <w:uiPriority w:val="99"/>
    <w:semiHidden/>
    <w:rsid w:val="00493F78"/>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93F78"/>
    <w:pPr>
      <w:spacing w:after="120"/>
    </w:pPr>
    <w:rPr>
      <w:sz w:val="16"/>
      <w:szCs w:val="16"/>
    </w:rPr>
  </w:style>
  <w:style w:type="character" w:customStyle="1" w:styleId="BodyText3Char">
    <w:name w:val="Body Text 3 Char"/>
    <w:basedOn w:val="DefaultParagraphFont"/>
    <w:link w:val="BodyText3"/>
    <w:uiPriority w:val="99"/>
    <w:semiHidden/>
    <w:rsid w:val="00493F78"/>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93F78"/>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93F78"/>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93F78"/>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493F78"/>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93F78"/>
    <w:pPr>
      <w:spacing w:after="120" w:line="480" w:lineRule="auto"/>
      <w:ind w:left="283"/>
    </w:pPr>
  </w:style>
  <w:style w:type="character" w:customStyle="1" w:styleId="BodyTextIndent2Char">
    <w:name w:val="Body Text Indent 2 Char"/>
    <w:basedOn w:val="DefaultParagraphFont"/>
    <w:link w:val="BodyTextIndent2"/>
    <w:uiPriority w:val="99"/>
    <w:semiHidden/>
    <w:rsid w:val="00493F78"/>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93F7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93F78"/>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93F78"/>
    <w:rPr>
      <w:b/>
      <w:bCs/>
      <w:i/>
      <w:iCs/>
      <w:spacing w:val="5"/>
      <w:lang w:val="en-GB"/>
    </w:rPr>
  </w:style>
  <w:style w:type="paragraph" w:styleId="Caption">
    <w:name w:val="caption"/>
    <w:basedOn w:val="Normal"/>
    <w:next w:val="Normal"/>
    <w:uiPriority w:val="35"/>
    <w:semiHidden/>
    <w:unhideWhenUsed/>
    <w:qFormat/>
    <w:rsid w:val="00493F78"/>
    <w:pPr>
      <w:spacing w:after="200"/>
    </w:pPr>
    <w:rPr>
      <w:i/>
      <w:iCs/>
      <w:color w:val="44546A" w:themeColor="text2"/>
      <w:sz w:val="18"/>
      <w:szCs w:val="18"/>
    </w:rPr>
  </w:style>
  <w:style w:type="paragraph" w:styleId="Closing">
    <w:name w:val="Closing"/>
    <w:basedOn w:val="Normal"/>
    <w:link w:val="ClosingChar"/>
    <w:uiPriority w:val="99"/>
    <w:semiHidden/>
    <w:unhideWhenUsed/>
    <w:rsid w:val="00493F78"/>
    <w:pPr>
      <w:ind w:left="4252"/>
    </w:pPr>
  </w:style>
  <w:style w:type="character" w:customStyle="1" w:styleId="ClosingChar">
    <w:name w:val="Closing Char"/>
    <w:basedOn w:val="DefaultParagraphFont"/>
    <w:link w:val="Closing"/>
    <w:uiPriority w:val="99"/>
    <w:semiHidden/>
    <w:rsid w:val="00493F78"/>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93F7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93F7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93F7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93F78"/>
  </w:style>
  <w:style w:type="character" w:customStyle="1" w:styleId="DateChar">
    <w:name w:val="Date Char"/>
    <w:basedOn w:val="DefaultParagraphFont"/>
    <w:link w:val="Date"/>
    <w:uiPriority w:val="99"/>
    <w:semiHidden/>
    <w:rsid w:val="00493F78"/>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93F78"/>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93F78"/>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93F78"/>
  </w:style>
  <w:style w:type="character" w:customStyle="1" w:styleId="E-mailSignatureChar">
    <w:name w:val="E-mail Signature Char"/>
    <w:basedOn w:val="DefaultParagraphFont"/>
    <w:link w:val="E-mailSignature"/>
    <w:uiPriority w:val="99"/>
    <w:semiHidden/>
    <w:rsid w:val="00493F78"/>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93F78"/>
    <w:rPr>
      <w:i/>
      <w:iCs/>
      <w:lang w:val="en-GB"/>
    </w:rPr>
  </w:style>
  <w:style w:type="character" w:styleId="EndnoteReference">
    <w:name w:val="endnote reference"/>
    <w:basedOn w:val="DefaultParagraphFont"/>
    <w:uiPriority w:val="99"/>
    <w:semiHidden/>
    <w:unhideWhenUsed/>
    <w:rsid w:val="00493F78"/>
    <w:rPr>
      <w:vertAlign w:val="superscript"/>
      <w:lang w:val="en-GB"/>
    </w:rPr>
  </w:style>
  <w:style w:type="paragraph" w:styleId="EndnoteText">
    <w:name w:val="endnote text"/>
    <w:basedOn w:val="Normal"/>
    <w:link w:val="EndnoteTextChar"/>
    <w:uiPriority w:val="99"/>
    <w:semiHidden/>
    <w:unhideWhenUsed/>
    <w:rsid w:val="00493F78"/>
    <w:rPr>
      <w:sz w:val="20"/>
      <w:szCs w:val="20"/>
    </w:rPr>
  </w:style>
  <w:style w:type="character" w:customStyle="1" w:styleId="EndnoteTextChar">
    <w:name w:val="Endnote Text Char"/>
    <w:basedOn w:val="DefaultParagraphFont"/>
    <w:link w:val="EndnoteText"/>
    <w:uiPriority w:val="99"/>
    <w:semiHidden/>
    <w:rsid w:val="00493F78"/>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93F7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93F7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493F78"/>
    <w:rPr>
      <w:color w:val="954F72" w:themeColor="followedHyperlink"/>
      <w:u w:val="single"/>
      <w:lang w:val="en-GB"/>
    </w:rPr>
  </w:style>
  <w:style w:type="table" w:styleId="GridTable1Light">
    <w:name w:val="Grid Table 1 Light"/>
    <w:basedOn w:val="TableNormal"/>
    <w:uiPriority w:val="46"/>
    <w:rsid w:val="00493F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93F7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93F7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93F7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93F7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93F7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93F7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93F7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93F7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93F7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93F7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93F7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93F7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93F7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93F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93F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93F7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93F7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93F7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93F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93F7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93F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93F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93F7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93F7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93F7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93F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93F7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93F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93F7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93F7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93F7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93F7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93F7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93F7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93F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93F7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93F7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93F7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93F7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93F7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93F7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93F78"/>
    <w:rPr>
      <w:color w:val="2B579A"/>
      <w:shd w:val="clear" w:color="auto" w:fill="E1DFDD"/>
      <w:lang w:val="en-GB"/>
    </w:rPr>
  </w:style>
  <w:style w:type="character" w:styleId="HTMLAcronym">
    <w:name w:val="HTML Acronym"/>
    <w:basedOn w:val="DefaultParagraphFont"/>
    <w:uiPriority w:val="99"/>
    <w:semiHidden/>
    <w:unhideWhenUsed/>
    <w:rsid w:val="00493F78"/>
    <w:rPr>
      <w:lang w:val="en-GB"/>
    </w:rPr>
  </w:style>
  <w:style w:type="paragraph" w:styleId="HTMLAddress">
    <w:name w:val="HTML Address"/>
    <w:basedOn w:val="Normal"/>
    <w:link w:val="HTMLAddressChar"/>
    <w:uiPriority w:val="99"/>
    <w:semiHidden/>
    <w:unhideWhenUsed/>
    <w:rsid w:val="00493F78"/>
    <w:rPr>
      <w:i/>
      <w:iCs/>
    </w:rPr>
  </w:style>
  <w:style w:type="character" w:customStyle="1" w:styleId="HTMLAddressChar">
    <w:name w:val="HTML Address Char"/>
    <w:basedOn w:val="DefaultParagraphFont"/>
    <w:link w:val="HTMLAddress"/>
    <w:uiPriority w:val="99"/>
    <w:semiHidden/>
    <w:rsid w:val="00493F78"/>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93F78"/>
    <w:rPr>
      <w:i/>
      <w:iCs/>
      <w:lang w:val="en-GB"/>
    </w:rPr>
  </w:style>
  <w:style w:type="character" w:styleId="HTMLCode">
    <w:name w:val="HTML Code"/>
    <w:basedOn w:val="DefaultParagraphFont"/>
    <w:uiPriority w:val="99"/>
    <w:semiHidden/>
    <w:unhideWhenUsed/>
    <w:rsid w:val="00493F78"/>
    <w:rPr>
      <w:rFonts w:ascii="Consolas" w:hAnsi="Consolas"/>
      <w:sz w:val="20"/>
      <w:szCs w:val="20"/>
      <w:lang w:val="en-GB"/>
    </w:rPr>
  </w:style>
  <w:style w:type="character" w:styleId="HTMLDefinition">
    <w:name w:val="HTML Definition"/>
    <w:basedOn w:val="DefaultParagraphFont"/>
    <w:uiPriority w:val="99"/>
    <w:semiHidden/>
    <w:unhideWhenUsed/>
    <w:rsid w:val="00493F78"/>
    <w:rPr>
      <w:i/>
      <w:iCs/>
      <w:lang w:val="en-GB"/>
    </w:rPr>
  </w:style>
  <w:style w:type="character" w:styleId="HTMLKeyboard">
    <w:name w:val="HTML Keyboard"/>
    <w:basedOn w:val="DefaultParagraphFont"/>
    <w:uiPriority w:val="99"/>
    <w:semiHidden/>
    <w:unhideWhenUsed/>
    <w:rsid w:val="00493F78"/>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93F78"/>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93F78"/>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93F78"/>
    <w:rPr>
      <w:rFonts w:ascii="Consolas" w:hAnsi="Consolas"/>
      <w:sz w:val="24"/>
      <w:szCs w:val="24"/>
      <w:lang w:val="en-GB"/>
    </w:rPr>
  </w:style>
  <w:style w:type="character" w:styleId="HTMLTypewriter">
    <w:name w:val="HTML Typewriter"/>
    <w:basedOn w:val="DefaultParagraphFont"/>
    <w:uiPriority w:val="99"/>
    <w:semiHidden/>
    <w:unhideWhenUsed/>
    <w:rsid w:val="00493F78"/>
    <w:rPr>
      <w:rFonts w:ascii="Consolas" w:hAnsi="Consolas"/>
      <w:sz w:val="20"/>
      <w:szCs w:val="20"/>
      <w:lang w:val="en-GB"/>
    </w:rPr>
  </w:style>
  <w:style w:type="character" w:styleId="HTMLVariable">
    <w:name w:val="HTML Variable"/>
    <w:basedOn w:val="DefaultParagraphFont"/>
    <w:uiPriority w:val="99"/>
    <w:semiHidden/>
    <w:unhideWhenUsed/>
    <w:rsid w:val="00493F78"/>
    <w:rPr>
      <w:i/>
      <w:iCs/>
      <w:lang w:val="en-GB"/>
    </w:rPr>
  </w:style>
  <w:style w:type="paragraph" w:styleId="Index1">
    <w:name w:val="index 1"/>
    <w:basedOn w:val="Normal"/>
    <w:next w:val="Normal"/>
    <w:autoRedefine/>
    <w:uiPriority w:val="99"/>
    <w:semiHidden/>
    <w:unhideWhenUsed/>
    <w:rsid w:val="00493F7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93F7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93F7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93F7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93F7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93F7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93F7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93F7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93F78"/>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93F78"/>
    <w:rPr>
      <w:rFonts w:asciiTheme="majorHAnsi" w:eastAsiaTheme="majorEastAsia" w:hAnsiTheme="majorHAnsi" w:cstheme="majorBidi"/>
      <w:b/>
      <w:bCs/>
    </w:rPr>
  </w:style>
  <w:style w:type="character" w:styleId="IntenseEmphasis">
    <w:name w:val="Intense Emphasis"/>
    <w:basedOn w:val="DefaultParagraphFont"/>
    <w:uiPriority w:val="21"/>
    <w:qFormat/>
    <w:rsid w:val="00493F78"/>
    <w:rPr>
      <w:i/>
      <w:iCs/>
      <w:color w:val="4472C4" w:themeColor="accent1"/>
      <w:lang w:val="en-GB"/>
    </w:rPr>
  </w:style>
  <w:style w:type="paragraph" w:styleId="IntenseQuote">
    <w:name w:val="Intense Quote"/>
    <w:basedOn w:val="Normal"/>
    <w:next w:val="Normal"/>
    <w:link w:val="IntenseQuoteChar"/>
    <w:uiPriority w:val="30"/>
    <w:qFormat/>
    <w:rsid w:val="00493F7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93F78"/>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93F78"/>
    <w:rPr>
      <w:b/>
      <w:bCs/>
      <w:smallCaps/>
      <w:color w:val="4472C4" w:themeColor="accent1"/>
      <w:spacing w:val="5"/>
      <w:lang w:val="en-GB"/>
    </w:rPr>
  </w:style>
  <w:style w:type="table" w:styleId="LightGrid">
    <w:name w:val="Light Grid"/>
    <w:basedOn w:val="TableNormal"/>
    <w:uiPriority w:val="62"/>
    <w:semiHidden/>
    <w:unhideWhenUsed/>
    <w:rsid w:val="00493F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93F7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93F7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93F7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93F7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93F7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93F7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93F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93F7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93F7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93F7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93F7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93F7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93F7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93F7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93F7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93F7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93F7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93F7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93F7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93F7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93F78"/>
    <w:rPr>
      <w:lang w:val="en-GB"/>
    </w:rPr>
  </w:style>
  <w:style w:type="paragraph" w:styleId="List2">
    <w:name w:val="List 2"/>
    <w:basedOn w:val="Normal"/>
    <w:uiPriority w:val="99"/>
    <w:semiHidden/>
    <w:unhideWhenUsed/>
    <w:rsid w:val="00493F78"/>
    <w:pPr>
      <w:ind w:left="566" w:hanging="283"/>
      <w:contextualSpacing/>
    </w:pPr>
  </w:style>
  <w:style w:type="paragraph" w:styleId="List3">
    <w:name w:val="List 3"/>
    <w:basedOn w:val="Normal"/>
    <w:uiPriority w:val="99"/>
    <w:semiHidden/>
    <w:unhideWhenUsed/>
    <w:rsid w:val="00493F78"/>
    <w:pPr>
      <w:ind w:left="849" w:hanging="283"/>
      <w:contextualSpacing/>
    </w:pPr>
  </w:style>
  <w:style w:type="paragraph" w:styleId="List4">
    <w:name w:val="List 4"/>
    <w:basedOn w:val="Normal"/>
    <w:uiPriority w:val="99"/>
    <w:semiHidden/>
    <w:unhideWhenUsed/>
    <w:rsid w:val="00493F78"/>
    <w:pPr>
      <w:ind w:left="1132" w:hanging="283"/>
      <w:contextualSpacing/>
    </w:pPr>
  </w:style>
  <w:style w:type="paragraph" w:styleId="List5">
    <w:name w:val="List 5"/>
    <w:basedOn w:val="Normal"/>
    <w:uiPriority w:val="99"/>
    <w:semiHidden/>
    <w:unhideWhenUsed/>
    <w:rsid w:val="00493F78"/>
    <w:pPr>
      <w:ind w:left="1415" w:hanging="283"/>
      <w:contextualSpacing/>
    </w:pPr>
  </w:style>
  <w:style w:type="paragraph" w:styleId="ListBullet">
    <w:name w:val="List Bullet"/>
    <w:basedOn w:val="Normal"/>
    <w:uiPriority w:val="99"/>
    <w:semiHidden/>
    <w:unhideWhenUsed/>
    <w:rsid w:val="00493F78"/>
    <w:pPr>
      <w:tabs>
        <w:tab w:val="num" w:pos="360"/>
      </w:tabs>
      <w:ind w:left="360" w:hanging="360"/>
      <w:contextualSpacing/>
    </w:pPr>
  </w:style>
  <w:style w:type="paragraph" w:styleId="ListBullet2">
    <w:name w:val="List Bullet 2"/>
    <w:basedOn w:val="Normal"/>
    <w:uiPriority w:val="99"/>
    <w:semiHidden/>
    <w:unhideWhenUsed/>
    <w:rsid w:val="00493F78"/>
    <w:pPr>
      <w:tabs>
        <w:tab w:val="num" w:pos="643"/>
      </w:tabs>
      <w:ind w:left="643" w:hanging="360"/>
      <w:contextualSpacing/>
    </w:pPr>
  </w:style>
  <w:style w:type="paragraph" w:styleId="ListBullet3">
    <w:name w:val="List Bullet 3"/>
    <w:basedOn w:val="Normal"/>
    <w:uiPriority w:val="99"/>
    <w:semiHidden/>
    <w:unhideWhenUsed/>
    <w:rsid w:val="00493F78"/>
    <w:pPr>
      <w:tabs>
        <w:tab w:val="num" w:pos="926"/>
      </w:tabs>
      <w:ind w:left="926" w:hanging="360"/>
      <w:contextualSpacing/>
    </w:pPr>
  </w:style>
  <w:style w:type="paragraph" w:styleId="ListBullet4">
    <w:name w:val="List Bullet 4"/>
    <w:basedOn w:val="Normal"/>
    <w:uiPriority w:val="99"/>
    <w:semiHidden/>
    <w:unhideWhenUsed/>
    <w:rsid w:val="00493F78"/>
    <w:pPr>
      <w:tabs>
        <w:tab w:val="num" w:pos="1209"/>
      </w:tabs>
      <w:ind w:left="1209" w:hanging="360"/>
      <w:contextualSpacing/>
    </w:pPr>
  </w:style>
  <w:style w:type="paragraph" w:styleId="ListBullet5">
    <w:name w:val="List Bullet 5"/>
    <w:basedOn w:val="Normal"/>
    <w:uiPriority w:val="99"/>
    <w:semiHidden/>
    <w:unhideWhenUsed/>
    <w:rsid w:val="00493F78"/>
    <w:pPr>
      <w:tabs>
        <w:tab w:val="num" w:pos="1492"/>
      </w:tabs>
      <w:ind w:left="1492" w:hanging="360"/>
      <w:contextualSpacing/>
    </w:pPr>
  </w:style>
  <w:style w:type="paragraph" w:styleId="ListContinue">
    <w:name w:val="List Continue"/>
    <w:basedOn w:val="Normal"/>
    <w:uiPriority w:val="99"/>
    <w:semiHidden/>
    <w:unhideWhenUsed/>
    <w:rsid w:val="00493F78"/>
    <w:pPr>
      <w:spacing w:after="120"/>
      <w:ind w:left="283"/>
      <w:contextualSpacing/>
    </w:pPr>
  </w:style>
  <w:style w:type="paragraph" w:styleId="ListContinue2">
    <w:name w:val="List Continue 2"/>
    <w:basedOn w:val="Normal"/>
    <w:uiPriority w:val="99"/>
    <w:semiHidden/>
    <w:unhideWhenUsed/>
    <w:rsid w:val="00493F78"/>
    <w:pPr>
      <w:spacing w:after="120"/>
      <w:ind w:left="566"/>
      <w:contextualSpacing/>
    </w:pPr>
  </w:style>
  <w:style w:type="paragraph" w:styleId="ListContinue3">
    <w:name w:val="List Continue 3"/>
    <w:basedOn w:val="Normal"/>
    <w:uiPriority w:val="99"/>
    <w:semiHidden/>
    <w:unhideWhenUsed/>
    <w:rsid w:val="00493F78"/>
    <w:pPr>
      <w:spacing w:after="120"/>
      <w:ind w:left="849"/>
      <w:contextualSpacing/>
    </w:pPr>
  </w:style>
  <w:style w:type="paragraph" w:styleId="ListContinue4">
    <w:name w:val="List Continue 4"/>
    <w:basedOn w:val="Normal"/>
    <w:uiPriority w:val="99"/>
    <w:semiHidden/>
    <w:unhideWhenUsed/>
    <w:rsid w:val="00493F78"/>
    <w:pPr>
      <w:spacing w:after="120"/>
      <w:ind w:left="1132"/>
      <w:contextualSpacing/>
    </w:pPr>
  </w:style>
  <w:style w:type="paragraph" w:styleId="ListContinue5">
    <w:name w:val="List Continue 5"/>
    <w:basedOn w:val="Normal"/>
    <w:uiPriority w:val="99"/>
    <w:semiHidden/>
    <w:unhideWhenUsed/>
    <w:rsid w:val="00493F78"/>
    <w:pPr>
      <w:spacing w:after="120"/>
      <w:ind w:left="1415"/>
      <w:contextualSpacing/>
    </w:pPr>
  </w:style>
  <w:style w:type="paragraph" w:styleId="ListNumber">
    <w:name w:val="List Number"/>
    <w:basedOn w:val="Normal"/>
    <w:uiPriority w:val="99"/>
    <w:semiHidden/>
    <w:unhideWhenUsed/>
    <w:rsid w:val="00493F78"/>
    <w:pPr>
      <w:tabs>
        <w:tab w:val="num" w:pos="360"/>
      </w:tabs>
      <w:ind w:left="360" w:hanging="360"/>
      <w:contextualSpacing/>
    </w:pPr>
  </w:style>
  <w:style w:type="paragraph" w:styleId="ListNumber2">
    <w:name w:val="List Number 2"/>
    <w:basedOn w:val="Normal"/>
    <w:uiPriority w:val="99"/>
    <w:semiHidden/>
    <w:unhideWhenUsed/>
    <w:rsid w:val="00493F78"/>
    <w:pPr>
      <w:tabs>
        <w:tab w:val="num" w:pos="643"/>
      </w:tabs>
      <w:ind w:left="643" w:hanging="360"/>
      <w:contextualSpacing/>
    </w:pPr>
  </w:style>
  <w:style w:type="paragraph" w:styleId="ListNumber3">
    <w:name w:val="List Number 3"/>
    <w:basedOn w:val="Normal"/>
    <w:uiPriority w:val="99"/>
    <w:semiHidden/>
    <w:unhideWhenUsed/>
    <w:rsid w:val="00493F78"/>
    <w:pPr>
      <w:tabs>
        <w:tab w:val="num" w:pos="926"/>
      </w:tabs>
      <w:ind w:left="926" w:hanging="360"/>
      <w:contextualSpacing/>
    </w:pPr>
  </w:style>
  <w:style w:type="paragraph" w:styleId="ListNumber4">
    <w:name w:val="List Number 4"/>
    <w:basedOn w:val="Normal"/>
    <w:uiPriority w:val="99"/>
    <w:semiHidden/>
    <w:unhideWhenUsed/>
    <w:rsid w:val="00493F78"/>
    <w:pPr>
      <w:tabs>
        <w:tab w:val="num" w:pos="1209"/>
      </w:tabs>
      <w:ind w:left="1209" w:hanging="360"/>
      <w:contextualSpacing/>
    </w:pPr>
  </w:style>
  <w:style w:type="paragraph" w:styleId="ListNumber5">
    <w:name w:val="List Number 5"/>
    <w:basedOn w:val="Normal"/>
    <w:uiPriority w:val="99"/>
    <w:semiHidden/>
    <w:unhideWhenUsed/>
    <w:rsid w:val="00493F78"/>
    <w:pPr>
      <w:tabs>
        <w:tab w:val="num" w:pos="1800"/>
      </w:tabs>
      <w:ind w:left="1800" w:hanging="360"/>
      <w:contextualSpacing/>
    </w:pPr>
  </w:style>
  <w:style w:type="table" w:styleId="ListTable1Light">
    <w:name w:val="List Table 1 Light"/>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93F7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93F7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93F7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93F7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93F7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93F7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93F7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93F7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93F7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93F7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93F7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93F7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93F7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93F7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93F7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93F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93F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93F7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93F7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93F7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93F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93F7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93F7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93F7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93F7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93F7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93F7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93F7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93F7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93F7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93F7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93F7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93F7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93F7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93F7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93F7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93F7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93F7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93F7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93F7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93F7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93F7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93F7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93F7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93F78"/>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93F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93F7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93F7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93F7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93F7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93F7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93F7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93F7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93F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93F7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93F7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93F7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93F7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93F7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93F7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93F78"/>
    <w:rPr>
      <w:color w:val="2B579A"/>
      <w:shd w:val="clear" w:color="auto" w:fill="E1DFDD"/>
      <w:lang w:val="en-GB"/>
    </w:rPr>
  </w:style>
  <w:style w:type="paragraph" w:styleId="MessageHeader">
    <w:name w:val="Message Header"/>
    <w:basedOn w:val="Normal"/>
    <w:link w:val="MessageHeaderChar"/>
    <w:uiPriority w:val="99"/>
    <w:semiHidden/>
    <w:unhideWhenUsed/>
    <w:rsid w:val="00493F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93F78"/>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93F7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493F78"/>
    <w:pPr>
      <w:ind w:left="720"/>
    </w:pPr>
  </w:style>
  <w:style w:type="paragraph" w:styleId="NoteHeading">
    <w:name w:val="Note Heading"/>
    <w:basedOn w:val="Normal"/>
    <w:next w:val="Normal"/>
    <w:link w:val="NoteHeadingChar"/>
    <w:uiPriority w:val="99"/>
    <w:semiHidden/>
    <w:unhideWhenUsed/>
    <w:rsid w:val="00493F78"/>
  </w:style>
  <w:style w:type="character" w:customStyle="1" w:styleId="NoteHeadingChar">
    <w:name w:val="Note Heading Char"/>
    <w:basedOn w:val="DefaultParagraphFont"/>
    <w:link w:val="NoteHeading"/>
    <w:uiPriority w:val="99"/>
    <w:semiHidden/>
    <w:rsid w:val="00493F78"/>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493F78"/>
    <w:rPr>
      <w:lang w:val="en-GB"/>
    </w:rPr>
  </w:style>
  <w:style w:type="table" w:styleId="PlainTable1">
    <w:name w:val="Plain Table 1"/>
    <w:basedOn w:val="TableNormal"/>
    <w:uiPriority w:val="41"/>
    <w:rsid w:val="00493F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93F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93F7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93F7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93F7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93F78"/>
    <w:rPr>
      <w:rFonts w:ascii="Consolas" w:hAnsi="Consolas"/>
      <w:sz w:val="21"/>
      <w:szCs w:val="21"/>
    </w:rPr>
  </w:style>
  <w:style w:type="character" w:customStyle="1" w:styleId="PlainTextChar">
    <w:name w:val="Plain Text Char"/>
    <w:basedOn w:val="DefaultParagraphFont"/>
    <w:link w:val="PlainText"/>
    <w:uiPriority w:val="99"/>
    <w:semiHidden/>
    <w:rsid w:val="00493F78"/>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93F7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93F78"/>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93F78"/>
  </w:style>
  <w:style w:type="character" w:customStyle="1" w:styleId="SalutationChar">
    <w:name w:val="Salutation Char"/>
    <w:basedOn w:val="DefaultParagraphFont"/>
    <w:link w:val="Salutation"/>
    <w:uiPriority w:val="99"/>
    <w:semiHidden/>
    <w:rsid w:val="00493F78"/>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93F78"/>
    <w:pPr>
      <w:ind w:left="4252"/>
    </w:pPr>
  </w:style>
  <w:style w:type="character" w:customStyle="1" w:styleId="SignatureChar">
    <w:name w:val="Signature Char"/>
    <w:basedOn w:val="DefaultParagraphFont"/>
    <w:link w:val="Signature"/>
    <w:uiPriority w:val="99"/>
    <w:semiHidden/>
    <w:rsid w:val="00493F78"/>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93F78"/>
    <w:rPr>
      <w:u w:val="dotted"/>
      <w:lang w:val="en-GB"/>
    </w:rPr>
  </w:style>
  <w:style w:type="character" w:styleId="SmartLink">
    <w:name w:val="Smart Link"/>
    <w:basedOn w:val="DefaultParagraphFont"/>
    <w:uiPriority w:val="99"/>
    <w:semiHidden/>
    <w:unhideWhenUsed/>
    <w:rsid w:val="00493F78"/>
    <w:rPr>
      <w:color w:val="0000FF"/>
      <w:u w:val="single"/>
      <w:shd w:val="clear" w:color="auto" w:fill="F3F2F1"/>
      <w:lang w:val="en-GB"/>
    </w:rPr>
  </w:style>
  <w:style w:type="character" w:styleId="Strong">
    <w:name w:val="Strong"/>
    <w:basedOn w:val="DefaultParagraphFont"/>
    <w:uiPriority w:val="22"/>
    <w:qFormat/>
    <w:rsid w:val="00493F78"/>
    <w:rPr>
      <w:b/>
      <w:bCs/>
      <w:lang w:val="en-GB"/>
    </w:rPr>
  </w:style>
  <w:style w:type="character" w:styleId="SubtleEmphasis">
    <w:name w:val="Subtle Emphasis"/>
    <w:basedOn w:val="DefaultParagraphFont"/>
    <w:uiPriority w:val="19"/>
    <w:qFormat/>
    <w:rsid w:val="00493F78"/>
    <w:rPr>
      <w:i/>
      <w:iCs/>
      <w:color w:val="404040" w:themeColor="text1" w:themeTint="BF"/>
      <w:lang w:val="en-GB"/>
    </w:rPr>
  </w:style>
  <w:style w:type="character" w:styleId="SubtleReference">
    <w:name w:val="Subtle Reference"/>
    <w:basedOn w:val="DefaultParagraphFont"/>
    <w:uiPriority w:val="31"/>
    <w:qFormat/>
    <w:rsid w:val="00493F78"/>
    <w:rPr>
      <w:smallCaps/>
      <w:color w:val="5A5A5A" w:themeColor="text1" w:themeTint="A5"/>
      <w:lang w:val="en-GB"/>
    </w:rPr>
  </w:style>
  <w:style w:type="table" w:styleId="Table3Deffects1">
    <w:name w:val="Table 3D effects 1"/>
    <w:basedOn w:val="TableNormal"/>
    <w:uiPriority w:val="99"/>
    <w:semiHidden/>
    <w:unhideWhenUsed/>
    <w:rsid w:val="00493F7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93F7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93F7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93F7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93F7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93F7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93F7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93F7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93F7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93F7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93F7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93F7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93F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93F78"/>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93F78"/>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93F7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93F7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93F7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93F7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93F7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93F7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93F7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93F7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93F78"/>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93F78"/>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93F78"/>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93F78"/>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93F78"/>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93F78"/>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93F78"/>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93F78"/>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493F78"/>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493F7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sub-headingitalics">
    <w:name w:val="sub-heading italics"/>
    <w:basedOn w:val="CBDH4"/>
    <w:qFormat/>
    <w:rsid w:val="00C52DEC"/>
    <w:rPr>
      <w:b w:val="0"/>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A89CCC28B624B1CAFEA04171FAB20FC"/>
        <w:category>
          <w:name w:val="General"/>
          <w:gallery w:val="placeholder"/>
        </w:category>
        <w:types>
          <w:type w:val="bbPlcHdr"/>
        </w:types>
        <w:behaviors>
          <w:behavior w:val="content"/>
        </w:behaviors>
        <w:guid w:val="{7C2D814E-DAA9-4183-996D-ACE3F1A27755}"/>
      </w:docPartPr>
      <w:docPartBody>
        <w:p w:rsidR="00E0084A" w:rsidRDefault="00E0084A">
          <w:pPr>
            <w:pStyle w:val="3A89CCC28B624B1CAFEA04171FAB20FC"/>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84A"/>
    <w:rsid w:val="00002767"/>
    <w:rsid w:val="00022133"/>
    <w:rsid w:val="002353AD"/>
    <w:rsid w:val="002D132F"/>
    <w:rsid w:val="003A5AA2"/>
    <w:rsid w:val="003C05E1"/>
    <w:rsid w:val="00407CB8"/>
    <w:rsid w:val="00505F3F"/>
    <w:rsid w:val="00580076"/>
    <w:rsid w:val="00613BE1"/>
    <w:rsid w:val="006661BA"/>
    <w:rsid w:val="006A1E2C"/>
    <w:rsid w:val="006F4790"/>
    <w:rsid w:val="00716678"/>
    <w:rsid w:val="007608F6"/>
    <w:rsid w:val="00981D99"/>
    <w:rsid w:val="00991CA4"/>
    <w:rsid w:val="00A93A61"/>
    <w:rsid w:val="00B66E91"/>
    <w:rsid w:val="00B92028"/>
    <w:rsid w:val="00C4129F"/>
    <w:rsid w:val="00CC3B26"/>
    <w:rsid w:val="00CF70FE"/>
    <w:rsid w:val="00D51CB7"/>
    <w:rsid w:val="00DA7F58"/>
    <w:rsid w:val="00DE0BE1"/>
    <w:rsid w:val="00DF5EA2"/>
    <w:rsid w:val="00E0084A"/>
    <w:rsid w:val="00E069ED"/>
    <w:rsid w:val="00EC21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89CCC28B624B1CAFEA04171FAB20FC">
    <w:name w:val="3A89CCC28B624B1CAFEA04171FAB2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8DB94-F505-46D7-97AD-C27480DDABCA}">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3</TotalTime>
  <Pages>18</Pages>
  <Words>5850</Words>
  <Characters>36451</Characters>
  <Application>Microsoft Office Word</Application>
  <DocSecurity>0</DocSecurity>
  <Lines>597</Lines>
  <Paragraphs>302</Paragraphs>
  <ScaleCrop>false</ScaleCrop>
  <HeadingPairs>
    <vt:vector size="2" baseType="variant">
      <vt:variant>
        <vt:lpstr>Title</vt:lpstr>
      </vt:variant>
      <vt:variant>
        <vt:i4>1</vt:i4>
      </vt:variant>
    </vt:vector>
  </HeadingPairs>
  <TitlesOfParts>
    <vt:vector size="1" baseType="lpstr">
      <vt:lpstr>Consolidated previous guidance to the Global Environment Facility</vt:lpstr>
    </vt:vector>
  </TitlesOfParts>
  <Company/>
  <LinksUpToDate>false</LinksUpToDate>
  <CharactersWithSpaces>41999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previous guidance to the Global Environment Facility</dc:title>
  <dc:subject>CBD/COP/16/6/Add.1</dc:subject>
  <dc:creator>scbd</dc:creator>
  <cp:keywords>Conference of the Parties to the Convention on Biological Diversity</cp:keywords>
  <dc:description/>
  <cp:lastModifiedBy>Veronique Lefebvre</cp:lastModifiedBy>
  <cp:revision>4</cp:revision>
  <cp:lastPrinted>2024-09-20T16:49:00Z</cp:lastPrinted>
  <dcterms:created xsi:type="dcterms:W3CDTF">2024-09-24T19:18:00Z</dcterms:created>
  <dcterms:modified xsi:type="dcterms:W3CDTF">2024-09-24T19:20:00Z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ies>
</file>