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9"/>
        <w:gridCol w:w="4095"/>
        <w:gridCol w:w="5739"/>
      </w:tblGrid>
      <w:tr w:rsidR="00506CC7" w:rsidRPr="00B544E1" w14:paraId="116187DA" w14:textId="77777777" w:rsidTr="002263AC">
        <w:trPr>
          <w:trHeight w:val="851"/>
        </w:trPr>
        <w:tc>
          <w:tcPr>
            <w:tcW w:w="478" w:type="pct"/>
            <w:tcBorders>
              <w:bottom w:val="single" w:sz="8" w:space="0" w:color="auto"/>
            </w:tcBorders>
            <w:vAlign w:val="bottom"/>
          </w:tcPr>
          <w:p w14:paraId="61612CD9" w14:textId="77777777" w:rsidR="00506CC7" w:rsidRPr="00B544E1" w:rsidRDefault="00506CC7" w:rsidP="002263AC">
            <w:pPr>
              <w:spacing w:after="120"/>
              <w:jc w:val="left"/>
            </w:pPr>
            <w:bookmarkStart w:id="0" w:name="_Hlk137651738"/>
            <w:r w:rsidRPr="00B544E1">
              <w:rPr>
                <w:noProof/>
                <w:lang w:val="es-ES_tradnl" w:eastAsia="es-ES_tradnl"/>
              </w:rPr>
              <w:drawing>
                <wp:inline distT="0" distB="0" distL="0" distR="0" wp14:anchorId="4D187686" wp14:editId="3E87E24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80265AF" w14:textId="77777777" w:rsidR="00506CC7" w:rsidRPr="00B544E1" w:rsidRDefault="00506CC7" w:rsidP="002263AC">
            <w:pPr>
              <w:spacing w:after="120"/>
              <w:jc w:val="left"/>
            </w:pPr>
            <w:r w:rsidRPr="001B7B89">
              <w:rPr>
                <w:noProof/>
                <w:lang w:val="es-ES_tradnl" w:eastAsia="es-ES_tradnl"/>
              </w:rPr>
              <w:drawing>
                <wp:inline distT="0" distB="0" distL="0" distR="0" wp14:anchorId="7DFF767B" wp14:editId="4C714697">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639" w:type="pct"/>
            <w:tcBorders>
              <w:bottom w:val="single" w:sz="8" w:space="0" w:color="auto"/>
            </w:tcBorders>
            <w:vAlign w:val="bottom"/>
          </w:tcPr>
          <w:p w14:paraId="3F03D725" w14:textId="6CE23058" w:rsidR="00506CC7" w:rsidRPr="00506CC7" w:rsidRDefault="00506CC7" w:rsidP="002263AC">
            <w:pPr>
              <w:spacing w:after="120"/>
              <w:ind w:left="2021"/>
              <w:jc w:val="right"/>
              <w:rPr>
                <w:szCs w:val="22"/>
                <w:lang w:val="es-ES"/>
              </w:rPr>
            </w:pPr>
            <w:r w:rsidRPr="00B544E1">
              <w:rPr>
                <w:sz w:val="40"/>
                <w:szCs w:val="40"/>
              </w:rPr>
              <w:t>CBD</w:t>
            </w:r>
            <w:r w:rsidRPr="00B544E1">
              <w:rPr>
                <w:szCs w:val="22"/>
              </w:rPr>
              <w:t>/</w:t>
            </w:r>
            <w:r w:rsidRPr="00B544E1">
              <w:t>SBSTTA/26/</w:t>
            </w:r>
            <w:r>
              <w:t>2</w:t>
            </w:r>
            <w:r>
              <w:rPr>
                <w:lang w:val="es-ES"/>
              </w:rPr>
              <w:t>/Add.1</w:t>
            </w:r>
          </w:p>
        </w:tc>
      </w:tr>
      <w:tr w:rsidR="00506CC7" w:rsidRPr="00506CC7" w14:paraId="0E47DB4A" w14:textId="77777777" w:rsidTr="002263AC">
        <w:tc>
          <w:tcPr>
            <w:tcW w:w="2361" w:type="pct"/>
            <w:gridSpan w:val="2"/>
            <w:tcBorders>
              <w:top w:val="single" w:sz="8" w:space="0" w:color="auto"/>
              <w:bottom w:val="single" w:sz="12" w:space="0" w:color="auto"/>
            </w:tcBorders>
          </w:tcPr>
          <w:p w14:paraId="65A56EC4" w14:textId="77777777" w:rsidR="00506CC7" w:rsidRPr="00B544E1" w:rsidRDefault="00506CC7" w:rsidP="002263AC">
            <w:pPr>
              <w:pStyle w:val="Cornernotation"/>
              <w:suppressLineNumbers/>
              <w:suppressAutoHyphens/>
              <w:spacing w:before="120" w:after="120"/>
              <w:ind w:right="0"/>
            </w:pPr>
            <w:r w:rsidRPr="009E6FD0">
              <w:rPr>
                <w:noProof/>
                <w:lang w:val="es-ES_tradnl" w:eastAsia="es-ES_tradnl"/>
              </w:rPr>
              <w:drawing>
                <wp:inline distT="0" distB="0" distL="0" distR="0" wp14:anchorId="30ADFD14" wp14:editId="1DD2A329">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1697345D" w14:textId="77777777" w:rsidR="00506CC7" w:rsidRPr="00506CC7" w:rsidRDefault="00506CC7" w:rsidP="002263AC">
            <w:pPr>
              <w:ind w:left="2584"/>
              <w:rPr>
                <w:szCs w:val="22"/>
                <w:lang w:val="en-GB"/>
              </w:rPr>
            </w:pPr>
            <w:r w:rsidRPr="00506CC7">
              <w:rPr>
                <w:szCs w:val="22"/>
                <w:lang w:val="en-GB"/>
              </w:rPr>
              <w:t>Distr.: General</w:t>
            </w:r>
          </w:p>
          <w:p w14:paraId="41C0A17C" w14:textId="3A8401F4" w:rsidR="00506CC7" w:rsidRPr="00506CC7" w:rsidRDefault="00506CC7" w:rsidP="002263AC">
            <w:pPr>
              <w:ind w:left="2584"/>
              <w:rPr>
                <w:szCs w:val="22"/>
                <w:lang w:val="en-GB"/>
              </w:rPr>
            </w:pPr>
            <w:r>
              <w:rPr>
                <w:szCs w:val="22"/>
                <w:lang w:val="en-GB"/>
              </w:rPr>
              <w:t>30</w:t>
            </w:r>
            <w:r w:rsidRPr="00506CC7">
              <w:rPr>
                <w:szCs w:val="22"/>
                <w:lang w:val="en-GB"/>
              </w:rPr>
              <w:t xml:space="preserve"> March 2024</w:t>
            </w:r>
          </w:p>
          <w:p w14:paraId="15FFF9C0" w14:textId="77777777" w:rsidR="00506CC7" w:rsidRPr="00506CC7" w:rsidRDefault="00506CC7" w:rsidP="002263AC">
            <w:pPr>
              <w:ind w:left="2584"/>
              <w:rPr>
                <w:szCs w:val="22"/>
                <w:lang w:val="en-GB"/>
              </w:rPr>
            </w:pPr>
          </w:p>
          <w:p w14:paraId="181CFD37" w14:textId="77777777" w:rsidR="00506CC7" w:rsidRPr="00E95679" w:rsidRDefault="00506CC7" w:rsidP="002263AC">
            <w:pPr>
              <w:ind w:left="2584"/>
              <w:rPr>
                <w:szCs w:val="22"/>
                <w:lang w:val="en-US"/>
              </w:rPr>
            </w:pPr>
            <w:r>
              <w:rPr>
                <w:szCs w:val="22"/>
                <w:lang w:val="en-US"/>
              </w:rPr>
              <w:t>Russian</w:t>
            </w:r>
          </w:p>
          <w:p w14:paraId="2B2ADEE1" w14:textId="77777777" w:rsidR="00506CC7" w:rsidRPr="00506CC7" w:rsidRDefault="00506CC7" w:rsidP="002263AC">
            <w:pPr>
              <w:ind w:left="2584"/>
              <w:rPr>
                <w:szCs w:val="22"/>
                <w:lang w:val="en-GB"/>
              </w:rPr>
            </w:pPr>
            <w:r w:rsidRPr="00506CC7">
              <w:rPr>
                <w:szCs w:val="22"/>
                <w:lang w:val="en-GB"/>
              </w:rPr>
              <w:t>Original: English</w:t>
            </w:r>
          </w:p>
          <w:p w14:paraId="26B5248C" w14:textId="77777777" w:rsidR="00506CC7" w:rsidRPr="00506CC7" w:rsidRDefault="00506CC7" w:rsidP="002263AC">
            <w:pPr>
              <w:rPr>
                <w:lang w:val="en-GB"/>
              </w:rPr>
            </w:pPr>
          </w:p>
        </w:tc>
      </w:tr>
    </w:tbl>
    <w:p w14:paraId="75B463D8" w14:textId="77777777" w:rsidR="00506CC7" w:rsidRPr="007934BD" w:rsidRDefault="00506CC7" w:rsidP="00506CC7">
      <w:pPr>
        <w:pStyle w:val="Cornernotation"/>
        <w:ind w:left="0" w:right="5249" w:firstLine="0"/>
        <w:rPr>
          <w:bCs/>
        </w:rPr>
      </w:pPr>
      <w:r w:rsidRPr="007934BD">
        <w:rPr>
          <w:bCs/>
        </w:rPr>
        <w:t xml:space="preserve">Вспомогательный орган по </w:t>
      </w:r>
      <w:proofErr w:type="gramStart"/>
      <w:r w:rsidRPr="007934BD">
        <w:rPr>
          <w:bCs/>
        </w:rPr>
        <w:t>научным,</w:t>
      </w:r>
      <w:r w:rsidRPr="007934BD">
        <w:rPr>
          <w:bCs/>
        </w:rPr>
        <w:br/>
        <w:t>техническим</w:t>
      </w:r>
      <w:proofErr w:type="gramEnd"/>
      <w:r w:rsidRPr="007934BD">
        <w:rPr>
          <w:bCs/>
        </w:rPr>
        <w:t xml:space="preserve"> и технологическим</w:t>
      </w:r>
      <w:r w:rsidRPr="007934BD">
        <w:rPr>
          <w:bCs/>
        </w:rPr>
        <w:br/>
        <w:t>консультациям</w:t>
      </w:r>
    </w:p>
    <w:p w14:paraId="24675DFD" w14:textId="77777777" w:rsidR="00506CC7" w:rsidRPr="007934BD" w:rsidRDefault="00506CC7" w:rsidP="00506CC7">
      <w:pPr>
        <w:pStyle w:val="Cornernotation"/>
        <w:rPr>
          <w:bCs/>
          <w:sz w:val="22"/>
        </w:rPr>
      </w:pPr>
      <w:r w:rsidRPr="007934BD">
        <w:rPr>
          <w:bCs/>
        </w:rPr>
        <w:t>Двадцать шестое совещание</w:t>
      </w:r>
    </w:p>
    <w:p w14:paraId="2C8D8AF4" w14:textId="77777777" w:rsidR="00506CC7" w:rsidRPr="007934BD" w:rsidRDefault="00506CC7" w:rsidP="00506CC7">
      <w:pPr>
        <w:pStyle w:val="Venuedate"/>
      </w:pPr>
      <w:r w:rsidRPr="007934BD">
        <w:t>Найроби, 13–18 мая 2024 года</w:t>
      </w:r>
    </w:p>
    <w:p w14:paraId="0F40E949" w14:textId="78E85791" w:rsidR="007E6191" w:rsidRPr="004714C6" w:rsidRDefault="007E6191" w:rsidP="007E6191">
      <w:pPr>
        <w:pStyle w:val="Cornernotation-Item"/>
        <w:rPr>
          <w:b w:val="0"/>
          <w:bCs w:val="0"/>
        </w:rPr>
      </w:pPr>
      <w:r>
        <w:rPr>
          <w:b w:val="0"/>
        </w:rPr>
        <w:t xml:space="preserve">Пункт </w:t>
      </w:r>
      <w:r w:rsidR="00506CC7">
        <w:rPr>
          <w:b w:val="0"/>
          <w:lang w:val="es-ES"/>
        </w:rPr>
        <w:t>9</w:t>
      </w:r>
      <w:r>
        <w:rPr>
          <w:b w:val="0"/>
        </w:rPr>
        <w:t xml:space="preserve"> предварительной повестки дня</w:t>
      </w:r>
      <w:r>
        <w:rPr>
          <w:rStyle w:val="FootnoteReference"/>
          <w:rFonts w:eastAsiaTheme="majorEastAsia"/>
          <w:b w:val="0"/>
          <w:bCs w:val="0"/>
        </w:rPr>
        <w:footnoteReference w:customMarkFollows="1" w:id="2"/>
        <w:t>*</w:t>
      </w:r>
    </w:p>
    <w:p w14:paraId="0625A9F8" w14:textId="272AA885" w:rsidR="00023FFA" w:rsidRDefault="007E6191" w:rsidP="00AE6AF9">
      <w:pPr>
        <w:pStyle w:val="Cornernotation-Item"/>
        <w:ind w:left="0" w:right="6286" w:firstLine="0"/>
      </w:pPr>
      <w:r>
        <w:t xml:space="preserve">Механизм мониторинга </w:t>
      </w:r>
      <w:proofErr w:type="spellStart"/>
      <w:r>
        <w:t>Куньминско-Монреальской</w:t>
      </w:r>
      <w:proofErr w:type="spellEnd"/>
      <w:r>
        <w:t xml:space="preserve"> глобальной рамочной программы в области биоразнообразия</w:t>
      </w:r>
      <w:bookmarkEnd w:id="0"/>
    </w:p>
    <w:p w14:paraId="7766B03D" w14:textId="2EA9E202" w:rsidR="00EA69A9" w:rsidRPr="00EA0FE9" w:rsidRDefault="00B17EA3" w:rsidP="00AE6AF9">
      <w:pPr>
        <w:pStyle w:val="Title"/>
        <w:spacing w:after="120"/>
        <w:jc w:val="left"/>
        <w:rPr>
          <w:rFonts w:hint="eastAsia"/>
          <w:b w:val="0"/>
        </w:rPr>
      </w:pPr>
      <w:sdt>
        <w:sdtPr>
          <w:rPr>
            <w:color w:val="000000" w:themeColor="text1"/>
          </w:rPr>
          <w:alias w:val="Рекомендации Специальной группы технических экспертов по индикаторам Куньминско-Монреальской глобальной рамочной программы в области биоразнообразия в отношении формулировок списка бинарных вопросов в механизме мониторинга"/>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EA0FE9" w:rsidRPr="00EA0FE9">
            <w:rPr>
              <w:color w:val="000000" w:themeColor="text1"/>
            </w:rPr>
            <w:t xml:space="preserve">Рекомендации Специальной группы технических экспертов по индикаторам </w:t>
          </w:r>
          <w:proofErr w:type="spellStart"/>
          <w:r w:rsidR="00EA0FE9" w:rsidRPr="00EA0FE9">
            <w:rPr>
              <w:color w:val="000000" w:themeColor="text1"/>
            </w:rPr>
            <w:t>Куньминско-Монреальской</w:t>
          </w:r>
          <w:proofErr w:type="spellEnd"/>
          <w:r w:rsidR="00EA0FE9" w:rsidRPr="00EA0FE9">
            <w:rPr>
              <w:color w:val="000000" w:themeColor="text1"/>
            </w:rPr>
            <w:t xml:space="preserve"> глобальной рамочной программы в области биоразнообразия в отношении формулировок списка бинарных вопросов в механизме мониторинга</w:t>
          </w:r>
        </w:sdtContent>
      </w:sdt>
      <w:r w:rsidR="007F6446" w:rsidRPr="00EA0FE9">
        <w:rPr>
          <w:rStyle w:val="FootnoteReference"/>
          <w:color w:val="000000" w:themeColor="text1"/>
        </w:rPr>
        <w:footnoteReference w:customMarkFollows="1" w:id="3"/>
        <w:t>**</w:t>
      </w:r>
    </w:p>
    <w:p w14:paraId="3984145D" w14:textId="53418CCB" w:rsidR="00EA69A9" w:rsidRPr="00AE6AF9" w:rsidRDefault="00EA69A9" w:rsidP="00F26327">
      <w:pPr>
        <w:pStyle w:val="Subtitle"/>
        <w:numPr>
          <w:ilvl w:val="0"/>
          <w:numId w:val="0"/>
        </w:numPr>
        <w:spacing w:before="120" w:after="120"/>
        <w:ind w:left="567"/>
        <w:jc w:val="left"/>
        <w:rPr>
          <w:rFonts w:ascii="Times New Roman" w:hAnsi="Times New Roman"/>
          <w:b w:val="0"/>
          <w:i/>
          <w:color w:val="auto"/>
        </w:rPr>
      </w:pPr>
      <w:r>
        <w:rPr>
          <w:rFonts w:ascii="Times New Roman" w:hAnsi="Times New Roman"/>
          <w:color w:val="auto"/>
        </w:rPr>
        <w:t>Записка секретариата</w:t>
      </w:r>
    </w:p>
    <w:p w14:paraId="6009E702" w14:textId="6D72B733" w:rsidR="3C6695B6" w:rsidRPr="00AE6AF9" w:rsidRDefault="007D2DE1" w:rsidP="00AE6AF9">
      <w:pPr>
        <w:pStyle w:val="Para1"/>
        <w:ind w:left="567" w:firstLine="0"/>
      </w:pPr>
      <w:r>
        <w:t>В соответствии с рекомендацией 25/1 Вспомогательного органа по научным, техническим и технологическим консультациям (пункт 6), Специальная группа технических экспертов по индикаторам предоставила рекомендации в отношении формулировок списка бинарных вопросов, включенных в указанную рекомендацию, для рассмотрения Вспомогательным органом.</w:t>
      </w:r>
    </w:p>
    <w:p w14:paraId="0E89BDB1" w14:textId="66FD2470" w:rsidR="004267C3" w:rsidRPr="00AE6AF9" w:rsidRDefault="45C2FF43" w:rsidP="00AE6AF9">
      <w:pPr>
        <w:pStyle w:val="Heading1"/>
        <w:numPr>
          <w:ilvl w:val="0"/>
          <w:numId w:val="177"/>
        </w:numPr>
        <w:ind w:left="567" w:hanging="567"/>
        <w:rPr>
          <w:b w:val="0"/>
        </w:rPr>
      </w:pPr>
      <w:r>
        <w:t>Общая рекомендация</w:t>
      </w:r>
    </w:p>
    <w:p w14:paraId="49CB328E" w14:textId="547AEF95" w:rsidR="004267C3" w:rsidRPr="00D2316D" w:rsidRDefault="45C2FF43" w:rsidP="00AE6AF9">
      <w:pPr>
        <w:pStyle w:val="Para1"/>
        <w:ind w:left="567" w:firstLine="0"/>
        <w:rPr>
          <w:color w:val="000000" w:themeColor="text1"/>
        </w:rPr>
      </w:pPr>
      <w:r>
        <w:t>Группа экспертов рекомендует использовать один и тот же формат ответов для всех вопросов с применением сочетания ответов с единичным и многовариантным выбором, как указано ниже.</w:t>
      </w:r>
      <w:r>
        <w:rPr>
          <w:color w:val="000000" w:themeColor="text1"/>
        </w:rPr>
        <w:t xml:space="preserve"> Этот подход позволит повысить степень последовательности докладов, представляемых Сторонами, и упростить </w:t>
      </w:r>
      <w:r w:rsidR="00605698">
        <w:rPr>
          <w:color w:val="000000" w:themeColor="text1"/>
        </w:rPr>
        <w:t>процесс ответа</w:t>
      </w:r>
      <w:r>
        <w:rPr>
          <w:color w:val="000000" w:themeColor="text1"/>
        </w:rPr>
        <w:t xml:space="preserve"> на вопросы.  </w:t>
      </w:r>
    </w:p>
    <w:p w14:paraId="549E12E9" w14:textId="3DAE837D" w:rsidR="004267C3" w:rsidRPr="00D2316D" w:rsidRDefault="45C2FF43" w:rsidP="00AE6AF9">
      <w:pPr>
        <w:pStyle w:val="Para1"/>
        <w:ind w:left="567" w:firstLine="0"/>
        <w:rPr>
          <w:color w:val="000000" w:themeColor="text1"/>
        </w:rPr>
      </w:pPr>
      <w:r>
        <w:rPr>
          <w:color w:val="000000" w:themeColor="text1"/>
        </w:rPr>
        <w:t xml:space="preserve">Группа экспертов рекомендует переформулировать текст ответов, заменив «Да, в полной мере», «Да, частично» и «Нет, но в процессе разработки» на «В полной мере», «Частично» и «В процессе разработки» соответственно. </w:t>
      </w:r>
    </w:p>
    <w:p w14:paraId="38D35863" w14:textId="0958A3A0" w:rsidR="007D2DE1" w:rsidRPr="00AE6AF9" w:rsidRDefault="007D2DE1" w:rsidP="00AE6AF9">
      <w:pPr>
        <w:pStyle w:val="Heading1"/>
        <w:numPr>
          <w:ilvl w:val="0"/>
          <w:numId w:val="177"/>
        </w:numPr>
        <w:ind w:left="567" w:hanging="567"/>
        <w:rPr>
          <w:b w:val="0"/>
        </w:rPr>
      </w:pPr>
      <w:r>
        <w:t>Конкретные рекомендации</w:t>
      </w:r>
    </w:p>
    <w:p w14:paraId="0731D352" w14:textId="59E171B0"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rPr>
      </w:pPr>
      <w:r>
        <w:rPr>
          <w:b/>
          <w:color w:val="000000" w:themeColor="text1"/>
        </w:rPr>
        <w:t>Цель В</w:t>
      </w:r>
      <w:r>
        <w:rPr>
          <w:color w:val="000000" w:themeColor="text1"/>
        </w:rPr>
        <w:t xml:space="preserve"> </w:t>
      </w:r>
    </w:p>
    <w:p w14:paraId="72CF1077" w14:textId="2889F310" w:rsidR="004267C3" w:rsidRPr="00D2316D" w:rsidRDefault="45C2FF43" w:rsidP="00AE6AF9">
      <w:pPr>
        <w:pStyle w:val="Para1"/>
        <w:ind w:left="567" w:firstLine="0"/>
        <w:rPr>
          <w:color w:val="000000" w:themeColor="text1"/>
        </w:rPr>
      </w:pPr>
      <w:r>
        <w:t>Группа экспертов предлагает удалить слово «поощрение», которое в настоящее время представлено в тексте индикатора в квадратных скобках.</w:t>
      </w:r>
    </w:p>
    <w:p w14:paraId="61BB3B88" w14:textId="43120B7C" w:rsidR="004267C3" w:rsidRPr="00D2316D" w:rsidRDefault="45C2FF43" w:rsidP="00AE6AF9">
      <w:pPr>
        <w:pStyle w:val="Para1"/>
        <w:ind w:left="567" w:firstLine="0"/>
        <w:rPr>
          <w:color w:val="000000" w:themeColor="text1"/>
        </w:rPr>
      </w:pPr>
      <w:r>
        <w:rPr>
          <w:color w:val="000000" w:themeColor="text1"/>
        </w:rPr>
        <w:lastRenderedPageBreak/>
        <w:t>Группа экспертов соглашается с комментарием о том, что необходим вопрос B3, посвященный долгосрочной природе цели B, и рекомендует, чтобы он б</w:t>
      </w:r>
      <w:r w:rsidR="00DB5503">
        <w:rPr>
          <w:color w:val="000000" w:themeColor="text1"/>
        </w:rPr>
        <w:t xml:space="preserve">ыл посвящен мониторингу цели </w:t>
      </w:r>
      <w:proofErr w:type="gramStart"/>
      <w:r w:rsidR="00DB5503">
        <w:rPr>
          <w:color w:val="000000" w:themeColor="text1"/>
        </w:rPr>
        <w:t xml:space="preserve">B. </w:t>
      </w:r>
      <w:r>
        <w:rPr>
          <w:color w:val="000000" w:themeColor="text1"/>
        </w:rPr>
        <w:t>Например</w:t>
      </w:r>
      <w:proofErr w:type="gramEnd"/>
      <w:r>
        <w:rPr>
          <w:color w:val="000000" w:themeColor="text1"/>
        </w:rPr>
        <w:t>:</w:t>
      </w:r>
    </w:p>
    <w:p w14:paraId="53C0FC95" w14:textId="29086423" w:rsidR="004267C3" w:rsidRPr="00D2316D" w:rsidRDefault="45C2FF43" w:rsidP="00AE6AF9">
      <w:pPr>
        <w:pStyle w:val="Para1"/>
        <w:numPr>
          <w:ilvl w:val="0"/>
          <w:numId w:val="0"/>
        </w:numPr>
        <w:ind w:left="567" w:firstLine="567"/>
        <w:rPr>
          <w:color w:val="000000" w:themeColor="text1"/>
        </w:rPr>
      </w:pPr>
      <w:r>
        <w:rPr>
          <w:color w:val="000000" w:themeColor="text1"/>
        </w:rPr>
        <w:t xml:space="preserve">«B.3 Осуществляет ли ваша страна мониторинг устойчивого использования биоразнообразия и поддержания, восстановления и </w:t>
      </w:r>
      <w:r w:rsidR="00DB5503">
        <w:rPr>
          <w:color w:val="000000" w:themeColor="text1"/>
        </w:rPr>
        <w:t>стимулирования</w:t>
      </w:r>
      <w:r>
        <w:rPr>
          <w:color w:val="000000" w:themeColor="text1"/>
        </w:rPr>
        <w:t xml:space="preserve"> вклада природы на благо человека, включая </w:t>
      </w:r>
      <w:proofErr w:type="spellStart"/>
      <w:r>
        <w:rPr>
          <w:color w:val="000000" w:themeColor="text1"/>
        </w:rPr>
        <w:t>экосистемные</w:t>
      </w:r>
      <w:proofErr w:type="spellEnd"/>
      <w:r>
        <w:rPr>
          <w:color w:val="000000" w:themeColor="text1"/>
        </w:rPr>
        <w:t xml:space="preserve"> функции и услуги?»</w:t>
      </w:r>
    </w:p>
    <w:p w14:paraId="0B540D32" w14:textId="4A1CE58B" w:rsidR="004267C3" w:rsidRPr="00D2316D"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b/>
          <w:color w:val="000000" w:themeColor="text1"/>
        </w:rPr>
      </w:pPr>
      <w:r>
        <w:rPr>
          <w:b/>
          <w:color w:val="000000" w:themeColor="text1"/>
        </w:rPr>
        <w:t xml:space="preserve">Задача 1 </w:t>
      </w:r>
    </w:p>
    <w:p w14:paraId="3A6FF796" w14:textId="3002A4E1" w:rsidR="004267C3" w:rsidRPr="00D2316D" w:rsidRDefault="45C2FF43" w:rsidP="00AE6AF9">
      <w:pPr>
        <w:pStyle w:val="Para1"/>
        <w:ind w:left="567" w:firstLine="0"/>
        <w:rPr>
          <w:color w:val="000000" w:themeColor="text1"/>
        </w:rPr>
      </w:pPr>
      <w:r>
        <w:t xml:space="preserve">Группа экспертов рекомендует </w:t>
      </w:r>
      <w:r>
        <w:rPr>
          <w:color w:val="000000" w:themeColor="text1"/>
        </w:rPr>
        <w:t xml:space="preserve">исключить вариант ответа «нет» из возможных вариантов ответа на вопрос 1.2, так как этот вариант равнозначен тому, что Стороны не выбирают ни один из предложенных вариантов ответа.  </w:t>
      </w:r>
    </w:p>
    <w:p w14:paraId="5CF458D7" w14:textId="489CD233" w:rsidR="004267C3" w:rsidRPr="00D2316D" w:rsidRDefault="45C2FF43" w:rsidP="00AE6AF9">
      <w:pPr>
        <w:pStyle w:val="Para1"/>
        <w:ind w:left="567" w:firstLine="0"/>
        <w:rPr>
          <w:color w:val="000000" w:themeColor="text1"/>
        </w:rPr>
      </w:pPr>
      <w:r>
        <w:t>Группа экспертов предлагает</w:t>
      </w:r>
      <w:r>
        <w:rPr>
          <w:color w:val="000000" w:themeColor="text1"/>
        </w:rPr>
        <w:t xml:space="preserve"> отредактировать ответы на вопрос 1.2, с тем чтобы они согласовывались с вопросом 1.1, а именно изменить нынешнюю последовательность ответов (b) и (c) на «(c) Для пространственного планирования районов внутренних вод» и «(d) Для морского пространственного планирования».  </w:t>
      </w:r>
    </w:p>
    <w:p w14:paraId="674F4723" w14:textId="4684A26A" w:rsidR="004267C3" w:rsidRPr="00D2316D" w:rsidRDefault="45C2FF43" w:rsidP="00AE6AF9">
      <w:pPr>
        <w:pStyle w:val="Para1"/>
        <w:ind w:left="567" w:firstLine="0"/>
        <w:rPr>
          <w:color w:val="000000" w:themeColor="text1"/>
        </w:rPr>
      </w:pPr>
      <w:r>
        <w:t>Группа экспертов рекомендует изменить последний ответ на вопрос 1.2 на «Для прибрежного и морского пространственного планирования», с тем чтобы обеспечить согласованность с вопросом 1.1.</w:t>
      </w:r>
      <w:r>
        <w:rPr>
          <w:color w:val="000000" w:themeColor="text1"/>
        </w:rPr>
        <w:t xml:space="preserve">  </w:t>
      </w:r>
    </w:p>
    <w:p w14:paraId="618654AA" w14:textId="4338B855" w:rsidR="004267C3" w:rsidRPr="00D2316D" w:rsidRDefault="45C2FF43" w:rsidP="00AE6AF9">
      <w:pPr>
        <w:pStyle w:val="Para1"/>
        <w:ind w:left="567" w:firstLine="0"/>
        <w:rPr>
          <w:color w:val="000000" w:themeColor="text1"/>
        </w:rPr>
      </w:pPr>
      <w:r>
        <w:rPr>
          <w:color w:val="000000" w:themeColor="text1"/>
        </w:rPr>
        <w:t xml:space="preserve">Группа экспертов далее рекомендует изменить текст индикатора и вопроса 1.1, с тем чтобы включить слово «комплексное» перед формулировкой «пространственное планирование в интересах биоразнообразия», как указано в тексте задачи. </w:t>
      </w:r>
    </w:p>
    <w:p w14:paraId="5DA784CD" w14:textId="3F8AB859" w:rsidR="004267C3" w:rsidRPr="00D2316D"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color w:val="000000" w:themeColor="text1"/>
        </w:rPr>
      </w:pPr>
      <w:r>
        <w:rPr>
          <w:b/>
          <w:color w:val="000000" w:themeColor="text1"/>
        </w:rPr>
        <w:t>Задача 6</w:t>
      </w:r>
      <w:r>
        <w:rPr>
          <w:color w:val="000000" w:themeColor="text1"/>
        </w:rPr>
        <w:t xml:space="preserve"> </w:t>
      </w:r>
    </w:p>
    <w:p w14:paraId="7CF8279E" w14:textId="4227E348" w:rsidR="004267C3" w:rsidRPr="00D2316D" w:rsidRDefault="45C2FF43" w:rsidP="00AE6AF9">
      <w:pPr>
        <w:pStyle w:val="Para1"/>
        <w:ind w:left="567" w:firstLine="0"/>
        <w:rPr>
          <w:color w:val="000000" w:themeColor="text1"/>
        </w:rPr>
      </w:pPr>
      <w:r>
        <w:rPr>
          <w:color w:val="000000" w:themeColor="text1"/>
        </w:rPr>
        <w:t xml:space="preserve">Группа экспертов рекомендует исключить из текста индикатора слово «существенного», которое не влияет на интерпретацию текста и связанных с ним вопросов, </w:t>
      </w:r>
      <w:r w:rsidR="008C155A">
        <w:rPr>
          <w:color w:val="000000" w:themeColor="text1"/>
        </w:rPr>
        <w:t>тем самым избегая</w:t>
      </w:r>
      <w:r>
        <w:rPr>
          <w:color w:val="000000" w:themeColor="text1"/>
        </w:rPr>
        <w:t xml:space="preserve"> неоднозначных формулировок. Этот индикатор отслеживает количество стран, принимающих меры и выделяющих ресурсы, а не результаты этих мер. Включение слова «существенного» в эту фразу </w:t>
      </w:r>
      <w:r w:rsidR="008C155A">
        <w:rPr>
          <w:color w:val="000000" w:themeColor="text1"/>
        </w:rPr>
        <w:t>предполагает постановку</w:t>
      </w:r>
      <w:r>
        <w:rPr>
          <w:color w:val="000000" w:themeColor="text1"/>
        </w:rPr>
        <w:t xml:space="preserve"> вопрос</w:t>
      </w:r>
      <w:r w:rsidR="008C155A">
        <w:rPr>
          <w:color w:val="000000" w:themeColor="text1"/>
        </w:rPr>
        <w:t>а</w:t>
      </w:r>
      <w:r>
        <w:rPr>
          <w:color w:val="000000" w:themeColor="text1"/>
        </w:rPr>
        <w:t xml:space="preserve"> об эффект</w:t>
      </w:r>
      <w:r w:rsidR="008C155A">
        <w:rPr>
          <w:color w:val="000000" w:themeColor="text1"/>
        </w:rPr>
        <w:t xml:space="preserve">ивности мер, который не имеет прямого отношения к </w:t>
      </w:r>
      <w:r w:rsidR="003D009E">
        <w:rPr>
          <w:color w:val="000000" w:themeColor="text1"/>
        </w:rPr>
        <w:t>индикатору</w:t>
      </w:r>
      <w:r>
        <w:rPr>
          <w:color w:val="000000" w:themeColor="text1"/>
        </w:rPr>
        <w:t>, и это может послужить причиной двусмысленности.</w:t>
      </w:r>
    </w:p>
    <w:p w14:paraId="411A1450" w14:textId="1DD2DE95" w:rsidR="004267C3" w:rsidRPr="002604BE" w:rsidRDefault="45C2FF43" w:rsidP="00AE6AF9">
      <w:pPr>
        <w:pStyle w:val="Para1"/>
        <w:ind w:left="567" w:firstLine="0"/>
        <w:rPr>
          <w:color w:val="000000" w:themeColor="text1"/>
        </w:rPr>
      </w:pPr>
      <w:r>
        <w:t xml:space="preserve">Нынешние формулировки вопросов не затрагивают </w:t>
      </w:r>
      <w:r w:rsidR="004326C2">
        <w:t xml:space="preserve">вопроса о </w:t>
      </w:r>
      <w:r>
        <w:t>выделени</w:t>
      </w:r>
      <w:r w:rsidR="004326C2">
        <w:t>и</w:t>
      </w:r>
      <w:r>
        <w:t xml:space="preserve"> ресурсов, упомянуто</w:t>
      </w:r>
      <w:r w:rsidR="004326C2">
        <w:t>м</w:t>
      </w:r>
      <w:r>
        <w:t xml:space="preserve"> в индикаторе.</w:t>
      </w:r>
      <w:r>
        <w:rPr>
          <w:color w:val="000000" w:themeColor="text1"/>
        </w:rPr>
        <w:t xml:space="preserve"> В этой связи Группа экспертов рекомендует добавить третий вопрос (6.3) о том, были ли выделены ресурсы для сокращения воздействия инвазивных чужеродных видов. </w:t>
      </w:r>
      <w:proofErr w:type="gramStart"/>
      <w:r>
        <w:rPr>
          <w:color w:val="000000" w:themeColor="text1"/>
        </w:rPr>
        <w:t>Например</w:t>
      </w:r>
      <w:proofErr w:type="gramEnd"/>
      <w:r>
        <w:rPr>
          <w:color w:val="000000" w:themeColor="text1"/>
        </w:rPr>
        <w:t>: «6.3 Выделила ли ваша страна ресурсы для сокращения воздействия инвазивных чужеродных видов?»</w:t>
      </w:r>
    </w:p>
    <w:p w14:paraId="733251CB" w14:textId="6529FBCC" w:rsidR="004267C3" w:rsidRPr="00D2316D" w:rsidRDefault="45C2FF43" w:rsidP="00AE6AF9">
      <w:pPr>
        <w:pStyle w:val="Para1"/>
        <w:ind w:left="567" w:firstLine="0"/>
        <w:rPr>
          <w:color w:val="000000" w:themeColor="text1"/>
        </w:rPr>
      </w:pPr>
      <w:r>
        <w:rPr>
          <w:color w:val="000000" w:themeColor="text1"/>
        </w:rPr>
        <w:t xml:space="preserve">На этот вопрос может быть предусмотрен простой ответ «Да/Нет», отражающий, выделили ли Стороны ресурсы, финансовые и/или людские, на цели сокращения воздействия инвазивных чужеродных видов. В альтернативном порядке можно удалить упоминание о выделении ресурсов из текста индикатора.  </w:t>
      </w:r>
    </w:p>
    <w:p w14:paraId="161E5BB0" w14:textId="09B4ACDD" w:rsidR="004267C3" w:rsidRPr="00D2316D" w:rsidRDefault="45C2FF43" w:rsidP="00AE6AF9">
      <w:pPr>
        <w:pStyle w:val="Para1"/>
        <w:ind w:left="567" w:firstLine="0"/>
        <w:rPr>
          <w:color w:val="000000" w:themeColor="text1"/>
        </w:rPr>
      </w:pPr>
      <w:r>
        <w:rPr>
          <w:color w:val="000000" w:themeColor="text1"/>
        </w:rPr>
        <w:t xml:space="preserve">Текст «(Отметьте все применимые варианты)» в вопросе 6.2 </w:t>
      </w:r>
      <w:proofErr w:type="spellStart"/>
      <w:r>
        <w:rPr>
          <w:color w:val="000000" w:themeColor="text1"/>
        </w:rPr>
        <w:t>нерелевантен</w:t>
      </w:r>
      <w:proofErr w:type="spellEnd"/>
      <w:r>
        <w:rPr>
          <w:color w:val="000000" w:themeColor="text1"/>
        </w:rPr>
        <w:t xml:space="preserve"> и должен быть удален.</w:t>
      </w:r>
    </w:p>
    <w:p w14:paraId="072FA94A" w14:textId="1F56F4E6"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rPr>
      </w:pPr>
      <w:r>
        <w:rPr>
          <w:b/>
          <w:color w:val="000000" w:themeColor="text1"/>
        </w:rPr>
        <w:t>Задача 8</w:t>
      </w:r>
      <w:r>
        <w:rPr>
          <w:color w:val="000000" w:themeColor="text1"/>
        </w:rPr>
        <w:t xml:space="preserve"> </w:t>
      </w:r>
    </w:p>
    <w:p w14:paraId="69057B2C" w14:textId="13B27A99" w:rsidR="004267C3" w:rsidRPr="0050003A" w:rsidRDefault="45C2FF43" w:rsidP="00AE6AF9">
      <w:pPr>
        <w:pStyle w:val="Para1"/>
        <w:ind w:left="567" w:firstLine="0"/>
        <w:rPr>
          <w:color w:val="000000" w:themeColor="text1"/>
          <w:szCs w:val="22"/>
        </w:rPr>
      </w:pPr>
      <w:r>
        <w:rPr>
          <w:color w:val="000000" w:themeColor="text1"/>
        </w:rPr>
        <w:t xml:space="preserve">Группа экспертов рекомендует изменить набор ответов на вопрос 8.3, с тем чтобы он соответствовал формату других вопросов, от «Нет» до «Да, в полной мере», где ответ «Частично» </w:t>
      </w:r>
      <w:r w:rsidR="00AA329E">
        <w:rPr>
          <w:color w:val="000000" w:themeColor="text1"/>
        </w:rPr>
        <w:t>будет касаться</w:t>
      </w:r>
      <w:r>
        <w:rPr>
          <w:color w:val="000000" w:themeColor="text1"/>
        </w:rPr>
        <w:t xml:space="preserve"> только изменения климата или </w:t>
      </w:r>
      <w:proofErr w:type="spellStart"/>
      <w:r>
        <w:rPr>
          <w:color w:val="000000" w:themeColor="text1"/>
        </w:rPr>
        <w:t>закисления</w:t>
      </w:r>
      <w:proofErr w:type="spellEnd"/>
      <w:r>
        <w:rPr>
          <w:color w:val="000000" w:themeColor="text1"/>
        </w:rPr>
        <w:t xml:space="preserve"> океана, а ответ «В полной мере» </w:t>
      </w:r>
      <w:r w:rsidR="00AA329E">
        <w:rPr>
          <w:color w:val="000000" w:themeColor="text1"/>
        </w:rPr>
        <w:t>будет распространяться</w:t>
      </w:r>
      <w:bookmarkStart w:id="1" w:name="_GoBack"/>
      <w:bookmarkEnd w:id="1"/>
      <w:r>
        <w:rPr>
          <w:color w:val="000000" w:themeColor="text1"/>
        </w:rPr>
        <w:t xml:space="preserve"> на оба явления. Это изменение позволит обеспечить согласованность между вопросами, касающимися разных задач. </w:t>
      </w:r>
    </w:p>
    <w:p w14:paraId="04B64D4A" w14:textId="48F7D658" w:rsidR="004267C3" w:rsidRPr="00D2316D" w:rsidRDefault="1737DC93" w:rsidP="00AE6AF9">
      <w:pPr>
        <w:pStyle w:val="Para1"/>
        <w:ind w:left="567" w:firstLine="0"/>
        <w:rPr>
          <w:color w:val="000000" w:themeColor="text1"/>
        </w:rPr>
      </w:pPr>
      <w:r>
        <w:t>Далее Группа экспертов рекоменд</w:t>
      </w:r>
      <w:r w:rsidR="00225935">
        <w:t xml:space="preserve">ует объединить тексты вопросов </w:t>
      </w:r>
      <w:r>
        <w:t xml:space="preserve">8.4 </w:t>
      </w:r>
      <w:proofErr w:type="spellStart"/>
      <w:r>
        <w:t>bis</w:t>
      </w:r>
      <w:proofErr w:type="spellEnd"/>
      <w:r>
        <w:t xml:space="preserve"> и 8.4 </w:t>
      </w:r>
      <w:proofErr w:type="spellStart"/>
      <w:r>
        <w:t>ter</w:t>
      </w:r>
      <w:proofErr w:type="spellEnd"/>
      <w:r>
        <w:t xml:space="preserve"> в вопрос 8.5, посвященный принятым мерам по сведению к минимуму негативного воздействия и </w:t>
      </w:r>
      <w:r>
        <w:lastRenderedPageBreak/>
        <w:t>стимулированию позитивного воздействия мер по борьбе с изменением климата на биоразнообразие.</w:t>
      </w:r>
      <w:r>
        <w:rPr>
          <w:color w:val="000000" w:themeColor="text1"/>
        </w:rPr>
        <w:t xml:space="preserve"> Этот вопрос будет затрагивать другую часть задачи 8, которая в настоящий момент не охвачена </w:t>
      </w:r>
      <w:r w:rsidR="00AA601A">
        <w:rPr>
          <w:color w:val="000000" w:themeColor="text1"/>
        </w:rPr>
        <w:t xml:space="preserve">ни </w:t>
      </w:r>
      <w:r>
        <w:rPr>
          <w:color w:val="000000" w:themeColor="text1"/>
        </w:rPr>
        <w:t xml:space="preserve">вопросом 8.4, ни другими предыдущими вопросами. </w:t>
      </w:r>
      <w:r w:rsidR="00AA601A">
        <w:rPr>
          <w:color w:val="000000" w:themeColor="text1"/>
        </w:rPr>
        <w:t>Ему будет соответствовать</w:t>
      </w:r>
      <w:r>
        <w:rPr>
          <w:color w:val="000000" w:themeColor="text1"/>
        </w:rPr>
        <w:t xml:space="preserve"> шкала из четырех ответов, от «Нет» до «Да, в полной мере», а текст этого вопроса может выглядеть следующим образом: «8.5 Приняты ли меры по сведению к минимуму негативного воздействия и стимулированию позитивного воздействия мер по борьбе с изменением климата на биоразнообразие, в том числе в рамках определяемого на национальном уровне вклада?»</w:t>
      </w:r>
    </w:p>
    <w:p w14:paraId="47D7A936" w14:textId="11E3660D"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9</w:t>
      </w:r>
      <w:r>
        <w:rPr>
          <w:color w:val="000000" w:themeColor="text1"/>
        </w:rPr>
        <w:t xml:space="preserve"> </w:t>
      </w:r>
    </w:p>
    <w:p w14:paraId="50C4515E" w14:textId="6EBA036B" w:rsidR="004267C3" w:rsidRPr="0050003A" w:rsidRDefault="004C1BEB" w:rsidP="00AE6AF9">
      <w:pPr>
        <w:pStyle w:val="Para1"/>
        <w:ind w:left="567" w:firstLine="0"/>
        <w:rPr>
          <w:color w:val="000000" w:themeColor="text1"/>
          <w:szCs w:val="22"/>
        </w:rPr>
      </w:pPr>
      <w:r>
        <w:t>В настоящее время ответы на вопрос 9.2 не соответствуют остальным индикаторам, а их формулировка не совпадает с формулировками, использующимися для других задач.</w:t>
      </w:r>
      <w:r>
        <w:rPr>
          <w:color w:val="000000" w:themeColor="text1"/>
        </w:rPr>
        <w:t xml:space="preserve"> Группа экспертов предлагает изменить ответы (c) «Да, но не для всех видов или способов использования» и (d) «Да, для всех видов и способов использования» на (c) «Да, частично» и (d) «Да, в полной мере».  </w:t>
      </w:r>
    </w:p>
    <w:p w14:paraId="0631FEA7" w14:textId="712224B7" w:rsidR="004267C3" w:rsidRPr="0050003A" w:rsidRDefault="45C2FF43" w:rsidP="00AE6AF9">
      <w:pPr>
        <w:pStyle w:val="Para1"/>
        <w:ind w:left="567" w:firstLine="0"/>
        <w:rPr>
          <w:color w:val="000000" w:themeColor="text1"/>
          <w:szCs w:val="22"/>
        </w:rPr>
      </w:pPr>
      <w:r>
        <w:t>Группа экспертов далее рекомендует упростить формулировку вопроса 9.2 следующим образом:</w:t>
      </w:r>
      <w:r>
        <w:rPr>
          <w:color w:val="000000" w:themeColor="text1"/>
        </w:rPr>
        <w:t xml:space="preserve"> «9.2 Осуществляет ли ваша страна мониторинг устойчивого регулирования и использования диких видов?»</w:t>
      </w:r>
    </w:p>
    <w:p w14:paraId="1B6DEAB0" w14:textId="187F062F" w:rsidR="004267C3" w:rsidRPr="0050003A" w:rsidRDefault="00C1554D" w:rsidP="00AE6AF9">
      <w:pPr>
        <w:pStyle w:val="Para1"/>
        <w:ind w:left="567" w:firstLine="0"/>
        <w:rPr>
          <w:color w:val="000000" w:themeColor="text1"/>
          <w:szCs w:val="22"/>
        </w:rPr>
      </w:pPr>
      <w:r>
        <w:t>Дополнительно Группа экспертов рекомендует изменить набор ответов на вопрос 9.3, с тем чтобы придерживаться формата ответов с многовариантным выбором по каждой из указанных категорий, так чтобы ни один из ответов не считался отрицательным.</w:t>
      </w:r>
      <w:r>
        <w:rPr>
          <w:color w:val="000000" w:themeColor="text1"/>
        </w:rPr>
        <w:t xml:space="preserve">  </w:t>
      </w:r>
    </w:p>
    <w:p w14:paraId="306F7CC0" w14:textId="3AFAA70A" w:rsidR="004267C3" w:rsidRPr="0050003A" w:rsidRDefault="45C2FF43" w:rsidP="00AE6AF9">
      <w:pPr>
        <w:pStyle w:val="Para1"/>
        <w:ind w:left="567" w:firstLine="0"/>
        <w:rPr>
          <w:color w:val="000000" w:themeColor="text1"/>
          <w:szCs w:val="22"/>
        </w:rPr>
      </w:pPr>
      <w:r>
        <w:t xml:space="preserve">Кроме того, Группа экспертов выступает против замены вопроса 9.3 на варианты </w:t>
      </w:r>
      <w:proofErr w:type="spellStart"/>
      <w:r>
        <w:t>bis</w:t>
      </w:r>
      <w:proofErr w:type="spellEnd"/>
      <w:r>
        <w:t xml:space="preserve"> или </w:t>
      </w:r>
      <w:proofErr w:type="spellStart"/>
      <w:r>
        <w:t>alt</w:t>
      </w:r>
      <w:proofErr w:type="spellEnd"/>
      <w:r>
        <w:t>, так как они не отражают текст индикатора.</w:t>
      </w:r>
      <w:r>
        <w:rPr>
          <w:color w:val="000000" w:themeColor="text1"/>
        </w:rPr>
        <w:t xml:space="preserve"> Тем не менее Группа экспертов рекомендует включить формулировку, касающуюся «иных директивных норм» из варианта 9.3 </w:t>
      </w:r>
      <w:proofErr w:type="spellStart"/>
      <w:r>
        <w:rPr>
          <w:color w:val="000000" w:themeColor="text1"/>
        </w:rPr>
        <w:t>alt</w:t>
      </w:r>
      <w:proofErr w:type="spellEnd"/>
      <w:r>
        <w:rPr>
          <w:color w:val="000000" w:themeColor="text1"/>
        </w:rPr>
        <w:t>, в 9.3, с тем чтобы Стороны, которые еще не ратифицировали законодательство, могли отразить проделанную ими работу в ответе на вопрос 9.3.</w:t>
      </w:r>
    </w:p>
    <w:p w14:paraId="59622A0E" w14:textId="06E30E7A" w:rsidR="004267C3" w:rsidRPr="0050003A"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12</w:t>
      </w:r>
      <w:r>
        <w:rPr>
          <w:color w:val="000000" w:themeColor="text1"/>
        </w:rPr>
        <w:t xml:space="preserve"> </w:t>
      </w:r>
    </w:p>
    <w:p w14:paraId="1E3D26D7" w14:textId="4DC67FCE" w:rsidR="004267C3" w:rsidRPr="0050003A" w:rsidRDefault="45C2FF43" w:rsidP="00AE6AF9">
      <w:pPr>
        <w:pStyle w:val="Para1"/>
        <w:ind w:left="567" w:firstLine="0"/>
        <w:rPr>
          <w:color w:val="000000" w:themeColor="text1"/>
          <w:szCs w:val="22"/>
        </w:rPr>
      </w:pPr>
      <w:r>
        <w:rPr>
          <w:color w:val="000000" w:themeColor="text1"/>
        </w:rPr>
        <w:t xml:space="preserve">Группа экспертов предлагает изменить ответы (c) «Да, в некоторых городских районах» и (d) «Да, во всех городских районах» на (c) «Да, частично» и (d) «Да, в полной мере». Это изменение позволит повысить степень последовательности докладов, представляемых Сторонами, и </w:t>
      </w:r>
      <w:r w:rsidR="00835B66">
        <w:rPr>
          <w:color w:val="000000" w:themeColor="text1"/>
        </w:rPr>
        <w:t>избежать путаницы</w:t>
      </w:r>
      <w:r>
        <w:rPr>
          <w:color w:val="000000" w:themeColor="text1"/>
        </w:rPr>
        <w:t xml:space="preserve">. Кроме того, в измененном виде ответы будут </w:t>
      </w:r>
      <w:r w:rsidR="00835B66">
        <w:rPr>
          <w:color w:val="000000" w:themeColor="text1"/>
        </w:rPr>
        <w:t>более адекватно</w:t>
      </w:r>
      <w:r>
        <w:rPr>
          <w:color w:val="000000" w:themeColor="text1"/>
        </w:rPr>
        <w:t xml:space="preserve"> отражать процесс выполнения задачи 12, так как они посвящены выполнению различных элементов задачи, а не их географическому охвату.</w:t>
      </w:r>
    </w:p>
    <w:p w14:paraId="0C1DAFF6" w14:textId="53C77D6F"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13</w:t>
      </w:r>
      <w:r>
        <w:rPr>
          <w:color w:val="000000" w:themeColor="text1"/>
        </w:rPr>
        <w:t xml:space="preserve"> </w:t>
      </w:r>
    </w:p>
    <w:p w14:paraId="0F9DC360" w14:textId="15104592" w:rsidR="004267C3" w:rsidRPr="0050003A" w:rsidRDefault="45C2FF43" w:rsidP="00AE6AF9">
      <w:pPr>
        <w:pStyle w:val="Para1"/>
        <w:ind w:left="567" w:firstLine="0"/>
        <w:rPr>
          <w:color w:val="000000" w:themeColor="text1"/>
          <w:szCs w:val="22"/>
        </w:rPr>
      </w:pPr>
      <w:r>
        <w:t>Группа экспертов рекомендует добавить новый ответ «Неприменимо» на вопросы 13.1 и 13.2.</w:t>
      </w:r>
      <w:r>
        <w:rPr>
          <w:color w:val="000000" w:themeColor="text1"/>
        </w:rPr>
        <w:t xml:space="preserve"> Согласно статье 6 </w:t>
      </w:r>
      <w:proofErr w:type="spellStart"/>
      <w:r>
        <w:rPr>
          <w:color w:val="000000" w:themeColor="text1"/>
        </w:rPr>
        <w:t>Нагойского</w:t>
      </w:r>
      <w:proofErr w:type="spellEnd"/>
      <w:r>
        <w:rPr>
          <w:color w:val="000000" w:themeColor="text1"/>
        </w:rPr>
        <w:t xml:space="preserve"> протокола, страны не обязаны регулировать доступ к генетическим ресурсам и/или традиционным знаниям и не должны в обязательном порядке требовать совместного использования выгод. Этот новый ответ необходим для тех Сторон, которые приняли решение не регулировать доступ к генетическим ресурсам и традиционным знаниям.</w:t>
      </w:r>
    </w:p>
    <w:p w14:paraId="2DCBE47A" w14:textId="0C7C42F8" w:rsidR="004267C3" w:rsidRPr="0050003A" w:rsidRDefault="45C2FF43" w:rsidP="00AE6AF9">
      <w:pPr>
        <w:pStyle w:val="Para1"/>
        <w:ind w:left="567" w:firstLine="0"/>
        <w:rPr>
          <w:color w:val="000000" w:themeColor="text1"/>
          <w:szCs w:val="22"/>
        </w:rPr>
      </w:pPr>
      <w:r>
        <w:t>Группа экспертов рекомендует заменить набор ответов на вопрос</w:t>
      </w:r>
      <w:r>
        <w:rPr>
          <w:color w:val="000000" w:themeColor="text1"/>
        </w:rPr>
        <w:t xml:space="preserve"> 13.1 на (a) «Нет», (b) «Нет, но в процессе разработки», (c) «Да, частично» и (d) «Да, в полной мере». Формат ответа на вопрос 13.1 не совпадает с форматом для остальных бинарных индикаторов, так как в нем сочета</w:t>
      </w:r>
      <w:r w:rsidR="00835B66">
        <w:rPr>
          <w:color w:val="000000" w:themeColor="text1"/>
        </w:rPr>
        <w:t>ю</w:t>
      </w:r>
      <w:r>
        <w:rPr>
          <w:color w:val="000000" w:themeColor="text1"/>
        </w:rPr>
        <w:t>тся шкала ответов и формат ответов с многовариантным выбором. Методика выбора надлежащего ответа приведена в метаданных и включает конкретные упоминания трех аспектов доступа и совместного использования выгод.</w:t>
      </w:r>
    </w:p>
    <w:p w14:paraId="60107854" w14:textId="7C4B0E2F" w:rsidR="004267C3" w:rsidRPr="0050003A" w:rsidRDefault="45C2FF43" w:rsidP="00AE6AF9">
      <w:pPr>
        <w:pStyle w:val="Para1"/>
        <w:ind w:left="567" w:firstLine="0"/>
        <w:rPr>
          <w:color w:val="000000" w:themeColor="text1"/>
          <w:szCs w:val="22"/>
        </w:rPr>
      </w:pPr>
      <w:r>
        <w:t xml:space="preserve">Для вопроса 13.2 Группа экспертов рекомендует бинарный ответ </w:t>
      </w:r>
      <w:proofErr w:type="gramStart"/>
      <w:r>
        <w:t>Да</w:t>
      </w:r>
      <w:proofErr w:type="gramEnd"/>
      <w:r>
        <w:t>/Нет с вариантом ответа «Неприменимо».</w:t>
      </w:r>
      <w:r>
        <w:rPr>
          <w:color w:val="000000" w:themeColor="text1"/>
        </w:rPr>
        <w:t xml:space="preserve"> Вопрос 13.2 дополняет 13.1, так как специально затрагивает тему традиционных знаний. Использование шкалы ответов в этом контексте вносит ненужную сложность.</w:t>
      </w:r>
    </w:p>
    <w:p w14:paraId="7DCA18EB" w14:textId="6AA950AE" w:rsidR="004267C3" w:rsidRPr="0050003A" w:rsidRDefault="45C2FF43" w:rsidP="00AE6AF9">
      <w:pPr>
        <w:pStyle w:val="Para1"/>
        <w:ind w:left="567" w:firstLine="0"/>
        <w:rPr>
          <w:color w:val="000000" w:themeColor="text1"/>
          <w:szCs w:val="22"/>
        </w:rPr>
      </w:pPr>
      <w:r>
        <w:t>Группа экспертов также рекомендует удалить вопрос 13.4.</w:t>
      </w:r>
      <w:r>
        <w:rPr>
          <w:color w:val="000000" w:themeColor="text1"/>
        </w:rPr>
        <w:t xml:space="preserve"> Многосторонние переговоры по цифровой информации о последовательностях еще не завершились. В этой связи соглашение по </w:t>
      </w:r>
      <w:r>
        <w:rPr>
          <w:color w:val="000000" w:themeColor="text1"/>
        </w:rPr>
        <w:lastRenderedPageBreak/>
        <w:t>цифровой информации о последовательностях</w:t>
      </w:r>
      <w:r w:rsidR="00835B66">
        <w:rPr>
          <w:color w:val="000000" w:themeColor="text1"/>
        </w:rPr>
        <w:t xml:space="preserve"> </w:t>
      </w:r>
      <w:r w:rsidR="00835B66">
        <w:rPr>
          <w:color w:val="000000" w:themeColor="text1"/>
        </w:rPr>
        <w:t>пока отсутствует</w:t>
      </w:r>
      <w:r>
        <w:rPr>
          <w:color w:val="000000" w:themeColor="text1"/>
        </w:rPr>
        <w:t xml:space="preserve">, а потому требование наличия административной и политической базы в отношении цифровой информации о последовательностях выходит за пределы текущего мандата Рамочной программы и ее индикаторов.  </w:t>
      </w:r>
    </w:p>
    <w:p w14:paraId="187F68E9" w14:textId="30BA7D8D"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14</w:t>
      </w:r>
      <w:r>
        <w:rPr>
          <w:color w:val="000000" w:themeColor="text1"/>
        </w:rPr>
        <w:t xml:space="preserve"> </w:t>
      </w:r>
    </w:p>
    <w:p w14:paraId="22C7BBA3" w14:textId="06B178FF" w:rsidR="004267C3" w:rsidRPr="0050003A" w:rsidRDefault="45C2FF43" w:rsidP="00AE6AF9">
      <w:pPr>
        <w:pStyle w:val="Para1"/>
        <w:ind w:left="567" w:firstLine="0"/>
        <w:rPr>
          <w:color w:val="000000" w:themeColor="text1"/>
          <w:szCs w:val="22"/>
        </w:rPr>
      </w:pPr>
      <w:r>
        <w:rPr>
          <w:color w:val="000000" w:themeColor="text1"/>
        </w:rPr>
        <w:t>В нынешнем тексте выражение «политика» использовано в вопросе 14.1 дважды, один раз для определения вопроса (т. е. «имеет ли ваша страна политику») и еще раз в составе списка элементов, соответствующих этой первой «политике». В этой ситуации термин является избыточным и создает путаницу. Группа экспертов рекомендует сохранить слово «политика» в первом случае, как ссылку на элементы, перечисленные далее в вопросе, соответствующем индикатору. Следовательно, вопрос будет касаться того, существует ли политика, направленная на интеграцию многочисленных ценностей биоразнообразия в эти другие элементы, что отражает деятельность государственных органов</w:t>
      </w:r>
      <w:r w:rsidR="007E3032">
        <w:rPr>
          <w:color w:val="000000" w:themeColor="text1"/>
        </w:rPr>
        <w:t xml:space="preserve"> по</w:t>
      </w:r>
      <w:r>
        <w:rPr>
          <w:color w:val="000000" w:themeColor="text1"/>
        </w:rPr>
        <w:t xml:space="preserve"> интеграци</w:t>
      </w:r>
      <w:r w:rsidR="007E3032">
        <w:rPr>
          <w:color w:val="000000" w:themeColor="text1"/>
        </w:rPr>
        <w:t>и</w:t>
      </w:r>
      <w:r>
        <w:rPr>
          <w:color w:val="000000" w:themeColor="text1"/>
        </w:rPr>
        <w:t xml:space="preserve"> многочисленных ценностей биоразнообразия.</w:t>
      </w:r>
    </w:p>
    <w:p w14:paraId="71ADAF4B" w14:textId="3C327850" w:rsidR="004267C3" w:rsidRPr="00683CA3" w:rsidRDefault="45C2FF43" w:rsidP="00AD4B2A">
      <w:pPr>
        <w:pStyle w:val="Para1"/>
        <w:ind w:left="567" w:firstLine="0"/>
        <w:rPr>
          <w:color w:val="000000" w:themeColor="text1"/>
          <w:szCs w:val="22"/>
        </w:rPr>
      </w:pPr>
      <w:r>
        <w:t xml:space="preserve">Группа экспертов рекомендует структурировать ответы на вопрос 14.2 в соответствии с этапами осуществления процесса </w:t>
      </w:r>
      <w:proofErr w:type="spellStart"/>
      <w:r w:rsidR="00683CA3" w:rsidRPr="00683CA3">
        <w:t>экосистемны</w:t>
      </w:r>
      <w:r w:rsidR="00683CA3">
        <w:t>х</w:t>
      </w:r>
      <w:proofErr w:type="spellEnd"/>
      <w:r w:rsidR="00683CA3" w:rsidRPr="00683CA3">
        <w:t xml:space="preserve"> счет</w:t>
      </w:r>
      <w:r w:rsidR="00683CA3">
        <w:t>ов</w:t>
      </w:r>
      <w:r w:rsidR="00683CA3" w:rsidRPr="00683CA3">
        <w:t xml:space="preserve"> Системы эколого-экономического учета</w:t>
      </w:r>
      <w:r>
        <w:t>, то есть использ</w:t>
      </w:r>
      <w:r w:rsidR="00235A95">
        <w:t>овать многовариантный выбор типа</w:t>
      </w:r>
      <w:r>
        <w:t xml:space="preserve"> </w:t>
      </w:r>
      <w:r w:rsidR="00235A95">
        <w:t>составленных</w:t>
      </w:r>
      <w:r>
        <w:t xml:space="preserve"> счетов: протяженность экосистем, состояние экосистем, поток </w:t>
      </w:r>
      <w:proofErr w:type="spellStart"/>
      <w:r>
        <w:t>экосистемных</w:t>
      </w:r>
      <w:proofErr w:type="spellEnd"/>
      <w:r>
        <w:t xml:space="preserve"> услуг (физический), поток </w:t>
      </w:r>
      <w:proofErr w:type="spellStart"/>
      <w:r>
        <w:t>экосистемных</w:t>
      </w:r>
      <w:proofErr w:type="spellEnd"/>
      <w:r>
        <w:t xml:space="preserve"> услуг (денежный), денежный актив экосистем.</w:t>
      </w:r>
      <w:r w:rsidRPr="00683CA3">
        <w:rPr>
          <w:color w:val="000000" w:themeColor="text1"/>
        </w:rPr>
        <w:t xml:space="preserve"> В альтернативном порядке Группа экспертов рекомендует изменить набор ответов на вопрос 14.2, с тем чтобы он соответствовал формату других вопросов, от «Нет» до «Да, в полной мере», где ответ «Частично» </w:t>
      </w:r>
      <w:r w:rsidR="00235A95">
        <w:rPr>
          <w:color w:val="000000" w:themeColor="text1"/>
        </w:rPr>
        <w:t>будет касаться</w:t>
      </w:r>
      <w:r w:rsidRPr="00683CA3">
        <w:rPr>
          <w:color w:val="000000" w:themeColor="text1"/>
        </w:rPr>
        <w:t xml:space="preserve"> только денежных или </w:t>
      </w:r>
      <w:proofErr w:type="spellStart"/>
      <w:r w:rsidRPr="00683CA3">
        <w:rPr>
          <w:color w:val="000000" w:themeColor="text1"/>
        </w:rPr>
        <w:t>неденежных</w:t>
      </w:r>
      <w:proofErr w:type="spellEnd"/>
      <w:r w:rsidRPr="00683CA3">
        <w:rPr>
          <w:color w:val="000000" w:themeColor="text1"/>
        </w:rPr>
        <w:t xml:space="preserve"> ценностей, а ответ «В полной мере» </w:t>
      </w:r>
      <w:r w:rsidR="00235A95">
        <w:rPr>
          <w:color w:val="000000" w:themeColor="text1"/>
        </w:rPr>
        <w:t>будет распространяться</w:t>
      </w:r>
      <w:r w:rsidRPr="00683CA3">
        <w:rPr>
          <w:color w:val="000000" w:themeColor="text1"/>
        </w:rPr>
        <w:t xml:space="preserve"> </w:t>
      </w:r>
      <w:r w:rsidR="00AD4B2A">
        <w:rPr>
          <w:color w:val="000000" w:themeColor="text1"/>
        </w:rPr>
        <w:t xml:space="preserve">на оба вида ценностей. </w:t>
      </w:r>
    </w:p>
    <w:p w14:paraId="2A581311" w14:textId="4202DBF3" w:rsidR="004267C3" w:rsidRPr="00E14E5E" w:rsidRDefault="00225935" w:rsidP="00AE6AF9">
      <w:pPr>
        <w:pStyle w:val="Para1"/>
        <w:ind w:left="567" w:firstLine="0"/>
        <w:rPr>
          <w:color w:val="000000" w:themeColor="text1"/>
          <w:szCs w:val="22"/>
        </w:rPr>
      </w:pPr>
      <w:r>
        <w:t xml:space="preserve">Далее Группа экспертов </w:t>
      </w:r>
      <w:r w:rsidR="45C2FF43">
        <w:t>рекомендует изменить набор ответов на вопрос 14.4, с тем чтобы он соответствовал формату других вопросов</w:t>
      </w:r>
      <w:r w:rsidR="00235A95">
        <w:t>,</w:t>
      </w:r>
      <w:r w:rsidR="45C2FF43">
        <w:t xml:space="preserve"> от «Нет» до «Да, в полной мере», где ответ «Частично» </w:t>
      </w:r>
      <w:r w:rsidR="00235A95">
        <w:rPr>
          <w:color w:val="000000" w:themeColor="text1"/>
        </w:rPr>
        <w:t>будет касаться</w:t>
      </w:r>
      <w:r w:rsidR="00235A95" w:rsidRPr="00683CA3">
        <w:rPr>
          <w:color w:val="000000" w:themeColor="text1"/>
        </w:rPr>
        <w:t xml:space="preserve"> </w:t>
      </w:r>
      <w:r w:rsidR="45C2FF43">
        <w:t xml:space="preserve">только государственного или частного сектора, а ответ «В полной мере» </w:t>
      </w:r>
      <w:r w:rsidR="00235A95">
        <w:rPr>
          <w:color w:val="000000" w:themeColor="text1"/>
        </w:rPr>
        <w:t>будет распространяться</w:t>
      </w:r>
      <w:r w:rsidR="00235A95" w:rsidRPr="00683CA3">
        <w:rPr>
          <w:color w:val="000000" w:themeColor="text1"/>
        </w:rPr>
        <w:t xml:space="preserve"> </w:t>
      </w:r>
      <w:r w:rsidR="45C2FF43">
        <w:t>на оба сектора.</w:t>
      </w:r>
      <w:r w:rsidR="45C2FF43">
        <w:rPr>
          <w:color w:val="000000" w:themeColor="text1"/>
        </w:rPr>
        <w:t xml:space="preserve">  </w:t>
      </w:r>
    </w:p>
    <w:p w14:paraId="2B876A52" w14:textId="225C5F2D" w:rsidR="004267C3" w:rsidRPr="00E14E5E" w:rsidRDefault="45C2FF43" w:rsidP="00AE6AF9">
      <w:pPr>
        <w:pStyle w:val="Para1"/>
        <w:ind w:left="567" w:firstLine="0"/>
        <w:rPr>
          <w:color w:val="000000" w:themeColor="text1"/>
          <w:szCs w:val="22"/>
        </w:rPr>
      </w:pPr>
      <w:r>
        <w:rPr>
          <w:color w:val="000000" w:themeColor="text1"/>
        </w:rPr>
        <w:t>Следует отметить, что рекомендации, касающиеся вопросов 14.2 и 14.4, облегчают Сторонам отражение частичного прогресса, поскольку в их распоряжении будет вариант ответа «Да, частично», как и в остальных вопросах с многовариантным выбором.</w:t>
      </w:r>
    </w:p>
    <w:p w14:paraId="6ABC8B7D" w14:textId="4FA547A4"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15</w:t>
      </w:r>
      <w:r>
        <w:rPr>
          <w:color w:val="000000" w:themeColor="text1"/>
        </w:rPr>
        <w:t xml:space="preserve"> </w:t>
      </w:r>
    </w:p>
    <w:p w14:paraId="009B8E80" w14:textId="5B7BDAF7" w:rsidR="004267C3" w:rsidRPr="0050003A" w:rsidRDefault="00841376" w:rsidP="00AE6AF9">
      <w:pPr>
        <w:pStyle w:val="Para1"/>
        <w:ind w:left="567" w:firstLine="0"/>
        <w:rPr>
          <w:color w:val="000000" w:themeColor="text1"/>
          <w:szCs w:val="22"/>
        </w:rPr>
      </w:pPr>
      <w:r>
        <w:t>Для повышения ясности и согласованности с основным бинарным индикатором Группа экспертов предлагает изменить формулировку вопроса 15.1 следующим образом:</w:t>
      </w:r>
      <w:r>
        <w:rPr>
          <w:color w:val="000000" w:themeColor="text1"/>
        </w:rPr>
        <w:t xml:space="preserve"> «15.1 Ввела ли ваша страна в действие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процессе осуществления операций, поставок по цепочкам поставок и в рамках портфолио своих активов?»</w:t>
      </w:r>
    </w:p>
    <w:p w14:paraId="727B818E" w14:textId="70C2A762"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Задача 16</w:t>
      </w:r>
      <w:r>
        <w:rPr>
          <w:color w:val="000000" w:themeColor="text1"/>
        </w:rPr>
        <w:t xml:space="preserve"> </w:t>
      </w:r>
    </w:p>
    <w:p w14:paraId="15D08129" w14:textId="3242A6B9" w:rsidR="004267C3" w:rsidRPr="00E14E5E" w:rsidRDefault="45C2FF43" w:rsidP="00AE6AF9">
      <w:pPr>
        <w:pStyle w:val="Para1"/>
        <w:ind w:left="567" w:firstLine="0"/>
        <w:rPr>
          <w:color w:val="000000" w:themeColor="text1"/>
          <w:szCs w:val="22"/>
        </w:rPr>
      </w:pPr>
      <w:r>
        <w:t xml:space="preserve">Группа экспертов рекомендует изменить набор ответов на вопрос 16.3, с тем чтобы он соответствовал формату других вопросов, от «Нет» до «Да, в полной мере», где ответ «Частично» </w:t>
      </w:r>
      <w:r w:rsidR="00235A95">
        <w:rPr>
          <w:color w:val="000000" w:themeColor="text1"/>
        </w:rPr>
        <w:t>будет касаться</w:t>
      </w:r>
      <w:r w:rsidR="00235A95" w:rsidRPr="00683CA3">
        <w:rPr>
          <w:color w:val="000000" w:themeColor="text1"/>
        </w:rPr>
        <w:t xml:space="preserve"> </w:t>
      </w:r>
      <w:r>
        <w:t xml:space="preserve">только данных в разбивке по секторам или группам потребителей, а ответ «В полной мере» </w:t>
      </w:r>
      <w:r w:rsidR="00235A95">
        <w:rPr>
          <w:color w:val="000000" w:themeColor="text1"/>
        </w:rPr>
        <w:t>будет распространяться</w:t>
      </w:r>
      <w:r w:rsidR="00235A95" w:rsidRPr="00683CA3">
        <w:rPr>
          <w:color w:val="000000" w:themeColor="text1"/>
        </w:rPr>
        <w:t xml:space="preserve"> </w:t>
      </w:r>
      <w:r>
        <w:t>на оба варианта.</w:t>
      </w:r>
      <w:r>
        <w:rPr>
          <w:color w:val="000000" w:themeColor="text1"/>
        </w:rPr>
        <w:t xml:space="preserve"> </w:t>
      </w:r>
    </w:p>
    <w:p w14:paraId="68BDFB62" w14:textId="57C1DB08" w:rsidR="004267C3" w:rsidRPr="00E14E5E"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Pr>
          <w:b/>
          <w:color w:val="000000" w:themeColor="text1"/>
        </w:rPr>
        <w:t xml:space="preserve">Задача 17 </w:t>
      </w:r>
    </w:p>
    <w:p w14:paraId="360F1A32" w14:textId="2CF546B6" w:rsidR="004267C3" w:rsidRPr="00E14E5E" w:rsidRDefault="45C2FF43" w:rsidP="00AE6AF9">
      <w:pPr>
        <w:pStyle w:val="Para1"/>
        <w:ind w:left="567" w:firstLine="0"/>
        <w:rPr>
          <w:color w:val="000000" w:themeColor="text1"/>
          <w:szCs w:val="22"/>
        </w:rPr>
      </w:pPr>
      <w:r>
        <w:t xml:space="preserve">В том, что касается подробных рекомендаций по задаче 17, Группа экспертов ссылается на доклад Контактной группы по </w:t>
      </w:r>
      <w:proofErr w:type="spellStart"/>
      <w:r>
        <w:t>Картахенскому</w:t>
      </w:r>
      <w:proofErr w:type="spellEnd"/>
      <w:r>
        <w:t xml:space="preserve"> протоколу по биобезопасности и дискуссионный онлайновый форум</w:t>
      </w:r>
      <w:r w:rsidR="00E14E5E" w:rsidRPr="00E14E5E">
        <w:rPr>
          <w:rStyle w:val="FootnoteReference"/>
          <w:color w:val="000000" w:themeColor="text1"/>
          <w:szCs w:val="22"/>
        </w:rPr>
        <w:footnoteReference w:id="4"/>
      </w:r>
      <w:r>
        <w:rPr>
          <w:color w:val="000000" w:themeColor="text1"/>
        </w:rPr>
        <w:t>.</w:t>
      </w:r>
    </w:p>
    <w:p w14:paraId="604E7392" w14:textId="602ACBC1" w:rsidR="004267C3" w:rsidRPr="0050003A" w:rsidRDefault="45C2FF43" w:rsidP="00AE6AF9">
      <w:pPr>
        <w:pStyle w:val="Para1"/>
        <w:ind w:left="567" w:firstLine="0"/>
        <w:rPr>
          <w:color w:val="000000" w:themeColor="text1"/>
          <w:szCs w:val="22"/>
        </w:rPr>
      </w:pPr>
      <w:r>
        <w:lastRenderedPageBreak/>
        <w:t xml:space="preserve">Кроме того, Группа экспертов рекомендует привести все ответы на вопросы по бинарному индикатору для задачи 17 в соответствие с другими вопросами с единичным выбором </w:t>
      </w:r>
      <w:r w:rsidR="00AA497E">
        <w:t>по индикаторам, представленными</w:t>
      </w:r>
      <w:r>
        <w:t xml:space="preserve"> </w:t>
      </w:r>
      <w:r w:rsidR="00AA497E">
        <w:t xml:space="preserve">в </w:t>
      </w:r>
      <w:r>
        <w:t>механизм</w:t>
      </w:r>
      <w:r w:rsidR="00AA497E">
        <w:t>е</w:t>
      </w:r>
      <w:r>
        <w:t xml:space="preserve"> мониторинга (т. е. «Нет, но в процессе разработки/Да, частично/Да, в полной мере»).</w:t>
      </w:r>
    </w:p>
    <w:p w14:paraId="6941E8D6" w14:textId="423DDAE9"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Pr>
          <w:b/>
          <w:color w:val="000000" w:themeColor="text1"/>
        </w:rPr>
        <w:t xml:space="preserve">Задача 20 </w:t>
      </w:r>
    </w:p>
    <w:p w14:paraId="0A19C541" w14:textId="378E2265" w:rsidR="004267C3" w:rsidRPr="0050003A" w:rsidRDefault="45C2FF43" w:rsidP="00AE6AF9">
      <w:pPr>
        <w:pStyle w:val="Para1"/>
        <w:ind w:left="567" w:firstLine="0"/>
        <w:rPr>
          <w:color w:val="000000" w:themeColor="text1"/>
          <w:szCs w:val="22"/>
        </w:rPr>
      </w:pPr>
      <w:r>
        <w:t xml:space="preserve">Группа экспертов рекомендует последовательно </w:t>
      </w:r>
      <w:r w:rsidR="00AA497E">
        <w:t>сохранять</w:t>
      </w:r>
      <w:r>
        <w:t xml:space="preserve"> один и тот же формат ответов для всех вопросов и использовать для вопроса 20.5 формат, включающий четыре ответа, в соответствии с рекомендациями, приведенными в метаданных.</w:t>
      </w:r>
    </w:p>
    <w:p w14:paraId="7C1EB387" w14:textId="6D66AFC7" w:rsidR="004267C3" w:rsidRPr="0050003A" w:rsidRDefault="45C2FF43" w:rsidP="00AE6AF9">
      <w:pPr>
        <w:pStyle w:val="Para1"/>
        <w:ind w:left="567" w:firstLine="0"/>
        <w:rPr>
          <w:color w:val="000000" w:themeColor="text1"/>
          <w:szCs w:val="22"/>
        </w:rPr>
      </w:pPr>
      <w:r>
        <w:t>Группа экспертов рекомендует удалить из вопроса 20.4 ответ (e) «Неприменимо», так как всем странам будет необходимо оценить свои технологические потребности, а включение традиционных технологий и технологий коренных народов, если это применимо, уже упомянуто в вопросе.</w:t>
      </w:r>
      <w:r>
        <w:rPr>
          <w:color w:val="000000" w:themeColor="text1"/>
        </w:rPr>
        <w:t> </w:t>
      </w:r>
      <w:r w:rsidR="00DA4DE5">
        <w:rPr>
          <w:color w:val="000000" w:themeColor="text1"/>
        </w:rPr>
        <w:t>Добавление</w:t>
      </w:r>
      <w:r>
        <w:rPr>
          <w:color w:val="000000" w:themeColor="text1"/>
        </w:rPr>
        <w:t xml:space="preserve"> коренных народов и местных общин в этот вопрос требует, чтобы они учитывались при проведении оценки, а не чтобы оценка была сосредоточена исключительно на них. </w:t>
      </w:r>
    </w:p>
    <w:p w14:paraId="31D9D25A" w14:textId="65776F80" w:rsidR="004267C3" w:rsidRPr="0050003A" w:rsidRDefault="45C2FF43" w:rsidP="00AE6AF9">
      <w:pPr>
        <w:pStyle w:val="Para1"/>
        <w:ind w:left="567" w:firstLine="0"/>
        <w:rPr>
          <w:color w:val="000000" w:themeColor="text1"/>
          <w:szCs w:val="22"/>
        </w:rPr>
      </w:pPr>
      <w:r>
        <w:rPr>
          <w:color w:val="000000" w:themeColor="text1"/>
        </w:rPr>
        <w:t>Далее Группа экспертов рекомендует добавить следующие вопросы в свете раздела C, в том же формате, что и вопрос 20.3:</w:t>
      </w:r>
    </w:p>
    <w:p w14:paraId="654CFBA9" w14:textId="5FB169C2"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Pr>
          <w:color w:val="000000" w:themeColor="text1"/>
        </w:rPr>
        <w:t xml:space="preserve">«20.x </w:t>
      </w:r>
      <w:proofErr w:type="gramStart"/>
      <w:r>
        <w:rPr>
          <w:color w:val="000000" w:themeColor="text1"/>
        </w:rPr>
        <w:t>Проводилась</w:t>
      </w:r>
      <w:proofErr w:type="gramEnd"/>
      <w:r>
        <w:rPr>
          <w:color w:val="000000" w:themeColor="text1"/>
        </w:rPr>
        <w:t xml:space="preserve"> ли в вашей стране национальная оценка потребностей в создании и развитии потенциала женщин и девочек?»</w:t>
      </w:r>
    </w:p>
    <w:p w14:paraId="541CAF4C" w14:textId="38CF3F34"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Pr>
          <w:color w:val="000000" w:themeColor="text1"/>
        </w:rPr>
        <w:t xml:space="preserve">«20.y </w:t>
      </w:r>
      <w:proofErr w:type="gramStart"/>
      <w:r>
        <w:rPr>
          <w:color w:val="000000" w:themeColor="text1"/>
        </w:rPr>
        <w:t>Проводилась</w:t>
      </w:r>
      <w:proofErr w:type="gramEnd"/>
      <w:r>
        <w:rPr>
          <w:color w:val="000000" w:themeColor="text1"/>
        </w:rPr>
        <w:t xml:space="preserve"> ли в вашей стране национальная оценка потребностей в создании и развитии потенциала детей и молодежи?» </w:t>
      </w:r>
    </w:p>
    <w:p w14:paraId="28D30E52" w14:textId="69A7383C"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rPr>
      </w:pPr>
      <w:r>
        <w:rPr>
          <w:color w:val="000000" w:themeColor="text1"/>
        </w:rPr>
        <w:t xml:space="preserve">«20.z </w:t>
      </w:r>
      <w:proofErr w:type="gramStart"/>
      <w:r>
        <w:rPr>
          <w:color w:val="000000" w:themeColor="text1"/>
        </w:rPr>
        <w:t>Проводилась</w:t>
      </w:r>
      <w:proofErr w:type="gramEnd"/>
      <w:r>
        <w:rPr>
          <w:color w:val="000000" w:themeColor="text1"/>
        </w:rPr>
        <w:t xml:space="preserve"> ли в вашей стране национальная оценка потребностей в создании и развитии потенциала коренных народов и местных общин?»</w:t>
      </w:r>
    </w:p>
    <w:p w14:paraId="63B05EBB" w14:textId="4F254C55" w:rsidR="004267C3" w:rsidRPr="0050003A" w:rsidRDefault="45C2FF43" w:rsidP="00AE6AF9">
      <w:pPr>
        <w:pStyle w:val="Para1"/>
        <w:ind w:left="567" w:firstLine="0"/>
        <w:rPr>
          <w:color w:val="000000" w:themeColor="text1"/>
          <w:szCs w:val="22"/>
        </w:rPr>
      </w:pPr>
      <w:r>
        <w:rPr>
          <w:color w:val="000000" w:themeColor="text1"/>
        </w:rPr>
        <w:t xml:space="preserve">В альтернативном порядке в вопросе 20.3 может использоваться формат ответов с многовариантным выбором, охватывающим каждую из вышеупомянутых категорий, а также коренные народы и местные общины. </w:t>
      </w:r>
    </w:p>
    <w:p w14:paraId="1254FCB9" w14:textId="7CA8D2EA" w:rsidR="004267C3" w:rsidRPr="0050003A"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rPr>
      </w:pPr>
      <w:r>
        <w:rPr>
          <w:b/>
          <w:color w:val="000000" w:themeColor="text1"/>
        </w:rPr>
        <w:t xml:space="preserve">Задача 22 </w:t>
      </w:r>
    </w:p>
    <w:p w14:paraId="14D6318E" w14:textId="1D55E9D8" w:rsidR="004267C3" w:rsidRPr="0050003A" w:rsidRDefault="45C2FF43" w:rsidP="00AE6AF9">
      <w:pPr>
        <w:pStyle w:val="Para1"/>
        <w:ind w:left="567" w:firstLine="0"/>
        <w:rPr>
          <w:color w:val="000000" w:themeColor="text1"/>
          <w:szCs w:val="22"/>
        </w:rPr>
      </w:pPr>
      <w:r>
        <w:t>Группа экспертов рекомендует</w:t>
      </w:r>
      <w:r>
        <w:rPr>
          <w:color w:val="000000" w:themeColor="text1"/>
        </w:rPr>
        <w:t xml:space="preserve"> не удалять вопросы 22.3, 22.4 и 22.5, так как эти вопросы позволяют отслеживать прогресс </w:t>
      </w:r>
      <w:r w:rsidR="00DA4DE5">
        <w:rPr>
          <w:color w:val="000000" w:themeColor="text1"/>
        </w:rPr>
        <w:t>применительно к тому</w:t>
      </w:r>
      <w:r>
        <w:rPr>
          <w:color w:val="000000" w:themeColor="text1"/>
        </w:rPr>
        <w:t>, были ли финансирование (задача 19) и усилия Сторон по созданию потенциала (задача 20) действительно направлены на выполнение задачи 22. Без этих вопросов другие индикаторы не будут обеспечивать достаточной детализации для понимания того, по</w:t>
      </w:r>
      <w:r w:rsidR="00225935">
        <w:rPr>
          <w:color w:val="000000" w:themeColor="text1"/>
        </w:rPr>
        <w:t xml:space="preserve">лучают ли надлежащую поддержку </w:t>
      </w:r>
      <w:r>
        <w:rPr>
          <w:color w:val="000000" w:themeColor="text1"/>
        </w:rPr>
        <w:t xml:space="preserve">потребности групп, упомянутых в задаче 22. Эти вопросы отслеживают прогресс в </w:t>
      </w:r>
      <w:r w:rsidR="00DA4DE5">
        <w:rPr>
          <w:color w:val="000000" w:themeColor="text1"/>
        </w:rPr>
        <w:t>процессах</w:t>
      </w:r>
      <w:r>
        <w:rPr>
          <w:color w:val="000000" w:themeColor="text1"/>
        </w:rPr>
        <w:t>, необходим</w:t>
      </w:r>
      <w:r w:rsidR="00DA4DE5">
        <w:rPr>
          <w:color w:val="000000" w:themeColor="text1"/>
        </w:rPr>
        <w:t>ых для выполнения задачи 22</w:t>
      </w:r>
      <w:r>
        <w:rPr>
          <w:color w:val="000000" w:themeColor="text1"/>
        </w:rPr>
        <w:t xml:space="preserve"> и </w:t>
      </w:r>
      <w:r w:rsidR="00DA4DE5">
        <w:rPr>
          <w:color w:val="000000" w:themeColor="text1"/>
        </w:rPr>
        <w:t>создания условий</w:t>
      </w:r>
      <w:r>
        <w:rPr>
          <w:color w:val="000000" w:themeColor="text1"/>
        </w:rPr>
        <w:t xml:space="preserve"> для принятия решений.</w:t>
      </w:r>
    </w:p>
    <w:p w14:paraId="51E43163" w14:textId="49C4FDC8" w:rsidR="004267C3" w:rsidRPr="0050003A" w:rsidRDefault="45C2FF43" w:rsidP="00AE6AF9">
      <w:pPr>
        <w:pStyle w:val="Para1"/>
        <w:ind w:left="567" w:firstLine="0"/>
        <w:rPr>
          <w:color w:val="000000" w:themeColor="text1"/>
          <w:szCs w:val="22"/>
        </w:rPr>
      </w:pPr>
      <w:r>
        <w:t>Группа экспертов рекомендует добавить в вопрос 22.1 (b) выражение «следующих</w:t>
      </w:r>
      <w:r w:rsidR="00DA4DE5">
        <w:t xml:space="preserve"> прав</w:t>
      </w:r>
      <w:r>
        <w:t>» перед выражением «коренных народов и местных общин».</w:t>
      </w:r>
      <w:r>
        <w:rPr>
          <w:color w:val="000000" w:themeColor="text1"/>
        </w:rPr>
        <w:t xml:space="preserve"> В ее нынешне</w:t>
      </w:r>
      <w:r w:rsidR="00B511E1">
        <w:rPr>
          <w:color w:val="000000" w:themeColor="text1"/>
        </w:rPr>
        <w:t>й</w:t>
      </w:r>
      <w:r>
        <w:rPr>
          <w:color w:val="000000" w:themeColor="text1"/>
        </w:rPr>
        <w:t xml:space="preserve"> </w:t>
      </w:r>
      <w:r w:rsidR="00B511E1">
        <w:rPr>
          <w:color w:val="000000" w:themeColor="text1"/>
        </w:rPr>
        <w:t>формулировке в оригинале документа</w:t>
      </w:r>
      <w:r>
        <w:rPr>
          <w:color w:val="000000" w:themeColor="text1"/>
        </w:rPr>
        <w:t xml:space="preserve"> фраза не </w:t>
      </w:r>
      <w:r w:rsidR="00B511E1">
        <w:rPr>
          <w:color w:val="000000" w:themeColor="text1"/>
        </w:rPr>
        <w:t>содержит отсылки к правам</w:t>
      </w:r>
      <w:r>
        <w:rPr>
          <w:color w:val="000000" w:themeColor="text1"/>
        </w:rPr>
        <w:t>, и с помощью этого добавления смысл будет передан точнее.</w:t>
      </w:r>
    </w:p>
    <w:p w14:paraId="42765344" w14:textId="0BABA36B" w:rsidR="004267C3" w:rsidRPr="0050003A" w:rsidRDefault="45C2FF43" w:rsidP="00AE6AF9">
      <w:pPr>
        <w:pStyle w:val="Para1"/>
        <w:ind w:left="567" w:firstLine="0"/>
        <w:rPr>
          <w:color w:val="000000" w:themeColor="text1"/>
          <w:szCs w:val="22"/>
        </w:rPr>
      </w:pPr>
      <w:r>
        <w:t xml:space="preserve">Группа экспертов рекомендует попросить Стороны в случае выбора </w:t>
      </w:r>
      <w:r w:rsidR="004843DF">
        <w:t xml:space="preserve">ими </w:t>
      </w:r>
      <w:r>
        <w:t xml:space="preserve">варианта ответа </w:t>
      </w:r>
      <w:r>
        <w:rPr>
          <w:color w:val="000000" w:themeColor="text1"/>
        </w:rPr>
        <w:t>«Неприменимо» на вопросы 22.1 и 22.5</w:t>
      </w:r>
      <w:r>
        <w:t xml:space="preserve"> привести разъяснения</w:t>
      </w:r>
      <w:r>
        <w:rPr>
          <w:color w:val="000000" w:themeColor="text1"/>
        </w:rPr>
        <w:t xml:space="preserve"> </w:t>
      </w:r>
      <w:r>
        <w:t>в разделе для комментариев</w:t>
      </w:r>
      <w:r>
        <w:rPr>
          <w:color w:val="000000" w:themeColor="text1"/>
        </w:rPr>
        <w:t xml:space="preserve">. </w:t>
      </w:r>
    </w:p>
    <w:p w14:paraId="01A2D257" w14:textId="2D3F33D1" w:rsidR="004267C3" w:rsidRPr="0050003A" w:rsidRDefault="45C2FF43" w:rsidP="00AE6AF9">
      <w:pPr>
        <w:pStyle w:val="Para1"/>
        <w:ind w:left="567" w:firstLine="0"/>
        <w:rPr>
          <w:color w:val="000000" w:themeColor="text1"/>
          <w:szCs w:val="22"/>
        </w:rPr>
      </w:pPr>
      <w:r>
        <w:rPr>
          <w:color w:val="000000" w:themeColor="text1"/>
        </w:rPr>
        <w:t>Вопрос</w:t>
      </w:r>
      <w:r w:rsidR="004843DF">
        <w:rPr>
          <w:color w:val="000000" w:themeColor="text1"/>
        </w:rPr>
        <w:t xml:space="preserve"> 22.1 (d) тавтологичен, так как имеющиеся в виду группы</w:t>
      </w:r>
      <w:r>
        <w:rPr>
          <w:color w:val="000000" w:themeColor="text1"/>
        </w:rPr>
        <w:t xml:space="preserve"> перечислены как в тексте вопроса, так и в ответе. Группа экспертов рекомендует удалить перечисление этих групп из текста вопроса и переформулировать вопрос следующим образом: </w:t>
      </w:r>
      <w:r w:rsidR="004843DF">
        <w:rPr>
          <w:color w:val="000000" w:themeColor="text1"/>
        </w:rPr>
        <w:t>«</w:t>
      </w:r>
      <w:r>
        <w:rPr>
          <w:color w:val="000000" w:themeColor="text1"/>
        </w:rPr>
        <w:t>22.1 (d) обеспечивают доступ к информации, связанной с биоразнообразием, для следующих групп?</w:t>
      </w:r>
      <w:r w:rsidR="004843DF">
        <w:rPr>
          <w:color w:val="000000" w:themeColor="text1"/>
        </w:rPr>
        <w:t>»</w:t>
      </w:r>
    </w:p>
    <w:p w14:paraId="7BD1D2E5" w14:textId="17CCCBA1" w:rsidR="004267C3" w:rsidRPr="0050003A" w:rsidRDefault="45C2FF43" w:rsidP="00AE6AF9">
      <w:pPr>
        <w:pStyle w:val="Para1"/>
        <w:ind w:left="567" w:firstLine="0"/>
        <w:rPr>
          <w:color w:val="000000" w:themeColor="text1"/>
          <w:szCs w:val="22"/>
        </w:rPr>
      </w:pPr>
      <w:r>
        <w:t>Группа экспертов рекомендует упростить вопрос 22.3, предусмотрев в нем бинарный ответ «Да/Нет» о наличии финансовых ресурсов для обеспечения баз и стратегий вместо уточнения происхождения средств.</w:t>
      </w:r>
      <w:r>
        <w:rPr>
          <w:color w:val="000000" w:themeColor="text1"/>
        </w:rPr>
        <w:t xml:space="preserve"> Эти подробности могут предоставляться на добровольной основе в разделе комментариев к данному вопросу.</w:t>
      </w:r>
    </w:p>
    <w:p w14:paraId="36685C3A" w14:textId="26AC92F7" w:rsidR="004267C3" w:rsidRPr="0050003A" w:rsidRDefault="45C2FF43" w:rsidP="00AE6AF9">
      <w:pPr>
        <w:pStyle w:val="Para1"/>
        <w:ind w:left="567" w:firstLine="0"/>
        <w:rPr>
          <w:color w:val="000000" w:themeColor="text1"/>
          <w:szCs w:val="22"/>
        </w:rPr>
      </w:pPr>
      <w:r>
        <w:lastRenderedPageBreak/>
        <w:t>Далее Группа экспертов рекомендует переформулировать вопрос 22.1 (b) следующим образом:</w:t>
      </w:r>
      <w:r>
        <w:rPr>
          <w:color w:val="000000" w:themeColor="text1"/>
        </w:rPr>
        <w:t xml:space="preserve"> «обеспечивают уважение культуры и соблюдение прав коренных народов и местных общин?»</w:t>
      </w:r>
    </w:p>
    <w:p w14:paraId="1BDE45BB" w14:textId="7DF5BBFD" w:rsidR="004267C3" w:rsidRPr="00D2316D"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szCs w:val="22"/>
        </w:rPr>
      </w:pPr>
      <w:r>
        <w:rPr>
          <w:b/>
          <w:color w:val="000000" w:themeColor="text1"/>
        </w:rPr>
        <w:t xml:space="preserve">Задача 23 </w:t>
      </w:r>
    </w:p>
    <w:p w14:paraId="6F4D1C81" w14:textId="151D4BCF" w:rsidR="004267C3" w:rsidRPr="0050003A" w:rsidRDefault="45C2FF43" w:rsidP="00AE6AF9">
      <w:pPr>
        <w:pStyle w:val="Para1"/>
        <w:ind w:left="567" w:firstLine="0"/>
        <w:rPr>
          <w:color w:val="000000" w:themeColor="text1"/>
          <w:szCs w:val="22"/>
        </w:rPr>
      </w:pPr>
      <w:r>
        <w:t>Группа экспертов предлагает сократить список вопросов с семи до пяти, так как бинарный индикатор для задачи 23 включает много вопросов, некоторые из которых недостаточно согласованы с целью индикатора, а некоторые слишком сходны друг с другом.</w:t>
      </w:r>
      <w:r>
        <w:rPr>
          <w:color w:val="000000" w:themeColor="text1"/>
        </w:rPr>
        <w:t xml:space="preserve">  </w:t>
      </w:r>
    </w:p>
    <w:p w14:paraId="6C40BC34" w14:textId="01EF67AD" w:rsidR="004267C3" w:rsidRPr="00581411" w:rsidRDefault="45C2FF43" w:rsidP="00AE6AF9">
      <w:pPr>
        <w:pStyle w:val="Para1"/>
        <w:ind w:left="567" w:firstLine="0"/>
        <w:rPr>
          <w:color w:val="000000" w:themeColor="text1"/>
          <w:szCs w:val="22"/>
        </w:rPr>
      </w:pPr>
      <w:r>
        <w:rPr>
          <w:color w:val="000000" w:themeColor="text1"/>
        </w:rPr>
        <w:t>Нынешние формулировки вопросов 23.3 и 23.7 слишком похожи друг на друга, и обе они отсылают к одному и тому же элементу индикатора, а именно к непосредственному учету гендерных аспектов в ходе работы по достижению Рамочной программы, в частности в национальном плане действий по сохранению биоразнообразия или любом другом политическом процессе, связанном с биоразнообразием. Поэтому вопросы 23.3 и 23.7 должны быть объединены в один вопрос. Возможная формулировка нового вопроса может выглядеть следующим образом: «23.3 Обеспечивает ли ваша страна непосредственное признание и учет гендерных аспектов при осуществлении Глобальной рамочной программы в области биоразнообразия в национальных докладах или в национальной стратегии и плане действий по сохранению биоразнообразия?»</w:t>
      </w:r>
    </w:p>
    <w:p w14:paraId="5D3DD1FE" w14:textId="72F45958" w:rsidR="004267C3" w:rsidRPr="006704B4" w:rsidRDefault="45C2FF43" w:rsidP="00AE6AF9">
      <w:pPr>
        <w:pStyle w:val="Para1"/>
        <w:ind w:left="567" w:firstLine="0"/>
        <w:rPr>
          <w:color w:val="000000" w:themeColor="text1"/>
          <w:szCs w:val="22"/>
        </w:rPr>
      </w:pPr>
      <w:r>
        <w:t>Задача</w:t>
      </w:r>
      <w:r>
        <w:rPr>
          <w:color w:val="000000" w:themeColor="text1"/>
        </w:rPr>
        <w:t xml:space="preserve"> 23 и индикатор 23 посвящены </w:t>
      </w:r>
      <w:r w:rsidR="004F56A3">
        <w:rPr>
          <w:color w:val="000000" w:themeColor="text1"/>
        </w:rPr>
        <w:t xml:space="preserve">не </w:t>
      </w:r>
      <w:r>
        <w:rPr>
          <w:color w:val="000000" w:themeColor="text1"/>
        </w:rPr>
        <w:t>созданию потенциала, а индикатор касается не столько процесса и положения дел с интеграцией гендерных аспектов, сколько того, учитываются ли гендерные аспекты и обеспечивается ли соответствующая финансовая поддержка. Кроме того, создание потенциала уже рассматривается в задаче 20. В этой связи Группа экспертов рекомендует удалить вопрос 23.5 из списка вопросов по задаче 23.</w:t>
      </w:r>
    </w:p>
    <w:p w14:paraId="4E319142" w14:textId="3282BC0A" w:rsidR="007D2DE1" w:rsidRPr="006704B4" w:rsidRDefault="45C2FF43" w:rsidP="00AE6AF9">
      <w:pPr>
        <w:pStyle w:val="Para1"/>
        <w:ind w:left="567" w:firstLine="0"/>
        <w:rPr>
          <w:color w:val="000000" w:themeColor="text1"/>
          <w:szCs w:val="22"/>
        </w:rPr>
      </w:pPr>
      <w:r>
        <w:rPr>
          <w:color w:val="000000" w:themeColor="text1"/>
        </w:rPr>
        <w:t>Следовательно, для получения этого индикатора потребуются только вопросы 23.1, 23.2, 23.3 в обновленном виде, а также вопросы 23.4 и 23.6.</w:t>
      </w:r>
    </w:p>
    <w:p w14:paraId="5683FB81" w14:textId="56E511E9" w:rsidR="004267C3" w:rsidRPr="0050003A" w:rsidRDefault="45C2FF43" w:rsidP="00AE6AF9">
      <w:pPr>
        <w:pStyle w:val="Para1"/>
        <w:ind w:left="567" w:firstLine="0"/>
        <w:rPr>
          <w:color w:val="000000" w:themeColor="text1"/>
          <w:szCs w:val="22"/>
        </w:rPr>
      </w:pPr>
      <w:r>
        <w:t xml:space="preserve">Далее Группа экспертов рекомендует </w:t>
      </w:r>
      <w:r w:rsidR="004F56A3">
        <w:t>за</w:t>
      </w:r>
      <w:r>
        <w:t>менить ответы на вопрос 23.4 на «Да/Нет».</w:t>
      </w:r>
      <w:r>
        <w:rPr>
          <w:color w:val="000000" w:themeColor="text1"/>
        </w:rPr>
        <w:t xml:space="preserve"> Этот индикатор посвящен тому, были ли выделены финансовые ресурсы, а не их происхождению. Возможность указать источник финансовых ресурсов может быть предусмотрена в разделе доклада, предназначенный для комментариев.  </w:t>
      </w:r>
    </w:p>
    <w:p w14:paraId="0AE7DFF0" w14:textId="0D730120" w:rsidR="004267C3" w:rsidRDefault="45C2FF43" w:rsidP="00B27766">
      <w:pPr>
        <w:pStyle w:val="Para1"/>
        <w:ind w:left="567" w:firstLine="0"/>
        <w:rPr>
          <w:color w:val="000000" w:themeColor="text1"/>
          <w:szCs w:val="22"/>
        </w:rPr>
      </w:pPr>
      <w:r>
        <w:rPr>
          <w:color w:val="000000" w:themeColor="text1"/>
        </w:rPr>
        <w:t xml:space="preserve">В альтернативном порядке Группа экспертов рекомендует исключить вопросы 23.4 и 23.5 и обновить набор ответов на вопрос 23.7, с тем чтобы привести его в соответствие со всеми другими наборами ответов по задаче 23.  </w:t>
      </w:r>
    </w:p>
    <w:p w14:paraId="3B66B703" w14:textId="3596F59C" w:rsidR="00C05A66" w:rsidRPr="0050003A" w:rsidRDefault="006704B4" w:rsidP="00AE6AF9">
      <w:pPr>
        <w:jc w:val="center"/>
        <w:outlineLvl w:val="1"/>
        <w:rPr>
          <w:color w:val="000000" w:themeColor="text1"/>
          <w:szCs w:val="22"/>
        </w:rPr>
      </w:pPr>
      <w:r>
        <w:rPr>
          <w:color w:val="000000" w:themeColor="text1"/>
        </w:rPr>
        <w:t>__________</w:t>
      </w:r>
    </w:p>
    <w:sectPr w:rsidR="00C05A66" w:rsidRPr="0050003A" w:rsidSect="007F6446">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AF20A" w14:textId="77777777" w:rsidR="00B17EA3" w:rsidRDefault="00B17EA3" w:rsidP="00CF1848">
      <w:r>
        <w:separator/>
      </w:r>
    </w:p>
  </w:endnote>
  <w:endnote w:type="continuationSeparator" w:id="0">
    <w:p w14:paraId="3CA89873" w14:textId="77777777" w:rsidR="00B17EA3" w:rsidRDefault="00B17EA3" w:rsidP="00CF1848">
      <w:r>
        <w:continuationSeparator/>
      </w:r>
    </w:p>
  </w:endnote>
  <w:endnote w:type="continuationNotice" w:id="1">
    <w:p w14:paraId="6E8DA3A2" w14:textId="77777777" w:rsidR="00B17EA3" w:rsidRDefault="00B17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011516"/>
      <w:docPartObj>
        <w:docPartGallery w:val="Page Numbers (Top of Page)"/>
        <w:docPartUnique/>
      </w:docPartObj>
    </w:sdtPr>
    <w:sdtEndPr/>
    <w:sdtContent>
      <w:p w14:paraId="154247F0" w14:textId="2A3B5BE8" w:rsidR="00026F89" w:rsidRDefault="004775AE" w:rsidP="004775AE">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sidR="00AA329E">
          <w:rPr>
            <w:rFonts w:asciiTheme="majorBidi" w:hAnsiTheme="majorBidi" w:cstheme="majorBidi"/>
            <w:noProof/>
            <w:sz w:val="20"/>
          </w:rPr>
          <w:t>6</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sidR="00AA329E">
          <w:rPr>
            <w:rFonts w:asciiTheme="majorBidi" w:hAnsiTheme="majorBidi" w:cstheme="majorBidi"/>
            <w:noProof/>
            <w:sz w:val="20"/>
          </w:rPr>
          <w:t>6</w:t>
        </w:r>
        <w:r w:rsidRPr="00F43170">
          <w:rPr>
            <w:rFonts w:asciiTheme="majorBidi" w:hAnsiTheme="majorBidi" w:cstheme="majorBidi"/>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457586"/>
      <w:docPartObj>
        <w:docPartGallery w:val="Page Numbers (Top of Page)"/>
        <w:docPartUnique/>
      </w:docPartObj>
    </w:sdtPr>
    <w:sdtEndPr/>
    <w:sdtContent>
      <w:p w14:paraId="6D3100E8" w14:textId="6D36BE4D" w:rsidR="00026F89" w:rsidRDefault="004775AE" w:rsidP="00AE6AF9">
        <w:pPr>
          <w:pStyle w:val="Footer"/>
          <w:jc w:val="righ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sidR="00AA329E">
          <w:rPr>
            <w:rFonts w:asciiTheme="majorBidi" w:hAnsiTheme="majorBidi" w:cstheme="majorBidi"/>
            <w:noProof/>
            <w:sz w:val="20"/>
          </w:rPr>
          <w:t>5</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sidR="00AA329E">
          <w:rPr>
            <w:rFonts w:asciiTheme="majorBidi" w:hAnsiTheme="majorBidi" w:cstheme="majorBidi"/>
            <w:noProof/>
            <w:sz w:val="20"/>
          </w:rPr>
          <w:t>6</w:t>
        </w:r>
        <w:r w:rsidRPr="00F43170">
          <w:rPr>
            <w:rFonts w:asciiTheme="majorBidi" w:hAnsiTheme="majorBidi" w:cstheme="majorBidi"/>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0192A" w14:textId="77777777" w:rsidR="00B17EA3" w:rsidRDefault="00B17EA3" w:rsidP="00CF1848">
      <w:r>
        <w:separator/>
      </w:r>
    </w:p>
  </w:footnote>
  <w:footnote w:type="continuationSeparator" w:id="0">
    <w:p w14:paraId="28CB0105" w14:textId="77777777" w:rsidR="00B17EA3" w:rsidRDefault="00B17EA3" w:rsidP="00CF1848">
      <w:r>
        <w:continuationSeparator/>
      </w:r>
    </w:p>
  </w:footnote>
  <w:footnote w:type="continuationNotice" w:id="1">
    <w:p w14:paraId="14E596A5" w14:textId="77777777" w:rsidR="00B17EA3" w:rsidRDefault="00B17EA3"/>
  </w:footnote>
  <w:footnote w:id="2">
    <w:p w14:paraId="31A0F431" w14:textId="77777777" w:rsidR="007E6191" w:rsidRPr="006B6FE8" w:rsidRDefault="007E6191" w:rsidP="007E6191">
      <w:pPr>
        <w:pStyle w:val="Footnote"/>
      </w:pPr>
      <w:r>
        <w:rPr>
          <w:rStyle w:val="FootnoteReference"/>
        </w:rPr>
        <w:t>*</w:t>
      </w:r>
      <w:r>
        <w:t xml:space="preserve"> CBD/SBSTTA/26/1.</w:t>
      </w:r>
    </w:p>
  </w:footnote>
  <w:footnote w:id="3">
    <w:p w14:paraId="0C46DAD1" w14:textId="7754B3E5" w:rsidR="00201AAF" w:rsidRPr="00AE6AF9" w:rsidRDefault="00201AAF">
      <w:pPr>
        <w:pStyle w:val="FootnoteText"/>
      </w:pPr>
      <w:r>
        <w:rPr>
          <w:rStyle w:val="FootnoteReference"/>
        </w:rPr>
        <w:t>**</w:t>
      </w:r>
      <w:r>
        <w:t xml:space="preserve"> Настоящий документ публикуется без официального редактирования.</w:t>
      </w:r>
    </w:p>
  </w:footnote>
  <w:footnote w:id="4">
    <w:p w14:paraId="12365E1A" w14:textId="226F1F5D" w:rsidR="00E14E5E" w:rsidRPr="00AE6AF9" w:rsidRDefault="00E14E5E">
      <w:pPr>
        <w:pStyle w:val="FootnoteText"/>
      </w:pPr>
      <w:r>
        <w:rPr>
          <w:rStyle w:val="FootnoteReference"/>
        </w:rPr>
        <w:footnoteRef/>
      </w:r>
      <w:r>
        <w:t xml:space="preserve"> </w:t>
      </w:r>
      <w:r>
        <w:rPr>
          <w:sz w:val="18"/>
        </w:rPr>
        <w:t>CBD/SBSTTA/26/INF/13.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31D15" w14:textId="30E44EEC" w:rsidR="00544260" w:rsidRPr="00AE6AF9" w:rsidRDefault="002868D1" w:rsidP="00AE6AF9">
    <w:pPr>
      <w:pStyle w:val="Header"/>
      <w:pBdr>
        <w:bottom w:val="single" w:sz="4" w:space="1" w:color="auto"/>
      </w:pBdr>
      <w:spacing w:after="240"/>
      <w:rPr>
        <w:sz w:val="20"/>
        <w:szCs w:val="20"/>
      </w:rPr>
    </w:pPr>
    <w:r>
      <w:rPr>
        <w:sz w:val="20"/>
      </w:rPr>
      <w:t>CBD/SBSTTA/26/2/A</w:t>
    </w:r>
    <w:r>
      <w:rPr>
        <w:caps w:val="0"/>
        <w:sz w:val="20"/>
      </w:rPr>
      <w:t>dd</w:t>
    </w:r>
    <w:r>
      <w:rPr>
        <w:sz w:val="20"/>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9C868" w14:textId="12E2A110" w:rsidR="00544260" w:rsidRPr="00AE6AF9" w:rsidRDefault="00D219BF" w:rsidP="00AE6AF9">
    <w:pPr>
      <w:pStyle w:val="Header"/>
      <w:pBdr>
        <w:bottom w:val="single" w:sz="4" w:space="1" w:color="auto"/>
      </w:pBdr>
      <w:spacing w:after="240"/>
      <w:jc w:val="right"/>
      <w:rPr>
        <w:sz w:val="20"/>
        <w:szCs w:val="20"/>
      </w:rPr>
    </w:pPr>
    <w:r>
      <w:rPr>
        <w:sz w:val="20"/>
      </w:rPr>
      <w:t>CBD/SBSTTA/26/2/A</w:t>
    </w:r>
    <w:r>
      <w:rPr>
        <w:caps w:val="0"/>
        <w:sz w:val="20"/>
      </w:rPr>
      <w:t>dd</w:t>
    </w:r>
    <w:r>
      <w:rPr>
        <w:sz w:val="20"/>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622488B0"/>
    <w:lvl w:ilvl="0" w:tplc="4E769266">
      <w:start w:val="1"/>
      <w:numFmt w:val="upperRoman"/>
      <w:lvlText w:val="%1."/>
      <w:lvlJc w:val="left"/>
      <w:pPr>
        <w:ind w:left="153" w:hanging="720"/>
      </w:pPr>
      <w:rPr>
        <w:rFonts w:hint="default"/>
        <w:b/>
        <w:bCs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56CE962A"/>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abstractNumId w:val="93"/>
  </w:num>
  <w:num w:numId="2">
    <w:abstractNumId w:val="48"/>
  </w:num>
  <w:num w:numId="3">
    <w:abstractNumId w:val="51"/>
  </w:num>
  <w:num w:numId="4">
    <w:abstractNumId w:val="37"/>
  </w:num>
  <w:num w:numId="5">
    <w:abstractNumId w:val="52"/>
  </w:num>
  <w:num w:numId="6">
    <w:abstractNumId w:val="10"/>
  </w:num>
  <w:num w:numId="7">
    <w:abstractNumId w:val="23"/>
  </w:num>
  <w:num w:numId="8">
    <w:abstractNumId w:val="49"/>
  </w:num>
  <w:num w:numId="9">
    <w:abstractNumId w:val="105"/>
  </w:num>
  <w:num w:numId="10">
    <w:abstractNumId w:val="68"/>
  </w:num>
  <w:num w:numId="11">
    <w:abstractNumId w:val="95"/>
  </w:num>
  <w:num w:numId="12">
    <w:abstractNumId w:val="29"/>
  </w:num>
  <w:num w:numId="13">
    <w:abstractNumId w:val="32"/>
  </w:num>
  <w:num w:numId="14">
    <w:abstractNumId w:val="83"/>
  </w:num>
  <w:num w:numId="15">
    <w:abstractNumId w:val="58"/>
  </w:num>
  <w:num w:numId="16">
    <w:abstractNumId w:val="39"/>
  </w:num>
  <w:num w:numId="17">
    <w:abstractNumId w:val="65"/>
  </w:num>
  <w:num w:numId="1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9"/>
  </w:num>
  <w:num w:numId="21">
    <w:abstractNumId w:val="35"/>
  </w:num>
  <w:num w:numId="22">
    <w:abstractNumId w:val="81"/>
  </w:num>
  <w:num w:numId="23">
    <w:abstractNumId w:val="74"/>
  </w:num>
  <w:num w:numId="24">
    <w:abstractNumId w:val="9"/>
  </w:num>
  <w:num w:numId="25">
    <w:abstractNumId w:val="46"/>
  </w:num>
  <w:num w:numId="26">
    <w:abstractNumId w:val="11"/>
  </w:num>
  <w:num w:numId="27">
    <w:abstractNumId w:val="61"/>
  </w:num>
  <w:num w:numId="28">
    <w:abstractNumId w:val="10"/>
  </w:num>
  <w:num w:numId="29">
    <w:abstractNumId w:val="60"/>
  </w:num>
  <w:num w:numId="30">
    <w:abstractNumId w:val="78"/>
  </w:num>
  <w:num w:numId="31">
    <w:abstractNumId w:val="96"/>
  </w:num>
  <w:num w:numId="32">
    <w:abstractNumId w:val="104"/>
  </w:num>
  <w:num w:numId="33">
    <w:abstractNumId w:val="69"/>
  </w:num>
  <w:num w:numId="34">
    <w:abstractNumId w:val="82"/>
  </w:num>
  <w:num w:numId="35">
    <w:abstractNumId w:val="21"/>
  </w:num>
  <w:num w:numId="36">
    <w:abstractNumId w:val="16"/>
  </w:num>
  <w:num w:numId="37">
    <w:abstractNumId w:val="73"/>
  </w:num>
  <w:num w:numId="38">
    <w:abstractNumId w:val="97"/>
  </w:num>
  <w:num w:numId="39">
    <w:abstractNumId w:val="13"/>
  </w:num>
  <w:num w:numId="40">
    <w:abstractNumId w:val="66"/>
  </w:num>
  <w:num w:numId="41">
    <w:abstractNumId w:val="103"/>
  </w:num>
  <w:num w:numId="42">
    <w:abstractNumId w:val="14"/>
  </w:num>
  <w:num w:numId="43">
    <w:abstractNumId w:val="44"/>
  </w:num>
  <w:num w:numId="44">
    <w:abstractNumId w:val="5"/>
  </w:num>
  <w:num w:numId="45">
    <w:abstractNumId w:val="27"/>
  </w:num>
  <w:num w:numId="46">
    <w:abstractNumId w:val="4"/>
  </w:num>
  <w:num w:numId="47">
    <w:abstractNumId w:val="2"/>
  </w:num>
  <w:num w:numId="48">
    <w:abstractNumId w:val="94"/>
  </w:num>
  <w:num w:numId="49">
    <w:abstractNumId w:val="87"/>
  </w:num>
  <w:num w:numId="50">
    <w:abstractNumId w:val="24"/>
  </w:num>
  <w:num w:numId="51">
    <w:abstractNumId w:val="101"/>
  </w:num>
  <w:num w:numId="52">
    <w:abstractNumId w:val="12"/>
  </w:num>
  <w:num w:numId="53">
    <w:abstractNumId w:val="7"/>
  </w:num>
  <w:num w:numId="54">
    <w:abstractNumId w:val="75"/>
  </w:num>
  <w:num w:numId="55">
    <w:abstractNumId w:val="84"/>
  </w:num>
  <w:num w:numId="56">
    <w:abstractNumId w:val="80"/>
  </w:num>
  <w:num w:numId="57">
    <w:abstractNumId w:val="56"/>
  </w:num>
  <w:num w:numId="58">
    <w:abstractNumId w:val="22"/>
  </w:num>
  <w:num w:numId="59">
    <w:abstractNumId w:val="77"/>
  </w:num>
  <w:num w:numId="60">
    <w:abstractNumId w:val="42"/>
  </w:num>
  <w:num w:numId="61">
    <w:abstractNumId w:val="31"/>
  </w:num>
  <w:num w:numId="62">
    <w:abstractNumId w:val="50"/>
  </w:num>
  <w:num w:numId="63">
    <w:abstractNumId w:val="90"/>
  </w:num>
  <w:num w:numId="64">
    <w:abstractNumId w:val="33"/>
  </w:num>
  <w:num w:numId="65">
    <w:abstractNumId w:val="100"/>
  </w:num>
  <w:num w:numId="66">
    <w:abstractNumId w:val="79"/>
  </w:num>
  <w:num w:numId="67">
    <w:abstractNumId w:val="20"/>
  </w:num>
  <w:num w:numId="68">
    <w:abstractNumId w:val="41"/>
  </w:num>
  <w:num w:numId="69">
    <w:abstractNumId w:val="102"/>
  </w:num>
  <w:num w:numId="70">
    <w:abstractNumId w:val="106"/>
  </w:num>
  <w:num w:numId="71">
    <w:abstractNumId w:val="98"/>
  </w:num>
  <w:num w:numId="72">
    <w:abstractNumId w:val="63"/>
  </w:num>
  <w:num w:numId="73">
    <w:abstractNumId w:val="64"/>
  </w:num>
  <w:num w:numId="74">
    <w:abstractNumId w:val="62"/>
  </w:num>
  <w:num w:numId="75">
    <w:abstractNumId w:val="0"/>
  </w:num>
  <w:num w:numId="76">
    <w:abstractNumId w:val="88"/>
  </w:num>
  <w:num w:numId="77">
    <w:abstractNumId w:val="45"/>
  </w:num>
  <w:num w:numId="78">
    <w:abstractNumId w:val="91"/>
  </w:num>
  <w:num w:numId="79">
    <w:abstractNumId w:val="3"/>
  </w:num>
  <w:num w:numId="80">
    <w:abstractNumId w:val="6"/>
  </w:num>
  <w:num w:numId="81">
    <w:abstractNumId w:val="17"/>
  </w:num>
  <w:num w:numId="82">
    <w:abstractNumId w:val="70"/>
  </w:num>
  <w:num w:numId="83">
    <w:abstractNumId w:val="54"/>
  </w:num>
  <w:num w:numId="84">
    <w:abstractNumId w:val="99"/>
  </w:num>
  <w:num w:numId="85">
    <w:abstractNumId w:val="26"/>
  </w:num>
  <w:num w:numId="86">
    <w:abstractNumId w:val="38"/>
  </w:num>
  <w:num w:numId="87">
    <w:abstractNumId w:val="57"/>
  </w:num>
  <w:num w:numId="88">
    <w:abstractNumId w:val="1"/>
  </w:num>
  <w:num w:numId="89">
    <w:abstractNumId w:val="8"/>
  </w:num>
  <w:num w:numId="90">
    <w:abstractNumId w:val="43"/>
  </w:num>
  <w:num w:numId="91">
    <w:abstractNumId w:val="15"/>
  </w:num>
  <w:num w:numId="92">
    <w:abstractNumId w:val="86"/>
  </w:num>
  <w:num w:numId="93">
    <w:abstractNumId w:val="25"/>
  </w:num>
  <w:num w:numId="94">
    <w:abstractNumId w:val="30"/>
  </w:num>
  <w:num w:numId="95">
    <w:abstractNumId w:val="47"/>
  </w:num>
  <w:num w:numId="96">
    <w:abstractNumId w:val="59"/>
  </w:num>
  <w:num w:numId="97">
    <w:abstractNumId w:val="85"/>
  </w:num>
  <w:num w:numId="98">
    <w:abstractNumId w:val="34"/>
  </w:num>
  <w:num w:numId="99">
    <w:abstractNumId w:val="71"/>
  </w:num>
  <w:num w:numId="100">
    <w:abstractNumId w:val="40"/>
  </w:num>
  <w:num w:numId="101">
    <w:abstractNumId w:val="18"/>
  </w:num>
  <w:num w:numId="102">
    <w:abstractNumId w:val="55"/>
  </w:num>
  <w:num w:numId="103">
    <w:abstractNumId w:val="76"/>
  </w:num>
  <w:num w:numId="104">
    <w:abstractNumId w:val="89"/>
  </w:num>
  <w:num w:numId="105">
    <w:abstractNumId w:val="89"/>
  </w:num>
  <w:num w:numId="106">
    <w:abstractNumId w:val="89"/>
  </w:num>
  <w:num w:numId="107">
    <w:abstractNumId w:val="89"/>
  </w:num>
  <w:num w:numId="108">
    <w:abstractNumId w:val="89"/>
  </w:num>
  <w:num w:numId="109">
    <w:abstractNumId w:val="89"/>
  </w:num>
  <w:num w:numId="110">
    <w:abstractNumId w:val="89"/>
  </w:num>
  <w:num w:numId="111">
    <w:abstractNumId w:val="89"/>
  </w:num>
  <w:num w:numId="112">
    <w:abstractNumId w:val="89"/>
  </w:num>
  <w:num w:numId="113">
    <w:abstractNumId w:val="89"/>
  </w:num>
  <w:num w:numId="114">
    <w:abstractNumId w:val="89"/>
  </w:num>
  <w:num w:numId="115">
    <w:abstractNumId w:val="89"/>
  </w:num>
  <w:num w:numId="116">
    <w:abstractNumId w:val="89"/>
  </w:num>
  <w:num w:numId="117">
    <w:abstractNumId w:val="89"/>
  </w:num>
  <w:num w:numId="118">
    <w:abstractNumId w:val="89"/>
  </w:num>
  <w:num w:numId="119">
    <w:abstractNumId w:val="89"/>
  </w:num>
  <w:num w:numId="120">
    <w:abstractNumId w:val="89"/>
  </w:num>
  <w:num w:numId="121">
    <w:abstractNumId w:val="89"/>
  </w:num>
  <w:num w:numId="122">
    <w:abstractNumId w:val="89"/>
  </w:num>
  <w:num w:numId="123">
    <w:abstractNumId w:val="89"/>
  </w:num>
  <w:num w:numId="124">
    <w:abstractNumId w:val="89"/>
  </w:num>
  <w:num w:numId="125">
    <w:abstractNumId w:val="89"/>
  </w:num>
  <w:num w:numId="126">
    <w:abstractNumId w:val="89"/>
  </w:num>
  <w:num w:numId="127">
    <w:abstractNumId w:val="89"/>
  </w:num>
  <w:num w:numId="128">
    <w:abstractNumId w:val="89"/>
  </w:num>
  <w:num w:numId="129">
    <w:abstractNumId w:val="89"/>
  </w:num>
  <w:num w:numId="130">
    <w:abstractNumId w:val="89"/>
  </w:num>
  <w:num w:numId="131">
    <w:abstractNumId w:val="89"/>
  </w:num>
  <w:num w:numId="132">
    <w:abstractNumId w:val="89"/>
  </w:num>
  <w:num w:numId="133">
    <w:abstractNumId w:val="89"/>
  </w:num>
  <w:num w:numId="134">
    <w:abstractNumId w:val="89"/>
  </w:num>
  <w:num w:numId="135">
    <w:abstractNumId w:val="89"/>
  </w:num>
  <w:num w:numId="136">
    <w:abstractNumId w:val="89"/>
  </w:num>
  <w:num w:numId="137">
    <w:abstractNumId w:val="89"/>
  </w:num>
  <w:num w:numId="138">
    <w:abstractNumId w:val="89"/>
  </w:num>
  <w:num w:numId="139">
    <w:abstractNumId w:val="89"/>
  </w:num>
  <w:num w:numId="140">
    <w:abstractNumId w:val="89"/>
  </w:num>
  <w:num w:numId="141">
    <w:abstractNumId w:val="89"/>
  </w:num>
  <w:num w:numId="142">
    <w:abstractNumId w:val="89"/>
  </w:num>
  <w:num w:numId="143">
    <w:abstractNumId w:val="89"/>
  </w:num>
  <w:num w:numId="144">
    <w:abstractNumId w:val="89"/>
  </w:num>
  <w:num w:numId="145">
    <w:abstractNumId w:val="89"/>
  </w:num>
  <w:num w:numId="146">
    <w:abstractNumId w:val="89"/>
  </w:num>
  <w:num w:numId="147">
    <w:abstractNumId w:val="89"/>
  </w:num>
  <w:num w:numId="148">
    <w:abstractNumId w:val="89"/>
  </w:num>
  <w:num w:numId="149">
    <w:abstractNumId w:val="89"/>
  </w:num>
  <w:num w:numId="150">
    <w:abstractNumId w:val="89"/>
  </w:num>
  <w:num w:numId="151">
    <w:abstractNumId w:val="89"/>
  </w:num>
  <w:num w:numId="152">
    <w:abstractNumId w:val="89"/>
  </w:num>
  <w:num w:numId="153">
    <w:abstractNumId w:val="89"/>
  </w:num>
  <w:num w:numId="154">
    <w:abstractNumId w:val="89"/>
  </w:num>
  <w:num w:numId="155">
    <w:abstractNumId w:val="89"/>
  </w:num>
  <w:num w:numId="156">
    <w:abstractNumId w:val="89"/>
  </w:num>
  <w:num w:numId="157">
    <w:abstractNumId w:val="89"/>
  </w:num>
  <w:num w:numId="158">
    <w:abstractNumId w:val="89"/>
  </w:num>
  <w:num w:numId="159">
    <w:abstractNumId w:val="89"/>
  </w:num>
  <w:num w:numId="160">
    <w:abstractNumId w:val="89"/>
  </w:num>
  <w:num w:numId="161">
    <w:abstractNumId w:val="89"/>
  </w:num>
  <w:num w:numId="162">
    <w:abstractNumId w:val="89"/>
  </w:num>
  <w:num w:numId="163">
    <w:abstractNumId w:val="89"/>
  </w:num>
  <w:num w:numId="164">
    <w:abstractNumId w:val="89"/>
  </w:num>
  <w:num w:numId="165">
    <w:abstractNumId w:val="89"/>
  </w:num>
  <w:num w:numId="166">
    <w:abstractNumId w:val="89"/>
  </w:num>
  <w:num w:numId="167">
    <w:abstractNumId w:val="89"/>
  </w:num>
  <w:num w:numId="168">
    <w:abstractNumId w:val="89"/>
  </w:num>
  <w:num w:numId="169">
    <w:abstractNumId w:val="89"/>
  </w:num>
  <w:num w:numId="170">
    <w:abstractNumId w:val="89"/>
  </w:num>
  <w:num w:numId="171">
    <w:abstractNumId w:val="89"/>
  </w:num>
  <w:num w:numId="172">
    <w:abstractNumId w:val="89"/>
  </w:num>
  <w:num w:numId="173">
    <w:abstractNumId w:val="89"/>
  </w:num>
  <w:num w:numId="174">
    <w:abstractNumId w:val="89"/>
  </w:num>
  <w:num w:numId="175">
    <w:abstractNumId w:val="89"/>
  </w:num>
  <w:num w:numId="176">
    <w:abstractNumId w:val="89"/>
  </w:num>
  <w:num w:numId="177">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17EB0"/>
    <w:rsid w:val="00020BBE"/>
    <w:rsid w:val="00021E34"/>
    <w:rsid w:val="00023FFA"/>
    <w:rsid w:val="000241F3"/>
    <w:rsid w:val="00026C5D"/>
    <w:rsid w:val="00026F89"/>
    <w:rsid w:val="00033359"/>
    <w:rsid w:val="00033798"/>
    <w:rsid w:val="00033EF1"/>
    <w:rsid w:val="000341EA"/>
    <w:rsid w:val="0003665C"/>
    <w:rsid w:val="00036A73"/>
    <w:rsid w:val="0003721D"/>
    <w:rsid w:val="00037610"/>
    <w:rsid w:val="00040305"/>
    <w:rsid w:val="00040CA7"/>
    <w:rsid w:val="00041790"/>
    <w:rsid w:val="0004226B"/>
    <w:rsid w:val="00044928"/>
    <w:rsid w:val="00044C7B"/>
    <w:rsid w:val="000459D6"/>
    <w:rsid w:val="00046106"/>
    <w:rsid w:val="0004622E"/>
    <w:rsid w:val="0005045A"/>
    <w:rsid w:val="0005046F"/>
    <w:rsid w:val="00050FD3"/>
    <w:rsid w:val="000532CC"/>
    <w:rsid w:val="00053396"/>
    <w:rsid w:val="00053435"/>
    <w:rsid w:val="000544A9"/>
    <w:rsid w:val="00054AFA"/>
    <w:rsid w:val="000552D8"/>
    <w:rsid w:val="0005597F"/>
    <w:rsid w:val="00056673"/>
    <w:rsid w:val="000607D5"/>
    <w:rsid w:val="000613CE"/>
    <w:rsid w:val="0006355F"/>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21B1"/>
    <w:rsid w:val="000D2524"/>
    <w:rsid w:val="000D2927"/>
    <w:rsid w:val="000D45A2"/>
    <w:rsid w:val="000D5F11"/>
    <w:rsid w:val="000D6EA5"/>
    <w:rsid w:val="000E0417"/>
    <w:rsid w:val="000E0AB3"/>
    <w:rsid w:val="000E24EC"/>
    <w:rsid w:val="000E3E00"/>
    <w:rsid w:val="000E4274"/>
    <w:rsid w:val="000E4359"/>
    <w:rsid w:val="000E43CB"/>
    <w:rsid w:val="000E579F"/>
    <w:rsid w:val="000E673A"/>
    <w:rsid w:val="000E6962"/>
    <w:rsid w:val="000E791A"/>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F1A"/>
    <w:rsid w:val="0010740F"/>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219"/>
    <w:rsid w:val="001C1A49"/>
    <w:rsid w:val="001C1F43"/>
    <w:rsid w:val="001C2810"/>
    <w:rsid w:val="001C4477"/>
    <w:rsid w:val="001C46BD"/>
    <w:rsid w:val="001C4CEB"/>
    <w:rsid w:val="001C5DC4"/>
    <w:rsid w:val="001C6EB3"/>
    <w:rsid w:val="001C7247"/>
    <w:rsid w:val="001C76E0"/>
    <w:rsid w:val="001D0030"/>
    <w:rsid w:val="001D09A6"/>
    <w:rsid w:val="001D0B9E"/>
    <w:rsid w:val="001D173D"/>
    <w:rsid w:val="001D1C74"/>
    <w:rsid w:val="001D1CAF"/>
    <w:rsid w:val="001D3B67"/>
    <w:rsid w:val="001D3BAD"/>
    <w:rsid w:val="001D3BF1"/>
    <w:rsid w:val="001D41BD"/>
    <w:rsid w:val="001D5E13"/>
    <w:rsid w:val="001D6D7C"/>
    <w:rsid w:val="001D75F1"/>
    <w:rsid w:val="001E25EC"/>
    <w:rsid w:val="001E2E53"/>
    <w:rsid w:val="001E3986"/>
    <w:rsid w:val="001E4A0F"/>
    <w:rsid w:val="001E5751"/>
    <w:rsid w:val="001E6821"/>
    <w:rsid w:val="001F2F73"/>
    <w:rsid w:val="001F41BA"/>
    <w:rsid w:val="001F4C84"/>
    <w:rsid w:val="001F6490"/>
    <w:rsid w:val="001F6F9E"/>
    <w:rsid w:val="00200E4C"/>
    <w:rsid w:val="00201AAF"/>
    <w:rsid w:val="002026EB"/>
    <w:rsid w:val="002027BF"/>
    <w:rsid w:val="0020335B"/>
    <w:rsid w:val="00204CB4"/>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5935"/>
    <w:rsid w:val="00227645"/>
    <w:rsid w:val="00230795"/>
    <w:rsid w:val="002312A1"/>
    <w:rsid w:val="00231B5C"/>
    <w:rsid w:val="00232603"/>
    <w:rsid w:val="00232A6F"/>
    <w:rsid w:val="00234F38"/>
    <w:rsid w:val="0023506C"/>
    <w:rsid w:val="00235A95"/>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ECC"/>
    <w:rsid w:val="002868D1"/>
    <w:rsid w:val="00286941"/>
    <w:rsid w:val="00286B33"/>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C11FA"/>
    <w:rsid w:val="002C12D3"/>
    <w:rsid w:val="002C1ACD"/>
    <w:rsid w:val="002C2CAF"/>
    <w:rsid w:val="002C36D3"/>
    <w:rsid w:val="002C3E18"/>
    <w:rsid w:val="002C5554"/>
    <w:rsid w:val="002C5F5D"/>
    <w:rsid w:val="002C6238"/>
    <w:rsid w:val="002C722A"/>
    <w:rsid w:val="002C77C9"/>
    <w:rsid w:val="002C7D15"/>
    <w:rsid w:val="002D13A5"/>
    <w:rsid w:val="002D2DF6"/>
    <w:rsid w:val="002D2E32"/>
    <w:rsid w:val="002D3BE6"/>
    <w:rsid w:val="002D6E80"/>
    <w:rsid w:val="002D710D"/>
    <w:rsid w:val="002E0FB9"/>
    <w:rsid w:val="002E3855"/>
    <w:rsid w:val="002E49D7"/>
    <w:rsid w:val="002E6547"/>
    <w:rsid w:val="002E6BD0"/>
    <w:rsid w:val="002F0F9D"/>
    <w:rsid w:val="002F11B9"/>
    <w:rsid w:val="002F1652"/>
    <w:rsid w:val="002F2F35"/>
    <w:rsid w:val="002F3188"/>
    <w:rsid w:val="002F323D"/>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454"/>
    <w:rsid w:val="0034253A"/>
    <w:rsid w:val="00342DDA"/>
    <w:rsid w:val="00344903"/>
    <w:rsid w:val="00346401"/>
    <w:rsid w:val="00351205"/>
    <w:rsid w:val="0035298B"/>
    <w:rsid w:val="003542C8"/>
    <w:rsid w:val="0036026F"/>
    <w:rsid w:val="00360CED"/>
    <w:rsid w:val="00361105"/>
    <w:rsid w:val="00361162"/>
    <w:rsid w:val="00361269"/>
    <w:rsid w:val="003626E1"/>
    <w:rsid w:val="0036343D"/>
    <w:rsid w:val="0036480E"/>
    <w:rsid w:val="00364A05"/>
    <w:rsid w:val="00365B4D"/>
    <w:rsid w:val="00366CB7"/>
    <w:rsid w:val="00367113"/>
    <w:rsid w:val="00367DB4"/>
    <w:rsid w:val="003702C4"/>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5BA4"/>
    <w:rsid w:val="003A139D"/>
    <w:rsid w:val="003A14A9"/>
    <w:rsid w:val="003A15A6"/>
    <w:rsid w:val="003A5405"/>
    <w:rsid w:val="003A7F37"/>
    <w:rsid w:val="003B02C0"/>
    <w:rsid w:val="003B0D84"/>
    <w:rsid w:val="003B0F6C"/>
    <w:rsid w:val="003B1C6D"/>
    <w:rsid w:val="003B32A9"/>
    <w:rsid w:val="003B3E5E"/>
    <w:rsid w:val="003B547B"/>
    <w:rsid w:val="003B5B6C"/>
    <w:rsid w:val="003B5FAB"/>
    <w:rsid w:val="003B6478"/>
    <w:rsid w:val="003C1C8E"/>
    <w:rsid w:val="003C2953"/>
    <w:rsid w:val="003C2EBC"/>
    <w:rsid w:val="003C4A4E"/>
    <w:rsid w:val="003C4AFA"/>
    <w:rsid w:val="003C6219"/>
    <w:rsid w:val="003C7522"/>
    <w:rsid w:val="003C7702"/>
    <w:rsid w:val="003C77D5"/>
    <w:rsid w:val="003D009E"/>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71DD"/>
    <w:rsid w:val="00427D21"/>
    <w:rsid w:val="0043010A"/>
    <w:rsid w:val="00430E63"/>
    <w:rsid w:val="004326C2"/>
    <w:rsid w:val="004330BD"/>
    <w:rsid w:val="0043523E"/>
    <w:rsid w:val="00435A3B"/>
    <w:rsid w:val="00436A28"/>
    <w:rsid w:val="004377AB"/>
    <w:rsid w:val="004400E9"/>
    <w:rsid w:val="00442DFA"/>
    <w:rsid w:val="00442EED"/>
    <w:rsid w:val="004430A0"/>
    <w:rsid w:val="0044399E"/>
    <w:rsid w:val="00443E56"/>
    <w:rsid w:val="0044402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44C2"/>
    <w:rsid w:val="00466608"/>
    <w:rsid w:val="0046781C"/>
    <w:rsid w:val="004679F9"/>
    <w:rsid w:val="00467F9C"/>
    <w:rsid w:val="0047052A"/>
    <w:rsid w:val="00472FF0"/>
    <w:rsid w:val="0047604A"/>
    <w:rsid w:val="00476819"/>
    <w:rsid w:val="00476E8D"/>
    <w:rsid w:val="0047731D"/>
    <w:rsid w:val="004775AE"/>
    <w:rsid w:val="00477EC9"/>
    <w:rsid w:val="00477EFB"/>
    <w:rsid w:val="0048020C"/>
    <w:rsid w:val="004807C6"/>
    <w:rsid w:val="00482336"/>
    <w:rsid w:val="004834D3"/>
    <w:rsid w:val="004843DF"/>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5189"/>
    <w:rsid w:val="004A5222"/>
    <w:rsid w:val="004A6038"/>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F0170"/>
    <w:rsid w:val="004F098D"/>
    <w:rsid w:val="004F0CE0"/>
    <w:rsid w:val="004F415D"/>
    <w:rsid w:val="004F4DD3"/>
    <w:rsid w:val="004F56A3"/>
    <w:rsid w:val="004F64E5"/>
    <w:rsid w:val="004F6CBC"/>
    <w:rsid w:val="0050003A"/>
    <w:rsid w:val="0050028C"/>
    <w:rsid w:val="005007CA"/>
    <w:rsid w:val="00502ACE"/>
    <w:rsid w:val="00502BBF"/>
    <w:rsid w:val="00502E0D"/>
    <w:rsid w:val="00504C9D"/>
    <w:rsid w:val="00504EA5"/>
    <w:rsid w:val="00504EED"/>
    <w:rsid w:val="005056F9"/>
    <w:rsid w:val="005061D2"/>
    <w:rsid w:val="00506CC7"/>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1A12"/>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EAB"/>
    <w:rsid w:val="0054531B"/>
    <w:rsid w:val="0054660A"/>
    <w:rsid w:val="00546782"/>
    <w:rsid w:val="00546D58"/>
    <w:rsid w:val="005470CC"/>
    <w:rsid w:val="00547846"/>
    <w:rsid w:val="005478CA"/>
    <w:rsid w:val="00550B15"/>
    <w:rsid w:val="00550B5E"/>
    <w:rsid w:val="00551242"/>
    <w:rsid w:val="005522DF"/>
    <w:rsid w:val="00552328"/>
    <w:rsid w:val="00552EDF"/>
    <w:rsid w:val="00554E84"/>
    <w:rsid w:val="0055526A"/>
    <w:rsid w:val="0055542E"/>
    <w:rsid w:val="00556E12"/>
    <w:rsid w:val="00560465"/>
    <w:rsid w:val="00561357"/>
    <w:rsid w:val="00561E19"/>
    <w:rsid w:val="0056259D"/>
    <w:rsid w:val="0056313C"/>
    <w:rsid w:val="00563442"/>
    <w:rsid w:val="00563BFA"/>
    <w:rsid w:val="00565B42"/>
    <w:rsid w:val="005663D1"/>
    <w:rsid w:val="00567575"/>
    <w:rsid w:val="005746F5"/>
    <w:rsid w:val="00580ABB"/>
    <w:rsid w:val="00581411"/>
    <w:rsid w:val="005820A2"/>
    <w:rsid w:val="00582CE0"/>
    <w:rsid w:val="00582CFC"/>
    <w:rsid w:val="00582E16"/>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3BD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10F6"/>
    <w:rsid w:val="005F2959"/>
    <w:rsid w:val="005F4777"/>
    <w:rsid w:val="005F4C2E"/>
    <w:rsid w:val="005F5B8E"/>
    <w:rsid w:val="005F5EB5"/>
    <w:rsid w:val="005F6035"/>
    <w:rsid w:val="005F6ADD"/>
    <w:rsid w:val="005F6F60"/>
    <w:rsid w:val="005F7874"/>
    <w:rsid w:val="00601527"/>
    <w:rsid w:val="00601E6C"/>
    <w:rsid w:val="00603AB3"/>
    <w:rsid w:val="0060480B"/>
    <w:rsid w:val="00605698"/>
    <w:rsid w:val="006101DF"/>
    <w:rsid w:val="00611F55"/>
    <w:rsid w:val="006122BA"/>
    <w:rsid w:val="0061429C"/>
    <w:rsid w:val="00616541"/>
    <w:rsid w:val="0061655E"/>
    <w:rsid w:val="00617056"/>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500DD"/>
    <w:rsid w:val="0065034D"/>
    <w:rsid w:val="00651187"/>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4B4"/>
    <w:rsid w:val="00670691"/>
    <w:rsid w:val="00670B63"/>
    <w:rsid w:val="006718F0"/>
    <w:rsid w:val="006726E6"/>
    <w:rsid w:val="00672747"/>
    <w:rsid w:val="00672A90"/>
    <w:rsid w:val="0067485F"/>
    <w:rsid w:val="00675C2E"/>
    <w:rsid w:val="00676430"/>
    <w:rsid w:val="00676DAB"/>
    <w:rsid w:val="0067745D"/>
    <w:rsid w:val="0067755E"/>
    <w:rsid w:val="0067770A"/>
    <w:rsid w:val="00677D2D"/>
    <w:rsid w:val="0068067F"/>
    <w:rsid w:val="00680701"/>
    <w:rsid w:val="006820C9"/>
    <w:rsid w:val="00682705"/>
    <w:rsid w:val="00682D5A"/>
    <w:rsid w:val="00683598"/>
    <w:rsid w:val="00683B16"/>
    <w:rsid w:val="00683CA3"/>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290"/>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41EE"/>
    <w:rsid w:val="006E4598"/>
    <w:rsid w:val="006E587C"/>
    <w:rsid w:val="006E66AC"/>
    <w:rsid w:val="006E748D"/>
    <w:rsid w:val="006E790F"/>
    <w:rsid w:val="006F00A0"/>
    <w:rsid w:val="006F03B0"/>
    <w:rsid w:val="006F0437"/>
    <w:rsid w:val="006F088F"/>
    <w:rsid w:val="006F1B7D"/>
    <w:rsid w:val="006F2128"/>
    <w:rsid w:val="006F26FC"/>
    <w:rsid w:val="006F2791"/>
    <w:rsid w:val="006F4620"/>
    <w:rsid w:val="006F5608"/>
    <w:rsid w:val="006F6803"/>
    <w:rsid w:val="006F680E"/>
    <w:rsid w:val="006F6CE7"/>
    <w:rsid w:val="006F7A28"/>
    <w:rsid w:val="00701926"/>
    <w:rsid w:val="0070421D"/>
    <w:rsid w:val="00704679"/>
    <w:rsid w:val="00705FE9"/>
    <w:rsid w:val="00706530"/>
    <w:rsid w:val="00706CF7"/>
    <w:rsid w:val="00707F32"/>
    <w:rsid w:val="0071005E"/>
    <w:rsid w:val="007101D6"/>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749"/>
    <w:rsid w:val="0073538F"/>
    <w:rsid w:val="00736368"/>
    <w:rsid w:val="00737513"/>
    <w:rsid w:val="00737BFD"/>
    <w:rsid w:val="00740192"/>
    <w:rsid w:val="00740647"/>
    <w:rsid w:val="00742EC2"/>
    <w:rsid w:val="00744257"/>
    <w:rsid w:val="007442B9"/>
    <w:rsid w:val="00745517"/>
    <w:rsid w:val="0074563E"/>
    <w:rsid w:val="00746124"/>
    <w:rsid w:val="00747190"/>
    <w:rsid w:val="00750328"/>
    <w:rsid w:val="00752310"/>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EAE"/>
    <w:rsid w:val="00773B5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3032"/>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40F5"/>
    <w:rsid w:val="007F45CE"/>
    <w:rsid w:val="007F5C11"/>
    <w:rsid w:val="007F5D63"/>
    <w:rsid w:val="007F6446"/>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B66"/>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DD6"/>
    <w:rsid w:val="008647EE"/>
    <w:rsid w:val="00864B86"/>
    <w:rsid w:val="008655E0"/>
    <w:rsid w:val="0086573B"/>
    <w:rsid w:val="00865B74"/>
    <w:rsid w:val="00866B55"/>
    <w:rsid w:val="00867303"/>
    <w:rsid w:val="00870680"/>
    <w:rsid w:val="00870993"/>
    <w:rsid w:val="00870F0E"/>
    <w:rsid w:val="00871A6E"/>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1F1"/>
    <w:rsid w:val="00890491"/>
    <w:rsid w:val="00890C31"/>
    <w:rsid w:val="00891E4B"/>
    <w:rsid w:val="00892427"/>
    <w:rsid w:val="008926F0"/>
    <w:rsid w:val="0089283B"/>
    <w:rsid w:val="00893589"/>
    <w:rsid w:val="00893B89"/>
    <w:rsid w:val="00894AB6"/>
    <w:rsid w:val="008957DD"/>
    <w:rsid w:val="00895864"/>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55A"/>
    <w:rsid w:val="008C164A"/>
    <w:rsid w:val="008C198A"/>
    <w:rsid w:val="008C27A5"/>
    <w:rsid w:val="008C2F2C"/>
    <w:rsid w:val="008C31CB"/>
    <w:rsid w:val="008C3E48"/>
    <w:rsid w:val="008C40EA"/>
    <w:rsid w:val="008C4300"/>
    <w:rsid w:val="008C551D"/>
    <w:rsid w:val="008C7BAE"/>
    <w:rsid w:val="008D00FF"/>
    <w:rsid w:val="008D099D"/>
    <w:rsid w:val="008D0DA2"/>
    <w:rsid w:val="008D0DF4"/>
    <w:rsid w:val="008D1B42"/>
    <w:rsid w:val="008D260D"/>
    <w:rsid w:val="008D3FDB"/>
    <w:rsid w:val="008D6209"/>
    <w:rsid w:val="008D66D8"/>
    <w:rsid w:val="008D7DE9"/>
    <w:rsid w:val="008E0491"/>
    <w:rsid w:val="008E249B"/>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50BE"/>
    <w:rsid w:val="00925109"/>
    <w:rsid w:val="00925458"/>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8107F"/>
    <w:rsid w:val="00981466"/>
    <w:rsid w:val="009816A9"/>
    <w:rsid w:val="00981E99"/>
    <w:rsid w:val="00983C0F"/>
    <w:rsid w:val="00984AD5"/>
    <w:rsid w:val="009853BA"/>
    <w:rsid w:val="00985A95"/>
    <w:rsid w:val="00986CD6"/>
    <w:rsid w:val="00987704"/>
    <w:rsid w:val="009900CE"/>
    <w:rsid w:val="00990D4A"/>
    <w:rsid w:val="009953A4"/>
    <w:rsid w:val="009A05B1"/>
    <w:rsid w:val="009A11E7"/>
    <w:rsid w:val="009A1C8C"/>
    <w:rsid w:val="009A1D83"/>
    <w:rsid w:val="009A2267"/>
    <w:rsid w:val="009A327E"/>
    <w:rsid w:val="009A3531"/>
    <w:rsid w:val="009A3984"/>
    <w:rsid w:val="009A3B45"/>
    <w:rsid w:val="009A403E"/>
    <w:rsid w:val="009A535A"/>
    <w:rsid w:val="009A6883"/>
    <w:rsid w:val="009A7EB5"/>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64"/>
    <w:rsid w:val="00A11DF7"/>
    <w:rsid w:val="00A1263D"/>
    <w:rsid w:val="00A13E6D"/>
    <w:rsid w:val="00A14214"/>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164F"/>
    <w:rsid w:val="00A835CE"/>
    <w:rsid w:val="00A855D5"/>
    <w:rsid w:val="00A86D30"/>
    <w:rsid w:val="00A901FB"/>
    <w:rsid w:val="00A9086B"/>
    <w:rsid w:val="00A92052"/>
    <w:rsid w:val="00A9359D"/>
    <w:rsid w:val="00A94068"/>
    <w:rsid w:val="00A94BBB"/>
    <w:rsid w:val="00A97B35"/>
    <w:rsid w:val="00AA01C6"/>
    <w:rsid w:val="00AA03C5"/>
    <w:rsid w:val="00AA0407"/>
    <w:rsid w:val="00AA13DA"/>
    <w:rsid w:val="00AA14E5"/>
    <w:rsid w:val="00AA24B6"/>
    <w:rsid w:val="00AA27AB"/>
    <w:rsid w:val="00AA2E6F"/>
    <w:rsid w:val="00AA329E"/>
    <w:rsid w:val="00AA408A"/>
    <w:rsid w:val="00AA4495"/>
    <w:rsid w:val="00AA45F5"/>
    <w:rsid w:val="00AA47FF"/>
    <w:rsid w:val="00AA497E"/>
    <w:rsid w:val="00AA5CA2"/>
    <w:rsid w:val="00AA601A"/>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E24"/>
    <w:rsid w:val="00AD20C2"/>
    <w:rsid w:val="00AD2268"/>
    <w:rsid w:val="00AD2B6E"/>
    <w:rsid w:val="00AD2DC6"/>
    <w:rsid w:val="00AD3379"/>
    <w:rsid w:val="00AD3B99"/>
    <w:rsid w:val="00AD3D97"/>
    <w:rsid w:val="00AD3DBB"/>
    <w:rsid w:val="00AD465F"/>
    <w:rsid w:val="00AD46C9"/>
    <w:rsid w:val="00AD488D"/>
    <w:rsid w:val="00AD4B2A"/>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E6AF9"/>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97E"/>
    <w:rsid w:val="00B102E3"/>
    <w:rsid w:val="00B10C60"/>
    <w:rsid w:val="00B10F12"/>
    <w:rsid w:val="00B119D4"/>
    <w:rsid w:val="00B12494"/>
    <w:rsid w:val="00B132A2"/>
    <w:rsid w:val="00B1399E"/>
    <w:rsid w:val="00B16CC1"/>
    <w:rsid w:val="00B17EA3"/>
    <w:rsid w:val="00B21F7F"/>
    <w:rsid w:val="00B23815"/>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51CE"/>
    <w:rsid w:val="00B45B01"/>
    <w:rsid w:val="00B511E1"/>
    <w:rsid w:val="00B51207"/>
    <w:rsid w:val="00B527AB"/>
    <w:rsid w:val="00B52883"/>
    <w:rsid w:val="00B5364C"/>
    <w:rsid w:val="00B56695"/>
    <w:rsid w:val="00B567E6"/>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30E5"/>
    <w:rsid w:val="00B9478B"/>
    <w:rsid w:val="00B94E6C"/>
    <w:rsid w:val="00B956B6"/>
    <w:rsid w:val="00B956B9"/>
    <w:rsid w:val="00B95CA0"/>
    <w:rsid w:val="00B96B8C"/>
    <w:rsid w:val="00B96FF9"/>
    <w:rsid w:val="00BA0CCF"/>
    <w:rsid w:val="00BA3B2F"/>
    <w:rsid w:val="00BA4E69"/>
    <w:rsid w:val="00BA6F56"/>
    <w:rsid w:val="00BA796D"/>
    <w:rsid w:val="00BB279D"/>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3CA0"/>
    <w:rsid w:val="00BF3E78"/>
    <w:rsid w:val="00C00514"/>
    <w:rsid w:val="00C01A34"/>
    <w:rsid w:val="00C01A9B"/>
    <w:rsid w:val="00C01D1D"/>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F0026"/>
    <w:rsid w:val="00CF1848"/>
    <w:rsid w:val="00CF1B7A"/>
    <w:rsid w:val="00CF3AEF"/>
    <w:rsid w:val="00CF479A"/>
    <w:rsid w:val="00CF6B03"/>
    <w:rsid w:val="00D00768"/>
    <w:rsid w:val="00D035EB"/>
    <w:rsid w:val="00D04800"/>
    <w:rsid w:val="00D06173"/>
    <w:rsid w:val="00D062BF"/>
    <w:rsid w:val="00D0672F"/>
    <w:rsid w:val="00D071D4"/>
    <w:rsid w:val="00D1119D"/>
    <w:rsid w:val="00D11230"/>
    <w:rsid w:val="00D11444"/>
    <w:rsid w:val="00D12044"/>
    <w:rsid w:val="00D14B73"/>
    <w:rsid w:val="00D202D8"/>
    <w:rsid w:val="00D219BF"/>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6015"/>
    <w:rsid w:val="00D973DE"/>
    <w:rsid w:val="00DA05F4"/>
    <w:rsid w:val="00DA0834"/>
    <w:rsid w:val="00DA0FD0"/>
    <w:rsid w:val="00DA3CC2"/>
    <w:rsid w:val="00DA3DB5"/>
    <w:rsid w:val="00DA4A37"/>
    <w:rsid w:val="00DA4DE5"/>
    <w:rsid w:val="00DA5C13"/>
    <w:rsid w:val="00DA63FC"/>
    <w:rsid w:val="00DA6C91"/>
    <w:rsid w:val="00DB0062"/>
    <w:rsid w:val="00DB0A74"/>
    <w:rsid w:val="00DB11DF"/>
    <w:rsid w:val="00DB21A7"/>
    <w:rsid w:val="00DB2805"/>
    <w:rsid w:val="00DB33D7"/>
    <w:rsid w:val="00DB3AB9"/>
    <w:rsid w:val="00DB42BC"/>
    <w:rsid w:val="00DB5503"/>
    <w:rsid w:val="00DB700D"/>
    <w:rsid w:val="00DC0184"/>
    <w:rsid w:val="00DC08B3"/>
    <w:rsid w:val="00DC1DE8"/>
    <w:rsid w:val="00DC3946"/>
    <w:rsid w:val="00DC4308"/>
    <w:rsid w:val="00DC4E0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4E5E"/>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798"/>
    <w:rsid w:val="00E408F3"/>
    <w:rsid w:val="00E419F4"/>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84C78"/>
    <w:rsid w:val="00E904EC"/>
    <w:rsid w:val="00E91C66"/>
    <w:rsid w:val="00E9209E"/>
    <w:rsid w:val="00E9318D"/>
    <w:rsid w:val="00E932E7"/>
    <w:rsid w:val="00E939B7"/>
    <w:rsid w:val="00E9487F"/>
    <w:rsid w:val="00E9617A"/>
    <w:rsid w:val="00E9650C"/>
    <w:rsid w:val="00E96E72"/>
    <w:rsid w:val="00E9783A"/>
    <w:rsid w:val="00EA053D"/>
    <w:rsid w:val="00EA0FE9"/>
    <w:rsid w:val="00EA1658"/>
    <w:rsid w:val="00EA355C"/>
    <w:rsid w:val="00EA46C1"/>
    <w:rsid w:val="00EA6035"/>
    <w:rsid w:val="00EA69A9"/>
    <w:rsid w:val="00EA7C68"/>
    <w:rsid w:val="00EB2857"/>
    <w:rsid w:val="00EB2C6E"/>
    <w:rsid w:val="00EB3775"/>
    <w:rsid w:val="00EB3F91"/>
    <w:rsid w:val="00EB425D"/>
    <w:rsid w:val="00EB47AA"/>
    <w:rsid w:val="00EB48F9"/>
    <w:rsid w:val="00EB6099"/>
    <w:rsid w:val="00EB7A4C"/>
    <w:rsid w:val="00EC012D"/>
    <w:rsid w:val="00EC01E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A3C"/>
    <w:rsid w:val="00EF1FCB"/>
    <w:rsid w:val="00EF4931"/>
    <w:rsid w:val="00EF4D4B"/>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2040E"/>
    <w:rsid w:val="00F2109E"/>
    <w:rsid w:val="00F24D92"/>
    <w:rsid w:val="00F2524E"/>
    <w:rsid w:val="00F26327"/>
    <w:rsid w:val="00F26353"/>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1B2"/>
    <w:rsid w:val="00F47363"/>
    <w:rsid w:val="00F5097E"/>
    <w:rsid w:val="00F50FB4"/>
    <w:rsid w:val="00F52EE5"/>
    <w:rsid w:val="00F53193"/>
    <w:rsid w:val="00F5357E"/>
    <w:rsid w:val="00F54AC0"/>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E8"/>
    <w:rsid w:val="00F6601C"/>
    <w:rsid w:val="00F66242"/>
    <w:rsid w:val="00F70275"/>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297E"/>
    <w:rsid w:val="00FA3150"/>
    <w:rsid w:val="00FA39DD"/>
    <w:rsid w:val="00FA3B9D"/>
    <w:rsid w:val="00FA3C42"/>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F86"/>
    <w:rsid w:val="00FE4644"/>
    <w:rsid w:val="00FE54BF"/>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A7C"/>
    <w:pPr>
      <w:jc w:val="both"/>
    </w:pPr>
    <w:rPr>
      <w:rFonts w:ascii="Times New Roman" w:eastAsia="Times New Roman" w:hAnsi="Times New Roman" w:cs="Times New Roman"/>
      <w:sz w:val="22"/>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ru-RU"/>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ru-RU"/>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ru-RU"/>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nhideWhenUsed/>
    <w:rsid w:val="00582CFC"/>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ru-RU"/>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ru-RU"/>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ru-RU"/>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ru-RU"/>
    </w:rPr>
  </w:style>
  <w:style w:type="paragraph" w:styleId="Revision">
    <w:name w:val="Revision"/>
    <w:hidden/>
    <w:uiPriority w:val="99"/>
    <w:semiHidden/>
    <w:rsid w:val="00046106"/>
    <w:rPr>
      <w:rFonts w:ascii="Times New Roman" w:eastAsia="Times New Roman" w:hAnsi="Times New Roman" w:cs="Times New Roman"/>
      <w:sz w:val="22"/>
    </w:rPr>
  </w:style>
  <w:style w:type="paragraph" w:customStyle="1" w:styleId="paragraph">
    <w:name w:val="paragraph"/>
    <w:basedOn w:val="Normal"/>
    <w:rsid w:val="00046106"/>
    <w:pPr>
      <w:spacing w:before="100" w:beforeAutospacing="1" w:after="100" w:afterAutospacing="1"/>
      <w:jc w:val="left"/>
    </w:pPr>
    <w:rPr>
      <w:sz w:val="24"/>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ru-RU"/>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46106"/>
    <w:rPr>
      <w:rFonts w:ascii="Calibri" w:hAnsi="Calibri"/>
      <w:sz w:val="22"/>
      <w:szCs w:val="21"/>
      <w:lang w:val="ru-RU" w:eastAsia="zh-CN"/>
    </w:rPr>
  </w:style>
  <w:style w:type="paragraph" w:styleId="BodyText2">
    <w:name w:val="Body Text 2"/>
    <w:basedOn w:val="Normal"/>
    <w:link w:val="BodyText2Char"/>
    <w:uiPriority w:val="99"/>
    <w:rsid w:val="00046106"/>
    <w:pPr>
      <w:jc w:val="left"/>
    </w:pPr>
    <w:rPr>
      <w:i/>
      <w:iCs/>
      <w:sz w:val="24"/>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ru-RU"/>
    </w:rPr>
  </w:style>
  <w:style w:type="paragraph" w:styleId="BodyText3">
    <w:name w:val="Body Text 3"/>
    <w:basedOn w:val="Normal"/>
    <w:link w:val="BodyText3Char"/>
    <w:rsid w:val="00046106"/>
    <w:pPr>
      <w:jc w:val="center"/>
    </w:pPr>
    <w:rPr>
      <w:sz w:val="28"/>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ru-RU"/>
    </w:rPr>
  </w:style>
  <w:style w:type="paragraph" w:styleId="BodyTextIndent2">
    <w:name w:val="Body Text Indent 2"/>
    <w:basedOn w:val="Normal"/>
    <w:link w:val="BodyTextIndent2Char"/>
    <w:rsid w:val="00046106"/>
    <w:pPr>
      <w:ind w:firstLine="720"/>
      <w:jc w:val="left"/>
    </w:pPr>
    <w:rPr>
      <w:sz w:val="24"/>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ru-RU"/>
    </w:rPr>
  </w:style>
  <w:style w:type="paragraph" w:styleId="BodyTextIndent3">
    <w:name w:val="Body Text Indent 3"/>
    <w:basedOn w:val="Normal"/>
    <w:link w:val="BodyTextIndent3Char"/>
    <w:rsid w:val="00046106"/>
    <w:pPr>
      <w:ind w:left="1080" w:hanging="360"/>
      <w:jc w:val="left"/>
    </w:pPr>
    <w:rPr>
      <w:rFonts w:ascii="Courier" w:hAnsi="Courier"/>
      <w:sz w:val="20"/>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ru-RU"/>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ru-RU"/>
    </w:rPr>
  </w:style>
  <w:style w:type="paragraph" w:customStyle="1" w:styleId="para20">
    <w:name w:val="para2"/>
    <w:basedOn w:val="Normal"/>
    <w:rsid w:val="00046106"/>
    <w:pPr>
      <w:tabs>
        <w:tab w:val="num" w:pos="1080"/>
      </w:tabs>
      <w:spacing w:before="120" w:after="120"/>
      <w:ind w:left="1080" w:hanging="360"/>
      <w:jc w:val="left"/>
    </w:pPr>
    <w:rPr>
      <w:sz w:val="24"/>
      <w:szCs w:val="20"/>
    </w:rPr>
  </w:style>
  <w:style w:type="paragraph" w:customStyle="1" w:styleId="Heading2-center">
    <w:name w:val="Heading 2-center"/>
    <w:basedOn w:val="Heading2"/>
    <w:rsid w:val="00046106"/>
    <w:rPr>
      <w:i/>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046106"/>
    <w:rPr>
      <w:b/>
      <w:bCs/>
    </w:rPr>
  </w:style>
  <w:style w:type="paragraph" w:customStyle="1" w:styleId="Para1">
    <w:name w:val="Para 1"/>
    <w:basedOn w:val="Normal"/>
    <w:qFormat/>
    <w:rsid w:val="00582CFC"/>
    <w:pPr>
      <w:numPr>
        <w:numId w:val="127"/>
      </w:numPr>
      <w:tabs>
        <w:tab w:val="left" w:pos="1134"/>
      </w:tabs>
      <w:spacing w:before="120" w:after="120"/>
    </w:p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ru-RU"/>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ru-RU"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ru-RU"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046106"/>
    <w:pPr>
      <w:tabs>
        <w:tab w:val="left" w:pos="900"/>
      </w:tabs>
    </w:pPr>
    <w:rPr>
      <w:rFonts w:eastAsia="Batang"/>
      <w:b w:val="0"/>
      <w:bCs/>
      <w:i/>
      <w:szCs w:val="20"/>
    </w:rPr>
  </w:style>
  <w:style w:type="paragraph" w:customStyle="1" w:styleId="Heading2noletter">
    <w:name w:val="Heading 2 (no letter)"/>
    <w:basedOn w:val="Heading2"/>
    <w:rsid w:val="00046106"/>
    <w:rPr>
      <w:i/>
    </w:rPr>
  </w:style>
  <w:style w:type="character" w:customStyle="1" w:styleId="Heading2CharChar">
    <w:name w:val="Heading 2 Char Char"/>
    <w:rsid w:val="00046106"/>
    <w:rPr>
      <w:rFonts w:ascii="Arial" w:hAnsi="Arial" w:cs="Arial"/>
      <w:b/>
      <w:bCs/>
      <w:i/>
      <w:iCs/>
      <w:noProof w:val="0"/>
      <w:sz w:val="28"/>
      <w:szCs w:val="28"/>
      <w:lang w:val="ru-RU" w:eastAsia="en-US" w:bidi="ar-SA"/>
    </w:rPr>
  </w:style>
  <w:style w:type="paragraph" w:customStyle="1" w:styleId="Heading-plain0">
    <w:name w:val="Heading-plain"/>
    <w:basedOn w:val="Normal"/>
    <w:rsid w:val="00046106"/>
    <w:pPr>
      <w:spacing w:before="120" w:after="120"/>
      <w:jc w:val="center"/>
      <w:outlineLvl w:val="0"/>
    </w:pPr>
    <w:rPr>
      <w:i/>
      <w:sz w:val="24"/>
      <w:szCs w:val="20"/>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ru-RU" w:eastAsia="en-US" w:bidi="ar-SA"/>
    </w:rPr>
  </w:style>
  <w:style w:type="paragraph" w:customStyle="1" w:styleId="Para2rev">
    <w:name w:val="Para 2 (rev)"/>
    <w:basedOn w:val="Normal"/>
    <w:rsid w:val="00046106"/>
    <w:pPr>
      <w:tabs>
        <w:tab w:val="num" w:pos="720"/>
      </w:tabs>
      <w:spacing w:after="120"/>
      <w:ind w:left="720" w:hanging="360"/>
      <w:jc w:val="left"/>
    </w:pPr>
    <w:rPr>
      <w:sz w:val="24"/>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rPr>
  </w:style>
  <w:style w:type="paragraph" w:customStyle="1" w:styleId="Para1-Annex">
    <w:name w:val="Para1-Annex"/>
    <w:basedOn w:val="Normal"/>
    <w:rsid w:val="00046106"/>
    <w:pPr>
      <w:tabs>
        <w:tab w:val="num" w:pos="720"/>
      </w:tabs>
      <w:spacing w:after="120"/>
      <w:jc w:val="left"/>
    </w:pPr>
    <w:rPr>
      <w:sz w:val="24"/>
      <w:szCs w:val="22"/>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rPr>
  </w:style>
  <w:style w:type="paragraph" w:customStyle="1" w:styleId="StyleBodyTextTimesNewRoman11ptCharChar">
    <w:name w:val="Style Body Text + Times New Roman 11 pt Char Char"/>
    <w:basedOn w:val="BodyText"/>
    <w:rsid w:val="00046106"/>
    <w:rPr>
      <w:iCs/>
      <w:snapToGrid w:val="0"/>
      <w:color w:val="000000"/>
      <w:sz w:val="24"/>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ru-RU"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ru-RU"/>
    </w:rPr>
  </w:style>
  <w:style w:type="paragraph" w:customStyle="1" w:styleId="Default">
    <w:name w:val="Default"/>
    <w:basedOn w:val="Normal"/>
    <w:rsid w:val="00046106"/>
    <w:pPr>
      <w:autoSpaceDE w:val="0"/>
      <w:autoSpaceDN w:val="0"/>
      <w:jc w:val="left"/>
    </w:pPr>
    <w:rPr>
      <w:rFonts w:eastAsia="Calibri"/>
      <w:color w:val="000000"/>
      <w:sz w:val="24"/>
    </w:rPr>
  </w:style>
  <w:style w:type="character" w:customStyle="1" w:styleId="BlockTextChar">
    <w:name w:val="Block Text Char"/>
    <w:rsid w:val="00582CFC"/>
    <w:rPr>
      <w:sz w:val="24"/>
      <w:szCs w:val="24"/>
      <w:lang w:val="ru-RU" w:eastAsia="en-US" w:bidi="ar-SA"/>
    </w:rPr>
  </w:style>
  <w:style w:type="paragraph" w:customStyle="1" w:styleId="SubtleEmphasis1">
    <w:name w:val="Subtle Emphasis1"/>
    <w:basedOn w:val="Normal"/>
    <w:uiPriority w:val="34"/>
    <w:qFormat/>
    <w:rsid w:val="00046106"/>
    <w:pPr>
      <w:ind w:left="720"/>
      <w:jc w:val="left"/>
    </w:pPr>
    <w:rPr>
      <w:sz w:val="24"/>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rPr>
  </w:style>
  <w:style w:type="paragraph" w:customStyle="1" w:styleId="DarkList-Accent61">
    <w:name w:val="Dark List - Accent 61"/>
    <w:uiPriority w:val="1"/>
    <w:qFormat/>
    <w:rsid w:val="00046106"/>
    <w:rPr>
      <w:rFonts w:ascii="Calibri" w:eastAsia="MS Mincho" w:hAnsi="Calibri" w:cs="Times New Roman"/>
      <w:sz w:val="22"/>
      <w:szCs w:val="22"/>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rPr>
  </w:style>
  <w:style w:type="paragraph" w:customStyle="1" w:styleId="ColorfulGrid-Accent62">
    <w:name w:val="Colorful Grid - Accent 62"/>
    <w:hidden/>
    <w:uiPriority w:val="99"/>
    <w:semiHidden/>
    <w:rsid w:val="00046106"/>
    <w:rPr>
      <w:rFonts w:ascii="Times New Roman" w:eastAsia="MS Mincho" w:hAnsi="Times New Roman" w:cs="Angsana New"/>
      <w:sz w:val="22"/>
    </w:rPr>
  </w:style>
  <w:style w:type="paragraph" w:customStyle="1" w:styleId="SubtleEmphasis2">
    <w:name w:val="Subtle Emphasis2"/>
    <w:basedOn w:val="Normal"/>
    <w:uiPriority w:val="34"/>
    <w:qFormat/>
    <w:rsid w:val="00046106"/>
    <w:pPr>
      <w:ind w:left="720"/>
      <w:jc w:val="left"/>
    </w:pPr>
    <w:rPr>
      <w:sz w:val="24"/>
    </w:rPr>
  </w:style>
  <w:style w:type="paragraph" w:customStyle="1" w:styleId="LightGrid-Accent31">
    <w:name w:val="Light Grid - Accent 31"/>
    <w:basedOn w:val="Normal"/>
    <w:uiPriority w:val="34"/>
    <w:qFormat/>
    <w:rsid w:val="00046106"/>
    <w:pPr>
      <w:ind w:left="720"/>
      <w:jc w:val="left"/>
    </w:pPr>
    <w:rPr>
      <w:sz w:val="24"/>
    </w:rPr>
  </w:style>
  <w:style w:type="table" w:customStyle="1" w:styleId="TableGrid1">
    <w:name w:val="Table Grid1"/>
    <w:basedOn w:val="TableNormal"/>
    <w:next w:val="TableGrid"/>
    <w:uiPriority w:val="59"/>
    <w:rsid w:val="00784A7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ru-RU"/>
    </w:rPr>
  </w:style>
  <w:style w:type="paragraph" w:customStyle="1" w:styleId="CBD-Para">
    <w:name w:val="CBD-Para"/>
    <w:basedOn w:val="Normal"/>
    <w:link w:val="CBD-ParaCharChar"/>
    <w:rsid w:val="00046106"/>
    <w:pPr>
      <w:keepLines/>
      <w:numPr>
        <w:numId w:val="8"/>
      </w:numPr>
      <w:spacing w:before="120" w:after="120"/>
    </w:pPr>
    <w:rPr>
      <w:szCs w:val="22"/>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ru-RU"/>
    </w:rPr>
  </w:style>
  <w:style w:type="paragraph" w:styleId="NoSpacing">
    <w:name w:val="No Spacing"/>
    <w:uiPriority w:val="1"/>
    <w:qFormat/>
    <w:rsid w:val="00046106"/>
    <w:rPr>
      <w:sz w:val="22"/>
      <w:szCs w:val="22"/>
      <w:lang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rPr>
  </w:style>
  <w:style w:type="paragraph" w:customStyle="1" w:styleId="Annex">
    <w:name w:val="Annex"/>
    <w:basedOn w:val="Normal"/>
    <w:qFormat/>
    <w:rsid w:val="00582CFC"/>
    <w:rPr>
      <w:b/>
      <w:sz w:val="28"/>
    </w:rPr>
  </w:style>
  <w:style w:type="character" w:customStyle="1" w:styleId="UnresolvedMention">
    <w:name w:val="Unresolved Mention"/>
    <w:basedOn w:val="DefaultParagraphFont"/>
    <w:uiPriority w:val="99"/>
    <w:semiHidden/>
    <w:unhideWhenUsed/>
    <w:rsid w:val="00AD3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2FA"/>
    <w:rsid w:val="00030890"/>
    <w:rsid w:val="0003174A"/>
    <w:rsid w:val="00047427"/>
    <w:rsid w:val="000564FF"/>
    <w:rsid w:val="000A1387"/>
    <w:rsid w:val="000A3265"/>
    <w:rsid w:val="000A5EDF"/>
    <w:rsid w:val="00131E5C"/>
    <w:rsid w:val="00152F1C"/>
    <w:rsid w:val="001570B4"/>
    <w:rsid w:val="001932FE"/>
    <w:rsid w:val="001A2C7F"/>
    <w:rsid w:val="00263BF3"/>
    <w:rsid w:val="00286581"/>
    <w:rsid w:val="002E5FD8"/>
    <w:rsid w:val="003159BC"/>
    <w:rsid w:val="00334A34"/>
    <w:rsid w:val="00392F7B"/>
    <w:rsid w:val="003B7FB5"/>
    <w:rsid w:val="003C344A"/>
    <w:rsid w:val="003D23E5"/>
    <w:rsid w:val="003E5A0E"/>
    <w:rsid w:val="00403CEF"/>
    <w:rsid w:val="00406E77"/>
    <w:rsid w:val="00437820"/>
    <w:rsid w:val="00471DC8"/>
    <w:rsid w:val="00490D60"/>
    <w:rsid w:val="004C6765"/>
    <w:rsid w:val="004E71D1"/>
    <w:rsid w:val="00515377"/>
    <w:rsid w:val="005400BA"/>
    <w:rsid w:val="0058106F"/>
    <w:rsid w:val="005F3428"/>
    <w:rsid w:val="0060708E"/>
    <w:rsid w:val="00611506"/>
    <w:rsid w:val="0062042C"/>
    <w:rsid w:val="006524AB"/>
    <w:rsid w:val="006634FD"/>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769E"/>
    <w:rsid w:val="00850F86"/>
    <w:rsid w:val="00854BF9"/>
    <w:rsid w:val="008A796B"/>
    <w:rsid w:val="008D075C"/>
    <w:rsid w:val="008D3877"/>
    <w:rsid w:val="00904BC3"/>
    <w:rsid w:val="00917E44"/>
    <w:rsid w:val="009A09AB"/>
    <w:rsid w:val="009B4621"/>
    <w:rsid w:val="00A27BE2"/>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1052"/>
    <w:rsid w:val="00C54315"/>
    <w:rsid w:val="00C60459"/>
    <w:rsid w:val="00C74F88"/>
    <w:rsid w:val="00C75B7D"/>
    <w:rsid w:val="00CA670B"/>
    <w:rsid w:val="00D03561"/>
    <w:rsid w:val="00D36602"/>
    <w:rsid w:val="00D40D76"/>
    <w:rsid w:val="00D6088E"/>
    <w:rsid w:val="00D87439"/>
    <w:rsid w:val="00DC147E"/>
    <w:rsid w:val="00DD25EC"/>
    <w:rsid w:val="00DF1DD4"/>
    <w:rsid w:val="00DF619B"/>
    <w:rsid w:val="00E31FC4"/>
    <w:rsid w:val="00E7228A"/>
    <w:rsid w:val="00E91F71"/>
    <w:rsid w:val="00EC1235"/>
    <w:rsid w:val="00EC7A44"/>
    <w:rsid w:val="00ED0BC8"/>
    <w:rsid w:val="00ED69FA"/>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F2710C-D708-4F4E-93B0-0113E956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Template>
  <TotalTime>63</TotalTime>
  <Pages>6</Pages>
  <Words>2687</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Рекомендации Специальной группы технических экспертов по индикаторам Куньминско-Монреальской глобальной рамочной программы в области биоразнообразия в отношении формулировок списка бинарных вопросов в механизме мониторинга</vt:lpstr>
    </vt:vector>
  </TitlesOfParts>
  <Company>SCBD</Company>
  <LinksUpToDate>false</LinksUpToDate>
  <CharactersWithSpaces>17432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 Специальной группы технических экспертов по индикаторам Куньминско-Монреальской глобальной рамочной программы в области биоразнообразия в отношении формулировок списка бинарных вопросов в механизме мониторинга</dc:title>
  <dc:subject/>
  <dc:creator>Veronique Lefebvre</dc:creator>
  <cp:keywords>Conference of the Parties to the Convention on Biological Diversity, fifteenth meeting</cp:keywords>
  <cp:lastModifiedBy>Natamoro</cp:lastModifiedBy>
  <cp:revision>22</cp:revision>
  <cp:lastPrinted>2024-03-25T13:10:00Z</cp:lastPrinted>
  <dcterms:created xsi:type="dcterms:W3CDTF">2024-04-02T02:51:00Z</dcterms:created>
  <dcterms:modified xsi:type="dcterms:W3CDTF">2024-04-11T15:44:00Z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