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5" w:type="dxa"/>
        <w:tblInd w:w="-318" w:type="dxa"/>
        <w:tblLook w:val="04A0" w:firstRow="1" w:lastRow="0" w:firstColumn="1" w:lastColumn="0" w:noHBand="0" w:noVBand="1"/>
      </w:tblPr>
      <w:tblGrid>
        <w:gridCol w:w="108"/>
        <w:gridCol w:w="976"/>
        <w:gridCol w:w="3704"/>
        <w:gridCol w:w="1260"/>
        <w:gridCol w:w="177"/>
        <w:gridCol w:w="3982"/>
        <w:gridCol w:w="108"/>
      </w:tblGrid>
      <w:tr w:rsidR="00717A9A" w:rsidRPr="00717A9A" w14:paraId="488B6D14" w14:textId="77777777" w:rsidTr="00A74B66">
        <w:trPr>
          <w:gridBefore w:val="1"/>
          <w:wBefore w:w="108" w:type="dxa"/>
          <w:trHeight w:val="851"/>
        </w:trPr>
        <w:tc>
          <w:tcPr>
            <w:tcW w:w="976" w:type="dxa"/>
            <w:tcBorders>
              <w:bottom w:val="single" w:sz="12" w:space="0" w:color="auto"/>
            </w:tcBorders>
            <w:shd w:val="clear" w:color="auto" w:fill="auto"/>
          </w:tcPr>
          <w:p w14:paraId="0A66049B" w14:textId="3CCA6650" w:rsidR="00991491" w:rsidRPr="00717A9A" w:rsidRDefault="0071155A" w:rsidP="00717A9A">
            <w:pPr>
              <w:suppressLineNumbers/>
              <w:suppressAutoHyphens/>
              <w:adjustRightInd w:val="0"/>
              <w:snapToGrid w:val="0"/>
              <w:rPr>
                <w:rFonts w:ascii="Calibri" w:hAnsi="Calibri"/>
                <w:kern w:val="22"/>
              </w:rPr>
            </w:pPr>
            <w:bookmarkStart w:id="0" w:name="_Hlk505247837"/>
            <w:r>
              <w:rPr>
                <w:rFonts w:ascii="Calibri" w:hAnsi="Calibri"/>
                <w:noProof/>
              </w:rPr>
              <w:pict w14:anchorId="1824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intosh HD:Users:bilodeau:Desktop:logos:template 2017:un.emf" style="position:absolute;left:0;text-align:left;margin-left:.05pt;margin-top:0;width:37.5pt;height:31.7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
                  <v:imagedata r:id="rId11" o:title="un"/>
                  <w10:wrap anchory="page"/>
                </v:shape>
              </w:pict>
            </w:r>
          </w:p>
        </w:tc>
        <w:tc>
          <w:tcPr>
            <w:tcW w:w="5141" w:type="dxa"/>
            <w:gridSpan w:val="3"/>
            <w:tcBorders>
              <w:bottom w:val="single" w:sz="12" w:space="0" w:color="auto"/>
            </w:tcBorders>
            <w:shd w:val="clear" w:color="auto" w:fill="auto"/>
            <w:tcFitText/>
          </w:tcPr>
          <w:p w14:paraId="06CB5AAC" w14:textId="6C9A1000" w:rsidR="00991491" w:rsidRPr="00717A9A" w:rsidRDefault="0071155A" w:rsidP="00717A9A">
            <w:pPr>
              <w:suppressLineNumbers/>
              <w:suppressAutoHyphens/>
              <w:adjustRightInd w:val="0"/>
              <w:snapToGrid w:val="0"/>
              <w:rPr>
                <w:rFonts w:ascii="Calibri" w:hAnsi="Calibri"/>
                <w:kern w:val="22"/>
              </w:rPr>
            </w:pPr>
            <w:r>
              <w:rPr>
                <w:rFonts w:ascii="Calibri" w:hAnsi="Calibri"/>
                <w:noProof/>
              </w:rPr>
              <w:pict w14:anchorId="3AEB3697">
                <v:shape id="Picture 5" o:spid="_x0000_s1026" type="#_x0000_t75" alt="" style="position:absolute;left:0;text-align:left;margin-left:-13.85pt;margin-top:-6.15pt;width:74.1pt;height:46.7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v:imagedata r:id="rId12" o:title=""/>
                  <w10:wrap anchory="page"/>
                </v:shape>
              </w:pict>
            </w:r>
          </w:p>
        </w:tc>
        <w:tc>
          <w:tcPr>
            <w:tcW w:w="4090" w:type="dxa"/>
            <w:gridSpan w:val="2"/>
            <w:tcBorders>
              <w:bottom w:val="single" w:sz="12" w:space="0" w:color="auto"/>
            </w:tcBorders>
            <w:shd w:val="clear" w:color="auto" w:fill="auto"/>
          </w:tcPr>
          <w:p w14:paraId="426219FA" w14:textId="77777777" w:rsidR="00991491" w:rsidRPr="00717A9A" w:rsidRDefault="00991491" w:rsidP="00717A9A">
            <w:pPr>
              <w:suppressLineNumbers/>
              <w:suppressAutoHyphens/>
              <w:adjustRightInd w:val="0"/>
              <w:snapToGrid w:val="0"/>
              <w:jc w:val="right"/>
              <w:rPr>
                <w:rFonts w:ascii="Arial" w:hAnsi="Arial" w:cs="Arial"/>
                <w:b/>
                <w:kern w:val="22"/>
                <w:sz w:val="32"/>
                <w:szCs w:val="32"/>
              </w:rPr>
            </w:pPr>
            <w:r w:rsidRPr="00717A9A">
              <w:rPr>
                <w:rFonts w:ascii="Arial" w:hAnsi="Arial" w:cs="Arial"/>
                <w:b/>
                <w:kern w:val="22"/>
                <w:sz w:val="32"/>
                <w:szCs w:val="32"/>
              </w:rPr>
              <w:t>CBD</w:t>
            </w:r>
          </w:p>
        </w:tc>
      </w:tr>
      <w:bookmarkEnd w:id="0"/>
      <w:tr w:rsidR="00AC113D" w:rsidRPr="001B7FF9" w14:paraId="26CAF165" w14:textId="77777777" w:rsidTr="00A74B66">
        <w:tblPrEx>
          <w:tblBorders>
            <w:bottom w:val="single" w:sz="30" w:space="0" w:color="000000"/>
          </w:tblBorders>
          <w:tblLook w:val="0000" w:firstRow="0" w:lastRow="0" w:firstColumn="0" w:lastColumn="0" w:noHBand="0" w:noVBand="0"/>
        </w:tblPrEx>
        <w:trPr>
          <w:gridAfter w:val="1"/>
          <w:wAfter w:w="108" w:type="dxa"/>
          <w:trHeight w:val="1693"/>
        </w:trPr>
        <w:tc>
          <w:tcPr>
            <w:tcW w:w="4788" w:type="dxa"/>
            <w:gridSpan w:val="3"/>
            <w:tcBorders>
              <w:bottom w:val="single" w:sz="30" w:space="0" w:color="000000"/>
            </w:tcBorders>
          </w:tcPr>
          <w:p w14:paraId="6EABEB7A" w14:textId="77777777" w:rsidR="00AC113D" w:rsidRPr="001B7FF9" w:rsidRDefault="00A74B66" w:rsidP="003A739F">
            <w:pPr>
              <w:suppressLineNumbers/>
              <w:suppressAutoHyphens/>
              <w:adjustRightInd w:val="0"/>
              <w:snapToGrid w:val="0"/>
              <w:spacing w:before="120" w:after="120"/>
              <w:rPr>
                <w:snapToGrid w:val="0"/>
                <w:kern w:val="22"/>
                <w:szCs w:val="22"/>
              </w:rPr>
            </w:pPr>
            <w:r>
              <w:rPr>
                <w:noProof/>
                <w:kern w:val="22"/>
                <w:szCs w:val="22"/>
              </w:rPr>
              <w:pict w14:anchorId="6243493E">
                <v:shape id="_x0000_i1025" type="#_x0000_t75" alt="CBD_logo_CMYK_black [Converted]" style="width:223pt;height:84.35pt;visibility:visible;mso-width-percent:0;mso-height-percent:0;mso-width-percent:0;mso-height-percent:0">
                  <v:imagedata r:id="rId13" o:title="CBD_logo_CMYK_black [Converted]"/>
                </v:shape>
              </w:pict>
            </w:r>
          </w:p>
        </w:tc>
        <w:tc>
          <w:tcPr>
            <w:tcW w:w="1260" w:type="dxa"/>
            <w:tcBorders>
              <w:bottom w:val="single" w:sz="30" w:space="0" w:color="000000"/>
            </w:tcBorders>
          </w:tcPr>
          <w:p w14:paraId="54758F78" w14:textId="77777777" w:rsidR="00AC113D" w:rsidRPr="00CC6EAB" w:rsidRDefault="00AC113D" w:rsidP="003A739F">
            <w:pPr>
              <w:suppressLineNumbers/>
              <w:suppressAutoHyphens/>
              <w:adjustRightInd w:val="0"/>
              <w:snapToGrid w:val="0"/>
              <w:spacing w:before="120" w:after="120"/>
              <w:rPr>
                <w:snapToGrid w:val="0"/>
                <w:kern w:val="22"/>
                <w:szCs w:val="22"/>
              </w:rPr>
            </w:pPr>
          </w:p>
        </w:tc>
        <w:tc>
          <w:tcPr>
            <w:tcW w:w="4159" w:type="dxa"/>
            <w:gridSpan w:val="2"/>
            <w:tcBorders>
              <w:bottom w:val="single" w:sz="30" w:space="0" w:color="000000"/>
            </w:tcBorders>
          </w:tcPr>
          <w:p w14:paraId="13F5AF09" w14:textId="77777777" w:rsidR="00D322E6" w:rsidRPr="006537CC" w:rsidRDefault="00AC113D" w:rsidP="003A739F">
            <w:pPr>
              <w:suppressLineNumbers/>
              <w:suppressAutoHyphens/>
              <w:adjustRightInd w:val="0"/>
              <w:snapToGrid w:val="0"/>
              <w:ind w:left="1185"/>
              <w:rPr>
                <w:snapToGrid w:val="0"/>
                <w:kern w:val="22"/>
                <w:szCs w:val="22"/>
              </w:rPr>
            </w:pPr>
            <w:r w:rsidRPr="006537CC">
              <w:rPr>
                <w:snapToGrid w:val="0"/>
                <w:kern w:val="22"/>
                <w:szCs w:val="22"/>
              </w:rPr>
              <w:t xml:space="preserve">Distr. </w:t>
            </w:r>
          </w:p>
          <w:p w14:paraId="3D0DDB04" w14:textId="7F2D9D3A" w:rsidR="00AC113D" w:rsidRPr="006537CC" w:rsidRDefault="00D0139A" w:rsidP="003A739F">
            <w:pPr>
              <w:suppressLineNumbers/>
              <w:suppressAutoHyphens/>
              <w:adjustRightInd w:val="0"/>
              <w:snapToGrid w:val="0"/>
              <w:ind w:left="1185"/>
              <w:rPr>
                <w:snapToGrid w:val="0"/>
                <w:kern w:val="22"/>
                <w:szCs w:val="22"/>
              </w:rPr>
            </w:pPr>
            <w:r w:rsidRPr="006537CC">
              <w:rPr>
                <w:snapToGrid w:val="0"/>
                <w:kern w:val="22"/>
                <w:szCs w:val="22"/>
              </w:rPr>
              <w:t>GENERAL</w:t>
            </w:r>
          </w:p>
          <w:p w14:paraId="286D05B6" w14:textId="77777777" w:rsidR="00D322E6" w:rsidRPr="006537CC" w:rsidRDefault="00D322E6" w:rsidP="003A739F">
            <w:pPr>
              <w:suppressLineNumbers/>
              <w:suppressAutoHyphens/>
              <w:adjustRightInd w:val="0"/>
              <w:snapToGrid w:val="0"/>
              <w:ind w:left="1185"/>
              <w:rPr>
                <w:snapToGrid w:val="0"/>
                <w:kern w:val="22"/>
                <w:szCs w:val="22"/>
              </w:rPr>
            </w:pPr>
          </w:p>
          <w:p w14:paraId="7CA873E8" w14:textId="3187B48B" w:rsidR="00AC113D" w:rsidRPr="00D732CA" w:rsidRDefault="00155537" w:rsidP="003A739F">
            <w:pPr>
              <w:suppressLineNumbers/>
              <w:suppressAutoHyphens/>
              <w:adjustRightInd w:val="0"/>
              <w:snapToGrid w:val="0"/>
              <w:ind w:left="1185"/>
              <w:rPr>
                <w:snapToGrid w:val="0"/>
                <w:kern w:val="22"/>
                <w:szCs w:val="22"/>
              </w:rPr>
            </w:pPr>
            <w:r w:rsidRPr="006537CC">
              <w:rPr>
                <w:snapToGrid w:val="0"/>
                <w:kern w:val="22"/>
                <w:szCs w:val="22"/>
              </w:rPr>
              <w:t>CBD/SBI/</w:t>
            </w:r>
            <w:r w:rsidR="00260DA4" w:rsidRPr="006537CC">
              <w:rPr>
                <w:snapToGrid w:val="0"/>
                <w:kern w:val="22"/>
                <w:szCs w:val="22"/>
              </w:rPr>
              <w:t>3/</w:t>
            </w:r>
            <w:r w:rsidRPr="00D732CA">
              <w:rPr>
                <w:snapToGrid w:val="0"/>
                <w:kern w:val="22"/>
                <w:szCs w:val="22"/>
              </w:rPr>
              <w:t>6/Add.3</w:t>
            </w:r>
          </w:p>
          <w:p w14:paraId="6573900D" w14:textId="0A57A0D2" w:rsidR="00AC113D" w:rsidRPr="001B7FF9" w:rsidRDefault="00D322E6" w:rsidP="003A739F">
            <w:pPr>
              <w:suppressLineNumbers/>
              <w:suppressAutoHyphens/>
              <w:adjustRightInd w:val="0"/>
              <w:snapToGrid w:val="0"/>
              <w:ind w:left="1185"/>
              <w:rPr>
                <w:snapToGrid w:val="0"/>
                <w:kern w:val="22"/>
                <w:szCs w:val="22"/>
              </w:rPr>
            </w:pPr>
            <w:r w:rsidRPr="00D732CA">
              <w:rPr>
                <w:snapToGrid w:val="0"/>
                <w:kern w:val="22"/>
                <w:szCs w:val="22"/>
              </w:rPr>
              <w:t>16 February 2021</w:t>
            </w:r>
          </w:p>
          <w:p w14:paraId="1D6A3DD5" w14:textId="77777777" w:rsidR="00AC113D" w:rsidRPr="001B7FF9" w:rsidRDefault="00AC113D" w:rsidP="003A739F">
            <w:pPr>
              <w:suppressLineNumbers/>
              <w:suppressAutoHyphens/>
              <w:adjustRightInd w:val="0"/>
              <w:snapToGrid w:val="0"/>
              <w:ind w:left="1185"/>
              <w:rPr>
                <w:snapToGrid w:val="0"/>
                <w:kern w:val="22"/>
                <w:szCs w:val="22"/>
              </w:rPr>
            </w:pPr>
          </w:p>
          <w:p w14:paraId="0FD2D891" w14:textId="77777777" w:rsidR="00AC113D" w:rsidRPr="001B7FF9" w:rsidRDefault="00AC113D" w:rsidP="003A739F">
            <w:pPr>
              <w:suppressLineNumbers/>
              <w:suppressAutoHyphens/>
              <w:adjustRightInd w:val="0"/>
              <w:snapToGrid w:val="0"/>
              <w:ind w:left="1185"/>
              <w:rPr>
                <w:snapToGrid w:val="0"/>
                <w:kern w:val="22"/>
                <w:szCs w:val="22"/>
              </w:rPr>
            </w:pPr>
            <w:r w:rsidRPr="001B7FF9">
              <w:rPr>
                <w:snapToGrid w:val="0"/>
                <w:kern w:val="22"/>
                <w:szCs w:val="22"/>
              </w:rPr>
              <w:t>ORIGINAL:  ENGLISH</w:t>
            </w:r>
          </w:p>
        </w:tc>
      </w:tr>
    </w:tbl>
    <w:p w14:paraId="529B6471" w14:textId="543E7A10" w:rsidR="00AC113D" w:rsidRPr="00CC6EAB" w:rsidRDefault="00155537" w:rsidP="003A739F">
      <w:pPr>
        <w:pStyle w:val="Cornernotation"/>
        <w:suppressLineNumbers/>
        <w:suppressAutoHyphens/>
        <w:adjustRightInd w:val="0"/>
        <w:snapToGrid w:val="0"/>
        <w:spacing w:before="60"/>
        <w:ind w:right="4575"/>
        <w:rPr>
          <w:snapToGrid w:val="0"/>
          <w:kern w:val="22"/>
          <w:szCs w:val="22"/>
        </w:rPr>
      </w:pPr>
      <w:r w:rsidRPr="001B7FF9">
        <w:rPr>
          <w:snapToGrid w:val="0"/>
          <w:kern w:val="22"/>
          <w:szCs w:val="22"/>
        </w:rPr>
        <w:t xml:space="preserve">SUBSIDIARY BODY ON IMPLEMENTATION </w:t>
      </w:r>
    </w:p>
    <w:p w14:paraId="2E691819" w14:textId="77777777" w:rsidR="00AC113D" w:rsidRPr="006537CC" w:rsidRDefault="00155537" w:rsidP="003A739F">
      <w:pPr>
        <w:pStyle w:val="Cornernotation"/>
        <w:suppressLineNumbers/>
        <w:suppressAutoHyphens/>
        <w:adjustRightInd w:val="0"/>
        <w:snapToGrid w:val="0"/>
        <w:rPr>
          <w:snapToGrid w:val="0"/>
          <w:kern w:val="22"/>
          <w:szCs w:val="22"/>
        </w:rPr>
      </w:pPr>
      <w:r w:rsidRPr="006537CC">
        <w:rPr>
          <w:snapToGrid w:val="0"/>
          <w:kern w:val="22"/>
          <w:szCs w:val="22"/>
        </w:rPr>
        <w:t>Third</w:t>
      </w:r>
      <w:r w:rsidR="00AC113D" w:rsidRPr="006537CC">
        <w:rPr>
          <w:snapToGrid w:val="0"/>
          <w:kern w:val="22"/>
          <w:szCs w:val="22"/>
        </w:rPr>
        <w:t xml:space="preserve"> meeting</w:t>
      </w:r>
    </w:p>
    <w:p w14:paraId="10CE30C8" w14:textId="2134BC6E" w:rsidR="00DA449C" w:rsidRPr="006537CC" w:rsidRDefault="00D322E6" w:rsidP="003A739F">
      <w:pPr>
        <w:pStyle w:val="Cornernotation"/>
        <w:suppressLineNumbers/>
        <w:suppressAutoHyphens/>
        <w:adjustRightInd w:val="0"/>
        <w:snapToGrid w:val="0"/>
        <w:ind w:right="4115"/>
        <w:rPr>
          <w:snapToGrid w:val="0"/>
          <w:kern w:val="22"/>
          <w:szCs w:val="22"/>
        </w:rPr>
      </w:pPr>
      <w:r w:rsidRPr="006537CC">
        <w:rPr>
          <w:snapToGrid w:val="0"/>
          <w:kern w:val="22"/>
          <w:szCs w:val="22"/>
        </w:rPr>
        <w:t>Venue and dates to be determined</w:t>
      </w:r>
    </w:p>
    <w:p w14:paraId="513216E3" w14:textId="77777777" w:rsidR="00260DA4" w:rsidRPr="00D732CA" w:rsidRDefault="00155537" w:rsidP="003A739F">
      <w:pPr>
        <w:pStyle w:val="Cornernotation"/>
        <w:suppressLineNumbers/>
        <w:suppressAutoHyphens/>
        <w:adjustRightInd w:val="0"/>
        <w:snapToGrid w:val="0"/>
        <w:ind w:right="4115"/>
        <w:rPr>
          <w:snapToGrid w:val="0"/>
          <w:kern w:val="22"/>
          <w:szCs w:val="22"/>
        </w:rPr>
      </w:pPr>
      <w:r w:rsidRPr="006537CC">
        <w:rPr>
          <w:snapToGrid w:val="0"/>
          <w:kern w:val="22"/>
          <w:szCs w:val="22"/>
        </w:rPr>
        <w:t>Item 6</w:t>
      </w:r>
      <w:r w:rsidR="00260DA4" w:rsidRPr="006537CC">
        <w:rPr>
          <w:snapToGrid w:val="0"/>
          <w:kern w:val="22"/>
          <w:szCs w:val="22"/>
        </w:rPr>
        <w:t xml:space="preserve"> of the provisional agenda</w:t>
      </w:r>
      <w:r w:rsidR="002E26F5" w:rsidRPr="006537CC">
        <w:rPr>
          <w:rStyle w:val="FootnoteReference"/>
          <w:snapToGrid w:val="0"/>
          <w:kern w:val="22"/>
          <w:szCs w:val="22"/>
        </w:rPr>
        <w:footnoteReference w:customMarkFollows="1" w:id="2"/>
        <w:t>*</w:t>
      </w:r>
    </w:p>
    <w:p w14:paraId="09A4DF14" w14:textId="50F0EE7A" w:rsidR="009E5FE4" w:rsidRPr="003A739F" w:rsidRDefault="00260DA4" w:rsidP="003A739F">
      <w:pPr>
        <w:pStyle w:val="Heading1"/>
        <w:suppressLineNumbers/>
        <w:tabs>
          <w:tab w:val="clear" w:pos="720"/>
        </w:tabs>
        <w:suppressAutoHyphens/>
        <w:adjustRightInd w:val="0"/>
        <w:snapToGrid w:val="0"/>
        <w:rPr>
          <w:kern w:val="22"/>
          <w:szCs w:val="22"/>
        </w:rPr>
      </w:pPr>
      <w:r w:rsidRPr="00D732CA">
        <w:rPr>
          <w:bCs/>
          <w:snapToGrid w:val="0"/>
          <w:kern w:val="22"/>
          <w:szCs w:val="22"/>
        </w:rPr>
        <w:t xml:space="preserve">The financial </w:t>
      </w:r>
      <w:r w:rsidR="006862A0" w:rsidRPr="00D732CA">
        <w:rPr>
          <w:bCs/>
          <w:snapToGrid w:val="0"/>
          <w:kern w:val="22"/>
          <w:szCs w:val="22"/>
        </w:rPr>
        <w:t>m</w:t>
      </w:r>
      <w:r w:rsidRPr="001B7FF9">
        <w:rPr>
          <w:bCs/>
          <w:snapToGrid w:val="0"/>
          <w:kern w:val="22"/>
          <w:szCs w:val="22"/>
        </w:rPr>
        <w:t>echanism</w:t>
      </w:r>
      <w:r w:rsidR="001E3C98" w:rsidRPr="001B7FF9">
        <w:rPr>
          <w:bCs/>
          <w:snapToGrid w:val="0"/>
          <w:kern w:val="22"/>
          <w:szCs w:val="22"/>
        </w:rPr>
        <w:t>:</w:t>
      </w:r>
      <w:r w:rsidR="001E3C98" w:rsidRPr="003A739F">
        <w:rPr>
          <w:kern w:val="22"/>
          <w:szCs w:val="22"/>
        </w:rPr>
        <w:t xml:space="preserve"> </w:t>
      </w:r>
      <w:r w:rsidR="003B7A3F" w:rsidRPr="003A739F">
        <w:rPr>
          <w:kern w:val="22"/>
          <w:szCs w:val="22"/>
        </w:rPr>
        <w:t>e</w:t>
      </w:r>
      <w:r w:rsidR="00B67BA6" w:rsidRPr="003A739F">
        <w:rPr>
          <w:kern w:val="22"/>
          <w:szCs w:val="22"/>
        </w:rPr>
        <w:t>lements of advice</w:t>
      </w:r>
      <w:r w:rsidR="009E5FE4" w:rsidRPr="003A739F">
        <w:rPr>
          <w:kern w:val="22"/>
          <w:szCs w:val="22"/>
        </w:rPr>
        <w:t xml:space="preserve"> from biodiversity-related conventions pursuant to paragraph </w:t>
      </w:r>
      <w:r w:rsidR="00694FE4" w:rsidRPr="003A739F">
        <w:rPr>
          <w:kern w:val="22"/>
          <w:szCs w:val="22"/>
        </w:rPr>
        <w:t>9</w:t>
      </w:r>
      <w:r w:rsidR="00DA721A" w:rsidRPr="003A739F">
        <w:rPr>
          <w:kern w:val="22"/>
          <w:szCs w:val="22"/>
        </w:rPr>
        <w:t xml:space="preserve"> of decision XII</w:t>
      </w:r>
      <w:r w:rsidR="00155537" w:rsidRPr="003A739F">
        <w:rPr>
          <w:kern w:val="22"/>
          <w:szCs w:val="22"/>
        </w:rPr>
        <w:t>I/21</w:t>
      </w:r>
    </w:p>
    <w:p w14:paraId="150EC93A" w14:textId="77777777" w:rsidR="00BA1F3E" w:rsidRPr="00CC6EAB" w:rsidRDefault="00BA1F3E" w:rsidP="003A739F">
      <w:pPr>
        <w:suppressLineNumbers/>
        <w:suppressAutoHyphens/>
        <w:adjustRightInd w:val="0"/>
        <w:snapToGrid w:val="0"/>
        <w:jc w:val="center"/>
        <w:rPr>
          <w:i/>
          <w:snapToGrid w:val="0"/>
          <w:kern w:val="22"/>
        </w:rPr>
      </w:pPr>
      <w:r w:rsidRPr="001B7FF9">
        <w:rPr>
          <w:i/>
          <w:snapToGrid w:val="0"/>
          <w:kern w:val="22"/>
        </w:rPr>
        <w:t>Note by the Executive Secretary</w:t>
      </w:r>
    </w:p>
    <w:p w14:paraId="734A6A11" w14:textId="77777777" w:rsidR="00AC113D" w:rsidRPr="006537CC" w:rsidRDefault="00AC113D" w:rsidP="003A739F">
      <w:pPr>
        <w:pStyle w:val="Heading1"/>
        <w:suppressLineNumbers/>
        <w:suppressAutoHyphens/>
        <w:adjustRightInd w:val="0"/>
        <w:snapToGrid w:val="0"/>
        <w:spacing w:before="120"/>
        <w:rPr>
          <w:snapToGrid w:val="0"/>
          <w:kern w:val="22"/>
          <w:szCs w:val="22"/>
        </w:rPr>
      </w:pPr>
      <w:r w:rsidRPr="006537CC">
        <w:rPr>
          <w:snapToGrid w:val="0"/>
          <w:kern w:val="22"/>
          <w:szCs w:val="22"/>
        </w:rPr>
        <w:t>INTRODUCTION</w:t>
      </w:r>
    </w:p>
    <w:p w14:paraId="08D410A1" w14:textId="0DDD3293" w:rsidR="00FF5872" w:rsidRPr="001B7FF9" w:rsidRDefault="00085CA9" w:rsidP="003A739F">
      <w:pPr>
        <w:numPr>
          <w:ilvl w:val="0"/>
          <w:numId w:val="11"/>
        </w:numPr>
        <w:suppressLineNumbers/>
        <w:tabs>
          <w:tab w:val="clear" w:pos="360"/>
        </w:tabs>
        <w:suppressAutoHyphens/>
        <w:adjustRightInd w:val="0"/>
        <w:snapToGrid w:val="0"/>
        <w:spacing w:before="120" w:after="120"/>
        <w:rPr>
          <w:snapToGrid w:val="0"/>
          <w:kern w:val="22"/>
          <w:szCs w:val="22"/>
        </w:rPr>
      </w:pPr>
      <w:r w:rsidRPr="006537CC">
        <w:rPr>
          <w:snapToGrid w:val="0"/>
          <w:kern w:val="22"/>
          <w:szCs w:val="22"/>
        </w:rPr>
        <w:t xml:space="preserve">In decision </w:t>
      </w:r>
      <w:hyperlink r:id="rId14" w:history="1">
        <w:r w:rsidRPr="00CC6EAB">
          <w:rPr>
            <w:rStyle w:val="Hyperlink"/>
            <w:snapToGrid w:val="0"/>
            <w:kern w:val="22"/>
            <w:sz w:val="22"/>
            <w:szCs w:val="22"/>
          </w:rPr>
          <w:t>XII/30</w:t>
        </w:r>
      </w:hyperlink>
      <w:r w:rsidRPr="001B7FF9">
        <w:rPr>
          <w:snapToGrid w:val="0"/>
          <w:kern w:val="22"/>
          <w:szCs w:val="22"/>
        </w:rPr>
        <w:t xml:space="preserve"> on the financial mechanism, the Conference of the Parties invited </w:t>
      </w:r>
      <w:r w:rsidR="00B67BA6" w:rsidRPr="00CC6EAB">
        <w:rPr>
          <w:snapToGrid w:val="0"/>
          <w:kern w:val="22"/>
          <w:szCs w:val="22"/>
        </w:rPr>
        <w:t xml:space="preserve">the </w:t>
      </w:r>
      <w:r w:rsidR="005920B5" w:rsidRPr="006537CC">
        <w:rPr>
          <w:snapToGrid w:val="0"/>
          <w:kern w:val="22"/>
          <w:szCs w:val="22"/>
        </w:rPr>
        <w:t>governing bodies of the various biodiversity-related conventio</w:t>
      </w:r>
      <w:r w:rsidR="00B67BA6" w:rsidRPr="006537CC">
        <w:rPr>
          <w:snapToGrid w:val="0"/>
          <w:kern w:val="22"/>
          <w:szCs w:val="22"/>
        </w:rPr>
        <w:t xml:space="preserve">ns </w:t>
      </w:r>
      <w:r w:rsidR="005920B5" w:rsidRPr="006537CC">
        <w:rPr>
          <w:snapToGrid w:val="0"/>
          <w:kern w:val="22"/>
          <w:szCs w:val="22"/>
        </w:rPr>
        <w:t xml:space="preserve">to provide elements of advice, as appropriate, concerning the funding of the national priorities that </w:t>
      </w:r>
      <w:r w:rsidR="00EB37CC" w:rsidRPr="006537CC">
        <w:rPr>
          <w:snapToGrid w:val="0"/>
          <w:kern w:val="22"/>
          <w:szCs w:val="22"/>
        </w:rPr>
        <w:t xml:space="preserve">could </w:t>
      </w:r>
      <w:r w:rsidR="005920B5" w:rsidRPr="006537CC">
        <w:rPr>
          <w:snapToGrid w:val="0"/>
          <w:kern w:val="22"/>
          <w:szCs w:val="22"/>
        </w:rPr>
        <w:t>be referred to the Global Environment Facility through the Conference of the Parties to the Convention on Biological Diversity</w:t>
      </w:r>
      <w:r w:rsidR="00E16D17" w:rsidRPr="00D732CA">
        <w:rPr>
          <w:snapToGrid w:val="0"/>
          <w:kern w:val="22"/>
          <w:szCs w:val="22"/>
        </w:rPr>
        <w:t xml:space="preserve"> (para.</w:t>
      </w:r>
      <w:r w:rsidR="00EB37CC" w:rsidRPr="00D732CA">
        <w:rPr>
          <w:snapToGrid w:val="0"/>
          <w:kern w:val="22"/>
          <w:szCs w:val="22"/>
        </w:rPr>
        <w:t> </w:t>
      </w:r>
      <w:r w:rsidR="00E16D17" w:rsidRPr="001B7FF9">
        <w:rPr>
          <w:snapToGrid w:val="0"/>
          <w:kern w:val="22"/>
          <w:szCs w:val="22"/>
        </w:rPr>
        <w:t>2)</w:t>
      </w:r>
      <w:r w:rsidR="005920B5" w:rsidRPr="001B7FF9">
        <w:rPr>
          <w:snapToGrid w:val="0"/>
          <w:kern w:val="22"/>
          <w:szCs w:val="22"/>
        </w:rPr>
        <w:t>.</w:t>
      </w:r>
      <w:r w:rsidR="00D41B9B" w:rsidRPr="001B7FF9">
        <w:rPr>
          <w:snapToGrid w:val="0"/>
          <w:kern w:val="22"/>
          <w:szCs w:val="22"/>
        </w:rPr>
        <w:t xml:space="preserve"> </w:t>
      </w:r>
      <w:r w:rsidR="00E16D17" w:rsidRPr="001B7FF9">
        <w:rPr>
          <w:snapToGrid w:val="0"/>
          <w:kern w:val="22"/>
          <w:szCs w:val="22"/>
        </w:rPr>
        <w:t>T</w:t>
      </w:r>
      <w:r w:rsidR="00586F45" w:rsidRPr="001B7FF9">
        <w:rPr>
          <w:snapToGrid w:val="0"/>
          <w:kern w:val="22"/>
          <w:szCs w:val="22"/>
        </w:rPr>
        <w:t>he Executive Secretary was requested to include any advice received into the documentation for the appropriate agenda item, for consideration by the Conference of the Parties</w:t>
      </w:r>
      <w:r w:rsidR="00E16D17" w:rsidRPr="001B7FF9">
        <w:rPr>
          <w:snapToGrid w:val="0"/>
          <w:kern w:val="22"/>
          <w:szCs w:val="22"/>
        </w:rPr>
        <w:t xml:space="preserve"> (para.</w:t>
      </w:r>
      <w:r w:rsidR="003A30D0" w:rsidRPr="001B7FF9">
        <w:rPr>
          <w:snapToGrid w:val="0"/>
          <w:kern w:val="22"/>
          <w:szCs w:val="22"/>
        </w:rPr>
        <w:t> </w:t>
      </w:r>
      <w:r w:rsidR="00E16D17" w:rsidRPr="001B7FF9">
        <w:rPr>
          <w:snapToGrid w:val="0"/>
          <w:kern w:val="22"/>
          <w:szCs w:val="22"/>
        </w:rPr>
        <w:t>3)</w:t>
      </w:r>
      <w:r w:rsidR="00586F45" w:rsidRPr="001B7FF9">
        <w:rPr>
          <w:snapToGrid w:val="0"/>
          <w:kern w:val="22"/>
          <w:szCs w:val="22"/>
        </w:rPr>
        <w:t>.</w:t>
      </w:r>
    </w:p>
    <w:p w14:paraId="4A8EAD1B" w14:textId="28E8FD48" w:rsidR="00694FE4" w:rsidRPr="006537CC" w:rsidRDefault="00155537" w:rsidP="003A739F">
      <w:pPr>
        <w:numPr>
          <w:ilvl w:val="0"/>
          <w:numId w:val="11"/>
        </w:numPr>
        <w:suppressLineNumbers/>
        <w:tabs>
          <w:tab w:val="clear" w:pos="360"/>
        </w:tabs>
        <w:suppressAutoHyphens/>
        <w:adjustRightInd w:val="0"/>
        <w:snapToGrid w:val="0"/>
        <w:spacing w:before="120" w:after="120"/>
        <w:rPr>
          <w:snapToGrid w:val="0"/>
          <w:kern w:val="22"/>
          <w:szCs w:val="22"/>
        </w:rPr>
      </w:pPr>
      <w:r w:rsidRPr="001B7FF9">
        <w:rPr>
          <w:snapToGrid w:val="0"/>
          <w:kern w:val="22"/>
          <w:szCs w:val="22"/>
        </w:rPr>
        <w:t xml:space="preserve">In decision </w:t>
      </w:r>
      <w:hyperlink r:id="rId15" w:history="1">
        <w:r w:rsidRPr="00CC6EAB">
          <w:rPr>
            <w:rStyle w:val="Hyperlink"/>
            <w:snapToGrid w:val="0"/>
            <w:kern w:val="22"/>
            <w:sz w:val="22"/>
            <w:szCs w:val="22"/>
          </w:rPr>
          <w:t>XIII/21</w:t>
        </w:r>
      </w:hyperlink>
      <w:r w:rsidRPr="001B7FF9">
        <w:rPr>
          <w:snapToGrid w:val="0"/>
          <w:kern w:val="22"/>
          <w:szCs w:val="22"/>
        </w:rPr>
        <w:t xml:space="preserve">, the Conference of the Parties invited </w:t>
      </w:r>
      <w:r w:rsidR="00694FE4" w:rsidRPr="00CC6EAB">
        <w:rPr>
          <w:snapToGrid w:val="0"/>
          <w:kern w:val="22"/>
          <w:szCs w:val="22"/>
        </w:rPr>
        <w:t>the governing bodies of the various biodiversity-related conventions, further to paragraphs 2, 3 and 4 of decision XII/30, to repeat the exercise described therein for the development of strategic guidance for the ei</w:t>
      </w:r>
      <w:r w:rsidR="00694FE4" w:rsidRPr="006537CC">
        <w:rPr>
          <w:snapToGrid w:val="0"/>
          <w:kern w:val="22"/>
          <w:szCs w:val="22"/>
        </w:rPr>
        <w:t>ghth replenishment of the Global Environment Facility Trust Fund in time for consideration by the Conference of the Parties of the Convention on Biological Diversity at its fifteenth meeting.</w:t>
      </w:r>
    </w:p>
    <w:p w14:paraId="5E93BC9F" w14:textId="535A1051" w:rsidR="00533DFB" w:rsidRPr="003A739F" w:rsidRDefault="00E34A0C" w:rsidP="003A739F">
      <w:pPr>
        <w:numPr>
          <w:ilvl w:val="0"/>
          <w:numId w:val="11"/>
        </w:numPr>
        <w:suppressLineNumbers/>
        <w:tabs>
          <w:tab w:val="clear" w:pos="360"/>
        </w:tabs>
        <w:suppressAutoHyphens/>
        <w:adjustRightInd w:val="0"/>
        <w:snapToGrid w:val="0"/>
        <w:spacing w:before="120" w:after="120"/>
        <w:rPr>
          <w:snapToGrid w:val="0"/>
          <w:kern w:val="22"/>
        </w:rPr>
      </w:pPr>
      <w:r w:rsidRPr="003A739F">
        <w:rPr>
          <w:snapToGrid w:val="0"/>
          <w:kern w:val="22"/>
        </w:rPr>
        <w:t>T</w:t>
      </w:r>
      <w:r w:rsidR="00DA721A" w:rsidRPr="003A739F">
        <w:rPr>
          <w:snapToGrid w:val="0"/>
          <w:kern w:val="22"/>
        </w:rPr>
        <w:t xml:space="preserve">he </w:t>
      </w:r>
      <w:r w:rsidR="009E5FE4" w:rsidRPr="003A739F">
        <w:rPr>
          <w:snapToGrid w:val="0"/>
          <w:kern w:val="22"/>
        </w:rPr>
        <w:t xml:space="preserve">present note provides, for consideration by the </w:t>
      </w:r>
      <w:r w:rsidR="00155537" w:rsidRPr="003A739F">
        <w:rPr>
          <w:snapToGrid w:val="0"/>
          <w:kern w:val="22"/>
        </w:rPr>
        <w:t>Subsidiary Body on Implementation</w:t>
      </w:r>
      <w:r w:rsidRPr="003A739F">
        <w:rPr>
          <w:snapToGrid w:val="0"/>
          <w:kern w:val="22"/>
        </w:rPr>
        <w:t xml:space="preserve">, </w:t>
      </w:r>
      <w:r w:rsidR="00694FE4" w:rsidRPr="003A739F">
        <w:rPr>
          <w:snapToGrid w:val="0"/>
          <w:kern w:val="22"/>
        </w:rPr>
        <w:t xml:space="preserve">the </w:t>
      </w:r>
      <w:r w:rsidR="009E5FE4" w:rsidRPr="003A739F">
        <w:rPr>
          <w:snapToGrid w:val="0"/>
          <w:kern w:val="22"/>
        </w:rPr>
        <w:t xml:space="preserve">elements of advice received from </w:t>
      </w:r>
      <w:r w:rsidR="00B400D0" w:rsidRPr="003A739F">
        <w:rPr>
          <w:snapToGrid w:val="0"/>
          <w:kern w:val="22"/>
        </w:rPr>
        <w:t xml:space="preserve">biodiversity-related conventions, namely </w:t>
      </w:r>
      <w:r w:rsidR="009E5FE4" w:rsidRPr="003A739F">
        <w:rPr>
          <w:snapToGrid w:val="0"/>
          <w:kern w:val="22"/>
        </w:rPr>
        <w:t>the Convention on the Conservation of Migrato</w:t>
      </w:r>
      <w:r w:rsidR="00694FE4" w:rsidRPr="003A739F">
        <w:rPr>
          <w:snapToGrid w:val="0"/>
          <w:kern w:val="22"/>
        </w:rPr>
        <w:t>ry Species of Wild Animals</w:t>
      </w:r>
      <w:r w:rsidR="00155537" w:rsidRPr="003A739F">
        <w:rPr>
          <w:snapToGrid w:val="0"/>
          <w:kern w:val="22"/>
        </w:rPr>
        <w:t>, the Convention on Wetlands of International Importance</w:t>
      </w:r>
      <w:r w:rsidR="009E5FE4" w:rsidRPr="003A739F">
        <w:rPr>
          <w:snapToGrid w:val="0"/>
          <w:kern w:val="22"/>
        </w:rPr>
        <w:t xml:space="preserve"> </w:t>
      </w:r>
      <w:r w:rsidR="00694FE4" w:rsidRPr="003A739F">
        <w:rPr>
          <w:snapToGrid w:val="0"/>
          <w:kern w:val="22"/>
        </w:rPr>
        <w:t xml:space="preserve">Especially as </w:t>
      </w:r>
      <w:r w:rsidR="00694FE4" w:rsidRPr="003A739F">
        <w:rPr>
          <w:bCs/>
          <w:iCs/>
          <w:snapToGrid w:val="0"/>
          <w:kern w:val="22"/>
        </w:rPr>
        <w:t>Waterfowl Habitat</w:t>
      </w:r>
      <w:r w:rsidR="00694FE4" w:rsidRPr="003A739F">
        <w:rPr>
          <w:snapToGrid w:val="0"/>
          <w:kern w:val="22"/>
        </w:rPr>
        <w:t xml:space="preserve"> </w:t>
      </w:r>
      <w:r w:rsidR="00A2590C" w:rsidRPr="003A739F">
        <w:rPr>
          <w:snapToGrid w:val="0"/>
          <w:kern w:val="22"/>
        </w:rPr>
        <w:t xml:space="preserve">(Convention on Wetlands) </w:t>
      </w:r>
      <w:r w:rsidR="00277D23" w:rsidRPr="003A739F">
        <w:rPr>
          <w:snapToGrid w:val="0"/>
          <w:kern w:val="22"/>
        </w:rPr>
        <w:t xml:space="preserve">and </w:t>
      </w:r>
      <w:r w:rsidR="009E5FE4" w:rsidRPr="003A739F">
        <w:rPr>
          <w:snapToGrid w:val="0"/>
          <w:kern w:val="22"/>
        </w:rPr>
        <w:t>the International Treaty on Plant Genetic Resources f</w:t>
      </w:r>
      <w:r w:rsidR="00694FE4" w:rsidRPr="003A739F">
        <w:rPr>
          <w:snapToGrid w:val="0"/>
          <w:kern w:val="22"/>
        </w:rPr>
        <w:t>or Food and Agriculture</w:t>
      </w:r>
      <w:r w:rsidR="00A2590C" w:rsidRPr="003A739F">
        <w:rPr>
          <w:snapToGrid w:val="0"/>
          <w:kern w:val="22"/>
        </w:rPr>
        <w:t xml:space="preserve"> (ITPGRFA)</w:t>
      </w:r>
      <w:r w:rsidR="00431D0A" w:rsidRPr="003A739F">
        <w:rPr>
          <w:snapToGrid w:val="0"/>
          <w:kern w:val="22"/>
        </w:rPr>
        <w:t xml:space="preserve"> and background information relevant to their formulation</w:t>
      </w:r>
      <w:r w:rsidR="009E5FE4" w:rsidRPr="003A739F">
        <w:rPr>
          <w:snapToGrid w:val="0"/>
          <w:kern w:val="22"/>
        </w:rPr>
        <w:t>.</w:t>
      </w:r>
      <w:r w:rsidR="00B400D0" w:rsidRPr="003A739F">
        <w:rPr>
          <w:snapToGrid w:val="0"/>
          <w:kern w:val="22"/>
        </w:rPr>
        <w:t xml:space="preserve"> The submissions receive</w:t>
      </w:r>
      <w:r w:rsidR="00431D0A" w:rsidRPr="003A739F">
        <w:rPr>
          <w:snapToGrid w:val="0"/>
          <w:kern w:val="22"/>
        </w:rPr>
        <w:t>d and full text of the decision or resolution</w:t>
      </w:r>
      <w:r w:rsidR="00B400D0" w:rsidRPr="003A739F">
        <w:rPr>
          <w:snapToGrid w:val="0"/>
          <w:kern w:val="22"/>
        </w:rPr>
        <w:t xml:space="preserve"> of the convention bodies are provided in </w:t>
      </w:r>
      <w:r w:rsidR="008D4349" w:rsidRPr="003A739F">
        <w:rPr>
          <w:snapToGrid w:val="0"/>
          <w:kern w:val="22"/>
        </w:rPr>
        <w:t xml:space="preserve">an information </w:t>
      </w:r>
      <w:r w:rsidR="00B400D0" w:rsidRPr="003A739F">
        <w:rPr>
          <w:snapToGrid w:val="0"/>
          <w:kern w:val="22"/>
        </w:rPr>
        <w:t>document CBD/SBI/03/INF</w:t>
      </w:r>
      <w:r w:rsidR="00F12C90" w:rsidRPr="003A739F">
        <w:rPr>
          <w:snapToGrid w:val="0"/>
          <w:kern w:val="22"/>
        </w:rPr>
        <w:t>/23.</w:t>
      </w:r>
    </w:p>
    <w:p w14:paraId="64B81B77" w14:textId="4130D056" w:rsidR="006C1B15" w:rsidRPr="003A739F" w:rsidRDefault="006C1B15" w:rsidP="003A739F">
      <w:pPr>
        <w:numPr>
          <w:ilvl w:val="0"/>
          <w:numId w:val="11"/>
        </w:numPr>
        <w:suppressLineNumbers/>
        <w:tabs>
          <w:tab w:val="clear" w:pos="360"/>
        </w:tabs>
        <w:suppressAutoHyphens/>
        <w:adjustRightInd w:val="0"/>
        <w:snapToGrid w:val="0"/>
        <w:spacing w:before="120" w:after="120"/>
        <w:rPr>
          <w:snapToGrid w:val="0"/>
          <w:kern w:val="22"/>
        </w:rPr>
      </w:pPr>
      <w:r w:rsidRPr="003A739F">
        <w:rPr>
          <w:snapToGrid w:val="0"/>
          <w:kern w:val="22"/>
        </w:rPr>
        <w:t xml:space="preserve">The potential synergies between biodiversity-related conventions, including elements of advice received, </w:t>
      </w:r>
      <w:r w:rsidR="00BF4A71" w:rsidRPr="003A739F">
        <w:rPr>
          <w:snapToGrid w:val="0"/>
          <w:kern w:val="22"/>
        </w:rPr>
        <w:t>are</w:t>
      </w:r>
      <w:r w:rsidRPr="003A739F">
        <w:rPr>
          <w:snapToGrid w:val="0"/>
          <w:kern w:val="22"/>
        </w:rPr>
        <w:t xml:space="preserve"> considered in </w:t>
      </w:r>
      <w:r w:rsidR="00780F3D" w:rsidRPr="003A739F">
        <w:rPr>
          <w:snapToGrid w:val="0"/>
          <w:kern w:val="22"/>
        </w:rPr>
        <w:t>document CBD/SBI/3/6</w:t>
      </w:r>
      <w:r w:rsidRPr="003A739F">
        <w:rPr>
          <w:snapToGrid w:val="0"/>
          <w:kern w:val="22"/>
        </w:rPr>
        <w:t>, consistent with decision XII/30</w:t>
      </w:r>
      <w:r w:rsidR="00701E5E" w:rsidRPr="003A739F">
        <w:rPr>
          <w:snapToGrid w:val="0"/>
          <w:kern w:val="22"/>
        </w:rPr>
        <w:t>, paragraph 2 (a)</w:t>
      </w:r>
      <w:r w:rsidRPr="003A739F">
        <w:rPr>
          <w:snapToGrid w:val="0"/>
          <w:kern w:val="22"/>
        </w:rPr>
        <w:t xml:space="preserve">, and reflected in </w:t>
      </w:r>
      <w:r w:rsidR="00277D23" w:rsidRPr="003A739F">
        <w:rPr>
          <w:snapToGrid w:val="0"/>
          <w:kern w:val="22"/>
        </w:rPr>
        <w:t xml:space="preserve">the considerations concerning </w:t>
      </w:r>
      <w:r w:rsidRPr="003A739F">
        <w:rPr>
          <w:snapToGrid w:val="0"/>
          <w:kern w:val="22"/>
        </w:rPr>
        <w:t>the four-year outcome-oriented framework of programme priorities.</w:t>
      </w:r>
    </w:p>
    <w:p w14:paraId="2DC72F5E" w14:textId="2FB3E0C8" w:rsidR="00920CCD" w:rsidRPr="003A739F" w:rsidRDefault="008A14E0" w:rsidP="003A739F">
      <w:pPr>
        <w:keepLines/>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rPr>
        <w:t xml:space="preserve">It is possible that further </w:t>
      </w:r>
      <w:r w:rsidR="00BF4A71" w:rsidRPr="003A739F">
        <w:rPr>
          <w:snapToGrid w:val="0"/>
          <w:kern w:val="22"/>
        </w:rPr>
        <w:t xml:space="preserve">elements of </w:t>
      </w:r>
      <w:r w:rsidRPr="003A739F">
        <w:rPr>
          <w:snapToGrid w:val="0"/>
          <w:kern w:val="22"/>
        </w:rPr>
        <w:t xml:space="preserve">advice may be provided by the Commission on Phytosanitary Measures, the World Heritage Commission </w:t>
      </w:r>
      <w:r w:rsidR="00BF4A71" w:rsidRPr="003A739F">
        <w:rPr>
          <w:snapToGrid w:val="0"/>
          <w:kern w:val="22"/>
        </w:rPr>
        <w:t xml:space="preserve">and the </w:t>
      </w:r>
      <w:r w:rsidRPr="003A739F">
        <w:rPr>
          <w:snapToGrid w:val="0"/>
          <w:kern w:val="22"/>
        </w:rPr>
        <w:t>International Whaling Commission, should their meetings</w:t>
      </w:r>
      <w:r w:rsidR="00BF4A71" w:rsidRPr="003A739F">
        <w:rPr>
          <w:snapToGrid w:val="0"/>
          <w:kern w:val="22"/>
        </w:rPr>
        <w:t>,</w:t>
      </w:r>
      <w:r w:rsidRPr="003A739F">
        <w:rPr>
          <w:snapToGrid w:val="0"/>
          <w:kern w:val="22"/>
        </w:rPr>
        <w:t xml:space="preserve"> as currently scheduled</w:t>
      </w:r>
      <w:r w:rsidR="00BF4A71" w:rsidRPr="003A739F">
        <w:rPr>
          <w:snapToGrid w:val="0"/>
          <w:kern w:val="22"/>
        </w:rPr>
        <w:t>,</w:t>
      </w:r>
      <w:r w:rsidRPr="003A739F">
        <w:rPr>
          <w:snapToGrid w:val="0"/>
          <w:kern w:val="22"/>
        </w:rPr>
        <w:t xml:space="preserve"> take place prior to the fifteenth meeting of the Conference of the Parties to the Convention on Biological Diversity.</w:t>
      </w:r>
      <w:r w:rsidRPr="003A739F">
        <w:rPr>
          <w:rStyle w:val="FootnoteReference"/>
          <w:snapToGrid w:val="0"/>
          <w:kern w:val="22"/>
        </w:rPr>
        <w:footnoteReference w:id="3"/>
      </w:r>
      <w:bookmarkStart w:id="1" w:name="_Toc456693483"/>
    </w:p>
    <w:p w14:paraId="04304E37" w14:textId="68796A6B" w:rsidR="00920CCD" w:rsidRPr="003A739F" w:rsidRDefault="00EE7646" w:rsidP="003A739F">
      <w:pPr>
        <w:pStyle w:val="Heading1"/>
        <w:suppressLineNumbers/>
        <w:tabs>
          <w:tab w:val="clear" w:pos="720"/>
        </w:tabs>
        <w:suppressAutoHyphens/>
        <w:adjustRightInd w:val="0"/>
        <w:snapToGrid w:val="0"/>
        <w:spacing w:before="120"/>
        <w:ind w:left="992" w:hanging="567"/>
        <w:jc w:val="left"/>
        <w:rPr>
          <w:rFonts w:ascii="Times New Roman Bold" w:eastAsia="Calibri" w:hAnsi="Times New Roman Bold"/>
          <w:spacing w:val="-5"/>
          <w:kern w:val="22"/>
        </w:rPr>
      </w:pPr>
      <w:r w:rsidRPr="003A739F">
        <w:rPr>
          <w:rFonts w:ascii="Times New Roman Bold" w:hAnsi="Times New Roman Bold"/>
          <w:spacing w:val="-5"/>
          <w:kern w:val="22"/>
          <w:szCs w:val="22"/>
        </w:rPr>
        <w:lastRenderedPageBreak/>
        <w:t>II.</w:t>
      </w:r>
      <w:r w:rsidRPr="003A739F">
        <w:rPr>
          <w:rFonts w:ascii="Times New Roman Bold" w:hAnsi="Times New Roman Bold"/>
          <w:spacing w:val="-5"/>
          <w:kern w:val="22"/>
          <w:szCs w:val="22"/>
        </w:rPr>
        <w:tab/>
      </w:r>
      <w:r w:rsidR="00920CCD" w:rsidRPr="003A739F">
        <w:rPr>
          <w:rFonts w:ascii="Times New Roman Bold" w:hAnsi="Times New Roman Bold"/>
          <w:spacing w:val="-5"/>
          <w:kern w:val="22"/>
          <w:szCs w:val="22"/>
        </w:rPr>
        <w:t xml:space="preserve">Convention on Migratory Species of Wild Animals: Resolution of the Standing Committee with regard to elements of advice concerning the funding of national priorities for </w:t>
      </w:r>
      <w:r w:rsidR="00D4125E" w:rsidRPr="003A739F">
        <w:rPr>
          <w:rFonts w:ascii="Times New Roman Bold" w:hAnsi="Times New Roman Bold"/>
          <w:snapToGrid w:val="0"/>
          <w:spacing w:val="-5"/>
          <w:kern w:val="22"/>
        </w:rPr>
        <w:t xml:space="preserve">the Convention on the Conservation of Migratory Species of Wild Animals </w:t>
      </w:r>
      <w:r w:rsidR="00920CCD" w:rsidRPr="003A739F">
        <w:rPr>
          <w:rFonts w:ascii="Times New Roman Bold" w:hAnsi="Times New Roman Bold"/>
          <w:spacing w:val="-5"/>
          <w:kern w:val="22"/>
          <w:szCs w:val="22"/>
        </w:rPr>
        <w:t>for the development of the four-year outcome-oriented framework of programme priorities for the eighth replenishment period of its Trust Fund</w:t>
      </w:r>
    </w:p>
    <w:p w14:paraId="4C354249" w14:textId="36B0E963" w:rsidR="00920CCD" w:rsidRPr="003A739F" w:rsidRDefault="00920CCD"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The Conference of the Parties to </w:t>
      </w:r>
      <w:r w:rsidR="006537CC">
        <w:rPr>
          <w:rFonts w:eastAsia="Calibri"/>
          <w:bCs/>
          <w:iCs/>
          <w:kern w:val="22"/>
          <w:szCs w:val="22"/>
        </w:rPr>
        <w:t>the Convention on Migratory Species</w:t>
      </w:r>
      <w:r w:rsidRPr="003A739F">
        <w:rPr>
          <w:rFonts w:eastAsia="Calibri"/>
          <w:bCs/>
          <w:iCs/>
          <w:kern w:val="22"/>
          <w:szCs w:val="22"/>
        </w:rPr>
        <w:t xml:space="preserve">, through Resolution 10.25 (Rev.COP12), delegated to the </w:t>
      </w:r>
      <w:r w:rsidR="00474D83">
        <w:rPr>
          <w:rFonts w:eastAsia="Calibri"/>
          <w:bCs/>
          <w:iCs/>
          <w:kern w:val="22"/>
          <w:szCs w:val="22"/>
        </w:rPr>
        <w:t>its</w:t>
      </w:r>
      <w:r w:rsidRPr="003A739F">
        <w:rPr>
          <w:rFonts w:eastAsia="Calibri"/>
          <w:bCs/>
          <w:iCs/>
          <w:kern w:val="22"/>
          <w:szCs w:val="22"/>
        </w:rPr>
        <w:t xml:space="preserve"> Standing Committee the authority to develop guidance on priorities for the GEF and requested the </w:t>
      </w:r>
      <w:r w:rsidR="006537CC">
        <w:rPr>
          <w:rFonts w:eastAsia="Calibri"/>
          <w:bCs/>
          <w:iCs/>
          <w:kern w:val="22"/>
          <w:szCs w:val="22"/>
        </w:rPr>
        <w:t>Convention on Migratory Species</w:t>
      </w:r>
      <w:r w:rsidRPr="003A739F">
        <w:rPr>
          <w:rFonts w:eastAsia="Calibri"/>
          <w:bCs/>
          <w:iCs/>
          <w:kern w:val="22"/>
          <w:szCs w:val="22"/>
        </w:rPr>
        <w:t xml:space="preserve"> Secretariat to convey this advice on its behalf. This Resolution continues in force. For Parties</w:t>
      </w:r>
      <w:r w:rsidR="00E92C54" w:rsidRPr="00E92C54">
        <w:rPr>
          <w:rFonts w:eastAsia="Calibri"/>
          <w:bCs/>
          <w:iCs/>
          <w:kern w:val="22"/>
          <w:szCs w:val="22"/>
        </w:rPr>
        <w:t xml:space="preserve"> </w:t>
      </w:r>
      <w:r w:rsidR="007D2F03">
        <w:rPr>
          <w:rFonts w:eastAsia="Calibri"/>
          <w:bCs/>
          <w:iCs/>
          <w:kern w:val="22"/>
          <w:szCs w:val="22"/>
        </w:rPr>
        <w:t xml:space="preserve">to </w:t>
      </w:r>
      <w:r w:rsidR="00E92C54">
        <w:rPr>
          <w:rFonts w:eastAsia="Calibri"/>
          <w:bCs/>
          <w:iCs/>
          <w:kern w:val="22"/>
          <w:szCs w:val="22"/>
        </w:rPr>
        <w:t>the Convention on Migratory Species</w:t>
      </w:r>
      <w:r w:rsidRPr="003A739F">
        <w:rPr>
          <w:rFonts w:eastAsia="Calibri"/>
          <w:bCs/>
          <w:iCs/>
          <w:kern w:val="22"/>
          <w:szCs w:val="22"/>
        </w:rPr>
        <w:t xml:space="preserve">, therefore, the guidance developed </w:t>
      </w:r>
      <w:r w:rsidR="00431D0A" w:rsidRPr="003A739F">
        <w:rPr>
          <w:rFonts w:eastAsia="Calibri"/>
          <w:bCs/>
          <w:iCs/>
          <w:kern w:val="22"/>
          <w:szCs w:val="22"/>
        </w:rPr>
        <w:t xml:space="preserve">by its Standing Committee </w:t>
      </w:r>
      <w:r w:rsidRPr="003A739F">
        <w:rPr>
          <w:rFonts w:eastAsia="Calibri"/>
          <w:bCs/>
          <w:iCs/>
          <w:kern w:val="22"/>
          <w:szCs w:val="22"/>
        </w:rPr>
        <w:t xml:space="preserve">meets the requirements of </w:t>
      </w:r>
      <w:r w:rsidR="001B7CE3" w:rsidRPr="003A739F">
        <w:rPr>
          <w:rFonts w:eastAsia="Calibri"/>
          <w:bCs/>
          <w:iCs/>
          <w:kern w:val="22"/>
          <w:szCs w:val="22"/>
        </w:rPr>
        <w:t>d</w:t>
      </w:r>
      <w:r w:rsidRPr="003A739F">
        <w:rPr>
          <w:rFonts w:eastAsia="Calibri"/>
          <w:bCs/>
          <w:iCs/>
          <w:kern w:val="22"/>
          <w:szCs w:val="22"/>
        </w:rPr>
        <w:t>ecision XII/30</w:t>
      </w:r>
      <w:r w:rsidR="001B7CE3" w:rsidRPr="003A739F">
        <w:rPr>
          <w:rFonts w:eastAsia="Calibri"/>
          <w:bCs/>
          <w:iCs/>
          <w:kern w:val="22"/>
          <w:szCs w:val="22"/>
        </w:rPr>
        <w:t> </w:t>
      </w:r>
      <w:r w:rsidRPr="003A739F">
        <w:rPr>
          <w:rFonts w:eastAsia="Calibri"/>
          <w:bCs/>
          <w:iCs/>
          <w:kern w:val="22"/>
          <w:szCs w:val="22"/>
        </w:rPr>
        <w:t>A</w:t>
      </w:r>
      <w:r w:rsidR="001D792A">
        <w:rPr>
          <w:rFonts w:eastAsia="Calibri"/>
          <w:bCs/>
          <w:iCs/>
          <w:kern w:val="22"/>
          <w:szCs w:val="22"/>
        </w:rPr>
        <w:t>,</w:t>
      </w:r>
      <w:r w:rsidRPr="003A739F">
        <w:rPr>
          <w:rFonts w:eastAsia="Calibri"/>
          <w:bCs/>
          <w:iCs/>
          <w:kern w:val="22"/>
          <w:szCs w:val="22"/>
        </w:rPr>
        <w:t xml:space="preserve"> </w:t>
      </w:r>
      <w:r w:rsidR="001D792A" w:rsidRPr="00DB6D8E">
        <w:rPr>
          <w:rFonts w:eastAsia="Calibri"/>
          <w:bCs/>
          <w:iCs/>
          <w:kern w:val="22"/>
          <w:szCs w:val="22"/>
        </w:rPr>
        <w:t>paragraph</w:t>
      </w:r>
      <w:r w:rsidR="001D792A">
        <w:rPr>
          <w:rFonts w:eastAsia="Calibri"/>
          <w:bCs/>
          <w:iCs/>
          <w:kern w:val="22"/>
          <w:szCs w:val="22"/>
        </w:rPr>
        <w:t> </w:t>
      </w:r>
      <w:r w:rsidR="001D792A" w:rsidRPr="00DB6D8E">
        <w:rPr>
          <w:rFonts w:eastAsia="Calibri"/>
          <w:bCs/>
          <w:iCs/>
          <w:kern w:val="22"/>
          <w:szCs w:val="22"/>
        </w:rPr>
        <w:t>2</w:t>
      </w:r>
      <w:r w:rsidR="001D792A">
        <w:rPr>
          <w:rFonts w:eastAsia="Calibri"/>
          <w:bCs/>
          <w:iCs/>
          <w:kern w:val="22"/>
          <w:szCs w:val="22"/>
        </w:rPr>
        <w:t xml:space="preserve">, </w:t>
      </w:r>
      <w:r w:rsidRPr="003A739F">
        <w:rPr>
          <w:rFonts w:eastAsia="Calibri"/>
          <w:bCs/>
          <w:iCs/>
          <w:kern w:val="22"/>
          <w:szCs w:val="22"/>
        </w:rPr>
        <w:t xml:space="preserve">and </w:t>
      </w:r>
      <w:r w:rsidR="001B7CE3" w:rsidRPr="003A739F">
        <w:rPr>
          <w:rFonts w:eastAsia="Calibri"/>
          <w:bCs/>
          <w:iCs/>
          <w:kern w:val="22"/>
          <w:szCs w:val="22"/>
        </w:rPr>
        <w:t>d</w:t>
      </w:r>
      <w:r w:rsidRPr="003A739F">
        <w:rPr>
          <w:rFonts w:eastAsia="Calibri"/>
          <w:bCs/>
          <w:iCs/>
          <w:kern w:val="22"/>
          <w:szCs w:val="22"/>
        </w:rPr>
        <w:t>ecision XIII/21</w:t>
      </w:r>
      <w:r w:rsidR="001B7CE3" w:rsidRPr="003A739F">
        <w:rPr>
          <w:rFonts w:eastAsia="Calibri"/>
          <w:bCs/>
          <w:iCs/>
          <w:kern w:val="22"/>
          <w:szCs w:val="22"/>
        </w:rPr>
        <w:t> </w:t>
      </w:r>
      <w:r w:rsidRPr="003A739F">
        <w:rPr>
          <w:rFonts w:eastAsia="Calibri"/>
          <w:bCs/>
          <w:iCs/>
          <w:kern w:val="22"/>
          <w:szCs w:val="22"/>
        </w:rPr>
        <w:t>B</w:t>
      </w:r>
      <w:r w:rsidR="001D792A">
        <w:rPr>
          <w:rFonts w:eastAsia="Calibri"/>
          <w:bCs/>
          <w:iCs/>
          <w:kern w:val="22"/>
          <w:szCs w:val="22"/>
        </w:rPr>
        <w:t>,</w:t>
      </w:r>
      <w:r w:rsidR="001D792A" w:rsidRPr="001D792A">
        <w:rPr>
          <w:rFonts w:eastAsia="Calibri"/>
          <w:bCs/>
          <w:iCs/>
          <w:kern w:val="22"/>
          <w:szCs w:val="22"/>
        </w:rPr>
        <w:t xml:space="preserve"> </w:t>
      </w:r>
      <w:r w:rsidR="001D792A" w:rsidRPr="00F503DA">
        <w:rPr>
          <w:rFonts w:eastAsia="Calibri"/>
          <w:bCs/>
          <w:iCs/>
          <w:kern w:val="22"/>
          <w:szCs w:val="22"/>
        </w:rPr>
        <w:t>paragraph</w:t>
      </w:r>
      <w:r w:rsidR="001D792A">
        <w:rPr>
          <w:rFonts w:eastAsia="Calibri"/>
          <w:bCs/>
          <w:iCs/>
          <w:kern w:val="22"/>
          <w:szCs w:val="22"/>
        </w:rPr>
        <w:t> </w:t>
      </w:r>
      <w:r w:rsidR="001D792A" w:rsidRPr="00F503DA">
        <w:rPr>
          <w:rFonts w:eastAsia="Calibri"/>
          <w:bCs/>
          <w:iCs/>
          <w:kern w:val="22"/>
          <w:szCs w:val="22"/>
        </w:rPr>
        <w:t>10</w:t>
      </w:r>
      <w:r w:rsidR="001D792A">
        <w:rPr>
          <w:rFonts w:eastAsia="Calibri"/>
          <w:bCs/>
          <w:iCs/>
          <w:kern w:val="22"/>
          <w:szCs w:val="22"/>
        </w:rPr>
        <w:t>,</w:t>
      </w:r>
      <w:r w:rsidR="001B7CE3" w:rsidRPr="003A739F">
        <w:rPr>
          <w:rFonts w:eastAsia="Calibri"/>
          <w:bCs/>
          <w:iCs/>
          <w:kern w:val="22"/>
          <w:szCs w:val="22"/>
        </w:rPr>
        <w:t xml:space="preserve"> of the Convention on Biological Diversity</w:t>
      </w:r>
      <w:r w:rsidRPr="003A739F">
        <w:rPr>
          <w:rFonts w:eastAsia="Calibri"/>
          <w:bCs/>
          <w:iCs/>
          <w:kern w:val="22"/>
          <w:szCs w:val="22"/>
        </w:rPr>
        <w:t>.</w:t>
      </w:r>
      <w:r w:rsidR="00431D0A" w:rsidRPr="003A739F">
        <w:rPr>
          <w:rFonts w:eastAsia="Calibri"/>
          <w:bCs/>
          <w:iCs/>
          <w:kern w:val="22"/>
          <w:szCs w:val="22"/>
        </w:rPr>
        <w:t xml:space="preserve"> </w:t>
      </w:r>
      <w:r w:rsidRPr="003A739F">
        <w:rPr>
          <w:rFonts w:eastAsia="Calibri"/>
          <w:bCs/>
          <w:iCs/>
          <w:kern w:val="22"/>
          <w:szCs w:val="22"/>
        </w:rPr>
        <w:t xml:space="preserve">Accordingly, the Chair of the </w:t>
      </w:r>
      <w:r w:rsidR="006537CC">
        <w:rPr>
          <w:rFonts w:eastAsia="Calibri"/>
          <w:bCs/>
          <w:iCs/>
          <w:kern w:val="22"/>
          <w:szCs w:val="22"/>
        </w:rPr>
        <w:t>Convention on Migratory Species</w:t>
      </w:r>
      <w:r w:rsidRPr="003A739F">
        <w:rPr>
          <w:rFonts w:eastAsia="Calibri"/>
          <w:bCs/>
          <w:iCs/>
          <w:kern w:val="22"/>
          <w:szCs w:val="22"/>
        </w:rPr>
        <w:t xml:space="preserve"> Standing Committee initiated a process to invite inputs from Parties on their national priorities through the respective regional representatives of the Standing Committee. The Secretariat issued a notification to all Parties to support this process.</w:t>
      </w:r>
    </w:p>
    <w:p w14:paraId="323CCE1A" w14:textId="2D17FD21"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Based on that process, t</w:t>
      </w:r>
      <w:r w:rsidR="00920CCD" w:rsidRPr="003A739F">
        <w:rPr>
          <w:rFonts w:eastAsia="Calibri"/>
          <w:bCs/>
          <w:iCs/>
          <w:kern w:val="22"/>
          <w:szCs w:val="22"/>
        </w:rPr>
        <w:t xml:space="preserve">he Standing Committee adopted a </w:t>
      </w:r>
      <w:r w:rsidR="00CC6EAB">
        <w:rPr>
          <w:rFonts w:eastAsia="Calibri"/>
          <w:bCs/>
          <w:iCs/>
          <w:kern w:val="22"/>
          <w:szCs w:val="22"/>
        </w:rPr>
        <w:t>r</w:t>
      </w:r>
      <w:r w:rsidR="00920CCD" w:rsidRPr="003A739F">
        <w:rPr>
          <w:rFonts w:eastAsia="Calibri"/>
          <w:bCs/>
          <w:iCs/>
          <w:kern w:val="22"/>
          <w:szCs w:val="22"/>
        </w:rPr>
        <w:t xml:space="preserve">esolution with regard to elements of advice concerning the funding of national priorities for </w:t>
      </w:r>
      <w:r w:rsidR="006537CC">
        <w:rPr>
          <w:rFonts w:eastAsia="Calibri"/>
          <w:bCs/>
          <w:iCs/>
          <w:kern w:val="22"/>
          <w:szCs w:val="22"/>
        </w:rPr>
        <w:t>the Convention on Migratory Species</w:t>
      </w:r>
      <w:r w:rsidR="00920CCD" w:rsidRPr="003A739F">
        <w:rPr>
          <w:rFonts w:eastAsia="Calibri"/>
          <w:bCs/>
          <w:iCs/>
          <w:kern w:val="22"/>
          <w:szCs w:val="22"/>
        </w:rPr>
        <w:t xml:space="preserve"> for the development of the four-year outcome-oriented framework of programme priorities for the eighth replenishment period of its Trust Fund (GEF-8).</w:t>
      </w:r>
      <w:r w:rsidRPr="003A739F">
        <w:rPr>
          <w:rFonts w:eastAsia="Calibri"/>
          <w:bCs/>
          <w:iCs/>
          <w:kern w:val="22"/>
          <w:szCs w:val="22"/>
        </w:rPr>
        <w:t xml:space="preserve"> </w:t>
      </w:r>
      <w:r w:rsidR="00A2590C" w:rsidRPr="003A739F">
        <w:rPr>
          <w:rFonts w:eastAsia="Calibri"/>
          <w:bCs/>
          <w:iCs/>
          <w:kern w:val="22"/>
          <w:szCs w:val="22"/>
        </w:rPr>
        <w:t>I</w:t>
      </w:r>
      <w:r w:rsidR="00EE33BA" w:rsidRPr="003A739F">
        <w:rPr>
          <w:rFonts w:eastAsia="Calibri"/>
          <w:bCs/>
          <w:iCs/>
          <w:kern w:val="22"/>
          <w:szCs w:val="22"/>
        </w:rPr>
        <w:t xml:space="preserve">n </w:t>
      </w:r>
      <w:r w:rsidRPr="003A739F">
        <w:rPr>
          <w:rFonts w:eastAsia="Calibri"/>
          <w:bCs/>
          <w:iCs/>
          <w:kern w:val="22"/>
          <w:szCs w:val="22"/>
        </w:rPr>
        <w:t>paragraph</w:t>
      </w:r>
      <w:r w:rsidR="006E7580" w:rsidRPr="003A739F">
        <w:rPr>
          <w:rFonts w:eastAsia="Calibri"/>
          <w:bCs/>
          <w:iCs/>
          <w:kern w:val="22"/>
          <w:szCs w:val="22"/>
        </w:rPr>
        <w:t> </w:t>
      </w:r>
      <w:r w:rsidRPr="003A739F">
        <w:rPr>
          <w:rFonts w:eastAsia="Calibri"/>
          <w:bCs/>
          <w:iCs/>
          <w:kern w:val="22"/>
          <w:szCs w:val="22"/>
        </w:rPr>
        <w:t>4 of that</w:t>
      </w:r>
      <w:r w:rsidR="00EE33BA" w:rsidRPr="003A739F">
        <w:rPr>
          <w:rFonts w:eastAsia="Calibri"/>
          <w:bCs/>
          <w:iCs/>
          <w:kern w:val="22"/>
          <w:szCs w:val="22"/>
        </w:rPr>
        <w:t xml:space="preserve"> resolution, the Standing Committee invited the third meeting of the </w:t>
      </w:r>
      <w:r w:rsidR="00920CCD" w:rsidRPr="003A739F">
        <w:rPr>
          <w:rFonts w:eastAsia="Calibri"/>
          <w:bCs/>
          <w:iCs/>
          <w:kern w:val="22"/>
          <w:szCs w:val="22"/>
        </w:rPr>
        <w:t>Subsidiary Body on Implementa</w:t>
      </w:r>
      <w:r w:rsidR="00EE33BA" w:rsidRPr="003A739F">
        <w:rPr>
          <w:rFonts w:eastAsia="Calibri"/>
          <w:bCs/>
          <w:iCs/>
          <w:kern w:val="22"/>
          <w:szCs w:val="22"/>
        </w:rPr>
        <w:t xml:space="preserve">tion and subsequently </w:t>
      </w:r>
      <w:r w:rsidR="006E7580" w:rsidRPr="003A739F">
        <w:rPr>
          <w:rFonts w:eastAsia="Calibri"/>
          <w:bCs/>
          <w:iCs/>
          <w:kern w:val="22"/>
          <w:szCs w:val="22"/>
        </w:rPr>
        <w:t>the Conference of the Parties, at its fifteenth meeting,</w:t>
      </w:r>
      <w:r w:rsidR="00920CCD" w:rsidRPr="003A739F">
        <w:rPr>
          <w:rFonts w:eastAsia="Calibri"/>
          <w:bCs/>
          <w:iCs/>
          <w:kern w:val="22"/>
          <w:szCs w:val="22"/>
        </w:rPr>
        <w:t xml:space="preserve"> to consider the following elements in the development of the four-year outcome-oriented framework of programme priorities for GEF-8</w:t>
      </w:r>
      <w:r w:rsidRPr="003A739F">
        <w:rPr>
          <w:rFonts w:eastAsia="Calibri"/>
          <w:bCs/>
          <w:iCs/>
          <w:kern w:val="22"/>
          <w:szCs w:val="22"/>
        </w:rPr>
        <w:t>, noting that these</w:t>
      </w:r>
      <w:r w:rsidR="00920CCD" w:rsidRPr="003A739F">
        <w:rPr>
          <w:rFonts w:eastAsia="Calibri"/>
          <w:bCs/>
          <w:iCs/>
          <w:kern w:val="22"/>
          <w:szCs w:val="22"/>
        </w:rPr>
        <w:t xml:space="preserve"> elements, which derive from the Strategic Plan for Migratory Species 2015-2023 (Resolution 11.2 (Rev.COP12), the Gandhinagar Declaration (Resolution 13.1) and other key </w:t>
      </w:r>
      <w:r w:rsidR="009B60D5">
        <w:rPr>
          <w:rFonts w:eastAsia="Calibri"/>
          <w:bCs/>
          <w:iCs/>
          <w:kern w:val="22"/>
          <w:szCs w:val="22"/>
        </w:rPr>
        <w:t>r</w:t>
      </w:r>
      <w:r w:rsidR="009B60D5" w:rsidRPr="00F503DA">
        <w:rPr>
          <w:rFonts w:eastAsia="Calibri"/>
          <w:bCs/>
          <w:iCs/>
          <w:kern w:val="22"/>
          <w:szCs w:val="22"/>
        </w:rPr>
        <w:t>esolutions</w:t>
      </w:r>
      <w:r w:rsidR="009B60D5" w:rsidRPr="001B7FF9" w:rsidDel="006537CC">
        <w:rPr>
          <w:rFonts w:eastAsia="Calibri"/>
          <w:bCs/>
          <w:iCs/>
          <w:kern w:val="22"/>
          <w:szCs w:val="22"/>
        </w:rPr>
        <w:t xml:space="preserve"> </w:t>
      </w:r>
      <w:r w:rsidR="00E632D9">
        <w:rPr>
          <w:rFonts w:eastAsia="Calibri"/>
          <w:bCs/>
          <w:iCs/>
          <w:kern w:val="22"/>
          <w:szCs w:val="22"/>
        </w:rPr>
        <w:t xml:space="preserve">of the Conference of the Parties to </w:t>
      </w:r>
      <w:r w:rsidR="006537CC">
        <w:rPr>
          <w:rFonts w:eastAsia="Calibri"/>
          <w:bCs/>
          <w:iCs/>
          <w:kern w:val="22"/>
          <w:szCs w:val="22"/>
        </w:rPr>
        <w:t>the Convention on Migratory Species</w:t>
      </w:r>
      <w:r w:rsidR="00920CCD" w:rsidRPr="003A739F">
        <w:rPr>
          <w:rFonts w:eastAsia="Calibri"/>
          <w:bCs/>
          <w:iCs/>
          <w:kern w:val="22"/>
          <w:szCs w:val="22"/>
        </w:rPr>
        <w:t xml:space="preserve">, support the common objectives of </w:t>
      </w:r>
      <w:r w:rsidR="006537CC">
        <w:rPr>
          <w:rFonts w:eastAsia="Calibri"/>
          <w:bCs/>
          <w:iCs/>
          <w:kern w:val="22"/>
          <w:szCs w:val="22"/>
        </w:rPr>
        <w:t>the Convention on Migratory Species</w:t>
      </w:r>
      <w:r w:rsidR="00920CCD" w:rsidRPr="003A739F">
        <w:rPr>
          <w:rFonts w:eastAsia="Calibri"/>
          <w:bCs/>
          <w:iCs/>
          <w:kern w:val="22"/>
          <w:szCs w:val="22"/>
        </w:rPr>
        <w:t xml:space="preserve"> and </w:t>
      </w:r>
      <w:r w:rsidR="00E76B87">
        <w:rPr>
          <w:rFonts w:eastAsia="Calibri"/>
          <w:bCs/>
          <w:iCs/>
          <w:kern w:val="22"/>
          <w:szCs w:val="22"/>
        </w:rPr>
        <w:t xml:space="preserve">the </w:t>
      </w:r>
      <w:r w:rsidR="003E5690">
        <w:rPr>
          <w:rFonts w:eastAsia="Calibri"/>
          <w:bCs/>
          <w:iCs/>
          <w:kern w:val="22"/>
          <w:szCs w:val="22"/>
        </w:rPr>
        <w:t>Convention on Biological Diversity</w:t>
      </w:r>
      <w:r w:rsidR="00254C42">
        <w:rPr>
          <w:rFonts w:eastAsia="Calibri"/>
          <w:bCs/>
          <w:iCs/>
          <w:kern w:val="22"/>
          <w:szCs w:val="22"/>
        </w:rPr>
        <w:t>,</w:t>
      </w:r>
      <w:r w:rsidR="003E5690" w:rsidRPr="001B7FF9">
        <w:rPr>
          <w:rFonts w:eastAsia="Calibri"/>
          <w:bCs/>
          <w:iCs/>
          <w:kern w:val="22"/>
          <w:szCs w:val="22"/>
        </w:rPr>
        <w:t xml:space="preserve"> </w:t>
      </w:r>
      <w:r w:rsidR="00920CCD" w:rsidRPr="003A739F">
        <w:rPr>
          <w:rFonts w:eastAsia="Calibri"/>
          <w:bCs/>
          <w:iCs/>
          <w:kern w:val="22"/>
          <w:szCs w:val="22"/>
        </w:rPr>
        <w:t xml:space="preserve">especially with respect to the post-2020 </w:t>
      </w:r>
      <w:r w:rsidR="00EE33BA" w:rsidRPr="003A739F">
        <w:rPr>
          <w:rFonts w:eastAsia="Calibri"/>
          <w:bCs/>
          <w:iCs/>
          <w:kern w:val="22"/>
          <w:szCs w:val="22"/>
        </w:rPr>
        <w:t>global biodiversity framework</w:t>
      </w:r>
      <w:r w:rsidR="003366F5" w:rsidRPr="003A739F">
        <w:rPr>
          <w:rFonts w:eastAsia="Calibri"/>
          <w:bCs/>
          <w:iCs/>
          <w:kern w:val="22"/>
          <w:szCs w:val="22"/>
        </w:rPr>
        <w:t>:</w:t>
      </w:r>
      <w:r w:rsidR="0065021F" w:rsidRPr="003A739F">
        <w:rPr>
          <w:rStyle w:val="FootnoteReference"/>
          <w:rFonts w:eastAsia="Calibri"/>
          <w:bCs/>
          <w:iCs/>
          <w:kern w:val="22"/>
          <w:szCs w:val="22"/>
        </w:rPr>
        <w:footnoteReference w:id="4"/>
      </w:r>
    </w:p>
    <w:p w14:paraId="61BB7E48" w14:textId="0C56AC10"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Improving monitoring, data collection and data analysis of species population sizes and trends, migration patterns and distribution, habitats and critical sites as well as of drivers of population changes;</w:t>
      </w:r>
    </w:p>
    <w:p w14:paraId="70E86AE4" w14:textId="2EAAC14C"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Supporting countries in setting up, strengthening and enforcing their legal frameworks for the conservation of wildlife and their habitats, including through addressing capacity needs, in particular by integrating the commitments of </w:t>
      </w:r>
      <w:r w:rsidR="009239F3">
        <w:rPr>
          <w:rFonts w:eastAsia="Calibri"/>
          <w:bCs/>
          <w:iCs/>
          <w:kern w:val="22"/>
          <w:szCs w:val="22"/>
        </w:rPr>
        <w:t>the</w:t>
      </w:r>
      <w:r w:rsidRPr="003A739F">
        <w:rPr>
          <w:rFonts w:eastAsia="Calibri"/>
          <w:bCs/>
          <w:iCs/>
          <w:kern w:val="22"/>
          <w:szCs w:val="22"/>
        </w:rPr>
        <w:t xml:space="preserve"> Parties </w:t>
      </w:r>
      <w:r w:rsidR="009239F3">
        <w:rPr>
          <w:rFonts w:eastAsia="Calibri"/>
          <w:bCs/>
          <w:iCs/>
          <w:kern w:val="22"/>
          <w:szCs w:val="22"/>
        </w:rPr>
        <w:t>to the Convention on Migratory Species</w:t>
      </w:r>
      <w:r w:rsidR="009239F3" w:rsidRPr="001B1BDE">
        <w:rPr>
          <w:rFonts w:eastAsia="Calibri"/>
          <w:bCs/>
          <w:iCs/>
          <w:kern w:val="22"/>
          <w:szCs w:val="22"/>
        </w:rPr>
        <w:t xml:space="preserve"> </w:t>
      </w:r>
      <w:r w:rsidRPr="003A739F">
        <w:rPr>
          <w:rFonts w:eastAsia="Calibri"/>
          <w:bCs/>
          <w:iCs/>
          <w:kern w:val="22"/>
          <w:szCs w:val="22"/>
        </w:rPr>
        <w:t xml:space="preserve">in the revision and updating of </w:t>
      </w:r>
      <w:r w:rsidR="00F030B3">
        <w:rPr>
          <w:rFonts w:eastAsia="Calibri"/>
          <w:bCs/>
          <w:iCs/>
          <w:kern w:val="22"/>
          <w:szCs w:val="22"/>
        </w:rPr>
        <w:t>n</w:t>
      </w:r>
      <w:r w:rsidRPr="003A739F">
        <w:rPr>
          <w:rFonts w:eastAsia="Calibri"/>
          <w:bCs/>
          <w:iCs/>
          <w:kern w:val="22"/>
          <w:szCs w:val="22"/>
        </w:rPr>
        <w:t xml:space="preserve">ational </w:t>
      </w:r>
      <w:r w:rsidR="00F030B3">
        <w:rPr>
          <w:rFonts w:eastAsia="Calibri"/>
          <w:bCs/>
          <w:iCs/>
          <w:kern w:val="22"/>
          <w:szCs w:val="22"/>
        </w:rPr>
        <w:t>b</w:t>
      </w:r>
      <w:r w:rsidRPr="003A739F">
        <w:rPr>
          <w:rFonts w:eastAsia="Calibri"/>
          <w:bCs/>
          <w:iCs/>
          <w:kern w:val="22"/>
          <w:szCs w:val="22"/>
        </w:rPr>
        <w:t xml:space="preserve">iodiversity </w:t>
      </w:r>
      <w:r w:rsidR="00F030B3">
        <w:rPr>
          <w:rFonts w:eastAsia="Calibri"/>
          <w:bCs/>
          <w:iCs/>
          <w:kern w:val="22"/>
          <w:szCs w:val="22"/>
        </w:rPr>
        <w:t>s</w:t>
      </w:r>
      <w:r w:rsidRPr="003A739F">
        <w:rPr>
          <w:rFonts w:eastAsia="Calibri"/>
          <w:bCs/>
          <w:iCs/>
          <w:kern w:val="22"/>
          <w:szCs w:val="22"/>
        </w:rPr>
        <w:t xml:space="preserve">trategies and </w:t>
      </w:r>
      <w:r w:rsidR="00F030B3">
        <w:rPr>
          <w:rFonts w:eastAsia="Calibri"/>
          <w:bCs/>
          <w:iCs/>
          <w:kern w:val="22"/>
          <w:szCs w:val="22"/>
        </w:rPr>
        <w:t>a</w:t>
      </w:r>
      <w:r w:rsidRPr="003A739F">
        <w:rPr>
          <w:rFonts w:eastAsia="Calibri"/>
          <w:bCs/>
          <w:iCs/>
          <w:kern w:val="22"/>
          <w:szCs w:val="22"/>
        </w:rPr>
        <w:t xml:space="preserve">ction </w:t>
      </w:r>
      <w:r w:rsidR="00F030B3">
        <w:rPr>
          <w:rFonts w:eastAsia="Calibri"/>
          <w:bCs/>
          <w:iCs/>
          <w:kern w:val="22"/>
          <w:szCs w:val="22"/>
        </w:rPr>
        <w:t>p</w:t>
      </w:r>
      <w:r w:rsidRPr="003A739F">
        <w:rPr>
          <w:rFonts w:eastAsia="Calibri"/>
          <w:bCs/>
          <w:iCs/>
          <w:kern w:val="22"/>
          <w:szCs w:val="22"/>
        </w:rPr>
        <w:t>lan and other national planning processes and development plans and related budgets;</w:t>
      </w:r>
    </w:p>
    <w:p w14:paraId="1F59ABC2" w14:textId="67C65CC5"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Restoring and maintaining ecological connectivity, especially for the conservation and sustainable management of migratory species and their habitats, which has been defined as the “unimpeded movement of species and the flow of natural processes that sustain life on Earth”, as outlined in Resolutions 12.26 (Rev.COP13) and 12.7 (Rev.COP13);</w:t>
      </w:r>
    </w:p>
    <w:p w14:paraId="4E1EFFED" w14:textId="3FE1DB71"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regional or global programmes and integrated approaches that support species migration systems;</w:t>
      </w:r>
    </w:p>
    <w:p w14:paraId="164D07C2" w14:textId="56AC4AC7"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activities to reduce risk of the emergence of zoonotic diseases by addressing habitat fragmentation and destruction and risks from the direct use of migratory species;</w:t>
      </w:r>
    </w:p>
    <w:p w14:paraId="242F5D18" w14:textId="45028006"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Supporting Governments and all other stakeholders including </w:t>
      </w:r>
      <w:r w:rsidR="006537CC">
        <w:rPr>
          <w:rFonts w:eastAsia="Calibri"/>
          <w:bCs/>
          <w:iCs/>
          <w:kern w:val="22"/>
          <w:szCs w:val="22"/>
        </w:rPr>
        <w:t>the Convention on Migratory Species</w:t>
      </w:r>
      <w:r w:rsidRPr="003A739F">
        <w:rPr>
          <w:rFonts w:eastAsia="Calibri"/>
          <w:bCs/>
          <w:iCs/>
          <w:kern w:val="22"/>
          <w:szCs w:val="22"/>
        </w:rPr>
        <w:t>, in their specific role and contributions to the effective implementation, monitoring, and review of the post-2020 global biodiversity framework;</w:t>
      </w:r>
    </w:p>
    <w:p w14:paraId="48131D5D" w14:textId="0BF63F93"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Promoting international cooperation through regional and transboundary mechanisms and initiatives;</w:t>
      </w:r>
    </w:p>
    <w:p w14:paraId="205A42BE" w14:textId="00F19245"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lastRenderedPageBreak/>
        <w:t>Addressing the drivers of loss of wild migratory animals, especially habitat destruction and fragmentation, invasive alien species, and overexploitation of wild migratory animals, which can be responsible for the transmission of infectious diseases from wild animals to humans;</w:t>
      </w:r>
    </w:p>
    <w:p w14:paraId="41BF3137" w14:textId="4E85067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Reducing the adverse impacts on wild migratory animals from energy installations and linear infrastructure, including roads, railways, fences, and pipelines as outlined in Resolutions 11.24 (Rev.COP13) and 11.27 (Rev.COP13) and integrate migratory wildlife considerations into any spatial planning including in strategic and environmental impact assessments;</w:t>
      </w:r>
    </w:p>
    <w:p w14:paraId="5ECFDBAD" w14:textId="6055827B"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Combatting wildlife crime and strengthening anti-poaching efforts, including through regional approaches for tackling the illegal killing, take and trade of birds, including trapping, as outlined in Resolution 11.31 and 11.16 (Rev.COP13);</w:t>
      </w:r>
    </w:p>
    <w:p w14:paraId="672B6DBD" w14:textId="4B7B9508"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Advancing the implementation of projects that are mutually supportive of various treaties as well as joint programmes such as the Joint CITES-CMS African Carnivores Initiative, as outlined in Resolution 13.4;</w:t>
      </w:r>
    </w:p>
    <w:p w14:paraId="081DC919" w14:textId="5F112068"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Implementing concerted actions for the conservation of iconic species including the Regional Plan for the conservation of the Jaguar which addresses direct and indirect threats through collaboration both at institutional and scientific levels;</w:t>
      </w:r>
    </w:p>
    <w:p w14:paraId="79B88AF6" w14:textId="2F15211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Restoring and maintaining global flyways, as outlined in the Programme of Work as outlined in Resolution 12.11 (Rev.COP13);</w:t>
      </w:r>
    </w:p>
    <w:p w14:paraId="37B7F920" w14:textId="58A2DA4D"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Reducing threats to wild animals, including poisoning of wildlife caused by use of pesticides, poison bait, veterinary pharmaceutical treatments, lead in ammunition and fishing weights and light pollution and pollution in the marine environment from marine debris, noise and unexploded ordinance, as outlined in Resolution 12.20, Resolution 11.15 (Rev.COP13) and Resolution 13.5;</w:t>
      </w:r>
    </w:p>
    <w:p w14:paraId="27DD20E9" w14:textId="0A4CC0F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Minimizing bycatch of </w:t>
      </w:r>
      <w:r w:rsidR="006537CC">
        <w:rPr>
          <w:rFonts w:eastAsia="Calibri"/>
          <w:bCs/>
          <w:iCs/>
          <w:kern w:val="22"/>
          <w:szCs w:val="22"/>
        </w:rPr>
        <w:t>the Convention on Migratory Species</w:t>
      </w:r>
      <w:r w:rsidRPr="003A739F">
        <w:rPr>
          <w:rFonts w:eastAsia="Calibri"/>
          <w:bCs/>
          <w:iCs/>
          <w:kern w:val="22"/>
          <w:szCs w:val="22"/>
        </w:rPr>
        <w:t>-listed marine species and reducing post-release mortality as outlined in Resolution 12.22 and elsewhere;</w:t>
      </w:r>
    </w:p>
    <w:p w14:paraId="69444DC7" w14:textId="3D930D8F"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sustainable tourism activities that are beneficial to the conservation of wild animals, as outlined in Resolution 12.23 and Resolution 11.29 (Rev.COP12);</w:t>
      </w:r>
    </w:p>
    <w:p w14:paraId="7C68C1E7" w14:textId="4D7BF446"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Mitigating threats to freshwater fish, such as habitat degradation, barriers to migration and overexploitation, as outlined in Resolution 10.12;</w:t>
      </w:r>
    </w:p>
    <w:p w14:paraId="59E3A95C" w14:textId="27570CA7"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conservation strategies that promote the establishment and maintenance of networks of climate resilient sites for migratory species, as outlined in Resolution 12.21;</w:t>
      </w:r>
    </w:p>
    <w:p w14:paraId="2ABF12DF" w14:textId="518D39BC"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Addressing insect decline and support scientific research on its impact on migratory insectivorous animal populations Resolution 13.6.</w:t>
      </w:r>
    </w:p>
    <w:p w14:paraId="629AC9F5" w14:textId="1DA3684D" w:rsidR="00920CCD" w:rsidRPr="003A739F" w:rsidRDefault="00EE7646" w:rsidP="003A739F">
      <w:pPr>
        <w:pStyle w:val="Heading1"/>
        <w:suppressLineNumbers/>
        <w:suppressAutoHyphens/>
        <w:adjustRightInd w:val="0"/>
        <w:snapToGrid w:val="0"/>
        <w:spacing w:before="120"/>
        <w:ind w:left="1134" w:hanging="567"/>
        <w:jc w:val="left"/>
        <w:rPr>
          <w:rFonts w:eastAsia="Calibri"/>
          <w:kern w:val="22"/>
        </w:rPr>
      </w:pPr>
      <w:r w:rsidRPr="001B7FF9">
        <w:rPr>
          <w:kern w:val="22"/>
          <w:szCs w:val="22"/>
        </w:rPr>
        <w:t>III.</w:t>
      </w:r>
      <w:r w:rsidRPr="001B7FF9">
        <w:rPr>
          <w:kern w:val="22"/>
          <w:szCs w:val="22"/>
        </w:rPr>
        <w:tab/>
      </w:r>
      <w:r w:rsidR="00920CCD" w:rsidRPr="00CC6EAB">
        <w:rPr>
          <w:kern w:val="22"/>
          <w:szCs w:val="22"/>
        </w:rPr>
        <w:t xml:space="preserve">Convention on Wetlands: Decision </w:t>
      </w:r>
      <w:r w:rsidR="00D277E7" w:rsidRPr="00CC6EAB">
        <w:rPr>
          <w:kern w:val="22"/>
          <w:szCs w:val="22"/>
        </w:rPr>
        <w:t xml:space="preserve">of the Standing Committee, </w:t>
      </w:r>
      <w:r w:rsidR="00920CCD" w:rsidRPr="006537CC">
        <w:rPr>
          <w:kern w:val="22"/>
          <w:szCs w:val="22"/>
        </w:rPr>
        <w:t>SC58-25</w:t>
      </w:r>
      <w:r w:rsidR="00D277E7" w:rsidRPr="006537CC">
        <w:rPr>
          <w:kern w:val="22"/>
          <w:szCs w:val="22"/>
        </w:rPr>
        <w:t>,</w:t>
      </w:r>
      <w:r w:rsidR="00431D0A" w:rsidRPr="006537CC">
        <w:rPr>
          <w:kern w:val="22"/>
          <w:szCs w:val="22"/>
        </w:rPr>
        <w:t xml:space="preserve"> on elements of advice concerning support for the objectives and priorities of the Convention relevant to the eighth replenishment of the GEF Trust Fund</w:t>
      </w:r>
    </w:p>
    <w:p w14:paraId="6742B29D" w14:textId="0F0E9E6F"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In response to the invitations from the </w:t>
      </w:r>
      <w:r w:rsidR="00101B5C" w:rsidRPr="003A739F">
        <w:rPr>
          <w:rFonts w:eastAsia="Calibri"/>
          <w:bCs/>
          <w:iCs/>
          <w:kern w:val="22"/>
          <w:szCs w:val="22"/>
        </w:rPr>
        <w:t>Conference of the Parties to the Convention on Biological Diversity</w:t>
      </w:r>
      <w:r w:rsidRPr="003A739F">
        <w:rPr>
          <w:rFonts w:eastAsia="Calibri"/>
          <w:bCs/>
          <w:iCs/>
          <w:kern w:val="22"/>
          <w:szCs w:val="22"/>
        </w:rPr>
        <w:t xml:space="preserve"> contained in decisions XII/30 and XIII/21, the Conference of the Contracting Parties to the Convention on Wetlands at its thirteenth meeting, in resolution XIII.7, paragraph 46, requested its secretariat to present to the Standing Committee for consideration at its 58th meeting, elements of advice for the GEF concerning funding to support the objectives and priorities of Convention on Wetlands for consideration by </w:t>
      </w:r>
      <w:r w:rsidR="00BA36F1" w:rsidRPr="003A739F">
        <w:rPr>
          <w:rFonts w:eastAsia="Calibri"/>
          <w:bCs/>
          <w:iCs/>
          <w:kern w:val="22"/>
          <w:szCs w:val="22"/>
        </w:rPr>
        <w:t>the Conference of the Parties to the Convention on Biological Diversity at its fifteenth meeting</w:t>
      </w:r>
      <w:r w:rsidRPr="003A739F">
        <w:rPr>
          <w:rFonts w:eastAsia="Calibri"/>
          <w:bCs/>
          <w:iCs/>
          <w:kern w:val="22"/>
          <w:szCs w:val="22"/>
        </w:rPr>
        <w:t xml:space="preserve"> in the development of strategic guidance for the eighth replenishment of the GEF Trust Fund</w:t>
      </w:r>
      <w:r w:rsidR="00920CCD" w:rsidRPr="003A739F">
        <w:rPr>
          <w:rFonts w:eastAsia="Calibri"/>
          <w:bCs/>
          <w:iCs/>
          <w:kern w:val="22"/>
          <w:szCs w:val="22"/>
        </w:rPr>
        <w:t>.</w:t>
      </w:r>
    </w:p>
    <w:p w14:paraId="04CB1F7C" w14:textId="77777777"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At </w:t>
      </w:r>
      <w:r w:rsidR="006940B6" w:rsidRPr="003A739F">
        <w:rPr>
          <w:rFonts w:eastAsia="Calibri"/>
          <w:bCs/>
          <w:iCs/>
          <w:kern w:val="22"/>
          <w:szCs w:val="22"/>
        </w:rPr>
        <w:t xml:space="preserve">the </w:t>
      </w:r>
      <w:r w:rsidRPr="003A739F">
        <w:rPr>
          <w:rFonts w:eastAsia="Calibri"/>
          <w:bCs/>
          <w:iCs/>
          <w:kern w:val="22"/>
          <w:szCs w:val="22"/>
        </w:rPr>
        <w:t xml:space="preserve">intersessional virtual sessions of the 58th meeting of the Standing Committee held on 23 and 25 June 2020, the Standing Committee considered elements of advice for the GEF concerning funding to support the objectives and priorities of the Convention on Wetlands for the eighth replenishment period of the GEF Trust </w:t>
      </w:r>
      <w:r w:rsidRPr="003A739F">
        <w:rPr>
          <w:rFonts w:eastAsia="Calibri"/>
          <w:bCs/>
          <w:iCs/>
          <w:kern w:val="22"/>
          <w:szCs w:val="22"/>
        </w:rPr>
        <w:lastRenderedPageBreak/>
        <w:t xml:space="preserve">Fund. </w:t>
      </w:r>
      <w:r w:rsidR="006940B6" w:rsidRPr="003A739F">
        <w:rPr>
          <w:rFonts w:eastAsia="Calibri"/>
          <w:bCs/>
          <w:iCs/>
          <w:kern w:val="22"/>
          <w:szCs w:val="22"/>
        </w:rPr>
        <w:t>Accordingly, in</w:t>
      </w:r>
      <w:r w:rsidRPr="003A739F">
        <w:rPr>
          <w:rFonts w:eastAsia="Calibri"/>
          <w:bCs/>
          <w:iCs/>
          <w:kern w:val="22"/>
          <w:szCs w:val="22"/>
        </w:rPr>
        <w:t xml:space="preserve"> Decision SC58-25, t</w:t>
      </w:r>
      <w:r w:rsidR="00920CCD" w:rsidRPr="003A739F">
        <w:rPr>
          <w:rFonts w:eastAsia="Calibri"/>
          <w:bCs/>
          <w:iCs/>
          <w:kern w:val="22"/>
          <w:szCs w:val="22"/>
        </w:rPr>
        <w:t>he Standing Committee decided to request that the following elements of advice be submitted by the Secretariat to the Executive Secretary of the Con</w:t>
      </w:r>
      <w:r w:rsidRPr="003A739F">
        <w:rPr>
          <w:rFonts w:eastAsia="Calibri"/>
          <w:bCs/>
          <w:iCs/>
          <w:kern w:val="22"/>
          <w:szCs w:val="22"/>
        </w:rPr>
        <w:t>vention on Biological Diversity.</w:t>
      </w:r>
    </w:p>
    <w:p w14:paraId="7F83817B" w14:textId="3EE0D401"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T</w:t>
      </w:r>
      <w:r w:rsidR="00A2590C" w:rsidRPr="003A739F">
        <w:rPr>
          <w:rFonts w:eastAsia="Calibri"/>
          <w:bCs/>
          <w:iCs/>
          <w:kern w:val="22"/>
          <w:szCs w:val="22"/>
        </w:rPr>
        <w:t xml:space="preserve">he Standing Committee expressed the appreciation of the </w:t>
      </w:r>
      <w:r w:rsidR="00920CCD" w:rsidRPr="003A739F">
        <w:rPr>
          <w:rFonts w:eastAsia="Calibri"/>
          <w:bCs/>
          <w:iCs/>
          <w:kern w:val="22"/>
          <w:szCs w:val="22"/>
        </w:rPr>
        <w:t>Convention on Wetlands</w:t>
      </w:r>
      <w:r w:rsidR="00920CCD" w:rsidRPr="003A739F" w:rsidDel="00AB324C">
        <w:rPr>
          <w:rFonts w:eastAsia="Calibri"/>
          <w:bCs/>
          <w:iCs/>
          <w:kern w:val="22"/>
          <w:szCs w:val="22"/>
        </w:rPr>
        <w:t xml:space="preserve"> </w:t>
      </w:r>
      <w:r w:rsidR="00A2590C" w:rsidRPr="003A739F">
        <w:rPr>
          <w:rFonts w:eastAsia="Calibri"/>
          <w:bCs/>
          <w:iCs/>
          <w:kern w:val="22"/>
          <w:szCs w:val="22"/>
        </w:rPr>
        <w:t xml:space="preserve">for </w:t>
      </w:r>
      <w:r w:rsidR="00920CCD" w:rsidRPr="003A739F">
        <w:rPr>
          <w:rFonts w:eastAsia="Calibri"/>
          <w:bCs/>
          <w:iCs/>
          <w:kern w:val="22"/>
          <w:szCs w:val="22"/>
        </w:rPr>
        <w:t>the invitation of the Convention on Biological Diversity to the governing bodies of the various biodiversity-relat</w:t>
      </w:r>
      <w:r w:rsidR="007362FF" w:rsidRPr="003A739F">
        <w:rPr>
          <w:rFonts w:eastAsia="Calibri"/>
          <w:bCs/>
          <w:iCs/>
          <w:kern w:val="22"/>
          <w:szCs w:val="22"/>
        </w:rPr>
        <w:t xml:space="preserve">ed conventions to provide </w:t>
      </w:r>
      <w:r w:rsidR="00920CCD" w:rsidRPr="003A739F">
        <w:rPr>
          <w:rFonts w:eastAsia="Calibri"/>
          <w:bCs/>
          <w:iCs/>
          <w:kern w:val="22"/>
          <w:szCs w:val="22"/>
        </w:rPr>
        <w:t>input to help develop strategic guidance for the eighth replenishment of the Gl</w:t>
      </w:r>
      <w:r w:rsidR="007362FF" w:rsidRPr="003A739F">
        <w:rPr>
          <w:rFonts w:eastAsia="Calibri"/>
          <w:bCs/>
          <w:iCs/>
          <w:kern w:val="22"/>
          <w:szCs w:val="22"/>
        </w:rPr>
        <w:t xml:space="preserve">obal Environment Facility Trust Fund and drew attention </w:t>
      </w:r>
      <w:r w:rsidR="00920CCD" w:rsidRPr="003A739F">
        <w:rPr>
          <w:rFonts w:eastAsia="Calibri"/>
          <w:bCs/>
          <w:iCs/>
          <w:kern w:val="22"/>
          <w:szCs w:val="22"/>
        </w:rPr>
        <w:t>to the following considerations</w:t>
      </w:r>
      <w:r w:rsidR="00E179CC" w:rsidRPr="003A739F">
        <w:rPr>
          <w:rFonts w:eastAsia="Calibri"/>
          <w:bCs/>
          <w:iCs/>
          <w:kern w:val="22"/>
          <w:szCs w:val="22"/>
        </w:rPr>
        <w:t>:</w:t>
      </w:r>
      <w:r w:rsidR="00CD395B" w:rsidRPr="003A739F">
        <w:rPr>
          <w:rStyle w:val="FootnoteReference"/>
          <w:rFonts w:eastAsia="Calibri"/>
          <w:bCs/>
          <w:iCs/>
          <w:kern w:val="22"/>
          <w:szCs w:val="22"/>
        </w:rPr>
        <w:footnoteReference w:id="5"/>
      </w:r>
    </w:p>
    <w:p w14:paraId="730B36AE" w14:textId="77777777"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Wetlands are the most threatened of all ecosystems with 87% of the planet’s wetlands having been lost, 35% of which between 1970-2015 at a rate three times faster than forests; and 81% of the populations of freshwater species have declined globally, that is a higher percentage than for other species;</w:t>
      </w:r>
    </w:p>
    <w:p w14:paraId="103D99BD" w14:textId="31ECBDAF"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Wetlands provide significant benefits and services to people, including most freshwater for consumption, protection from floods, droughts and other disasters, food and livelihoods for millions of people, and more effective storage of carbon than any other ecosystem</w:t>
      </w:r>
      <w:r w:rsidR="00AA47AC">
        <w:rPr>
          <w:rFonts w:eastAsia="Calibri"/>
          <w:bCs/>
          <w:iCs/>
          <w:kern w:val="22"/>
          <w:szCs w:val="22"/>
        </w:rPr>
        <w:t>;</w:t>
      </w:r>
    </w:p>
    <w:p w14:paraId="263FAA20" w14:textId="425362A3"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The Convention on Wetlands is highly relevant to the post-2020 biodiversity framework, especially with respect to the achievement of no net loss in the area and integrity of freshwater and marine and coastal ecosystems as well as other goals and targets</w:t>
      </w:r>
      <w:r w:rsidR="00AA47AC">
        <w:rPr>
          <w:rFonts w:eastAsia="Calibri"/>
          <w:bCs/>
          <w:iCs/>
          <w:kern w:val="22"/>
          <w:szCs w:val="22"/>
        </w:rPr>
        <w:t>.</w:t>
      </w:r>
    </w:p>
    <w:p w14:paraId="736E4585" w14:textId="29984419" w:rsidR="00920CCD" w:rsidRPr="003A739F" w:rsidRDefault="00920CCD"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In </w:t>
      </w:r>
      <w:r w:rsidR="009219AB">
        <w:rPr>
          <w:rFonts w:eastAsia="Calibri"/>
          <w:bCs/>
          <w:iCs/>
          <w:kern w:val="22"/>
          <w:szCs w:val="22"/>
        </w:rPr>
        <w:t xml:space="preserve">the </w:t>
      </w:r>
      <w:r w:rsidRPr="003A739F">
        <w:rPr>
          <w:rFonts w:eastAsia="Calibri"/>
          <w:bCs/>
          <w:iCs/>
          <w:kern w:val="22"/>
          <w:szCs w:val="22"/>
        </w:rPr>
        <w:t>light of these considerations</w:t>
      </w:r>
      <w:r w:rsidR="007362FF" w:rsidRPr="003A739F">
        <w:rPr>
          <w:rFonts w:eastAsia="Calibri"/>
          <w:bCs/>
          <w:iCs/>
          <w:kern w:val="22"/>
          <w:szCs w:val="22"/>
        </w:rPr>
        <w:t>, the Standing Committee</w:t>
      </w:r>
      <w:r w:rsidR="00F81399" w:rsidRPr="003A739F">
        <w:rPr>
          <w:rFonts w:eastAsia="Calibri"/>
          <w:bCs/>
          <w:iCs/>
          <w:kern w:val="22"/>
          <w:szCs w:val="22"/>
        </w:rPr>
        <w:t>,</w:t>
      </w:r>
      <w:r w:rsidR="007362FF" w:rsidRPr="003A739F">
        <w:rPr>
          <w:rFonts w:eastAsia="Calibri"/>
          <w:bCs/>
          <w:iCs/>
          <w:kern w:val="22"/>
          <w:szCs w:val="22"/>
        </w:rPr>
        <w:t xml:space="preserve"> </w:t>
      </w:r>
      <w:r w:rsidR="00F81399" w:rsidRPr="003A739F">
        <w:rPr>
          <w:rFonts w:eastAsia="Calibri"/>
          <w:bCs/>
          <w:iCs/>
          <w:kern w:val="22"/>
          <w:szCs w:val="22"/>
        </w:rPr>
        <w:t>on behalf of the Convention on Wetlands</w:t>
      </w:r>
      <w:r w:rsidR="00431D0A" w:rsidRPr="003A739F">
        <w:rPr>
          <w:rFonts w:eastAsia="Calibri"/>
          <w:bCs/>
          <w:iCs/>
          <w:kern w:val="22"/>
          <w:szCs w:val="22"/>
        </w:rPr>
        <w:t xml:space="preserve"> and with its appreciation</w:t>
      </w:r>
      <w:r w:rsidR="006940B6" w:rsidRPr="003A739F">
        <w:rPr>
          <w:kern w:val="22"/>
        </w:rPr>
        <w:t xml:space="preserve"> </w:t>
      </w:r>
      <w:r w:rsidR="006940B6" w:rsidRPr="003A739F">
        <w:rPr>
          <w:rFonts w:eastAsia="Calibri"/>
          <w:bCs/>
          <w:iCs/>
          <w:kern w:val="22"/>
          <w:szCs w:val="22"/>
        </w:rPr>
        <w:t xml:space="preserve">for the support of the </w:t>
      </w:r>
      <w:r w:rsidR="00D01EA8" w:rsidRPr="003A739F">
        <w:rPr>
          <w:rFonts w:eastAsia="Calibri"/>
          <w:bCs/>
          <w:iCs/>
          <w:kern w:val="22"/>
          <w:szCs w:val="22"/>
        </w:rPr>
        <w:t xml:space="preserve">Convention on Biological Diversity </w:t>
      </w:r>
      <w:r w:rsidR="006940B6" w:rsidRPr="003A739F">
        <w:rPr>
          <w:rFonts w:eastAsia="Calibri"/>
          <w:bCs/>
          <w:iCs/>
          <w:kern w:val="22"/>
          <w:szCs w:val="22"/>
        </w:rPr>
        <w:t>in advocating for areas of shared interest and mutual benefit to the two conventions</w:t>
      </w:r>
      <w:r w:rsidR="00F81399" w:rsidRPr="003A739F">
        <w:rPr>
          <w:rFonts w:eastAsia="Calibri"/>
          <w:bCs/>
          <w:iCs/>
          <w:kern w:val="22"/>
          <w:szCs w:val="22"/>
        </w:rPr>
        <w:t xml:space="preserve">, </w:t>
      </w:r>
      <w:r w:rsidR="007362FF" w:rsidRPr="003A739F">
        <w:rPr>
          <w:rFonts w:eastAsia="Calibri"/>
          <w:bCs/>
          <w:iCs/>
          <w:kern w:val="22"/>
          <w:szCs w:val="22"/>
        </w:rPr>
        <w:t>invited</w:t>
      </w:r>
      <w:r w:rsidR="00AA4DE6" w:rsidRPr="003A739F">
        <w:rPr>
          <w:rFonts w:eastAsia="Calibri"/>
          <w:bCs/>
          <w:iCs/>
          <w:kern w:val="22"/>
          <w:szCs w:val="22"/>
        </w:rPr>
        <w:t xml:space="preserve"> the </w:t>
      </w:r>
      <w:r w:rsidR="00901184" w:rsidRPr="003A739F">
        <w:rPr>
          <w:rFonts w:eastAsia="Calibri"/>
          <w:bCs/>
          <w:iCs/>
          <w:kern w:val="22"/>
          <w:szCs w:val="22"/>
        </w:rPr>
        <w:t xml:space="preserve">Convention on Biological Diversity </w:t>
      </w:r>
      <w:r w:rsidR="00AA4DE6" w:rsidRPr="003A739F">
        <w:rPr>
          <w:rFonts w:eastAsia="Calibri"/>
          <w:bCs/>
          <w:iCs/>
          <w:kern w:val="22"/>
          <w:szCs w:val="22"/>
        </w:rPr>
        <w:t xml:space="preserve">to include in its guidance </w:t>
      </w:r>
      <w:r w:rsidR="00193826" w:rsidRPr="003A739F">
        <w:rPr>
          <w:rFonts w:eastAsia="Calibri"/>
          <w:bCs/>
          <w:iCs/>
          <w:kern w:val="22"/>
          <w:szCs w:val="22"/>
        </w:rPr>
        <w:t>from</w:t>
      </w:r>
      <w:r w:rsidR="003D7D69" w:rsidRPr="003A739F">
        <w:rPr>
          <w:rFonts w:eastAsia="Calibri"/>
          <w:bCs/>
          <w:iCs/>
          <w:kern w:val="22"/>
          <w:szCs w:val="22"/>
        </w:rPr>
        <w:t xml:space="preserve"> the fifteenth meeting of the Conference of the Parties </w:t>
      </w:r>
      <w:r w:rsidR="00AA4DE6" w:rsidRPr="003A739F">
        <w:rPr>
          <w:rFonts w:eastAsia="Calibri"/>
          <w:bCs/>
          <w:iCs/>
          <w:kern w:val="22"/>
          <w:szCs w:val="22"/>
        </w:rPr>
        <w:t>to the financial m</w:t>
      </w:r>
      <w:r w:rsidRPr="003A739F">
        <w:rPr>
          <w:rFonts w:eastAsia="Calibri"/>
          <w:bCs/>
          <w:iCs/>
          <w:kern w:val="22"/>
          <w:szCs w:val="22"/>
        </w:rPr>
        <w:t>echanism</w:t>
      </w:r>
      <w:r w:rsidR="00B748B0" w:rsidRPr="003A739F">
        <w:rPr>
          <w:rFonts w:eastAsia="Calibri"/>
          <w:bCs/>
          <w:iCs/>
          <w:kern w:val="22"/>
          <w:szCs w:val="22"/>
        </w:rPr>
        <w:t xml:space="preserve"> the following</w:t>
      </w:r>
      <w:r w:rsidR="00B46340" w:rsidRPr="003A739F">
        <w:rPr>
          <w:rFonts w:eastAsia="Calibri"/>
          <w:bCs/>
          <w:iCs/>
          <w:kern w:val="22"/>
          <w:szCs w:val="22"/>
        </w:rPr>
        <w:t>:</w:t>
      </w:r>
      <w:r w:rsidR="00CD395B" w:rsidRPr="003A739F">
        <w:rPr>
          <w:rStyle w:val="FootnoteReference"/>
          <w:rFonts w:eastAsia="Calibri"/>
          <w:bCs/>
          <w:iCs/>
          <w:kern w:val="22"/>
          <w:szCs w:val="22"/>
        </w:rPr>
        <w:footnoteReference w:id="6"/>
      </w:r>
    </w:p>
    <w:p w14:paraId="686DEC7C" w14:textId="13FBE22E"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continue to support projects in the Biodiversity Focal Area that mainstream wetlands and its biodiversity across sectors, landscapes – including inland waters – and seascapes; to address direct drivers to protect wetland habitats and species, including through protected areas systems such as the Wetlands of International Importance designated by Contracting Parties under the Convention on Wetlands; and to further develop biodiversity policy and institutional frameworks, including policy making and review, monitoring, spatial planning, incentives, and strategic establishment of protected areas, and protected areas management and restoration</w:t>
      </w:r>
      <w:r w:rsidR="00493375">
        <w:rPr>
          <w:rFonts w:eastAsia="Calibri"/>
          <w:bCs/>
          <w:iCs/>
          <w:kern w:val="22"/>
          <w:szCs w:val="22"/>
        </w:rPr>
        <w:t>;</w:t>
      </w:r>
    </w:p>
    <w:p w14:paraId="5C1643E9" w14:textId="4120C5D1"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continue to address the drivers that cause the loss of habitat and species and include under the current priority cluster on addressing direct drivers to protect habitats and species a programme priority to “Reduce pressures on freshwater ecosystems” besides the current one on “Reduce pressure on coral reefs and other vulnerable coastal and marine ecosystems”. This would reflect the level of threat and the multiple benefits derived from wetlands, including freshwater wetlands that are not currently covered in the International Waters portfolio, such as peatlands existing in national territories</w:t>
      </w:r>
      <w:r w:rsidR="00493375">
        <w:rPr>
          <w:rFonts w:eastAsia="Calibri"/>
          <w:bCs/>
          <w:iCs/>
          <w:kern w:val="22"/>
          <w:szCs w:val="22"/>
        </w:rPr>
        <w:t>;</w:t>
      </w:r>
    </w:p>
    <w:p w14:paraId="5D382CF1"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enhance support towards the integration of wetlands in the revision or updating of national biodiversity strategies and action plans, and other national development plans, national budgets and priorities;</w:t>
      </w:r>
    </w:p>
    <w:p w14:paraId="4F20F796"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under the International Waters Focal Area, to continue the support to projects and activities to sustain healthy coastal and marine ecosystems, sustainable fisheries and to enhance regional and national cooperation on shared freshwater surface and groundwater basins;</w:t>
      </w:r>
    </w:p>
    <w:p w14:paraId="3EC70DC2"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continue to undertake further projects on Multifocal Areas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p>
    <w:p w14:paraId="2415A7E9" w14:textId="7250C90C"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lastRenderedPageBreak/>
        <w:t>An invitation to the GEF to include contributions to the biodiversity-related Conventions as part of the Focal Areas of the four-year outcome-oriented framework of programme priorities for the eighth replenishment period (July 2022 to June 2026).</w:t>
      </w:r>
    </w:p>
    <w:p w14:paraId="6DD75C00" w14:textId="77777777" w:rsidR="00DA428C" w:rsidRPr="006537CC" w:rsidRDefault="00EE7646" w:rsidP="003A739F">
      <w:pPr>
        <w:pStyle w:val="Heading1"/>
        <w:suppressLineNumbers/>
        <w:suppressAutoHyphens/>
        <w:adjustRightInd w:val="0"/>
        <w:snapToGrid w:val="0"/>
        <w:spacing w:before="120"/>
        <w:ind w:left="1134" w:hanging="567"/>
        <w:jc w:val="left"/>
        <w:rPr>
          <w:kern w:val="22"/>
          <w:szCs w:val="22"/>
        </w:rPr>
      </w:pPr>
      <w:r w:rsidRPr="001B7FF9">
        <w:rPr>
          <w:kern w:val="22"/>
          <w:szCs w:val="22"/>
        </w:rPr>
        <w:t>IV.</w:t>
      </w:r>
      <w:r w:rsidRPr="001B7FF9">
        <w:rPr>
          <w:kern w:val="22"/>
          <w:szCs w:val="22"/>
        </w:rPr>
        <w:tab/>
      </w:r>
      <w:r w:rsidR="00DA428C" w:rsidRPr="00CC6EAB">
        <w:rPr>
          <w:kern w:val="22"/>
          <w:szCs w:val="22"/>
        </w:rPr>
        <w:t xml:space="preserve">International Treaty on Plant Genetic Resources for Food and Agriculture: Resolution </w:t>
      </w:r>
      <w:r w:rsidR="00D277E7" w:rsidRPr="00CC6EAB">
        <w:rPr>
          <w:kern w:val="22"/>
          <w:szCs w:val="22"/>
        </w:rPr>
        <w:t xml:space="preserve">of the Governing Body, </w:t>
      </w:r>
      <w:r w:rsidR="00DA428C" w:rsidRPr="006537CC">
        <w:rPr>
          <w:kern w:val="22"/>
          <w:szCs w:val="22"/>
        </w:rPr>
        <w:t>11/2019, Cooperation with the Convention on Biological Diversity</w:t>
      </w:r>
    </w:p>
    <w:p w14:paraId="3B4A15D0" w14:textId="26449854" w:rsidR="00DA428C" w:rsidRPr="003A739F" w:rsidRDefault="00DA428C"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At</w:t>
      </w:r>
      <w:r w:rsidRPr="003A739F">
        <w:rPr>
          <w:rFonts w:eastAsia="Calibri"/>
          <w:bCs/>
          <w:iCs/>
          <w:kern w:val="22"/>
          <w:szCs w:val="22"/>
        </w:rPr>
        <w:t xml:space="preserve"> its eighth session, held from </w:t>
      </w:r>
      <w:r w:rsidR="00D277E7" w:rsidRPr="003A739F">
        <w:rPr>
          <w:rFonts w:eastAsia="Calibri"/>
          <w:bCs/>
          <w:iCs/>
          <w:kern w:val="22"/>
          <w:szCs w:val="22"/>
        </w:rPr>
        <w:t xml:space="preserve">11 to </w:t>
      </w:r>
      <w:r w:rsidRPr="003A739F">
        <w:rPr>
          <w:rFonts w:eastAsia="Calibri"/>
          <w:bCs/>
          <w:iCs/>
          <w:kern w:val="22"/>
          <w:szCs w:val="22"/>
        </w:rPr>
        <w:t>16 November 2019, the Governing Body of the International Treaty on Plant Genetic Res</w:t>
      </w:r>
      <w:r w:rsidR="006940B6" w:rsidRPr="003A739F">
        <w:rPr>
          <w:rFonts w:eastAsia="Calibri"/>
          <w:bCs/>
          <w:iCs/>
          <w:kern w:val="22"/>
          <w:szCs w:val="22"/>
        </w:rPr>
        <w:t xml:space="preserve">ources for Food and Agriculture </w:t>
      </w:r>
      <w:r w:rsidR="00DC0CBA" w:rsidRPr="003A739F">
        <w:rPr>
          <w:rFonts w:eastAsia="Calibri"/>
          <w:bCs/>
          <w:iCs/>
          <w:kern w:val="22"/>
          <w:szCs w:val="22"/>
        </w:rPr>
        <w:t xml:space="preserve">expressed </w:t>
      </w:r>
      <w:r w:rsidR="006940B6" w:rsidRPr="003A739F">
        <w:rPr>
          <w:rFonts w:eastAsia="Calibri"/>
          <w:bCs/>
          <w:iCs/>
          <w:kern w:val="22"/>
          <w:szCs w:val="22"/>
        </w:rPr>
        <w:t>its thanks to the Conference of the Parties to the Convention on Biological Diversity for its invitation to the governing bodies of the various biodiversity-related conventions</w:t>
      </w:r>
      <w:r w:rsidR="00DC0CBA" w:rsidRPr="003A739F">
        <w:rPr>
          <w:rFonts w:eastAsia="Calibri"/>
          <w:bCs/>
          <w:iCs/>
          <w:kern w:val="22"/>
          <w:szCs w:val="22"/>
        </w:rPr>
        <w:t xml:space="preserve"> and </w:t>
      </w:r>
      <w:r w:rsidRPr="003A739F">
        <w:rPr>
          <w:rFonts w:eastAsia="Calibri"/>
          <w:bCs/>
          <w:iCs/>
          <w:kern w:val="22"/>
          <w:szCs w:val="22"/>
        </w:rPr>
        <w:t>adopted the following elements of advice</w:t>
      </w:r>
      <w:r w:rsidR="00DC0CBA" w:rsidRPr="003A739F">
        <w:rPr>
          <w:rFonts w:eastAsia="Calibri"/>
          <w:bCs/>
          <w:iCs/>
          <w:kern w:val="22"/>
          <w:szCs w:val="22"/>
        </w:rPr>
        <w:t xml:space="preserve"> </w:t>
      </w:r>
      <w:r w:rsidRPr="003A739F">
        <w:rPr>
          <w:rFonts w:eastAsia="Calibri"/>
          <w:bCs/>
          <w:iCs/>
          <w:kern w:val="22"/>
          <w:szCs w:val="22"/>
        </w:rPr>
        <w:t>in paragraph 5 of Resolution 11/2019</w:t>
      </w:r>
      <w:r w:rsidR="00CD395B" w:rsidRPr="003A739F">
        <w:rPr>
          <w:rFonts w:eastAsia="Calibri"/>
          <w:bCs/>
          <w:iCs/>
          <w:kern w:val="22"/>
          <w:szCs w:val="22"/>
        </w:rPr>
        <w:t>:</w:t>
      </w:r>
      <w:r w:rsidR="00CD395B" w:rsidRPr="003A739F">
        <w:rPr>
          <w:rStyle w:val="FootnoteReference"/>
          <w:rFonts w:eastAsia="Calibri"/>
          <w:bCs/>
          <w:iCs/>
          <w:kern w:val="22"/>
          <w:szCs w:val="22"/>
        </w:rPr>
        <w:footnoteReference w:id="7"/>
      </w:r>
    </w:p>
    <w:p w14:paraId="2433941F" w14:textId="2151CB3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in the process of updating the Funding Strategy of the International Treaty, the GEF has been </w:t>
      </w:r>
      <w:r w:rsidRPr="00760FD8">
        <w:rPr>
          <w:snapToGrid w:val="0"/>
          <w:kern w:val="22"/>
          <w:szCs w:val="22"/>
        </w:rPr>
        <w:t>identified</w:t>
      </w:r>
      <w:r w:rsidRPr="003A739F">
        <w:rPr>
          <w:rFonts w:eastAsia="Calibri"/>
          <w:bCs/>
          <w:iCs/>
          <w:kern w:val="22"/>
          <w:szCs w:val="22"/>
        </w:rPr>
        <w:t xml:space="preserve"> as one of the key international mechanisms, funds and bodies that support the implementation of the International Treaty, and </w:t>
      </w:r>
      <w:r w:rsidRPr="003A739F">
        <w:rPr>
          <w:rFonts w:eastAsia="Calibri"/>
          <w:bCs/>
          <w:i/>
          <w:iCs/>
          <w:kern w:val="22"/>
          <w:szCs w:val="22"/>
        </w:rPr>
        <w:t xml:space="preserve">invites </w:t>
      </w:r>
      <w:r w:rsidRPr="003A739F">
        <w:rPr>
          <w:rFonts w:eastAsia="Calibri"/>
          <w:bCs/>
          <w:iCs/>
          <w:kern w:val="22"/>
          <w:szCs w:val="22"/>
        </w:rPr>
        <w:t xml:space="preserve">the GEF to continue giving priority through the GEF-8 to support programs, projects and initiatives that conserve and sustainably use plant genetic resources for food and agriculture, in particular in relation to </w:t>
      </w:r>
      <w:r w:rsidRPr="003A739F">
        <w:rPr>
          <w:rFonts w:eastAsia="Calibri"/>
          <w:bCs/>
          <w:i/>
          <w:iCs/>
          <w:kern w:val="22"/>
          <w:szCs w:val="22"/>
        </w:rPr>
        <w:t xml:space="preserve">in situ </w:t>
      </w:r>
      <w:r w:rsidRPr="003A739F">
        <w:rPr>
          <w:rFonts w:eastAsia="Calibri"/>
          <w:bCs/>
          <w:iCs/>
          <w:kern w:val="22"/>
          <w:szCs w:val="22"/>
        </w:rPr>
        <w:t>conservation of crop wild relatives and on-farm management and farmers’ sustainable use of agricultural biodiversity;</w:t>
      </w:r>
    </w:p>
    <w:p w14:paraId="69C62EA5" w14:textId="59EE43E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Emphasizes </w:t>
      </w:r>
      <w:r w:rsidRPr="003A739F">
        <w:rPr>
          <w:rFonts w:eastAsia="Calibri"/>
          <w:bCs/>
          <w:iCs/>
          <w:kern w:val="22"/>
          <w:szCs w:val="22"/>
        </w:rPr>
        <w:t>the continuous importance of GEF’s financial support to mainstream biodiversity within the agricultural sector;</w:t>
      </w:r>
    </w:p>
    <w:p w14:paraId="72F8516C" w14:textId="24B04BA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Invites </w:t>
      </w:r>
      <w:r w:rsidRPr="003A739F">
        <w:rPr>
          <w:rFonts w:eastAsia="Calibri"/>
          <w:bCs/>
          <w:iCs/>
          <w:kern w:val="22"/>
          <w:szCs w:val="22"/>
        </w:rPr>
        <w:t>the GEF to enhance support towards the integration of plant genetic resources for food and agriculture in the revision or updating of national biodiversity strategies and action plans, and other national development plans, national budgets and priorities, which is one of the strategic priorities of the updated Funding Strategy of the International Treaty;</w:t>
      </w:r>
    </w:p>
    <w:p w14:paraId="3B588223" w14:textId="1A538291"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the GEF is increasingly supporting projects and programs which address in an integrated manner food security, sustainable agriculture and climate change adaptation and, acknowledging the important role of the sustainable use of plant genetic resources for food and agriculture for the achievement of sustainable agriculture and food systems, </w:t>
      </w:r>
      <w:r w:rsidRPr="003A739F">
        <w:rPr>
          <w:rFonts w:eastAsia="Calibri"/>
          <w:bCs/>
          <w:i/>
          <w:iCs/>
          <w:kern w:val="22"/>
          <w:szCs w:val="22"/>
        </w:rPr>
        <w:t xml:space="preserve">invites </w:t>
      </w:r>
      <w:r w:rsidRPr="003A739F">
        <w:rPr>
          <w:rFonts w:eastAsia="Calibri"/>
          <w:bCs/>
          <w:iCs/>
          <w:kern w:val="22"/>
          <w:szCs w:val="22"/>
        </w:rPr>
        <w:t>the GEF to more clearly articulate such role within such integrated programmes in the GEF-8 programming framework;</w:t>
      </w:r>
    </w:p>
    <w:p w14:paraId="4D8553C1" w14:textId="10C4A4EF"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Invites </w:t>
      </w:r>
      <w:r w:rsidRPr="003A739F">
        <w:rPr>
          <w:rFonts w:eastAsia="Calibri"/>
          <w:bCs/>
          <w:iCs/>
          <w:kern w:val="22"/>
          <w:szCs w:val="22"/>
        </w:rPr>
        <w:t>the GEF to continue supporting projects to promote the mutually supportive implementation of the Nagoya Protocol and the International Treaty on Plant Genetic Resources for Food and Agriculture;</w:t>
      </w:r>
    </w:p>
    <w:p w14:paraId="0EEAE131" w14:textId="62F81766"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Thanks </w:t>
      </w:r>
      <w:r w:rsidRPr="003A739F">
        <w:rPr>
          <w:rFonts w:eastAsia="Calibri"/>
          <w:bCs/>
          <w:iCs/>
          <w:kern w:val="22"/>
          <w:szCs w:val="22"/>
        </w:rPr>
        <w:t>the GEF for having noted in the GEF-7 Biodiversity Strategy that results from certain GEF-7 investments may generate important co-benefits for the International Treaty and invites the GEF to continue to do so in the formulation of the GEF-8 Biodiversity Strategy;</w:t>
      </w:r>
    </w:p>
    <w:p w14:paraId="63CDD29D" w14:textId="62A69532"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the formulation and implementation of the GEF-8 will coincide in time with the implementation of the updated Funding Strategy, and </w:t>
      </w:r>
      <w:r w:rsidRPr="003A739F">
        <w:rPr>
          <w:rFonts w:eastAsia="Calibri"/>
          <w:bCs/>
          <w:i/>
          <w:iCs/>
          <w:kern w:val="22"/>
          <w:szCs w:val="22"/>
        </w:rPr>
        <w:t xml:space="preserve">recommends </w:t>
      </w:r>
      <w:r w:rsidRPr="003A739F">
        <w:rPr>
          <w:rFonts w:eastAsia="Calibri"/>
          <w:bCs/>
          <w:iCs/>
          <w:kern w:val="22"/>
          <w:szCs w:val="22"/>
        </w:rPr>
        <w:t xml:space="preserve">FAO and other GEF partners to increase the priority and attention given to the implementation of the International Treaty through the GEF-8, in order to make an important contribution to the achievement of the financial target for the Funding Strategy established by the Governing Body; furthermore, </w:t>
      </w:r>
      <w:r w:rsidRPr="003A739F">
        <w:rPr>
          <w:rFonts w:eastAsia="Calibri"/>
          <w:bCs/>
          <w:i/>
          <w:iCs/>
          <w:kern w:val="22"/>
          <w:szCs w:val="22"/>
        </w:rPr>
        <w:t xml:space="preserve">suggests </w:t>
      </w:r>
      <w:r w:rsidRPr="003A739F">
        <w:rPr>
          <w:rFonts w:eastAsia="Calibri"/>
          <w:bCs/>
          <w:iCs/>
          <w:kern w:val="22"/>
          <w:szCs w:val="22"/>
        </w:rPr>
        <w:t xml:space="preserve">that as part of the GEF-8, activities should focus on </w:t>
      </w:r>
      <w:r w:rsidRPr="003A739F">
        <w:rPr>
          <w:rFonts w:eastAsia="Calibri"/>
          <w:bCs/>
          <w:i/>
          <w:iCs/>
          <w:kern w:val="22"/>
          <w:szCs w:val="22"/>
        </w:rPr>
        <w:t xml:space="preserve">in situ </w:t>
      </w:r>
      <w:r w:rsidRPr="003A739F">
        <w:rPr>
          <w:rFonts w:eastAsia="Calibri"/>
          <w:bCs/>
          <w:iCs/>
          <w:kern w:val="22"/>
          <w:szCs w:val="22"/>
        </w:rPr>
        <w:t>conservation of crop wild relatives, wild crop foods and on-farm management of farmers’ landraces;</w:t>
      </w:r>
    </w:p>
    <w:p w14:paraId="61314C88" w14:textId="4722FDF2"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Requests </w:t>
      </w:r>
      <w:r w:rsidRPr="003A739F">
        <w:rPr>
          <w:rFonts w:eastAsia="Calibri"/>
          <w:bCs/>
          <w:iCs/>
          <w:kern w:val="22"/>
          <w:szCs w:val="22"/>
        </w:rPr>
        <w:t xml:space="preserve">the Secretary to submit the elements of advice made by the Governing Body for the eighth replenishment of the GEF Trust Fund to the Executive Secretary of the Convention on Biological Diversity for transmission to the fifteenth meeting of the Conference of the Parties to the Convention on Biological Diversity and </w:t>
      </w:r>
      <w:r w:rsidRPr="003A739F">
        <w:rPr>
          <w:rFonts w:eastAsia="Calibri"/>
          <w:bCs/>
          <w:i/>
          <w:iCs/>
          <w:kern w:val="22"/>
          <w:szCs w:val="22"/>
        </w:rPr>
        <w:t xml:space="preserve">requests </w:t>
      </w:r>
      <w:r w:rsidRPr="003A739F">
        <w:rPr>
          <w:rFonts w:eastAsia="Calibri"/>
          <w:bCs/>
          <w:iCs/>
          <w:kern w:val="22"/>
          <w:szCs w:val="22"/>
        </w:rPr>
        <w:t xml:space="preserve">the Secretary, together with the Committee on the Funding Strategy and Resource Mobilisation and the Bureau, to develop further inputs relevant to the eighth replenishment of the GEF Trust Fund that will reflect developments during the biennium, including in relation to the implementation of the </w:t>
      </w:r>
      <w:r w:rsidRPr="003A739F">
        <w:rPr>
          <w:rFonts w:eastAsia="Calibri"/>
          <w:bCs/>
          <w:iCs/>
          <w:kern w:val="22"/>
          <w:szCs w:val="22"/>
        </w:rPr>
        <w:lastRenderedPageBreak/>
        <w:t>Funding Strategy of the International Treaty and the development of the Post-2020 Global Biodiversity Framework;</w:t>
      </w:r>
    </w:p>
    <w:p w14:paraId="4DFD7A95" w14:textId="2BB683A5" w:rsidR="007112D6" w:rsidRPr="003A739F" w:rsidRDefault="00EE7646" w:rsidP="003A739F">
      <w:pPr>
        <w:pStyle w:val="Heading1"/>
        <w:suppressLineNumbers/>
        <w:tabs>
          <w:tab w:val="clear" w:pos="720"/>
          <w:tab w:val="left" w:pos="426"/>
        </w:tabs>
        <w:suppressAutoHyphens/>
        <w:adjustRightInd w:val="0"/>
        <w:snapToGrid w:val="0"/>
        <w:spacing w:before="120"/>
        <w:rPr>
          <w:rFonts w:eastAsia="Calibri"/>
          <w:kern w:val="22"/>
        </w:rPr>
      </w:pPr>
      <w:r w:rsidRPr="001B7FF9">
        <w:rPr>
          <w:kern w:val="22"/>
          <w:szCs w:val="22"/>
        </w:rPr>
        <w:t>V.</w:t>
      </w:r>
      <w:r w:rsidRPr="001B7FF9">
        <w:rPr>
          <w:kern w:val="22"/>
          <w:szCs w:val="22"/>
        </w:rPr>
        <w:tab/>
      </w:r>
      <w:r w:rsidR="00A37534" w:rsidRPr="006537CC">
        <w:rPr>
          <w:kern w:val="22"/>
          <w:szCs w:val="22"/>
        </w:rPr>
        <w:t>Conclusions</w:t>
      </w:r>
    </w:p>
    <w:p w14:paraId="105493D4" w14:textId="6D1DDBB7" w:rsidR="00593181" w:rsidRPr="003A739F" w:rsidRDefault="00E4552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In addition to priorities regarding</w:t>
      </w:r>
      <w:r w:rsidR="007112D6" w:rsidRPr="003A739F">
        <w:rPr>
          <w:snapToGrid w:val="0"/>
          <w:kern w:val="22"/>
          <w:szCs w:val="18"/>
        </w:rPr>
        <w:t xml:space="preserve"> s</w:t>
      </w:r>
      <w:r w:rsidR="00CD395B" w:rsidRPr="003A739F">
        <w:rPr>
          <w:snapToGrid w:val="0"/>
          <w:kern w:val="22"/>
          <w:szCs w:val="18"/>
        </w:rPr>
        <w:t>pecific objectives of each convention</w:t>
      </w:r>
      <w:r w:rsidRPr="003A739F">
        <w:rPr>
          <w:snapToGrid w:val="0"/>
          <w:kern w:val="22"/>
          <w:szCs w:val="18"/>
        </w:rPr>
        <w:t xml:space="preserve"> </w:t>
      </w:r>
      <w:r w:rsidR="00916066" w:rsidRPr="003A739F">
        <w:rPr>
          <w:snapToGrid w:val="0"/>
          <w:kern w:val="22"/>
          <w:szCs w:val="18"/>
        </w:rPr>
        <w:t>that</w:t>
      </w:r>
      <w:r w:rsidRPr="003A739F">
        <w:rPr>
          <w:snapToGrid w:val="0"/>
          <w:kern w:val="22"/>
          <w:szCs w:val="18"/>
        </w:rPr>
        <w:t xml:space="preserve"> relate to </w:t>
      </w:r>
      <w:r w:rsidR="007112D6" w:rsidRPr="003A739F">
        <w:rPr>
          <w:snapToGrid w:val="0"/>
          <w:kern w:val="22"/>
          <w:szCs w:val="18"/>
        </w:rPr>
        <w:t xml:space="preserve">objectives of the </w:t>
      </w:r>
      <w:r w:rsidR="00F22AC9" w:rsidRPr="003A739F">
        <w:rPr>
          <w:snapToGrid w:val="0"/>
          <w:kern w:val="22"/>
          <w:szCs w:val="18"/>
        </w:rPr>
        <w:t xml:space="preserve">Convention on Biological Diversity </w:t>
      </w:r>
      <w:r w:rsidR="007112D6" w:rsidRPr="003A739F">
        <w:rPr>
          <w:snapToGrid w:val="0"/>
          <w:kern w:val="22"/>
          <w:szCs w:val="18"/>
        </w:rPr>
        <w:t xml:space="preserve">and its Protocols, there are a few </w:t>
      </w:r>
      <w:r w:rsidR="00CD395B" w:rsidRPr="003A739F">
        <w:rPr>
          <w:snapToGrid w:val="0"/>
          <w:kern w:val="22"/>
          <w:szCs w:val="18"/>
        </w:rPr>
        <w:t xml:space="preserve">areas of </w:t>
      </w:r>
      <w:r w:rsidR="00BF4A71" w:rsidRPr="003A739F">
        <w:rPr>
          <w:snapToGrid w:val="0"/>
          <w:kern w:val="22"/>
          <w:szCs w:val="18"/>
        </w:rPr>
        <w:t>priority</w:t>
      </w:r>
      <w:r w:rsidR="00CD395B" w:rsidRPr="003A739F">
        <w:rPr>
          <w:snapToGrid w:val="0"/>
          <w:kern w:val="22"/>
          <w:szCs w:val="18"/>
        </w:rPr>
        <w:t xml:space="preserve"> </w:t>
      </w:r>
      <w:r w:rsidR="00BF4A71" w:rsidRPr="003A739F">
        <w:rPr>
          <w:snapToGrid w:val="0"/>
          <w:kern w:val="22"/>
          <w:szCs w:val="18"/>
        </w:rPr>
        <w:t xml:space="preserve">in </w:t>
      </w:r>
      <w:r w:rsidR="00CD395B" w:rsidRPr="003A739F">
        <w:rPr>
          <w:snapToGrid w:val="0"/>
          <w:kern w:val="22"/>
          <w:szCs w:val="18"/>
        </w:rPr>
        <w:t xml:space="preserve">common to </w:t>
      </w:r>
      <w:r w:rsidR="00BF4A71" w:rsidRPr="003A739F">
        <w:rPr>
          <w:snapToGrid w:val="0"/>
          <w:kern w:val="22"/>
          <w:szCs w:val="18"/>
        </w:rPr>
        <w:t>the</w:t>
      </w:r>
      <w:r w:rsidR="00CD395B" w:rsidRPr="003A739F">
        <w:rPr>
          <w:snapToGrid w:val="0"/>
          <w:kern w:val="22"/>
          <w:szCs w:val="18"/>
        </w:rPr>
        <w:t xml:space="preserve"> conventions:</w:t>
      </w:r>
    </w:p>
    <w:p w14:paraId="17B7DC7F" w14:textId="573D0822" w:rsidR="007112D6" w:rsidRPr="003A739F" w:rsidRDefault="007B29ED" w:rsidP="003A739F">
      <w:pPr>
        <w:numPr>
          <w:ilvl w:val="0"/>
          <w:numId w:val="32"/>
        </w:numPr>
        <w:suppressLineNumbers/>
        <w:suppressAutoHyphens/>
        <w:adjustRightInd w:val="0"/>
        <w:snapToGrid w:val="0"/>
        <w:spacing w:after="120"/>
        <w:ind w:left="0" w:firstLine="720"/>
        <w:rPr>
          <w:rFonts w:eastAsia="Calibri"/>
          <w:bCs/>
          <w:iCs/>
          <w:kern w:val="22"/>
          <w:szCs w:val="22"/>
        </w:rPr>
      </w:pPr>
      <w:r>
        <w:rPr>
          <w:rFonts w:eastAsia="Calibri"/>
          <w:bCs/>
          <w:i/>
          <w:iCs/>
          <w:kern w:val="22"/>
          <w:szCs w:val="22"/>
        </w:rPr>
        <w:t>National biodiversity strategies and action plans</w:t>
      </w:r>
      <w:r w:rsidRPr="003A739F">
        <w:rPr>
          <w:rFonts w:eastAsia="Calibri"/>
          <w:bCs/>
          <w:iCs/>
          <w:kern w:val="22"/>
          <w:szCs w:val="22"/>
        </w:rPr>
        <w:t xml:space="preserve"> </w:t>
      </w:r>
      <w:r w:rsidR="00EE7646" w:rsidRPr="003A739F">
        <w:rPr>
          <w:rFonts w:eastAsia="Calibri"/>
          <w:bCs/>
          <w:iCs/>
          <w:kern w:val="22"/>
          <w:szCs w:val="22"/>
        </w:rPr>
        <w:t>–</w:t>
      </w:r>
      <w:r w:rsidR="00170E0B" w:rsidRPr="003A739F">
        <w:rPr>
          <w:rFonts w:eastAsia="Calibri"/>
          <w:bCs/>
          <w:iCs/>
          <w:kern w:val="22"/>
          <w:szCs w:val="22"/>
        </w:rPr>
        <w:t xml:space="preserve"> </w:t>
      </w:r>
      <w:r w:rsidR="00731E6F" w:rsidRPr="003A739F">
        <w:rPr>
          <w:rFonts w:eastAsia="Calibri"/>
          <w:bCs/>
          <w:iCs/>
          <w:kern w:val="22"/>
          <w:szCs w:val="22"/>
        </w:rPr>
        <w:t>E</w:t>
      </w:r>
      <w:r w:rsidR="004C595B" w:rsidRPr="003A739F">
        <w:rPr>
          <w:rFonts w:eastAsia="Calibri"/>
          <w:bCs/>
          <w:iCs/>
          <w:kern w:val="22"/>
          <w:szCs w:val="22"/>
        </w:rPr>
        <w:t xml:space="preserve">ach </w:t>
      </w:r>
      <w:r w:rsidR="00731E6F" w:rsidRPr="003A739F">
        <w:rPr>
          <w:rFonts w:eastAsia="Calibri"/>
          <w:bCs/>
          <w:iCs/>
          <w:kern w:val="22"/>
          <w:szCs w:val="22"/>
        </w:rPr>
        <w:t>included as a priority</w:t>
      </w:r>
      <w:r w:rsidR="00EE7646" w:rsidRPr="003A739F">
        <w:rPr>
          <w:rFonts w:eastAsia="Calibri"/>
          <w:bCs/>
          <w:iCs/>
          <w:kern w:val="22"/>
          <w:szCs w:val="22"/>
        </w:rPr>
        <w:t>,</w:t>
      </w:r>
      <w:r w:rsidR="00731E6F" w:rsidRPr="003A739F">
        <w:rPr>
          <w:rFonts w:eastAsia="Calibri"/>
          <w:bCs/>
          <w:iCs/>
          <w:kern w:val="22"/>
          <w:szCs w:val="22"/>
        </w:rPr>
        <w:t xml:space="preserve"> the need </w:t>
      </w:r>
      <w:r w:rsidR="00E4552A" w:rsidRPr="003A739F">
        <w:rPr>
          <w:rFonts w:eastAsia="Calibri"/>
          <w:bCs/>
          <w:iCs/>
          <w:kern w:val="22"/>
          <w:szCs w:val="22"/>
        </w:rPr>
        <w:t>for support to ensure</w:t>
      </w:r>
      <w:r w:rsidR="00731E6F" w:rsidRPr="003A739F">
        <w:rPr>
          <w:rFonts w:eastAsia="Calibri"/>
          <w:bCs/>
          <w:iCs/>
          <w:kern w:val="22"/>
          <w:szCs w:val="22"/>
        </w:rPr>
        <w:t xml:space="preserve"> the </w:t>
      </w:r>
      <w:r w:rsidR="00593181" w:rsidRPr="003A739F">
        <w:rPr>
          <w:rFonts w:eastAsia="Calibri"/>
          <w:bCs/>
          <w:iCs/>
          <w:kern w:val="22"/>
          <w:szCs w:val="22"/>
        </w:rPr>
        <w:t xml:space="preserve">integration of the </w:t>
      </w:r>
      <w:r w:rsidR="00E4552A" w:rsidRPr="003A739F">
        <w:rPr>
          <w:rFonts w:eastAsia="Calibri"/>
          <w:bCs/>
          <w:iCs/>
          <w:kern w:val="22"/>
          <w:szCs w:val="22"/>
        </w:rPr>
        <w:t xml:space="preserve">objectives and </w:t>
      </w:r>
      <w:r w:rsidR="00593181" w:rsidRPr="003A739F">
        <w:rPr>
          <w:rFonts w:eastAsia="Calibri"/>
          <w:bCs/>
          <w:iCs/>
          <w:kern w:val="22"/>
          <w:szCs w:val="22"/>
        </w:rPr>
        <w:t xml:space="preserve">issues addressed </w:t>
      </w:r>
      <w:r w:rsidR="00E4552A" w:rsidRPr="003A739F">
        <w:rPr>
          <w:rFonts w:eastAsia="Calibri"/>
          <w:bCs/>
          <w:iCs/>
          <w:kern w:val="22"/>
          <w:szCs w:val="22"/>
        </w:rPr>
        <w:t xml:space="preserve">by the biodiversity-related conventions </w:t>
      </w:r>
      <w:r w:rsidR="00593181" w:rsidRPr="003A739F">
        <w:rPr>
          <w:rFonts w:eastAsia="Calibri"/>
          <w:bCs/>
          <w:iCs/>
          <w:kern w:val="22"/>
          <w:szCs w:val="22"/>
        </w:rPr>
        <w:t>(plant genetic resources for food and agriculture, wetlands</w:t>
      </w:r>
      <w:r w:rsidR="00E4552A" w:rsidRPr="003A739F">
        <w:rPr>
          <w:rFonts w:eastAsia="Calibri"/>
          <w:bCs/>
          <w:iCs/>
          <w:kern w:val="22"/>
          <w:szCs w:val="22"/>
        </w:rPr>
        <w:t>,</w:t>
      </w:r>
      <w:r w:rsidR="00593181" w:rsidRPr="003A739F">
        <w:rPr>
          <w:rFonts w:eastAsia="Calibri"/>
          <w:bCs/>
          <w:iCs/>
          <w:kern w:val="22"/>
          <w:szCs w:val="22"/>
        </w:rPr>
        <w:t xml:space="preserve"> and commitments related to migratory species) in the revision or updating of </w:t>
      </w:r>
      <w:r w:rsidR="00E4552A" w:rsidRPr="003A739F">
        <w:rPr>
          <w:rFonts w:eastAsia="Calibri"/>
          <w:bCs/>
          <w:iCs/>
          <w:kern w:val="22"/>
          <w:szCs w:val="22"/>
        </w:rPr>
        <w:t>the national biodiversity strategies and action plans</w:t>
      </w:r>
      <w:r w:rsidR="00593181" w:rsidRPr="003A739F">
        <w:rPr>
          <w:rFonts w:eastAsia="Calibri"/>
          <w:bCs/>
          <w:iCs/>
          <w:kern w:val="22"/>
          <w:szCs w:val="22"/>
        </w:rPr>
        <w:t>, and other national development plans, national budgets and priorities</w:t>
      </w:r>
      <w:r w:rsidR="008D4349" w:rsidRPr="003A739F">
        <w:rPr>
          <w:rFonts w:eastAsia="Calibri"/>
          <w:bCs/>
          <w:iCs/>
          <w:kern w:val="22"/>
          <w:szCs w:val="22"/>
        </w:rPr>
        <w:t>;</w:t>
      </w:r>
    </w:p>
    <w:p w14:paraId="0392BB9F" w14:textId="77777777" w:rsidR="00593181"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Mutual support</w:t>
      </w:r>
      <w:r w:rsidRPr="003A739F">
        <w:rPr>
          <w:rFonts w:eastAsia="Calibri"/>
          <w:bCs/>
          <w:iCs/>
          <w:kern w:val="22"/>
          <w:szCs w:val="22"/>
        </w:rPr>
        <w:t xml:space="preserve"> </w:t>
      </w:r>
      <w:r w:rsidR="008D4349"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The importance of p</w:t>
      </w:r>
      <w:r w:rsidR="00731E6F" w:rsidRPr="003A739F">
        <w:rPr>
          <w:rFonts w:eastAsia="Calibri"/>
          <w:bCs/>
          <w:iCs/>
          <w:kern w:val="22"/>
          <w:szCs w:val="22"/>
        </w:rPr>
        <w:t xml:space="preserve">rojects </w:t>
      </w:r>
      <w:r w:rsidR="00E4552A" w:rsidRPr="003A739F">
        <w:rPr>
          <w:rFonts w:eastAsia="Calibri"/>
          <w:bCs/>
          <w:iCs/>
          <w:kern w:val="22"/>
          <w:szCs w:val="22"/>
        </w:rPr>
        <w:t>and investments which</w:t>
      </w:r>
      <w:r w:rsidR="00656306" w:rsidRPr="003A739F">
        <w:rPr>
          <w:rFonts w:eastAsia="Calibri"/>
          <w:bCs/>
          <w:iCs/>
          <w:kern w:val="22"/>
          <w:szCs w:val="22"/>
        </w:rPr>
        <w:t xml:space="preserve"> </w:t>
      </w:r>
      <w:r w:rsidR="00731E6F" w:rsidRPr="003A739F">
        <w:rPr>
          <w:rFonts w:eastAsia="Calibri"/>
          <w:bCs/>
          <w:iCs/>
          <w:kern w:val="22"/>
          <w:szCs w:val="22"/>
        </w:rPr>
        <w:t xml:space="preserve">are mutually supportive of </w:t>
      </w:r>
      <w:r w:rsidR="00E4552A" w:rsidRPr="003A739F">
        <w:rPr>
          <w:rFonts w:eastAsia="Calibri"/>
          <w:bCs/>
          <w:iCs/>
          <w:kern w:val="22"/>
          <w:szCs w:val="22"/>
        </w:rPr>
        <w:t xml:space="preserve">the </w:t>
      </w:r>
      <w:r w:rsidR="00731E6F" w:rsidRPr="003A739F">
        <w:rPr>
          <w:rFonts w:eastAsia="Calibri"/>
          <w:bCs/>
          <w:iCs/>
          <w:kern w:val="22"/>
          <w:szCs w:val="22"/>
        </w:rPr>
        <w:t>objectives of multiple conventions</w:t>
      </w:r>
      <w:r w:rsidR="008D4349" w:rsidRPr="003A739F">
        <w:rPr>
          <w:rFonts w:eastAsia="Calibri"/>
          <w:bCs/>
          <w:iCs/>
          <w:kern w:val="22"/>
          <w:szCs w:val="22"/>
        </w:rPr>
        <w:t>;</w:t>
      </w:r>
    </w:p>
    <w:p w14:paraId="2F34812E" w14:textId="7E8DD3A4" w:rsidR="00593181"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Mainstreaming</w:t>
      </w:r>
      <w:r w:rsidRPr="003A739F">
        <w:rPr>
          <w:rFonts w:eastAsia="Calibri"/>
          <w:bCs/>
          <w:iCs/>
          <w:kern w:val="22"/>
          <w:szCs w:val="22"/>
        </w:rPr>
        <w:t xml:space="preserve"> </w:t>
      </w:r>
      <w:r w:rsidR="008D4349"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A shared priority for support for the mainstreaming of biodiversity</w:t>
      </w:r>
      <w:r w:rsidR="00117FCE">
        <w:rPr>
          <w:rFonts w:eastAsia="Calibri"/>
          <w:bCs/>
          <w:iCs/>
          <w:kern w:val="22"/>
          <w:szCs w:val="22"/>
        </w:rPr>
        <w:t xml:space="preserve"> (a) </w:t>
      </w:r>
      <w:r w:rsidR="008D4349" w:rsidRPr="003A739F">
        <w:rPr>
          <w:rFonts w:eastAsia="Calibri"/>
          <w:bCs/>
          <w:iCs/>
          <w:kern w:val="22"/>
          <w:szCs w:val="22"/>
        </w:rPr>
        <w:t xml:space="preserve">in the case of the Treaty, into the agricultural sector; </w:t>
      </w:r>
      <w:r w:rsidR="00117FCE">
        <w:rPr>
          <w:rFonts w:eastAsia="Calibri"/>
          <w:bCs/>
          <w:iCs/>
          <w:kern w:val="22"/>
          <w:szCs w:val="22"/>
        </w:rPr>
        <w:t>(b) </w:t>
      </w:r>
      <w:r w:rsidR="008D4349" w:rsidRPr="003A739F">
        <w:rPr>
          <w:rFonts w:eastAsia="Calibri"/>
          <w:bCs/>
          <w:iCs/>
          <w:kern w:val="22"/>
          <w:szCs w:val="22"/>
        </w:rPr>
        <w:t xml:space="preserve">in the case of the Convention on Wetlands, the mainstreaming of wetlands and its biodiversity across sectors, landscapes and seascapes; and </w:t>
      </w:r>
      <w:r w:rsidR="003D5265">
        <w:rPr>
          <w:rFonts w:eastAsia="Calibri"/>
          <w:bCs/>
          <w:iCs/>
          <w:kern w:val="22"/>
          <w:szCs w:val="22"/>
        </w:rPr>
        <w:t>(c) </w:t>
      </w:r>
      <w:r w:rsidR="008D4349" w:rsidRPr="003A739F">
        <w:rPr>
          <w:rFonts w:eastAsia="Calibri"/>
          <w:bCs/>
          <w:iCs/>
          <w:kern w:val="22"/>
          <w:szCs w:val="22"/>
        </w:rPr>
        <w:t xml:space="preserve">in the case of </w:t>
      </w:r>
      <w:r w:rsidR="006537CC">
        <w:rPr>
          <w:rFonts w:eastAsia="Calibri"/>
          <w:bCs/>
          <w:iCs/>
          <w:kern w:val="22"/>
          <w:szCs w:val="22"/>
        </w:rPr>
        <w:t>the Convention on Migratory Species</w:t>
      </w:r>
      <w:r w:rsidR="0090717F">
        <w:rPr>
          <w:rFonts w:eastAsia="Calibri"/>
          <w:bCs/>
          <w:iCs/>
          <w:kern w:val="22"/>
          <w:szCs w:val="22"/>
        </w:rPr>
        <w:t>,</w:t>
      </w:r>
      <w:r w:rsidR="008D4349" w:rsidRPr="003A739F">
        <w:rPr>
          <w:rFonts w:eastAsia="Calibri"/>
          <w:bCs/>
          <w:iCs/>
          <w:kern w:val="22"/>
          <w:szCs w:val="22"/>
        </w:rPr>
        <w:t xml:space="preserve"> into industries and developments that impact on migratory species and their habitats;</w:t>
      </w:r>
    </w:p>
    <w:p w14:paraId="0C4C80F4" w14:textId="77777777" w:rsidR="00220CE9"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Transboundary and regional initiatives</w:t>
      </w:r>
      <w:r w:rsidRPr="003A739F">
        <w:rPr>
          <w:rFonts w:eastAsia="Calibri"/>
          <w:bCs/>
          <w:iCs/>
          <w:kern w:val="22"/>
          <w:szCs w:val="22"/>
        </w:rPr>
        <w:t xml:space="preserve"> </w:t>
      </w:r>
      <w:r w:rsidR="00EE7646"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A priority need for support for transboundary and regional projects and programmes, including transboundary waters and species migration systems</w:t>
      </w:r>
      <w:r w:rsidR="00EE7646" w:rsidRPr="003A739F">
        <w:rPr>
          <w:rFonts w:eastAsia="Calibri"/>
          <w:bCs/>
          <w:iCs/>
          <w:kern w:val="22"/>
          <w:szCs w:val="22"/>
        </w:rPr>
        <w:t>,</w:t>
      </w:r>
      <w:r w:rsidR="008D4349" w:rsidRPr="003A739F">
        <w:rPr>
          <w:rFonts w:eastAsia="Calibri"/>
          <w:bCs/>
          <w:iCs/>
          <w:kern w:val="22"/>
          <w:szCs w:val="22"/>
        </w:rPr>
        <w:t xml:space="preserve"> which are of intrinsic importance to the Conventions on Wetlands and Migratory Species, as well as to the objectives of the Convention on Biological Diversity and its Protocols</w:t>
      </w:r>
      <w:r w:rsidR="00E4552A" w:rsidRPr="003A739F">
        <w:rPr>
          <w:rFonts w:eastAsia="Calibri"/>
          <w:bCs/>
          <w:iCs/>
          <w:kern w:val="22"/>
          <w:szCs w:val="22"/>
        </w:rPr>
        <w:t>.</w:t>
      </w:r>
    </w:p>
    <w:p w14:paraId="3C901FA2" w14:textId="0B7154A6" w:rsidR="004C595B" w:rsidRPr="003A739F" w:rsidRDefault="00916066"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It is note</w:t>
      </w:r>
      <w:r w:rsidR="00BF4A71" w:rsidRPr="003A739F">
        <w:rPr>
          <w:snapToGrid w:val="0"/>
          <w:kern w:val="22"/>
          <w:szCs w:val="18"/>
        </w:rPr>
        <w:t>worthy</w:t>
      </w:r>
      <w:r w:rsidRPr="003A739F">
        <w:rPr>
          <w:snapToGrid w:val="0"/>
          <w:kern w:val="22"/>
          <w:szCs w:val="18"/>
        </w:rPr>
        <w:t xml:space="preserve"> that each of t</w:t>
      </w:r>
      <w:r w:rsidR="00A37534" w:rsidRPr="003A739F">
        <w:rPr>
          <w:snapToGrid w:val="0"/>
          <w:kern w:val="22"/>
          <w:szCs w:val="18"/>
        </w:rPr>
        <w:t>he</w:t>
      </w:r>
      <w:r w:rsidRPr="003A739F">
        <w:rPr>
          <w:snapToGrid w:val="0"/>
          <w:kern w:val="22"/>
          <w:szCs w:val="18"/>
        </w:rPr>
        <w:t xml:space="preserve"> issues </w:t>
      </w:r>
      <w:r w:rsidR="00BF4A71" w:rsidRPr="003A739F">
        <w:rPr>
          <w:snapToGrid w:val="0"/>
          <w:kern w:val="22"/>
          <w:szCs w:val="18"/>
        </w:rPr>
        <w:t>highlighted</w:t>
      </w:r>
      <w:r w:rsidR="00A37534" w:rsidRPr="003A739F">
        <w:rPr>
          <w:snapToGrid w:val="0"/>
          <w:kern w:val="22"/>
          <w:szCs w:val="18"/>
        </w:rPr>
        <w:t xml:space="preserve"> in paragraph 13</w:t>
      </w:r>
      <w:r w:rsidR="00BF4A71" w:rsidRPr="003A739F">
        <w:rPr>
          <w:snapToGrid w:val="0"/>
          <w:kern w:val="22"/>
          <w:szCs w:val="18"/>
        </w:rPr>
        <w:t xml:space="preserve"> above</w:t>
      </w:r>
      <w:r w:rsidR="00A37534" w:rsidRPr="003A739F">
        <w:rPr>
          <w:snapToGrid w:val="0"/>
          <w:kern w:val="22"/>
          <w:szCs w:val="18"/>
        </w:rPr>
        <w:t xml:space="preserve"> </w:t>
      </w:r>
      <w:r w:rsidRPr="003A739F">
        <w:rPr>
          <w:snapToGrid w:val="0"/>
          <w:kern w:val="22"/>
          <w:szCs w:val="18"/>
        </w:rPr>
        <w:t xml:space="preserve">are also relevant to other biodiversity-related conventions, including </w:t>
      </w:r>
      <w:r w:rsidR="005D2830" w:rsidRPr="003A739F">
        <w:rPr>
          <w:snapToGrid w:val="0"/>
          <w:kern w:val="22"/>
          <w:szCs w:val="18"/>
        </w:rPr>
        <w:t>the Convention on International Trade in Endangered Species of Wild Fauna and Flora</w:t>
      </w:r>
      <w:r w:rsidRPr="003A739F">
        <w:rPr>
          <w:snapToGrid w:val="0"/>
          <w:kern w:val="22"/>
          <w:szCs w:val="18"/>
        </w:rPr>
        <w:t xml:space="preserve">, </w:t>
      </w:r>
      <w:r w:rsidR="00BF4A71" w:rsidRPr="003A739F">
        <w:rPr>
          <w:snapToGrid w:val="0"/>
          <w:kern w:val="22"/>
          <w:szCs w:val="18"/>
        </w:rPr>
        <w:t xml:space="preserve">the </w:t>
      </w:r>
      <w:r w:rsidR="005D2830" w:rsidRPr="003A739F">
        <w:rPr>
          <w:snapToGrid w:val="0"/>
          <w:kern w:val="22"/>
          <w:szCs w:val="18"/>
        </w:rPr>
        <w:t>Convention Concerning the Protection of the World Cultural and Natural Heritage</w:t>
      </w:r>
      <w:r w:rsidR="008A14E0" w:rsidRPr="003A739F">
        <w:rPr>
          <w:snapToGrid w:val="0"/>
          <w:kern w:val="22"/>
          <w:szCs w:val="18"/>
        </w:rPr>
        <w:t xml:space="preserve">, </w:t>
      </w:r>
      <w:r w:rsidR="005D2830" w:rsidRPr="003A739F">
        <w:rPr>
          <w:snapToGrid w:val="0"/>
          <w:kern w:val="22"/>
          <w:szCs w:val="18"/>
        </w:rPr>
        <w:t>the International Plant Protection Convention</w:t>
      </w:r>
      <w:r w:rsidR="008A14E0" w:rsidRPr="003A739F">
        <w:rPr>
          <w:snapToGrid w:val="0"/>
          <w:kern w:val="22"/>
          <w:szCs w:val="18"/>
        </w:rPr>
        <w:t xml:space="preserve"> and </w:t>
      </w:r>
      <w:r w:rsidR="00BF4A71" w:rsidRPr="003A739F">
        <w:rPr>
          <w:snapToGrid w:val="0"/>
          <w:kern w:val="22"/>
          <w:szCs w:val="18"/>
        </w:rPr>
        <w:t xml:space="preserve">the </w:t>
      </w:r>
      <w:r w:rsidR="005D2830" w:rsidRPr="003A739F">
        <w:rPr>
          <w:snapToGrid w:val="0"/>
          <w:kern w:val="22"/>
          <w:szCs w:val="18"/>
        </w:rPr>
        <w:t>International Whaling Commission</w:t>
      </w:r>
      <w:r w:rsidR="008A14E0" w:rsidRPr="003A739F">
        <w:rPr>
          <w:snapToGrid w:val="0"/>
          <w:kern w:val="22"/>
          <w:szCs w:val="18"/>
        </w:rPr>
        <w:t xml:space="preserve">, </w:t>
      </w:r>
      <w:r w:rsidR="00BF4A71" w:rsidRPr="003A739F">
        <w:rPr>
          <w:snapToGrid w:val="0"/>
          <w:kern w:val="22"/>
          <w:szCs w:val="18"/>
        </w:rPr>
        <w:t>and</w:t>
      </w:r>
      <w:r w:rsidR="008A14E0" w:rsidRPr="003A739F">
        <w:rPr>
          <w:snapToGrid w:val="0"/>
          <w:kern w:val="22"/>
          <w:szCs w:val="18"/>
        </w:rPr>
        <w:t xml:space="preserve"> to the implementation of the objectives of the Convention on Biological Diversity and its Protocols</w:t>
      </w:r>
      <w:r w:rsidRPr="003A739F">
        <w:rPr>
          <w:rFonts w:eastAsia="Calibri"/>
          <w:bCs/>
          <w:iCs/>
          <w:kern w:val="22"/>
          <w:szCs w:val="22"/>
        </w:rPr>
        <w:t>.</w:t>
      </w:r>
    </w:p>
    <w:p w14:paraId="001A6E69" w14:textId="77777777" w:rsidR="004C595B" w:rsidRPr="003A739F" w:rsidRDefault="004C595B" w:rsidP="003A739F">
      <w:pPr>
        <w:suppressLineNumbers/>
        <w:suppressAutoHyphens/>
        <w:autoSpaceDE w:val="0"/>
        <w:autoSpaceDN w:val="0"/>
        <w:adjustRightInd w:val="0"/>
        <w:snapToGrid w:val="0"/>
        <w:jc w:val="left"/>
        <w:rPr>
          <w:rFonts w:eastAsia="Calibri"/>
          <w:bCs/>
          <w:iCs/>
          <w:kern w:val="22"/>
          <w:szCs w:val="22"/>
        </w:rPr>
      </w:pPr>
    </w:p>
    <w:p w14:paraId="110A5C7B" w14:textId="77777777" w:rsidR="00780F3D" w:rsidRPr="00CC6EAB" w:rsidRDefault="00780F3D" w:rsidP="003A739F">
      <w:pPr>
        <w:suppressLineNumbers/>
        <w:suppressAutoHyphens/>
        <w:adjustRightInd w:val="0"/>
        <w:snapToGrid w:val="0"/>
        <w:jc w:val="center"/>
        <w:rPr>
          <w:snapToGrid w:val="0"/>
          <w:kern w:val="22"/>
          <w:szCs w:val="22"/>
        </w:rPr>
      </w:pPr>
      <w:r w:rsidRPr="001B7FF9">
        <w:rPr>
          <w:snapToGrid w:val="0"/>
          <w:kern w:val="22"/>
          <w:szCs w:val="22"/>
        </w:rPr>
        <w:t>__________</w:t>
      </w:r>
    </w:p>
    <w:bookmarkEnd w:id="1"/>
    <w:p w14:paraId="4E96189C" w14:textId="77777777" w:rsidR="004C595B" w:rsidRPr="003A739F" w:rsidRDefault="004C595B" w:rsidP="003A739F">
      <w:pPr>
        <w:suppressLineNumbers/>
        <w:suppressAutoHyphens/>
        <w:autoSpaceDE w:val="0"/>
        <w:autoSpaceDN w:val="0"/>
        <w:adjustRightInd w:val="0"/>
        <w:snapToGrid w:val="0"/>
        <w:jc w:val="left"/>
        <w:rPr>
          <w:rFonts w:eastAsia="Calibri"/>
          <w:bCs/>
          <w:iCs/>
          <w:kern w:val="22"/>
          <w:szCs w:val="22"/>
        </w:rPr>
      </w:pPr>
    </w:p>
    <w:sectPr w:rsidR="004C595B" w:rsidRPr="003A739F" w:rsidSect="00F36489">
      <w:headerReference w:type="even" r:id="rId16"/>
      <w:headerReference w:type="default" r:id="rId17"/>
      <w:footerReference w:type="even" r:id="rId18"/>
      <w:footerReference w:type="default" r:id="rId19"/>
      <w:pgSz w:w="12242" w:h="15842" w:code="1"/>
      <w:pgMar w:top="1138" w:right="1138" w:bottom="1022" w:left="113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98C2" w14:textId="77777777" w:rsidR="0071155A" w:rsidRDefault="0071155A">
      <w:r>
        <w:separator/>
      </w:r>
    </w:p>
  </w:endnote>
  <w:endnote w:type="continuationSeparator" w:id="0">
    <w:p w14:paraId="1DDB9617" w14:textId="77777777" w:rsidR="0071155A" w:rsidRDefault="0071155A">
      <w:r>
        <w:continuationSeparator/>
      </w:r>
    </w:p>
  </w:endnote>
  <w:endnote w:type="continuationNotice" w:id="1">
    <w:p w14:paraId="4FD146FD" w14:textId="77777777" w:rsidR="0071155A" w:rsidRDefault="0071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2C48" w14:textId="77777777" w:rsidR="00C32EBC" w:rsidRDefault="00C32EBC"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561D" w14:textId="77777777" w:rsidR="00BD178E" w:rsidRDefault="00BD178E" w:rsidP="00E90C5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43A7" w14:textId="77777777" w:rsidR="0071155A" w:rsidRDefault="0071155A">
      <w:r>
        <w:separator/>
      </w:r>
    </w:p>
  </w:footnote>
  <w:footnote w:type="continuationSeparator" w:id="0">
    <w:p w14:paraId="331BD0C0" w14:textId="77777777" w:rsidR="0071155A" w:rsidRDefault="0071155A">
      <w:r>
        <w:continuationSeparator/>
      </w:r>
    </w:p>
  </w:footnote>
  <w:footnote w:type="continuationNotice" w:id="1">
    <w:p w14:paraId="7EE0F56E" w14:textId="77777777" w:rsidR="0071155A" w:rsidRDefault="0071155A"/>
  </w:footnote>
  <w:footnote w:id="2">
    <w:p w14:paraId="516CCF7C" w14:textId="73385005" w:rsidR="002E26F5" w:rsidRPr="0093769C" w:rsidRDefault="002E26F5" w:rsidP="003A739F">
      <w:pPr>
        <w:pStyle w:val="FootnoteText"/>
        <w:suppressLineNumbers/>
        <w:suppressAutoHyphens/>
        <w:ind w:firstLine="0"/>
        <w:jc w:val="left"/>
        <w:rPr>
          <w:snapToGrid w:val="0"/>
          <w:kern w:val="18"/>
          <w:szCs w:val="18"/>
          <w:lang w:val="en-US"/>
        </w:rPr>
      </w:pPr>
      <w:r w:rsidRPr="003A739F">
        <w:rPr>
          <w:rStyle w:val="FootnoteReference"/>
          <w:snapToGrid w:val="0"/>
          <w:kern w:val="18"/>
          <w:sz w:val="18"/>
          <w:szCs w:val="18"/>
        </w:rPr>
        <w:t>*</w:t>
      </w:r>
      <w:r w:rsidRPr="0093769C">
        <w:rPr>
          <w:snapToGrid w:val="0"/>
          <w:kern w:val="18"/>
          <w:szCs w:val="18"/>
        </w:rPr>
        <w:t xml:space="preserve"> CBD/</w:t>
      </w:r>
      <w:r w:rsidR="00207811" w:rsidRPr="0093769C">
        <w:rPr>
          <w:snapToGrid w:val="0"/>
          <w:kern w:val="18"/>
          <w:szCs w:val="18"/>
        </w:rPr>
        <w:t>SBI/3/1.</w:t>
      </w:r>
    </w:p>
  </w:footnote>
  <w:footnote w:id="3">
    <w:p w14:paraId="5660A9D4" w14:textId="77777777" w:rsidR="008A14E0" w:rsidRPr="0093769C" w:rsidRDefault="008A14E0" w:rsidP="003A739F">
      <w:pPr>
        <w:pStyle w:val="FootnoteText"/>
        <w:suppressLineNumbers/>
        <w:suppressAutoHyphens/>
        <w:ind w:firstLine="0"/>
        <w:jc w:val="left"/>
        <w:rPr>
          <w:szCs w:val="18"/>
          <w:lang w:val="en-CA"/>
        </w:rPr>
      </w:pPr>
      <w:r w:rsidRPr="003A739F">
        <w:rPr>
          <w:rStyle w:val="FootnoteReference"/>
          <w:sz w:val="18"/>
          <w:szCs w:val="18"/>
        </w:rPr>
        <w:footnoteRef/>
      </w:r>
      <w:r w:rsidRPr="0093769C">
        <w:rPr>
          <w:szCs w:val="18"/>
        </w:rPr>
        <w:t xml:space="preserve"> </w:t>
      </w:r>
      <w:r w:rsidR="00383304" w:rsidRPr="0093769C">
        <w:rPr>
          <w:szCs w:val="18"/>
        </w:rPr>
        <w:t xml:space="preserve">15th session of the Commission on Phytosanitary Measures, 16 March, 18 </w:t>
      </w:r>
      <w:proofErr w:type="gramStart"/>
      <w:r w:rsidR="00383304" w:rsidRPr="0093769C">
        <w:rPr>
          <w:szCs w:val="18"/>
        </w:rPr>
        <w:t>March</w:t>
      </w:r>
      <w:proofErr w:type="gramEnd"/>
      <w:r w:rsidR="00383304" w:rsidRPr="0093769C">
        <w:rPr>
          <w:szCs w:val="18"/>
        </w:rPr>
        <w:t xml:space="preserve"> and 1 April 2021; 44th session of the World Heritage Committee, June/July 2021 (dates TBC); 68th session of the International Whaling Commission, 3-10 September 2021.</w:t>
      </w:r>
    </w:p>
  </w:footnote>
  <w:footnote w:id="4">
    <w:p w14:paraId="5560056D" w14:textId="7B519DC8" w:rsidR="0065021F" w:rsidRPr="0093769C" w:rsidRDefault="0065021F" w:rsidP="003A739F">
      <w:pPr>
        <w:pStyle w:val="FootnoteText"/>
        <w:suppressLineNumbers/>
        <w:suppressAutoHyphens/>
        <w:ind w:firstLine="0"/>
        <w:jc w:val="left"/>
        <w:rPr>
          <w:szCs w:val="18"/>
          <w:lang w:val="en-CA"/>
        </w:rPr>
      </w:pPr>
      <w:r w:rsidRPr="003A739F">
        <w:rPr>
          <w:rStyle w:val="FootnoteReference"/>
          <w:sz w:val="18"/>
          <w:szCs w:val="18"/>
        </w:rPr>
        <w:footnoteRef/>
      </w:r>
      <w:r w:rsidRPr="0093769C">
        <w:rPr>
          <w:szCs w:val="18"/>
        </w:rPr>
        <w:t xml:space="preserve"> </w:t>
      </w:r>
      <w:r w:rsidR="00CD395B" w:rsidRPr="0093769C">
        <w:rPr>
          <w:szCs w:val="18"/>
        </w:rPr>
        <w:t>The elements are presented in subparagraphs (a) to (s) in the language and formulation as adopted in the resolution.</w:t>
      </w:r>
    </w:p>
  </w:footnote>
  <w:footnote w:id="5">
    <w:p w14:paraId="5FBD1783" w14:textId="3D2CF7F6" w:rsidR="00CD395B" w:rsidRPr="00D732CA"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considerations are prese</w:t>
      </w:r>
      <w:r w:rsidRPr="00CC6EAB">
        <w:rPr>
          <w:szCs w:val="18"/>
        </w:rPr>
        <w:t>nted in sub-paragraphs (a) to (c</w:t>
      </w:r>
      <w:r w:rsidRPr="006537CC">
        <w:rPr>
          <w:szCs w:val="18"/>
        </w:rPr>
        <w:t>) in the language and formulation as adopted in the decision</w:t>
      </w:r>
      <w:r w:rsidR="00372075" w:rsidRPr="006537CC">
        <w:rPr>
          <w:szCs w:val="18"/>
        </w:rPr>
        <w:t>.</w:t>
      </w:r>
    </w:p>
  </w:footnote>
  <w:footnote w:id="6">
    <w:p w14:paraId="743BF286" w14:textId="64F5BE7A" w:rsidR="00CD395B" w:rsidRPr="009B60D5"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following are pres</w:t>
      </w:r>
      <w:r w:rsidRPr="00CC6EAB">
        <w:rPr>
          <w:szCs w:val="18"/>
        </w:rPr>
        <w:t>e</w:t>
      </w:r>
      <w:r w:rsidRPr="006537CC">
        <w:rPr>
          <w:szCs w:val="18"/>
        </w:rPr>
        <w:t>nted in sub-paragraphs (a) to (f) in the language and formulation as adopted in the decision</w:t>
      </w:r>
      <w:r w:rsidR="00372075" w:rsidRPr="00D732CA">
        <w:rPr>
          <w:szCs w:val="18"/>
        </w:rPr>
        <w:t>.</w:t>
      </w:r>
    </w:p>
  </w:footnote>
  <w:footnote w:id="7">
    <w:p w14:paraId="3AD3FB23" w14:textId="517C3FB1" w:rsidR="00CD395B" w:rsidRPr="009B60D5"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elements </w:t>
      </w:r>
      <w:r w:rsidRPr="00CC6EAB">
        <w:rPr>
          <w:szCs w:val="18"/>
        </w:rPr>
        <w:t xml:space="preserve">of advice </w:t>
      </w:r>
      <w:r w:rsidRPr="006537CC">
        <w:rPr>
          <w:szCs w:val="18"/>
        </w:rPr>
        <w:t>are presented in sub-paragraphs (a) to (h) in the language and formulation as adopted in the resolution</w:t>
      </w:r>
      <w:r w:rsidR="008055AF" w:rsidRPr="00D732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8E01" w14:textId="77777777" w:rsidR="003518DD" w:rsidRPr="00E90C52" w:rsidRDefault="003518DD" w:rsidP="00CF54B1">
    <w:pPr>
      <w:adjustRightInd w:val="0"/>
      <w:jc w:val="left"/>
      <w:rPr>
        <w:noProof/>
        <w:kern w:val="22"/>
      </w:rPr>
    </w:pPr>
    <w:r w:rsidRPr="00E90C52">
      <w:rPr>
        <w:noProof/>
        <w:kern w:val="22"/>
      </w:rPr>
      <w:t>C</w:t>
    </w:r>
    <w:r w:rsidR="00780F3D">
      <w:rPr>
        <w:noProof/>
        <w:kern w:val="22"/>
      </w:rPr>
      <w:t>BD/SBI/3/6/Add.3</w:t>
    </w:r>
  </w:p>
  <w:p w14:paraId="59867F33" w14:textId="77777777" w:rsidR="003518DD" w:rsidRPr="00E90C52" w:rsidRDefault="003518DD" w:rsidP="00701E5E">
    <w:pPr>
      <w:pStyle w:val="Header"/>
      <w:tabs>
        <w:tab w:val="clear" w:pos="4320"/>
        <w:tab w:val="clear" w:pos="8640"/>
      </w:tabs>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62762">
      <w:rPr>
        <w:noProof/>
        <w:kern w:val="22"/>
      </w:rPr>
      <w:t>2</w:t>
    </w:r>
    <w:r w:rsidRPr="00E90C52">
      <w:rPr>
        <w:noProof/>
        <w:kern w:val="22"/>
      </w:rPr>
      <w:fldChar w:fldCharType="end"/>
    </w:r>
  </w:p>
  <w:p w14:paraId="17CAA245" w14:textId="77777777" w:rsidR="00C32EBC" w:rsidRPr="00E90C52" w:rsidRDefault="00C32EBC" w:rsidP="00701E5E">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9C5F" w14:textId="77777777" w:rsidR="003518DD" w:rsidRPr="00E90C52" w:rsidRDefault="003518DD" w:rsidP="00CA7C13">
    <w:pPr>
      <w:jc w:val="right"/>
      <w:rPr>
        <w:noProof/>
        <w:kern w:val="22"/>
      </w:rPr>
    </w:pPr>
    <w:r w:rsidRPr="00E90C52">
      <w:rPr>
        <w:noProof/>
        <w:kern w:val="22"/>
      </w:rPr>
      <w:t>C</w:t>
    </w:r>
    <w:r w:rsidR="00780F3D">
      <w:rPr>
        <w:noProof/>
        <w:kern w:val="22"/>
      </w:rPr>
      <w:t>BD/SBI/3/6/Add.3</w:t>
    </w:r>
  </w:p>
  <w:p w14:paraId="2B4194DF" w14:textId="77777777" w:rsidR="003518DD" w:rsidRPr="00E90C52" w:rsidRDefault="003518DD" w:rsidP="00E90C52">
    <w:pPr>
      <w:pStyle w:val="Header"/>
      <w:tabs>
        <w:tab w:val="clear" w:pos="4320"/>
        <w:tab w:val="clear" w:pos="8640"/>
      </w:tabs>
      <w:jc w:val="right"/>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62762">
      <w:rPr>
        <w:noProof/>
        <w:kern w:val="22"/>
      </w:rPr>
      <w:t>3</w:t>
    </w:r>
    <w:r w:rsidRPr="00E90C52">
      <w:rPr>
        <w:noProof/>
        <w:kern w:val="22"/>
      </w:rPr>
      <w:fldChar w:fldCharType="end"/>
    </w:r>
  </w:p>
  <w:p w14:paraId="0DF8F6DF" w14:textId="77777777" w:rsidR="003518DD" w:rsidRPr="00E90C52" w:rsidRDefault="003518DD"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194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83D2A"/>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454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E6935"/>
    <w:multiLevelType w:val="hybridMultilevel"/>
    <w:tmpl w:val="EDE02ABC"/>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A2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B5571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4CC7FBB"/>
    <w:multiLevelType w:val="hybridMultilevel"/>
    <w:tmpl w:val="B934B6F0"/>
    <w:lvl w:ilvl="0" w:tplc="89D8BABC">
      <w:start w:val="1"/>
      <w:numFmt w:val="lowerLetter"/>
      <w:lvlRestart w:val="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03B8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C015C2"/>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B4F5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2B721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40602A0"/>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53557"/>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90912C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358FB"/>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26"/>
  </w:num>
  <w:num w:numId="6">
    <w:abstractNumId w:val="12"/>
  </w:num>
  <w:num w:numId="7">
    <w:abstractNumId w:val="11"/>
  </w:num>
  <w:num w:numId="8">
    <w:abstractNumId w:val="23"/>
  </w:num>
  <w:num w:numId="9">
    <w:abstractNumId w:val="13"/>
  </w:num>
  <w:num w:numId="10">
    <w:abstractNumId w:val="0"/>
  </w:num>
  <w:num w:numId="11">
    <w:abstractNumId w:val="21"/>
  </w:num>
  <w:num w:numId="1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1"/>
  </w:num>
  <w:num w:numId="16">
    <w:abstractNumId w:val="21"/>
  </w:num>
  <w:num w:numId="17">
    <w:abstractNumId w:val="21"/>
  </w:num>
  <w:num w:numId="18">
    <w:abstractNumId w:val="21"/>
  </w:num>
  <w:num w:numId="19">
    <w:abstractNumId w:val="14"/>
  </w:num>
  <w:num w:numId="20">
    <w:abstractNumId w:val="22"/>
  </w:num>
  <w:num w:numId="21">
    <w:abstractNumId w:val="16"/>
  </w:num>
  <w:num w:numId="22">
    <w:abstractNumId w:val="3"/>
  </w:num>
  <w:num w:numId="23">
    <w:abstractNumId w:val="17"/>
  </w:num>
  <w:num w:numId="24">
    <w:abstractNumId w:val="20"/>
  </w:num>
  <w:num w:numId="25">
    <w:abstractNumId w:val="9"/>
  </w:num>
  <w:num w:numId="26">
    <w:abstractNumId w:val="27"/>
  </w:num>
  <w:num w:numId="27">
    <w:abstractNumId w:val="5"/>
  </w:num>
  <w:num w:numId="28">
    <w:abstractNumId w:val="1"/>
  </w:num>
  <w:num w:numId="29">
    <w:abstractNumId w:val="4"/>
  </w:num>
  <w:num w:numId="30">
    <w:abstractNumId w:val="2"/>
  </w:num>
  <w:num w:numId="31">
    <w:abstractNumId w:val="25"/>
  </w:num>
  <w:num w:numId="32">
    <w:abstractNumId w:val="28"/>
  </w:num>
  <w:num w:numId="33">
    <w:abstractNumId w:val="24"/>
  </w:num>
  <w:num w:numId="34">
    <w:abstractNumId w:val="7"/>
  </w:num>
  <w:num w:numId="35">
    <w:abstractNumId w:val="15"/>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41"/>
    <w:rsid w:val="00001FD3"/>
    <w:rsid w:val="00003284"/>
    <w:rsid w:val="00005DDA"/>
    <w:rsid w:val="00010217"/>
    <w:rsid w:val="00010973"/>
    <w:rsid w:val="00011893"/>
    <w:rsid w:val="00011AEC"/>
    <w:rsid w:val="00011DB4"/>
    <w:rsid w:val="000124A6"/>
    <w:rsid w:val="00013F28"/>
    <w:rsid w:val="00017BF3"/>
    <w:rsid w:val="0002615D"/>
    <w:rsid w:val="00026B46"/>
    <w:rsid w:val="00026E15"/>
    <w:rsid w:val="000316F8"/>
    <w:rsid w:val="00033F1B"/>
    <w:rsid w:val="00040645"/>
    <w:rsid w:val="00044096"/>
    <w:rsid w:val="00046553"/>
    <w:rsid w:val="000533DE"/>
    <w:rsid w:val="00053A1A"/>
    <w:rsid w:val="00054F54"/>
    <w:rsid w:val="0005560B"/>
    <w:rsid w:val="000606C6"/>
    <w:rsid w:val="00060AD2"/>
    <w:rsid w:val="00063017"/>
    <w:rsid w:val="00063B31"/>
    <w:rsid w:val="0006497F"/>
    <w:rsid w:val="00064FF3"/>
    <w:rsid w:val="0006637B"/>
    <w:rsid w:val="00066A9A"/>
    <w:rsid w:val="000702B3"/>
    <w:rsid w:val="000714EA"/>
    <w:rsid w:val="00071BB9"/>
    <w:rsid w:val="00076184"/>
    <w:rsid w:val="0007645C"/>
    <w:rsid w:val="00076E9E"/>
    <w:rsid w:val="00080A58"/>
    <w:rsid w:val="00081EB3"/>
    <w:rsid w:val="0008205C"/>
    <w:rsid w:val="00082E46"/>
    <w:rsid w:val="000834F2"/>
    <w:rsid w:val="00085CA9"/>
    <w:rsid w:val="0008777E"/>
    <w:rsid w:val="000925C5"/>
    <w:rsid w:val="000927E6"/>
    <w:rsid w:val="00092D9F"/>
    <w:rsid w:val="0009369F"/>
    <w:rsid w:val="00094767"/>
    <w:rsid w:val="00094D64"/>
    <w:rsid w:val="000950AF"/>
    <w:rsid w:val="000A05D8"/>
    <w:rsid w:val="000A0724"/>
    <w:rsid w:val="000A0896"/>
    <w:rsid w:val="000A08FA"/>
    <w:rsid w:val="000A7C02"/>
    <w:rsid w:val="000B01CD"/>
    <w:rsid w:val="000B0805"/>
    <w:rsid w:val="000B1CF1"/>
    <w:rsid w:val="000B30A9"/>
    <w:rsid w:val="000B5BE5"/>
    <w:rsid w:val="000B6C80"/>
    <w:rsid w:val="000C1B61"/>
    <w:rsid w:val="000D08FD"/>
    <w:rsid w:val="000D203C"/>
    <w:rsid w:val="000D257F"/>
    <w:rsid w:val="000D2F18"/>
    <w:rsid w:val="000D3042"/>
    <w:rsid w:val="000D3E60"/>
    <w:rsid w:val="000D5802"/>
    <w:rsid w:val="000D6202"/>
    <w:rsid w:val="000D66D4"/>
    <w:rsid w:val="000D7763"/>
    <w:rsid w:val="000E2FA5"/>
    <w:rsid w:val="000E36B7"/>
    <w:rsid w:val="000F69DD"/>
    <w:rsid w:val="00100952"/>
    <w:rsid w:val="00101B5C"/>
    <w:rsid w:val="0010450D"/>
    <w:rsid w:val="0010636B"/>
    <w:rsid w:val="00106485"/>
    <w:rsid w:val="00106A45"/>
    <w:rsid w:val="0010718E"/>
    <w:rsid w:val="00107D99"/>
    <w:rsid w:val="00110520"/>
    <w:rsid w:val="001105E1"/>
    <w:rsid w:val="00111066"/>
    <w:rsid w:val="00114AB4"/>
    <w:rsid w:val="00117557"/>
    <w:rsid w:val="00117FCE"/>
    <w:rsid w:val="00120695"/>
    <w:rsid w:val="00125082"/>
    <w:rsid w:val="00125398"/>
    <w:rsid w:val="00126CF7"/>
    <w:rsid w:val="0013046C"/>
    <w:rsid w:val="00140AFE"/>
    <w:rsid w:val="00141902"/>
    <w:rsid w:val="001432DB"/>
    <w:rsid w:val="00144801"/>
    <w:rsid w:val="00144984"/>
    <w:rsid w:val="00152C7E"/>
    <w:rsid w:val="0015435E"/>
    <w:rsid w:val="001544AA"/>
    <w:rsid w:val="00154E36"/>
    <w:rsid w:val="00155537"/>
    <w:rsid w:val="0015619A"/>
    <w:rsid w:val="00156B70"/>
    <w:rsid w:val="00157424"/>
    <w:rsid w:val="00161348"/>
    <w:rsid w:val="0016166F"/>
    <w:rsid w:val="00166D59"/>
    <w:rsid w:val="00170509"/>
    <w:rsid w:val="00170E0B"/>
    <w:rsid w:val="0017114F"/>
    <w:rsid w:val="00176134"/>
    <w:rsid w:val="001762D2"/>
    <w:rsid w:val="00176A4A"/>
    <w:rsid w:val="0017738E"/>
    <w:rsid w:val="00177BD5"/>
    <w:rsid w:val="00180932"/>
    <w:rsid w:val="00182100"/>
    <w:rsid w:val="00184192"/>
    <w:rsid w:val="00184FF4"/>
    <w:rsid w:val="00186E75"/>
    <w:rsid w:val="0019239B"/>
    <w:rsid w:val="00193023"/>
    <w:rsid w:val="00193826"/>
    <w:rsid w:val="0019649B"/>
    <w:rsid w:val="001967D5"/>
    <w:rsid w:val="001978BF"/>
    <w:rsid w:val="001A0027"/>
    <w:rsid w:val="001A0978"/>
    <w:rsid w:val="001A114E"/>
    <w:rsid w:val="001A2496"/>
    <w:rsid w:val="001A26A7"/>
    <w:rsid w:val="001A343D"/>
    <w:rsid w:val="001A5A2A"/>
    <w:rsid w:val="001A7790"/>
    <w:rsid w:val="001B1B5E"/>
    <w:rsid w:val="001B1FEE"/>
    <w:rsid w:val="001B29DA"/>
    <w:rsid w:val="001B6509"/>
    <w:rsid w:val="001B723A"/>
    <w:rsid w:val="001B7CE3"/>
    <w:rsid w:val="001B7FF9"/>
    <w:rsid w:val="001C0578"/>
    <w:rsid w:val="001C09EF"/>
    <w:rsid w:val="001C4323"/>
    <w:rsid w:val="001C4FC9"/>
    <w:rsid w:val="001D0034"/>
    <w:rsid w:val="001D00D8"/>
    <w:rsid w:val="001D540C"/>
    <w:rsid w:val="001D792A"/>
    <w:rsid w:val="001E083C"/>
    <w:rsid w:val="001E1520"/>
    <w:rsid w:val="001E1B46"/>
    <w:rsid w:val="001E3C98"/>
    <w:rsid w:val="001E52DD"/>
    <w:rsid w:val="001E5F84"/>
    <w:rsid w:val="001E7B9A"/>
    <w:rsid w:val="001F05B0"/>
    <w:rsid w:val="001F14DB"/>
    <w:rsid w:val="001F167A"/>
    <w:rsid w:val="001F1D49"/>
    <w:rsid w:val="001F2335"/>
    <w:rsid w:val="001F35F3"/>
    <w:rsid w:val="001F68BE"/>
    <w:rsid w:val="001F79E5"/>
    <w:rsid w:val="00203C65"/>
    <w:rsid w:val="0020580D"/>
    <w:rsid w:val="00205882"/>
    <w:rsid w:val="00205CDD"/>
    <w:rsid w:val="00206D4C"/>
    <w:rsid w:val="00207811"/>
    <w:rsid w:val="00207E8A"/>
    <w:rsid w:val="00210061"/>
    <w:rsid w:val="002114B4"/>
    <w:rsid w:val="00214D18"/>
    <w:rsid w:val="0021663F"/>
    <w:rsid w:val="0021781B"/>
    <w:rsid w:val="00217DC2"/>
    <w:rsid w:val="00217E2D"/>
    <w:rsid w:val="00220CE9"/>
    <w:rsid w:val="002217F0"/>
    <w:rsid w:val="00224700"/>
    <w:rsid w:val="0022517E"/>
    <w:rsid w:val="0022604B"/>
    <w:rsid w:val="00233085"/>
    <w:rsid w:val="002335AA"/>
    <w:rsid w:val="0023477D"/>
    <w:rsid w:val="00236657"/>
    <w:rsid w:val="002457C0"/>
    <w:rsid w:val="00247950"/>
    <w:rsid w:val="00252780"/>
    <w:rsid w:val="00254C42"/>
    <w:rsid w:val="00254D5B"/>
    <w:rsid w:val="00255709"/>
    <w:rsid w:val="00255985"/>
    <w:rsid w:val="00255D35"/>
    <w:rsid w:val="00260CDA"/>
    <w:rsid w:val="00260DA4"/>
    <w:rsid w:val="00260DC3"/>
    <w:rsid w:val="00261535"/>
    <w:rsid w:val="00261768"/>
    <w:rsid w:val="00261C79"/>
    <w:rsid w:val="00262B37"/>
    <w:rsid w:val="002632AB"/>
    <w:rsid w:val="00264DA2"/>
    <w:rsid w:val="00265376"/>
    <w:rsid w:val="00270DC6"/>
    <w:rsid w:val="00272ADB"/>
    <w:rsid w:val="00273C85"/>
    <w:rsid w:val="002755B4"/>
    <w:rsid w:val="00275884"/>
    <w:rsid w:val="00276BE6"/>
    <w:rsid w:val="00277A5F"/>
    <w:rsid w:val="00277D23"/>
    <w:rsid w:val="00280F38"/>
    <w:rsid w:val="0028239E"/>
    <w:rsid w:val="00284E04"/>
    <w:rsid w:val="002869D6"/>
    <w:rsid w:val="00286E5F"/>
    <w:rsid w:val="00287039"/>
    <w:rsid w:val="0029087B"/>
    <w:rsid w:val="0029156C"/>
    <w:rsid w:val="0029419E"/>
    <w:rsid w:val="002954B5"/>
    <w:rsid w:val="0029775E"/>
    <w:rsid w:val="002A13DE"/>
    <w:rsid w:val="002A1448"/>
    <w:rsid w:val="002A3745"/>
    <w:rsid w:val="002A6B1B"/>
    <w:rsid w:val="002B1105"/>
    <w:rsid w:val="002B2AC6"/>
    <w:rsid w:val="002B3DFB"/>
    <w:rsid w:val="002B57ED"/>
    <w:rsid w:val="002B7FB4"/>
    <w:rsid w:val="002C0011"/>
    <w:rsid w:val="002C03B2"/>
    <w:rsid w:val="002C081C"/>
    <w:rsid w:val="002C41EA"/>
    <w:rsid w:val="002C4345"/>
    <w:rsid w:val="002C5747"/>
    <w:rsid w:val="002D0046"/>
    <w:rsid w:val="002D1831"/>
    <w:rsid w:val="002D2DFE"/>
    <w:rsid w:val="002D463F"/>
    <w:rsid w:val="002E04E1"/>
    <w:rsid w:val="002E1DB0"/>
    <w:rsid w:val="002E22F5"/>
    <w:rsid w:val="002E26F5"/>
    <w:rsid w:val="002E6EB0"/>
    <w:rsid w:val="002F1A6F"/>
    <w:rsid w:val="002F3B30"/>
    <w:rsid w:val="002F433F"/>
    <w:rsid w:val="002F5C93"/>
    <w:rsid w:val="002F6D1B"/>
    <w:rsid w:val="002F76D0"/>
    <w:rsid w:val="00300D79"/>
    <w:rsid w:val="00307644"/>
    <w:rsid w:val="00307D3F"/>
    <w:rsid w:val="00311415"/>
    <w:rsid w:val="003123B4"/>
    <w:rsid w:val="003130D3"/>
    <w:rsid w:val="00316612"/>
    <w:rsid w:val="0032035C"/>
    <w:rsid w:val="0032290F"/>
    <w:rsid w:val="00330073"/>
    <w:rsid w:val="00330202"/>
    <w:rsid w:val="00330879"/>
    <w:rsid w:val="003310F7"/>
    <w:rsid w:val="00334D73"/>
    <w:rsid w:val="003360D0"/>
    <w:rsid w:val="003366F5"/>
    <w:rsid w:val="003455BA"/>
    <w:rsid w:val="0034778B"/>
    <w:rsid w:val="0034781C"/>
    <w:rsid w:val="003501F1"/>
    <w:rsid w:val="00350401"/>
    <w:rsid w:val="0035040D"/>
    <w:rsid w:val="003518DD"/>
    <w:rsid w:val="003519F6"/>
    <w:rsid w:val="00351B19"/>
    <w:rsid w:val="00356060"/>
    <w:rsid w:val="00356B3D"/>
    <w:rsid w:val="00356D3D"/>
    <w:rsid w:val="003605C6"/>
    <w:rsid w:val="003630ED"/>
    <w:rsid w:val="00364F66"/>
    <w:rsid w:val="00365D29"/>
    <w:rsid w:val="003668B1"/>
    <w:rsid w:val="00367C73"/>
    <w:rsid w:val="00372075"/>
    <w:rsid w:val="00375EB6"/>
    <w:rsid w:val="003763F4"/>
    <w:rsid w:val="00376DDA"/>
    <w:rsid w:val="003779E7"/>
    <w:rsid w:val="00380E2B"/>
    <w:rsid w:val="00381403"/>
    <w:rsid w:val="00383304"/>
    <w:rsid w:val="003868A1"/>
    <w:rsid w:val="00386C18"/>
    <w:rsid w:val="003902A0"/>
    <w:rsid w:val="00390FDA"/>
    <w:rsid w:val="003923B9"/>
    <w:rsid w:val="003924A9"/>
    <w:rsid w:val="00392C86"/>
    <w:rsid w:val="00394ECF"/>
    <w:rsid w:val="00395FED"/>
    <w:rsid w:val="0039652E"/>
    <w:rsid w:val="003A168E"/>
    <w:rsid w:val="003A268D"/>
    <w:rsid w:val="003A30D0"/>
    <w:rsid w:val="003A5497"/>
    <w:rsid w:val="003A606D"/>
    <w:rsid w:val="003A6683"/>
    <w:rsid w:val="003A739F"/>
    <w:rsid w:val="003A74E7"/>
    <w:rsid w:val="003B1E26"/>
    <w:rsid w:val="003B6A5B"/>
    <w:rsid w:val="003B7A3F"/>
    <w:rsid w:val="003B7BD4"/>
    <w:rsid w:val="003C3D1F"/>
    <w:rsid w:val="003C5455"/>
    <w:rsid w:val="003C5A9F"/>
    <w:rsid w:val="003C5E6A"/>
    <w:rsid w:val="003C748D"/>
    <w:rsid w:val="003C7529"/>
    <w:rsid w:val="003D0214"/>
    <w:rsid w:val="003D4FFD"/>
    <w:rsid w:val="003D5265"/>
    <w:rsid w:val="003D77F6"/>
    <w:rsid w:val="003D7D69"/>
    <w:rsid w:val="003E14C5"/>
    <w:rsid w:val="003E21FF"/>
    <w:rsid w:val="003E2F2A"/>
    <w:rsid w:val="003E2FA3"/>
    <w:rsid w:val="003E5690"/>
    <w:rsid w:val="003E7645"/>
    <w:rsid w:val="003F0807"/>
    <w:rsid w:val="003F2E78"/>
    <w:rsid w:val="003F36D2"/>
    <w:rsid w:val="003F41B5"/>
    <w:rsid w:val="003F5FE2"/>
    <w:rsid w:val="004010BD"/>
    <w:rsid w:val="00401EFF"/>
    <w:rsid w:val="00402C99"/>
    <w:rsid w:val="00404C33"/>
    <w:rsid w:val="004067FC"/>
    <w:rsid w:val="00414CE7"/>
    <w:rsid w:val="0042103D"/>
    <w:rsid w:val="00422AE4"/>
    <w:rsid w:val="00423FA7"/>
    <w:rsid w:val="0042509E"/>
    <w:rsid w:val="00425511"/>
    <w:rsid w:val="0042551B"/>
    <w:rsid w:val="00425934"/>
    <w:rsid w:val="004263D1"/>
    <w:rsid w:val="00426F85"/>
    <w:rsid w:val="0042786D"/>
    <w:rsid w:val="00431D0A"/>
    <w:rsid w:val="004358A1"/>
    <w:rsid w:val="00435B76"/>
    <w:rsid w:val="0043675F"/>
    <w:rsid w:val="00436851"/>
    <w:rsid w:val="00437304"/>
    <w:rsid w:val="00442C74"/>
    <w:rsid w:val="00444616"/>
    <w:rsid w:val="004461A6"/>
    <w:rsid w:val="004468CC"/>
    <w:rsid w:val="0044692C"/>
    <w:rsid w:val="00446FC0"/>
    <w:rsid w:val="00450B77"/>
    <w:rsid w:val="00452849"/>
    <w:rsid w:val="004536F9"/>
    <w:rsid w:val="004556D6"/>
    <w:rsid w:val="0045589D"/>
    <w:rsid w:val="0045643A"/>
    <w:rsid w:val="00456DEA"/>
    <w:rsid w:val="00457BA4"/>
    <w:rsid w:val="00461AC9"/>
    <w:rsid w:val="0046269E"/>
    <w:rsid w:val="00462712"/>
    <w:rsid w:val="00465769"/>
    <w:rsid w:val="00466D32"/>
    <w:rsid w:val="00466F00"/>
    <w:rsid w:val="0046784A"/>
    <w:rsid w:val="00470A61"/>
    <w:rsid w:val="00470D4B"/>
    <w:rsid w:val="00473F56"/>
    <w:rsid w:val="00474D83"/>
    <w:rsid w:val="004755D0"/>
    <w:rsid w:val="00476266"/>
    <w:rsid w:val="004805A7"/>
    <w:rsid w:val="00486D3F"/>
    <w:rsid w:val="00490AAF"/>
    <w:rsid w:val="00493196"/>
    <w:rsid w:val="00493375"/>
    <w:rsid w:val="00494540"/>
    <w:rsid w:val="00494DFD"/>
    <w:rsid w:val="004A1B89"/>
    <w:rsid w:val="004A7CF3"/>
    <w:rsid w:val="004B087D"/>
    <w:rsid w:val="004B0D05"/>
    <w:rsid w:val="004B10E4"/>
    <w:rsid w:val="004B3809"/>
    <w:rsid w:val="004B5149"/>
    <w:rsid w:val="004B5641"/>
    <w:rsid w:val="004B5B70"/>
    <w:rsid w:val="004B644E"/>
    <w:rsid w:val="004B6EB5"/>
    <w:rsid w:val="004C3CB4"/>
    <w:rsid w:val="004C595B"/>
    <w:rsid w:val="004C5A49"/>
    <w:rsid w:val="004C7191"/>
    <w:rsid w:val="004D1210"/>
    <w:rsid w:val="004D17CC"/>
    <w:rsid w:val="004D1DD7"/>
    <w:rsid w:val="004D23DC"/>
    <w:rsid w:val="004D7801"/>
    <w:rsid w:val="004D79D5"/>
    <w:rsid w:val="004E228C"/>
    <w:rsid w:val="004E2D2B"/>
    <w:rsid w:val="004E387E"/>
    <w:rsid w:val="004F2D81"/>
    <w:rsid w:val="004F4272"/>
    <w:rsid w:val="004F6435"/>
    <w:rsid w:val="004F7716"/>
    <w:rsid w:val="004F7F72"/>
    <w:rsid w:val="0050106B"/>
    <w:rsid w:val="005011A4"/>
    <w:rsid w:val="00503750"/>
    <w:rsid w:val="00503ECC"/>
    <w:rsid w:val="00506B99"/>
    <w:rsid w:val="00506C48"/>
    <w:rsid w:val="00510CFA"/>
    <w:rsid w:val="00512720"/>
    <w:rsid w:val="005130BA"/>
    <w:rsid w:val="00513DDC"/>
    <w:rsid w:val="00514EFB"/>
    <w:rsid w:val="005164FB"/>
    <w:rsid w:val="00516DAF"/>
    <w:rsid w:val="0052259D"/>
    <w:rsid w:val="00523929"/>
    <w:rsid w:val="00524D46"/>
    <w:rsid w:val="00524ECC"/>
    <w:rsid w:val="0052560A"/>
    <w:rsid w:val="0052686E"/>
    <w:rsid w:val="00527CF8"/>
    <w:rsid w:val="00531972"/>
    <w:rsid w:val="00533DFB"/>
    <w:rsid w:val="005366A7"/>
    <w:rsid w:val="00537CD3"/>
    <w:rsid w:val="00537D48"/>
    <w:rsid w:val="005429A3"/>
    <w:rsid w:val="005430C6"/>
    <w:rsid w:val="0054526E"/>
    <w:rsid w:val="0055243D"/>
    <w:rsid w:val="00553E8F"/>
    <w:rsid w:val="00554B71"/>
    <w:rsid w:val="005550B1"/>
    <w:rsid w:val="00557034"/>
    <w:rsid w:val="00561072"/>
    <w:rsid w:val="0056601E"/>
    <w:rsid w:val="00571E26"/>
    <w:rsid w:val="005724E3"/>
    <w:rsid w:val="0057361B"/>
    <w:rsid w:val="005740A0"/>
    <w:rsid w:val="00585B31"/>
    <w:rsid w:val="00585CD0"/>
    <w:rsid w:val="00586F45"/>
    <w:rsid w:val="005920B5"/>
    <w:rsid w:val="00593181"/>
    <w:rsid w:val="0059677A"/>
    <w:rsid w:val="005A0D69"/>
    <w:rsid w:val="005A147D"/>
    <w:rsid w:val="005B2179"/>
    <w:rsid w:val="005B34D3"/>
    <w:rsid w:val="005B45E1"/>
    <w:rsid w:val="005B495D"/>
    <w:rsid w:val="005B7835"/>
    <w:rsid w:val="005C10F9"/>
    <w:rsid w:val="005C1781"/>
    <w:rsid w:val="005C2899"/>
    <w:rsid w:val="005C459D"/>
    <w:rsid w:val="005C5AB4"/>
    <w:rsid w:val="005C5F53"/>
    <w:rsid w:val="005C6D92"/>
    <w:rsid w:val="005C74D1"/>
    <w:rsid w:val="005D171C"/>
    <w:rsid w:val="005D2830"/>
    <w:rsid w:val="005D2B55"/>
    <w:rsid w:val="005D3AB8"/>
    <w:rsid w:val="005D742D"/>
    <w:rsid w:val="005D7C80"/>
    <w:rsid w:val="005E0587"/>
    <w:rsid w:val="005E5250"/>
    <w:rsid w:val="005E70EE"/>
    <w:rsid w:val="005F04C6"/>
    <w:rsid w:val="005F080C"/>
    <w:rsid w:val="005F10A9"/>
    <w:rsid w:val="005F1AAE"/>
    <w:rsid w:val="005F61F2"/>
    <w:rsid w:val="005F67FF"/>
    <w:rsid w:val="00600702"/>
    <w:rsid w:val="00600B26"/>
    <w:rsid w:val="006031B1"/>
    <w:rsid w:val="0060349F"/>
    <w:rsid w:val="00603FC0"/>
    <w:rsid w:val="00604031"/>
    <w:rsid w:val="006050CD"/>
    <w:rsid w:val="00605B28"/>
    <w:rsid w:val="00605C8D"/>
    <w:rsid w:val="00607ABE"/>
    <w:rsid w:val="00610560"/>
    <w:rsid w:val="00610D7A"/>
    <w:rsid w:val="006119D4"/>
    <w:rsid w:val="00613B3E"/>
    <w:rsid w:val="00613F05"/>
    <w:rsid w:val="006247BC"/>
    <w:rsid w:val="006249C1"/>
    <w:rsid w:val="00624B82"/>
    <w:rsid w:val="006258DD"/>
    <w:rsid w:val="00627845"/>
    <w:rsid w:val="00636B99"/>
    <w:rsid w:val="00636C4C"/>
    <w:rsid w:val="006370C0"/>
    <w:rsid w:val="006377F0"/>
    <w:rsid w:val="006416F3"/>
    <w:rsid w:val="006441E1"/>
    <w:rsid w:val="00645A0A"/>
    <w:rsid w:val="006460B4"/>
    <w:rsid w:val="00647AA4"/>
    <w:rsid w:val="00647BA9"/>
    <w:rsid w:val="0065021F"/>
    <w:rsid w:val="00652270"/>
    <w:rsid w:val="006537CC"/>
    <w:rsid w:val="006553DB"/>
    <w:rsid w:val="00656306"/>
    <w:rsid w:val="006575AA"/>
    <w:rsid w:val="0066192C"/>
    <w:rsid w:val="00662B6D"/>
    <w:rsid w:val="00662BB5"/>
    <w:rsid w:val="006646C2"/>
    <w:rsid w:val="00671368"/>
    <w:rsid w:val="006717C5"/>
    <w:rsid w:val="00672E72"/>
    <w:rsid w:val="00673197"/>
    <w:rsid w:val="00674593"/>
    <w:rsid w:val="00675ACC"/>
    <w:rsid w:val="0067749D"/>
    <w:rsid w:val="00677FD4"/>
    <w:rsid w:val="0068200B"/>
    <w:rsid w:val="0068221E"/>
    <w:rsid w:val="00684E61"/>
    <w:rsid w:val="006862A0"/>
    <w:rsid w:val="00691057"/>
    <w:rsid w:val="00691383"/>
    <w:rsid w:val="006940B6"/>
    <w:rsid w:val="00694FE4"/>
    <w:rsid w:val="006A27A7"/>
    <w:rsid w:val="006A598C"/>
    <w:rsid w:val="006A5C76"/>
    <w:rsid w:val="006A6D64"/>
    <w:rsid w:val="006A7CFD"/>
    <w:rsid w:val="006B4222"/>
    <w:rsid w:val="006B7A70"/>
    <w:rsid w:val="006C1B15"/>
    <w:rsid w:val="006C3F3F"/>
    <w:rsid w:val="006C3F82"/>
    <w:rsid w:val="006C6F72"/>
    <w:rsid w:val="006C788D"/>
    <w:rsid w:val="006D044E"/>
    <w:rsid w:val="006D0E30"/>
    <w:rsid w:val="006D10AC"/>
    <w:rsid w:val="006D50B6"/>
    <w:rsid w:val="006D59CB"/>
    <w:rsid w:val="006E07F3"/>
    <w:rsid w:val="006E0BF3"/>
    <w:rsid w:val="006E57A5"/>
    <w:rsid w:val="006E7580"/>
    <w:rsid w:val="006E75EE"/>
    <w:rsid w:val="006F1E51"/>
    <w:rsid w:val="006F2B18"/>
    <w:rsid w:val="006F3A8D"/>
    <w:rsid w:val="006F4491"/>
    <w:rsid w:val="006F4D0A"/>
    <w:rsid w:val="006F7B44"/>
    <w:rsid w:val="0070032F"/>
    <w:rsid w:val="007006B1"/>
    <w:rsid w:val="00700D20"/>
    <w:rsid w:val="00701A74"/>
    <w:rsid w:val="00701C67"/>
    <w:rsid w:val="00701E5E"/>
    <w:rsid w:val="00701E9E"/>
    <w:rsid w:val="00703FE8"/>
    <w:rsid w:val="007071C4"/>
    <w:rsid w:val="007112D6"/>
    <w:rsid w:val="0071155A"/>
    <w:rsid w:val="007125A0"/>
    <w:rsid w:val="00715F8E"/>
    <w:rsid w:val="007168BC"/>
    <w:rsid w:val="0071705E"/>
    <w:rsid w:val="00717223"/>
    <w:rsid w:val="00717A9A"/>
    <w:rsid w:val="00717CB9"/>
    <w:rsid w:val="0072036A"/>
    <w:rsid w:val="00720399"/>
    <w:rsid w:val="00721946"/>
    <w:rsid w:val="007229BC"/>
    <w:rsid w:val="007241C4"/>
    <w:rsid w:val="007309BA"/>
    <w:rsid w:val="0073102D"/>
    <w:rsid w:val="00731E6F"/>
    <w:rsid w:val="0073446B"/>
    <w:rsid w:val="00734726"/>
    <w:rsid w:val="00734E41"/>
    <w:rsid w:val="00735380"/>
    <w:rsid w:val="00735B4D"/>
    <w:rsid w:val="007362FF"/>
    <w:rsid w:val="00736ADE"/>
    <w:rsid w:val="00736B00"/>
    <w:rsid w:val="00736B7E"/>
    <w:rsid w:val="00737DF5"/>
    <w:rsid w:val="00740C9B"/>
    <w:rsid w:val="0074520A"/>
    <w:rsid w:val="00751FAB"/>
    <w:rsid w:val="00756B58"/>
    <w:rsid w:val="00760FD8"/>
    <w:rsid w:val="00761362"/>
    <w:rsid w:val="0076175C"/>
    <w:rsid w:val="00766532"/>
    <w:rsid w:val="00770A9B"/>
    <w:rsid w:val="007739CB"/>
    <w:rsid w:val="00780F3D"/>
    <w:rsid w:val="00782490"/>
    <w:rsid w:val="00784851"/>
    <w:rsid w:val="0079016A"/>
    <w:rsid w:val="00790DE5"/>
    <w:rsid w:val="00791953"/>
    <w:rsid w:val="00792344"/>
    <w:rsid w:val="007A10CE"/>
    <w:rsid w:val="007A3BA8"/>
    <w:rsid w:val="007A3EF6"/>
    <w:rsid w:val="007A4729"/>
    <w:rsid w:val="007A5419"/>
    <w:rsid w:val="007A7441"/>
    <w:rsid w:val="007A752F"/>
    <w:rsid w:val="007A78DE"/>
    <w:rsid w:val="007B086C"/>
    <w:rsid w:val="007B0D0E"/>
    <w:rsid w:val="007B2226"/>
    <w:rsid w:val="007B29ED"/>
    <w:rsid w:val="007B3A1A"/>
    <w:rsid w:val="007C1637"/>
    <w:rsid w:val="007C37E7"/>
    <w:rsid w:val="007C39C0"/>
    <w:rsid w:val="007C5AD8"/>
    <w:rsid w:val="007D2D02"/>
    <w:rsid w:val="007D2E28"/>
    <w:rsid w:val="007D2F03"/>
    <w:rsid w:val="007D3FDD"/>
    <w:rsid w:val="007D4669"/>
    <w:rsid w:val="007D5329"/>
    <w:rsid w:val="007D55D9"/>
    <w:rsid w:val="007D561F"/>
    <w:rsid w:val="007D6C96"/>
    <w:rsid w:val="007D79DA"/>
    <w:rsid w:val="007E0273"/>
    <w:rsid w:val="007E05F2"/>
    <w:rsid w:val="007E06CD"/>
    <w:rsid w:val="007E0834"/>
    <w:rsid w:val="007E0A3C"/>
    <w:rsid w:val="007E0CB8"/>
    <w:rsid w:val="007E2027"/>
    <w:rsid w:val="007E20FA"/>
    <w:rsid w:val="007E3BC3"/>
    <w:rsid w:val="007E4C10"/>
    <w:rsid w:val="007E711D"/>
    <w:rsid w:val="007E7C00"/>
    <w:rsid w:val="007F084F"/>
    <w:rsid w:val="007F0F05"/>
    <w:rsid w:val="007F1CBC"/>
    <w:rsid w:val="007F1E84"/>
    <w:rsid w:val="007F54B2"/>
    <w:rsid w:val="007F6D6D"/>
    <w:rsid w:val="00801E28"/>
    <w:rsid w:val="00803030"/>
    <w:rsid w:val="00803467"/>
    <w:rsid w:val="00804359"/>
    <w:rsid w:val="008055AF"/>
    <w:rsid w:val="00806BBB"/>
    <w:rsid w:val="00810B25"/>
    <w:rsid w:val="00815590"/>
    <w:rsid w:val="008155DC"/>
    <w:rsid w:val="00815794"/>
    <w:rsid w:val="00821288"/>
    <w:rsid w:val="008214B2"/>
    <w:rsid w:val="008219B5"/>
    <w:rsid w:val="00821B52"/>
    <w:rsid w:val="00827A02"/>
    <w:rsid w:val="00831134"/>
    <w:rsid w:val="008319BF"/>
    <w:rsid w:val="00831FA0"/>
    <w:rsid w:val="008401D9"/>
    <w:rsid w:val="00841BC1"/>
    <w:rsid w:val="00846371"/>
    <w:rsid w:val="00851C3D"/>
    <w:rsid w:val="00854B17"/>
    <w:rsid w:val="00860683"/>
    <w:rsid w:val="00860A49"/>
    <w:rsid w:val="00861684"/>
    <w:rsid w:val="00864EBC"/>
    <w:rsid w:val="00872043"/>
    <w:rsid w:val="00877889"/>
    <w:rsid w:val="00880B4F"/>
    <w:rsid w:val="00882717"/>
    <w:rsid w:val="00884241"/>
    <w:rsid w:val="008855E7"/>
    <w:rsid w:val="00892A1C"/>
    <w:rsid w:val="00893AD9"/>
    <w:rsid w:val="00895191"/>
    <w:rsid w:val="008967FB"/>
    <w:rsid w:val="0089735E"/>
    <w:rsid w:val="008A14E0"/>
    <w:rsid w:val="008A2E7D"/>
    <w:rsid w:val="008A4837"/>
    <w:rsid w:val="008A6584"/>
    <w:rsid w:val="008A773D"/>
    <w:rsid w:val="008A7B4C"/>
    <w:rsid w:val="008B0BB6"/>
    <w:rsid w:val="008B0E50"/>
    <w:rsid w:val="008B216E"/>
    <w:rsid w:val="008B2AE6"/>
    <w:rsid w:val="008B4881"/>
    <w:rsid w:val="008B4B1F"/>
    <w:rsid w:val="008B60CF"/>
    <w:rsid w:val="008B661A"/>
    <w:rsid w:val="008C10C7"/>
    <w:rsid w:val="008C29D2"/>
    <w:rsid w:val="008C35E3"/>
    <w:rsid w:val="008C4C05"/>
    <w:rsid w:val="008C6CA8"/>
    <w:rsid w:val="008C7F04"/>
    <w:rsid w:val="008D0AAC"/>
    <w:rsid w:val="008D0FD1"/>
    <w:rsid w:val="008D11D8"/>
    <w:rsid w:val="008D2267"/>
    <w:rsid w:val="008D3409"/>
    <w:rsid w:val="008D4349"/>
    <w:rsid w:val="008E19F6"/>
    <w:rsid w:val="008E2842"/>
    <w:rsid w:val="008E342C"/>
    <w:rsid w:val="008E3852"/>
    <w:rsid w:val="008E5506"/>
    <w:rsid w:val="008E5C24"/>
    <w:rsid w:val="008E5C31"/>
    <w:rsid w:val="008E6369"/>
    <w:rsid w:val="008E6D3B"/>
    <w:rsid w:val="008F0162"/>
    <w:rsid w:val="008F23D5"/>
    <w:rsid w:val="008F498D"/>
    <w:rsid w:val="008F4E80"/>
    <w:rsid w:val="008F76FD"/>
    <w:rsid w:val="00900B5E"/>
    <w:rsid w:val="00901184"/>
    <w:rsid w:val="0090286A"/>
    <w:rsid w:val="00903345"/>
    <w:rsid w:val="00904BC7"/>
    <w:rsid w:val="009051C3"/>
    <w:rsid w:val="0090717F"/>
    <w:rsid w:val="009076D0"/>
    <w:rsid w:val="00916066"/>
    <w:rsid w:val="009168C6"/>
    <w:rsid w:val="00920CCD"/>
    <w:rsid w:val="009219AB"/>
    <w:rsid w:val="00921A85"/>
    <w:rsid w:val="009239F3"/>
    <w:rsid w:val="00926D57"/>
    <w:rsid w:val="00927162"/>
    <w:rsid w:val="00930802"/>
    <w:rsid w:val="0093769C"/>
    <w:rsid w:val="00937E35"/>
    <w:rsid w:val="0094154A"/>
    <w:rsid w:val="0094397C"/>
    <w:rsid w:val="00943EB1"/>
    <w:rsid w:val="00944731"/>
    <w:rsid w:val="0094737F"/>
    <w:rsid w:val="00947880"/>
    <w:rsid w:val="0095270D"/>
    <w:rsid w:val="00952AC7"/>
    <w:rsid w:val="0095592A"/>
    <w:rsid w:val="00955A59"/>
    <w:rsid w:val="00956210"/>
    <w:rsid w:val="00956225"/>
    <w:rsid w:val="009562B9"/>
    <w:rsid w:val="00956CDA"/>
    <w:rsid w:val="009601B5"/>
    <w:rsid w:val="0096187B"/>
    <w:rsid w:val="00962762"/>
    <w:rsid w:val="00964834"/>
    <w:rsid w:val="00964916"/>
    <w:rsid w:val="00965CE6"/>
    <w:rsid w:val="00972387"/>
    <w:rsid w:val="00973A83"/>
    <w:rsid w:val="00973E94"/>
    <w:rsid w:val="00974ADF"/>
    <w:rsid w:val="00974CE2"/>
    <w:rsid w:val="0097521A"/>
    <w:rsid w:val="009757E0"/>
    <w:rsid w:val="009774D1"/>
    <w:rsid w:val="00980CCC"/>
    <w:rsid w:val="009814C7"/>
    <w:rsid w:val="00981592"/>
    <w:rsid w:val="009832B4"/>
    <w:rsid w:val="00983720"/>
    <w:rsid w:val="00985150"/>
    <w:rsid w:val="00985E85"/>
    <w:rsid w:val="0098605E"/>
    <w:rsid w:val="00987270"/>
    <w:rsid w:val="00991249"/>
    <w:rsid w:val="00991303"/>
    <w:rsid w:val="00991491"/>
    <w:rsid w:val="00992DF1"/>
    <w:rsid w:val="00995B11"/>
    <w:rsid w:val="0099701B"/>
    <w:rsid w:val="00997B23"/>
    <w:rsid w:val="00997D06"/>
    <w:rsid w:val="009A193B"/>
    <w:rsid w:val="009A2FC6"/>
    <w:rsid w:val="009A3B1B"/>
    <w:rsid w:val="009A3DBA"/>
    <w:rsid w:val="009A414A"/>
    <w:rsid w:val="009A642D"/>
    <w:rsid w:val="009A6830"/>
    <w:rsid w:val="009A7880"/>
    <w:rsid w:val="009B26F0"/>
    <w:rsid w:val="009B348B"/>
    <w:rsid w:val="009B404E"/>
    <w:rsid w:val="009B54C2"/>
    <w:rsid w:val="009B60D5"/>
    <w:rsid w:val="009C002E"/>
    <w:rsid w:val="009C15DA"/>
    <w:rsid w:val="009C1919"/>
    <w:rsid w:val="009C79FD"/>
    <w:rsid w:val="009C7E58"/>
    <w:rsid w:val="009C7F6D"/>
    <w:rsid w:val="009D12DA"/>
    <w:rsid w:val="009D13EB"/>
    <w:rsid w:val="009D1A52"/>
    <w:rsid w:val="009D367F"/>
    <w:rsid w:val="009D5091"/>
    <w:rsid w:val="009D67DD"/>
    <w:rsid w:val="009D717E"/>
    <w:rsid w:val="009D7855"/>
    <w:rsid w:val="009E10B1"/>
    <w:rsid w:val="009E20BC"/>
    <w:rsid w:val="009E5168"/>
    <w:rsid w:val="009E5FE4"/>
    <w:rsid w:val="009E6E60"/>
    <w:rsid w:val="009F136E"/>
    <w:rsid w:val="009F1A83"/>
    <w:rsid w:val="009F7468"/>
    <w:rsid w:val="00A001C3"/>
    <w:rsid w:val="00A0143D"/>
    <w:rsid w:val="00A06A72"/>
    <w:rsid w:val="00A12584"/>
    <w:rsid w:val="00A12F94"/>
    <w:rsid w:val="00A14BA7"/>
    <w:rsid w:val="00A202AD"/>
    <w:rsid w:val="00A21A43"/>
    <w:rsid w:val="00A224B6"/>
    <w:rsid w:val="00A22DB8"/>
    <w:rsid w:val="00A2590C"/>
    <w:rsid w:val="00A25ED6"/>
    <w:rsid w:val="00A32986"/>
    <w:rsid w:val="00A32EDC"/>
    <w:rsid w:val="00A348B9"/>
    <w:rsid w:val="00A37534"/>
    <w:rsid w:val="00A37643"/>
    <w:rsid w:val="00A37A08"/>
    <w:rsid w:val="00A4046C"/>
    <w:rsid w:val="00A41A5B"/>
    <w:rsid w:val="00A43B50"/>
    <w:rsid w:val="00A45E56"/>
    <w:rsid w:val="00A57D15"/>
    <w:rsid w:val="00A6125C"/>
    <w:rsid w:val="00A629CB"/>
    <w:rsid w:val="00A63633"/>
    <w:rsid w:val="00A6466E"/>
    <w:rsid w:val="00A64B7A"/>
    <w:rsid w:val="00A6653F"/>
    <w:rsid w:val="00A666F8"/>
    <w:rsid w:val="00A70067"/>
    <w:rsid w:val="00A71333"/>
    <w:rsid w:val="00A716FE"/>
    <w:rsid w:val="00A74B66"/>
    <w:rsid w:val="00A74F8A"/>
    <w:rsid w:val="00A76CF5"/>
    <w:rsid w:val="00A81B1C"/>
    <w:rsid w:val="00A8573B"/>
    <w:rsid w:val="00A9117F"/>
    <w:rsid w:val="00A937E8"/>
    <w:rsid w:val="00A9583C"/>
    <w:rsid w:val="00A96BD2"/>
    <w:rsid w:val="00AA0D33"/>
    <w:rsid w:val="00AA47AC"/>
    <w:rsid w:val="00AA4DE6"/>
    <w:rsid w:val="00AA56D3"/>
    <w:rsid w:val="00AA5E3F"/>
    <w:rsid w:val="00AA73E9"/>
    <w:rsid w:val="00AB1460"/>
    <w:rsid w:val="00AB1CA3"/>
    <w:rsid w:val="00AB287E"/>
    <w:rsid w:val="00AB3887"/>
    <w:rsid w:val="00AB483E"/>
    <w:rsid w:val="00AB5380"/>
    <w:rsid w:val="00AB7D08"/>
    <w:rsid w:val="00AC0BE3"/>
    <w:rsid w:val="00AC113D"/>
    <w:rsid w:val="00AC2161"/>
    <w:rsid w:val="00AC3272"/>
    <w:rsid w:val="00AC48B5"/>
    <w:rsid w:val="00AC6404"/>
    <w:rsid w:val="00AC6794"/>
    <w:rsid w:val="00AD037E"/>
    <w:rsid w:val="00AD2973"/>
    <w:rsid w:val="00AD781F"/>
    <w:rsid w:val="00AE02FC"/>
    <w:rsid w:val="00AE7162"/>
    <w:rsid w:val="00AE7C99"/>
    <w:rsid w:val="00AF234A"/>
    <w:rsid w:val="00AF4139"/>
    <w:rsid w:val="00AF5041"/>
    <w:rsid w:val="00AF5D38"/>
    <w:rsid w:val="00AF7FE2"/>
    <w:rsid w:val="00B0140A"/>
    <w:rsid w:val="00B03168"/>
    <w:rsid w:val="00B04A90"/>
    <w:rsid w:val="00B060AD"/>
    <w:rsid w:val="00B06275"/>
    <w:rsid w:val="00B070C3"/>
    <w:rsid w:val="00B07589"/>
    <w:rsid w:val="00B076D9"/>
    <w:rsid w:val="00B11BE6"/>
    <w:rsid w:val="00B13C6F"/>
    <w:rsid w:val="00B149A0"/>
    <w:rsid w:val="00B14B75"/>
    <w:rsid w:val="00B160EE"/>
    <w:rsid w:val="00B23ADC"/>
    <w:rsid w:val="00B25567"/>
    <w:rsid w:val="00B26175"/>
    <w:rsid w:val="00B316B8"/>
    <w:rsid w:val="00B31792"/>
    <w:rsid w:val="00B33D37"/>
    <w:rsid w:val="00B363AF"/>
    <w:rsid w:val="00B36EAB"/>
    <w:rsid w:val="00B400D0"/>
    <w:rsid w:val="00B40340"/>
    <w:rsid w:val="00B43B04"/>
    <w:rsid w:val="00B45A1A"/>
    <w:rsid w:val="00B460DF"/>
    <w:rsid w:val="00B46340"/>
    <w:rsid w:val="00B4790F"/>
    <w:rsid w:val="00B47E64"/>
    <w:rsid w:val="00B5164D"/>
    <w:rsid w:val="00B5240D"/>
    <w:rsid w:val="00B54378"/>
    <w:rsid w:val="00B61870"/>
    <w:rsid w:val="00B62E90"/>
    <w:rsid w:val="00B67BA6"/>
    <w:rsid w:val="00B70D85"/>
    <w:rsid w:val="00B7257E"/>
    <w:rsid w:val="00B740CD"/>
    <w:rsid w:val="00B748B0"/>
    <w:rsid w:val="00B81D67"/>
    <w:rsid w:val="00B82AD3"/>
    <w:rsid w:val="00B8311A"/>
    <w:rsid w:val="00B834F1"/>
    <w:rsid w:val="00B84935"/>
    <w:rsid w:val="00B9048D"/>
    <w:rsid w:val="00B935FF"/>
    <w:rsid w:val="00B94332"/>
    <w:rsid w:val="00BA08A5"/>
    <w:rsid w:val="00BA1F3E"/>
    <w:rsid w:val="00BA2388"/>
    <w:rsid w:val="00BA36F1"/>
    <w:rsid w:val="00BA3712"/>
    <w:rsid w:val="00BA3BCC"/>
    <w:rsid w:val="00BB04D7"/>
    <w:rsid w:val="00BB1113"/>
    <w:rsid w:val="00BB21A7"/>
    <w:rsid w:val="00BB5706"/>
    <w:rsid w:val="00BB798F"/>
    <w:rsid w:val="00BC0E12"/>
    <w:rsid w:val="00BC1558"/>
    <w:rsid w:val="00BC3678"/>
    <w:rsid w:val="00BC3F0C"/>
    <w:rsid w:val="00BC5C65"/>
    <w:rsid w:val="00BC7BEA"/>
    <w:rsid w:val="00BD0636"/>
    <w:rsid w:val="00BD1385"/>
    <w:rsid w:val="00BD178E"/>
    <w:rsid w:val="00BD1BFC"/>
    <w:rsid w:val="00BD5E8F"/>
    <w:rsid w:val="00BE0BAF"/>
    <w:rsid w:val="00BE1113"/>
    <w:rsid w:val="00BE1DB0"/>
    <w:rsid w:val="00BE260F"/>
    <w:rsid w:val="00BE3743"/>
    <w:rsid w:val="00BE5F1B"/>
    <w:rsid w:val="00BF0756"/>
    <w:rsid w:val="00BF0EB9"/>
    <w:rsid w:val="00BF180D"/>
    <w:rsid w:val="00BF1EFA"/>
    <w:rsid w:val="00BF267E"/>
    <w:rsid w:val="00BF33EE"/>
    <w:rsid w:val="00BF3AE3"/>
    <w:rsid w:val="00BF4823"/>
    <w:rsid w:val="00BF48CB"/>
    <w:rsid w:val="00BF4A71"/>
    <w:rsid w:val="00BF66F1"/>
    <w:rsid w:val="00C01B5C"/>
    <w:rsid w:val="00C020CE"/>
    <w:rsid w:val="00C04021"/>
    <w:rsid w:val="00C05208"/>
    <w:rsid w:val="00C05F60"/>
    <w:rsid w:val="00C06501"/>
    <w:rsid w:val="00C11318"/>
    <w:rsid w:val="00C11DC3"/>
    <w:rsid w:val="00C12284"/>
    <w:rsid w:val="00C138C9"/>
    <w:rsid w:val="00C173D2"/>
    <w:rsid w:val="00C23484"/>
    <w:rsid w:val="00C24657"/>
    <w:rsid w:val="00C25F33"/>
    <w:rsid w:val="00C26A5F"/>
    <w:rsid w:val="00C2705D"/>
    <w:rsid w:val="00C279BC"/>
    <w:rsid w:val="00C27D79"/>
    <w:rsid w:val="00C31AD3"/>
    <w:rsid w:val="00C32EBC"/>
    <w:rsid w:val="00C341AB"/>
    <w:rsid w:val="00C36289"/>
    <w:rsid w:val="00C37486"/>
    <w:rsid w:val="00C40B98"/>
    <w:rsid w:val="00C41435"/>
    <w:rsid w:val="00C43B03"/>
    <w:rsid w:val="00C4500B"/>
    <w:rsid w:val="00C45B5F"/>
    <w:rsid w:val="00C4673A"/>
    <w:rsid w:val="00C475A1"/>
    <w:rsid w:val="00C509FF"/>
    <w:rsid w:val="00C511D1"/>
    <w:rsid w:val="00C51FC1"/>
    <w:rsid w:val="00C52A41"/>
    <w:rsid w:val="00C54A3D"/>
    <w:rsid w:val="00C55638"/>
    <w:rsid w:val="00C55C2B"/>
    <w:rsid w:val="00C5667E"/>
    <w:rsid w:val="00C6204C"/>
    <w:rsid w:val="00C6252C"/>
    <w:rsid w:val="00C63ACE"/>
    <w:rsid w:val="00C63FD7"/>
    <w:rsid w:val="00C64CCF"/>
    <w:rsid w:val="00C70F53"/>
    <w:rsid w:val="00C712AA"/>
    <w:rsid w:val="00C72CD1"/>
    <w:rsid w:val="00C7300D"/>
    <w:rsid w:val="00C7387C"/>
    <w:rsid w:val="00C7527B"/>
    <w:rsid w:val="00C80622"/>
    <w:rsid w:val="00C82D23"/>
    <w:rsid w:val="00C82F4C"/>
    <w:rsid w:val="00C906D4"/>
    <w:rsid w:val="00C906F4"/>
    <w:rsid w:val="00C918D7"/>
    <w:rsid w:val="00C93ED6"/>
    <w:rsid w:val="00C95270"/>
    <w:rsid w:val="00C96334"/>
    <w:rsid w:val="00CA1D7A"/>
    <w:rsid w:val="00CA1DBD"/>
    <w:rsid w:val="00CA1E79"/>
    <w:rsid w:val="00CA55E0"/>
    <w:rsid w:val="00CA5FEA"/>
    <w:rsid w:val="00CA717D"/>
    <w:rsid w:val="00CA7C13"/>
    <w:rsid w:val="00CB06B0"/>
    <w:rsid w:val="00CB0DC7"/>
    <w:rsid w:val="00CB14ED"/>
    <w:rsid w:val="00CB38CF"/>
    <w:rsid w:val="00CB5D17"/>
    <w:rsid w:val="00CC4F8C"/>
    <w:rsid w:val="00CC5C58"/>
    <w:rsid w:val="00CC6882"/>
    <w:rsid w:val="00CC6EAB"/>
    <w:rsid w:val="00CD2DA5"/>
    <w:rsid w:val="00CD3398"/>
    <w:rsid w:val="00CD395B"/>
    <w:rsid w:val="00CD3D5B"/>
    <w:rsid w:val="00CD4BE4"/>
    <w:rsid w:val="00CD4F14"/>
    <w:rsid w:val="00CD59A3"/>
    <w:rsid w:val="00CD5B03"/>
    <w:rsid w:val="00CD5DE9"/>
    <w:rsid w:val="00CD6ADC"/>
    <w:rsid w:val="00CD78A2"/>
    <w:rsid w:val="00CD78E3"/>
    <w:rsid w:val="00CE0146"/>
    <w:rsid w:val="00CE0F5F"/>
    <w:rsid w:val="00CE1D44"/>
    <w:rsid w:val="00CE47F5"/>
    <w:rsid w:val="00CF2DC4"/>
    <w:rsid w:val="00CF3644"/>
    <w:rsid w:val="00CF489C"/>
    <w:rsid w:val="00CF519D"/>
    <w:rsid w:val="00CF54B1"/>
    <w:rsid w:val="00D00058"/>
    <w:rsid w:val="00D0079D"/>
    <w:rsid w:val="00D009AC"/>
    <w:rsid w:val="00D0139A"/>
    <w:rsid w:val="00D01EA8"/>
    <w:rsid w:val="00D03EEC"/>
    <w:rsid w:val="00D04753"/>
    <w:rsid w:val="00D0496F"/>
    <w:rsid w:val="00D04B87"/>
    <w:rsid w:val="00D06279"/>
    <w:rsid w:val="00D07E62"/>
    <w:rsid w:val="00D1108C"/>
    <w:rsid w:val="00D115E2"/>
    <w:rsid w:val="00D12E1C"/>
    <w:rsid w:val="00D1486E"/>
    <w:rsid w:val="00D14A14"/>
    <w:rsid w:val="00D14A86"/>
    <w:rsid w:val="00D152AA"/>
    <w:rsid w:val="00D1533A"/>
    <w:rsid w:val="00D155E3"/>
    <w:rsid w:val="00D174EB"/>
    <w:rsid w:val="00D17DAA"/>
    <w:rsid w:val="00D20FFA"/>
    <w:rsid w:val="00D2371F"/>
    <w:rsid w:val="00D25438"/>
    <w:rsid w:val="00D25567"/>
    <w:rsid w:val="00D259C9"/>
    <w:rsid w:val="00D275CF"/>
    <w:rsid w:val="00D275EB"/>
    <w:rsid w:val="00D277E7"/>
    <w:rsid w:val="00D322E6"/>
    <w:rsid w:val="00D32AE9"/>
    <w:rsid w:val="00D32EFC"/>
    <w:rsid w:val="00D34661"/>
    <w:rsid w:val="00D37212"/>
    <w:rsid w:val="00D378E3"/>
    <w:rsid w:val="00D4125E"/>
    <w:rsid w:val="00D41395"/>
    <w:rsid w:val="00D413AB"/>
    <w:rsid w:val="00D41B9B"/>
    <w:rsid w:val="00D50BD4"/>
    <w:rsid w:val="00D562F0"/>
    <w:rsid w:val="00D60786"/>
    <w:rsid w:val="00D66FC0"/>
    <w:rsid w:val="00D67226"/>
    <w:rsid w:val="00D712AB"/>
    <w:rsid w:val="00D71872"/>
    <w:rsid w:val="00D732CA"/>
    <w:rsid w:val="00D77DED"/>
    <w:rsid w:val="00D83255"/>
    <w:rsid w:val="00D8544D"/>
    <w:rsid w:val="00D867A3"/>
    <w:rsid w:val="00D86DA8"/>
    <w:rsid w:val="00D87273"/>
    <w:rsid w:val="00D91461"/>
    <w:rsid w:val="00D92CFB"/>
    <w:rsid w:val="00D949CC"/>
    <w:rsid w:val="00D94D3E"/>
    <w:rsid w:val="00D95C98"/>
    <w:rsid w:val="00D9758B"/>
    <w:rsid w:val="00D97793"/>
    <w:rsid w:val="00DA0DA9"/>
    <w:rsid w:val="00DA428C"/>
    <w:rsid w:val="00DA449C"/>
    <w:rsid w:val="00DA4A5C"/>
    <w:rsid w:val="00DA4D30"/>
    <w:rsid w:val="00DA5615"/>
    <w:rsid w:val="00DA6F4C"/>
    <w:rsid w:val="00DA721A"/>
    <w:rsid w:val="00DB3829"/>
    <w:rsid w:val="00DB7195"/>
    <w:rsid w:val="00DC0CBA"/>
    <w:rsid w:val="00DC22E4"/>
    <w:rsid w:val="00DC3436"/>
    <w:rsid w:val="00DC5B06"/>
    <w:rsid w:val="00DC6D74"/>
    <w:rsid w:val="00DC7089"/>
    <w:rsid w:val="00DD021E"/>
    <w:rsid w:val="00DD1E5C"/>
    <w:rsid w:val="00DD431A"/>
    <w:rsid w:val="00DE333B"/>
    <w:rsid w:val="00DE4F74"/>
    <w:rsid w:val="00DE5134"/>
    <w:rsid w:val="00DE5C69"/>
    <w:rsid w:val="00DE603E"/>
    <w:rsid w:val="00DE61E4"/>
    <w:rsid w:val="00DE6F62"/>
    <w:rsid w:val="00DE7777"/>
    <w:rsid w:val="00DE797B"/>
    <w:rsid w:val="00DF348F"/>
    <w:rsid w:val="00DF45D9"/>
    <w:rsid w:val="00DF5AB8"/>
    <w:rsid w:val="00DF5B0B"/>
    <w:rsid w:val="00DF6162"/>
    <w:rsid w:val="00DF7060"/>
    <w:rsid w:val="00DF7594"/>
    <w:rsid w:val="00DF7A38"/>
    <w:rsid w:val="00E012AE"/>
    <w:rsid w:val="00E035A3"/>
    <w:rsid w:val="00E044A7"/>
    <w:rsid w:val="00E04554"/>
    <w:rsid w:val="00E05BFD"/>
    <w:rsid w:val="00E06EC4"/>
    <w:rsid w:val="00E07E5E"/>
    <w:rsid w:val="00E10CE1"/>
    <w:rsid w:val="00E11C58"/>
    <w:rsid w:val="00E165A0"/>
    <w:rsid w:val="00E16D17"/>
    <w:rsid w:val="00E179CC"/>
    <w:rsid w:val="00E20288"/>
    <w:rsid w:val="00E218D3"/>
    <w:rsid w:val="00E21F33"/>
    <w:rsid w:val="00E2337C"/>
    <w:rsid w:val="00E240B3"/>
    <w:rsid w:val="00E27094"/>
    <w:rsid w:val="00E31266"/>
    <w:rsid w:val="00E312D2"/>
    <w:rsid w:val="00E34A0C"/>
    <w:rsid w:val="00E36657"/>
    <w:rsid w:val="00E368CA"/>
    <w:rsid w:val="00E42126"/>
    <w:rsid w:val="00E42C39"/>
    <w:rsid w:val="00E42DB6"/>
    <w:rsid w:val="00E43B45"/>
    <w:rsid w:val="00E4552A"/>
    <w:rsid w:val="00E45A17"/>
    <w:rsid w:val="00E505DF"/>
    <w:rsid w:val="00E50A1F"/>
    <w:rsid w:val="00E52935"/>
    <w:rsid w:val="00E52A28"/>
    <w:rsid w:val="00E53687"/>
    <w:rsid w:val="00E53EC8"/>
    <w:rsid w:val="00E54004"/>
    <w:rsid w:val="00E619D4"/>
    <w:rsid w:val="00E632D9"/>
    <w:rsid w:val="00E653C7"/>
    <w:rsid w:val="00E65F61"/>
    <w:rsid w:val="00E66AE7"/>
    <w:rsid w:val="00E707E8"/>
    <w:rsid w:val="00E72DF3"/>
    <w:rsid w:val="00E73D34"/>
    <w:rsid w:val="00E75828"/>
    <w:rsid w:val="00E76B87"/>
    <w:rsid w:val="00E852E2"/>
    <w:rsid w:val="00E900CA"/>
    <w:rsid w:val="00E90C52"/>
    <w:rsid w:val="00E92C54"/>
    <w:rsid w:val="00E93912"/>
    <w:rsid w:val="00E94B21"/>
    <w:rsid w:val="00E96A63"/>
    <w:rsid w:val="00E96D6A"/>
    <w:rsid w:val="00E974B6"/>
    <w:rsid w:val="00E97C2C"/>
    <w:rsid w:val="00EA0B25"/>
    <w:rsid w:val="00EA27D5"/>
    <w:rsid w:val="00EA30B1"/>
    <w:rsid w:val="00EA6332"/>
    <w:rsid w:val="00EA67C2"/>
    <w:rsid w:val="00EB1E1C"/>
    <w:rsid w:val="00EB37CC"/>
    <w:rsid w:val="00EB3EDA"/>
    <w:rsid w:val="00EB466B"/>
    <w:rsid w:val="00EB4FA4"/>
    <w:rsid w:val="00EB5019"/>
    <w:rsid w:val="00EB5104"/>
    <w:rsid w:val="00EB5114"/>
    <w:rsid w:val="00EC0990"/>
    <w:rsid w:val="00EC0A38"/>
    <w:rsid w:val="00EC1B1B"/>
    <w:rsid w:val="00EC26C4"/>
    <w:rsid w:val="00EC3718"/>
    <w:rsid w:val="00ED4166"/>
    <w:rsid w:val="00ED54B3"/>
    <w:rsid w:val="00ED5ABB"/>
    <w:rsid w:val="00EE04ED"/>
    <w:rsid w:val="00EE1340"/>
    <w:rsid w:val="00EE268E"/>
    <w:rsid w:val="00EE2CC3"/>
    <w:rsid w:val="00EE33BA"/>
    <w:rsid w:val="00EE36B2"/>
    <w:rsid w:val="00EE4957"/>
    <w:rsid w:val="00EE5AB3"/>
    <w:rsid w:val="00EE6400"/>
    <w:rsid w:val="00EE7646"/>
    <w:rsid w:val="00EF0555"/>
    <w:rsid w:val="00EF1E8A"/>
    <w:rsid w:val="00EF3447"/>
    <w:rsid w:val="00EF4C3E"/>
    <w:rsid w:val="00EF7980"/>
    <w:rsid w:val="00EF7B49"/>
    <w:rsid w:val="00F030B3"/>
    <w:rsid w:val="00F04FDD"/>
    <w:rsid w:val="00F06AC2"/>
    <w:rsid w:val="00F10F31"/>
    <w:rsid w:val="00F12C35"/>
    <w:rsid w:val="00F12C90"/>
    <w:rsid w:val="00F134A4"/>
    <w:rsid w:val="00F13B2C"/>
    <w:rsid w:val="00F15074"/>
    <w:rsid w:val="00F1651C"/>
    <w:rsid w:val="00F1668E"/>
    <w:rsid w:val="00F2135F"/>
    <w:rsid w:val="00F21541"/>
    <w:rsid w:val="00F2174E"/>
    <w:rsid w:val="00F22AC9"/>
    <w:rsid w:val="00F23965"/>
    <w:rsid w:val="00F25588"/>
    <w:rsid w:val="00F263EA"/>
    <w:rsid w:val="00F27AB0"/>
    <w:rsid w:val="00F30933"/>
    <w:rsid w:val="00F33319"/>
    <w:rsid w:val="00F35D91"/>
    <w:rsid w:val="00F36489"/>
    <w:rsid w:val="00F37E06"/>
    <w:rsid w:val="00F4120F"/>
    <w:rsid w:val="00F423A6"/>
    <w:rsid w:val="00F4443D"/>
    <w:rsid w:val="00F4691F"/>
    <w:rsid w:val="00F51568"/>
    <w:rsid w:val="00F54C7B"/>
    <w:rsid w:val="00F5504A"/>
    <w:rsid w:val="00F57B67"/>
    <w:rsid w:val="00F6377E"/>
    <w:rsid w:val="00F63F0F"/>
    <w:rsid w:val="00F64A03"/>
    <w:rsid w:val="00F65367"/>
    <w:rsid w:val="00F677F2"/>
    <w:rsid w:val="00F75090"/>
    <w:rsid w:val="00F765D5"/>
    <w:rsid w:val="00F77E61"/>
    <w:rsid w:val="00F81399"/>
    <w:rsid w:val="00F81561"/>
    <w:rsid w:val="00F835D6"/>
    <w:rsid w:val="00F85F4D"/>
    <w:rsid w:val="00F87C2F"/>
    <w:rsid w:val="00F90362"/>
    <w:rsid w:val="00F93190"/>
    <w:rsid w:val="00F95602"/>
    <w:rsid w:val="00F970B5"/>
    <w:rsid w:val="00FA0F1D"/>
    <w:rsid w:val="00FA1C2B"/>
    <w:rsid w:val="00FA231E"/>
    <w:rsid w:val="00FA3081"/>
    <w:rsid w:val="00FA37B5"/>
    <w:rsid w:val="00FA3C62"/>
    <w:rsid w:val="00FA51FB"/>
    <w:rsid w:val="00FA54DC"/>
    <w:rsid w:val="00FB2591"/>
    <w:rsid w:val="00FB2621"/>
    <w:rsid w:val="00FB64A9"/>
    <w:rsid w:val="00FC07BB"/>
    <w:rsid w:val="00FC0B4E"/>
    <w:rsid w:val="00FC1B34"/>
    <w:rsid w:val="00FC2672"/>
    <w:rsid w:val="00FC430D"/>
    <w:rsid w:val="00FD2010"/>
    <w:rsid w:val="00FD2681"/>
    <w:rsid w:val="00FD4C90"/>
    <w:rsid w:val="00FD645A"/>
    <w:rsid w:val="00FD7C5D"/>
    <w:rsid w:val="00FD7D2D"/>
    <w:rsid w:val="00FE124F"/>
    <w:rsid w:val="00FE1910"/>
    <w:rsid w:val="00FE2D24"/>
    <w:rsid w:val="00FE2D45"/>
    <w:rsid w:val="00FE3D80"/>
    <w:rsid w:val="00FE4422"/>
    <w:rsid w:val="00FE4ABA"/>
    <w:rsid w:val="00FE60B8"/>
    <w:rsid w:val="00FF35D0"/>
    <w:rsid w:val="00FF587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85C5"/>
  <w15:chartTrackingRefBased/>
  <w15:docId w15:val="{8BD90E64-0989-4A2A-87E4-85676E16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uiPriority="20" w:qFormat="1"/>
    <w:lsdException w:name="Plain Text"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35"/>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36"/>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8"/>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9"/>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10"/>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12"/>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3"/>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33"/>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1-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2.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8FC03-390E-47C7-8293-6B4781A0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81</TotalTime>
  <Pages>6</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financial mechanism: Submissions received from biodiversity-related conventions pursuant to paragraph 2 of decision XII/30</vt:lpstr>
    </vt:vector>
  </TitlesOfParts>
  <Manager/>
  <Company>Unite Nations</Company>
  <LinksUpToDate>false</LinksUpToDate>
  <CharactersWithSpaces>21380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Submissions received from biodiversity-related conventions pursuant to paragraph 2 of decision XII/30</dc:title>
  <dc:subject>Biological diversity</dc:subject>
  <dc:creator>SCBD</dc:creator>
  <cp:keywords>Subsidiary Body on Implementation</cp:keywords>
  <dc:description/>
  <cp:lastModifiedBy>Veronique Lefebvre</cp:lastModifiedBy>
  <cp:revision>53</cp:revision>
  <cp:lastPrinted>2016-09-08T18:17:00Z</cp:lastPrinted>
  <dcterms:created xsi:type="dcterms:W3CDTF">2021-02-18T19:34:00Z</dcterms:created>
  <dcterms:modified xsi:type="dcterms:W3CDTF">2021-02-25T14:24:00Z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