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531867" w14:paraId="4CFB3FE4" w14:textId="77777777" w:rsidTr="00B60E5F">
        <w:trPr>
          <w:trHeight w:val="851"/>
        </w:trPr>
        <w:tc>
          <w:tcPr>
            <w:tcW w:w="465" w:type="pct"/>
            <w:tcBorders>
              <w:bottom w:val="single" w:sz="8" w:space="0" w:color="auto"/>
            </w:tcBorders>
            <w:vAlign w:val="bottom"/>
          </w:tcPr>
          <w:p w14:paraId="5A0F07CE" w14:textId="77777777" w:rsidR="00A96B21" w:rsidRPr="00531867" w:rsidRDefault="00A96B21" w:rsidP="00B60E5F">
            <w:pPr>
              <w:spacing w:after="120"/>
              <w:jc w:val="left"/>
            </w:pPr>
            <w:bookmarkStart w:id="0" w:name="_Hlk137651738"/>
            <w:r w:rsidRPr="00531867">
              <w:rPr>
                <w:noProof/>
              </w:rPr>
              <w:drawing>
                <wp:inline distT="0" distB="0" distL="0" distR="0" wp14:anchorId="7C99EAC9" wp14:editId="37D11C6E">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0DAB5E47" w14:textId="77777777" w:rsidR="00A96B21" w:rsidRPr="00531867" w:rsidRDefault="00A96B21" w:rsidP="00B60E5F">
            <w:pPr>
              <w:spacing w:after="120"/>
              <w:jc w:val="left"/>
            </w:pPr>
            <w:r w:rsidRPr="001D5473">
              <w:rPr>
                <w:noProof/>
              </w:rPr>
              <w:drawing>
                <wp:inline distT="0" distB="0" distL="0" distR="0" wp14:anchorId="6C3C6D44" wp14:editId="01E283B9">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024C879D" w14:textId="42A433C5" w:rsidR="00A96B21" w:rsidRPr="00531867" w:rsidRDefault="00A96B21" w:rsidP="00184909">
            <w:pPr>
              <w:spacing w:after="120"/>
              <w:ind w:left="2021"/>
              <w:jc w:val="right"/>
              <w:rPr>
                <w:szCs w:val="22"/>
              </w:rPr>
            </w:pPr>
            <w:r w:rsidRPr="00531867">
              <w:rPr>
                <w:sz w:val="40"/>
                <w:szCs w:val="40"/>
              </w:rPr>
              <w:t>CBD</w:t>
            </w:r>
            <w:r w:rsidRPr="00531867">
              <w:rPr>
                <w:szCs w:val="22"/>
              </w:rPr>
              <w:t>/</w:t>
            </w:r>
            <w:r w:rsidR="00F02C8B" w:rsidRPr="00531867">
              <w:rPr>
                <w:szCs w:val="22"/>
              </w:rPr>
              <w:t>FM/</w:t>
            </w:r>
            <w:r w:rsidR="007C0D2C" w:rsidRPr="00531867">
              <w:rPr>
                <w:szCs w:val="22"/>
              </w:rPr>
              <w:t>TEG/2023/</w:t>
            </w:r>
            <w:r w:rsidR="00BF0B9A" w:rsidRPr="00531867">
              <w:rPr>
                <w:szCs w:val="22"/>
              </w:rPr>
              <w:t>1/3</w:t>
            </w:r>
          </w:p>
        </w:tc>
      </w:tr>
      <w:tr w:rsidR="00A96B21" w:rsidRPr="00531867" w14:paraId="468AE132" w14:textId="77777777" w:rsidTr="00B60E5F">
        <w:tc>
          <w:tcPr>
            <w:tcW w:w="2297" w:type="pct"/>
            <w:gridSpan w:val="2"/>
            <w:tcBorders>
              <w:top w:val="single" w:sz="8" w:space="0" w:color="auto"/>
              <w:bottom w:val="single" w:sz="12" w:space="0" w:color="auto"/>
            </w:tcBorders>
          </w:tcPr>
          <w:p w14:paraId="5DCEEDF6" w14:textId="77777777" w:rsidR="00A96B21" w:rsidRPr="00531867" w:rsidRDefault="00A96B21" w:rsidP="00B60E5F">
            <w:pPr>
              <w:pStyle w:val="Cornernotation"/>
              <w:suppressLineNumbers/>
              <w:suppressAutoHyphens/>
              <w:spacing w:before="120" w:after="120"/>
              <w:ind w:left="0" w:right="0" w:firstLine="0"/>
            </w:pPr>
            <w:r w:rsidRPr="00531867">
              <w:rPr>
                <w:b w:val="0"/>
                <w:bCs/>
                <w:noProof/>
              </w:rPr>
              <w:drawing>
                <wp:inline distT="0" distB="0" distL="0" distR="0" wp14:anchorId="4EC079CA" wp14:editId="490D150C">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668BE8EE" w14:textId="77777777" w:rsidR="00A96B21" w:rsidRPr="00531867" w:rsidRDefault="00A96B21" w:rsidP="003C6F10">
            <w:pPr>
              <w:ind w:left="2584"/>
              <w:rPr>
                <w:sz w:val="22"/>
                <w:szCs w:val="22"/>
              </w:rPr>
            </w:pPr>
            <w:r w:rsidRPr="00531867">
              <w:rPr>
                <w:sz w:val="22"/>
                <w:szCs w:val="22"/>
              </w:rPr>
              <w:t>Distr.: General</w:t>
            </w:r>
          </w:p>
          <w:p w14:paraId="2073E840" w14:textId="0529210C" w:rsidR="00A96B21" w:rsidRPr="00531867" w:rsidRDefault="00C87BA8" w:rsidP="003C6F10">
            <w:pPr>
              <w:ind w:left="2584"/>
              <w:rPr>
                <w:sz w:val="22"/>
                <w:szCs w:val="22"/>
              </w:rPr>
            </w:pPr>
            <w:r w:rsidRPr="008046BE">
              <w:rPr>
                <w:sz w:val="22"/>
                <w:szCs w:val="22"/>
              </w:rPr>
              <w:t>1</w:t>
            </w:r>
            <w:r w:rsidR="00A96B21" w:rsidRPr="00531867">
              <w:rPr>
                <w:sz w:val="22"/>
                <w:szCs w:val="22"/>
              </w:rPr>
              <w:t xml:space="preserve"> </w:t>
            </w:r>
            <w:r w:rsidRPr="00531867">
              <w:rPr>
                <w:sz w:val="22"/>
                <w:szCs w:val="22"/>
              </w:rPr>
              <w:t xml:space="preserve">February </w:t>
            </w:r>
            <w:r w:rsidR="00A96B21" w:rsidRPr="00531867">
              <w:rPr>
                <w:sz w:val="22"/>
                <w:szCs w:val="22"/>
              </w:rPr>
              <w:t>202</w:t>
            </w:r>
            <w:r w:rsidR="00603275" w:rsidRPr="00531867">
              <w:rPr>
                <w:sz w:val="22"/>
                <w:szCs w:val="22"/>
              </w:rPr>
              <w:t>4</w:t>
            </w:r>
          </w:p>
          <w:p w14:paraId="19A1A769" w14:textId="77777777" w:rsidR="00A96B21" w:rsidRPr="00531867" w:rsidRDefault="00A96B21" w:rsidP="003C6F10">
            <w:pPr>
              <w:ind w:left="2584"/>
              <w:rPr>
                <w:sz w:val="22"/>
                <w:szCs w:val="22"/>
              </w:rPr>
            </w:pPr>
          </w:p>
          <w:p w14:paraId="69A0178C" w14:textId="72F777B9" w:rsidR="00A96B21" w:rsidRPr="00531867" w:rsidRDefault="00A96B21" w:rsidP="003C6F10">
            <w:pPr>
              <w:ind w:left="2584"/>
              <w:rPr>
                <w:sz w:val="22"/>
                <w:szCs w:val="22"/>
              </w:rPr>
            </w:pPr>
            <w:r w:rsidRPr="00531867">
              <w:rPr>
                <w:sz w:val="22"/>
                <w:szCs w:val="22"/>
              </w:rPr>
              <w:t>English</w:t>
            </w:r>
            <w:r w:rsidR="007730FA" w:rsidRPr="00531867">
              <w:rPr>
                <w:sz w:val="22"/>
                <w:szCs w:val="22"/>
              </w:rPr>
              <w:t xml:space="preserve"> only</w:t>
            </w:r>
          </w:p>
          <w:p w14:paraId="3DB43CBD" w14:textId="77777777" w:rsidR="00A96B21" w:rsidRPr="00531867" w:rsidRDefault="00A96B21" w:rsidP="00B60E5F"/>
        </w:tc>
      </w:tr>
    </w:tbl>
    <w:p w14:paraId="58EE2064" w14:textId="128CC8D3" w:rsidR="00874541" w:rsidRPr="00531867" w:rsidRDefault="0017531D" w:rsidP="001D5473">
      <w:pPr>
        <w:pStyle w:val="Cornernotation"/>
        <w:ind w:left="0" w:right="5107" w:firstLine="0"/>
        <w:rPr>
          <w:bCs/>
        </w:rPr>
      </w:pPr>
      <w:r w:rsidRPr="00531867">
        <w:rPr>
          <w:bCs/>
        </w:rPr>
        <w:t>Technical Expert Group on</w:t>
      </w:r>
      <w:r w:rsidR="00BF11D3" w:rsidRPr="00531867">
        <w:rPr>
          <w:bCs/>
        </w:rPr>
        <w:t xml:space="preserve"> </w:t>
      </w:r>
      <w:r w:rsidRPr="00531867">
        <w:rPr>
          <w:bCs/>
        </w:rPr>
        <w:t>Financial Reporting</w:t>
      </w:r>
    </w:p>
    <w:p w14:paraId="425D8561" w14:textId="2F300C16" w:rsidR="00A96B21" w:rsidRPr="001D5473" w:rsidRDefault="0017531D" w:rsidP="00A96B21">
      <w:pPr>
        <w:pStyle w:val="Cornernotation"/>
        <w:rPr>
          <w:bCs/>
          <w:sz w:val="22"/>
          <w:szCs w:val="22"/>
        </w:rPr>
      </w:pPr>
      <w:r w:rsidRPr="001D5473">
        <w:rPr>
          <w:bCs/>
          <w:sz w:val="22"/>
          <w:szCs w:val="22"/>
        </w:rPr>
        <w:t>First</w:t>
      </w:r>
      <w:r w:rsidR="00A96B21" w:rsidRPr="001D5473">
        <w:rPr>
          <w:bCs/>
          <w:sz w:val="22"/>
          <w:szCs w:val="22"/>
        </w:rPr>
        <w:t xml:space="preserve"> meeting </w:t>
      </w:r>
    </w:p>
    <w:p w14:paraId="2D46BB9A" w14:textId="2D2E1940" w:rsidR="00A96B21" w:rsidRPr="001D5473" w:rsidRDefault="0017531D" w:rsidP="000B4ED9">
      <w:pPr>
        <w:pStyle w:val="Venuedate"/>
      </w:pPr>
      <w:r w:rsidRPr="001D5473">
        <w:t>Montreal</w:t>
      </w:r>
      <w:r w:rsidR="00A96B21" w:rsidRPr="001D5473">
        <w:t xml:space="preserve">, </w:t>
      </w:r>
      <w:r w:rsidRPr="001D5473">
        <w:t>27 November–1 December 2023</w:t>
      </w:r>
    </w:p>
    <w:bookmarkEnd w:id="0"/>
    <w:p w14:paraId="0D97DCB6" w14:textId="7DC6C372" w:rsidR="00A96B21" w:rsidRPr="00531867" w:rsidRDefault="00000000" w:rsidP="001D5473">
      <w:pPr>
        <w:pStyle w:val="Title"/>
        <w:jc w:val="left"/>
      </w:pPr>
      <w:sdt>
        <w:sdtPr>
          <w:alias w:val="Title"/>
          <w:tag w:val=""/>
          <w:id w:val="-1975355689"/>
          <w:placeholder>
            <w:docPart w:val="5974F26E14614BC5B6C202D6AA72BA76"/>
          </w:placeholder>
          <w:dataBinding w:prefixMappings="xmlns:ns0='http://purl.org/dc/elements/1.1/' xmlns:ns1='http://schemas.openxmlformats.org/package/2006/metadata/core-properties' " w:xpath="/ns1:coreProperties[1]/ns0:title[1]" w:storeItemID="{6C3C8BC8-F283-45AE-878A-BAB7291924A1}"/>
          <w:text/>
        </w:sdtPr>
        <w:sdtContent>
          <w:r w:rsidR="00BF11D3" w:rsidRPr="00531867">
            <w:t>Report of the Technical Expert Group on Financial Reporting on its first meeting</w:t>
          </w:r>
        </w:sdtContent>
      </w:sdt>
    </w:p>
    <w:tbl>
      <w:tblPr>
        <w:tblW w:w="9855" w:type="dxa"/>
        <w:tblBorders>
          <w:left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9855"/>
      </w:tblGrid>
      <w:tr w:rsidR="00E172DE" w:rsidRPr="00531867" w14:paraId="72FFAE5D" w14:textId="77777777" w:rsidTr="00E172DE">
        <w:tc>
          <w:tcPr>
            <w:tcW w:w="9850" w:type="dxa"/>
            <w:tcBorders>
              <w:top w:val="single" w:sz="2" w:space="0" w:color="auto"/>
              <w:left w:val="single" w:sz="2" w:space="0" w:color="auto"/>
              <w:bottom w:val="nil"/>
              <w:right w:val="single" w:sz="2" w:space="0" w:color="auto"/>
            </w:tcBorders>
            <w:hideMark/>
          </w:tcPr>
          <w:p w14:paraId="2CF94CAF" w14:textId="22ECE16D" w:rsidR="00E172DE" w:rsidRPr="001D5473" w:rsidRDefault="00E172DE">
            <w:pPr>
              <w:tabs>
                <w:tab w:val="left" w:pos="240"/>
              </w:tabs>
              <w:spacing w:before="240" w:after="120"/>
              <w:rPr>
                <w:i/>
                <w:sz w:val="24"/>
              </w:rPr>
            </w:pPr>
            <w:r w:rsidRPr="00531867">
              <w:rPr>
                <w:i/>
                <w:sz w:val="24"/>
              </w:rPr>
              <w:tab/>
            </w:r>
            <w:r w:rsidRPr="001D5473">
              <w:rPr>
                <w:i/>
                <w:iCs/>
                <w:sz w:val="24"/>
              </w:rPr>
              <w:t>Background</w:t>
            </w:r>
          </w:p>
        </w:tc>
      </w:tr>
      <w:tr w:rsidR="00E172DE" w:rsidRPr="00531867" w14:paraId="4F52BEA1" w14:textId="77777777" w:rsidTr="00E172DE">
        <w:tc>
          <w:tcPr>
            <w:tcW w:w="9850" w:type="dxa"/>
            <w:tcBorders>
              <w:top w:val="nil"/>
              <w:left w:val="single" w:sz="2" w:space="0" w:color="auto"/>
              <w:bottom w:val="nil"/>
              <w:right w:val="single" w:sz="2" w:space="0" w:color="auto"/>
            </w:tcBorders>
            <w:hideMark/>
          </w:tcPr>
          <w:p w14:paraId="55D108FD" w14:textId="4C029D3A" w:rsidR="00E172DE" w:rsidRPr="001D5473" w:rsidRDefault="00E172DE" w:rsidP="001D5473">
            <w:pPr>
              <w:pStyle w:val="SingleTxt"/>
              <w:ind w:left="562"/>
              <w:rPr>
                <w:sz w:val="22"/>
                <w:szCs w:val="22"/>
              </w:rPr>
            </w:pPr>
            <w:r w:rsidRPr="001D5473">
              <w:rPr>
                <w:sz w:val="22"/>
                <w:szCs w:val="22"/>
              </w:rPr>
              <w:tab/>
              <w:t xml:space="preserve">The Conference of the Parties established the Technical Expert Group on Financial Reporting in its decision 15/7, on resource mobilization. The Group held an online preparatory meeting on 24 October 2023, at which its members familiarized themselves with the Group’s mandate and terms of reference and provided comments on proposed modalities for their work, which were taken into consideration in the agenda and organization of work for the </w:t>
            </w:r>
            <w:r w:rsidR="001C6EB0" w:rsidRPr="00531867">
              <w:rPr>
                <w:sz w:val="22"/>
                <w:szCs w:val="22"/>
              </w:rPr>
              <w:t>present</w:t>
            </w:r>
            <w:r w:rsidRPr="001D5473">
              <w:rPr>
                <w:sz w:val="22"/>
                <w:szCs w:val="22"/>
              </w:rPr>
              <w:t xml:space="preserve"> meeting, held with financial support from the European Union and the United Kingdom of Great Britain and Northern Ireland.</w:t>
            </w:r>
          </w:p>
        </w:tc>
      </w:tr>
      <w:tr w:rsidR="00E172DE" w:rsidRPr="00531867" w14:paraId="181A6313" w14:textId="77777777" w:rsidTr="00E172DE">
        <w:tc>
          <w:tcPr>
            <w:tcW w:w="9850" w:type="dxa"/>
            <w:tcBorders>
              <w:top w:val="nil"/>
              <w:left w:val="single" w:sz="2" w:space="0" w:color="auto"/>
              <w:bottom w:val="single" w:sz="2" w:space="0" w:color="auto"/>
              <w:right w:val="single" w:sz="2" w:space="0" w:color="auto"/>
            </w:tcBorders>
          </w:tcPr>
          <w:p w14:paraId="346815D5" w14:textId="77777777" w:rsidR="00E172DE" w:rsidRPr="00531867" w:rsidRDefault="00E172DE">
            <w:pPr>
              <w:pStyle w:val="SingleTxt"/>
            </w:pPr>
          </w:p>
        </w:tc>
      </w:tr>
    </w:tbl>
    <w:p w14:paraId="10528581" w14:textId="77777777" w:rsidR="00E172DE" w:rsidRPr="00531867" w:rsidRDefault="00E172DE" w:rsidP="00E172DE"/>
    <w:p w14:paraId="63AC7C00" w14:textId="77777777" w:rsidR="00E172DE" w:rsidRPr="00531867" w:rsidRDefault="00E172DE" w:rsidP="00E172DE"/>
    <w:p w14:paraId="30D80DD4" w14:textId="77777777" w:rsidR="00000000" w:rsidRPr="001D5473" w:rsidRDefault="00000000" w:rsidP="001D5473">
      <w:pPr>
        <w:rPr>
          <w:b/>
          <w:bCs/>
        </w:rPr>
        <w:sectPr w:rsidR="00000000" w:rsidRPr="001D5473" w:rsidSect="00302717">
          <w:headerReference w:type="even" r:id="rId14"/>
          <w:headerReference w:type="default" r:id="rId15"/>
          <w:footerReference w:type="even" r:id="rId16"/>
          <w:footerReference w:type="default" r:id="rId17"/>
          <w:footerReference w:type="first" r:id="rId18"/>
          <w:pgSz w:w="12240" w:h="15840"/>
          <w:pgMar w:top="1134" w:right="1440" w:bottom="1134" w:left="1440" w:header="709" w:footer="709" w:gutter="0"/>
          <w:cols w:space="708"/>
          <w:titlePg/>
          <w:docGrid w:linePitch="360"/>
        </w:sectPr>
      </w:pPr>
    </w:p>
    <w:p w14:paraId="034B90AB" w14:textId="03BAAC0F" w:rsidR="00185F6E" w:rsidRPr="001D5473" w:rsidRDefault="00185F6E" w:rsidP="001D5473">
      <w:pPr>
        <w:keepNext/>
        <w:spacing w:before="123"/>
        <w:rPr>
          <w:b/>
          <w:sz w:val="24"/>
          <w:szCs w:val="22"/>
        </w:rPr>
      </w:pPr>
      <w:r w:rsidRPr="00531867">
        <w:rPr>
          <w:b/>
          <w:sz w:val="24"/>
        </w:rPr>
        <w:lastRenderedPageBreak/>
        <w:t>Item</w:t>
      </w:r>
      <w:r w:rsidRPr="00531867">
        <w:rPr>
          <w:b/>
          <w:spacing w:val="-4"/>
          <w:sz w:val="24"/>
        </w:rPr>
        <w:t xml:space="preserve"> </w:t>
      </w:r>
      <w:r w:rsidRPr="00531867">
        <w:rPr>
          <w:b/>
          <w:spacing w:val="-10"/>
          <w:sz w:val="24"/>
        </w:rPr>
        <w:t>1</w:t>
      </w:r>
    </w:p>
    <w:p w14:paraId="04F999EF" w14:textId="77777777" w:rsidR="00185F6E" w:rsidRPr="00531867" w:rsidRDefault="00185F6E" w:rsidP="001D5473">
      <w:pPr>
        <w:keepNext/>
        <w:rPr>
          <w:b/>
          <w:spacing w:val="-2"/>
          <w:sz w:val="24"/>
        </w:rPr>
      </w:pPr>
      <w:r w:rsidRPr="00531867">
        <w:rPr>
          <w:b/>
          <w:sz w:val="24"/>
        </w:rPr>
        <w:t>Opening</w:t>
      </w:r>
      <w:r w:rsidRPr="00531867">
        <w:rPr>
          <w:b/>
          <w:spacing w:val="-2"/>
          <w:sz w:val="24"/>
        </w:rPr>
        <w:t xml:space="preserve"> </w:t>
      </w:r>
      <w:r w:rsidRPr="00531867">
        <w:rPr>
          <w:b/>
          <w:sz w:val="24"/>
        </w:rPr>
        <w:t>of the</w:t>
      </w:r>
      <w:r w:rsidRPr="00531867">
        <w:rPr>
          <w:b/>
          <w:spacing w:val="-1"/>
          <w:sz w:val="24"/>
        </w:rPr>
        <w:t xml:space="preserve"> </w:t>
      </w:r>
      <w:r w:rsidRPr="00531867">
        <w:rPr>
          <w:b/>
          <w:spacing w:val="-2"/>
          <w:sz w:val="24"/>
        </w:rPr>
        <w:t>meeting</w:t>
      </w:r>
    </w:p>
    <w:p w14:paraId="42F4897A" w14:textId="285EBDDB" w:rsidR="00185F6E" w:rsidRPr="001D5473" w:rsidRDefault="00260041" w:rsidP="00F31A26">
      <w:pPr>
        <w:pStyle w:val="Para1"/>
      </w:pPr>
      <w:r w:rsidRPr="001D5473">
        <w:t xml:space="preserve">The </w:t>
      </w:r>
      <w:r w:rsidR="008746E1" w:rsidRPr="001D5473">
        <w:t>meeting</w:t>
      </w:r>
      <w:r w:rsidRPr="001D5473">
        <w:t xml:space="preserve"> was opened</w:t>
      </w:r>
      <w:r w:rsidR="00BE0C0A" w:rsidRPr="001D5473">
        <w:t xml:space="preserve"> at </w:t>
      </w:r>
      <w:r w:rsidR="009D2DB7" w:rsidRPr="001D5473">
        <w:t>9</w:t>
      </w:r>
      <w:r w:rsidR="00B00CB8" w:rsidRPr="001D5473">
        <w:t>.</w:t>
      </w:r>
      <w:r w:rsidR="009D2DB7" w:rsidRPr="001D5473">
        <w:t>30</w:t>
      </w:r>
      <w:r w:rsidR="000B71CC" w:rsidRPr="001D5473">
        <w:t xml:space="preserve"> a.m. </w:t>
      </w:r>
      <w:r w:rsidR="00BF0D73" w:rsidRPr="001D5473">
        <w:t xml:space="preserve">on </w:t>
      </w:r>
      <w:r w:rsidR="008638CA" w:rsidRPr="001D5473">
        <w:t>27 November 2023</w:t>
      </w:r>
      <w:r w:rsidR="00270157" w:rsidRPr="001D5473">
        <w:t xml:space="preserve"> by </w:t>
      </w:r>
      <w:r w:rsidR="000665FA" w:rsidRPr="00531867">
        <w:t xml:space="preserve">a representative </w:t>
      </w:r>
      <w:r w:rsidR="00120C4F" w:rsidRPr="001D5473">
        <w:t>of</w:t>
      </w:r>
      <w:r w:rsidR="00104076" w:rsidRPr="001D5473">
        <w:t xml:space="preserve"> </w:t>
      </w:r>
      <w:r w:rsidR="00360FDF" w:rsidRPr="001D5473">
        <w:t>the Secretariat of the Convention on Biological Diversity</w:t>
      </w:r>
      <w:r w:rsidR="00463B76" w:rsidRPr="001D5473">
        <w:t xml:space="preserve">. </w:t>
      </w:r>
    </w:p>
    <w:p w14:paraId="6A443875" w14:textId="4DDF3B0A" w:rsidR="00793D0A" w:rsidRPr="001D5473" w:rsidRDefault="00120C4F" w:rsidP="00F31A26">
      <w:pPr>
        <w:pStyle w:val="Para1"/>
      </w:pPr>
      <w:r w:rsidRPr="001D5473">
        <w:t xml:space="preserve">The </w:t>
      </w:r>
      <w:r w:rsidR="00C9445D" w:rsidRPr="001D5473">
        <w:t xml:space="preserve">Acting Executive Secretary of the </w:t>
      </w:r>
      <w:r w:rsidR="009D3301" w:rsidRPr="001D5473">
        <w:t>Convention</w:t>
      </w:r>
      <w:r w:rsidR="0099533B" w:rsidRPr="001D5473">
        <w:t xml:space="preserve"> provided opening remarks. </w:t>
      </w:r>
      <w:r w:rsidR="00104076" w:rsidRPr="001D5473">
        <w:t>He</w:t>
      </w:r>
      <w:r w:rsidR="00B71B00" w:rsidRPr="001D5473">
        <w:t xml:space="preserve"> highlighted the importance </w:t>
      </w:r>
      <w:r w:rsidR="0097551C" w:rsidRPr="001D5473">
        <w:t xml:space="preserve">of developing a robust </w:t>
      </w:r>
      <w:r w:rsidR="00EA3826" w:rsidRPr="001D5473">
        <w:t xml:space="preserve">financial reporting framework </w:t>
      </w:r>
      <w:r w:rsidR="002A524B" w:rsidRPr="001D5473">
        <w:t xml:space="preserve">as part of the overall work of </w:t>
      </w:r>
      <w:r w:rsidR="00315BA1" w:rsidRPr="001D5473">
        <w:t xml:space="preserve">monitoring progress towards the </w:t>
      </w:r>
      <w:r w:rsidR="009D28E4" w:rsidRPr="001D5473">
        <w:t xml:space="preserve">goals and targets of the </w:t>
      </w:r>
      <w:r w:rsidR="00315BA1" w:rsidRPr="001D5473">
        <w:t xml:space="preserve">Kunming-Montreal Global Biodiversity Framework. </w:t>
      </w:r>
      <w:r w:rsidR="009D28E4" w:rsidRPr="001D5473">
        <w:t>H</w:t>
      </w:r>
      <w:r w:rsidR="000517C5" w:rsidRPr="001D5473">
        <w:t>e</w:t>
      </w:r>
      <w:r w:rsidR="00734F19" w:rsidRPr="001D5473">
        <w:t xml:space="preserve"> stressed </w:t>
      </w:r>
      <w:r w:rsidR="00793D0A" w:rsidRPr="001D5473">
        <w:t xml:space="preserve">how </w:t>
      </w:r>
      <w:r w:rsidR="00EB45F8" w:rsidRPr="001D5473">
        <w:t xml:space="preserve">achieving a strong framework for financial reporting </w:t>
      </w:r>
      <w:r w:rsidR="00202461" w:rsidRPr="001D5473">
        <w:t xml:space="preserve">would </w:t>
      </w:r>
      <w:r w:rsidR="00EB45F8" w:rsidRPr="001D5473">
        <w:t xml:space="preserve">be crucial to progress in </w:t>
      </w:r>
      <w:r w:rsidR="000517C5" w:rsidRPr="001D5473">
        <w:t>mobilizing</w:t>
      </w:r>
      <w:r w:rsidR="00EB45F8" w:rsidRPr="001D5473">
        <w:t xml:space="preserve"> </w:t>
      </w:r>
      <w:r w:rsidR="003563E5" w:rsidRPr="001D5473">
        <w:t>resources and</w:t>
      </w:r>
      <w:r w:rsidR="000517C5" w:rsidRPr="001D5473">
        <w:t xml:space="preserve"> provide confidence in </w:t>
      </w:r>
      <w:r w:rsidR="00DA6AE0">
        <w:t xml:space="preserve">the capacity to achieve </w:t>
      </w:r>
      <w:r w:rsidR="000517C5" w:rsidRPr="001D5473">
        <w:t xml:space="preserve">the Framework as a whole. </w:t>
      </w:r>
      <w:r w:rsidR="00D66EBC" w:rsidRPr="001D5473">
        <w:t xml:space="preserve">In </w:t>
      </w:r>
      <w:r w:rsidR="00AC2E95" w:rsidRPr="001D5473">
        <w:t>conclusion</w:t>
      </w:r>
      <w:r w:rsidR="003563E5" w:rsidRPr="001D5473">
        <w:t xml:space="preserve">, he </w:t>
      </w:r>
      <w:r w:rsidR="00D66EBC" w:rsidRPr="001D5473">
        <w:t xml:space="preserve">emphasized the importance </w:t>
      </w:r>
      <w:r w:rsidR="0013453D" w:rsidRPr="001D5473">
        <w:t xml:space="preserve">of </w:t>
      </w:r>
      <w:r w:rsidR="00E0485A" w:rsidRPr="001D5473">
        <w:t>keep</w:t>
      </w:r>
      <w:r w:rsidR="0013453D" w:rsidRPr="001D5473">
        <w:t>ing</w:t>
      </w:r>
      <w:r w:rsidR="003563E5" w:rsidRPr="001D5473">
        <w:t xml:space="preserve"> momentum towards achieving </w:t>
      </w:r>
      <w:r w:rsidR="00E0485A" w:rsidRPr="001D5473">
        <w:t xml:space="preserve">all the goals and </w:t>
      </w:r>
      <w:r w:rsidR="0013453D" w:rsidRPr="001D5473">
        <w:t xml:space="preserve">targets </w:t>
      </w:r>
      <w:r w:rsidR="00E0485A" w:rsidRPr="001D5473">
        <w:t>of the Framework</w:t>
      </w:r>
      <w:r w:rsidR="00277C17" w:rsidRPr="001D5473">
        <w:t>.</w:t>
      </w:r>
    </w:p>
    <w:p w14:paraId="0FE164CE" w14:textId="459425C5" w:rsidR="00AE1A1E" w:rsidRPr="001D5473" w:rsidRDefault="00AE1A1E" w:rsidP="001D5473">
      <w:pPr>
        <w:keepNext/>
        <w:spacing w:before="123"/>
        <w:rPr>
          <w:b/>
          <w:sz w:val="24"/>
          <w:szCs w:val="22"/>
        </w:rPr>
      </w:pPr>
      <w:r w:rsidRPr="00531867">
        <w:rPr>
          <w:b/>
          <w:sz w:val="24"/>
        </w:rPr>
        <w:t>Item</w:t>
      </w:r>
      <w:r w:rsidRPr="00531867">
        <w:rPr>
          <w:b/>
          <w:spacing w:val="-4"/>
          <w:sz w:val="24"/>
        </w:rPr>
        <w:t xml:space="preserve"> </w:t>
      </w:r>
      <w:r w:rsidRPr="00531867">
        <w:rPr>
          <w:b/>
          <w:spacing w:val="-10"/>
          <w:sz w:val="24"/>
        </w:rPr>
        <w:t>2</w:t>
      </w:r>
    </w:p>
    <w:p w14:paraId="4853B183" w14:textId="07E8C88D" w:rsidR="00B2745D" w:rsidRPr="00531867" w:rsidRDefault="00AE1A1E" w:rsidP="001D5473">
      <w:pPr>
        <w:keepNext/>
        <w:rPr>
          <w:b/>
          <w:sz w:val="24"/>
        </w:rPr>
      </w:pPr>
      <w:r w:rsidRPr="00531867">
        <w:rPr>
          <w:b/>
          <w:sz w:val="24"/>
        </w:rPr>
        <w:t xml:space="preserve">Organizational </w:t>
      </w:r>
      <w:r w:rsidR="00CF3023" w:rsidRPr="00531867">
        <w:rPr>
          <w:b/>
          <w:sz w:val="24"/>
        </w:rPr>
        <w:t>m</w:t>
      </w:r>
      <w:r w:rsidR="00D53057" w:rsidRPr="00531867">
        <w:rPr>
          <w:b/>
          <w:sz w:val="24"/>
        </w:rPr>
        <w:t xml:space="preserve">atters </w:t>
      </w:r>
    </w:p>
    <w:p w14:paraId="5B906EC6" w14:textId="6B8D0382" w:rsidR="002E4468" w:rsidRPr="00A56709" w:rsidRDefault="00F900B2" w:rsidP="00A56709">
      <w:pPr>
        <w:pStyle w:val="Para1"/>
        <w:numPr>
          <w:ilvl w:val="0"/>
          <w:numId w:val="0"/>
        </w:numPr>
        <w:ind w:left="567" w:hanging="567"/>
        <w:rPr>
          <w:b/>
          <w:bCs/>
        </w:rPr>
      </w:pPr>
      <w:r w:rsidRPr="00A56709">
        <w:rPr>
          <w:b/>
          <w:bCs/>
        </w:rPr>
        <w:t>(a)</w:t>
      </w:r>
      <w:r w:rsidRPr="00A56709">
        <w:rPr>
          <w:b/>
          <w:bCs/>
        </w:rPr>
        <w:tab/>
      </w:r>
      <w:r w:rsidR="00B2745D" w:rsidRPr="00A56709">
        <w:rPr>
          <w:b/>
          <w:bCs/>
        </w:rPr>
        <w:t>Adoption of the agenda</w:t>
      </w:r>
    </w:p>
    <w:p w14:paraId="4DD4FE8A" w14:textId="01624F2C" w:rsidR="008E3779" w:rsidRPr="001D5473" w:rsidRDefault="00AA777B" w:rsidP="00F31A26">
      <w:pPr>
        <w:pStyle w:val="Para1"/>
      </w:pPr>
      <w:r w:rsidRPr="001D5473">
        <w:t xml:space="preserve">The </w:t>
      </w:r>
      <w:r w:rsidR="009E628D" w:rsidRPr="001D5473">
        <w:t xml:space="preserve">members </w:t>
      </w:r>
      <w:r w:rsidR="00516745" w:rsidRPr="001D5473">
        <w:t>agreed to discuss</w:t>
      </w:r>
      <w:r w:rsidR="001B21E2" w:rsidRPr="001D5473">
        <w:t xml:space="preserve"> the template for national reporting by Parties</w:t>
      </w:r>
      <w:r w:rsidR="00F07538" w:rsidRPr="001D5473">
        <w:t xml:space="preserve">, </w:t>
      </w:r>
      <w:r w:rsidR="007240CF" w:rsidRPr="001D5473">
        <w:t>as a cross-cutting issue</w:t>
      </w:r>
      <w:r w:rsidR="004A49BD" w:rsidRPr="001D5473">
        <w:t>,</w:t>
      </w:r>
      <w:r w:rsidR="007240CF" w:rsidRPr="001D5473">
        <w:t xml:space="preserve"> on the second </w:t>
      </w:r>
      <w:r w:rsidR="0022783D" w:rsidRPr="001D5473">
        <w:t xml:space="preserve">day of the </w:t>
      </w:r>
      <w:r w:rsidR="002876B9" w:rsidRPr="001D5473">
        <w:t>meeting</w:t>
      </w:r>
      <w:r w:rsidR="00FA15CD" w:rsidRPr="00531867">
        <w:t>,</w:t>
      </w:r>
      <w:r w:rsidR="0022783D" w:rsidRPr="001D5473">
        <w:t xml:space="preserve"> </w:t>
      </w:r>
      <w:r w:rsidR="001F1D70" w:rsidRPr="001D5473">
        <w:t xml:space="preserve">and </w:t>
      </w:r>
      <w:r w:rsidR="008E3779" w:rsidRPr="001D5473">
        <w:t>adopted</w:t>
      </w:r>
      <w:r w:rsidR="001F1D70" w:rsidRPr="001D5473">
        <w:t xml:space="preserve"> the agenda.</w:t>
      </w:r>
    </w:p>
    <w:p w14:paraId="03E527FD" w14:textId="37A716D2" w:rsidR="009D1D27" w:rsidRPr="00A56709" w:rsidRDefault="00E87990" w:rsidP="00A56709">
      <w:pPr>
        <w:pStyle w:val="Para1"/>
        <w:numPr>
          <w:ilvl w:val="0"/>
          <w:numId w:val="0"/>
        </w:numPr>
        <w:ind w:left="567" w:hanging="567"/>
        <w:rPr>
          <w:b/>
          <w:bCs/>
        </w:rPr>
      </w:pPr>
      <w:r w:rsidRPr="00A56709">
        <w:rPr>
          <w:b/>
          <w:bCs/>
        </w:rPr>
        <w:t>(b)</w:t>
      </w:r>
      <w:r w:rsidRPr="00A56709">
        <w:rPr>
          <w:b/>
          <w:bCs/>
        </w:rPr>
        <w:tab/>
      </w:r>
      <w:r w:rsidR="002F2BDB" w:rsidRPr="00A56709">
        <w:rPr>
          <w:b/>
          <w:bCs/>
        </w:rPr>
        <w:t xml:space="preserve">Election of the Co-Chairs </w:t>
      </w:r>
    </w:p>
    <w:p w14:paraId="15EAC5F2" w14:textId="5498E654" w:rsidR="00443EDA" w:rsidRPr="001D5473" w:rsidRDefault="00EA1EFC" w:rsidP="00F31A26">
      <w:pPr>
        <w:pStyle w:val="Para1"/>
        <w:rPr>
          <w:szCs w:val="22"/>
        </w:rPr>
      </w:pPr>
      <w:r w:rsidRPr="001D5473">
        <w:t>As</w:t>
      </w:r>
      <w:r w:rsidRPr="001D5473">
        <w:rPr>
          <w:spacing w:val="-2"/>
        </w:rPr>
        <w:t xml:space="preserve"> </w:t>
      </w:r>
      <w:r w:rsidRPr="001D5473">
        <w:t>stipulated</w:t>
      </w:r>
      <w:r w:rsidRPr="001D5473">
        <w:rPr>
          <w:spacing w:val="-4"/>
        </w:rPr>
        <w:t xml:space="preserve"> </w:t>
      </w:r>
      <w:r w:rsidRPr="001D5473">
        <w:t>in</w:t>
      </w:r>
      <w:r w:rsidRPr="001D5473">
        <w:rPr>
          <w:spacing w:val="-3"/>
        </w:rPr>
        <w:t xml:space="preserve"> </w:t>
      </w:r>
      <w:r w:rsidRPr="001D5473">
        <w:t>its</w:t>
      </w:r>
      <w:r w:rsidRPr="001D5473">
        <w:rPr>
          <w:spacing w:val="-2"/>
        </w:rPr>
        <w:t xml:space="preserve"> </w:t>
      </w:r>
      <w:r w:rsidRPr="001D5473">
        <w:t>terms</w:t>
      </w:r>
      <w:r w:rsidRPr="001D5473">
        <w:rPr>
          <w:spacing w:val="-2"/>
        </w:rPr>
        <w:t xml:space="preserve"> </w:t>
      </w:r>
      <w:r w:rsidRPr="001D5473">
        <w:t>of</w:t>
      </w:r>
      <w:r w:rsidRPr="001D5473">
        <w:rPr>
          <w:spacing w:val="-3"/>
        </w:rPr>
        <w:t xml:space="preserve"> </w:t>
      </w:r>
      <w:r w:rsidRPr="001D5473">
        <w:t>reference,</w:t>
      </w:r>
      <w:r w:rsidRPr="001D5473">
        <w:rPr>
          <w:spacing w:val="-5"/>
        </w:rPr>
        <w:t xml:space="preserve"> </w:t>
      </w:r>
      <w:r w:rsidRPr="001D5473">
        <w:t>the</w:t>
      </w:r>
      <w:r w:rsidRPr="001D5473">
        <w:rPr>
          <w:spacing w:val="-4"/>
        </w:rPr>
        <w:t xml:space="preserve"> </w:t>
      </w:r>
      <w:r w:rsidR="0092149A" w:rsidRPr="001D5473">
        <w:rPr>
          <w:spacing w:val="-4"/>
        </w:rPr>
        <w:t>T</w:t>
      </w:r>
      <w:r w:rsidRPr="001D5473">
        <w:t>echnical</w:t>
      </w:r>
      <w:r w:rsidRPr="001D5473">
        <w:rPr>
          <w:spacing w:val="-1"/>
        </w:rPr>
        <w:t xml:space="preserve"> </w:t>
      </w:r>
      <w:r w:rsidR="0092149A" w:rsidRPr="001D5473">
        <w:rPr>
          <w:spacing w:val="-1"/>
        </w:rPr>
        <w:t>E</w:t>
      </w:r>
      <w:r w:rsidRPr="001D5473">
        <w:t>xpert</w:t>
      </w:r>
      <w:r w:rsidRPr="001D5473">
        <w:rPr>
          <w:spacing w:val="-1"/>
        </w:rPr>
        <w:t xml:space="preserve"> </w:t>
      </w:r>
      <w:r w:rsidR="0092149A" w:rsidRPr="001D5473">
        <w:rPr>
          <w:spacing w:val="-1"/>
        </w:rPr>
        <w:t>G</w:t>
      </w:r>
      <w:r w:rsidRPr="001D5473">
        <w:t>roup</w:t>
      </w:r>
      <w:r w:rsidRPr="001D5473">
        <w:rPr>
          <w:spacing w:val="-1"/>
        </w:rPr>
        <w:t xml:space="preserve"> </w:t>
      </w:r>
      <w:r w:rsidRPr="001D5473">
        <w:t>elected</w:t>
      </w:r>
      <w:r w:rsidRPr="001D5473">
        <w:rPr>
          <w:spacing w:val="-2"/>
        </w:rPr>
        <w:t xml:space="preserve"> </w:t>
      </w:r>
      <w:r w:rsidRPr="001D5473">
        <w:t>two</w:t>
      </w:r>
      <w:r w:rsidRPr="001D5473">
        <w:rPr>
          <w:spacing w:val="-2"/>
        </w:rPr>
        <w:t xml:space="preserve"> </w:t>
      </w:r>
      <w:r w:rsidRPr="001D5473">
        <w:t xml:space="preserve">co-chairs from among its </w:t>
      </w:r>
      <w:r w:rsidR="00035DAC" w:rsidRPr="001D5473">
        <w:t>members</w:t>
      </w:r>
      <w:r w:rsidR="0098666F" w:rsidRPr="001D5473">
        <w:t xml:space="preserve">: Lucretia Landmann (Switzerland) and </w:t>
      </w:r>
      <w:r w:rsidRPr="001D5473">
        <w:t xml:space="preserve">Juan Camilo Pinto Ojeda (Colombia). </w:t>
      </w:r>
    </w:p>
    <w:p w14:paraId="0036C3DF" w14:textId="08C91583" w:rsidR="00443EDA" w:rsidRPr="00A56709" w:rsidRDefault="00E87990" w:rsidP="00A56709">
      <w:pPr>
        <w:pStyle w:val="Para1"/>
        <w:numPr>
          <w:ilvl w:val="0"/>
          <w:numId w:val="0"/>
        </w:numPr>
        <w:ind w:left="567" w:hanging="567"/>
        <w:rPr>
          <w:b/>
          <w:bCs/>
        </w:rPr>
      </w:pPr>
      <w:r w:rsidRPr="00A56709">
        <w:rPr>
          <w:b/>
          <w:bCs/>
        </w:rPr>
        <w:t>(c)</w:t>
      </w:r>
      <w:r w:rsidRPr="00A56709">
        <w:rPr>
          <w:b/>
          <w:bCs/>
        </w:rPr>
        <w:tab/>
      </w:r>
      <w:r w:rsidR="00443EDA" w:rsidRPr="00A56709">
        <w:rPr>
          <w:b/>
          <w:bCs/>
        </w:rPr>
        <w:t xml:space="preserve">Organization of </w:t>
      </w:r>
      <w:r w:rsidR="005647F2" w:rsidRPr="00A56709">
        <w:rPr>
          <w:b/>
          <w:bCs/>
        </w:rPr>
        <w:t>w</w:t>
      </w:r>
      <w:r w:rsidR="00443EDA" w:rsidRPr="00A56709">
        <w:rPr>
          <w:b/>
          <w:bCs/>
        </w:rPr>
        <w:t xml:space="preserve">ork </w:t>
      </w:r>
    </w:p>
    <w:p w14:paraId="2019FB03" w14:textId="7356D942" w:rsidR="00DE4538" w:rsidRPr="001D5473" w:rsidRDefault="000421FB" w:rsidP="00F31A26">
      <w:pPr>
        <w:pStyle w:val="Para1"/>
        <w:rPr>
          <w:szCs w:val="22"/>
        </w:rPr>
      </w:pPr>
      <w:r w:rsidRPr="001D5473">
        <w:t xml:space="preserve">The </w:t>
      </w:r>
      <w:r w:rsidR="00526D86" w:rsidRPr="001D5473">
        <w:t>C</w:t>
      </w:r>
      <w:r w:rsidRPr="001D5473">
        <w:t>o-</w:t>
      </w:r>
      <w:r w:rsidR="00526D86" w:rsidRPr="001D5473">
        <w:t>C</w:t>
      </w:r>
      <w:r w:rsidRPr="001D5473">
        <w:t xml:space="preserve">hairs invited </w:t>
      </w:r>
      <w:r w:rsidR="0066385E" w:rsidRPr="001D5473">
        <w:t xml:space="preserve">the members </w:t>
      </w:r>
      <w:r w:rsidR="00DE4538" w:rsidRPr="001D5473">
        <w:t xml:space="preserve">of the </w:t>
      </w:r>
      <w:r w:rsidR="00526D86" w:rsidRPr="001D5473">
        <w:t xml:space="preserve">Technical Expert Group </w:t>
      </w:r>
      <w:r w:rsidR="00DE4538" w:rsidRPr="001D5473">
        <w:t xml:space="preserve">to </w:t>
      </w:r>
      <w:r w:rsidR="006240FF" w:rsidRPr="001D5473">
        <w:t xml:space="preserve">approve </w:t>
      </w:r>
      <w:r w:rsidR="00DE4538" w:rsidRPr="001D5473">
        <w:t>the provisional organization of work provided in</w:t>
      </w:r>
      <w:r w:rsidRPr="001D5473">
        <w:t xml:space="preserve"> </w:t>
      </w:r>
      <w:r w:rsidR="00DE4538" w:rsidRPr="001D5473">
        <w:t xml:space="preserve">the annex </w:t>
      </w:r>
      <w:r w:rsidR="0080403D" w:rsidRPr="001D5473">
        <w:t xml:space="preserve">to </w:t>
      </w:r>
      <w:r w:rsidR="00010C86" w:rsidRPr="001D5473">
        <w:t xml:space="preserve">document </w:t>
      </w:r>
      <w:hyperlink r:id="rId19" w:history="1">
        <w:r w:rsidR="00E77F50" w:rsidRPr="001D5473">
          <w:rPr>
            <w:rStyle w:val="Hyperlink"/>
          </w:rPr>
          <w:t>CBD/FM/TEG/2023/</w:t>
        </w:r>
        <w:r w:rsidR="00E07269" w:rsidRPr="001D5473">
          <w:rPr>
            <w:rStyle w:val="Hyperlink"/>
          </w:rPr>
          <w:t>1/1/Add.1</w:t>
        </w:r>
      </w:hyperlink>
      <w:r w:rsidR="00DE4538" w:rsidRPr="001D5473">
        <w:t>, taking</w:t>
      </w:r>
      <w:r w:rsidR="00DE4538" w:rsidRPr="001D5473">
        <w:rPr>
          <w:spacing w:val="-3"/>
        </w:rPr>
        <w:t xml:space="preserve"> </w:t>
      </w:r>
      <w:r w:rsidR="00DE4538" w:rsidRPr="001D5473">
        <w:t xml:space="preserve">into account background material provided in document </w:t>
      </w:r>
      <w:hyperlink r:id="rId20" w:history="1">
        <w:r w:rsidR="00DE4538" w:rsidRPr="001D5473">
          <w:rPr>
            <w:rStyle w:val="Hyperlink"/>
            <w:spacing w:val="-2"/>
          </w:rPr>
          <w:t>CBD/FM/TEG/2023/1/2</w:t>
        </w:r>
      </w:hyperlink>
      <w:r w:rsidR="00DE4538" w:rsidRPr="001D5473">
        <w:rPr>
          <w:spacing w:val="-2"/>
        </w:rPr>
        <w:t>.</w:t>
      </w:r>
    </w:p>
    <w:p w14:paraId="4131C5F9" w14:textId="57EB23DA" w:rsidR="00CF7409" w:rsidRPr="001D5473" w:rsidRDefault="00CD6AD6" w:rsidP="00F31A26">
      <w:pPr>
        <w:pStyle w:val="Para1"/>
      </w:pPr>
      <w:r w:rsidRPr="00531867">
        <w:t>A representative of t</w:t>
      </w:r>
      <w:r w:rsidR="00FF591C" w:rsidRPr="001D5473">
        <w:t>he Secretariat</w:t>
      </w:r>
      <w:r w:rsidR="00CF7409" w:rsidRPr="001D5473">
        <w:t xml:space="preserve"> </w:t>
      </w:r>
      <w:r w:rsidR="00776A73" w:rsidRPr="001D5473">
        <w:t>introduced</w:t>
      </w:r>
      <w:r w:rsidR="00CF7409" w:rsidRPr="001D5473">
        <w:t xml:space="preserve"> the </w:t>
      </w:r>
      <w:r w:rsidR="00776A73" w:rsidRPr="001D5473">
        <w:t>structure of work</w:t>
      </w:r>
      <w:r w:rsidR="00CF7409" w:rsidRPr="001D5473">
        <w:t xml:space="preserve"> agreed by the </w:t>
      </w:r>
      <w:r w:rsidR="00364181" w:rsidRPr="001D5473">
        <w:t xml:space="preserve">Technical Expert Group </w:t>
      </w:r>
      <w:r w:rsidR="00EF314D" w:rsidRPr="001D5473">
        <w:t xml:space="preserve">at </w:t>
      </w:r>
      <w:r w:rsidR="00F427D9" w:rsidRPr="001D5473">
        <w:t>i</w:t>
      </w:r>
      <w:r w:rsidR="00CF7409" w:rsidRPr="001D5473">
        <w:t xml:space="preserve">ts preparatory meeting. Four of the five headline indicators under the mandate of the </w:t>
      </w:r>
      <w:r w:rsidR="00D07F5B" w:rsidRPr="001D5473">
        <w:t>Group</w:t>
      </w:r>
      <w:r w:rsidR="00B15EC6" w:rsidRPr="001D5473">
        <w:t xml:space="preserve"> </w:t>
      </w:r>
      <w:r w:rsidR="00CF7409" w:rsidRPr="001D5473">
        <w:t xml:space="preserve">(18.1, 18.2, D.1 and D.2) were </w:t>
      </w:r>
      <w:r w:rsidR="00036A98" w:rsidRPr="001D5473">
        <w:t xml:space="preserve">to be </w:t>
      </w:r>
      <w:r w:rsidR="00CF7409" w:rsidRPr="001D5473">
        <w:t xml:space="preserve">reviewed in full </w:t>
      </w:r>
      <w:r w:rsidR="00036A98" w:rsidRPr="001D5473">
        <w:t xml:space="preserve">at </w:t>
      </w:r>
      <w:r w:rsidR="0086324C" w:rsidRPr="001D5473">
        <w:t>the present</w:t>
      </w:r>
      <w:r w:rsidR="00036A98" w:rsidRPr="001D5473">
        <w:t xml:space="preserve"> </w:t>
      </w:r>
      <w:r w:rsidR="00CF7409" w:rsidRPr="001D5473">
        <w:t xml:space="preserve">meeting. </w:t>
      </w:r>
      <w:r w:rsidR="00230DDD" w:rsidRPr="001D5473">
        <w:t>In addition, t</w:t>
      </w:r>
      <w:r w:rsidR="00CF7409" w:rsidRPr="001D5473">
        <w:t xml:space="preserve">he </w:t>
      </w:r>
      <w:r w:rsidR="00D07F5B" w:rsidRPr="001D5473">
        <w:t xml:space="preserve">Group </w:t>
      </w:r>
      <w:r w:rsidR="00CF7409" w:rsidRPr="001D5473">
        <w:t xml:space="preserve">agreed to </w:t>
      </w:r>
      <w:r w:rsidR="009F0B52" w:rsidRPr="001D5473">
        <w:t>initiate</w:t>
      </w:r>
      <w:r w:rsidR="00932D95" w:rsidRPr="001D5473">
        <w:t xml:space="preserve"> discussion on indicator</w:t>
      </w:r>
      <w:r w:rsidR="00230DDD" w:rsidRPr="001D5473">
        <w:t> </w:t>
      </w:r>
      <w:r w:rsidR="00932D95" w:rsidRPr="001D5473">
        <w:t xml:space="preserve">D.3 at </w:t>
      </w:r>
      <w:r w:rsidR="009F0B52" w:rsidRPr="001D5473">
        <w:t>the present</w:t>
      </w:r>
      <w:r w:rsidR="00932D95" w:rsidRPr="001D5473">
        <w:t xml:space="preserve"> meeting</w:t>
      </w:r>
      <w:r w:rsidR="00230DDD" w:rsidRPr="001D5473">
        <w:t>.</w:t>
      </w:r>
      <w:r w:rsidR="00CF7409" w:rsidRPr="001D5473">
        <w:t xml:space="preserve"> </w:t>
      </w:r>
    </w:p>
    <w:p w14:paraId="2D84C2B8" w14:textId="78CC22EB" w:rsidR="00CF7409" w:rsidRPr="001D5473" w:rsidRDefault="00012AE5" w:rsidP="00F31A26">
      <w:pPr>
        <w:pStyle w:val="Para1"/>
      </w:pPr>
      <w:r w:rsidRPr="00531867">
        <w:t xml:space="preserve">The </w:t>
      </w:r>
      <w:r w:rsidR="00CD6AD6" w:rsidRPr="00531867">
        <w:t xml:space="preserve">representative of the </w:t>
      </w:r>
      <w:r w:rsidRPr="00531867">
        <w:t>Secretariat r</w:t>
      </w:r>
      <w:r w:rsidR="00C17217" w:rsidRPr="00531867">
        <w:t xml:space="preserve">ecalled that </w:t>
      </w:r>
      <w:r w:rsidRPr="00531867">
        <w:t xml:space="preserve">the Technical Expert Group had </w:t>
      </w:r>
      <w:r w:rsidR="00CF7409" w:rsidRPr="001D5473">
        <w:t xml:space="preserve">agreed </w:t>
      </w:r>
      <w:r w:rsidR="00565B6B" w:rsidRPr="00E23BD7">
        <w:t xml:space="preserve">at </w:t>
      </w:r>
      <w:r w:rsidR="00565B6B" w:rsidRPr="00531867">
        <w:t>its</w:t>
      </w:r>
      <w:r w:rsidR="00565B6B" w:rsidRPr="00E23BD7">
        <w:t xml:space="preserve"> </w:t>
      </w:r>
      <w:r w:rsidR="00CF7409" w:rsidRPr="001D5473">
        <w:t>preparatory meeting</w:t>
      </w:r>
      <w:r w:rsidRPr="00531867">
        <w:t xml:space="preserve"> to </w:t>
      </w:r>
      <w:r w:rsidR="00FF5D18" w:rsidRPr="001D5473">
        <w:t xml:space="preserve">review </w:t>
      </w:r>
      <w:r w:rsidR="00CF7409" w:rsidRPr="001D5473">
        <w:t>each headline indicator through the following six-step process:</w:t>
      </w:r>
    </w:p>
    <w:p w14:paraId="592ECE7B" w14:textId="5A255143" w:rsidR="00CF7409" w:rsidRPr="001D5473" w:rsidRDefault="008C3BE8" w:rsidP="00CF7409">
      <w:pPr>
        <w:pStyle w:val="Para2"/>
        <w:numPr>
          <w:ilvl w:val="0"/>
          <w:numId w:val="31"/>
        </w:numPr>
        <w:ind w:left="567" w:firstLine="567"/>
        <w:rPr>
          <w:lang w:val="en-GB"/>
        </w:rPr>
      </w:pPr>
      <w:r w:rsidRPr="001D5473">
        <w:rPr>
          <w:lang w:val="en-GB"/>
        </w:rPr>
        <w:t>I</w:t>
      </w:r>
      <w:r w:rsidR="00CF7409" w:rsidRPr="001D5473">
        <w:rPr>
          <w:lang w:val="en-GB"/>
        </w:rPr>
        <w:t>ntroductory presentation</w:t>
      </w:r>
      <w:r w:rsidRPr="001D5473">
        <w:rPr>
          <w:lang w:val="en-GB"/>
        </w:rPr>
        <w:t xml:space="preserve">s on the state of current work </w:t>
      </w:r>
      <w:r w:rsidR="00C90F4A" w:rsidRPr="001D5473">
        <w:rPr>
          <w:lang w:val="en-GB"/>
        </w:rPr>
        <w:t>made</w:t>
      </w:r>
      <w:r w:rsidRPr="001D5473">
        <w:rPr>
          <w:lang w:val="en-GB"/>
        </w:rPr>
        <w:t xml:space="preserve"> by the Secretariat, </w:t>
      </w:r>
      <w:r w:rsidR="00CF7409" w:rsidRPr="001D5473">
        <w:rPr>
          <w:lang w:val="en-GB"/>
        </w:rPr>
        <w:t xml:space="preserve">members of the </w:t>
      </w:r>
      <w:r w:rsidR="00F02C71" w:rsidRPr="001D5473">
        <w:rPr>
          <w:lang w:val="en-GB"/>
        </w:rPr>
        <w:t>G</w:t>
      </w:r>
      <w:r w:rsidR="00CF7409" w:rsidRPr="001D5473">
        <w:rPr>
          <w:lang w:val="en-GB"/>
        </w:rPr>
        <w:t xml:space="preserve">roup </w:t>
      </w:r>
      <w:r w:rsidRPr="001D5473">
        <w:rPr>
          <w:lang w:val="en-GB"/>
        </w:rPr>
        <w:t xml:space="preserve">and </w:t>
      </w:r>
      <w:r w:rsidR="00CF7409" w:rsidRPr="001D5473">
        <w:rPr>
          <w:lang w:val="en-GB"/>
        </w:rPr>
        <w:t>external partners</w:t>
      </w:r>
      <w:r w:rsidR="00E02D25" w:rsidRPr="001D5473">
        <w:rPr>
          <w:lang w:val="en-GB"/>
        </w:rPr>
        <w:t>;</w:t>
      </w:r>
    </w:p>
    <w:p w14:paraId="73B42304" w14:textId="64AB6901" w:rsidR="00CF7409" w:rsidRPr="001D5473" w:rsidRDefault="00BC4FEA" w:rsidP="00CF7409">
      <w:pPr>
        <w:pStyle w:val="Para2"/>
        <w:numPr>
          <w:ilvl w:val="0"/>
          <w:numId w:val="31"/>
        </w:numPr>
        <w:ind w:left="567" w:firstLine="567"/>
        <w:rPr>
          <w:lang w:val="en-GB"/>
        </w:rPr>
      </w:pPr>
      <w:r w:rsidRPr="001D5473">
        <w:rPr>
          <w:lang w:val="en-GB"/>
        </w:rPr>
        <w:t>I</w:t>
      </w:r>
      <w:r w:rsidR="00CF7409" w:rsidRPr="001D5473">
        <w:rPr>
          <w:lang w:val="en-GB"/>
        </w:rPr>
        <w:t>nitial discussion o</w:t>
      </w:r>
      <w:r w:rsidRPr="001D5473">
        <w:rPr>
          <w:lang w:val="en-GB"/>
        </w:rPr>
        <w:t>f</w:t>
      </w:r>
      <w:r w:rsidR="00CF7409" w:rsidRPr="001D5473">
        <w:rPr>
          <w:lang w:val="en-GB"/>
        </w:rPr>
        <w:t xml:space="preserve"> the material presented</w:t>
      </w:r>
      <w:r w:rsidR="00E02D25" w:rsidRPr="001D5473">
        <w:rPr>
          <w:lang w:val="en-GB"/>
        </w:rPr>
        <w:t>;</w:t>
      </w:r>
      <w:r w:rsidR="00CF7409" w:rsidRPr="001D5473">
        <w:rPr>
          <w:lang w:val="en-GB"/>
        </w:rPr>
        <w:t xml:space="preserve"> </w:t>
      </w:r>
    </w:p>
    <w:p w14:paraId="60B04497" w14:textId="4EA761FA" w:rsidR="00CF7409" w:rsidRPr="001D5473" w:rsidRDefault="00BC4FEA" w:rsidP="00CF7409">
      <w:pPr>
        <w:pStyle w:val="Para2"/>
        <w:numPr>
          <w:ilvl w:val="0"/>
          <w:numId w:val="31"/>
        </w:numPr>
        <w:ind w:left="567" w:firstLine="567"/>
        <w:rPr>
          <w:lang w:val="en-GB"/>
        </w:rPr>
      </w:pPr>
      <w:r w:rsidRPr="001D5473">
        <w:rPr>
          <w:lang w:val="en-GB"/>
        </w:rPr>
        <w:t>I</w:t>
      </w:r>
      <w:r w:rsidR="00CF7409" w:rsidRPr="001D5473">
        <w:rPr>
          <w:lang w:val="en-GB"/>
        </w:rPr>
        <w:t>dentification of possible new component</w:t>
      </w:r>
      <w:r w:rsidR="001F4571" w:rsidRPr="001D5473">
        <w:rPr>
          <w:lang w:val="en-GB"/>
        </w:rPr>
        <w:t>, binary</w:t>
      </w:r>
      <w:r w:rsidR="00255AD7" w:rsidRPr="001D5473">
        <w:rPr>
          <w:lang w:val="en-GB"/>
        </w:rPr>
        <w:t xml:space="preserve"> </w:t>
      </w:r>
      <w:r w:rsidR="00CF7409" w:rsidRPr="001D5473">
        <w:rPr>
          <w:lang w:val="en-GB"/>
        </w:rPr>
        <w:t xml:space="preserve">and complementary </w:t>
      </w:r>
      <w:proofErr w:type="gramStart"/>
      <w:r w:rsidR="00CF7409" w:rsidRPr="001D5473">
        <w:rPr>
          <w:lang w:val="en-GB"/>
        </w:rPr>
        <w:t>indicators</w:t>
      </w:r>
      <w:proofErr w:type="gramEnd"/>
      <w:r w:rsidR="00CF7409" w:rsidRPr="001D5473">
        <w:rPr>
          <w:lang w:val="en-GB"/>
        </w:rPr>
        <w:t xml:space="preserve"> and </w:t>
      </w:r>
      <w:r w:rsidR="00BA1060" w:rsidRPr="001D5473">
        <w:rPr>
          <w:lang w:val="en-GB"/>
        </w:rPr>
        <w:t xml:space="preserve">provision of </w:t>
      </w:r>
      <w:r w:rsidR="00CF7409" w:rsidRPr="001D5473">
        <w:rPr>
          <w:lang w:val="en-GB"/>
        </w:rPr>
        <w:t>advi</w:t>
      </w:r>
      <w:r w:rsidR="00180B33" w:rsidRPr="001D5473">
        <w:rPr>
          <w:lang w:val="en-GB"/>
        </w:rPr>
        <w:t>c</w:t>
      </w:r>
      <w:r w:rsidR="00CF7409" w:rsidRPr="001D5473">
        <w:rPr>
          <w:lang w:val="en-GB"/>
        </w:rPr>
        <w:t>e on associated monitoring and national data-sharing</w:t>
      </w:r>
      <w:r w:rsidR="008B0A76" w:rsidRPr="001D5473">
        <w:rPr>
          <w:lang w:val="en-GB"/>
        </w:rPr>
        <w:t>;</w:t>
      </w:r>
    </w:p>
    <w:p w14:paraId="654443AC" w14:textId="6B3006DA" w:rsidR="00CF7409" w:rsidRPr="001D5473" w:rsidRDefault="00BC4FEA" w:rsidP="00CF7409">
      <w:pPr>
        <w:pStyle w:val="Para2"/>
        <w:numPr>
          <w:ilvl w:val="0"/>
          <w:numId w:val="31"/>
        </w:numPr>
        <w:ind w:left="567" w:firstLine="567"/>
        <w:rPr>
          <w:lang w:val="en-GB"/>
        </w:rPr>
      </w:pPr>
      <w:r w:rsidRPr="001D5473">
        <w:rPr>
          <w:lang w:val="en-GB"/>
        </w:rPr>
        <w:t>I</w:t>
      </w:r>
      <w:r w:rsidR="00CF7409" w:rsidRPr="001D5473">
        <w:rPr>
          <w:lang w:val="en-GB"/>
        </w:rPr>
        <w:t>dentification of remaining gaps, and work need</w:t>
      </w:r>
      <w:r w:rsidR="00D1375B" w:rsidRPr="001D5473">
        <w:rPr>
          <w:lang w:val="en-GB"/>
        </w:rPr>
        <w:t>ed</w:t>
      </w:r>
      <w:r w:rsidR="00CF7409" w:rsidRPr="001D5473">
        <w:rPr>
          <w:lang w:val="en-GB"/>
        </w:rPr>
        <w:t xml:space="preserve"> to be undertaken</w:t>
      </w:r>
      <w:r w:rsidR="008B0A76" w:rsidRPr="001D5473">
        <w:rPr>
          <w:lang w:val="en-GB"/>
        </w:rPr>
        <w:t>;</w:t>
      </w:r>
      <w:r w:rsidR="00CF7409" w:rsidRPr="001D5473">
        <w:rPr>
          <w:lang w:val="en-GB"/>
        </w:rPr>
        <w:t xml:space="preserve"> </w:t>
      </w:r>
    </w:p>
    <w:p w14:paraId="06E51021" w14:textId="2C83D5BA" w:rsidR="00CF7409" w:rsidRPr="001D5473" w:rsidRDefault="00F70196" w:rsidP="00CF7409">
      <w:pPr>
        <w:pStyle w:val="Para2"/>
        <w:numPr>
          <w:ilvl w:val="0"/>
          <w:numId w:val="31"/>
        </w:numPr>
        <w:ind w:left="567" w:firstLine="567"/>
        <w:rPr>
          <w:lang w:val="en-GB"/>
        </w:rPr>
      </w:pPr>
      <w:r w:rsidRPr="001D5473">
        <w:rPr>
          <w:lang w:val="en-GB"/>
        </w:rPr>
        <w:t>I</w:t>
      </w:r>
      <w:r w:rsidR="00CF7409" w:rsidRPr="001D5473">
        <w:rPr>
          <w:lang w:val="en-GB"/>
        </w:rPr>
        <w:t>dentification of capacity-building needs</w:t>
      </w:r>
      <w:r w:rsidR="008B0A76" w:rsidRPr="001D5473">
        <w:rPr>
          <w:lang w:val="en-GB"/>
        </w:rPr>
        <w:t>;</w:t>
      </w:r>
      <w:r w:rsidR="00CF7409" w:rsidRPr="001D5473">
        <w:rPr>
          <w:lang w:val="en-GB"/>
        </w:rPr>
        <w:t xml:space="preserve"> </w:t>
      </w:r>
    </w:p>
    <w:p w14:paraId="032518B7" w14:textId="58AB1636" w:rsidR="00CF7409" w:rsidRPr="001D5473" w:rsidRDefault="00F70196" w:rsidP="00CD30D5">
      <w:pPr>
        <w:pStyle w:val="Para2"/>
        <w:numPr>
          <w:ilvl w:val="0"/>
          <w:numId w:val="31"/>
        </w:numPr>
        <w:ind w:left="567" w:firstLine="567"/>
        <w:rPr>
          <w:lang w:val="en-GB"/>
        </w:rPr>
      </w:pPr>
      <w:r w:rsidRPr="001D5473">
        <w:rPr>
          <w:lang w:val="en-GB"/>
        </w:rPr>
        <w:t>R</w:t>
      </w:r>
      <w:r w:rsidR="00CF7409" w:rsidRPr="001D5473">
        <w:rPr>
          <w:lang w:val="en-GB"/>
        </w:rPr>
        <w:t xml:space="preserve">eview of metadata fact sheets </w:t>
      </w:r>
      <w:r w:rsidR="00D1375B" w:rsidRPr="001D5473">
        <w:rPr>
          <w:lang w:val="en-GB"/>
        </w:rPr>
        <w:t xml:space="preserve">and </w:t>
      </w:r>
      <w:r w:rsidR="00CF7409" w:rsidRPr="001D5473">
        <w:rPr>
          <w:lang w:val="en-GB"/>
        </w:rPr>
        <w:t xml:space="preserve">discussion and agreement on </w:t>
      </w:r>
      <w:r w:rsidR="00137572" w:rsidRPr="001D5473">
        <w:rPr>
          <w:lang w:val="en-GB"/>
        </w:rPr>
        <w:t xml:space="preserve">the </w:t>
      </w:r>
      <w:r w:rsidR="00CF7409" w:rsidRPr="001D5473">
        <w:rPr>
          <w:lang w:val="en-GB"/>
        </w:rPr>
        <w:t xml:space="preserve">need and scope for refinement or revision. </w:t>
      </w:r>
    </w:p>
    <w:p w14:paraId="1ACFF03B" w14:textId="0731EB54" w:rsidR="00E81B7D" w:rsidRPr="001D5473" w:rsidRDefault="00FA76F7" w:rsidP="00F31A26">
      <w:pPr>
        <w:pStyle w:val="Para1"/>
        <w:rPr>
          <w:szCs w:val="22"/>
        </w:rPr>
      </w:pPr>
      <w:r w:rsidRPr="00531867">
        <w:t>T</w:t>
      </w:r>
      <w:r w:rsidR="00E81B7D" w:rsidRPr="001D5473">
        <w:t xml:space="preserve">he </w:t>
      </w:r>
      <w:r w:rsidR="00240495" w:rsidRPr="001D5473">
        <w:t xml:space="preserve">Technical Expert Group </w:t>
      </w:r>
      <w:r w:rsidR="00652A84" w:rsidRPr="001D5473">
        <w:t xml:space="preserve">approved </w:t>
      </w:r>
      <w:r w:rsidR="00E23E06" w:rsidRPr="001D5473">
        <w:t xml:space="preserve">the provisional </w:t>
      </w:r>
      <w:r w:rsidR="00411192" w:rsidRPr="001D5473">
        <w:t>organization of work</w:t>
      </w:r>
      <w:r w:rsidR="00B313ED" w:rsidRPr="001D5473">
        <w:t xml:space="preserve">. </w:t>
      </w:r>
    </w:p>
    <w:p w14:paraId="0E2FFDD3" w14:textId="7054F4DF" w:rsidR="00F70702" w:rsidRPr="001D5473" w:rsidRDefault="00F70702" w:rsidP="00C5204A">
      <w:pPr>
        <w:keepNext/>
        <w:keepLines/>
        <w:spacing w:before="123"/>
        <w:rPr>
          <w:b/>
          <w:sz w:val="24"/>
          <w:szCs w:val="22"/>
        </w:rPr>
      </w:pPr>
      <w:r w:rsidRPr="00531867">
        <w:rPr>
          <w:b/>
          <w:sz w:val="24"/>
        </w:rPr>
        <w:lastRenderedPageBreak/>
        <w:t>Item</w:t>
      </w:r>
      <w:r w:rsidRPr="00531867">
        <w:rPr>
          <w:b/>
          <w:spacing w:val="-4"/>
          <w:sz w:val="24"/>
        </w:rPr>
        <w:t xml:space="preserve"> </w:t>
      </w:r>
      <w:r w:rsidR="001532F4" w:rsidRPr="00531867">
        <w:rPr>
          <w:b/>
          <w:spacing w:val="-10"/>
          <w:sz w:val="24"/>
        </w:rPr>
        <w:t>3</w:t>
      </w:r>
    </w:p>
    <w:p w14:paraId="60065869" w14:textId="0B86D753" w:rsidR="00D6152B" w:rsidRPr="00531867" w:rsidRDefault="001532F4" w:rsidP="00C5204A">
      <w:pPr>
        <w:keepNext/>
        <w:keepLines/>
        <w:rPr>
          <w:b/>
          <w:sz w:val="24"/>
        </w:rPr>
      </w:pPr>
      <w:r w:rsidRPr="00531867">
        <w:rPr>
          <w:b/>
          <w:sz w:val="24"/>
        </w:rPr>
        <w:t xml:space="preserve">Consideration of </w:t>
      </w:r>
      <w:r w:rsidR="00CF3023" w:rsidRPr="00531867">
        <w:rPr>
          <w:b/>
          <w:sz w:val="24"/>
        </w:rPr>
        <w:t>r</w:t>
      </w:r>
      <w:r w:rsidRPr="00531867">
        <w:rPr>
          <w:b/>
          <w:sz w:val="24"/>
        </w:rPr>
        <w:t xml:space="preserve">elevant </w:t>
      </w:r>
      <w:r w:rsidR="00CF3023" w:rsidRPr="00531867">
        <w:rPr>
          <w:b/>
          <w:sz w:val="24"/>
        </w:rPr>
        <w:t>i</w:t>
      </w:r>
      <w:r w:rsidRPr="00531867">
        <w:rPr>
          <w:b/>
          <w:sz w:val="24"/>
        </w:rPr>
        <w:t xml:space="preserve">ndicators </w:t>
      </w:r>
    </w:p>
    <w:p w14:paraId="3C46C4A2" w14:textId="4EFF528F" w:rsidR="00C35402" w:rsidRPr="00C5204A" w:rsidRDefault="001A7644" w:rsidP="00C5204A">
      <w:pPr>
        <w:pStyle w:val="Para1"/>
        <w:keepNext/>
        <w:keepLines/>
        <w:numPr>
          <w:ilvl w:val="0"/>
          <w:numId w:val="0"/>
        </w:numPr>
        <w:ind w:left="567"/>
        <w:rPr>
          <w:i/>
          <w:iCs/>
        </w:rPr>
      </w:pPr>
      <w:r w:rsidRPr="00C5204A">
        <w:rPr>
          <w:i/>
          <w:iCs/>
        </w:rPr>
        <w:t xml:space="preserve">Background </w:t>
      </w:r>
    </w:p>
    <w:p w14:paraId="3C621D8D" w14:textId="4370E585" w:rsidR="00046BCC" w:rsidRPr="001D5473" w:rsidRDefault="00252283" w:rsidP="00F31A26">
      <w:pPr>
        <w:pStyle w:val="Para1"/>
        <w:rPr>
          <w:szCs w:val="22"/>
        </w:rPr>
      </w:pPr>
      <w:r w:rsidRPr="001D5473">
        <w:t>One of the C</w:t>
      </w:r>
      <w:r w:rsidR="00CF19A0" w:rsidRPr="001D5473">
        <w:t>o-</w:t>
      </w:r>
      <w:r w:rsidRPr="001D5473">
        <w:t>C</w:t>
      </w:r>
      <w:r w:rsidR="00CF19A0" w:rsidRPr="001D5473">
        <w:t xml:space="preserve">hair of the </w:t>
      </w:r>
      <w:r w:rsidR="00283544" w:rsidRPr="001D5473">
        <w:t xml:space="preserve">Ad Hoc Technical Expert Group </w:t>
      </w:r>
      <w:r w:rsidR="00CF19A0" w:rsidRPr="001D5473">
        <w:t xml:space="preserve">on </w:t>
      </w:r>
      <w:r w:rsidR="00B629DA" w:rsidRPr="001D5473">
        <w:t>Indicators for</w:t>
      </w:r>
      <w:r w:rsidR="006462DD" w:rsidRPr="001D5473">
        <w:t xml:space="preserve"> the Kunming-Montreal Global Biodiversity Framework</w:t>
      </w:r>
      <w:r w:rsidR="00B629DA" w:rsidRPr="001D5473">
        <w:t>,</w:t>
      </w:r>
      <w:r w:rsidRPr="001D5473">
        <w:t xml:space="preserve"> Maria Cecilia Londoño</w:t>
      </w:r>
      <w:r w:rsidR="006462DD" w:rsidRPr="001D5473">
        <w:t xml:space="preserve">, </w:t>
      </w:r>
      <w:r w:rsidR="00C6529D" w:rsidRPr="00531867">
        <w:t xml:space="preserve">described </w:t>
      </w:r>
      <w:r w:rsidR="00477F0E" w:rsidRPr="001D5473">
        <w:t xml:space="preserve">the work conducted by </w:t>
      </w:r>
      <w:r w:rsidR="0090152A" w:rsidRPr="00531867">
        <w:t xml:space="preserve">her </w:t>
      </w:r>
      <w:r w:rsidR="00BD2413" w:rsidRPr="001D5473">
        <w:t>Group</w:t>
      </w:r>
      <w:r w:rsidR="0090152A" w:rsidRPr="00531867">
        <w:t>,</w:t>
      </w:r>
      <w:r w:rsidR="0021395C" w:rsidRPr="001D5473">
        <w:t xml:space="preserve"> with a view to enabl</w:t>
      </w:r>
      <w:r w:rsidR="00BD2413" w:rsidRPr="001D5473">
        <w:t>ing</w:t>
      </w:r>
      <w:r w:rsidR="0021395C" w:rsidRPr="001D5473">
        <w:t xml:space="preserve"> effective </w:t>
      </w:r>
      <w:r w:rsidR="001F1CA8" w:rsidRPr="001D5473">
        <w:t>coordinat</w:t>
      </w:r>
      <w:r w:rsidR="0021395C" w:rsidRPr="001D5473">
        <w:t xml:space="preserve">ion </w:t>
      </w:r>
      <w:r w:rsidR="00BE4FF5" w:rsidRPr="00531867">
        <w:t>between the two</w:t>
      </w:r>
      <w:r w:rsidR="001F1CA8" w:rsidRPr="001D5473">
        <w:t xml:space="preserve"> groups</w:t>
      </w:r>
      <w:r w:rsidR="00C36607" w:rsidRPr="00531867">
        <w:t>,</w:t>
      </w:r>
      <w:r w:rsidR="001C6447" w:rsidRPr="001D5473">
        <w:t xml:space="preserve"> and </w:t>
      </w:r>
      <w:r w:rsidR="009E5DD0" w:rsidRPr="00531867">
        <w:t xml:space="preserve">she </w:t>
      </w:r>
      <w:r w:rsidR="001C6447" w:rsidRPr="001D5473">
        <w:t xml:space="preserve">referred the participants to the report of </w:t>
      </w:r>
      <w:r w:rsidR="00BE4FF5" w:rsidRPr="00531867">
        <w:t>her</w:t>
      </w:r>
      <w:r w:rsidR="009E5DD0" w:rsidRPr="00531867">
        <w:t xml:space="preserve"> </w:t>
      </w:r>
      <w:r w:rsidR="001C6447" w:rsidRPr="001D5473">
        <w:t>Group on its third meeting</w:t>
      </w:r>
      <w:r w:rsidR="001F1CA8" w:rsidRPr="001D5473">
        <w:t>.</w:t>
      </w:r>
      <w:r w:rsidR="001C6447" w:rsidRPr="001D5473">
        <w:rPr>
          <w:rStyle w:val="FootnoteReference"/>
        </w:rPr>
        <w:footnoteReference w:id="2"/>
      </w:r>
      <w:r w:rsidR="001F1CA8" w:rsidRPr="001D5473">
        <w:t xml:space="preserve"> </w:t>
      </w:r>
      <w:r w:rsidR="00921B2A" w:rsidRPr="001D5473">
        <w:t xml:space="preserve">She </w:t>
      </w:r>
      <w:r w:rsidR="00180B33" w:rsidRPr="001D5473">
        <w:t>noted</w:t>
      </w:r>
      <w:r w:rsidR="004C27B0" w:rsidRPr="001D5473">
        <w:t xml:space="preserve"> </w:t>
      </w:r>
      <w:r w:rsidR="00921B2A" w:rsidRPr="001D5473">
        <w:t xml:space="preserve">that </w:t>
      </w:r>
      <w:r w:rsidR="00BE4FF5" w:rsidRPr="00531867">
        <w:t xml:space="preserve">her Group </w:t>
      </w:r>
      <w:r w:rsidR="00C07558" w:rsidRPr="001D5473">
        <w:t>ha</w:t>
      </w:r>
      <w:r w:rsidR="00FB6449" w:rsidRPr="001D5473">
        <w:t>d</w:t>
      </w:r>
      <w:r w:rsidR="00C07558" w:rsidRPr="001D5473">
        <w:t xml:space="preserve"> not </w:t>
      </w:r>
      <w:r w:rsidR="00921B2A" w:rsidRPr="001D5473">
        <w:t>addressed the</w:t>
      </w:r>
      <w:r w:rsidR="00C07558" w:rsidRPr="001D5473">
        <w:t xml:space="preserve"> indicators for Target</w:t>
      </w:r>
      <w:r w:rsidR="00921B2A" w:rsidRPr="001D5473">
        <w:t>s 18 and</w:t>
      </w:r>
      <w:r w:rsidR="00C07558" w:rsidRPr="001D5473">
        <w:t xml:space="preserve"> 19</w:t>
      </w:r>
      <w:r w:rsidR="00D81F0F" w:rsidRPr="001D5473">
        <w:t>,</w:t>
      </w:r>
      <w:r w:rsidR="00C07558" w:rsidRPr="001D5473">
        <w:t xml:space="preserve"> as </w:t>
      </w:r>
      <w:r w:rsidR="00D81F0F" w:rsidRPr="001D5473">
        <w:t xml:space="preserve">those </w:t>
      </w:r>
      <w:r w:rsidR="00C07558" w:rsidRPr="001D5473">
        <w:t>f</w:t>
      </w:r>
      <w:r w:rsidR="00D81F0F" w:rsidRPr="001D5473">
        <w:t>e</w:t>
      </w:r>
      <w:r w:rsidR="00C07558" w:rsidRPr="001D5473">
        <w:t>ll</w:t>
      </w:r>
      <w:r w:rsidR="00921B2A" w:rsidRPr="001D5473">
        <w:t xml:space="preserve"> under </w:t>
      </w:r>
      <w:r w:rsidR="00C07558" w:rsidRPr="001D5473">
        <w:t xml:space="preserve">the mandate of the </w:t>
      </w:r>
      <w:r w:rsidR="00FB6449" w:rsidRPr="001D5473">
        <w:t xml:space="preserve">Technical Expert Group on </w:t>
      </w:r>
      <w:r w:rsidR="00021988" w:rsidRPr="001D5473">
        <w:t>Financial Reporting</w:t>
      </w:r>
      <w:r w:rsidR="00C07558" w:rsidRPr="001D5473">
        <w:t xml:space="preserve">. </w:t>
      </w:r>
      <w:r w:rsidR="00FB4334" w:rsidRPr="001D5473">
        <w:t xml:space="preserve">Participants </w:t>
      </w:r>
      <w:r w:rsidR="00B9427B" w:rsidRPr="00531867">
        <w:t xml:space="preserve">then </w:t>
      </w:r>
      <w:r w:rsidR="006F42F5" w:rsidRPr="00531867">
        <w:t xml:space="preserve">asked her questions to seek </w:t>
      </w:r>
      <w:r w:rsidR="00B9427B" w:rsidRPr="00531867">
        <w:t>clarification on some points</w:t>
      </w:r>
      <w:r w:rsidR="00E6511E" w:rsidRPr="003F023C">
        <w:t>.</w:t>
      </w:r>
    </w:p>
    <w:p w14:paraId="76E57AAB" w14:textId="7BA956E9" w:rsidR="00046BCC" w:rsidRPr="001D5473" w:rsidRDefault="00046BCC" w:rsidP="00F31A26">
      <w:pPr>
        <w:pStyle w:val="Para1"/>
      </w:pPr>
      <w:r w:rsidRPr="001D5473">
        <w:t>The Secretariat present</w:t>
      </w:r>
      <w:r w:rsidR="00F31154" w:rsidRPr="001D5473">
        <w:t xml:space="preserve">ed </w:t>
      </w:r>
      <w:r w:rsidRPr="001D5473">
        <w:t>the reporting template</w:t>
      </w:r>
      <w:r w:rsidR="00F31154" w:rsidRPr="001D5473">
        <w:t xml:space="preserve"> </w:t>
      </w:r>
      <w:r w:rsidR="005D70D3" w:rsidRPr="001D5473">
        <w:t xml:space="preserve">adopted </w:t>
      </w:r>
      <w:r w:rsidR="00DF4B69" w:rsidRPr="001D5473">
        <w:t>in</w:t>
      </w:r>
      <w:r w:rsidR="005D70D3" w:rsidRPr="001D5473">
        <w:t xml:space="preserve"> decision 15/</w:t>
      </w:r>
      <w:r w:rsidR="00FE78BD" w:rsidRPr="001D5473">
        <w:t>6</w:t>
      </w:r>
      <w:r w:rsidR="00EF45C0" w:rsidRPr="001D5473">
        <w:t xml:space="preserve">, </w:t>
      </w:r>
      <w:r w:rsidR="00F61FE9" w:rsidRPr="001D5473">
        <w:t>currently</w:t>
      </w:r>
      <w:r w:rsidR="003D3C7F" w:rsidRPr="001D5473">
        <w:t xml:space="preserve"> </w:t>
      </w:r>
      <w:r w:rsidR="00436066" w:rsidRPr="001D5473">
        <w:t xml:space="preserve">available </w:t>
      </w:r>
      <w:r w:rsidR="00F61FE9" w:rsidRPr="001D5473">
        <w:t>as an online tool</w:t>
      </w:r>
      <w:r w:rsidR="009D4CC6" w:rsidRPr="001D5473">
        <w:t xml:space="preserve">. The tool </w:t>
      </w:r>
      <w:r w:rsidR="00436066" w:rsidRPr="001D5473">
        <w:t xml:space="preserve">had been </w:t>
      </w:r>
      <w:r w:rsidR="009D4CC6" w:rsidRPr="001D5473">
        <w:t xml:space="preserve">released during </w:t>
      </w:r>
      <w:r w:rsidR="00144ECD" w:rsidRPr="001D5473">
        <w:t>the twenty-fifth meeting of the Subsidiary Body on Scientific, Technical and Technological Advice</w:t>
      </w:r>
      <w:r w:rsidR="009D4CC6" w:rsidRPr="001D5473">
        <w:t xml:space="preserve"> and </w:t>
      </w:r>
      <w:r w:rsidR="00436066" w:rsidRPr="001D5473">
        <w:t>wa</w:t>
      </w:r>
      <w:r w:rsidR="009D4CC6" w:rsidRPr="001D5473">
        <w:t>s already available for Parties to use</w:t>
      </w:r>
      <w:r w:rsidR="00BC3F0B" w:rsidRPr="001D5473">
        <w:t xml:space="preserve">. </w:t>
      </w:r>
      <w:r w:rsidR="00AA5125" w:rsidRPr="001D5473">
        <w:t xml:space="preserve">A representative of the </w:t>
      </w:r>
      <w:r w:rsidR="00202618" w:rsidRPr="001D5473">
        <w:t xml:space="preserve">Secretariat noted that national reports </w:t>
      </w:r>
      <w:r w:rsidR="00B44C99" w:rsidRPr="001D5473">
        <w:t xml:space="preserve">were the </w:t>
      </w:r>
      <w:r w:rsidR="00202618" w:rsidRPr="001D5473">
        <w:t xml:space="preserve">prerogative </w:t>
      </w:r>
      <w:r w:rsidR="00B44C99" w:rsidRPr="001D5473">
        <w:t xml:space="preserve">of Parties </w:t>
      </w:r>
      <w:r w:rsidR="00202618" w:rsidRPr="001D5473">
        <w:t>and that the</w:t>
      </w:r>
      <w:r w:rsidR="000C3259" w:rsidRPr="00531867">
        <w:t>y</w:t>
      </w:r>
      <w:r w:rsidR="00202618" w:rsidRPr="001D5473">
        <w:t xml:space="preserve"> would no</w:t>
      </w:r>
      <w:r w:rsidR="000C3259" w:rsidRPr="00531867">
        <w:t>t be checked</w:t>
      </w:r>
      <w:r w:rsidR="00202618" w:rsidRPr="001D5473">
        <w:t xml:space="preserve"> </w:t>
      </w:r>
      <w:r w:rsidR="0040165B" w:rsidRPr="001D5473">
        <w:t>in</w:t>
      </w:r>
      <w:r w:rsidR="00F717B5" w:rsidRPr="00531867">
        <w:t xml:space="preserve"> </w:t>
      </w:r>
      <w:r w:rsidR="0040165B" w:rsidRPr="001D5473">
        <w:t>depth by the Secretariat.</w:t>
      </w:r>
      <w:r w:rsidR="00202618" w:rsidRPr="001D5473">
        <w:t xml:space="preserve"> </w:t>
      </w:r>
      <w:r w:rsidR="00BC3F0B" w:rsidRPr="001D5473">
        <w:t xml:space="preserve">In the subsequent discussion, participants </w:t>
      </w:r>
      <w:r w:rsidR="00B44C99" w:rsidRPr="001D5473">
        <w:t xml:space="preserve">expressed </w:t>
      </w:r>
      <w:r w:rsidR="00CC4605" w:rsidRPr="001D5473">
        <w:t>appreciat</w:t>
      </w:r>
      <w:r w:rsidR="00B44C99" w:rsidRPr="001D5473">
        <w:t>ion</w:t>
      </w:r>
      <w:r w:rsidR="00CC4605" w:rsidRPr="001D5473">
        <w:t xml:space="preserve"> </w:t>
      </w:r>
      <w:r w:rsidR="00B44C99" w:rsidRPr="001D5473">
        <w:t xml:space="preserve">for </w:t>
      </w:r>
      <w:r w:rsidR="00BC3F0B" w:rsidRPr="001D5473">
        <w:t xml:space="preserve">the improvements made </w:t>
      </w:r>
      <w:r w:rsidR="00D00F39" w:rsidRPr="001D5473">
        <w:t xml:space="preserve">to the template </w:t>
      </w:r>
      <w:r w:rsidR="00BC3F0B" w:rsidRPr="001D5473">
        <w:t xml:space="preserve">and </w:t>
      </w:r>
      <w:r w:rsidR="00BB7D83" w:rsidRPr="001D5473">
        <w:t xml:space="preserve">noted the importance of achieving </w:t>
      </w:r>
      <w:r w:rsidR="0067440D" w:rsidRPr="001D5473">
        <w:t xml:space="preserve">a high </w:t>
      </w:r>
      <w:r w:rsidR="00F717B5" w:rsidRPr="00531867">
        <w:t xml:space="preserve">reporting </w:t>
      </w:r>
      <w:r w:rsidR="0067440D" w:rsidRPr="001D5473">
        <w:t xml:space="preserve">rate </w:t>
      </w:r>
      <w:r w:rsidR="00D00F39" w:rsidRPr="001D5473">
        <w:t xml:space="preserve">to ensure </w:t>
      </w:r>
      <w:r w:rsidR="0067440D" w:rsidRPr="001D5473">
        <w:t xml:space="preserve">that </w:t>
      </w:r>
      <w:r w:rsidR="00BB7D83" w:rsidRPr="001D5473">
        <w:t xml:space="preserve">the aggregated data </w:t>
      </w:r>
      <w:r w:rsidR="0067440D" w:rsidRPr="001D5473">
        <w:t>would provide a reali</w:t>
      </w:r>
      <w:r w:rsidR="0040165B" w:rsidRPr="001D5473">
        <w:t>s</w:t>
      </w:r>
      <w:r w:rsidR="0067440D" w:rsidRPr="001D5473">
        <w:t>tic picture of implementation progress</w:t>
      </w:r>
      <w:r w:rsidR="00202618" w:rsidRPr="001D5473">
        <w:t>.</w:t>
      </w:r>
    </w:p>
    <w:p w14:paraId="54E8FF64" w14:textId="769D122F" w:rsidR="00F11151" w:rsidRPr="002242E6" w:rsidRDefault="00F11151" w:rsidP="002242E6">
      <w:pPr>
        <w:pStyle w:val="Para1"/>
        <w:numPr>
          <w:ilvl w:val="0"/>
          <w:numId w:val="0"/>
        </w:numPr>
        <w:ind w:left="567" w:right="1280"/>
        <w:jc w:val="left"/>
        <w:rPr>
          <w:i/>
          <w:iCs/>
        </w:rPr>
      </w:pPr>
      <w:r w:rsidRPr="002242E6">
        <w:rPr>
          <w:i/>
          <w:iCs/>
        </w:rPr>
        <w:t>Discussion on headline indicator 18.1</w:t>
      </w:r>
      <w:r w:rsidR="00EA6576" w:rsidRPr="002242E6">
        <w:rPr>
          <w:i/>
          <w:iCs/>
        </w:rPr>
        <w:t xml:space="preserve"> (positive incentives</w:t>
      </w:r>
      <w:r w:rsidR="006A1339" w:rsidRPr="002242E6">
        <w:rPr>
          <w:i/>
          <w:iCs/>
        </w:rPr>
        <w:t xml:space="preserve"> in place to promote biodiversity conservation and sustainable use</w:t>
      </w:r>
      <w:r w:rsidR="00EA6576" w:rsidRPr="002242E6">
        <w:rPr>
          <w:i/>
          <w:iCs/>
        </w:rPr>
        <w:t>)</w:t>
      </w:r>
    </w:p>
    <w:p w14:paraId="7BA03F06" w14:textId="5FC89C7E" w:rsidR="00896964" w:rsidRPr="001D5473" w:rsidRDefault="00764360" w:rsidP="00F31A26">
      <w:pPr>
        <w:pStyle w:val="Para1"/>
        <w:rPr>
          <w:szCs w:val="22"/>
        </w:rPr>
      </w:pPr>
      <w:r w:rsidRPr="001D5473">
        <w:t xml:space="preserve">A representative of the </w:t>
      </w:r>
      <w:r w:rsidR="00896964" w:rsidRPr="001D5473">
        <w:t xml:space="preserve">Secretariat introduced the monitoring elements already in place for the component on positive incentives of Target 18, including the headline indicator and its complementary indicators, </w:t>
      </w:r>
      <w:r w:rsidR="00B7103A" w:rsidRPr="00531867">
        <w:t xml:space="preserve">as </w:t>
      </w:r>
      <w:r w:rsidR="00896964" w:rsidRPr="001D5473">
        <w:t xml:space="preserve">provided in document </w:t>
      </w:r>
      <w:hyperlink r:id="rId21" w:history="1">
        <w:r w:rsidR="00896964" w:rsidRPr="001D5473">
          <w:rPr>
            <w:rStyle w:val="Hyperlink"/>
          </w:rPr>
          <w:t>CBD/FM/TEG/2023/1/2</w:t>
        </w:r>
      </w:hyperlink>
      <w:r w:rsidR="00896964" w:rsidRPr="001D5473">
        <w:t>. It was noted that the complementary indicators had already been reflected in the earlier monitoring framework, for Aichi Biodiversity Target 3</w:t>
      </w:r>
      <w:r w:rsidR="00141B89" w:rsidRPr="001D5473">
        <w:t>,</w:t>
      </w:r>
      <w:r w:rsidR="00896964" w:rsidRPr="001D5473">
        <w:t xml:space="preserve"> on incentive measures. </w:t>
      </w:r>
    </w:p>
    <w:p w14:paraId="1BEE3E30" w14:textId="173B6124" w:rsidR="00035DAC" w:rsidRPr="001D5473" w:rsidRDefault="00076A08" w:rsidP="00F31A26">
      <w:pPr>
        <w:pStyle w:val="Para1"/>
        <w:rPr>
          <w:szCs w:val="22"/>
        </w:rPr>
      </w:pPr>
      <w:r w:rsidRPr="001D5473">
        <w:t xml:space="preserve">A representative </w:t>
      </w:r>
      <w:r w:rsidR="001562C5" w:rsidRPr="001D5473">
        <w:t>of the Organi</w:t>
      </w:r>
      <w:r w:rsidR="0041483D" w:rsidRPr="001D5473">
        <w:t>s</w:t>
      </w:r>
      <w:r w:rsidR="001562C5" w:rsidRPr="001D5473">
        <w:t xml:space="preserve">ation for Economic Co-Operation and Development (OECD), </w:t>
      </w:r>
      <w:r w:rsidR="00B91CC5" w:rsidRPr="001D5473">
        <w:t xml:space="preserve">Edward Perry, </w:t>
      </w:r>
      <w:r w:rsidR="001562C5" w:rsidRPr="001D5473">
        <w:t xml:space="preserve">presented the work </w:t>
      </w:r>
      <w:r w:rsidRPr="001D5473">
        <w:t xml:space="preserve">of </w:t>
      </w:r>
      <w:r w:rsidR="004B0089" w:rsidRPr="001D5473">
        <w:t xml:space="preserve">his </w:t>
      </w:r>
      <w:r w:rsidRPr="001D5473">
        <w:t xml:space="preserve">organization </w:t>
      </w:r>
      <w:r w:rsidR="001562C5" w:rsidRPr="001D5473">
        <w:t xml:space="preserve">on tracking economic instruments for biodiversity. Under the Environment Policy Committee, data on positive incentives (i.e. economic instruments) </w:t>
      </w:r>
      <w:r w:rsidR="00D47CDA" w:rsidRPr="001D5473">
        <w:t>were</w:t>
      </w:r>
      <w:r w:rsidR="008A719B" w:rsidRPr="001D5473">
        <w:t xml:space="preserve"> </w:t>
      </w:r>
      <w:r w:rsidR="001562C5" w:rsidRPr="001D5473">
        <w:t>tracked through the Policy Instruments for the Environment (PINE) database, as a basis for measuring progress against the headline indicator. The database contain</w:t>
      </w:r>
      <w:r w:rsidR="00D43E44" w:rsidRPr="001D5473">
        <w:t>ed</w:t>
      </w:r>
      <w:r w:rsidR="001562C5" w:rsidRPr="001D5473">
        <w:t xml:space="preserve"> information on approximately 4</w:t>
      </w:r>
      <w:r w:rsidR="00284F85" w:rsidRPr="001D5473">
        <w:t>,</w:t>
      </w:r>
      <w:r w:rsidR="001562C5" w:rsidRPr="001D5473">
        <w:t xml:space="preserve">000 policy instruments from </w:t>
      </w:r>
      <w:r w:rsidR="00284F85" w:rsidRPr="001D5473">
        <w:t xml:space="preserve">more than </w:t>
      </w:r>
      <w:r w:rsidR="001562C5" w:rsidRPr="001D5473">
        <w:t>130 countries</w:t>
      </w:r>
      <w:r w:rsidR="00DA6AE0">
        <w:t>,</w:t>
      </w:r>
      <w:r w:rsidR="001562C5" w:rsidRPr="001D5473">
        <w:t xml:space="preserve"> and </w:t>
      </w:r>
      <w:r w:rsidR="00DA6AE0">
        <w:t>its records were</w:t>
      </w:r>
      <w:r w:rsidR="00D43E44" w:rsidRPr="001D5473">
        <w:t xml:space="preserve"> </w:t>
      </w:r>
      <w:r w:rsidR="001562C5" w:rsidRPr="001D5473">
        <w:t xml:space="preserve">updated yearly. Each policy instrument </w:t>
      </w:r>
      <w:r w:rsidR="007F7E40" w:rsidRPr="001D5473">
        <w:t xml:space="preserve">was </w:t>
      </w:r>
      <w:r w:rsidR="001562C5" w:rsidRPr="001D5473">
        <w:t xml:space="preserve">tagged </w:t>
      </w:r>
      <w:r w:rsidR="00FA7ED2" w:rsidRPr="001D5473">
        <w:t>under the</w:t>
      </w:r>
      <w:r w:rsidR="001562C5" w:rsidRPr="001D5473">
        <w:t xml:space="preserve"> relevant environmental domain (e.g. biodiversity, </w:t>
      </w:r>
      <w:proofErr w:type="gramStart"/>
      <w:r w:rsidR="001562C5" w:rsidRPr="001D5473">
        <w:t>water</w:t>
      </w:r>
      <w:proofErr w:type="gramEnd"/>
      <w:r w:rsidR="001562C5" w:rsidRPr="001D5473">
        <w:t xml:space="preserve"> </w:t>
      </w:r>
      <w:r w:rsidR="00FA7ED2" w:rsidRPr="001D5473">
        <w:t xml:space="preserve">and </w:t>
      </w:r>
      <w:r w:rsidR="001562C5" w:rsidRPr="001D5473">
        <w:t xml:space="preserve">climate), thus permitting the identification of instruments related to biodiversity. </w:t>
      </w:r>
      <w:r w:rsidR="00950342" w:rsidRPr="001D5473">
        <w:t>The database</w:t>
      </w:r>
      <w:r w:rsidR="001562C5" w:rsidRPr="001D5473">
        <w:t xml:space="preserve"> cover</w:t>
      </w:r>
      <w:r w:rsidR="00FC588C" w:rsidRPr="001D5473">
        <w:t>ed</w:t>
      </w:r>
      <w:r w:rsidR="001562C5" w:rsidRPr="001D5473">
        <w:t xml:space="preserve"> six types of biodiversity-relevant positive incentives: taxes, fees</w:t>
      </w:r>
      <w:r w:rsidR="00950342" w:rsidRPr="001D5473">
        <w:t xml:space="preserve"> and </w:t>
      </w:r>
      <w:r w:rsidR="001562C5" w:rsidRPr="001D5473">
        <w:t xml:space="preserve">charges, tradable permits, environmentally motivated subsidies, payments for ecosystem services and biodiversity offsets. It was noted that two types of positive incentives, </w:t>
      </w:r>
      <w:r w:rsidR="00950342" w:rsidRPr="001D5473">
        <w:t xml:space="preserve">namely, </w:t>
      </w:r>
      <w:r w:rsidR="001562C5" w:rsidRPr="001D5473">
        <w:t xml:space="preserve">payments for ecosystem services and biodiversity offsets, </w:t>
      </w:r>
      <w:r w:rsidR="005F6219" w:rsidRPr="001D5473">
        <w:t xml:space="preserve">had been </w:t>
      </w:r>
      <w:r w:rsidR="001562C5" w:rsidRPr="001D5473">
        <w:t>recently added to the database, as policy instruments to report on</w:t>
      </w:r>
      <w:r w:rsidR="00DD4A8B" w:rsidRPr="001D5473">
        <w:t xml:space="preserve">. </w:t>
      </w:r>
    </w:p>
    <w:p w14:paraId="57EF26DB" w14:textId="627742AD" w:rsidR="005C0D4D" w:rsidRPr="001D5473" w:rsidRDefault="00AD1923" w:rsidP="00F31A26">
      <w:pPr>
        <w:pStyle w:val="Para1"/>
      </w:pPr>
      <w:r w:rsidRPr="001D5473">
        <w:t>In the subsequent discussion, members agreed that the PINE database provide</w:t>
      </w:r>
      <w:r w:rsidR="00FC588C" w:rsidRPr="001D5473">
        <w:t>d</w:t>
      </w:r>
      <w:r w:rsidRPr="001D5473">
        <w:t xml:space="preserve"> a good basis for reporting on headline indicator 18.1. It was noted that </w:t>
      </w:r>
      <w:r w:rsidR="00284F85" w:rsidRPr="001D5473">
        <w:t xml:space="preserve">the database </w:t>
      </w:r>
      <w:r w:rsidR="002D5146" w:rsidRPr="001D5473">
        <w:t xml:space="preserve">did </w:t>
      </w:r>
      <w:r w:rsidRPr="001D5473">
        <w:t xml:space="preserve">not yet include data from all </w:t>
      </w:r>
      <w:r w:rsidR="002D5146" w:rsidRPr="001D5473">
        <w:t>P</w:t>
      </w:r>
      <w:r w:rsidRPr="001D5473">
        <w:t>arties</w:t>
      </w:r>
      <w:r w:rsidR="002D5146" w:rsidRPr="001D5473">
        <w:t xml:space="preserve"> to the Convention</w:t>
      </w:r>
      <w:r w:rsidRPr="001D5473">
        <w:t xml:space="preserve"> and that </w:t>
      </w:r>
      <w:r w:rsidR="00F355D6" w:rsidRPr="001D5473">
        <w:t>reporting by</w:t>
      </w:r>
      <w:r w:rsidRPr="001D5473">
        <w:t xml:space="preserve"> the 134 countries covered in the database </w:t>
      </w:r>
      <w:r w:rsidR="002D5146" w:rsidRPr="001D5473">
        <w:t xml:space="preserve">was </w:t>
      </w:r>
      <w:r w:rsidRPr="001D5473">
        <w:t xml:space="preserve">generally more consistent from OECD and accession countries. </w:t>
      </w:r>
      <w:r w:rsidR="009E53B6" w:rsidRPr="001D5473">
        <w:t>In a</w:t>
      </w:r>
      <w:r w:rsidRPr="001D5473">
        <w:t xml:space="preserve">ddition, data </w:t>
      </w:r>
      <w:r w:rsidR="00936E80" w:rsidRPr="001D5473">
        <w:t>were</w:t>
      </w:r>
      <w:r w:rsidR="009E53B6" w:rsidRPr="001D5473">
        <w:t xml:space="preserve"> </w:t>
      </w:r>
      <w:r w:rsidRPr="001D5473">
        <w:t xml:space="preserve">more complete for </w:t>
      </w:r>
      <w:r w:rsidR="00D847AA" w:rsidRPr="001D5473">
        <w:t xml:space="preserve">such </w:t>
      </w:r>
      <w:r w:rsidRPr="001D5473">
        <w:t xml:space="preserve">instruments as biodiversity-related taxes than for biodiversity offsets and payments for ecosystems, which </w:t>
      </w:r>
      <w:r w:rsidR="00981C9A" w:rsidRPr="001D5473">
        <w:t xml:space="preserve">were </w:t>
      </w:r>
      <w:r w:rsidRPr="001D5473">
        <w:t>newer additions. Members also discussed the merit of counting the value</w:t>
      </w:r>
      <w:r w:rsidR="00DA6AE0" w:rsidRPr="00DA6AE0">
        <w:t xml:space="preserve"> </w:t>
      </w:r>
      <w:r w:rsidR="00DA6AE0">
        <w:t xml:space="preserve">in United States </w:t>
      </w:r>
      <w:r w:rsidR="00DA6AE0" w:rsidRPr="00EB3768">
        <w:t>dollar</w:t>
      </w:r>
      <w:r w:rsidR="00DA6AE0">
        <w:t>s</w:t>
      </w:r>
      <w:r w:rsidRPr="001D5473">
        <w:t xml:space="preserve"> of positive incentives as a component or complementary indicator </w:t>
      </w:r>
      <w:r w:rsidR="00AF0728">
        <w:t>as opposed to</w:t>
      </w:r>
      <w:r w:rsidR="00013791">
        <w:t xml:space="preserve"> th</w:t>
      </w:r>
      <w:r w:rsidR="00AF0728">
        <w:t>e</w:t>
      </w:r>
      <w:r w:rsidR="00013791">
        <w:t xml:space="preserve"> </w:t>
      </w:r>
      <w:r w:rsidR="00AF0728">
        <w:t xml:space="preserve">merit </w:t>
      </w:r>
      <w:r w:rsidR="00013791">
        <w:t xml:space="preserve">of </w:t>
      </w:r>
      <w:r w:rsidRPr="001D5473">
        <w:t>reporting the number of mechanisms</w:t>
      </w:r>
      <w:r w:rsidR="00C2420C">
        <w:t>.</w:t>
      </w:r>
      <w:r w:rsidRPr="001D5473">
        <w:t xml:space="preserve"> </w:t>
      </w:r>
      <w:r w:rsidR="00D73047">
        <w:t xml:space="preserve">Both types of </w:t>
      </w:r>
      <w:r w:rsidRPr="001D5473">
        <w:t xml:space="preserve">data </w:t>
      </w:r>
      <w:r w:rsidR="00737E63" w:rsidRPr="001D5473">
        <w:t xml:space="preserve">were </w:t>
      </w:r>
      <w:r w:rsidRPr="001D5473">
        <w:t xml:space="preserve">also collected in the </w:t>
      </w:r>
      <w:r w:rsidR="00284F85" w:rsidRPr="001D5473">
        <w:t>database</w:t>
      </w:r>
      <w:r w:rsidRPr="001D5473">
        <w:t>. Members discussed how to address any positive incentive measures that m</w:t>
      </w:r>
      <w:r w:rsidR="00FD5DB7" w:rsidRPr="001D5473">
        <w:t>ight</w:t>
      </w:r>
      <w:r w:rsidRPr="001D5473">
        <w:t xml:space="preserve"> not yet be </w:t>
      </w:r>
      <w:r w:rsidRPr="001D5473">
        <w:lastRenderedPageBreak/>
        <w:t xml:space="preserve">captured </w:t>
      </w:r>
      <w:r w:rsidR="00503907" w:rsidRPr="00531867">
        <w:t>in</w:t>
      </w:r>
      <w:r w:rsidRPr="001D5473">
        <w:t xml:space="preserve"> </w:t>
      </w:r>
      <w:r w:rsidR="00284F85" w:rsidRPr="001D5473">
        <w:t>the database</w:t>
      </w:r>
      <w:r w:rsidR="00503907" w:rsidRPr="00531867">
        <w:t>, and t</w:t>
      </w:r>
      <w:r w:rsidRPr="001D5473">
        <w:t xml:space="preserve">he </w:t>
      </w:r>
      <w:r w:rsidR="00B25F98" w:rsidRPr="001D5473">
        <w:t xml:space="preserve">representative of </w:t>
      </w:r>
      <w:r w:rsidRPr="001D5473">
        <w:t xml:space="preserve">OECD clarified that it </w:t>
      </w:r>
      <w:r w:rsidR="00FD5DB7" w:rsidRPr="001D5473">
        <w:t xml:space="preserve">would be </w:t>
      </w:r>
      <w:r w:rsidRPr="001D5473">
        <w:t xml:space="preserve">possible to include those in future. The </w:t>
      </w:r>
      <w:r w:rsidR="00EF7522" w:rsidRPr="001D5473">
        <w:t>Group</w:t>
      </w:r>
      <w:r w:rsidRPr="001D5473">
        <w:t xml:space="preserve"> noted that</w:t>
      </w:r>
      <w:r w:rsidR="00FD5DB7" w:rsidRPr="001D5473">
        <w:t>,</w:t>
      </w:r>
      <w:r w:rsidRPr="001D5473">
        <w:t xml:space="preserve"> since not all Parties to the Convention contribute</w:t>
      </w:r>
      <w:r w:rsidR="00EF7522" w:rsidRPr="001D5473">
        <w:t>d</w:t>
      </w:r>
      <w:r w:rsidRPr="001D5473">
        <w:t xml:space="preserve"> data to </w:t>
      </w:r>
      <w:r w:rsidR="00284F85" w:rsidRPr="001D5473">
        <w:t>the database</w:t>
      </w:r>
      <w:r w:rsidRPr="001D5473">
        <w:t xml:space="preserve">, countries </w:t>
      </w:r>
      <w:r w:rsidR="007E76B6">
        <w:t>sh</w:t>
      </w:r>
      <w:r w:rsidRPr="001D5473">
        <w:t xml:space="preserve">ould also </w:t>
      </w:r>
      <w:r w:rsidR="007E76B6">
        <w:t>be able to provide</w:t>
      </w:r>
      <w:r w:rsidRPr="001D5473">
        <w:t xml:space="preserve"> </w:t>
      </w:r>
      <w:r w:rsidR="007E76B6">
        <w:t>information in their national reports</w:t>
      </w:r>
      <w:r w:rsidR="00D64026">
        <w:t xml:space="preserve"> submitted in compliance with </w:t>
      </w:r>
      <w:r w:rsidRPr="001D5473">
        <w:t xml:space="preserve">the </w:t>
      </w:r>
      <w:r w:rsidR="00EF7522" w:rsidRPr="001D5473">
        <w:t>Convention</w:t>
      </w:r>
      <w:r w:rsidRPr="001D5473">
        <w:t xml:space="preserve">. It was </w:t>
      </w:r>
      <w:r w:rsidR="006B64A6" w:rsidRPr="00531867">
        <w:t xml:space="preserve">also </w:t>
      </w:r>
      <w:r w:rsidRPr="001D5473">
        <w:t xml:space="preserve">noted that all countries </w:t>
      </w:r>
      <w:r w:rsidR="005B0E15" w:rsidRPr="001D5473">
        <w:t xml:space="preserve">were </w:t>
      </w:r>
      <w:r w:rsidRPr="001D5473">
        <w:t>welcome to contribute information to</w:t>
      </w:r>
      <w:r w:rsidR="00284F85" w:rsidRPr="001D5473">
        <w:t xml:space="preserve"> the database</w:t>
      </w:r>
      <w:r w:rsidRPr="001D5473">
        <w:t>.</w:t>
      </w:r>
      <w:r w:rsidR="005C0D4D" w:rsidRPr="001D5473">
        <w:t xml:space="preserve"> </w:t>
      </w:r>
    </w:p>
    <w:p w14:paraId="00CF8F03" w14:textId="6A899C5D" w:rsidR="00C349D7" w:rsidRPr="001D5473" w:rsidRDefault="00B72D8B" w:rsidP="00F31A26">
      <w:pPr>
        <w:pStyle w:val="Para1"/>
      </w:pPr>
      <w:r w:rsidRPr="001D5473">
        <w:t xml:space="preserve">The </w:t>
      </w:r>
      <w:r w:rsidR="008216EF" w:rsidRPr="001D5473">
        <w:t xml:space="preserve">Technical Expert Group </w:t>
      </w:r>
      <w:r w:rsidRPr="001D5473">
        <w:t xml:space="preserve">discussed </w:t>
      </w:r>
      <w:r w:rsidR="00605C37" w:rsidRPr="001D5473">
        <w:t xml:space="preserve">the </w:t>
      </w:r>
      <w:r w:rsidRPr="001D5473">
        <w:t>capacity</w:t>
      </w:r>
      <w:r w:rsidR="00790010" w:rsidRPr="001D5473">
        <w:t>-</w:t>
      </w:r>
      <w:r w:rsidRPr="001D5473">
        <w:t xml:space="preserve">building needs </w:t>
      </w:r>
      <w:r w:rsidR="006B64A6" w:rsidRPr="00531867">
        <w:t>for</w:t>
      </w:r>
      <w:r w:rsidRPr="001D5473">
        <w:t xml:space="preserve"> us</w:t>
      </w:r>
      <w:r w:rsidR="006B64A6" w:rsidRPr="00531867">
        <w:t>ing</w:t>
      </w:r>
      <w:r w:rsidRPr="001D5473">
        <w:t xml:space="preserve"> </w:t>
      </w:r>
      <w:r w:rsidR="00790010" w:rsidRPr="001D5473">
        <w:t xml:space="preserve">the </w:t>
      </w:r>
      <w:r w:rsidRPr="001D5473">
        <w:t xml:space="preserve">PINE </w:t>
      </w:r>
      <w:r w:rsidR="00867E00" w:rsidRPr="001D5473">
        <w:t>database</w:t>
      </w:r>
      <w:r w:rsidR="005621F1" w:rsidRPr="001D5473">
        <w:t xml:space="preserve"> effectively</w:t>
      </w:r>
      <w:r w:rsidR="00867E00" w:rsidRPr="001D5473">
        <w:t xml:space="preserve">, noting that </w:t>
      </w:r>
      <w:r w:rsidR="008D098B" w:rsidRPr="001D5473">
        <w:t xml:space="preserve">countries that </w:t>
      </w:r>
      <w:r w:rsidR="00790010" w:rsidRPr="001D5473">
        <w:t xml:space="preserve">were </w:t>
      </w:r>
      <w:r w:rsidR="00A33742" w:rsidRPr="001D5473">
        <w:t xml:space="preserve">not </w:t>
      </w:r>
      <w:r w:rsidR="00867E00" w:rsidRPr="001D5473">
        <w:t xml:space="preserve">yet </w:t>
      </w:r>
      <w:r w:rsidR="00A33742" w:rsidRPr="001D5473">
        <w:t xml:space="preserve">reporting </w:t>
      </w:r>
      <w:r w:rsidR="00921D13" w:rsidRPr="001D5473">
        <w:t xml:space="preserve">through the database </w:t>
      </w:r>
      <w:r w:rsidR="00A33742" w:rsidRPr="001D5473">
        <w:t xml:space="preserve">would need to either </w:t>
      </w:r>
      <w:r w:rsidR="00966EBA" w:rsidRPr="00531867">
        <w:t xml:space="preserve">to </w:t>
      </w:r>
      <w:r w:rsidR="000572D7" w:rsidRPr="001D5473">
        <w:t xml:space="preserve">start doing so </w:t>
      </w:r>
      <w:r w:rsidR="00A33742" w:rsidRPr="001D5473">
        <w:t xml:space="preserve">or </w:t>
      </w:r>
      <w:r w:rsidR="00966EBA" w:rsidRPr="00531867">
        <w:t xml:space="preserve">to </w:t>
      </w:r>
      <w:r w:rsidR="00A33742" w:rsidRPr="001D5473">
        <w:t xml:space="preserve">use a different reporting method. </w:t>
      </w:r>
      <w:r w:rsidR="00127A7C" w:rsidRPr="001D5473">
        <w:t>T</w:t>
      </w:r>
      <w:r w:rsidR="00DE350C" w:rsidRPr="001D5473">
        <w:t xml:space="preserve">he </w:t>
      </w:r>
      <w:r w:rsidR="00127A7C" w:rsidRPr="001D5473">
        <w:t xml:space="preserve">representative of </w:t>
      </w:r>
      <w:r w:rsidR="00DE350C" w:rsidRPr="001D5473">
        <w:t xml:space="preserve">OECD </w:t>
      </w:r>
      <w:r w:rsidR="001C177D">
        <w:t xml:space="preserve">would </w:t>
      </w:r>
      <w:r w:rsidR="00DE350C" w:rsidRPr="001D5473">
        <w:t xml:space="preserve">offer to provide training </w:t>
      </w:r>
      <w:r w:rsidR="00D46EFF" w:rsidRPr="001D5473">
        <w:t xml:space="preserve">to </w:t>
      </w:r>
      <w:r w:rsidR="00DE350C" w:rsidRPr="001D5473">
        <w:t xml:space="preserve">countries </w:t>
      </w:r>
      <w:r w:rsidR="00996A94" w:rsidRPr="001D5473">
        <w:t>to</w:t>
      </w:r>
      <w:r w:rsidR="004D7ACC" w:rsidRPr="001D5473">
        <w:t xml:space="preserve"> address the capacity-building needs and</w:t>
      </w:r>
      <w:r w:rsidR="00DE350C" w:rsidRPr="001D5473">
        <w:t xml:space="preserve"> increase the number of countries reporting </w:t>
      </w:r>
      <w:r w:rsidR="004D7ACC" w:rsidRPr="001D5473">
        <w:t>through</w:t>
      </w:r>
      <w:r w:rsidR="00DE350C" w:rsidRPr="001D5473">
        <w:t xml:space="preserve"> the database.</w:t>
      </w:r>
    </w:p>
    <w:p w14:paraId="3AE836D5" w14:textId="2947CA7E" w:rsidR="00DD4F1F" w:rsidRPr="001D5473" w:rsidRDefault="00C349D7" w:rsidP="00F31A26">
      <w:pPr>
        <w:pStyle w:val="Para1"/>
      </w:pPr>
      <w:bookmarkStart w:id="3" w:name="_Hlk157512515"/>
      <w:r w:rsidRPr="001D5473">
        <w:t xml:space="preserve">The </w:t>
      </w:r>
      <w:r w:rsidR="00DD0A47" w:rsidRPr="001D5473">
        <w:t>Technical Expert G</w:t>
      </w:r>
      <w:r w:rsidRPr="001D5473">
        <w:t xml:space="preserve">roup agreed that </w:t>
      </w:r>
      <w:r w:rsidR="0026493B" w:rsidRPr="001D5473">
        <w:t xml:space="preserve">further </w:t>
      </w:r>
      <w:r w:rsidRPr="001D5473">
        <w:t xml:space="preserve">work on </w:t>
      </w:r>
      <w:r w:rsidR="0026493B" w:rsidRPr="001D5473">
        <w:t xml:space="preserve">headline indicator </w:t>
      </w:r>
      <w:r w:rsidRPr="001D5473">
        <w:t xml:space="preserve">18.1 would be conducted </w:t>
      </w:r>
      <w:r w:rsidR="00A063E6" w:rsidRPr="001D5473">
        <w:t xml:space="preserve">by a dedicated subgroup </w:t>
      </w:r>
      <w:r w:rsidRPr="001D5473">
        <w:t>during the intersessional period</w:t>
      </w:r>
      <w:bookmarkEnd w:id="3"/>
      <w:r w:rsidR="00A063E6" w:rsidRPr="001D5473">
        <w:t>.</w:t>
      </w:r>
    </w:p>
    <w:p w14:paraId="3C8A12BC" w14:textId="727F6EAA" w:rsidR="00DF72F6" w:rsidRPr="002242E6" w:rsidRDefault="00CF59B9" w:rsidP="002242E6">
      <w:pPr>
        <w:pStyle w:val="Para1"/>
        <w:numPr>
          <w:ilvl w:val="0"/>
          <w:numId w:val="0"/>
        </w:numPr>
        <w:ind w:left="567" w:right="1705"/>
        <w:rPr>
          <w:i/>
          <w:iCs/>
        </w:rPr>
      </w:pPr>
      <w:r w:rsidRPr="002242E6">
        <w:rPr>
          <w:i/>
          <w:iCs/>
        </w:rPr>
        <w:t xml:space="preserve">Discussion on </w:t>
      </w:r>
      <w:r w:rsidR="007950E7" w:rsidRPr="002242E6">
        <w:rPr>
          <w:i/>
          <w:iCs/>
        </w:rPr>
        <w:t>headline indicator 18.2</w:t>
      </w:r>
      <w:r w:rsidR="0071190D" w:rsidRPr="002242E6">
        <w:rPr>
          <w:i/>
          <w:iCs/>
        </w:rPr>
        <w:t xml:space="preserve"> (</w:t>
      </w:r>
      <w:r w:rsidR="00D93DFD" w:rsidRPr="002242E6">
        <w:rPr>
          <w:i/>
          <w:iCs/>
        </w:rPr>
        <w:t xml:space="preserve">Value of subsidies and other incentives </w:t>
      </w:r>
      <w:r w:rsidR="00103A3C" w:rsidRPr="002242E6">
        <w:rPr>
          <w:i/>
          <w:iCs/>
        </w:rPr>
        <w:t>harmful</w:t>
      </w:r>
      <w:r w:rsidR="00913215" w:rsidRPr="002242E6">
        <w:rPr>
          <w:i/>
          <w:iCs/>
        </w:rPr>
        <w:t xml:space="preserve"> to biodiversity that have been eliminated, phased ou</w:t>
      </w:r>
      <w:r w:rsidR="00B87A04" w:rsidRPr="002242E6">
        <w:rPr>
          <w:i/>
          <w:iCs/>
        </w:rPr>
        <w:t>t</w:t>
      </w:r>
      <w:r w:rsidR="00913215" w:rsidRPr="002242E6">
        <w:rPr>
          <w:i/>
          <w:iCs/>
        </w:rPr>
        <w:t xml:space="preserve"> or reformed</w:t>
      </w:r>
      <w:r w:rsidR="0071190D" w:rsidRPr="002242E6">
        <w:rPr>
          <w:i/>
          <w:iCs/>
        </w:rPr>
        <w:t>)</w:t>
      </w:r>
      <w:r w:rsidR="00103A3C" w:rsidRPr="002242E6">
        <w:rPr>
          <w:i/>
          <w:iCs/>
        </w:rPr>
        <w:t xml:space="preserve"> </w:t>
      </w:r>
    </w:p>
    <w:p w14:paraId="72D6F7C1" w14:textId="51F5EDD7" w:rsidR="004F1912" w:rsidRPr="001D5473" w:rsidRDefault="005C3E06" w:rsidP="00F31A26">
      <w:pPr>
        <w:pStyle w:val="Para1"/>
      </w:pPr>
      <w:r w:rsidRPr="001D5473">
        <w:t>On the basis of</w:t>
      </w:r>
      <w:r w:rsidR="00CB0A09" w:rsidRPr="001D5473">
        <w:t xml:space="preserve"> document </w:t>
      </w:r>
      <w:hyperlink r:id="rId22" w:history="1">
        <w:r w:rsidR="00CB0A09" w:rsidRPr="001D5473">
          <w:rPr>
            <w:rStyle w:val="Hyperlink"/>
          </w:rPr>
          <w:t>CBD/FM/TEG/2023/1/2</w:t>
        </w:r>
      </w:hyperlink>
      <w:r w:rsidR="00993953" w:rsidRPr="001D5473">
        <w:rPr>
          <w:rStyle w:val="Hyperlink"/>
        </w:rPr>
        <w:t>,</w:t>
      </w:r>
      <w:r w:rsidR="00CB0A09" w:rsidRPr="001D5473">
        <w:t xml:space="preserve"> </w:t>
      </w:r>
      <w:r w:rsidR="008145DD" w:rsidRPr="001D5473">
        <w:t xml:space="preserve">a representative of the </w:t>
      </w:r>
      <w:r w:rsidR="00E73694" w:rsidRPr="001D5473">
        <w:t xml:space="preserve">Secretariat </w:t>
      </w:r>
      <w:r w:rsidR="00947CCF" w:rsidRPr="001D5473">
        <w:t xml:space="preserve">presented the </w:t>
      </w:r>
      <w:r w:rsidR="00847D8F" w:rsidRPr="001D5473">
        <w:t xml:space="preserve">elements of the current monitoring framework relevant </w:t>
      </w:r>
      <w:r w:rsidR="0049052B" w:rsidRPr="001D5473">
        <w:t xml:space="preserve">to </w:t>
      </w:r>
      <w:r w:rsidR="005753E7" w:rsidRPr="001D5473">
        <w:t>the harmful incentive elements of Target</w:t>
      </w:r>
      <w:r w:rsidR="000608DA" w:rsidRPr="001D5473">
        <w:t xml:space="preserve"> 18</w:t>
      </w:r>
      <w:r w:rsidR="005753E7" w:rsidRPr="001D5473">
        <w:t xml:space="preserve">, noting that headline </w:t>
      </w:r>
      <w:r w:rsidR="00277232" w:rsidRPr="001D5473">
        <w:t>indicator 18.2 explicitly refer</w:t>
      </w:r>
      <w:r w:rsidR="007F5FEB" w:rsidRPr="001D5473">
        <w:t>red</w:t>
      </w:r>
      <w:r w:rsidR="00277232" w:rsidRPr="001D5473">
        <w:t xml:space="preserve"> to the inclusion of the value of subsidies and other </w:t>
      </w:r>
      <w:r w:rsidR="00BA617F" w:rsidRPr="001D5473">
        <w:t>harmful</w:t>
      </w:r>
      <w:r w:rsidR="00D54710" w:rsidRPr="001D5473">
        <w:t xml:space="preserve"> incentives</w:t>
      </w:r>
      <w:r w:rsidR="00B95C08" w:rsidRPr="001D5473">
        <w:t xml:space="preserve"> and summarizing </w:t>
      </w:r>
      <w:r w:rsidR="00EC4585" w:rsidRPr="001D5473">
        <w:t xml:space="preserve">the earlier monitoring of Aichi Biodiversity </w:t>
      </w:r>
      <w:r w:rsidR="00615015" w:rsidRPr="001D5473">
        <w:t>T</w:t>
      </w:r>
      <w:r w:rsidR="00EC4585" w:rsidRPr="001D5473">
        <w:t>arget</w:t>
      </w:r>
      <w:r w:rsidR="002148FA" w:rsidRPr="001D5473">
        <w:t> </w:t>
      </w:r>
      <w:r w:rsidR="00E7732A" w:rsidRPr="001D5473">
        <w:t>3</w:t>
      </w:r>
      <w:r w:rsidR="00B95C08" w:rsidRPr="001D5473">
        <w:t>.</w:t>
      </w:r>
      <w:r w:rsidR="003A33F7" w:rsidRPr="001D5473">
        <w:t xml:space="preserve"> </w:t>
      </w:r>
      <w:r w:rsidR="00B95C08" w:rsidRPr="001D5473">
        <w:t>T</w:t>
      </w:r>
      <w:r w:rsidR="003A33F7" w:rsidRPr="001D5473">
        <w:t xml:space="preserve">here </w:t>
      </w:r>
      <w:r w:rsidR="00D0218C" w:rsidRPr="001D5473">
        <w:t xml:space="preserve">was </w:t>
      </w:r>
      <w:r w:rsidR="003A33F7" w:rsidRPr="001D5473">
        <w:t xml:space="preserve">no metadata fact sheet </w:t>
      </w:r>
      <w:r w:rsidR="00B95C08" w:rsidRPr="001D5473">
        <w:t xml:space="preserve">yet </w:t>
      </w:r>
      <w:r w:rsidR="003A33F7" w:rsidRPr="001D5473">
        <w:t>for indicator</w:t>
      </w:r>
      <w:r w:rsidR="00D0218C" w:rsidRPr="001D5473">
        <w:t> </w:t>
      </w:r>
      <w:r w:rsidR="003A33F7" w:rsidRPr="001D5473">
        <w:t xml:space="preserve">18.2. </w:t>
      </w:r>
    </w:p>
    <w:p w14:paraId="18E1177B" w14:textId="0E71DF1F" w:rsidR="00337855" w:rsidRPr="001D5473" w:rsidRDefault="00AB5FD4" w:rsidP="00F31A26">
      <w:pPr>
        <w:pStyle w:val="Para1"/>
      </w:pPr>
      <w:r w:rsidRPr="001D5473">
        <w:t>Participating as an invited expert, a</w:t>
      </w:r>
      <w:r w:rsidR="004A7A84" w:rsidRPr="001D5473">
        <w:t xml:space="preserve"> representative of the </w:t>
      </w:r>
      <w:r w:rsidR="00337855" w:rsidRPr="001D5473">
        <w:t>United Nations Environment Programme</w:t>
      </w:r>
      <w:r w:rsidR="00763FCF" w:rsidRPr="001D5473">
        <w:t xml:space="preserve"> (UNEP</w:t>
      </w:r>
      <w:r w:rsidR="00337855" w:rsidRPr="001D5473">
        <w:t>)</w:t>
      </w:r>
      <w:r w:rsidR="004A7A84" w:rsidRPr="001D5473">
        <w:t>,</w:t>
      </w:r>
      <w:r w:rsidR="00337855" w:rsidRPr="001D5473">
        <w:t xml:space="preserve"> </w:t>
      </w:r>
      <w:proofErr w:type="spellStart"/>
      <w:r w:rsidR="004A7A84" w:rsidRPr="001D5473">
        <w:t>Aeree</w:t>
      </w:r>
      <w:proofErr w:type="spellEnd"/>
      <w:r w:rsidR="004A7A84" w:rsidRPr="001D5473">
        <w:t xml:space="preserve"> Joy Kim, </w:t>
      </w:r>
      <w:r w:rsidR="00ED178E" w:rsidRPr="001D5473">
        <w:t xml:space="preserve">gave an online </w:t>
      </w:r>
      <w:r w:rsidR="00337855" w:rsidRPr="001D5473">
        <w:t>present</w:t>
      </w:r>
      <w:r w:rsidR="00ED178E" w:rsidRPr="001D5473">
        <w:t>ation</w:t>
      </w:r>
      <w:r w:rsidR="00337855" w:rsidRPr="001D5473">
        <w:t xml:space="preserve"> </w:t>
      </w:r>
      <w:r w:rsidR="0077608E" w:rsidRPr="001D5473">
        <w:t xml:space="preserve">on </w:t>
      </w:r>
      <w:r w:rsidR="004A7A84" w:rsidRPr="001D5473">
        <w:t xml:space="preserve">the </w:t>
      </w:r>
      <w:r w:rsidR="00337855" w:rsidRPr="001D5473">
        <w:t xml:space="preserve">work </w:t>
      </w:r>
      <w:r w:rsidR="00E05D23" w:rsidRPr="001D5473">
        <w:t xml:space="preserve">of UNEP </w:t>
      </w:r>
      <w:r w:rsidR="00337855" w:rsidRPr="001D5473">
        <w:t xml:space="preserve">related to subsidies and other incentives harmful to biodiversity. She noted that </w:t>
      </w:r>
      <w:r w:rsidR="00147069" w:rsidRPr="001D5473">
        <w:t>nature-</w:t>
      </w:r>
      <w:r w:rsidR="00337855" w:rsidRPr="001D5473">
        <w:t xml:space="preserve">negative public finance flows still largely </w:t>
      </w:r>
      <w:r w:rsidR="00C336CA" w:rsidRPr="00531867">
        <w:t>exceeded</w:t>
      </w:r>
      <w:r w:rsidR="00337855" w:rsidRPr="001D5473">
        <w:t xml:space="preserve"> nature-positive </w:t>
      </w:r>
      <w:r w:rsidR="00147069" w:rsidRPr="001D5473">
        <w:t>ones</w:t>
      </w:r>
      <w:r w:rsidR="00337855" w:rsidRPr="001D5473">
        <w:t>. Modelling show</w:t>
      </w:r>
      <w:r w:rsidR="00E05D23" w:rsidRPr="001D5473">
        <w:t>ed</w:t>
      </w:r>
      <w:r w:rsidR="00337855" w:rsidRPr="001D5473">
        <w:t xml:space="preserve"> that the removal of all </w:t>
      </w:r>
      <w:r w:rsidR="0007148A" w:rsidRPr="00531867">
        <w:t xml:space="preserve">agricultural </w:t>
      </w:r>
      <w:r w:rsidR="00337855" w:rsidRPr="001D5473">
        <w:t xml:space="preserve">subsidies would cause </w:t>
      </w:r>
      <w:r w:rsidR="005F466C" w:rsidRPr="001D5473">
        <w:t>a</w:t>
      </w:r>
      <w:r w:rsidR="00337855" w:rsidRPr="001D5473">
        <w:t xml:space="preserve"> reduction in agricultural land and an increase in forest and other types of habitats. However, </w:t>
      </w:r>
      <w:r w:rsidR="007347CB" w:rsidRPr="001D5473">
        <w:t xml:space="preserve">owing </w:t>
      </w:r>
      <w:r w:rsidR="00337855" w:rsidRPr="001D5473">
        <w:t xml:space="preserve">to </w:t>
      </w:r>
      <w:r w:rsidR="00ED575B" w:rsidRPr="00531867">
        <w:t>variations</w:t>
      </w:r>
      <w:r w:rsidR="00ED575B" w:rsidRPr="001D5473">
        <w:t xml:space="preserve"> </w:t>
      </w:r>
      <w:r w:rsidR="00BB7F0A" w:rsidRPr="001D5473">
        <w:t xml:space="preserve">in </w:t>
      </w:r>
      <w:r w:rsidR="00337855" w:rsidRPr="001D5473">
        <w:t xml:space="preserve">local biodiversity, the removal of </w:t>
      </w:r>
      <w:r w:rsidR="0007148A" w:rsidRPr="00531867">
        <w:t xml:space="preserve">those </w:t>
      </w:r>
      <w:r w:rsidR="00337855" w:rsidRPr="001D5473">
        <w:t>subsidies would have different implications for different countries.</w:t>
      </w:r>
    </w:p>
    <w:p w14:paraId="007CA996" w14:textId="5119EBAF" w:rsidR="006A475C" w:rsidRPr="001D5473" w:rsidRDefault="00CB133F" w:rsidP="00F31A26">
      <w:pPr>
        <w:pStyle w:val="Para1"/>
      </w:pPr>
      <w:r w:rsidRPr="001D5473">
        <w:t>She also noted that fossil fuels account</w:t>
      </w:r>
      <w:r w:rsidR="002944D9" w:rsidRPr="001D5473">
        <w:t>ed</w:t>
      </w:r>
      <w:r w:rsidRPr="001D5473">
        <w:t xml:space="preserve"> for a large part of nature</w:t>
      </w:r>
      <w:r w:rsidR="00245957" w:rsidRPr="001D5473">
        <w:t>-</w:t>
      </w:r>
      <w:r w:rsidRPr="001D5473">
        <w:t xml:space="preserve">negative public finance flows. UNEP </w:t>
      </w:r>
      <w:r w:rsidR="002944D9" w:rsidRPr="001D5473">
        <w:t xml:space="preserve">was </w:t>
      </w:r>
      <w:r w:rsidRPr="001D5473">
        <w:t xml:space="preserve">the custodian </w:t>
      </w:r>
      <w:r w:rsidR="00844D44" w:rsidRPr="001D5473">
        <w:t xml:space="preserve">of </w:t>
      </w:r>
      <w:r w:rsidRPr="001D5473">
        <w:t xml:space="preserve">the indicator </w:t>
      </w:r>
      <w:r w:rsidR="001F7300" w:rsidRPr="001D5473">
        <w:t>under the Sustainable Development Goal reporting process</w:t>
      </w:r>
      <w:r w:rsidR="001F7300" w:rsidRPr="001D5473" w:rsidDel="008B71D8">
        <w:t xml:space="preserve"> </w:t>
      </w:r>
      <w:r w:rsidR="008B71D8" w:rsidRPr="001D5473">
        <w:t xml:space="preserve">for </w:t>
      </w:r>
      <w:r w:rsidRPr="001D5473">
        <w:t xml:space="preserve">measuring the amount of fossil fuels subsidies per unit of </w:t>
      </w:r>
      <w:r w:rsidR="00763BDC" w:rsidRPr="001D5473">
        <w:t>gross domestic product</w:t>
      </w:r>
      <w:r w:rsidRPr="001D5473">
        <w:t xml:space="preserve"> and ha</w:t>
      </w:r>
      <w:r w:rsidR="0042539D" w:rsidRPr="001D5473">
        <w:t>d</w:t>
      </w:r>
      <w:r w:rsidRPr="001D5473">
        <w:t xml:space="preserve"> developed</w:t>
      </w:r>
      <w:r w:rsidR="00B125F2" w:rsidRPr="001D5473">
        <w:t>, together with OECD and the International Institute for Sustainable Development,</w:t>
      </w:r>
      <w:r w:rsidRPr="001D5473">
        <w:t xml:space="preserve"> a methodology </w:t>
      </w:r>
      <w:r w:rsidR="00EB362B" w:rsidRPr="001D5473">
        <w:t>for</w:t>
      </w:r>
      <w:r w:rsidRPr="001D5473">
        <w:t xml:space="preserve"> measuring and reporting </w:t>
      </w:r>
      <w:r w:rsidR="00A65498" w:rsidRPr="001D5473">
        <w:t xml:space="preserve">on </w:t>
      </w:r>
      <w:r w:rsidRPr="001D5473">
        <w:t>th</w:t>
      </w:r>
      <w:r w:rsidR="00832574" w:rsidRPr="001D5473">
        <w:t>at</w:t>
      </w:r>
      <w:r w:rsidRPr="001D5473">
        <w:t xml:space="preserve"> indicator</w:t>
      </w:r>
      <w:r w:rsidR="00B125F2" w:rsidRPr="001D5473">
        <w:t>.</w:t>
      </w:r>
      <w:r w:rsidRPr="001D5473">
        <w:t xml:space="preserve"> </w:t>
      </w:r>
      <w:r w:rsidR="00AB69AB" w:rsidRPr="00531867">
        <w:t>Under t</w:t>
      </w:r>
      <w:r w:rsidRPr="001D5473">
        <w:t>he methodology</w:t>
      </w:r>
      <w:r w:rsidR="00AB69AB" w:rsidRPr="00531867">
        <w:t>,</w:t>
      </w:r>
      <w:r w:rsidRPr="001D5473">
        <w:t xml:space="preserve"> </w:t>
      </w:r>
      <w:r w:rsidR="001C177D">
        <w:t>three</w:t>
      </w:r>
      <w:r w:rsidR="001C177D" w:rsidRPr="001D5473">
        <w:t xml:space="preserve"> </w:t>
      </w:r>
      <w:r w:rsidRPr="001D5473">
        <w:t xml:space="preserve">types of fossil fuel subsidies </w:t>
      </w:r>
      <w:r w:rsidR="00504F01" w:rsidRPr="00531867">
        <w:t xml:space="preserve">were identified for reporting on: </w:t>
      </w:r>
      <w:r w:rsidRPr="001D5473">
        <w:t>direct transfer</w:t>
      </w:r>
      <w:r w:rsidR="00DA3B77" w:rsidRPr="001D5473">
        <w:t>s</w:t>
      </w:r>
      <w:r w:rsidRPr="001D5473">
        <w:t xml:space="preserve"> of government funds</w:t>
      </w:r>
      <w:r w:rsidR="00DA3B77" w:rsidRPr="001D5473">
        <w:t>;</w:t>
      </w:r>
      <w:r w:rsidRPr="001D5473">
        <w:t xml:space="preserve"> induced transfers, </w:t>
      </w:r>
      <w:proofErr w:type="gramStart"/>
      <w:r w:rsidRPr="001D5473">
        <w:t>tax</w:t>
      </w:r>
      <w:proofErr w:type="gramEnd"/>
      <w:r w:rsidRPr="001D5473">
        <w:t xml:space="preserve"> and expenditure</w:t>
      </w:r>
      <w:r w:rsidR="00DA3B77" w:rsidRPr="001D5473">
        <w:t>;</w:t>
      </w:r>
      <w:r w:rsidRPr="001D5473">
        <w:t xml:space="preserve"> and transfer of risks to the </w:t>
      </w:r>
      <w:r w:rsidR="002A5BC5" w:rsidRPr="001D5473">
        <w:t>G</w:t>
      </w:r>
      <w:r w:rsidRPr="001D5473">
        <w:t xml:space="preserve">overnment. Only the first two </w:t>
      </w:r>
      <w:r w:rsidR="00813E6C" w:rsidRPr="001D5473">
        <w:t xml:space="preserve">were </w:t>
      </w:r>
      <w:r w:rsidRPr="001D5473">
        <w:t>compulsory when reporting. Between 2022 and 2023, 21</w:t>
      </w:r>
      <w:r w:rsidR="002A5BC5" w:rsidRPr="001D5473">
        <w:t> </w:t>
      </w:r>
      <w:r w:rsidRPr="001D5473">
        <w:t>countries</w:t>
      </w:r>
      <w:r w:rsidR="003A6862" w:rsidRPr="001D5473">
        <w:t>,</w:t>
      </w:r>
      <w:r w:rsidRPr="001D5473">
        <w:t xml:space="preserve"> </w:t>
      </w:r>
      <w:r w:rsidR="003A6862" w:rsidRPr="001D5473">
        <w:t xml:space="preserve">mostly </w:t>
      </w:r>
      <w:r w:rsidRPr="001D5473">
        <w:t>OECD countries</w:t>
      </w:r>
      <w:r w:rsidR="003A6862" w:rsidRPr="001D5473">
        <w:t xml:space="preserve">, had responded to the </w:t>
      </w:r>
      <w:r w:rsidR="00B20CCE" w:rsidRPr="00531867">
        <w:t xml:space="preserve">reporting </w:t>
      </w:r>
      <w:r w:rsidR="003A6862" w:rsidRPr="001D5473">
        <w:t xml:space="preserve">request </w:t>
      </w:r>
      <w:r w:rsidR="00B20CCE" w:rsidRPr="00531867">
        <w:t xml:space="preserve">from </w:t>
      </w:r>
      <w:r w:rsidR="003A6862" w:rsidRPr="001D5473">
        <w:t>UNEP</w:t>
      </w:r>
      <w:r w:rsidR="00B20CCE" w:rsidRPr="00531867">
        <w:t>.</w:t>
      </w:r>
      <w:r w:rsidR="003A6862" w:rsidRPr="001D5473">
        <w:t xml:space="preserve"> </w:t>
      </w:r>
      <w:r w:rsidRPr="001D5473">
        <w:t>There w</w:t>
      </w:r>
      <w:r w:rsidR="00CD6EC5" w:rsidRPr="001D5473">
        <w:t>ere</w:t>
      </w:r>
      <w:r w:rsidRPr="001D5473">
        <w:t xml:space="preserve"> some discrepanc</w:t>
      </w:r>
      <w:r w:rsidR="00CD6EC5" w:rsidRPr="001D5473">
        <w:t>ies</w:t>
      </w:r>
      <w:r w:rsidRPr="001D5473">
        <w:t xml:space="preserve"> between </w:t>
      </w:r>
      <w:r w:rsidR="00576131" w:rsidRPr="001D5473">
        <w:t xml:space="preserve">the data reported </w:t>
      </w:r>
      <w:r w:rsidR="00B20CCE" w:rsidRPr="00531867">
        <w:t xml:space="preserve">to UNEP </w:t>
      </w:r>
      <w:r w:rsidR="00225B26" w:rsidRPr="001D5473">
        <w:t xml:space="preserve">by </w:t>
      </w:r>
      <w:r w:rsidRPr="001D5473">
        <w:t xml:space="preserve">some countries and what they </w:t>
      </w:r>
      <w:r w:rsidR="00BE0145" w:rsidRPr="001D5473">
        <w:t xml:space="preserve">had </w:t>
      </w:r>
      <w:r w:rsidRPr="001D5473">
        <w:t xml:space="preserve">reported </w:t>
      </w:r>
      <w:r w:rsidR="00BE0145" w:rsidRPr="001D5473">
        <w:t xml:space="preserve">through </w:t>
      </w:r>
      <w:r w:rsidR="00A36045">
        <w:t>a</w:t>
      </w:r>
      <w:r w:rsidR="00A36045" w:rsidRPr="001D5473">
        <w:t xml:space="preserve"> </w:t>
      </w:r>
      <w:r w:rsidRPr="001D5473">
        <w:t>global database. The technical difficulties encountered by countries include</w:t>
      </w:r>
      <w:r w:rsidR="000B6DDC" w:rsidRPr="001D5473">
        <w:t>d</w:t>
      </w:r>
      <w:r w:rsidRPr="001D5473">
        <w:t xml:space="preserve"> scattered data, lack of in-house expertise and methodological disagreements.</w:t>
      </w:r>
    </w:p>
    <w:p w14:paraId="17F3B378" w14:textId="2DCC0AE7" w:rsidR="00302F3D" w:rsidRPr="001D5473" w:rsidRDefault="002F5F2E" w:rsidP="00F31A26">
      <w:pPr>
        <w:pStyle w:val="Para1"/>
      </w:pPr>
      <w:r w:rsidRPr="001D5473">
        <w:t>The</w:t>
      </w:r>
      <w:r w:rsidR="00E91AC3" w:rsidRPr="001D5473">
        <w:t xml:space="preserve"> representative of </w:t>
      </w:r>
      <w:r w:rsidR="00EE72CD" w:rsidRPr="001D5473">
        <w:t xml:space="preserve">OECD </w:t>
      </w:r>
      <w:r w:rsidR="007C5EC2" w:rsidRPr="001D5473">
        <w:t xml:space="preserve">gave a </w:t>
      </w:r>
      <w:r w:rsidR="00EE72CD" w:rsidRPr="001D5473">
        <w:t>present</w:t>
      </w:r>
      <w:r w:rsidR="007C5EC2" w:rsidRPr="001D5473">
        <w:t>ation</w:t>
      </w:r>
      <w:r w:rsidR="00EE72CD" w:rsidRPr="001D5473">
        <w:t xml:space="preserve"> </w:t>
      </w:r>
      <w:r w:rsidR="007C5EC2" w:rsidRPr="001D5473">
        <w:t xml:space="preserve">on </w:t>
      </w:r>
      <w:r w:rsidR="00EE72CD" w:rsidRPr="001D5473">
        <w:t>relevant OECD work for monitoring progress towards headline indicator 18.2</w:t>
      </w:r>
      <w:r w:rsidR="00EF5A1A" w:rsidRPr="001D5473">
        <w:t>.</w:t>
      </w:r>
      <w:r w:rsidR="00EE72CD" w:rsidRPr="001D5473">
        <w:t xml:space="preserve"> He noted the </w:t>
      </w:r>
      <w:r w:rsidR="00E0656B" w:rsidRPr="00531867">
        <w:t>various</w:t>
      </w:r>
      <w:r w:rsidR="00E0656B" w:rsidRPr="001D5473">
        <w:t xml:space="preserve"> </w:t>
      </w:r>
      <w:r w:rsidR="00EE72CD" w:rsidRPr="001D5473">
        <w:t xml:space="preserve">existing definitions of subsidies and the </w:t>
      </w:r>
      <w:r w:rsidR="00E0656B" w:rsidRPr="00531867">
        <w:t>various</w:t>
      </w:r>
      <w:r w:rsidR="00E0656B" w:rsidRPr="001D5473">
        <w:t xml:space="preserve"> </w:t>
      </w:r>
      <w:r w:rsidR="00EE72CD" w:rsidRPr="001D5473">
        <w:t>approaches to categorizing a subsidy as harmful to biodiversity. OECD use</w:t>
      </w:r>
      <w:r w:rsidR="008561C2" w:rsidRPr="001D5473">
        <w:t>d</w:t>
      </w:r>
      <w:r w:rsidR="00EE72CD" w:rsidRPr="001D5473">
        <w:t xml:space="preserve"> the word “support”</w:t>
      </w:r>
      <w:r w:rsidR="00EF5A1A" w:rsidRPr="001D5473">
        <w:t>,</w:t>
      </w:r>
      <w:r w:rsidR="00EE72CD" w:rsidRPr="001D5473">
        <w:t xml:space="preserve"> which </w:t>
      </w:r>
      <w:r w:rsidR="00337C12" w:rsidRPr="001D5473">
        <w:t xml:space="preserve">could </w:t>
      </w:r>
      <w:r w:rsidR="00EE72CD" w:rsidRPr="001D5473">
        <w:t xml:space="preserve">be understood as “transfers from </w:t>
      </w:r>
      <w:r w:rsidR="00DF0F0A" w:rsidRPr="00531867">
        <w:t>G</w:t>
      </w:r>
      <w:r w:rsidR="00EE72CD" w:rsidRPr="001D5473">
        <w:t>overnments</w:t>
      </w:r>
      <w:r w:rsidR="007A30E5">
        <w:t>, at all levels,</w:t>
      </w:r>
      <w:r w:rsidR="00EE72CD" w:rsidRPr="001D5473">
        <w:t xml:space="preserve"> to domestic producers, arising from </w:t>
      </w:r>
      <w:r w:rsidR="00A55358" w:rsidRPr="001D5473">
        <w:t>G</w:t>
      </w:r>
      <w:r w:rsidR="00EE72CD" w:rsidRPr="001D5473">
        <w:t>overnments</w:t>
      </w:r>
      <w:r w:rsidR="00F57E3E" w:rsidRPr="001D5473">
        <w:t>’</w:t>
      </w:r>
      <w:r w:rsidR="00EE72CD" w:rsidRPr="001D5473">
        <w:t xml:space="preserve"> policies</w:t>
      </w:r>
      <w:r w:rsidR="00E43524" w:rsidRPr="001D5473">
        <w:t>,</w:t>
      </w:r>
      <w:r w:rsidR="00EE72CD" w:rsidRPr="001D5473">
        <w:t xml:space="preserve"> </w:t>
      </w:r>
      <w:r w:rsidR="00E43524" w:rsidRPr="001D5473">
        <w:t xml:space="preserve">that </w:t>
      </w:r>
      <w:r w:rsidR="00EE72CD" w:rsidRPr="001D5473">
        <w:t>may be budgetary or non-budgetary in nature”</w:t>
      </w:r>
      <w:r w:rsidR="00E43524" w:rsidRPr="001D5473">
        <w:t>.</w:t>
      </w:r>
      <w:r w:rsidR="00EE72CD" w:rsidRPr="001D5473">
        <w:t xml:space="preserve"> He explained that OECD collect</w:t>
      </w:r>
      <w:r w:rsidR="00AD65E9" w:rsidRPr="001D5473">
        <w:t>ed</w:t>
      </w:r>
      <w:r w:rsidR="00EE72CD" w:rsidRPr="001D5473">
        <w:t xml:space="preserve"> data on government subsidies across three main areas: agriculture, </w:t>
      </w:r>
      <w:proofErr w:type="gramStart"/>
      <w:r w:rsidR="00EE72CD" w:rsidRPr="001D5473">
        <w:t>fisheries</w:t>
      </w:r>
      <w:proofErr w:type="gramEnd"/>
      <w:r w:rsidR="00EE72CD" w:rsidRPr="001D5473">
        <w:t xml:space="preserve"> and fossil fuels. In response to points raised by the </w:t>
      </w:r>
      <w:r w:rsidR="0047177C" w:rsidRPr="001D5473">
        <w:t>Technical Expert Group</w:t>
      </w:r>
      <w:r w:rsidR="00EE72CD" w:rsidRPr="001D5473">
        <w:t xml:space="preserve">, </w:t>
      </w:r>
      <w:r w:rsidR="008D026A" w:rsidRPr="001D5473">
        <w:t xml:space="preserve">he </w:t>
      </w:r>
      <w:r w:rsidR="00EE72CD" w:rsidRPr="001D5473">
        <w:t>explained that a decline in value of</w:t>
      </w:r>
      <w:r w:rsidR="008D026A" w:rsidRPr="001D5473">
        <w:t>,</w:t>
      </w:r>
      <w:r w:rsidR="00EE72CD" w:rsidRPr="001D5473">
        <w:t xml:space="preserve"> </w:t>
      </w:r>
      <w:r w:rsidR="008D026A" w:rsidRPr="001D5473">
        <w:t xml:space="preserve">for example, </w:t>
      </w:r>
      <w:r w:rsidR="00EE72CD" w:rsidRPr="001D5473">
        <w:t>fossil fuel support and potentially most environmentally harmful agricultural producer support d</w:t>
      </w:r>
      <w:r w:rsidR="00C542F7" w:rsidRPr="001D5473">
        <w:t>id</w:t>
      </w:r>
      <w:r w:rsidR="00EE72CD" w:rsidRPr="001D5473">
        <w:t xml:space="preserve"> not necessarily represent policy interventions to eliminate, phase out or reform harmful incentives. It could, </w:t>
      </w:r>
      <w:r w:rsidR="00C47F94" w:rsidRPr="00531867">
        <w:t>instead</w:t>
      </w:r>
      <w:r w:rsidR="00EE72CD" w:rsidRPr="001D5473">
        <w:t>, represent fluctuations in commodity prices (e.g. oil prices) or spending cycles</w:t>
      </w:r>
      <w:r w:rsidR="000D061F" w:rsidRPr="001D5473">
        <w:t xml:space="preserve">. </w:t>
      </w:r>
    </w:p>
    <w:p w14:paraId="1A5A406B" w14:textId="444C28A0" w:rsidR="00302F3D" w:rsidRPr="001D5473" w:rsidRDefault="00942161" w:rsidP="00F31A26">
      <w:pPr>
        <w:pStyle w:val="Para1"/>
      </w:pPr>
      <w:proofErr w:type="gramStart"/>
      <w:r w:rsidRPr="001D5473">
        <w:lastRenderedPageBreak/>
        <w:t>With regard to</w:t>
      </w:r>
      <w:proofErr w:type="gramEnd"/>
      <w:r w:rsidR="0014371A" w:rsidRPr="001D5473">
        <w:t xml:space="preserve"> agriculture, </w:t>
      </w:r>
      <w:r w:rsidR="00626C8A" w:rsidRPr="00531867">
        <w:t xml:space="preserve">the representative said that </w:t>
      </w:r>
      <w:r w:rsidR="0014371A" w:rsidRPr="001D5473">
        <w:t>OECD monitor</w:t>
      </w:r>
      <w:r w:rsidR="00945FA5" w:rsidRPr="001D5473">
        <w:t>ed</w:t>
      </w:r>
      <w:r w:rsidR="0014371A" w:rsidRPr="001D5473">
        <w:t xml:space="preserve"> agricultur</w:t>
      </w:r>
      <w:r w:rsidR="00675BEE" w:rsidRPr="001D5473">
        <w:t>al</w:t>
      </w:r>
      <w:r w:rsidR="0014371A" w:rsidRPr="001D5473">
        <w:t xml:space="preserve"> support policies </w:t>
      </w:r>
      <w:r w:rsidR="00675BEE" w:rsidRPr="001D5473">
        <w:t xml:space="preserve">in </w:t>
      </w:r>
      <w:r w:rsidR="0014371A" w:rsidRPr="001D5473">
        <w:t>54</w:t>
      </w:r>
      <w:r w:rsidR="00675BEE" w:rsidRPr="001D5473">
        <w:t> </w:t>
      </w:r>
      <w:r w:rsidR="0014371A" w:rsidRPr="001D5473">
        <w:t xml:space="preserve">countries. The annual </w:t>
      </w:r>
      <w:r w:rsidR="004352B7" w:rsidRPr="001D5473">
        <w:t xml:space="preserve">OECD </w:t>
      </w:r>
      <w:r w:rsidR="0014371A" w:rsidRPr="001D5473">
        <w:t>agricultural policy monitoring and evaluation report cover</w:t>
      </w:r>
      <w:r w:rsidR="00AE758B" w:rsidRPr="001D5473">
        <w:t>ed</w:t>
      </w:r>
      <w:r w:rsidR="0014371A" w:rsidRPr="001D5473">
        <w:t xml:space="preserve"> agricultural policy changes and monetary transfers to the agricultural sector. The data provide</w:t>
      </w:r>
      <w:r w:rsidR="00AE758B" w:rsidRPr="001D5473">
        <w:t>d</w:t>
      </w:r>
      <w:r w:rsidR="0014371A" w:rsidRPr="001D5473">
        <w:t xml:space="preserve"> a picture of the different </w:t>
      </w:r>
      <w:r w:rsidR="00C85FF4" w:rsidRPr="001D5473">
        <w:t xml:space="preserve">types of </w:t>
      </w:r>
      <w:r w:rsidR="0014371A" w:rsidRPr="001D5473">
        <w:t xml:space="preserve">government support </w:t>
      </w:r>
      <w:r w:rsidR="00A97211" w:rsidRPr="00531867">
        <w:t>for</w:t>
      </w:r>
      <w:r w:rsidR="0014371A" w:rsidRPr="001D5473">
        <w:t xml:space="preserve"> the agricultural sector, </w:t>
      </w:r>
      <w:r w:rsidR="002B4A83" w:rsidRPr="001D5473">
        <w:t>of which</w:t>
      </w:r>
      <w:r w:rsidR="0014371A" w:rsidRPr="001D5473">
        <w:t xml:space="preserve"> producers</w:t>
      </w:r>
      <w:r w:rsidR="002B4A83" w:rsidRPr="001D5473">
        <w:t xml:space="preserve"> were the main beneficiaries</w:t>
      </w:r>
      <w:r w:rsidR="0014371A" w:rsidRPr="001D5473">
        <w:t>. Agricultur</w:t>
      </w:r>
      <w:r w:rsidR="00167C33" w:rsidRPr="001D5473">
        <w:t>al</w:t>
      </w:r>
      <w:r w:rsidR="0014371A" w:rsidRPr="001D5473">
        <w:t xml:space="preserve"> producer support that </w:t>
      </w:r>
      <w:r w:rsidR="00EB6F3C" w:rsidRPr="001D5473">
        <w:t xml:space="preserve">was </w:t>
      </w:r>
      <w:r w:rsidR="0014371A" w:rsidRPr="001D5473">
        <w:t>market</w:t>
      </w:r>
      <w:r w:rsidR="00F40EAC" w:rsidRPr="001D5473">
        <w:t>-</w:t>
      </w:r>
      <w:r w:rsidR="0014371A" w:rsidRPr="001D5473">
        <w:t xml:space="preserve">distorting </w:t>
      </w:r>
      <w:r w:rsidR="001C177D">
        <w:t xml:space="preserve">could </w:t>
      </w:r>
      <w:r w:rsidR="00D35AD5" w:rsidRPr="001D5473">
        <w:t xml:space="preserve">also </w:t>
      </w:r>
      <w:r w:rsidR="0014371A" w:rsidRPr="001D5473">
        <w:t xml:space="preserve">potentially </w:t>
      </w:r>
      <w:r w:rsidR="001C177D">
        <w:t xml:space="preserve">be </w:t>
      </w:r>
      <w:r w:rsidR="00D35AD5" w:rsidRPr="001D5473">
        <w:t xml:space="preserve">the </w:t>
      </w:r>
      <w:r w:rsidR="0014371A" w:rsidRPr="001D5473">
        <w:t xml:space="preserve">most environmentally harmful. </w:t>
      </w:r>
      <w:r w:rsidR="00E55F34" w:rsidRPr="001D5473">
        <w:t xml:space="preserve">It </w:t>
      </w:r>
      <w:r w:rsidR="0014371A" w:rsidRPr="001D5473">
        <w:t>include</w:t>
      </w:r>
      <w:r w:rsidR="00053D9A" w:rsidRPr="001D5473">
        <w:t>d</w:t>
      </w:r>
      <w:r w:rsidR="0014371A" w:rsidRPr="001D5473">
        <w:t xml:space="preserve"> market price support, output subsidies</w:t>
      </w:r>
      <w:r w:rsidR="002824B9">
        <w:t>,</w:t>
      </w:r>
      <w:r w:rsidR="0014371A" w:rsidRPr="001D5473">
        <w:t xml:space="preserve"> and variable input subsidies without constraints</w:t>
      </w:r>
      <w:r w:rsidR="00302F3D" w:rsidRPr="001D5473">
        <w:t>.</w:t>
      </w:r>
    </w:p>
    <w:p w14:paraId="728497A1" w14:textId="1EAB4A7D" w:rsidR="009922ED" w:rsidRPr="001D5473" w:rsidRDefault="00942161" w:rsidP="00F31A26">
      <w:pPr>
        <w:pStyle w:val="Para1"/>
      </w:pPr>
      <w:proofErr w:type="gramStart"/>
      <w:r w:rsidRPr="001D5473">
        <w:t>With regard to</w:t>
      </w:r>
      <w:proofErr w:type="gramEnd"/>
      <w:r w:rsidRPr="001D5473">
        <w:t xml:space="preserve"> </w:t>
      </w:r>
      <w:r w:rsidR="009922ED" w:rsidRPr="001D5473">
        <w:t xml:space="preserve">fisheries, </w:t>
      </w:r>
      <w:r w:rsidR="008E78C8" w:rsidRPr="00531867">
        <w:t xml:space="preserve">the representative said that </w:t>
      </w:r>
      <w:r w:rsidR="009922ED" w:rsidRPr="001D5473">
        <w:t>OECD gather</w:t>
      </w:r>
      <w:r w:rsidR="00014355" w:rsidRPr="001D5473">
        <w:t>ed</w:t>
      </w:r>
      <w:r w:rsidR="009922ED" w:rsidRPr="001D5473">
        <w:t xml:space="preserve"> data on fisheries support </w:t>
      </w:r>
      <w:r w:rsidR="005B2FC7" w:rsidRPr="001D5473">
        <w:t xml:space="preserve">in </w:t>
      </w:r>
      <w:r w:rsidR="009922ED" w:rsidRPr="001D5473">
        <w:t>40</w:t>
      </w:r>
      <w:r w:rsidR="00976FB3" w:rsidRPr="001D5473">
        <w:t> </w:t>
      </w:r>
      <w:r w:rsidR="009922ED" w:rsidRPr="001D5473">
        <w:t>countries, which represent</w:t>
      </w:r>
      <w:r w:rsidR="00014355" w:rsidRPr="001D5473">
        <w:t>ed</w:t>
      </w:r>
      <w:r w:rsidR="009922ED" w:rsidRPr="001D5473">
        <w:t xml:space="preserve"> 90</w:t>
      </w:r>
      <w:r w:rsidR="00014355" w:rsidRPr="001D5473">
        <w:t xml:space="preserve"> per cent</w:t>
      </w:r>
      <w:r w:rsidR="009922ED" w:rsidRPr="001D5473">
        <w:t xml:space="preserve"> of global capture fisheries production. The Fisheries Support Estimate database include</w:t>
      </w:r>
      <w:r w:rsidR="00D970E9" w:rsidRPr="001D5473">
        <w:t>d</w:t>
      </w:r>
      <w:r w:rsidR="009922ED" w:rsidRPr="001D5473">
        <w:t xml:space="preserve"> information on support </w:t>
      </w:r>
      <w:r w:rsidR="00A97211" w:rsidRPr="00531867">
        <w:t xml:space="preserve">for </w:t>
      </w:r>
      <w:r w:rsidR="009922ED" w:rsidRPr="001D5473">
        <w:t xml:space="preserve">the </w:t>
      </w:r>
      <w:r w:rsidR="00170DA3" w:rsidRPr="001D5473">
        <w:t xml:space="preserve">fisheries </w:t>
      </w:r>
      <w:r w:rsidR="009922ED" w:rsidRPr="001D5473">
        <w:t xml:space="preserve">sector, the nature of policies, the amounts spent or collected by </w:t>
      </w:r>
      <w:r w:rsidR="00D970E9" w:rsidRPr="001D5473">
        <w:t>G</w:t>
      </w:r>
      <w:r w:rsidR="009922ED" w:rsidRPr="001D5473">
        <w:t>overnment</w:t>
      </w:r>
      <w:r w:rsidR="00170DA3" w:rsidRPr="001D5473">
        <w:t>s</w:t>
      </w:r>
      <w:r w:rsidR="009922ED" w:rsidRPr="001D5473">
        <w:t xml:space="preserve"> </w:t>
      </w:r>
      <w:r w:rsidR="002E5522" w:rsidRPr="001D5473">
        <w:t xml:space="preserve">under </w:t>
      </w:r>
      <w:r w:rsidR="009922ED" w:rsidRPr="001D5473">
        <w:t xml:space="preserve">each policy, </w:t>
      </w:r>
      <w:r w:rsidR="002E5522" w:rsidRPr="001D5473">
        <w:t>on an annual basis</w:t>
      </w:r>
      <w:r w:rsidR="009922ED" w:rsidRPr="001D5473">
        <w:t>, and the key characteristics of those policies. The database cover</w:t>
      </w:r>
      <w:r w:rsidR="00D970E9" w:rsidRPr="001D5473">
        <w:t>ed</w:t>
      </w:r>
      <w:r w:rsidR="009922ED" w:rsidRPr="001D5473">
        <w:t xml:space="preserve"> public support policies target</w:t>
      </w:r>
      <w:r w:rsidR="002E5522" w:rsidRPr="001D5473">
        <w:t>ed</w:t>
      </w:r>
      <w:r w:rsidR="009922ED" w:rsidRPr="001D5473">
        <w:t xml:space="preserve"> </w:t>
      </w:r>
      <w:r w:rsidR="002E5522" w:rsidRPr="001D5473">
        <w:t xml:space="preserve">at </w:t>
      </w:r>
      <w:r w:rsidR="009922ED" w:rsidRPr="001D5473">
        <w:t xml:space="preserve">the fisheries sector, including direct payment to individuals and companies in the fishing sector, </w:t>
      </w:r>
      <w:r w:rsidR="00F07128" w:rsidRPr="001D5473">
        <w:t xml:space="preserve">the </w:t>
      </w:r>
      <w:r w:rsidR="009922ED" w:rsidRPr="001D5473">
        <w:t>public financing of services or investments in infrastructure that benefit</w:t>
      </w:r>
      <w:r w:rsidR="00F07128" w:rsidRPr="001D5473">
        <w:t>ed</w:t>
      </w:r>
      <w:r w:rsidR="009922ED" w:rsidRPr="001D5473">
        <w:t xml:space="preserve"> fisheries, tax concessions and concessional finance. </w:t>
      </w:r>
    </w:p>
    <w:p w14:paraId="4259E12C" w14:textId="209A8F35" w:rsidR="00302F3D" w:rsidRPr="001D5473" w:rsidRDefault="00942161" w:rsidP="00F31A26">
      <w:pPr>
        <w:pStyle w:val="Para1"/>
      </w:pPr>
      <w:proofErr w:type="gramStart"/>
      <w:r w:rsidRPr="001D5473">
        <w:t>With regard to</w:t>
      </w:r>
      <w:proofErr w:type="gramEnd"/>
      <w:r w:rsidRPr="001D5473">
        <w:t xml:space="preserve"> </w:t>
      </w:r>
      <w:r w:rsidR="00E52C96" w:rsidRPr="001D5473">
        <w:t xml:space="preserve">fossil fuels, </w:t>
      </w:r>
      <w:r w:rsidR="008E78C8" w:rsidRPr="00531867">
        <w:t xml:space="preserve">the representative said that </w:t>
      </w:r>
      <w:r w:rsidR="00E52C96" w:rsidRPr="001D5473">
        <w:t>OECD collect</w:t>
      </w:r>
      <w:r w:rsidR="008C2235" w:rsidRPr="001D5473">
        <w:t>ed</w:t>
      </w:r>
      <w:r w:rsidR="00E52C96" w:rsidRPr="001D5473">
        <w:t xml:space="preserve"> data on fossil fuel support </w:t>
      </w:r>
      <w:r w:rsidR="0033775C" w:rsidRPr="001D5473">
        <w:t xml:space="preserve">in </w:t>
      </w:r>
      <w:r w:rsidR="00E52C96" w:rsidRPr="001D5473">
        <w:t>50</w:t>
      </w:r>
      <w:r w:rsidR="00343C57" w:rsidRPr="001D5473">
        <w:t> </w:t>
      </w:r>
      <w:r w:rsidR="00E52C96" w:rsidRPr="001D5473">
        <w:t>countries and cover</w:t>
      </w:r>
      <w:r w:rsidR="008C2235" w:rsidRPr="001D5473">
        <w:t>ed</w:t>
      </w:r>
      <w:r w:rsidR="00E52C96" w:rsidRPr="001D5473">
        <w:t xml:space="preserve"> more than 1</w:t>
      </w:r>
      <w:r w:rsidR="00503717" w:rsidRPr="001D5473">
        <w:t>,</w:t>
      </w:r>
      <w:r w:rsidR="00E52C96" w:rsidRPr="001D5473">
        <w:t xml:space="preserve">300 policies. </w:t>
      </w:r>
      <w:r w:rsidR="0033775C" w:rsidRPr="001D5473">
        <w:t>In addition</w:t>
      </w:r>
      <w:r w:rsidR="00E52C96" w:rsidRPr="001D5473">
        <w:t>, OECD present</w:t>
      </w:r>
      <w:r w:rsidR="008C2235" w:rsidRPr="001D5473">
        <w:t>ed</w:t>
      </w:r>
      <w:r w:rsidR="00E52C96" w:rsidRPr="001D5473">
        <w:t xml:space="preserve"> estimates on fossil fuel support </w:t>
      </w:r>
      <w:r w:rsidR="00C84537" w:rsidRPr="00531867">
        <w:t xml:space="preserve">combined </w:t>
      </w:r>
      <w:r w:rsidR="00E52C96" w:rsidRPr="001D5473">
        <w:t>with estimates</w:t>
      </w:r>
      <w:r w:rsidR="0033775C" w:rsidRPr="001D5473">
        <w:t xml:space="preserve"> from the International Energy Agency</w:t>
      </w:r>
      <w:r w:rsidR="00E52C96" w:rsidRPr="001D5473">
        <w:t xml:space="preserve">, covering a total of 82 economies. </w:t>
      </w:r>
      <w:r w:rsidR="0033775C" w:rsidRPr="001D5473">
        <w:t xml:space="preserve">The </w:t>
      </w:r>
      <w:r w:rsidR="00E52C96" w:rsidRPr="001D5473">
        <w:t xml:space="preserve">OECD Fossil Fuel Support Inventory data </w:t>
      </w:r>
      <w:r w:rsidR="00192D8D" w:rsidRPr="001D5473">
        <w:t xml:space="preserve">were </w:t>
      </w:r>
      <w:r w:rsidR="00E52C96" w:rsidRPr="001D5473">
        <w:t xml:space="preserve">a source of information for reporting on </w:t>
      </w:r>
      <w:r w:rsidR="001F69CF" w:rsidRPr="001D5473">
        <w:t>target</w:t>
      </w:r>
      <w:r w:rsidR="00F21B2A" w:rsidRPr="001D5473">
        <w:t> </w:t>
      </w:r>
      <w:r w:rsidR="00E52C96" w:rsidRPr="001D5473">
        <w:t>12</w:t>
      </w:r>
      <w:r w:rsidR="001F69CF" w:rsidRPr="001D5473">
        <w:t>.</w:t>
      </w:r>
      <w:r w:rsidR="00E52C96" w:rsidRPr="001D5473">
        <w:t>c</w:t>
      </w:r>
      <w:r w:rsidR="00FC251F" w:rsidRPr="001D5473">
        <w:t xml:space="preserve"> of the Sustainable Development Goals</w:t>
      </w:r>
      <w:r w:rsidR="00E52C96" w:rsidRPr="001D5473">
        <w:t xml:space="preserve">. </w:t>
      </w:r>
      <w:r w:rsidR="00760870" w:rsidRPr="001D5473">
        <w:t xml:space="preserve">They were </w:t>
      </w:r>
      <w:r w:rsidR="00E52C96" w:rsidRPr="001D5473">
        <w:t xml:space="preserve">integrated with data from </w:t>
      </w:r>
      <w:r w:rsidR="00810C04" w:rsidRPr="001D5473">
        <w:t xml:space="preserve">the </w:t>
      </w:r>
      <w:r w:rsidR="00A85CDB" w:rsidRPr="001D5473">
        <w:t xml:space="preserve">International </w:t>
      </w:r>
      <w:r w:rsidR="0052034E" w:rsidRPr="001D5473">
        <w:t>Energy Agency</w:t>
      </w:r>
      <w:r w:rsidR="00A85CDB" w:rsidRPr="001D5473">
        <w:t xml:space="preserve"> </w:t>
      </w:r>
      <w:r w:rsidR="00E52C96" w:rsidRPr="001D5473">
        <w:t xml:space="preserve">and </w:t>
      </w:r>
      <w:r w:rsidR="00272480" w:rsidRPr="001D5473">
        <w:t>the International Monetary Fund</w:t>
      </w:r>
      <w:r w:rsidR="0054409E" w:rsidRPr="001D5473">
        <w:t xml:space="preserve"> </w:t>
      </w:r>
      <w:r w:rsidR="00BB4C6C" w:rsidRPr="001D5473">
        <w:t>(</w:t>
      </w:r>
      <w:r w:rsidR="00E52C96" w:rsidRPr="001D5473">
        <w:t>IMF</w:t>
      </w:r>
      <w:r w:rsidR="00BB4C6C" w:rsidRPr="001D5473">
        <w:t>)</w:t>
      </w:r>
      <w:r w:rsidR="00E52C96" w:rsidRPr="001D5473">
        <w:t xml:space="preserve"> in the fossil fuel subsidy tracker, which </w:t>
      </w:r>
      <w:r w:rsidR="00F0520E" w:rsidRPr="001D5473">
        <w:t xml:space="preserve">was </w:t>
      </w:r>
      <w:r w:rsidR="00E52C96" w:rsidRPr="001D5473">
        <w:t xml:space="preserve">designed to track progress on </w:t>
      </w:r>
      <w:r w:rsidR="00C954A3" w:rsidRPr="001D5473">
        <w:t xml:space="preserve">target </w:t>
      </w:r>
      <w:r w:rsidR="00E52C96" w:rsidRPr="001D5473">
        <w:t>12</w:t>
      </w:r>
      <w:r w:rsidR="00C954A3" w:rsidRPr="001D5473">
        <w:t>.</w:t>
      </w:r>
      <w:r w:rsidR="00E52C96" w:rsidRPr="001D5473">
        <w:t>c</w:t>
      </w:r>
      <w:r w:rsidR="00302F3D" w:rsidRPr="001D5473">
        <w:t>.</w:t>
      </w:r>
    </w:p>
    <w:p w14:paraId="77E31F80" w14:textId="37011E3B" w:rsidR="00302F3D" w:rsidRPr="001D5473" w:rsidRDefault="00150E40" w:rsidP="00F31A26">
      <w:pPr>
        <w:pStyle w:val="Para1"/>
      </w:pPr>
      <w:r>
        <w:t>A</w:t>
      </w:r>
      <w:r w:rsidR="00F0520E" w:rsidRPr="001D5473">
        <w:t xml:space="preserve"> representative </w:t>
      </w:r>
      <w:r>
        <w:t>of</w:t>
      </w:r>
      <w:r w:rsidRPr="001D5473">
        <w:t xml:space="preserve"> </w:t>
      </w:r>
      <w:r w:rsidR="00302F3D" w:rsidRPr="001D5473">
        <w:t xml:space="preserve">the Biodiversity Finance Initiative </w:t>
      </w:r>
      <w:r w:rsidR="0063245D" w:rsidRPr="00531867">
        <w:t xml:space="preserve">(BIOFIN) </w:t>
      </w:r>
      <w:r w:rsidR="00302F3D" w:rsidRPr="001D5473">
        <w:t>of the United Nations Development Programme</w:t>
      </w:r>
      <w:r w:rsidR="00F0520E" w:rsidRPr="001D5473">
        <w:t>,</w:t>
      </w:r>
      <w:r w:rsidR="00302F3D" w:rsidRPr="001D5473">
        <w:t xml:space="preserve"> </w:t>
      </w:r>
      <w:r w:rsidR="00F0520E" w:rsidRPr="001D5473">
        <w:t xml:space="preserve">Mariana Bellot, </w:t>
      </w:r>
      <w:r w:rsidR="00C31705" w:rsidRPr="001D5473">
        <w:t xml:space="preserve">gave a </w:t>
      </w:r>
      <w:r w:rsidR="00302F3D" w:rsidRPr="001D5473">
        <w:t>present</w:t>
      </w:r>
      <w:r w:rsidR="00C31705" w:rsidRPr="001D5473">
        <w:t>ation on</w:t>
      </w:r>
      <w:r w:rsidR="00302F3D" w:rsidRPr="001D5473">
        <w:t xml:space="preserve"> </w:t>
      </w:r>
      <w:r w:rsidR="00F17EE7" w:rsidRPr="001D5473">
        <w:t xml:space="preserve">the </w:t>
      </w:r>
      <w:r w:rsidR="00302F3D" w:rsidRPr="001D5473">
        <w:t xml:space="preserve">BIOFIN methodology </w:t>
      </w:r>
      <w:r w:rsidR="00A32255" w:rsidRPr="001D5473">
        <w:t xml:space="preserve">for </w:t>
      </w:r>
      <w:r w:rsidR="00302F3D" w:rsidRPr="001D5473">
        <w:t xml:space="preserve">collecting data on harmful subsidies. She explained that </w:t>
      </w:r>
      <w:r w:rsidR="002706B8" w:rsidRPr="00531867">
        <w:t>the Initiative</w:t>
      </w:r>
      <w:r w:rsidR="00302F3D" w:rsidRPr="001D5473">
        <w:t xml:space="preserve"> currently work</w:t>
      </w:r>
      <w:r w:rsidR="0019710C" w:rsidRPr="001D5473">
        <w:t>ed</w:t>
      </w:r>
      <w:r w:rsidR="00302F3D" w:rsidRPr="001D5473">
        <w:t xml:space="preserve"> with 41</w:t>
      </w:r>
      <w:r w:rsidR="002706B8" w:rsidRPr="00531867">
        <w:t> </w:t>
      </w:r>
      <w:r w:rsidR="00302F3D" w:rsidRPr="001D5473">
        <w:t xml:space="preserve">countries </w:t>
      </w:r>
      <w:r w:rsidR="002548C6" w:rsidRPr="001D5473">
        <w:t>a</w:t>
      </w:r>
      <w:r w:rsidR="00E1378A" w:rsidRPr="00531867">
        <w:t>nd</w:t>
      </w:r>
      <w:r w:rsidR="00302F3D" w:rsidRPr="001D5473">
        <w:t xml:space="preserve"> expected </w:t>
      </w:r>
      <w:r w:rsidR="00036721" w:rsidRPr="00531867">
        <w:t xml:space="preserve">that number </w:t>
      </w:r>
      <w:r w:rsidR="00302F3D" w:rsidRPr="001D5473">
        <w:t>to rise to 91</w:t>
      </w:r>
      <w:r w:rsidR="00B52B26" w:rsidRPr="001D5473">
        <w:t xml:space="preserve"> through a </w:t>
      </w:r>
      <w:r w:rsidR="003C4421" w:rsidRPr="001D5473">
        <w:t xml:space="preserve">project </w:t>
      </w:r>
      <w:r w:rsidR="00B52B26" w:rsidRPr="001D5473">
        <w:t xml:space="preserve">funded </w:t>
      </w:r>
      <w:r w:rsidR="002548C6" w:rsidRPr="001D5473">
        <w:t>by the Global Environment Facility</w:t>
      </w:r>
      <w:r w:rsidR="00302F3D" w:rsidRPr="001D5473">
        <w:t xml:space="preserve">. </w:t>
      </w:r>
      <w:r w:rsidR="00FA238A" w:rsidRPr="001D5473">
        <w:t>The</w:t>
      </w:r>
      <w:r w:rsidR="00302F3D" w:rsidRPr="001D5473">
        <w:t xml:space="preserve"> BIOFIN technical guidance for repurposing subsidies to increase nature or climate benefits could be useful </w:t>
      </w:r>
      <w:r w:rsidR="00772096" w:rsidRPr="001D5473">
        <w:t xml:space="preserve">for </w:t>
      </w:r>
      <w:r w:rsidR="00302F3D" w:rsidRPr="001D5473">
        <w:t>provid</w:t>
      </w:r>
      <w:r w:rsidR="00772096" w:rsidRPr="001D5473">
        <w:t>ing</w:t>
      </w:r>
      <w:r w:rsidR="00302F3D" w:rsidRPr="001D5473">
        <w:t xml:space="preserve"> qualitative data on what the subsidies harmful to biodiversity</w:t>
      </w:r>
      <w:r w:rsidR="00772096" w:rsidRPr="001D5473">
        <w:t xml:space="preserve"> were</w:t>
      </w:r>
      <w:r w:rsidR="00302F3D" w:rsidRPr="001D5473">
        <w:t xml:space="preserve">, where they </w:t>
      </w:r>
      <w:r w:rsidR="00C0043B" w:rsidRPr="001D5473">
        <w:t xml:space="preserve">were granted </w:t>
      </w:r>
      <w:r w:rsidR="00302F3D" w:rsidRPr="001D5473">
        <w:t xml:space="preserve">and </w:t>
      </w:r>
      <w:r w:rsidR="009F3C50">
        <w:t>the geographical areas</w:t>
      </w:r>
      <w:r w:rsidR="009F3C50" w:rsidRPr="00A50663">
        <w:t xml:space="preserve"> </w:t>
      </w:r>
      <w:r w:rsidR="001C177D">
        <w:t>where they were used</w:t>
      </w:r>
      <w:r w:rsidR="00302F3D" w:rsidRPr="001D5473">
        <w:t xml:space="preserve">. </w:t>
      </w:r>
      <w:r w:rsidR="00636F0B" w:rsidRPr="001D5473">
        <w:t xml:space="preserve">The guidance </w:t>
      </w:r>
      <w:r w:rsidR="00302F3D" w:rsidRPr="001D5473">
        <w:t xml:space="preserve">could also </w:t>
      </w:r>
      <w:r w:rsidR="00636F0B" w:rsidRPr="001D5473">
        <w:t xml:space="preserve">be used to </w:t>
      </w:r>
      <w:r w:rsidR="00302F3D" w:rsidRPr="001D5473">
        <w:t>identify potential opportunities for repurposing th</w:t>
      </w:r>
      <w:r w:rsidR="00636F0B" w:rsidRPr="001D5473">
        <w:t>o</w:t>
      </w:r>
      <w:r w:rsidR="00302F3D" w:rsidRPr="001D5473">
        <w:t xml:space="preserve">se subsidies, as specified </w:t>
      </w:r>
      <w:r w:rsidR="007E07E5" w:rsidRPr="001D5473">
        <w:t>i</w:t>
      </w:r>
      <w:r w:rsidR="00302F3D" w:rsidRPr="001D5473">
        <w:t xml:space="preserve">n </w:t>
      </w:r>
      <w:r w:rsidR="007E07E5" w:rsidRPr="001D5473">
        <w:t xml:space="preserve">headline indicator </w:t>
      </w:r>
      <w:r w:rsidR="00302F3D" w:rsidRPr="001D5473">
        <w:t xml:space="preserve">18.2. BIOFIN guidelines on subsidies </w:t>
      </w:r>
      <w:r w:rsidR="003D3FBB" w:rsidRPr="001D5473">
        <w:t xml:space="preserve">were </w:t>
      </w:r>
      <w:r w:rsidR="00302F3D" w:rsidRPr="001D5473">
        <w:t>expected to be published by January 2024.</w:t>
      </w:r>
    </w:p>
    <w:p w14:paraId="55906AB8" w14:textId="1789C40A" w:rsidR="00EF46BE" w:rsidRPr="001D5473" w:rsidRDefault="00EB52FC" w:rsidP="00F31A26">
      <w:pPr>
        <w:pStyle w:val="Para1"/>
      </w:pPr>
      <w:r w:rsidRPr="001D5473">
        <w:t xml:space="preserve">In the subsequent discussion, members noted the need to further explore the BIOFIN, UNEP and OECD methodologies on harmful incentives and how they could be used for reporting on </w:t>
      </w:r>
      <w:r w:rsidR="000A1967" w:rsidRPr="001D5473">
        <w:t xml:space="preserve">headline </w:t>
      </w:r>
      <w:r w:rsidRPr="001D5473">
        <w:t xml:space="preserve">indicator 18.2. The OECD </w:t>
      </w:r>
      <w:r w:rsidR="007862FD" w:rsidRPr="00531867">
        <w:t xml:space="preserve">representative </w:t>
      </w:r>
      <w:r w:rsidRPr="001D5473">
        <w:t xml:space="preserve">also noted that </w:t>
      </w:r>
      <w:r w:rsidR="00282A6B" w:rsidRPr="001D5473">
        <w:t>his organization</w:t>
      </w:r>
      <w:r w:rsidRPr="001D5473">
        <w:t xml:space="preserve"> </w:t>
      </w:r>
      <w:r w:rsidR="00FC2B27" w:rsidRPr="001D5473">
        <w:t xml:space="preserve">had </w:t>
      </w:r>
      <w:r w:rsidRPr="001D5473">
        <w:t xml:space="preserve">released a report on good practice for </w:t>
      </w:r>
      <w:r w:rsidR="00D72237" w:rsidRPr="001D5473">
        <w:t>i</w:t>
      </w:r>
      <w:r w:rsidRPr="001D5473">
        <w:t>dentifying and assessing subsidies and other incentives harmful to biodiversity</w:t>
      </w:r>
      <w:r w:rsidR="00B349A5">
        <w:t>.</w:t>
      </w:r>
      <w:r w:rsidRPr="001D5473">
        <w:t xml:space="preserve"> Capacity</w:t>
      </w:r>
      <w:r w:rsidR="00F22AD8" w:rsidRPr="001D5473">
        <w:noBreakHyphen/>
      </w:r>
      <w:r w:rsidRPr="001D5473">
        <w:t>building needs were also discussed</w:t>
      </w:r>
      <w:r w:rsidR="00A15007" w:rsidRPr="00531867">
        <w:t>,</w:t>
      </w:r>
      <w:r w:rsidRPr="001D5473">
        <w:t xml:space="preserve"> as the issue of increasing coverage across the </w:t>
      </w:r>
      <w:r w:rsidR="00BE23D0" w:rsidRPr="001D5473">
        <w:t xml:space="preserve">various </w:t>
      </w:r>
      <w:r w:rsidRPr="001D5473">
        <w:t xml:space="preserve">methodologies was raised. The </w:t>
      </w:r>
      <w:r w:rsidR="00370388" w:rsidRPr="001D5473">
        <w:t>G</w:t>
      </w:r>
      <w:r w:rsidRPr="001D5473">
        <w:t xml:space="preserve">roup concluded that a hybrid approach </w:t>
      </w:r>
      <w:r w:rsidR="00A15007" w:rsidRPr="00531867">
        <w:t>combining</w:t>
      </w:r>
      <w:r w:rsidR="00A15007" w:rsidRPr="001D5473">
        <w:t xml:space="preserve"> </w:t>
      </w:r>
      <w:r w:rsidRPr="001D5473">
        <w:t>the OECD, UNEP and BIOFIN methodologies could be further explored</w:t>
      </w:r>
      <w:r w:rsidR="00EF46BE" w:rsidRPr="001D5473">
        <w:t>.</w:t>
      </w:r>
      <w:r w:rsidR="008E0B9D" w:rsidRPr="001D5473">
        <w:t xml:space="preserve"> </w:t>
      </w:r>
    </w:p>
    <w:p w14:paraId="7346069A" w14:textId="2600D44B" w:rsidR="00346B66" w:rsidRPr="001D5473" w:rsidRDefault="0027524F" w:rsidP="00F31A26">
      <w:pPr>
        <w:pStyle w:val="Para1"/>
      </w:pPr>
      <w:r w:rsidRPr="001D5473">
        <w:t xml:space="preserve">Participants also discussed how to distinguish the </w:t>
      </w:r>
      <w:r w:rsidR="00F16B34" w:rsidRPr="00531867">
        <w:t xml:space="preserve">impact of the </w:t>
      </w:r>
      <w:r w:rsidRPr="001D5473">
        <w:t xml:space="preserve">reform of harmful subsidies from </w:t>
      </w:r>
      <w:r w:rsidR="00F16B34" w:rsidRPr="00531867">
        <w:t>th</w:t>
      </w:r>
      <w:r w:rsidR="007A14A9">
        <w:t>e impact</w:t>
      </w:r>
      <w:r w:rsidR="00F16B34" w:rsidRPr="00531867">
        <w:t xml:space="preserve"> of </w:t>
      </w:r>
      <w:r w:rsidRPr="001D5473">
        <w:t>external factors</w:t>
      </w:r>
      <w:r w:rsidR="00DA0B34" w:rsidRPr="001D5473">
        <w:t>,</w:t>
      </w:r>
      <w:r w:rsidRPr="001D5473">
        <w:t xml:space="preserve"> such as fluctuating exchange rates and </w:t>
      </w:r>
      <w:r w:rsidR="00DA0B34" w:rsidRPr="001D5473">
        <w:t xml:space="preserve">commodity </w:t>
      </w:r>
      <w:r w:rsidRPr="001D5473">
        <w:t>prices</w:t>
      </w:r>
      <w:r w:rsidR="00DA0B34" w:rsidRPr="001D5473">
        <w:t>.</w:t>
      </w:r>
      <w:r w:rsidRPr="001D5473">
        <w:t xml:space="preserve"> </w:t>
      </w:r>
      <w:r w:rsidR="00CB47D6" w:rsidRPr="001D5473">
        <w:t>They</w:t>
      </w:r>
      <w:r w:rsidRPr="001D5473">
        <w:t xml:space="preserve"> noted that defining what </w:t>
      </w:r>
      <w:r w:rsidR="003F2ABB" w:rsidRPr="001D5473">
        <w:t xml:space="preserve">was </w:t>
      </w:r>
      <w:r w:rsidRPr="001D5473">
        <w:t xml:space="preserve">meant by a “harmful” subsidy </w:t>
      </w:r>
      <w:r w:rsidR="003F2ABB" w:rsidRPr="001D5473">
        <w:t xml:space="preserve">could </w:t>
      </w:r>
      <w:r w:rsidRPr="001D5473">
        <w:t xml:space="preserve">be a challenge, as it </w:t>
      </w:r>
      <w:r w:rsidR="00674C33" w:rsidRPr="001D5473">
        <w:t xml:space="preserve">was </w:t>
      </w:r>
      <w:r w:rsidRPr="001D5473">
        <w:t xml:space="preserve">sometimes difficult to prove </w:t>
      </w:r>
      <w:r w:rsidR="00922FCB" w:rsidRPr="001D5473">
        <w:t xml:space="preserve">that </w:t>
      </w:r>
      <w:r w:rsidRPr="001D5473">
        <w:t xml:space="preserve">a subsidy </w:t>
      </w:r>
      <w:r w:rsidR="00CB47D6" w:rsidRPr="001D5473">
        <w:t>wa</w:t>
      </w:r>
      <w:r w:rsidRPr="001D5473">
        <w:t xml:space="preserve">s harming biodiversity. </w:t>
      </w:r>
      <w:r w:rsidR="003E1077" w:rsidRPr="00531867">
        <w:t xml:space="preserve">A suggestion was made </w:t>
      </w:r>
      <w:r w:rsidRPr="001D5473">
        <w:t xml:space="preserve">to include binary indicators </w:t>
      </w:r>
      <w:r w:rsidR="003257AF" w:rsidRPr="001D5473">
        <w:t xml:space="preserve">on </w:t>
      </w:r>
      <w:r w:rsidRPr="001D5473">
        <w:t>whether measures were taken for identifying harmful incentives or subsidies</w:t>
      </w:r>
      <w:r w:rsidR="006C314E" w:rsidRPr="001D5473">
        <w:t>.</w:t>
      </w:r>
    </w:p>
    <w:p w14:paraId="1D2602E7" w14:textId="14C3DD50" w:rsidR="00124C2E" w:rsidRPr="001D5473" w:rsidRDefault="00124C2E" w:rsidP="00F31A26">
      <w:pPr>
        <w:pStyle w:val="Para1"/>
      </w:pPr>
      <w:r w:rsidRPr="00531867">
        <w:t xml:space="preserve">The </w:t>
      </w:r>
      <w:r w:rsidR="000A1967" w:rsidRPr="00531867">
        <w:t>Technical Expert G</w:t>
      </w:r>
      <w:r w:rsidRPr="00531867">
        <w:t xml:space="preserve">roup agreed that further work on headline indicator 18.2 would be conducted </w:t>
      </w:r>
      <w:r w:rsidR="00BE5336" w:rsidRPr="001D5473">
        <w:t xml:space="preserve">by a dedicated subgroup </w:t>
      </w:r>
      <w:r w:rsidRPr="00531867">
        <w:t>during the intersessional period</w:t>
      </w:r>
      <w:r w:rsidR="00BE5336" w:rsidRPr="00531867">
        <w:t>.</w:t>
      </w:r>
      <w:r w:rsidRPr="00531867">
        <w:t xml:space="preserve"> </w:t>
      </w:r>
    </w:p>
    <w:p w14:paraId="670A8685" w14:textId="390E018E" w:rsidR="0003225A" w:rsidRPr="00112F9E" w:rsidRDefault="00745F44" w:rsidP="00112F9E">
      <w:pPr>
        <w:pStyle w:val="Para1"/>
        <w:numPr>
          <w:ilvl w:val="0"/>
          <w:numId w:val="0"/>
        </w:numPr>
        <w:ind w:left="567"/>
        <w:rPr>
          <w:i/>
          <w:iCs/>
        </w:rPr>
      </w:pPr>
      <w:r w:rsidRPr="00112F9E">
        <w:rPr>
          <w:i/>
          <w:iCs/>
        </w:rPr>
        <w:t xml:space="preserve">Discussion on </w:t>
      </w:r>
      <w:r w:rsidR="005A5BC6" w:rsidRPr="00112F9E">
        <w:rPr>
          <w:i/>
          <w:iCs/>
        </w:rPr>
        <w:t>the component</w:t>
      </w:r>
      <w:r w:rsidR="0096447B" w:rsidRPr="00112F9E">
        <w:rPr>
          <w:i/>
          <w:iCs/>
        </w:rPr>
        <w:t xml:space="preserve"> and complementary</w:t>
      </w:r>
      <w:r w:rsidR="005A5BC6" w:rsidRPr="00112F9E">
        <w:rPr>
          <w:i/>
          <w:iCs/>
        </w:rPr>
        <w:t xml:space="preserve"> indicator</w:t>
      </w:r>
      <w:r w:rsidR="0096447B" w:rsidRPr="00112F9E">
        <w:rPr>
          <w:i/>
          <w:iCs/>
        </w:rPr>
        <w:t>s</w:t>
      </w:r>
      <w:r w:rsidR="005A5BC6" w:rsidRPr="00112F9E">
        <w:rPr>
          <w:i/>
          <w:iCs/>
        </w:rPr>
        <w:t xml:space="preserve"> </w:t>
      </w:r>
      <w:r w:rsidR="00264800" w:rsidRPr="00112F9E">
        <w:rPr>
          <w:i/>
          <w:iCs/>
        </w:rPr>
        <w:t>for</w:t>
      </w:r>
      <w:r w:rsidR="005A5BC6" w:rsidRPr="00112F9E">
        <w:rPr>
          <w:i/>
          <w:iCs/>
        </w:rPr>
        <w:t xml:space="preserve"> </w:t>
      </w:r>
      <w:r w:rsidR="00E555FC" w:rsidRPr="00112F9E">
        <w:rPr>
          <w:i/>
          <w:iCs/>
        </w:rPr>
        <w:t>T</w:t>
      </w:r>
      <w:r w:rsidR="005A5BC6" w:rsidRPr="00112F9E">
        <w:rPr>
          <w:i/>
          <w:iCs/>
        </w:rPr>
        <w:t xml:space="preserve">arget 18 </w:t>
      </w:r>
    </w:p>
    <w:p w14:paraId="4CDDDB0B" w14:textId="1C1DAF4E" w:rsidR="005A5BC6" w:rsidRPr="001D5473" w:rsidRDefault="005A5BC6" w:rsidP="00F31A26">
      <w:pPr>
        <w:pStyle w:val="Para1"/>
      </w:pPr>
      <w:r w:rsidRPr="001D5473">
        <w:t xml:space="preserve">The </w:t>
      </w:r>
      <w:r w:rsidR="009D12D4" w:rsidRPr="001D5473">
        <w:t xml:space="preserve">Technical Expert Group </w:t>
      </w:r>
      <w:r w:rsidRPr="001D5473">
        <w:t xml:space="preserve">noted that the component indicator for Target 18 </w:t>
      </w:r>
      <w:r w:rsidR="00332C72" w:rsidRPr="001D5473">
        <w:t>basically</w:t>
      </w:r>
      <w:r w:rsidRPr="001D5473">
        <w:t xml:space="preserve"> </w:t>
      </w:r>
      <w:r w:rsidR="0099601E" w:rsidRPr="001D5473">
        <w:t xml:space="preserve">used </w:t>
      </w:r>
      <w:r w:rsidRPr="001D5473">
        <w:t xml:space="preserve">the same language as </w:t>
      </w:r>
      <w:r w:rsidR="00190A30" w:rsidRPr="001D5473">
        <w:t xml:space="preserve">the headline indicator for </w:t>
      </w:r>
      <w:r w:rsidR="00EE3649" w:rsidRPr="001D5473">
        <w:t>that t</w:t>
      </w:r>
      <w:r w:rsidR="00190A30" w:rsidRPr="001D5473">
        <w:t>arget</w:t>
      </w:r>
      <w:r w:rsidR="002036D4" w:rsidRPr="00531867">
        <w:t>, and</w:t>
      </w:r>
      <w:r w:rsidR="00190A30" w:rsidRPr="001D5473">
        <w:t xml:space="preserve"> </w:t>
      </w:r>
      <w:r w:rsidR="002036D4" w:rsidRPr="00531867">
        <w:t>t</w:t>
      </w:r>
      <w:r w:rsidR="00713B0E" w:rsidRPr="001D5473">
        <w:t xml:space="preserve">he </w:t>
      </w:r>
      <w:r w:rsidR="00EE3649" w:rsidRPr="001D5473">
        <w:t>G</w:t>
      </w:r>
      <w:r w:rsidR="00890633" w:rsidRPr="001D5473">
        <w:t>roup</w:t>
      </w:r>
      <w:r w:rsidR="00713B0E" w:rsidRPr="001D5473">
        <w:t xml:space="preserve"> decided</w:t>
      </w:r>
      <w:r w:rsidR="00890633" w:rsidRPr="001D5473">
        <w:t xml:space="preserve"> </w:t>
      </w:r>
      <w:r w:rsidR="007059A7" w:rsidRPr="001D5473">
        <w:t xml:space="preserve">that </w:t>
      </w:r>
      <w:r w:rsidR="00890633" w:rsidRPr="001D5473">
        <w:t xml:space="preserve">the monitoring </w:t>
      </w:r>
      <w:r w:rsidR="00890633" w:rsidRPr="001D5473">
        <w:lastRenderedPageBreak/>
        <w:t>framework should</w:t>
      </w:r>
      <w:r w:rsidR="00713B0E" w:rsidRPr="001D5473">
        <w:t xml:space="preserve"> avoid asking countries to report on the same indicator twice</w:t>
      </w:r>
      <w:r w:rsidR="002036D4" w:rsidRPr="00531867">
        <w:t>.</w:t>
      </w:r>
      <w:r w:rsidR="00812860" w:rsidRPr="001D5473">
        <w:t xml:space="preserve"> </w:t>
      </w:r>
      <w:r w:rsidR="001426F7" w:rsidRPr="001D5473">
        <w:t>T</w:t>
      </w:r>
      <w:r w:rsidR="00812860" w:rsidRPr="001D5473">
        <w:t xml:space="preserve">he </w:t>
      </w:r>
      <w:r w:rsidR="00A554A6" w:rsidRPr="001D5473">
        <w:t xml:space="preserve">Group </w:t>
      </w:r>
      <w:r w:rsidR="001426F7" w:rsidRPr="001D5473">
        <w:t xml:space="preserve">therefore </w:t>
      </w:r>
      <w:r w:rsidR="00812860" w:rsidRPr="001D5473">
        <w:t xml:space="preserve">agreed to </w:t>
      </w:r>
      <w:r w:rsidR="00E978FB" w:rsidRPr="001D5473">
        <w:t xml:space="preserve">propose the </w:t>
      </w:r>
      <w:r w:rsidR="00663854" w:rsidRPr="001D5473">
        <w:t>delet</w:t>
      </w:r>
      <w:r w:rsidR="00E978FB" w:rsidRPr="001D5473">
        <w:t>ion of</w:t>
      </w:r>
      <w:r w:rsidR="00663854" w:rsidRPr="001D5473">
        <w:t xml:space="preserve"> the current </w:t>
      </w:r>
      <w:r w:rsidR="00812860" w:rsidRPr="001D5473">
        <w:t xml:space="preserve">component indicator. </w:t>
      </w:r>
    </w:p>
    <w:p w14:paraId="757C737B" w14:textId="25BD7546" w:rsidR="002E0F03" w:rsidRPr="001D5473" w:rsidRDefault="00EA0A11" w:rsidP="00F31A26">
      <w:pPr>
        <w:pStyle w:val="Para1"/>
      </w:pPr>
      <w:r w:rsidRPr="001D5473">
        <w:t xml:space="preserve">The </w:t>
      </w:r>
      <w:r w:rsidR="00A554A6" w:rsidRPr="001D5473">
        <w:t>Technical Expert G</w:t>
      </w:r>
      <w:r w:rsidRPr="001D5473">
        <w:t xml:space="preserve">roup also decided to add a complementary indicator on support (subsidies) </w:t>
      </w:r>
      <w:r w:rsidR="006C5937" w:rsidRPr="00531867">
        <w:t xml:space="preserve">for fisheries </w:t>
      </w:r>
      <w:r w:rsidRPr="001D5473">
        <w:t xml:space="preserve">that </w:t>
      </w:r>
      <w:r w:rsidR="00E74B8F" w:rsidRPr="00531867">
        <w:t>posed</w:t>
      </w:r>
      <w:r w:rsidRPr="001D5473">
        <w:t xml:space="preserve"> a risk of encouraging unsustainable fishing</w:t>
      </w:r>
      <w:r w:rsidR="002E0F03" w:rsidRPr="001D5473">
        <w:t xml:space="preserve">. </w:t>
      </w:r>
    </w:p>
    <w:p w14:paraId="091D1F2C" w14:textId="330D867C" w:rsidR="005179E0" w:rsidRPr="001D5473" w:rsidRDefault="00890633" w:rsidP="00F31A26">
      <w:pPr>
        <w:pStyle w:val="Para1"/>
      </w:pPr>
      <w:r w:rsidRPr="001D5473">
        <w:t>Participants</w:t>
      </w:r>
      <w:r w:rsidR="00235921" w:rsidRPr="001D5473">
        <w:t xml:space="preserve"> </w:t>
      </w:r>
      <w:r w:rsidR="00713B0E" w:rsidRPr="001D5473">
        <w:t>explored the possibility</w:t>
      </w:r>
      <w:r w:rsidR="00D719F2" w:rsidRPr="001D5473">
        <w:t xml:space="preserve"> </w:t>
      </w:r>
      <w:r w:rsidR="00725E7F" w:rsidRPr="001D5473">
        <w:t>of</w:t>
      </w:r>
      <w:r w:rsidR="00D719F2" w:rsidRPr="001D5473">
        <w:t xml:space="preserve"> </w:t>
      </w:r>
      <w:r w:rsidR="00725E7F" w:rsidRPr="001D5473">
        <w:t>requesting</w:t>
      </w:r>
      <w:r w:rsidR="00400C7D" w:rsidRPr="001D5473">
        <w:t xml:space="preserve"> countries to report on the</w:t>
      </w:r>
      <w:r w:rsidR="00713B0E" w:rsidRPr="001D5473">
        <w:t xml:space="preserve"> value of the</w:t>
      </w:r>
      <w:r w:rsidR="00400C7D" w:rsidRPr="001D5473">
        <w:t xml:space="preserve"> three</w:t>
      </w:r>
      <w:r w:rsidR="00713B0E" w:rsidRPr="001D5473">
        <w:t xml:space="preserve"> largest harmful </w:t>
      </w:r>
      <w:r w:rsidR="00CC4605" w:rsidRPr="001D5473">
        <w:t>subsidies</w:t>
      </w:r>
      <w:r w:rsidR="00713B0E" w:rsidRPr="001D5473">
        <w:t xml:space="preserve"> to biodiversity</w:t>
      </w:r>
      <w:r w:rsidR="006F37A4" w:rsidRPr="001D5473">
        <w:t xml:space="preserve"> </w:t>
      </w:r>
      <w:r w:rsidR="00321BBF" w:rsidRPr="001D5473">
        <w:t xml:space="preserve">(i.e. </w:t>
      </w:r>
      <w:r w:rsidR="002649A2" w:rsidRPr="00531867">
        <w:t xml:space="preserve">those for </w:t>
      </w:r>
      <w:r w:rsidR="00321BBF" w:rsidRPr="001D5473">
        <w:t xml:space="preserve">agriculture, </w:t>
      </w:r>
      <w:proofErr w:type="gramStart"/>
      <w:r w:rsidR="00321BBF" w:rsidRPr="001D5473">
        <w:t>fisheries</w:t>
      </w:r>
      <w:proofErr w:type="gramEnd"/>
      <w:r w:rsidR="00321BBF" w:rsidRPr="001D5473">
        <w:t xml:space="preserve"> and fossil fuels)</w:t>
      </w:r>
      <w:r w:rsidR="005607DC" w:rsidRPr="001D5473">
        <w:t>,</w:t>
      </w:r>
      <w:r w:rsidR="00321BBF" w:rsidRPr="001D5473">
        <w:t xml:space="preserve"> </w:t>
      </w:r>
      <w:r w:rsidR="00C5006F" w:rsidRPr="001D5473">
        <w:t xml:space="preserve">as complementary </w:t>
      </w:r>
      <w:r w:rsidR="006F37A4" w:rsidRPr="001D5473">
        <w:t>indicator</w:t>
      </w:r>
      <w:r w:rsidR="00C5006F" w:rsidRPr="001D5473">
        <w:t>s</w:t>
      </w:r>
      <w:r w:rsidR="006F37A4" w:rsidRPr="001D5473">
        <w:t xml:space="preserve"> </w:t>
      </w:r>
      <w:r w:rsidR="005607DC" w:rsidRPr="001D5473">
        <w:t xml:space="preserve">for </w:t>
      </w:r>
      <w:r w:rsidR="006F37A4" w:rsidRPr="001D5473">
        <w:t>Target 18</w:t>
      </w:r>
      <w:r w:rsidR="005607DC" w:rsidRPr="001D5473">
        <w:t>,</w:t>
      </w:r>
      <w:r w:rsidR="005C5674" w:rsidRPr="001D5473">
        <w:t xml:space="preserve"> and agreed to discuss th</w:t>
      </w:r>
      <w:r w:rsidR="00E1513C" w:rsidRPr="001D5473">
        <w:t>e</w:t>
      </w:r>
      <w:r w:rsidR="005C5674" w:rsidRPr="001D5473">
        <w:t xml:space="preserve"> </w:t>
      </w:r>
      <w:r w:rsidR="00E1513C" w:rsidRPr="001D5473">
        <w:t xml:space="preserve">issue </w:t>
      </w:r>
      <w:r w:rsidR="005C5674" w:rsidRPr="001D5473">
        <w:t xml:space="preserve">further during the intersessional </w:t>
      </w:r>
      <w:r w:rsidR="00E1513C" w:rsidRPr="001D5473">
        <w:t>period</w:t>
      </w:r>
      <w:r w:rsidR="005C5674" w:rsidRPr="001D5473">
        <w:t>.</w:t>
      </w:r>
      <w:r w:rsidR="00262313" w:rsidRPr="001D5473">
        <w:t xml:space="preserve"> </w:t>
      </w:r>
    </w:p>
    <w:p w14:paraId="544BF4ED" w14:textId="68306301" w:rsidR="000D061F" w:rsidRPr="001D5473" w:rsidRDefault="00DE6D0D" w:rsidP="00F31A26">
      <w:pPr>
        <w:pStyle w:val="Para1"/>
      </w:pPr>
      <w:r w:rsidRPr="001D5473">
        <w:t xml:space="preserve">The </w:t>
      </w:r>
      <w:r w:rsidR="00261227" w:rsidRPr="001D5473">
        <w:t xml:space="preserve">Technical Expert </w:t>
      </w:r>
      <w:r w:rsidR="00F5351C" w:rsidRPr="001D5473">
        <w:t>G</w:t>
      </w:r>
      <w:r w:rsidRPr="001D5473">
        <w:t>roup noted that th</w:t>
      </w:r>
      <w:r w:rsidR="002401AC" w:rsidRPr="00531867">
        <w:t>os</w:t>
      </w:r>
      <w:r w:rsidRPr="001D5473">
        <w:t xml:space="preserve">e three types of subsidies alone might not be enough to </w:t>
      </w:r>
      <w:r w:rsidR="00D07552" w:rsidRPr="001D5473">
        <w:t xml:space="preserve">cover </w:t>
      </w:r>
      <w:r w:rsidR="00E555FC" w:rsidRPr="001D5473">
        <w:t>T</w:t>
      </w:r>
      <w:r w:rsidRPr="001D5473">
        <w:t>arget 18 in its entirety. Some countries m</w:t>
      </w:r>
      <w:r w:rsidR="00D07552" w:rsidRPr="001D5473">
        <w:t>ight</w:t>
      </w:r>
      <w:r w:rsidRPr="001D5473">
        <w:t xml:space="preserve"> have other types of biodiversity-harmful subsidies that they </w:t>
      </w:r>
      <w:r w:rsidR="00D07552" w:rsidRPr="001D5473">
        <w:t xml:space="preserve">were </w:t>
      </w:r>
      <w:r w:rsidR="008041E8" w:rsidRPr="00531867">
        <w:t xml:space="preserve">in the process of </w:t>
      </w:r>
      <w:r w:rsidRPr="001D5473">
        <w:t>reforming and wish</w:t>
      </w:r>
      <w:r w:rsidR="00D07552" w:rsidRPr="001D5473">
        <w:t>ed</w:t>
      </w:r>
      <w:r w:rsidRPr="001D5473">
        <w:t xml:space="preserve"> to report on</w:t>
      </w:r>
      <w:r w:rsidR="000D061F" w:rsidRPr="001D5473">
        <w:t>.</w:t>
      </w:r>
    </w:p>
    <w:p w14:paraId="3B2D1352" w14:textId="0DBAAEA0" w:rsidR="00DF3482" w:rsidRPr="001D5473" w:rsidRDefault="002D4A32" w:rsidP="00F31A26">
      <w:pPr>
        <w:pStyle w:val="Para1"/>
      </w:pPr>
      <w:r w:rsidRPr="001D5473">
        <w:t>T</w:t>
      </w:r>
      <w:r w:rsidR="0040602C" w:rsidRPr="001D5473">
        <w:t xml:space="preserve">he Technical Expert Group </w:t>
      </w:r>
      <w:r w:rsidR="00BD7AB5" w:rsidRPr="001D5473">
        <w:t>agreed that</w:t>
      </w:r>
      <w:r w:rsidRPr="001D5473">
        <w:t>,</w:t>
      </w:r>
      <w:r w:rsidR="00BD7AB5" w:rsidRPr="001D5473">
        <w:t xml:space="preserve"> </w:t>
      </w:r>
      <w:r w:rsidRPr="001D5473">
        <w:t xml:space="preserve">for simplification purposes, </w:t>
      </w:r>
      <w:r w:rsidR="00BD7AB5" w:rsidRPr="001D5473">
        <w:t>language across indicators</w:t>
      </w:r>
      <w:r w:rsidR="00C95979" w:rsidRPr="00531867">
        <w:t xml:space="preserve"> should be standardized</w:t>
      </w:r>
      <w:r w:rsidRPr="001D5473">
        <w:t>,</w:t>
      </w:r>
      <w:r w:rsidR="00BD7AB5" w:rsidRPr="001D5473">
        <w:t xml:space="preserve"> as far as appropriate. As such, </w:t>
      </w:r>
      <w:r w:rsidRPr="001D5473">
        <w:t xml:space="preserve">it </w:t>
      </w:r>
      <w:r w:rsidR="00BD7AB5" w:rsidRPr="001D5473">
        <w:t>agreed to replace the term “trend” with the term “values”</w:t>
      </w:r>
      <w:r w:rsidRPr="001D5473">
        <w:t>,</w:t>
      </w:r>
      <w:r w:rsidR="00BD7AB5" w:rsidRPr="001D5473">
        <w:t xml:space="preserve"> as applicable, and to </w:t>
      </w:r>
      <w:r w:rsidRPr="001D5473">
        <w:t xml:space="preserve">consider </w:t>
      </w:r>
      <w:r w:rsidR="00BD7AB5" w:rsidRPr="001D5473">
        <w:t>whether it would be appropriate to replace the term “support” with the term “subsidies and incentives</w:t>
      </w:r>
      <w:r w:rsidR="00F32666" w:rsidRPr="001D5473">
        <w:t>”</w:t>
      </w:r>
      <w:r w:rsidR="006E0416" w:rsidRPr="001D5473">
        <w:t>.</w:t>
      </w:r>
    </w:p>
    <w:p w14:paraId="34357F8A" w14:textId="44796249" w:rsidR="00B659B4" w:rsidRPr="001D5473" w:rsidRDefault="00944FC4" w:rsidP="00F31A26">
      <w:pPr>
        <w:pStyle w:val="Para1"/>
      </w:pPr>
      <w:r w:rsidRPr="001D5473">
        <w:t>U</w:t>
      </w:r>
      <w:r w:rsidR="001162BC" w:rsidRPr="001D5473">
        <w:t xml:space="preserve">nder the complementary indicators </w:t>
      </w:r>
      <w:r w:rsidR="00565EB0" w:rsidRPr="00531867">
        <w:t>for</w:t>
      </w:r>
      <w:r w:rsidR="001162BC" w:rsidRPr="001D5473">
        <w:t xml:space="preserve"> </w:t>
      </w:r>
      <w:r w:rsidR="00E555FC" w:rsidRPr="001D5473">
        <w:t>T</w:t>
      </w:r>
      <w:r w:rsidR="001162BC" w:rsidRPr="001D5473">
        <w:t xml:space="preserve">arget 18, </w:t>
      </w:r>
      <w:r w:rsidRPr="001D5473">
        <w:t>t</w:t>
      </w:r>
      <w:r w:rsidR="009F5AE8" w:rsidRPr="001D5473">
        <w:t xml:space="preserve">he </w:t>
      </w:r>
      <w:r w:rsidR="004678D3" w:rsidRPr="001D5473">
        <w:t>Technical Expert G</w:t>
      </w:r>
      <w:r w:rsidR="009F5AE8" w:rsidRPr="001D5473">
        <w:t xml:space="preserve">roup agreed to </w:t>
      </w:r>
      <w:r w:rsidR="001162BC" w:rsidRPr="001D5473">
        <w:t>specify in the language</w:t>
      </w:r>
      <w:r w:rsidR="009F5AE8" w:rsidRPr="001D5473">
        <w:t xml:space="preserve"> </w:t>
      </w:r>
      <w:r w:rsidR="006E0416" w:rsidRPr="001D5473">
        <w:t xml:space="preserve">used </w:t>
      </w:r>
      <w:r w:rsidR="009F5AE8" w:rsidRPr="001D5473">
        <w:t xml:space="preserve">whether </w:t>
      </w:r>
      <w:r w:rsidR="006E0416" w:rsidRPr="001D5473">
        <w:t xml:space="preserve">the </w:t>
      </w:r>
      <w:r w:rsidR="009F5AE8" w:rsidRPr="001D5473">
        <w:t xml:space="preserve">indicators would </w:t>
      </w:r>
      <w:r w:rsidR="00C95021" w:rsidRPr="001D5473">
        <w:t>be global or national.</w:t>
      </w:r>
      <w:r w:rsidR="00947128" w:rsidRPr="001D5473">
        <w:t xml:space="preserve"> </w:t>
      </w:r>
      <w:r w:rsidR="00F50140" w:rsidRPr="001D5473">
        <w:t xml:space="preserve">Furthermore, </w:t>
      </w:r>
      <w:r w:rsidR="007D17BE" w:rsidRPr="001D5473">
        <w:t>a</w:t>
      </w:r>
      <w:r w:rsidR="00947128" w:rsidRPr="001D5473">
        <w:t xml:space="preserve"> need</w:t>
      </w:r>
      <w:r w:rsidR="007D17BE" w:rsidRPr="001D5473">
        <w:t xml:space="preserve"> was identified</w:t>
      </w:r>
      <w:r w:rsidR="00947128" w:rsidRPr="001D5473">
        <w:t xml:space="preserve"> </w:t>
      </w:r>
      <w:r w:rsidR="00B659B4" w:rsidRPr="001D5473">
        <w:t xml:space="preserve">to </w:t>
      </w:r>
      <w:r w:rsidR="003616C2" w:rsidRPr="001D5473">
        <w:t xml:space="preserve">further evaluate how </w:t>
      </w:r>
      <w:r w:rsidR="00947128" w:rsidRPr="001D5473">
        <w:t xml:space="preserve">the elements of </w:t>
      </w:r>
      <w:r w:rsidR="00914D56" w:rsidRPr="001D5473">
        <w:t>T</w:t>
      </w:r>
      <w:r w:rsidR="003616C2" w:rsidRPr="001D5473">
        <w:t xml:space="preserve">arget </w:t>
      </w:r>
      <w:r w:rsidR="00553797" w:rsidRPr="001D5473">
        <w:t xml:space="preserve">18 </w:t>
      </w:r>
      <w:r w:rsidR="00947128" w:rsidRPr="001D5473">
        <w:t>referring to “</w:t>
      </w:r>
      <w:r w:rsidR="002C6E8A" w:rsidRPr="001D5473">
        <w:t>a proportiona</w:t>
      </w:r>
      <w:r w:rsidR="00270ECE" w:rsidRPr="001D5473">
        <w:t>te, just</w:t>
      </w:r>
      <w:r w:rsidR="00553797" w:rsidRPr="001D5473">
        <w:t>,</w:t>
      </w:r>
      <w:r w:rsidR="00270ECE" w:rsidRPr="001D5473">
        <w:t xml:space="preserve"> fair</w:t>
      </w:r>
      <w:r w:rsidR="00553797" w:rsidRPr="001D5473">
        <w:t>,</w:t>
      </w:r>
      <w:r w:rsidR="00270ECE" w:rsidRPr="001D5473">
        <w:t xml:space="preserve"> </w:t>
      </w:r>
      <w:r w:rsidR="00553797" w:rsidRPr="001D5473">
        <w:t xml:space="preserve">effective and equitable </w:t>
      </w:r>
      <w:r w:rsidR="00F3143F" w:rsidRPr="001D5473">
        <w:t>manner</w:t>
      </w:r>
      <w:r w:rsidR="00947128" w:rsidRPr="001D5473">
        <w:t xml:space="preserve">” </w:t>
      </w:r>
      <w:r w:rsidR="00720C35" w:rsidRPr="001D5473">
        <w:t xml:space="preserve">could </w:t>
      </w:r>
      <w:r w:rsidR="00947128" w:rsidRPr="001D5473">
        <w:t>be reflected in the monitoring framework.</w:t>
      </w:r>
    </w:p>
    <w:p w14:paraId="1208D822" w14:textId="24392348" w:rsidR="002E31DB" w:rsidRPr="00112F9E" w:rsidRDefault="002E31DB" w:rsidP="00112F9E">
      <w:pPr>
        <w:pStyle w:val="Para1"/>
        <w:numPr>
          <w:ilvl w:val="0"/>
          <w:numId w:val="0"/>
        </w:numPr>
        <w:ind w:left="562" w:right="571"/>
        <w:jc w:val="left"/>
        <w:rPr>
          <w:i/>
          <w:iCs/>
        </w:rPr>
      </w:pPr>
      <w:r w:rsidRPr="00112F9E">
        <w:rPr>
          <w:i/>
          <w:iCs/>
        </w:rPr>
        <w:t xml:space="preserve">Discussion on headline indicator D.1 </w:t>
      </w:r>
      <w:r w:rsidR="00AC18E7" w:rsidRPr="00112F9E">
        <w:rPr>
          <w:i/>
          <w:iCs/>
        </w:rPr>
        <w:t>(</w:t>
      </w:r>
      <w:r w:rsidRPr="00112F9E">
        <w:rPr>
          <w:i/>
          <w:iCs/>
        </w:rPr>
        <w:t>international public funding</w:t>
      </w:r>
      <w:r w:rsidR="00054958" w:rsidRPr="00112F9E">
        <w:rPr>
          <w:i/>
          <w:iCs/>
        </w:rPr>
        <w:t>, including official development assistance for conservation and sustainable use of</w:t>
      </w:r>
      <w:r w:rsidR="00455D04" w:rsidRPr="00112F9E">
        <w:rPr>
          <w:i/>
          <w:iCs/>
        </w:rPr>
        <w:t xml:space="preserve"> biodiversity</w:t>
      </w:r>
      <w:r w:rsidR="004F29F3" w:rsidRPr="00112F9E">
        <w:rPr>
          <w:i/>
          <w:iCs/>
        </w:rPr>
        <w:t xml:space="preserve"> and ecosystems</w:t>
      </w:r>
      <w:r w:rsidR="00AC18E7" w:rsidRPr="00112F9E">
        <w:rPr>
          <w:i/>
          <w:iCs/>
        </w:rPr>
        <w:t>)</w:t>
      </w:r>
    </w:p>
    <w:p w14:paraId="32B1A956" w14:textId="26A0CC7A" w:rsidR="004F125D" w:rsidRPr="001D5473" w:rsidRDefault="007059A7" w:rsidP="00F31A26">
      <w:pPr>
        <w:pStyle w:val="Para1"/>
      </w:pPr>
      <w:r w:rsidRPr="001D5473">
        <w:t>In its overview o</w:t>
      </w:r>
      <w:r w:rsidR="003667AE" w:rsidRPr="001D5473">
        <w:t>n</w:t>
      </w:r>
      <w:r w:rsidRPr="001D5473">
        <w:t xml:space="preserve"> the stat</w:t>
      </w:r>
      <w:r w:rsidR="003667AE" w:rsidRPr="001D5473">
        <w:t>e</w:t>
      </w:r>
      <w:r w:rsidRPr="001D5473">
        <w:t xml:space="preserve"> of play, </w:t>
      </w:r>
      <w:r w:rsidR="00720C35" w:rsidRPr="001D5473">
        <w:t xml:space="preserve">a representative of </w:t>
      </w:r>
      <w:r w:rsidRPr="001D5473">
        <w:t>t</w:t>
      </w:r>
      <w:r w:rsidR="00E82665" w:rsidRPr="001D5473">
        <w:t xml:space="preserve">he Secretariat </w:t>
      </w:r>
      <w:r w:rsidR="00054B81" w:rsidRPr="001D5473">
        <w:t xml:space="preserve">introduced </w:t>
      </w:r>
      <w:r w:rsidR="0071199A" w:rsidRPr="001D5473">
        <w:t>indicator</w:t>
      </w:r>
      <w:r w:rsidR="000952C6" w:rsidRPr="00531867">
        <w:t> </w:t>
      </w:r>
      <w:r w:rsidR="0071199A" w:rsidRPr="001D5473">
        <w:t xml:space="preserve">D.1 as one of the three overall headline indicators </w:t>
      </w:r>
      <w:r w:rsidR="00565EB0" w:rsidRPr="00531867">
        <w:t>for</w:t>
      </w:r>
      <w:r w:rsidR="0071199A" w:rsidRPr="001D5473">
        <w:t xml:space="preserve"> </w:t>
      </w:r>
      <w:r w:rsidR="00E555FC" w:rsidRPr="001D5473">
        <w:t>T</w:t>
      </w:r>
      <w:r w:rsidR="0071199A" w:rsidRPr="001D5473">
        <w:t>arget 19</w:t>
      </w:r>
      <w:r w:rsidR="006C5224" w:rsidRPr="001D5473">
        <w:t xml:space="preserve"> and highlighted </w:t>
      </w:r>
      <w:proofErr w:type="gramStart"/>
      <w:r w:rsidR="006C5224" w:rsidRPr="001D5473">
        <w:t>a number of</w:t>
      </w:r>
      <w:proofErr w:type="gramEnd"/>
      <w:r w:rsidR="006C5224" w:rsidRPr="001D5473">
        <w:t xml:space="preserve"> key </w:t>
      </w:r>
      <w:r w:rsidR="00AE1F8E" w:rsidRPr="001D5473">
        <w:t xml:space="preserve">experiences </w:t>
      </w:r>
      <w:r w:rsidR="006977F5" w:rsidRPr="001D5473">
        <w:t>with the Financial Reporting Framework</w:t>
      </w:r>
      <w:r w:rsidR="00F84585" w:rsidRPr="001D5473">
        <w:t xml:space="preserve">, </w:t>
      </w:r>
      <w:r w:rsidR="00710381" w:rsidRPr="001D5473">
        <w:t xml:space="preserve">as well as </w:t>
      </w:r>
      <w:r w:rsidR="00F84585" w:rsidRPr="001D5473">
        <w:t xml:space="preserve">the use of the OECD Rio marker methodology </w:t>
      </w:r>
      <w:r w:rsidR="004F125D" w:rsidRPr="001D5473">
        <w:t xml:space="preserve">under the Creditor Reporting </w:t>
      </w:r>
      <w:r w:rsidR="003902DD" w:rsidRPr="001D5473">
        <w:t>System</w:t>
      </w:r>
      <w:r w:rsidR="004F125D" w:rsidRPr="001D5473">
        <w:t>.</w:t>
      </w:r>
    </w:p>
    <w:p w14:paraId="333234B5" w14:textId="4588589F" w:rsidR="00180B33" w:rsidRPr="001D5473" w:rsidRDefault="003F1456" w:rsidP="00F31A26">
      <w:pPr>
        <w:pStyle w:val="Para1"/>
      </w:pPr>
      <w:r w:rsidRPr="001D5473">
        <w:t xml:space="preserve">A representative of </w:t>
      </w:r>
      <w:r w:rsidR="00180B33" w:rsidRPr="001D5473">
        <w:t>OECD</w:t>
      </w:r>
      <w:r w:rsidR="0010618F" w:rsidRPr="001D5473">
        <w:t>,</w:t>
      </w:r>
      <w:r w:rsidR="00180B33" w:rsidRPr="001D5473">
        <w:t xml:space="preserve"> </w:t>
      </w:r>
      <w:r w:rsidR="0010618F" w:rsidRPr="001D5473">
        <w:t xml:space="preserve">Juan Casado-Asensio, </w:t>
      </w:r>
      <w:r w:rsidR="00ED0DDF" w:rsidRPr="001D5473">
        <w:t xml:space="preserve">gave a </w:t>
      </w:r>
      <w:r w:rsidR="00180B33" w:rsidRPr="001D5473">
        <w:t>present</w:t>
      </w:r>
      <w:r w:rsidR="00ED0DDF" w:rsidRPr="001D5473">
        <w:t>ation</w:t>
      </w:r>
      <w:r w:rsidR="00180B33" w:rsidRPr="001D5473">
        <w:t xml:space="preserve"> </w:t>
      </w:r>
      <w:r w:rsidR="00ED0DDF" w:rsidRPr="001D5473">
        <w:t xml:space="preserve">on </w:t>
      </w:r>
      <w:r w:rsidR="00180B33" w:rsidRPr="001D5473">
        <w:t xml:space="preserve">the work </w:t>
      </w:r>
      <w:r w:rsidR="00B94B1C" w:rsidRPr="001D5473">
        <w:t xml:space="preserve">of </w:t>
      </w:r>
      <w:r w:rsidR="004C75CD" w:rsidRPr="001D5473">
        <w:t xml:space="preserve">his </w:t>
      </w:r>
      <w:r w:rsidR="00696DCD" w:rsidRPr="00531867">
        <w:t>o</w:t>
      </w:r>
      <w:r w:rsidR="00B94B1C" w:rsidRPr="001D5473">
        <w:t>rgani</w:t>
      </w:r>
      <w:r w:rsidR="00696DCD" w:rsidRPr="00531867">
        <w:t>z</w:t>
      </w:r>
      <w:r w:rsidR="00B94B1C" w:rsidRPr="001D5473">
        <w:t xml:space="preserve">ation </w:t>
      </w:r>
      <w:r w:rsidR="00180B33" w:rsidRPr="001D5473">
        <w:t>on tracking development finance for biodiversity. OECD ha</w:t>
      </w:r>
      <w:r w:rsidR="00B94B1C" w:rsidRPr="001D5473">
        <w:t>d</w:t>
      </w:r>
      <w:r w:rsidR="00180B33" w:rsidRPr="001D5473">
        <w:t xml:space="preserve"> two data systems tracking development finance that </w:t>
      </w:r>
      <w:r w:rsidR="00F502F6" w:rsidRPr="001D5473">
        <w:t xml:space="preserve">could </w:t>
      </w:r>
      <w:r w:rsidR="00180B33" w:rsidRPr="001D5473">
        <w:t xml:space="preserve">be used in the context of biodiversity. Under the Development Assistance Committee, the Creditor Reporting System </w:t>
      </w:r>
      <w:r w:rsidR="00DE34C3" w:rsidRPr="00531867">
        <w:t xml:space="preserve">was used to </w:t>
      </w:r>
      <w:r w:rsidR="00180B33" w:rsidRPr="001D5473">
        <w:t xml:space="preserve">track financial flows from developed to developing countries in the form of </w:t>
      </w:r>
      <w:r w:rsidR="00275EBC" w:rsidRPr="001D5473">
        <w:t>o</w:t>
      </w:r>
      <w:r w:rsidR="00180B33" w:rsidRPr="001D5473">
        <w:t xml:space="preserve">fficial </w:t>
      </w:r>
      <w:r w:rsidR="00275EBC" w:rsidRPr="001D5473">
        <w:t>d</w:t>
      </w:r>
      <w:r w:rsidR="00180B33" w:rsidRPr="001D5473">
        <w:t xml:space="preserve">evelopment </w:t>
      </w:r>
      <w:r w:rsidR="00275EBC" w:rsidRPr="001D5473">
        <w:t>a</w:t>
      </w:r>
      <w:r w:rsidR="00180B33" w:rsidRPr="001D5473">
        <w:t xml:space="preserve">ssistance and </w:t>
      </w:r>
      <w:r w:rsidR="00275EBC" w:rsidRPr="001D5473">
        <w:t>o</w:t>
      </w:r>
      <w:r w:rsidR="00180B33" w:rsidRPr="001D5473">
        <w:t xml:space="preserve">ther </w:t>
      </w:r>
      <w:r w:rsidR="00275EBC" w:rsidRPr="001D5473">
        <w:t>o</w:t>
      </w:r>
      <w:r w:rsidR="00180B33" w:rsidRPr="001D5473">
        <w:t xml:space="preserve">fficial </w:t>
      </w:r>
      <w:r w:rsidR="00275EBC" w:rsidRPr="001D5473">
        <w:t>f</w:t>
      </w:r>
      <w:r w:rsidR="00180B33" w:rsidRPr="001D5473">
        <w:t>lows</w:t>
      </w:r>
      <w:r w:rsidR="00275EBC" w:rsidRPr="001D5473">
        <w:t>.</w:t>
      </w:r>
      <w:r w:rsidR="00180B33" w:rsidRPr="001D5473">
        <w:t xml:space="preserve"> It </w:t>
      </w:r>
      <w:r w:rsidR="00A349F0" w:rsidRPr="001D5473">
        <w:t>no</w:t>
      </w:r>
      <w:r w:rsidR="00552917" w:rsidRPr="00531867">
        <w:t>t</w:t>
      </w:r>
      <w:r w:rsidR="00A349F0" w:rsidRPr="001D5473">
        <w:t xml:space="preserve"> only </w:t>
      </w:r>
      <w:r w:rsidR="00180B33" w:rsidRPr="001D5473">
        <w:t>fully cover</w:t>
      </w:r>
      <w:r w:rsidR="00E45585" w:rsidRPr="001D5473">
        <w:t>ed</w:t>
      </w:r>
      <w:r w:rsidR="00180B33" w:rsidRPr="001D5473">
        <w:t xml:space="preserve"> the funds provided by the 32 members of the </w:t>
      </w:r>
      <w:r w:rsidR="00375087" w:rsidRPr="001D5473">
        <w:t>Committee</w:t>
      </w:r>
      <w:r w:rsidR="00180B33" w:rsidRPr="001D5473">
        <w:t xml:space="preserve"> but also include</w:t>
      </w:r>
      <w:r w:rsidR="00C368DC" w:rsidRPr="001D5473">
        <w:t>d</w:t>
      </w:r>
      <w:r w:rsidR="00180B33" w:rsidRPr="001D5473">
        <w:t xml:space="preserve"> information from 17 non-</w:t>
      </w:r>
      <w:r w:rsidR="00A349F0" w:rsidRPr="001D5473">
        <w:t xml:space="preserve">Committee </w:t>
      </w:r>
      <w:r w:rsidR="00180B33" w:rsidRPr="001D5473">
        <w:t xml:space="preserve">countries and </w:t>
      </w:r>
      <w:r w:rsidR="00A349F0" w:rsidRPr="001D5473">
        <w:t xml:space="preserve">more than </w:t>
      </w:r>
      <w:r w:rsidR="00180B33" w:rsidRPr="001D5473">
        <w:t>60</w:t>
      </w:r>
      <w:r w:rsidR="00FA6DD8" w:rsidRPr="00531867">
        <w:t> </w:t>
      </w:r>
      <w:r w:rsidR="00180B33" w:rsidRPr="001D5473">
        <w:t>multilateral organizations (the system also cover</w:t>
      </w:r>
      <w:r w:rsidR="0078097C" w:rsidRPr="001D5473">
        <w:t>ed</w:t>
      </w:r>
      <w:r w:rsidR="00180B33" w:rsidRPr="001D5473">
        <w:t xml:space="preserve"> 46 private philanthropic institutions and mobili</w:t>
      </w:r>
      <w:r w:rsidR="00C43420" w:rsidRPr="001D5473">
        <w:t>z</w:t>
      </w:r>
      <w:r w:rsidR="00180B33" w:rsidRPr="001D5473">
        <w:t>ed private finance</w:t>
      </w:r>
      <w:r w:rsidR="00D72237" w:rsidRPr="001D5473">
        <w:t>,</w:t>
      </w:r>
      <w:r w:rsidR="00180B33" w:rsidRPr="001D5473">
        <w:t xml:space="preserve"> which m</w:t>
      </w:r>
      <w:r w:rsidR="00BE09B1" w:rsidRPr="001D5473">
        <w:t>ight</w:t>
      </w:r>
      <w:r w:rsidR="00180B33" w:rsidRPr="001D5473">
        <w:t xml:space="preserve"> be useful for indicator D.3). The data </w:t>
      </w:r>
      <w:r w:rsidR="00742633" w:rsidRPr="001D5473">
        <w:t xml:space="preserve">were </w:t>
      </w:r>
      <w:r w:rsidR="00180B33" w:rsidRPr="001D5473">
        <w:t xml:space="preserve">tagged with </w:t>
      </w:r>
      <w:proofErr w:type="gramStart"/>
      <w:r w:rsidR="00180B33" w:rsidRPr="001D5473">
        <w:t>a number of</w:t>
      </w:r>
      <w:proofErr w:type="gramEnd"/>
      <w:r w:rsidR="00180B33" w:rsidRPr="001D5473">
        <w:t xml:space="preserve"> policy </w:t>
      </w:r>
      <w:proofErr w:type="spellStart"/>
      <w:r w:rsidR="00180B33" w:rsidRPr="001D5473">
        <w:t>markers</w:t>
      </w:r>
      <w:proofErr w:type="spellEnd"/>
      <w:r w:rsidR="00180B33" w:rsidRPr="001D5473">
        <w:t>, including</w:t>
      </w:r>
      <w:r w:rsidR="00DA24BE" w:rsidRPr="001D5473">
        <w:t xml:space="preserve"> </w:t>
      </w:r>
      <w:r w:rsidR="0046222E" w:rsidRPr="00531867">
        <w:t xml:space="preserve">on </w:t>
      </w:r>
      <w:r w:rsidR="00180B33" w:rsidRPr="001D5473">
        <w:t xml:space="preserve">biodiversity, but information on biodiversity </w:t>
      </w:r>
      <w:r w:rsidR="00DA24BE" w:rsidRPr="001D5473">
        <w:t xml:space="preserve">was </w:t>
      </w:r>
      <w:r w:rsidR="00180B33" w:rsidRPr="001D5473">
        <w:t xml:space="preserve">also provided through the standard classification (i.e. </w:t>
      </w:r>
      <w:r w:rsidR="00DF2D59" w:rsidRPr="001D5473">
        <w:t xml:space="preserve">Sustainable Development Goal </w:t>
      </w:r>
      <w:r w:rsidR="00180B33" w:rsidRPr="001D5473">
        <w:t xml:space="preserve">14 and 15 tags </w:t>
      </w:r>
      <w:r w:rsidR="00104863" w:rsidRPr="001D5473">
        <w:t xml:space="preserve">and </w:t>
      </w:r>
      <w:r w:rsidR="00180B33" w:rsidRPr="001D5473">
        <w:t xml:space="preserve">purpose codes on biodiversity). OECD </w:t>
      </w:r>
      <w:r w:rsidR="00B500BD" w:rsidRPr="001D5473">
        <w:t xml:space="preserve">would be </w:t>
      </w:r>
      <w:r w:rsidR="00180B33" w:rsidRPr="001D5473">
        <w:t>work</w:t>
      </w:r>
      <w:r w:rsidR="00486DF8" w:rsidRPr="001D5473">
        <w:t>ing</w:t>
      </w:r>
      <w:r w:rsidR="00180B33" w:rsidRPr="001D5473">
        <w:t xml:space="preserve"> with </w:t>
      </w:r>
      <w:r w:rsidR="00104863" w:rsidRPr="001D5473">
        <w:t xml:space="preserve">Committee </w:t>
      </w:r>
      <w:r w:rsidR="00180B33" w:rsidRPr="001D5473">
        <w:t>members through</w:t>
      </w:r>
      <w:r w:rsidR="009E282F" w:rsidRPr="001D5473">
        <w:t>out</w:t>
      </w:r>
      <w:r w:rsidR="00180B33" w:rsidRPr="001D5473">
        <w:t xml:space="preserve"> 2024 to improve reporting on development finance for biodiversity, notably by updating the Rio </w:t>
      </w:r>
      <w:r w:rsidR="00DD1901" w:rsidRPr="00531867">
        <w:t>m</w:t>
      </w:r>
      <w:r w:rsidR="00180B33" w:rsidRPr="001D5473">
        <w:t xml:space="preserve">arker </w:t>
      </w:r>
      <w:r w:rsidR="00814953" w:rsidRPr="00531867">
        <w:t xml:space="preserve">on biodiversity </w:t>
      </w:r>
      <w:r w:rsidR="00180B33" w:rsidRPr="001D5473">
        <w:t xml:space="preserve">to align </w:t>
      </w:r>
      <w:r w:rsidR="009E282F" w:rsidRPr="001D5473">
        <w:t xml:space="preserve">it </w:t>
      </w:r>
      <w:r w:rsidR="00180B33" w:rsidRPr="001D5473">
        <w:t xml:space="preserve">with the </w:t>
      </w:r>
      <w:r w:rsidR="008F1FEF" w:rsidRPr="001D5473">
        <w:t>Kunming-Montreal Global Biodiversity Framework</w:t>
      </w:r>
      <w:r w:rsidR="00180B33" w:rsidRPr="001D5473">
        <w:t>.</w:t>
      </w:r>
    </w:p>
    <w:p w14:paraId="745ACA26" w14:textId="27FBFE7B" w:rsidR="00180B33" w:rsidRPr="001D5473" w:rsidRDefault="00E27958" w:rsidP="00F31A26">
      <w:pPr>
        <w:pStyle w:val="Para1"/>
      </w:pPr>
      <w:r w:rsidRPr="00531867">
        <w:t>The representative said that, m</w:t>
      </w:r>
      <w:r w:rsidR="00180B33" w:rsidRPr="001D5473">
        <w:t xml:space="preserve">ore recently, OECD </w:t>
      </w:r>
      <w:r w:rsidR="00A031B2" w:rsidRPr="001D5473">
        <w:t xml:space="preserve">had </w:t>
      </w:r>
      <w:r w:rsidR="00180B33" w:rsidRPr="001D5473">
        <w:t xml:space="preserve">started tracking development finance through the Total Official Support for Sustainable Development framework. The </w:t>
      </w:r>
      <w:r w:rsidR="00DD34F2">
        <w:t xml:space="preserve">related </w:t>
      </w:r>
      <w:r w:rsidR="00180B33" w:rsidRPr="001D5473">
        <w:t xml:space="preserve">database </w:t>
      </w:r>
      <w:r w:rsidR="00D429A6" w:rsidRPr="001D5473">
        <w:t xml:space="preserve">was </w:t>
      </w:r>
      <w:r w:rsidR="00180B33" w:rsidRPr="001D5473">
        <w:t xml:space="preserve">compatible with </w:t>
      </w:r>
      <w:r w:rsidR="00D72237" w:rsidRPr="001D5473">
        <w:t>the</w:t>
      </w:r>
      <w:r w:rsidR="00180B33" w:rsidRPr="001D5473">
        <w:t xml:space="preserve"> creditor reporting system</w:t>
      </w:r>
      <w:r w:rsidR="0018718E" w:rsidRPr="00531867">
        <w:t xml:space="preserve"> and consisted of </w:t>
      </w:r>
      <w:r w:rsidR="00180B33" w:rsidRPr="001D5473">
        <w:t xml:space="preserve">two pillars: the first </w:t>
      </w:r>
      <w:r w:rsidR="0018718E" w:rsidRPr="00531867">
        <w:t>for</w:t>
      </w:r>
      <w:r w:rsidR="00180B33" w:rsidRPr="001D5473">
        <w:t xml:space="preserve"> tracking international finance that </w:t>
      </w:r>
      <w:r w:rsidR="00826D02" w:rsidRPr="001D5473">
        <w:t xml:space="preserve">went </w:t>
      </w:r>
      <w:r w:rsidR="00180B33" w:rsidRPr="001D5473">
        <w:t>from one county to another</w:t>
      </w:r>
      <w:r w:rsidR="00D57D59" w:rsidRPr="00531867">
        <w:t>;</w:t>
      </w:r>
      <w:r w:rsidR="00180B33" w:rsidRPr="001D5473">
        <w:t xml:space="preserve"> and the second </w:t>
      </w:r>
      <w:r w:rsidR="00D57D59" w:rsidRPr="00531867">
        <w:t>for</w:t>
      </w:r>
      <w:r w:rsidR="00180B33" w:rsidRPr="001D5473">
        <w:t xml:space="preserve"> collecting data on </w:t>
      </w:r>
      <w:r w:rsidR="007A425C">
        <w:t xml:space="preserve">finance for </w:t>
      </w:r>
      <w:r w:rsidR="00180B33" w:rsidRPr="001D5473">
        <w:t xml:space="preserve">international public goods (such as biodiversity) spent </w:t>
      </w:r>
      <w:r w:rsidR="007A14A9">
        <w:t>at the national level</w:t>
      </w:r>
      <w:r w:rsidR="00180B33" w:rsidRPr="001D5473">
        <w:t xml:space="preserve">. </w:t>
      </w:r>
      <w:r w:rsidR="00883FB3" w:rsidRPr="001D5473">
        <w:t>The first p</w:t>
      </w:r>
      <w:r w:rsidR="00180B33" w:rsidRPr="001D5473">
        <w:t>illar</w:t>
      </w:r>
      <w:proofErr w:type="gramStart"/>
      <w:r w:rsidR="00883FB3" w:rsidRPr="001D5473">
        <w:t>,</w:t>
      </w:r>
      <w:r w:rsidR="00180B33" w:rsidRPr="001D5473">
        <w:t xml:space="preserve"> in particular, m</w:t>
      </w:r>
      <w:r w:rsidR="00883FB3" w:rsidRPr="001D5473">
        <w:t>ight</w:t>
      </w:r>
      <w:proofErr w:type="gramEnd"/>
      <w:r w:rsidR="00180B33" w:rsidRPr="001D5473">
        <w:t xml:space="preserve"> be useful in the context of headline indicator D.1, as it provide</w:t>
      </w:r>
      <w:r w:rsidR="00317E6C" w:rsidRPr="001D5473">
        <w:t>d</w:t>
      </w:r>
      <w:r w:rsidR="00180B33" w:rsidRPr="001D5473">
        <w:t xml:space="preserve"> additional information </w:t>
      </w:r>
      <w:r w:rsidR="008C2245" w:rsidRPr="001D5473">
        <w:t xml:space="preserve">on </w:t>
      </w:r>
      <w:r w:rsidR="00180B33" w:rsidRPr="001D5473">
        <w:t xml:space="preserve">South-South and </w:t>
      </w:r>
      <w:r w:rsidR="00B21B21" w:rsidRPr="001D5473">
        <w:t>t</w:t>
      </w:r>
      <w:r w:rsidR="00180B33" w:rsidRPr="001D5473">
        <w:t xml:space="preserve">riangular </w:t>
      </w:r>
      <w:r w:rsidR="00B21B21" w:rsidRPr="001D5473">
        <w:t>c</w:t>
      </w:r>
      <w:r w:rsidR="00180B33" w:rsidRPr="001D5473">
        <w:t xml:space="preserve">ooperation, </w:t>
      </w:r>
      <w:r w:rsidR="00B21B21" w:rsidRPr="001D5473">
        <w:t xml:space="preserve">as well as </w:t>
      </w:r>
      <w:r w:rsidR="00180B33" w:rsidRPr="001D5473">
        <w:t xml:space="preserve">target-level information on </w:t>
      </w:r>
      <w:r w:rsidR="00B21B21" w:rsidRPr="001D5473">
        <w:t xml:space="preserve">Sustainable Development Goals </w:t>
      </w:r>
      <w:r w:rsidR="00180B33" w:rsidRPr="001D5473">
        <w:t>14 and 15.</w:t>
      </w:r>
    </w:p>
    <w:p w14:paraId="32BDD6DC" w14:textId="18239A05" w:rsidR="004F2FE4" w:rsidRPr="001D5473" w:rsidRDefault="008C2245" w:rsidP="00F31A26">
      <w:pPr>
        <w:pStyle w:val="Para1"/>
      </w:pPr>
      <w:r w:rsidRPr="001D5473">
        <w:lastRenderedPageBreak/>
        <w:t xml:space="preserve">During </w:t>
      </w:r>
      <w:r w:rsidR="00FB2F5C" w:rsidRPr="001D5473">
        <w:t xml:space="preserve">the discussion, the </w:t>
      </w:r>
      <w:r w:rsidR="00317E6C" w:rsidRPr="001D5473">
        <w:t xml:space="preserve">Technical </w:t>
      </w:r>
      <w:r w:rsidR="000F2C28" w:rsidRPr="001D5473">
        <w:t>E</w:t>
      </w:r>
      <w:r w:rsidR="00317E6C" w:rsidRPr="001D5473">
        <w:t>xpert G</w:t>
      </w:r>
      <w:r w:rsidR="00FB2F5C" w:rsidRPr="001D5473">
        <w:t xml:space="preserve">roup identified data on flows related to </w:t>
      </w:r>
      <w:r w:rsidR="003971E5" w:rsidRPr="001D5473">
        <w:t>indigenous peoples and local communities</w:t>
      </w:r>
      <w:r w:rsidR="00FB2F5C" w:rsidRPr="001D5473">
        <w:t xml:space="preserve">, gender, </w:t>
      </w:r>
      <w:r w:rsidRPr="001D5473">
        <w:t xml:space="preserve">young </w:t>
      </w:r>
      <w:proofErr w:type="gramStart"/>
      <w:r w:rsidRPr="001D5473">
        <w:t>people</w:t>
      </w:r>
      <w:proofErr w:type="gramEnd"/>
      <w:r w:rsidRPr="001D5473">
        <w:t xml:space="preserve"> </w:t>
      </w:r>
      <w:r w:rsidR="00FB2F5C" w:rsidRPr="001D5473">
        <w:t xml:space="preserve">and synergies as critical gaps and agreed to add complementary or component indicators capturing such flows. </w:t>
      </w:r>
      <w:r w:rsidR="00412F1C" w:rsidRPr="001D5473">
        <w:t xml:space="preserve">The </w:t>
      </w:r>
      <w:r w:rsidR="00B16E2D" w:rsidRPr="001D5473">
        <w:t>G</w:t>
      </w:r>
      <w:r w:rsidR="00412F1C" w:rsidRPr="001D5473">
        <w:t xml:space="preserve">roup also noted the lag in data availability as an important gap, </w:t>
      </w:r>
      <w:proofErr w:type="gramStart"/>
      <w:r w:rsidR="006D0CAD" w:rsidRPr="001D5473">
        <w:t>in particular in</w:t>
      </w:r>
      <w:proofErr w:type="gramEnd"/>
      <w:r w:rsidR="006D0CAD" w:rsidRPr="001D5473">
        <w:t xml:space="preserve"> </w:t>
      </w:r>
      <w:r w:rsidR="002F730F" w:rsidRPr="001D5473">
        <w:t xml:space="preserve">the </w:t>
      </w:r>
      <w:r w:rsidR="006D0CAD" w:rsidRPr="001D5473">
        <w:t>light of the timelines</w:t>
      </w:r>
      <w:r w:rsidR="00D65BE9" w:rsidRPr="00531867">
        <w:t>s</w:t>
      </w:r>
      <w:r w:rsidR="00FF693D" w:rsidRPr="00531867">
        <w:t xml:space="preserve"> </w:t>
      </w:r>
      <w:r w:rsidR="00A15C6B" w:rsidRPr="00531867">
        <w:t>element</w:t>
      </w:r>
      <w:r w:rsidR="006D0CAD" w:rsidRPr="001D5473">
        <w:t xml:space="preserve"> identified in T</w:t>
      </w:r>
      <w:r w:rsidR="0095233F" w:rsidRPr="001D5473">
        <w:t>arget</w:t>
      </w:r>
      <w:r w:rsidR="006D0CAD" w:rsidRPr="001D5473">
        <w:t xml:space="preserve"> 19</w:t>
      </w:r>
      <w:r w:rsidR="00412F1C" w:rsidRPr="001D5473">
        <w:t>.</w:t>
      </w:r>
      <w:r w:rsidR="00BA6ECE" w:rsidRPr="001D5473">
        <w:t xml:space="preserve"> Furthermore, </w:t>
      </w:r>
      <w:r w:rsidR="00B87F9A" w:rsidRPr="001D5473">
        <w:t>it was noted that the current headline indicators mostly address</w:t>
      </w:r>
      <w:r w:rsidR="002F730F" w:rsidRPr="001D5473">
        <w:t>ed</w:t>
      </w:r>
      <w:r w:rsidR="00B87F9A" w:rsidRPr="001D5473">
        <w:t xml:space="preserve"> </w:t>
      </w:r>
      <w:r w:rsidR="00FA23FB" w:rsidRPr="001D5473">
        <w:t>paragraphs</w:t>
      </w:r>
      <w:r w:rsidR="001F3B0A" w:rsidRPr="001D5473">
        <w:t> </w:t>
      </w:r>
      <w:r w:rsidR="005859EC" w:rsidRPr="001D5473">
        <w:t>(</w:t>
      </w:r>
      <w:r w:rsidR="00B87F9A" w:rsidRPr="001D5473">
        <w:t>a</w:t>
      </w:r>
      <w:r w:rsidR="005859EC" w:rsidRPr="001D5473">
        <w:t>)</w:t>
      </w:r>
      <w:r w:rsidR="00FA23FB" w:rsidRPr="001D5473">
        <w:t xml:space="preserve"> to </w:t>
      </w:r>
      <w:r w:rsidR="005859EC" w:rsidRPr="001D5473">
        <w:t>(c)</w:t>
      </w:r>
      <w:r w:rsidR="00FA23FB" w:rsidRPr="001D5473">
        <w:t xml:space="preserve"> of Target 19</w:t>
      </w:r>
      <w:r w:rsidR="0062354C" w:rsidRPr="001D5473">
        <w:t>,</w:t>
      </w:r>
      <w:r w:rsidR="004A2F40" w:rsidRPr="001D5473">
        <w:t xml:space="preserve"> and that there was </w:t>
      </w:r>
      <w:r w:rsidR="00BA6ECE" w:rsidRPr="001D5473">
        <w:t xml:space="preserve">a need </w:t>
      </w:r>
      <w:r w:rsidR="004A2F40" w:rsidRPr="001D5473">
        <w:t xml:space="preserve">to consider </w:t>
      </w:r>
      <w:r w:rsidR="007F6725" w:rsidRPr="001D5473">
        <w:t xml:space="preserve">further </w:t>
      </w:r>
      <w:r w:rsidR="00BA6ECE" w:rsidRPr="001D5473">
        <w:t>whether</w:t>
      </w:r>
      <w:r w:rsidR="00A04C98" w:rsidRPr="00531867">
        <w:t>,</w:t>
      </w:r>
      <w:r w:rsidR="007F6725" w:rsidRPr="001D5473">
        <w:t xml:space="preserve"> and </w:t>
      </w:r>
      <w:r w:rsidR="00BA6ECE" w:rsidRPr="001D5473">
        <w:t>how</w:t>
      </w:r>
      <w:r w:rsidR="00A04C98" w:rsidRPr="00531867">
        <w:t>,</w:t>
      </w:r>
      <w:r w:rsidR="00BA6ECE" w:rsidRPr="001D5473">
        <w:t xml:space="preserve"> </w:t>
      </w:r>
      <w:r w:rsidR="00FA23FB" w:rsidRPr="001D5473">
        <w:t xml:space="preserve">paragraphs </w:t>
      </w:r>
      <w:r w:rsidR="007F6725" w:rsidRPr="001D5473">
        <w:t>(</w:t>
      </w:r>
      <w:r w:rsidR="00BA6ECE" w:rsidRPr="001D5473">
        <w:t>d</w:t>
      </w:r>
      <w:r w:rsidR="007F6725" w:rsidRPr="001D5473">
        <w:t>)</w:t>
      </w:r>
      <w:r w:rsidR="00FA23FB" w:rsidRPr="001D5473">
        <w:t xml:space="preserve"> to </w:t>
      </w:r>
      <w:r w:rsidR="00C222DF" w:rsidRPr="001D5473">
        <w:t>(</w:t>
      </w:r>
      <w:r w:rsidR="00BA6ECE" w:rsidRPr="001D5473">
        <w:t>g</w:t>
      </w:r>
      <w:r w:rsidR="00C222DF" w:rsidRPr="001D5473">
        <w:t xml:space="preserve">), as well as the element </w:t>
      </w:r>
      <w:r w:rsidR="00BA6ECE" w:rsidRPr="001D5473">
        <w:t xml:space="preserve">of </w:t>
      </w:r>
      <w:r w:rsidR="00EA3D0A" w:rsidRPr="001D5473">
        <w:t>“</w:t>
      </w:r>
      <w:r w:rsidR="00BA6ECE" w:rsidRPr="001D5473">
        <w:t>effective, timely and easily accessible manner</w:t>
      </w:r>
      <w:r w:rsidR="00EA3D0A" w:rsidRPr="001D5473">
        <w:t>”</w:t>
      </w:r>
      <w:r w:rsidR="00BA6ECE" w:rsidRPr="001D5473">
        <w:t xml:space="preserve"> </w:t>
      </w:r>
      <w:r w:rsidR="004F2FE4" w:rsidRPr="001D5473">
        <w:t xml:space="preserve">could be addressed by </w:t>
      </w:r>
      <w:r w:rsidR="00BA6ECE" w:rsidRPr="001D5473">
        <w:t>additional component</w:t>
      </w:r>
      <w:r w:rsidR="004F2FE4" w:rsidRPr="001D5473">
        <w:t xml:space="preserve"> or </w:t>
      </w:r>
      <w:r w:rsidR="00BA6ECE" w:rsidRPr="001D5473">
        <w:t>complementary indicators</w:t>
      </w:r>
      <w:r w:rsidR="004F2FE4" w:rsidRPr="001D5473">
        <w:t>.</w:t>
      </w:r>
    </w:p>
    <w:p w14:paraId="3D1C1E52" w14:textId="365A5253" w:rsidR="000E5BBB" w:rsidRPr="001D5473" w:rsidRDefault="004F2FE4" w:rsidP="00F31A26">
      <w:pPr>
        <w:pStyle w:val="Para1"/>
      </w:pPr>
      <w:r w:rsidRPr="001D5473">
        <w:t>Capacity</w:t>
      </w:r>
      <w:r w:rsidR="006D60F7" w:rsidRPr="001D5473">
        <w:t>-</w:t>
      </w:r>
      <w:r w:rsidRPr="001D5473">
        <w:t xml:space="preserve">building needs </w:t>
      </w:r>
      <w:r w:rsidR="00003128" w:rsidRPr="001D5473">
        <w:t xml:space="preserve">in </w:t>
      </w:r>
      <w:r w:rsidRPr="001D5473">
        <w:t>th</w:t>
      </w:r>
      <w:r w:rsidR="00003128" w:rsidRPr="001D5473">
        <w:t>at</w:t>
      </w:r>
      <w:r w:rsidRPr="001D5473">
        <w:t xml:space="preserve"> area were briefly addressed, with the OECD offering its </w:t>
      </w:r>
      <w:r w:rsidR="001C01BF">
        <w:t xml:space="preserve">support </w:t>
      </w:r>
      <w:r w:rsidR="00905CAA">
        <w:t xml:space="preserve">for </w:t>
      </w:r>
      <w:r w:rsidR="00CC4605" w:rsidRPr="001D5473">
        <w:t xml:space="preserve">relevant </w:t>
      </w:r>
      <w:r w:rsidRPr="001D5473">
        <w:t>capacity</w:t>
      </w:r>
      <w:r w:rsidR="00E40672" w:rsidRPr="001D5473">
        <w:t>-</w:t>
      </w:r>
      <w:r w:rsidR="00CC4605" w:rsidRPr="001D5473">
        <w:t xml:space="preserve">building </w:t>
      </w:r>
      <w:r w:rsidR="00905CAA">
        <w:t xml:space="preserve">activities </w:t>
      </w:r>
      <w:r w:rsidR="00CC4605" w:rsidRPr="001D5473">
        <w:t>for developing countries and countries with economies in transition.</w:t>
      </w:r>
    </w:p>
    <w:p w14:paraId="7077DBA5" w14:textId="49B1A0B2" w:rsidR="0095233F" w:rsidRPr="001D5473" w:rsidRDefault="000E5BBB" w:rsidP="00F31A26">
      <w:pPr>
        <w:pStyle w:val="Para1"/>
      </w:pPr>
      <w:r w:rsidRPr="001D5473">
        <w:t xml:space="preserve">The </w:t>
      </w:r>
      <w:r w:rsidR="00274658" w:rsidRPr="001D5473">
        <w:t xml:space="preserve">Technical Expert </w:t>
      </w:r>
      <w:r w:rsidR="008A5631" w:rsidRPr="001D5473">
        <w:t>G</w:t>
      </w:r>
      <w:r w:rsidRPr="001D5473">
        <w:t xml:space="preserve">roup agreed that </w:t>
      </w:r>
      <w:r w:rsidR="006244E3" w:rsidRPr="001D5473">
        <w:t xml:space="preserve">further </w:t>
      </w:r>
      <w:r w:rsidRPr="001D5473">
        <w:t xml:space="preserve">work on </w:t>
      </w:r>
      <w:r w:rsidR="006244E3" w:rsidRPr="001D5473">
        <w:t xml:space="preserve">headline indicator </w:t>
      </w:r>
      <w:r w:rsidRPr="001D5473">
        <w:t xml:space="preserve">D.1 would be conducted </w:t>
      </w:r>
      <w:r w:rsidR="00BE5336" w:rsidRPr="001D5473">
        <w:t xml:space="preserve">by a dedicated subgroup </w:t>
      </w:r>
      <w:r w:rsidRPr="001D5473">
        <w:t>during the intersessional period</w:t>
      </w:r>
      <w:r w:rsidR="00BE5336" w:rsidRPr="001D5473">
        <w:t>.</w:t>
      </w:r>
    </w:p>
    <w:p w14:paraId="334F6137" w14:textId="3E6EA12F" w:rsidR="00682D24" w:rsidRPr="00112F9E" w:rsidRDefault="00FB2C83" w:rsidP="00112F9E">
      <w:pPr>
        <w:pStyle w:val="Para1"/>
        <w:numPr>
          <w:ilvl w:val="0"/>
          <w:numId w:val="0"/>
        </w:numPr>
        <w:ind w:left="562" w:right="855"/>
        <w:jc w:val="left"/>
        <w:rPr>
          <w:i/>
          <w:iCs/>
        </w:rPr>
      </w:pPr>
      <w:r w:rsidRPr="00112F9E">
        <w:rPr>
          <w:i/>
          <w:iCs/>
        </w:rPr>
        <w:t xml:space="preserve">Discussion on </w:t>
      </w:r>
      <w:r w:rsidR="00F61829" w:rsidRPr="00112F9E">
        <w:rPr>
          <w:i/>
          <w:iCs/>
        </w:rPr>
        <w:t xml:space="preserve">headline </w:t>
      </w:r>
      <w:r w:rsidR="004B0AED" w:rsidRPr="00112F9E">
        <w:rPr>
          <w:i/>
          <w:iCs/>
        </w:rPr>
        <w:t xml:space="preserve">indicator </w:t>
      </w:r>
      <w:r w:rsidRPr="00112F9E">
        <w:rPr>
          <w:i/>
          <w:iCs/>
        </w:rPr>
        <w:t>D.2</w:t>
      </w:r>
      <w:r w:rsidR="000E5BBB" w:rsidRPr="00112F9E">
        <w:rPr>
          <w:i/>
          <w:iCs/>
        </w:rPr>
        <w:t xml:space="preserve"> (</w:t>
      </w:r>
      <w:r w:rsidR="009F6A41" w:rsidRPr="00112F9E">
        <w:rPr>
          <w:i/>
          <w:iCs/>
        </w:rPr>
        <w:t>domestic public funding</w:t>
      </w:r>
      <w:r w:rsidR="00F61829" w:rsidRPr="00112F9E">
        <w:rPr>
          <w:i/>
          <w:iCs/>
        </w:rPr>
        <w:t xml:space="preserve"> </w:t>
      </w:r>
      <w:r w:rsidR="00426773" w:rsidRPr="00112F9E">
        <w:rPr>
          <w:i/>
          <w:iCs/>
        </w:rPr>
        <w:t>on conservation and sustainable use of</w:t>
      </w:r>
      <w:r w:rsidR="00F61829" w:rsidRPr="00112F9E">
        <w:rPr>
          <w:i/>
          <w:iCs/>
        </w:rPr>
        <w:t xml:space="preserve"> biodiversity</w:t>
      </w:r>
      <w:r w:rsidR="00F93838" w:rsidRPr="00112F9E">
        <w:rPr>
          <w:i/>
          <w:iCs/>
        </w:rPr>
        <w:t xml:space="preserve"> and ecosystems</w:t>
      </w:r>
      <w:r w:rsidR="000E5BBB" w:rsidRPr="00112F9E">
        <w:rPr>
          <w:i/>
          <w:iCs/>
        </w:rPr>
        <w:t>)</w:t>
      </w:r>
    </w:p>
    <w:p w14:paraId="295DEFBB" w14:textId="562DCFF3" w:rsidR="00180B33" w:rsidRPr="001D5473" w:rsidRDefault="00180B33" w:rsidP="00F31A26">
      <w:pPr>
        <w:pStyle w:val="Para1"/>
      </w:pPr>
      <w:r w:rsidRPr="001D5473">
        <w:t xml:space="preserve">In </w:t>
      </w:r>
      <w:r w:rsidR="00DD2FEF" w:rsidRPr="001D5473">
        <w:t xml:space="preserve">an </w:t>
      </w:r>
      <w:r w:rsidRPr="001D5473">
        <w:t xml:space="preserve">introductory presentation, </w:t>
      </w:r>
      <w:r w:rsidR="00DD2FEF" w:rsidRPr="001D5473">
        <w:t xml:space="preserve">a representative of </w:t>
      </w:r>
      <w:r w:rsidRPr="001D5473">
        <w:t xml:space="preserve">the Secretariat explained how the tracking of domestic biodiversity finance was implemented in the </w:t>
      </w:r>
      <w:r w:rsidR="0017681A" w:rsidRPr="00531867">
        <w:t>previous</w:t>
      </w:r>
      <w:r w:rsidR="0017681A" w:rsidRPr="001D5473">
        <w:t xml:space="preserve"> </w:t>
      </w:r>
      <w:r w:rsidRPr="001D5473">
        <w:t>Financial Reporting Framework.</w:t>
      </w:r>
      <w:r w:rsidR="00CC4605" w:rsidRPr="001D5473">
        <w:rPr>
          <w:rStyle w:val="FootnoteReference"/>
        </w:rPr>
        <w:footnoteReference w:id="3"/>
      </w:r>
      <w:r w:rsidRPr="001D5473">
        <w:t xml:space="preserve"> Quantitative information </w:t>
      </w:r>
      <w:r w:rsidR="0017681A" w:rsidRPr="007A14A9">
        <w:t>used to be</w:t>
      </w:r>
      <w:r w:rsidR="0017681A" w:rsidRPr="001D5473">
        <w:t xml:space="preserve"> </w:t>
      </w:r>
      <w:r w:rsidRPr="001D5473">
        <w:t xml:space="preserve">requested in aggregated form, complemented by qualitative information on which funding sources were covered, as well as by dedicated information on the contributions of </w:t>
      </w:r>
      <w:r w:rsidR="000302A3" w:rsidRPr="001D5473">
        <w:t>indigenous peoples and local communities</w:t>
      </w:r>
      <w:r w:rsidRPr="001D5473">
        <w:t>. Parties used mainly budgetary information and</w:t>
      </w:r>
      <w:r w:rsidR="000635FC" w:rsidRPr="001D5473">
        <w:t>,</w:t>
      </w:r>
      <w:r w:rsidRPr="001D5473">
        <w:t xml:space="preserve"> sometimes</w:t>
      </w:r>
      <w:r w:rsidR="000635FC" w:rsidRPr="001D5473">
        <w:t>,</w:t>
      </w:r>
      <w:r w:rsidRPr="001D5473">
        <w:t xml:space="preserve"> national statistics (based on </w:t>
      </w:r>
      <w:r w:rsidR="00290341" w:rsidRPr="001D5473">
        <w:t xml:space="preserve">the </w:t>
      </w:r>
      <w:r w:rsidR="001C1092" w:rsidRPr="001D5473">
        <w:t>Classification of Environmental Protection Activities and Expenditure</w:t>
      </w:r>
      <w:r w:rsidR="00A9110F" w:rsidRPr="001D5473">
        <w:t xml:space="preserve"> of the System of Environmental-Economic Accounting</w:t>
      </w:r>
      <w:r w:rsidRPr="001D5473">
        <w:t>), BIOFIN information</w:t>
      </w:r>
      <w:r w:rsidR="000635FC" w:rsidRPr="001D5473">
        <w:t xml:space="preserve"> and </w:t>
      </w:r>
      <w:r w:rsidRPr="001D5473">
        <w:t>dedicated stand-alone analysis.</w:t>
      </w:r>
    </w:p>
    <w:p w14:paraId="5B276F2F" w14:textId="3E9C8A80" w:rsidR="00E10A73" w:rsidRPr="001D5473" w:rsidRDefault="00B617D7" w:rsidP="00F31A26">
      <w:pPr>
        <w:pStyle w:val="Para1"/>
      </w:pPr>
      <w:r w:rsidRPr="001D5473">
        <w:t xml:space="preserve">Two representatives of </w:t>
      </w:r>
      <w:r w:rsidR="00922B9E" w:rsidRPr="001D5473">
        <w:t xml:space="preserve">BIOFIN, </w:t>
      </w:r>
      <w:r w:rsidRPr="001D5473">
        <w:t>Mariana Bellot and Anabelle Trinidad,</w:t>
      </w:r>
      <w:r w:rsidR="001002CD" w:rsidRPr="001D5473">
        <w:t xml:space="preserve"> gave a</w:t>
      </w:r>
      <w:r w:rsidRPr="001D5473">
        <w:t xml:space="preserve"> </w:t>
      </w:r>
      <w:r w:rsidR="00922B9E" w:rsidRPr="001D5473">
        <w:t>present</w:t>
      </w:r>
      <w:r w:rsidR="001002CD" w:rsidRPr="001D5473">
        <w:t>ation</w:t>
      </w:r>
      <w:r w:rsidR="00922B9E" w:rsidRPr="001D5473">
        <w:t xml:space="preserve"> on the BIOFIN methodology, in particular </w:t>
      </w:r>
      <w:r w:rsidR="007573DF" w:rsidRPr="001D5473">
        <w:t>for</w:t>
      </w:r>
      <w:r w:rsidR="00922B9E" w:rsidRPr="001D5473">
        <w:t xml:space="preserve"> supporting countries</w:t>
      </w:r>
      <w:r w:rsidR="003C5C04" w:rsidRPr="001D5473">
        <w:t>,</w:t>
      </w:r>
      <w:r w:rsidR="00922B9E" w:rsidRPr="001D5473">
        <w:t xml:space="preserve"> </w:t>
      </w:r>
      <w:r w:rsidR="000F4EDF" w:rsidRPr="001D5473">
        <w:t xml:space="preserve">for </w:t>
      </w:r>
      <w:r w:rsidR="00922B9E" w:rsidRPr="001D5473">
        <w:t xml:space="preserve">developing and estimating biodiversity expenditure at the national level, using the BIOFIN guidance on the biodiversity expenditure review, a diagnostic tool </w:t>
      </w:r>
      <w:r w:rsidR="00AD0C6C" w:rsidRPr="001D5473">
        <w:t>that help</w:t>
      </w:r>
      <w:r w:rsidR="00556970" w:rsidRPr="00531867">
        <w:t>ed</w:t>
      </w:r>
      <w:r w:rsidR="00922B9E" w:rsidRPr="001D5473">
        <w:t xml:space="preserve"> </w:t>
      </w:r>
      <w:r w:rsidR="000F4EDF" w:rsidRPr="001D5473">
        <w:t xml:space="preserve">to </w:t>
      </w:r>
      <w:r w:rsidR="00922B9E" w:rsidRPr="001D5473">
        <w:t xml:space="preserve">understand how much money </w:t>
      </w:r>
      <w:r w:rsidR="003C06B4" w:rsidRPr="00531867">
        <w:t>wa</w:t>
      </w:r>
      <w:r w:rsidR="00922B9E" w:rsidRPr="001D5473">
        <w:t xml:space="preserve">s spent </w:t>
      </w:r>
      <w:r w:rsidR="003C06B4" w:rsidRPr="00531867">
        <w:t>o</w:t>
      </w:r>
      <w:r w:rsidR="00AD0C6C" w:rsidRPr="001D5473">
        <w:t xml:space="preserve">n </w:t>
      </w:r>
      <w:r w:rsidR="00922B9E" w:rsidRPr="001D5473">
        <w:t xml:space="preserve">biodiversity, whether budgets and expenditure </w:t>
      </w:r>
      <w:r w:rsidR="003C06B4" w:rsidRPr="00531867">
        <w:t>we</w:t>
      </w:r>
      <w:r w:rsidR="00922B9E" w:rsidRPr="001D5473">
        <w:t>re aligned with national policy priorities and what the expenditure ha</w:t>
      </w:r>
      <w:r w:rsidR="003C06B4" w:rsidRPr="00531867">
        <w:t>d</w:t>
      </w:r>
      <w:r w:rsidR="00922B9E" w:rsidRPr="001D5473">
        <w:t xml:space="preserve"> achieved</w:t>
      </w:r>
      <w:r w:rsidR="006D1522" w:rsidRPr="001D5473">
        <w:t xml:space="preserve"> </w:t>
      </w:r>
      <w:r w:rsidR="00565903" w:rsidRPr="001D5473">
        <w:t xml:space="preserve">at the </w:t>
      </w:r>
      <w:r w:rsidR="006D1522" w:rsidRPr="001D5473">
        <w:t>national</w:t>
      </w:r>
      <w:r w:rsidR="00565903" w:rsidRPr="001D5473">
        <w:t xml:space="preserve"> level</w:t>
      </w:r>
      <w:r w:rsidR="00922B9E" w:rsidRPr="001D5473">
        <w:t>.</w:t>
      </w:r>
    </w:p>
    <w:p w14:paraId="32284D24" w14:textId="5C772868" w:rsidR="00922B9E" w:rsidRPr="001D5473" w:rsidRDefault="004477D9" w:rsidP="00F31A26">
      <w:pPr>
        <w:pStyle w:val="Para1"/>
      </w:pPr>
      <w:r w:rsidRPr="001D5473">
        <w:t xml:space="preserve">The representatives said that </w:t>
      </w:r>
      <w:r w:rsidR="00922B9E" w:rsidRPr="001D5473">
        <w:t>BIOFIN define</w:t>
      </w:r>
      <w:r w:rsidRPr="001D5473">
        <w:t>d</w:t>
      </w:r>
      <w:r w:rsidR="00922B9E" w:rsidRPr="001D5473">
        <w:t xml:space="preserve"> biodiversity expenditure as any expenditure </w:t>
      </w:r>
      <w:r w:rsidR="002F67ED" w:rsidRPr="00531867">
        <w:t>that</w:t>
      </w:r>
      <w:r w:rsidR="002F67ED" w:rsidRPr="001D5473">
        <w:t xml:space="preserve"> </w:t>
      </w:r>
      <w:r w:rsidR="00D66D31" w:rsidRPr="001D5473">
        <w:t>either ha</w:t>
      </w:r>
      <w:r w:rsidR="002F67ED" w:rsidRPr="00531867">
        <w:t>d</w:t>
      </w:r>
      <w:r w:rsidR="00922B9E" w:rsidRPr="001D5473">
        <w:t xml:space="preserve"> a positive impact or </w:t>
      </w:r>
      <w:r w:rsidR="00D66D31" w:rsidRPr="001D5473">
        <w:t>reduce</w:t>
      </w:r>
      <w:r w:rsidR="002F67ED" w:rsidRPr="00531867">
        <w:t>d</w:t>
      </w:r>
      <w:r w:rsidR="000F78A7" w:rsidRPr="001D5473">
        <w:t xml:space="preserve"> or </w:t>
      </w:r>
      <w:r w:rsidR="00D66D31" w:rsidRPr="001D5473">
        <w:t>eliminate</w:t>
      </w:r>
      <w:r w:rsidR="002F67ED" w:rsidRPr="00531867">
        <w:t>d</w:t>
      </w:r>
      <w:r w:rsidR="00922B9E" w:rsidRPr="001D5473">
        <w:t xml:space="preserve"> pressures on biodiversity. It include</w:t>
      </w:r>
      <w:r w:rsidR="002F67ED" w:rsidRPr="00531867">
        <w:t>d</w:t>
      </w:r>
      <w:r w:rsidR="00922B9E" w:rsidRPr="001D5473">
        <w:t xml:space="preserve"> primary expenditure with biodiversity as </w:t>
      </w:r>
      <w:r w:rsidR="000F78A7" w:rsidRPr="001D5473">
        <w:t xml:space="preserve">its </w:t>
      </w:r>
      <w:r w:rsidR="00922B9E" w:rsidRPr="001D5473">
        <w:t>primary purpose and secondary expenditure</w:t>
      </w:r>
      <w:r w:rsidR="00106831" w:rsidRPr="001D5473">
        <w:t>,</w:t>
      </w:r>
      <w:r w:rsidR="00922B9E" w:rsidRPr="001D5473">
        <w:t xml:space="preserve"> where biodiversity </w:t>
      </w:r>
      <w:r w:rsidR="00DE2D17" w:rsidRPr="00531867">
        <w:t>wa</w:t>
      </w:r>
      <w:r w:rsidR="00922B9E" w:rsidRPr="001D5473">
        <w:t xml:space="preserve">s a component objective. BIOFIN </w:t>
      </w:r>
      <w:r w:rsidRPr="001D5473">
        <w:t xml:space="preserve">had </w:t>
      </w:r>
      <w:r w:rsidR="00922B9E" w:rsidRPr="001D5473">
        <w:t xml:space="preserve">also started </w:t>
      </w:r>
      <w:r w:rsidR="00DE2D17" w:rsidRPr="00531867">
        <w:t xml:space="preserve">to </w:t>
      </w:r>
      <w:r w:rsidR="00922B9E" w:rsidRPr="001D5473">
        <w:t xml:space="preserve">develop a new, complementary tool called </w:t>
      </w:r>
      <w:r w:rsidR="00DE2D17" w:rsidRPr="00531867">
        <w:t xml:space="preserve">the </w:t>
      </w:r>
      <w:r w:rsidR="00922B9E" w:rsidRPr="001D5473">
        <w:t>Global Biodiversity Expenditure Taxonomy</w:t>
      </w:r>
      <w:r w:rsidR="00D163BE" w:rsidRPr="001D5473">
        <w:t>,</w:t>
      </w:r>
      <w:r w:rsidR="00922B9E" w:rsidRPr="001D5473">
        <w:t xml:space="preserve"> which </w:t>
      </w:r>
      <w:r w:rsidRPr="001D5473">
        <w:t>was</w:t>
      </w:r>
      <w:r w:rsidR="00922B9E" w:rsidRPr="001D5473">
        <w:t xml:space="preserve"> a classification system that provide</w:t>
      </w:r>
      <w:r w:rsidRPr="001D5473">
        <w:t>d</w:t>
      </w:r>
      <w:r w:rsidR="00922B9E" w:rsidRPr="001D5473">
        <w:t xml:space="preserve"> detailed taxonomy for public expenditure. When constructing </w:t>
      </w:r>
      <w:r w:rsidR="00E87AF7" w:rsidRPr="001D5473">
        <w:t>the complementary tool</w:t>
      </w:r>
      <w:r w:rsidR="00922B9E" w:rsidRPr="001D5473">
        <w:t xml:space="preserve">, BIOFIN </w:t>
      </w:r>
      <w:r w:rsidR="000865EE" w:rsidRPr="001D5473">
        <w:t xml:space="preserve">had </w:t>
      </w:r>
      <w:proofErr w:type="gramStart"/>
      <w:r w:rsidR="000865EE" w:rsidRPr="001D5473">
        <w:t>taken into account</w:t>
      </w:r>
      <w:proofErr w:type="gramEnd"/>
      <w:r w:rsidR="000865EE" w:rsidRPr="001D5473">
        <w:t xml:space="preserve"> </w:t>
      </w:r>
      <w:r w:rsidR="00922B9E" w:rsidRPr="001D5473">
        <w:t>existing taxonomies</w:t>
      </w:r>
      <w:r w:rsidR="000865EE" w:rsidRPr="001D5473">
        <w:t>, such as</w:t>
      </w:r>
      <w:r w:rsidR="00922B9E" w:rsidRPr="001D5473">
        <w:t xml:space="preserve"> from the European Union, </w:t>
      </w:r>
      <w:r w:rsidR="00443C9F" w:rsidRPr="001D5473">
        <w:t xml:space="preserve">the </w:t>
      </w:r>
      <w:r w:rsidR="004A5148" w:rsidRPr="001D5473">
        <w:t>Association of Southeast Asian Nations</w:t>
      </w:r>
      <w:r w:rsidR="00922B9E" w:rsidRPr="001D5473">
        <w:t xml:space="preserve"> </w:t>
      </w:r>
      <w:r w:rsidR="000865EE" w:rsidRPr="001D5473">
        <w:t xml:space="preserve">and </w:t>
      </w:r>
      <w:r w:rsidR="00922B9E" w:rsidRPr="001D5473">
        <w:t>China</w:t>
      </w:r>
      <w:r w:rsidR="000865EE" w:rsidRPr="001D5473">
        <w:t>.</w:t>
      </w:r>
    </w:p>
    <w:p w14:paraId="2CFAC3A6" w14:textId="68523579" w:rsidR="006D1522" w:rsidRPr="001D5473" w:rsidRDefault="00E929E5" w:rsidP="00F31A26">
      <w:pPr>
        <w:pStyle w:val="Para1"/>
      </w:pPr>
      <w:r w:rsidRPr="001D5473">
        <w:t>Two r</w:t>
      </w:r>
      <w:r w:rsidR="00211BA6" w:rsidRPr="001D5473">
        <w:t xml:space="preserve">epresentatives of </w:t>
      </w:r>
      <w:r w:rsidR="00BB4C6C" w:rsidRPr="001D5473">
        <w:t>IMF</w:t>
      </w:r>
      <w:r w:rsidR="00D05F58" w:rsidRPr="001D5473">
        <w:rPr>
          <w:rFonts w:asciiTheme="majorBidi" w:eastAsiaTheme="minorEastAsia" w:hAnsiTheme="majorBidi" w:cstheme="majorBidi"/>
          <w:kern w:val="2"/>
          <w:szCs w:val="22"/>
          <w:lang w:eastAsia="zh-CN"/>
          <w14:ligatures w14:val="standardContextual"/>
        </w:rPr>
        <w:t xml:space="preserve">, </w:t>
      </w:r>
      <w:r w:rsidR="00D05F58" w:rsidRPr="001D5473">
        <w:t xml:space="preserve">Alessandra </w:t>
      </w:r>
      <w:proofErr w:type="gramStart"/>
      <w:r w:rsidR="00D05F58" w:rsidRPr="001D5473">
        <w:t>Alfieri</w:t>
      </w:r>
      <w:proofErr w:type="gramEnd"/>
      <w:r w:rsidR="00D05F58" w:rsidRPr="001D5473">
        <w:t xml:space="preserve"> and Steffi Schuster, </w:t>
      </w:r>
      <w:r w:rsidR="00922B9E" w:rsidRPr="001D5473">
        <w:t xml:space="preserve">joined the meeting online, as invited experts, to </w:t>
      </w:r>
      <w:r w:rsidRPr="001D5473">
        <w:t xml:space="preserve">give a </w:t>
      </w:r>
      <w:r w:rsidR="00922B9E" w:rsidRPr="001D5473">
        <w:t>present</w:t>
      </w:r>
      <w:r w:rsidRPr="001D5473">
        <w:t>ation on</w:t>
      </w:r>
      <w:r w:rsidR="00922B9E" w:rsidRPr="001D5473">
        <w:t xml:space="preserve"> the work </w:t>
      </w:r>
      <w:r w:rsidR="0028487F" w:rsidRPr="001D5473">
        <w:t xml:space="preserve">of </w:t>
      </w:r>
      <w:r w:rsidR="00132FEE" w:rsidRPr="001D5473">
        <w:t xml:space="preserve">their organization </w:t>
      </w:r>
      <w:r w:rsidR="00922B9E" w:rsidRPr="001D5473">
        <w:t>on environment and climate change statistics. The</w:t>
      </w:r>
      <w:r w:rsidR="00B467E5" w:rsidRPr="001D5473">
        <w:t>y said that the</w:t>
      </w:r>
      <w:r w:rsidR="00922B9E" w:rsidRPr="001D5473">
        <w:t xml:space="preserve"> IMF environment and climate change statistics programmes </w:t>
      </w:r>
      <w:r w:rsidR="008E148D" w:rsidRPr="001D5473">
        <w:t xml:space="preserve">had been </w:t>
      </w:r>
      <w:r w:rsidR="00922B9E" w:rsidRPr="001D5473">
        <w:t xml:space="preserve">created to assist countries </w:t>
      </w:r>
      <w:r w:rsidR="006370C7" w:rsidRPr="00531867">
        <w:t>with</w:t>
      </w:r>
      <w:r w:rsidR="00922B9E" w:rsidRPr="001D5473">
        <w:t xml:space="preserve"> develop</w:t>
      </w:r>
      <w:r w:rsidR="006370C7" w:rsidRPr="00531867">
        <w:t>ing</w:t>
      </w:r>
      <w:r w:rsidR="00922B9E" w:rsidRPr="001D5473">
        <w:t xml:space="preserve"> timely and internationally comparable statistics to support policy development. In addition, the Government Finance Statistics </w:t>
      </w:r>
      <w:r w:rsidR="00796C01" w:rsidRPr="001D5473">
        <w:t xml:space="preserve">was </w:t>
      </w:r>
      <w:r w:rsidR="00922B9E" w:rsidRPr="001D5473">
        <w:t xml:space="preserve">an integrated framework designed to support fiscal analysis and policymaking. It </w:t>
      </w:r>
      <w:r w:rsidR="001D797E" w:rsidRPr="001D5473">
        <w:t xml:space="preserve">was </w:t>
      </w:r>
      <w:r w:rsidR="00922B9E" w:rsidRPr="001D5473">
        <w:t xml:space="preserve">standardized, consistent, compatible, </w:t>
      </w:r>
      <w:proofErr w:type="gramStart"/>
      <w:r w:rsidR="00922B9E" w:rsidRPr="001D5473">
        <w:t>comprehensive</w:t>
      </w:r>
      <w:proofErr w:type="gramEnd"/>
      <w:r w:rsidR="00922B9E" w:rsidRPr="001D5473">
        <w:t xml:space="preserve"> and transparent and include</w:t>
      </w:r>
      <w:r w:rsidR="001D797E" w:rsidRPr="001D5473">
        <w:t>d</w:t>
      </w:r>
      <w:r w:rsidR="00922B9E" w:rsidRPr="001D5473">
        <w:t xml:space="preserve"> information on biodiversity-related expenditure as part of </w:t>
      </w:r>
      <w:r w:rsidR="00AD601F" w:rsidRPr="001D5473">
        <w:t xml:space="preserve">the </w:t>
      </w:r>
      <w:r w:rsidR="004110DE" w:rsidRPr="001D5473">
        <w:t>Classification of the Functions of Government</w:t>
      </w:r>
      <w:r w:rsidR="00656B57" w:rsidRPr="001D5473">
        <w:t>.</w:t>
      </w:r>
      <w:r w:rsidR="00922B9E" w:rsidRPr="001D5473">
        <w:t xml:space="preserve"> Approximately 140 of </w:t>
      </w:r>
      <w:r w:rsidR="0039602D" w:rsidRPr="001D5473">
        <w:t>the</w:t>
      </w:r>
      <w:r w:rsidR="00922B9E" w:rsidRPr="001D5473">
        <w:t xml:space="preserve"> 190 </w:t>
      </w:r>
      <w:r w:rsidR="00D4041F" w:rsidRPr="001D5473">
        <w:t xml:space="preserve">countries </w:t>
      </w:r>
      <w:r w:rsidR="00922B9E" w:rsidRPr="001D5473">
        <w:t xml:space="preserve">members </w:t>
      </w:r>
      <w:r w:rsidR="008D3F29" w:rsidRPr="001D5473">
        <w:t xml:space="preserve">of </w:t>
      </w:r>
      <w:r w:rsidR="00922B9E" w:rsidRPr="001D5473">
        <w:t>IMF report</w:t>
      </w:r>
      <w:r w:rsidR="001D797E" w:rsidRPr="001D5473">
        <w:t>ed</w:t>
      </w:r>
      <w:r w:rsidR="00922B9E" w:rsidRPr="001D5473">
        <w:t xml:space="preserve"> </w:t>
      </w:r>
      <w:r w:rsidR="00BB3828" w:rsidRPr="001D5473">
        <w:t>on</w:t>
      </w:r>
      <w:r w:rsidR="00922B9E" w:rsidRPr="001D5473">
        <w:t xml:space="preserve"> the </w:t>
      </w:r>
      <w:r w:rsidR="007B136D" w:rsidRPr="001D5473">
        <w:t>Government Finance Statistics</w:t>
      </w:r>
      <w:r w:rsidR="007B136D" w:rsidRPr="001D5473" w:rsidDel="007B136D">
        <w:t xml:space="preserve"> </w:t>
      </w:r>
      <w:r w:rsidR="00922B9E" w:rsidRPr="001D5473">
        <w:t>on an annual basis. IMF produce</w:t>
      </w:r>
      <w:r w:rsidR="000F1D6F" w:rsidRPr="001D5473">
        <w:t>d</w:t>
      </w:r>
      <w:r w:rsidR="00922B9E" w:rsidRPr="001D5473">
        <w:t xml:space="preserve"> </w:t>
      </w:r>
      <w:r w:rsidR="00DF483C" w:rsidRPr="001D5473">
        <w:t>Government Finance Statistics</w:t>
      </w:r>
      <w:r w:rsidR="00DF483C" w:rsidRPr="001D5473" w:rsidDel="00DF483C">
        <w:t xml:space="preserve"> </w:t>
      </w:r>
      <w:r w:rsidR="00922B9E" w:rsidRPr="001D5473">
        <w:t>guidance manuals with a view to generat</w:t>
      </w:r>
      <w:r w:rsidR="00DF483C" w:rsidRPr="001D5473">
        <w:t>ing</w:t>
      </w:r>
      <w:r w:rsidR="00922B9E" w:rsidRPr="001D5473">
        <w:t xml:space="preserve"> </w:t>
      </w:r>
      <w:r w:rsidR="00922B9E" w:rsidRPr="001D5473">
        <w:lastRenderedPageBreak/>
        <w:t xml:space="preserve">comparable fiscal data. </w:t>
      </w:r>
      <w:r w:rsidR="00306CB3" w:rsidRPr="001D5473">
        <w:t>T</w:t>
      </w:r>
      <w:r w:rsidR="00922B9E" w:rsidRPr="001D5473">
        <w:t xml:space="preserve">hree manuals </w:t>
      </w:r>
      <w:r w:rsidR="00306CB3" w:rsidRPr="001D5473">
        <w:t xml:space="preserve">had been </w:t>
      </w:r>
      <w:r w:rsidR="00922B9E" w:rsidRPr="001D5473">
        <w:t xml:space="preserve">published </w:t>
      </w:r>
      <w:r w:rsidR="000535A9" w:rsidRPr="001D5473">
        <w:t>to date</w:t>
      </w:r>
      <w:r w:rsidR="00922B9E" w:rsidRPr="001D5473">
        <w:t>, most recent</w:t>
      </w:r>
      <w:r w:rsidR="000535A9" w:rsidRPr="001D5473">
        <w:t>ly</w:t>
      </w:r>
      <w:r w:rsidR="00922B9E" w:rsidRPr="001D5473">
        <w:t xml:space="preserve"> in 2014</w:t>
      </w:r>
      <w:r w:rsidR="00C674A3" w:rsidRPr="001D5473">
        <w:t>,</w:t>
      </w:r>
      <w:r w:rsidR="00922B9E" w:rsidRPr="001D5473">
        <w:t xml:space="preserve"> </w:t>
      </w:r>
      <w:r w:rsidR="00C674A3" w:rsidRPr="001D5473">
        <w:t>and a</w:t>
      </w:r>
      <w:r w:rsidR="00922B9E" w:rsidRPr="001D5473">
        <w:t xml:space="preserve">n updated manual </w:t>
      </w:r>
      <w:r w:rsidR="00F909FB" w:rsidRPr="00531867">
        <w:t xml:space="preserve">was due for publication </w:t>
      </w:r>
      <w:r w:rsidR="00922B9E" w:rsidRPr="001D5473">
        <w:t>in April 2024.</w:t>
      </w:r>
    </w:p>
    <w:p w14:paraId="68E9E140" w14:textId="18FF06C9" w:rsidR="00922B9E" w:rsidRPr="001D5473" w:rsidRDefault="006D1522" w:rsidP="00F31A26">
      <w:pPr>
        <w:pStyle w:val="Para1"/>
      </w:pPr>
      <w:r w:rsidRPr="001D5473">
        <w:t xml:space="preserve">The IMF </w:t>
      </w:r>
      <w:r w:rsidR="00C674A3" w:rsidRPr="001D5473">
        <w:t xml:space="preserve">representatives </w:t>
      </w:r>
      <w:r w:rsidRPr="001D5473">
        <w:t xml:space="preserve">expressed interest in working with the </w:t>
      </w:r>
      <w:r w:rsidR="00B97EBD" w:rsidRPr="001D5473">
        <w:t xml:space="preserve">Technical Expert Group </w:t>
      </w:r>
      <w:r w:rsidRPr="001D5473">
        <w:t xml:space="preserve">to improve the biodiversity component of their </w:t>
      </w:r>
      <w:r w:rsidR="00027649" w:rsidRPr="001D5473">
        <w:t xml:space="preserve">organization’s </w:t>
      </w:r>
      <w:r w:rsidRPr="001D5473">
        <w:t xml:space="preserve">collection system. </w:t>
      </w:r>
    </w:p>
    <w:p w14:paraId="1FF4A267" w14:textId="29BB1FDA" w:rsidR="00922B9E" w:rsidRPr="001D5473" w:rsidRDefault="00987D38" w:rsidP="00F31A26">
      <w:pPr>
        <w:pStyle w:val="Para1"/>
      </w:pPr>
      <w:r w:rsidRPr="001D5473">
        <w:t xml:space="preserve">The representative of the </w:t>
      </w:r>
      <w:r w:rsidR="00922B9E" w:rsidRPr="001D5473">
        <w:t xml:space="preserve">Statistics Division </w:t>
      </w:r>
      <w:r w:rsidR="00145880" w:rsidRPr="001D5473">
        <w:t xml:space="preserve">of the United Nations, </w:t>
      </w:r>
      <w:r w:rsidRPr="001D5473">
        <w:t xml:space="preserve">Ilaria di Matteo, </w:t>
      </w:r>
      <w:r w:rsidR="00EB0D61" w:rsidRPr="001D5473">
        <w:t xml:space="preserve">gave an online </w:t>
      </w:r>
      <w:r w:rsidR="00922B9E" w:rsidRPr="001D5473">
        <w:t>present</w:t>
      </w:r>
      <w:r w:rsidR="00EB0D61" w:rsidRPr="001D5473">
        <w:t>ation</w:t>
      </w:r>
      <w:r w:rsidR="00922B9E" w:rsidRPr="001D5473">
        <w:t xml:space="preserve">, as an invited expert, </w:t>
      </w:r>
      <w:r w:rsidR="00EB0D61" w:rsidRPr="001D5473">
        <w:t xml:space="preserve">on </w:t>
      </w:r>
      <w:r w:rsidR="00922B9E" w:rsidRPr="001D5473">
        <w:t xml:space="preserve">the </w:t>
      </w:r>
      <w:r w:rsidR="00AC6AA7" w:rsidRPr="001D5473">
        <w:t xml:space="preserve">System of Environmental Economic Accounting </w:t>
      </w:r>
      <w:r w:rsidR="00922B9E" w:rsidRPr="001D5473">
        <w:t xml:space="preserve">Central Framework. She explained that the </w:t>
      </w:r>
      <w:r w:rsidR="00A15EBA" w:rsidRPr="001D5473">
        <w:t xml:space="preserve">System had been </w:t>
      </w:r>
      <w:r w:rsidR="00922B9E" w:rsidRPr="001D5473">
        <w:t xml:space="preserve">created as a framework for organizing and presenting statistics on </w:t>
      </w:r>
      <w:r w:rsidR="00D7485C" w:rsidRPr="001D5473">
        <w:t xml:space="preserve">the </w:t>
      </w:r>
      <w:r w:rsidR="00922B9E" w:rsidRPr="001D5473">
        <w:t>environment and its relationships with the economy</w:t>
      </w:r>
      <w:r w:rsidR="00976539" w:rsidRPr="001D5473">
        <w:t>,</w:t>
      </w:r>
      <w:r w:rsidR="00533BC3" w:rsidRPr="001D5473">
        <w:t xml:space="preserve"> in response to the need to go beyond economic accounting</w:t>
      </w:r>
      <w:r w:rsidR="00922B9E" w:rsidRPr="001D5473">
        <w:t xml:space="preserve">. The Central Framework </w:t>
      </w:r>
      <w:r w:rsidR="00976539" w:rsidRPr="001D5473">
        <w:t xml:space="preserve">had been </w:t>
      </w:r>
      <w:r w:rsidR="00922B9E" w:rsidRPr="001D5473">
        <w:t xml:space="preserve">adopted as an international statistical standard by the Statistical Commission in 2012, and the </w:t>
      </w:r>
      <w:r w:rsidR="008C04F3" w:rsidRPr="001D5473">
        <w:t xml:space="preserve">System of Environmental-Economic Accounting – </w:t>
      </w:r>
      <w:r w:rsidR="00922B9E" w:rsidRPr="001D5473">
        <w:t xml:space="preserve">Ecosystem Accounting </w:t>
      </w:r>
      <w:r w:rsidR="008C04F3" w:rsidRPr="001D5473">
        <w:t xml:space="preserve">had been </w:t>
      </w:r>
      <w:r w:rsidR="00922B9E" w:rsidRPr="001D5473">
        <w:t xml:space="preserve">adopted in 2021. </w:t>
      </w:r>
      <w:r w:rsidR="00FA74DC" w:rsidRPr="001D5473">
        <w:t xml:space="preserve">A total of </w:t>
      </w:r>
      <w:r w:rsidR="00922B9E" w:rsidRPr="001D5473">
        <w:t xml:space="preserve">91 countries </w:t>
      </w:r>
      <w:r w:rsidR="00FA74DC" w:rsidRPr="001D5473">
        <w:t xml:space="preserve">were </w:t>
      </w:r>
      <w:r w:rsidR="00922B9E" w:rsidRPr="001D5473">
        <w:t xml:space="preserve">currently implementing the Central Framework, </w:t>
      </w:r>
      <w:r w:rsidR="00582AA1" w:rsidRPr="001D5473">
        <w:t xml:space="preserve">while </w:t>
      </w:r>
      <w:r w:rsidR="00922B9E" w:rsidRPr="001D5473">
        <w:t>41</w:t>
      </w:r>
      <w:r w:rsidR="00C50F85" w:rsidRPr="00531867">
        <w:t> </w:t>
      </w:r>
      <w:r w:rsidR="00922B9E" w:rsidRPr="001D5473">
        <w:t xml:space="preserve">countries </w:t>
      </w:r>
      <w:r w:rsidR="00D2280F" w:rsidRPr="001D5473">
        <w:t xml:space="preserve">were </w:t>
      </w:r>
      <w:r w:rsidR="00922B9E" w:rsidRPr="001D5473">
        <w:t>implementing the Ecosystem Account</w:t>
      </w:r>
      <w:r w:rsidR="00582AA1" w:rsidRPr="001D5473">
        <w:t>ing</w:t>
      </w:r>
      <w:r w:rsidR="00922B9E" w:rsidRPr="001D5473">
        <w:t xml:space="preserve">. The Central </w:t>
      </w:r>
      <w:r w:rsidR="00095273" w:rsidRPr="001D5473">
        <w:t>F</w:t>
      </w:r>
      <w:r w:rsidR="00922B9E" w:rsidRPr="001D5473">
        <w:t>ramework also include</w:t>
      </w:r>
      <w:r w:rsidR="00D2280F" w:rsidRPr="001D5473">
        <w:t>d</w:t>
      </w:r>
      <w:r w:rsidR="00922B9E" w:rsidRPr="001D5473">
        <w:t xml:space="preserve"> environmental protection expenditure accounts</w:t>
      </w:r>
      <w:r w:rsidR="007E5930" w:rsidRPr="001D5473">
        <w:t>,</w:t>
      </w:r>
      <w:r w:rsidR="00922B9E" w:rsidRPr="001D5473">
        <w:t xml:space="preserve"> </w:t>
      </w:r>
      <w:r w:rsidR="006D1522" w:rsidRPr="001D5473">
        <w:t xml:space="preserve">which </w:t>
      </w:r>
      <w:r w:rsidR="007E5930" w:rsidRPr="001D5473">
        <w:t xml:space="preserve">themselves </w:t>
      </w:r>
      <w:r w:rsidR="006D1522" w:rsidRPr="001D5473">
        <w:t>include</w:t>
      </w:r>
      <w:r w:rsidR="00D2280F" w:rsidRPr="001D5473">
        <w:t>d</w:t>
      </w:r>
      <w:r w:rsidR="006D1522" w:rsidRPr="001D5473">
        <w:t xml:space="preserve"> biodiversity expenditure</w:t>
      </w:r>
      <w:r w:rsidR="00922B9E" w:rsidRPr="001D5473">
        <w:t xml:space="preserve">. </w:t>
      </w:r>
      <w:r w:rsidR="007946F1" w:rsidRPr="00531867">
        <w:t>T</w:t>
      </w:r>
      <w:r w:rsidR="00922B9E" w:rsidRPr="001D5473">
        <w:t xml:space="preserve">he Central Framework </w:t>
      </w:r>
      <w:r w:rsidR="007946F1" w:rsidRPr="00531867">
        <w:t xml:space="preserve">and </w:t>
      </w:r>
      <w:r w:rsidR="00D434BC" w:rsidRPr="001D5473">
        <w:t xml:space="preserve">would </w:t>
      </w:r>
      <w:r w:rsidR="00922B9E" w:rsidRPr="001D5473">
        <w:t>be updated starting in March 2024</w:t>
      </w:r>
      <w:r w:rsidR="00B40F29" w:rsidRPr="001D5473">
        <w:t>,</w:t>
      </w:r>
      <w:r w:rsidR="00922B9E" w:rsidRPr="001D5473">
        <w:t xml:space="preserve"> and </w:t>
      </w:r>
      <w:r w:rsidR="007A14A9">
        <w:t xml:space="preserve">it was expected that </w:t>
      </w:r>
      <w:r w:rsidR="00922B9E" w:rsidRPr="001D5473">
        <w:t xml:space="preserve">the update </w:t>
      </w:r>
      <w:r w:rsidR="007A14A9">
        <w:t xml:space="preserve">would </w:t>
      </w:r>
      <w:r w:rsidR="00922B9E" w:rsidRPr="001D5473">
        <w:t>be adopted by 2028.</w:t>
      </w:r>
    </w:p>
    <w:p w14:paraId="7370EBC7" w14:textId="5CBA926C" w:rsidR="00922B9E" w:rsidRPr="001D5473" w:rsidRDefault="00964CF5" w:rsidP="00F31A26">
      <w:pPr>
        <w:pStyle w:val="Para1"/>
      </w:pPr>
      <w:r w:rsidRPr="001D5473">
        <w:t xml:space="preserve">A representative of the </w:t>
      </w:r>
      <w:r w:rsidRPr="001D5473">
        <w:rPr>
          <w:rFonts w:asciiTheme="majorBidi" w:eastAsiaTheme="minorEastAsia" w:hAnsiTheme="majorBidi" w:cstheme="majorBidi"/>
          <w:kern w:val="2"/>
          <w:szCs w:val="22"/>
          <w:lang w:eastAsia="zh-CN"/>
          <w14:ligatures w14:val="standardContextual"/>
        </w:rPr>
        <w:t>Department of Economic and Social Affairs</w:t>
      </w:r>
      <w:r w:rsidRPr="001D5473">
        <w:t xml:space="preserve"> of the United Nations, </w:t>
      </w:r>
      <w:r w:rsidR="00922B9E" w:rsidRPr="001D5473">
        <w:t>Julian Chow</w:t>
      </w:r>
      <w:r w:rsidR="00881716" w:rsidRPr="001D5473">
        <w:t>,</w:t>
      </w:r>
      <w:r w:rsidR="00922B9E" w:rsidRPr="001D5473">
        <w:t xml:space="preserve"> </w:t>
      </w:r>
      <w:r w:rsidR="0008793B" w:rsidRPr="001D5473">
        <w:t xml:space="preserve">gave an online </w:t>
      </w:r>
      <w:r w:rsidR="00922B9E" w:rsidRPr="001D5473">
        <w:t>present</w:t>
      </w:r>
      <w:r w:rsidR="0008793B" w:rsidRPr="001D5473">
        <w:t>ation</w:t>
      </w:r>
      <w:r w:rsidR="00922B9E" w:rsidRPr="001D5473">
        <w:t>, as an invited expert, on the revision of the Classification of the Functions of Government</w:t>
      </w:r>
      <w:r w:rsidR="0079124B" w:rsidRPr="001D5473">
        <w:t>.</w:t>
      </w:r>
      <w:r w:rsidR="00922B9E" w:rsidRPr="001D5473">
        <w:t xml:space="preserve"> Approved by the Statistic</w:t>
      </w:r>
      <w:r w:rsidR="00E83175" w:rsidRPr="001D5473">
        <w:t>al</w:t>
      </w:r>
      <w:r w:rsidR="00922B9E" w:rsidRPr="001D5473">
        <w:t xml:space="preserve"> Commission in 1999, </w:t>
      </w:r>
      <w:r w:rsidR="008D3810" w:rsidRPr="001D5473">
        <w:t xml:space="preserve">the Classification </w:t>
      </w:r>
      <w:r w:rsidR="00922B9E" w:rsidRPr="001D5473">
        <w:t>provide</w:t>
      </w:r>
      <w:r w:rsidR="008D3810" w:rsidRPr="001D5473">
        <w:t>d</w:t>
      </w:r>
      <w:r w:rsidR="00922B9E" w:rsidRPr="001D5473">
        <w:t xml:space="preserve"> a wide range of statistics pertaining to expenditure by </w:t>
      </w:r>
      <w:r w:rsidR="008D3810" w:rsidRPr="001D5473">
        <w:t>G</w:t>
      </w:r>
      <w:r w:rsidR="00922B9E" w:rsidRPr="001D5473">
        <w:t>overnments</w:t>
      </w:r>
      <w:r w:rsidR="00634D8D" w:rsidRPr="001D5473">
        <w:t xml:space="preserve"> that </w:t>
      </w:r>
      <w:r w:rsidR="00922B9E" w:rsidRPr="001D5473">
        <w:t>permit</w:t>
      </w:r>
      <w:r w:rsidR="00DC3012" w:rsidRPr="001D5473">
        <w:t>ted</w:t>
      </w:r>
      <w:r w:rsidR="00922B9E" w:rsidRPr="001D5473">
        <w:t xml:space="preserve"> </w:t>
      </w:r>
      <w:r w:rsidR="00D66D31" w:rsidRPr="001D5473">
        <w:t xml:space="preserve">the examination over time of </w:t>
      </w:r>
      <w:r w:rsidR="00922B9E" w:rsidRPr="001D5473">
        <w:t>trends in government outlays on functions or purposes. It also provide</w:t>
      </w:r>
      <w:r w:rsidR="00B974DD" w:rsidRPr="001D5473">
        <w:t>d</w:t>
      </w:r>
      <w:r w:rsidR="00922B9E" w:rsidRPr="001D5473">
        <w:t xml:space="preserve"> users with the means to recast key aggregates of the system for </w:t>
      </w:r>
      <w:r w:rsidR="00A77B5D" w:rsidRPr="001D5473">
        <w:t xml:space="preserve">various </w:t>
      </w:r>
      <w:r w:rsidR="00922B9E" w:rsidRPr="001D5473">
        <w:t xml:space="preserve">kinds of analysis on government expenditure. Moreover, </w:t>
      </w:r>
      <w:r w:rsidR="00B974DD" w:rsidRPr="001D5473">
        <w:t xml:space="preserve">it </w:t>
      </w:r>
      <w:r w:rsidR="00922B9E" w:rsidRPr="001D5473">
        <w:t>allow</w:t>
      </w:r>
      <w:r w:rsidR="00B974DD" w:rsidRPr="001D5473">
        <w:t>ed</w:t>
      </w:r>
      <w:r w:rsidR="00922B9E" w:rsidRPr="001D5473">
        <w:t xml:space="preserve"> intercountry comparisons o</w:t>
      </w:r>
      <w:r w:rsidR="00D66D31" w:rsidRPr="001D5473">
        <w:t>n</w:t>
      </w:r>
      <w:r w:rsidR="00922B9E" w:rsidRPr="001D5473">
        <w:t xml:space="preserve"> the extent to which </w:t>
      </w:r>
      <w:r w:rsidR="00F333A0" w:rsidRPr="001D5473">
        <w:t>G</w:t>
      </w:r>
      <w:r w:rsidR="00922B9E" w:rsidRPr="001D5473">
        <w:t xml:space="preserve">overnments </w:t>
      </w:r>
      <w:r w:rsidR="00F333A0" w:rsidRPr="001D5473">
        <w:t xml:space="preserve">were </w:t>
      </w:r>
      <w:r w:rsidR="00922B9E" w:rsidRPr="001D5473">
        <w:t xml:space="preserve">involved in specific economic, </w:t>
      </w:r>
      <w:proofErr w:type="gramStart"/>
      <w:r w:rsidR="00922B9E" w:rsidRPr="001D5473">
        <w:t>social</w:t>
      </w:r>
      <w:proofErr w:type="gramEnd"/>
      <w:r w:rsidR="00922B9E" w:rsidRPr="001D5473">
        <w:t xml:space="preserve"> and environmental </w:t>
      </w:r>
      <w:r w:rsidR="006D1522" w:rsidRPr="001D5473">
        <w:t>areas</w:t>
      </w:r>
      <w:r w:rsidR="00922B9E" w:rsidRPr="001D5473">
        <w:t>.</w:t>
      </w:r>
    </w:p>
    <w:p w14:paraId="2249CEC4" w14:textId="54566E1B" w:rsidR="00922B9E" w:rsidRPr="001D5473" w:rsidRDefault="00E03D9E" w:rsidP="00F31A26">
      <w:pPr>
        <w:pStyle w:val="Para1"/>
      </w:pPr>
      <w:r w:rsidRPr="001D5473">
        <w:t xml:space="preserve">The representative said </w:t>
      </w:r>
      <w:r w:rsidR="00922B9E" w:rsidRPr="001D5473">
        <w:t xml:space="preserve">that the current version </w:t>
      </w:r>
      <w:r w:rsidR="003A776C" w:rsidRPr="001D5473">
        <w:t>of the Classification of the Functions of Government</w:t>
      </w:r>
      <w:r w:rsidRPr="001D5473">
        <w:t xml:space="preserve">, which </w:t>
      </w:r>
      <w:r w:rsidR="003B37EA" w:rsidRPr="001D5473">
        <w:t>had been launched in</w:t>
      </w:r>
      <w:r w:rsidRPr="001D5473">
        <w:t xml:space="preserve"> 1999,</w:t>
      </w:r>
      <w:r w:rsidR="003A776C" w:rsidRPr="001D5473">
        <w:t xml:space="preserve"> </w:t>
      </w:r>
      <w:r w:rsidR="00922B9E" w:rsidRPr="001D5473">
        <w:t>contain</w:t>
      </w:r>
      <w:r w:rsidR="003A776C" w:rsidRPr="001D5473">
        <w:t>ed</w:t>
      </w:r>
      <w:r w:rsidR="00922B9E" w:rsidRPr="001D5473">
        <w:t xml:space="preserve"> a broad environmental category, which already include</w:t>
      </w:r>
      <w:r w:rsidR="003A776C" w:rsidRPr="001D5473">
        <w:t>d</w:t>
      </w:r>
      <w:r w:rsidR="00922B9E" w:rsidRPr="001D5473">
        <w:t xml:space="preserve"> a subsection on the protection of biodiversity and landscape. In 2022, </w:t>
      </w:r>
      <w:r w:rsidR="00DA1323" w:rsidRPr="001D5473">
        <w:t xml:space="preserve">in the light of emerging data needs for policymaking, </w:t>
      </w:r>
      <w:r w:rsidR="00922B9E" w:rsidRPr="001D5473">
        <w:t xml:space="preserve">the Statistical Commission </w:t>
      </w:r>
      <w:r w:rsidR="0095798C" w:rsidRPr="001D5473">
        <w:t xml:space="preserve">had </w:t>
      </w:r>
      <w:r w:rsidR="00922B9E" w:rsidRPr="001D5473">
        <w:t xml:space="preserve">recommended a revision of </w:t>
      </w:r>
      <w:r w:rsidR="003A776C" w:rsidRPr="001D5473">
        <w:t>the Classification</w:t>
      </w:r>
      <w:r w:rsidR="00922B9E" w:rsidRPr="001D5473">
        <w:t>, including</w:t>
      </w:r>
      <w:r w:rsidR="00D66D31" w:rsidRPr="001D5473">
        <w:t xml:space="preserve"> </w:t>
      </w:r>
      <w:r w:rsidR="00DA1323" w:rsidRPr="001D5473">
        <w:t xml:space="preserve">to allow for </w:t>
      </w:r>
      <w:r w:rsidR="00A216A2" w:rsidRPr="001D5473">
        <w:t xml:space="preserve">the provision of </w:t>
      </w:r>
      <w:r w:rsidR="00D66D31" w:rsidRPr="001D5473">
        <w:t xml:space="preserve">better and more focused data on </w:t>
      </w:r>
      <w:r w:rsidR="00922B9E" w:rsidRPr="001D5473">
        <w:t>climate change and biodiversity</w:t>
      </w:r>
      <w:r w:rsidR="00D66D31" w:rsidRPr="001D5473">
        <w:t xml:space="preserve"> expenditure</w:t>
      </w:r>
      <w:r w:rsidR="003B2E4C" w:rsidRPr="001D5473">
        <w:t>.</w:t>
      </w:r>
      <w:r w:rsidR="00922B9E" w:rsidRPr="001D5473">
        <w:t xml:space="preserve"> Th</w:t>
      </w:r>
      <w:r w:rsidR="00BD277E" w:rsidRPr="001D5473">
        <w:t>e</w:t>
      </w:r>
      <w:r w:rsidR="00922B9E" w:rsidRPr="001D5473">
        <w:t xml:space="preserve"> </w:t>
      </w:r>
      <w:r w:rsidR="003B2E4C" w:rsidRPr="001D5473">
        <w:t xml:space="preserve">revision </w:t>
      </w:r>
      <w:r w:rsidR="00BD277E" w:rsidRPr="001D5473">
        <w:t xml:space="preserve">was </w:t>
      </w:r>
      <w:r w:rsidR="00922B9E" w:rsidRPr="001D5473">
        <w:t>currently in its preparatory phase.</w:t>
      </w:r>
    </w:p>
    <w:p w14:paraId="470442F6" w14:textId="48DA3F1C" w:rsidR="00E5267A" w:rsidRPr="001D5473" w:rsidRDefault="008B5046" w:rsidP="00F31A26">
      <w:pPr>
        <w:pStyle w:val="Para1"/>
      </w:pPr>
      <w:r w:rsidRPr="001D5473">
        <w:t xml:space="preserve">Following a </w:t>
      </w:r>
      <w:r w:rsidR="003B2E4C" w:rsidRPr="001D5473">
        <w:t xml:space="preserve">session </w:t>
      </w:r>
      <w:r w:rsidRPr="001D5473">
        <w:t xml:space="preserve">of </w:t>
      </w:r>
      <w:r w:rsidR="00BD277E" w:rsidRPr="001D5473">
        <w:t>questions and answers</w:t>
      </w:r>
      <w:r w:rsidRPr="001D5473">
        <w:t xml:space="preserve"> with the presenters, the </w:t>
      </w:r>
      <w:r w:rsidR="000D2D05" w:rsidRPr="001D5473">
        <w:t>Technical Expert G</w:t>
      </w:r>
      <w:r w:rsidRPr="001D5473">
        <w:t>roup discussed headline indicator D.2 and noted that existing statistical classification standards</w:t>
      </w:r>
      <w:r w:rsidR="00F31498" w:rsidRPr="001D5473">
        <w:t>,</w:t>
      </w:r>
      <w:r w:rsidRPr="001D5473">
        <w:t xml:space="preserve"> such as </w:t>
      </w:r>
      <w:r w:rsidR="004E44C5" w:rsidRPr="001D5473">
        <w:t>the Classification of the Functions of Government</w:t>
      </w:r>
      <w:r w:rsidR="00F31498" w:rsidRPr="001D5473">
        <w:t>,</w:t>
      </w:r>
      <w:r w:rsidR="004E44C5" w:rsidRPr="001D5473">
        <w:t xml:space="preserve"> </w:t>
      </w:r>
      <w:r w:rsidRPr="001D5473">
        <w:t>follow</w:t>
      </w:r>
      <w:r w:rsidR="004E44C5" w:rsidRPr="001D5473">
        <w:t>ed</w:t>
      </w:r>
      <w:r w:rsidRPr="001D5473">
        <w:t xml:space="preserve"> a narrow definition of what constitute</w:t>
      </w:r>
      <w:r w:rsidR="004E44C5" w:rsidRPr="001D5473">
        <w:t>d</w:t>
      </w:r>
      <w:r w:rsidRPr="001D5473">
        <w:t xml:space="preserve"> biodiversity-related expenditure</w:t>
      </w:r>
      <w:r w:rsidR="004E44C5" w:rsidRPr="001D5473">
        <w:t>,</w:t>
      </w:r>
      <w:r w:rsidRPr="001D5473">
        <w:t xml:space="preserve"> while broader approaches that include</w:t>
      </w:r>
      <w:r w:rsidR="004E44C5" w:rsidRPr="001D5473">
        <w:t>d</w:t>
      </w:r>
      <w:r w:rsidRPr="001D5473">
        <w:t xml:space="preserve"> indirect expenditure (or expenditure where biodiversity </w:t>
      </w:r>
      <w:r w:rsidR="004E44C5" w:rsidRPr="001D5473">
        <w:t xml:space="preserve">was </w:t>
      </w:r>
      <w:r w:rsidRPr="001D5473">
        <w:t>not the “main purpose”) had been used in</w:t>
      </w:r>
      <w:r w:rsidR="006D3595" w:rsidRPr="001D5473">
        <w:t xml:space="preserve"> work carried out </w:t>
      </w:r>
      <w:r w:rsidR="00F31498" w:rsidRPr="001D5473">
        <w:t>under</w:t>
      </w:r>
      <w:r w:rsidRPr="001D5473">
        <w:t xml:space="preserve"> the </w:t>
      </w:r>
      <w:r w:rsidR="004E44C5" w:rsidRPr="001D5473">
        <w:t>Convention</w:t>
      </w:r>
      <w:r w:rsidRPr="001D5473">
        <w:t xml:space="preserve">. The </w:t>
      </w:r>
      <w:r w:rsidR="00D317E4" w:rsidRPr="001D5473">
        <w:t>G</w:t>
      </w:r>
      <w:r w:rsidRPr="001D5473">
        <w:t>roup agreed that</w:t>
      </w:r>
      <w:r w:rsidR="008B7D8B" w:rsidRPr="001D5473">
        <w:t>,</w:t>
      </w:r>
      <w:r w:rsidRPr="001D5473">
        <w:t xml:space="preserve"> since </w:t>
      </w:r>
      <w:r w:rsidR="00D317E4" w:rsidRPr="001D5473">
        <w:t xml:space="preserve">indicator </w:t>
      </w:r>
      <w:r w:rsidRPr="001D5473">
        <w:t xml:space="preserve">D.2 </w:t>
      </w:r>
      <w:r w:rsidR="00261DFB" w:rsidRPr="001D5473">
        <w:t xml:space="preserve">was based on </w:t>
      </w:r>
      <w:r w:rsidRPr="001D5473">
        <w:t xml:space="preserve">a </w:t>
      </w:r>
      <w:r w:rsidR="008B7D8B" w:rsidRPr="001D5473">
        <w:t xml:space="preserve">monetary </w:t>
      </w:r>
      <w:r w:rsidRPr="001D5473">
        <w:t>value, a methodology ha</w:t>
      </w:r>
      <w:r w:rsidR="00AC498E" w:rsidRPr="001D5473">
        <w:t>d</w:t>
      </w:r>
      <w:r w:rsidRPr="001D5473">
        <w:t xml:space="preserve"> to be recommended to </w:t>
      </w:r>
      <w:r w:rsidR="00261DFB" w:rsidRPr="001D5473">
        <w:t xml:space="preserve">enable </w:t>
      </w:r>
      <w:r w:rsidRPr="001D5473">
        <w:t xml:space="preserve">countries to report that value in a simple and effective manner. </w:t>
      </w:r>
      <w:r w:rsidR="00922A11" w:rsidRPr="001D5473">
        <w:t>T</w:t>
      </w:r>
      <w:r w:rsidRPr="001D5473">
        <w:t xml:space="preserve">he </w:t>
      </w:r>
      <w:r w:rsidR="00AC498E" w:rsidRPr="001D5473">
        <w:t>G</w:t>
      </w:r>
      <w:r w:rsidRPr="001D5473">
        <w:t>roup</w:t>
      </w:r>
      <w:r w:rsidR="00D35708" w:rsidRPr="00531867">
        <w:t>,</w:t>
      </w:r>
      <w:r w:rsidRPr="001D5473">
        <w:t xml:space="preserve"> </w:t>
      </w:r>
      <w:r w:rsidR="00922A11" w:rsidRPr="001D5473">
        <w:t>however</w:t>
      </w:r>
      <w:r w:rsidR="00D35708" w:rsidRPr="00531867">
        <w:t>,</w:t>
      </w:r>
      <w:r w:rsidR="00922A11" w:rsidRPr="001D5473">
        <w:t xml:space="preserve"> also </w:t>
      </w:r>
      <w:r w:rsidRPr="001D5473">
        <w:t>noted that</w:t>
      </w:r>
      <w:r w:rsidR="00922A11" w:rsidRPr="001D5473">
        <w:t>,</w:t>
      </w:r>
      <w:r w:rsidRPr="001D5473">
        <w:t xml:space="preserve"> to ensure </w:t>
      </w:r>
      <w:r w:rsidR="007A14A9">
        <w:t>a higher rate of</w:t>
      </w:r>
      <w:r w:rsidR="007A14A9" w:rsidRPr="001D5473">
        <w:t xml:space="preserve"> </w:t>
      </w:r>
      <w:r w:rsidRPr="001D5473">
        <w:t xml:space="preserve">reporting, the monitoring framework should provide a menu of methodological options. As a first step, applying </w:t>
      </w:r>
      <w:r w:rsidR="00563FEE" w:rsidRPr="001D5473">
        <w:t xml:space="preserve">various </w:t>
      </w:r>
      <w:r w:rsidRPr="001D5473">
        <w:t xml:space="preserve">methodologies would still </w:t>
      </w:r>
      <w:r w:rsidR="00683B16" w:rsidRPr="001D5473">
        <w:t xml:space="preserve">enable </w:t>
      </w:r>
      <w:r w:rsidRPr="001D5473">
        <w:t xml:space="preserve">aggregation but would limit intercountry comparisons. The </w:t>
      </w:r>
      <w:r w:rsidR="00AC498E" w:rsidRPr="001D5473">
        <w:t>G</w:t>
      </w:r>
      <w:r w:rsidRPr="001D5473">
        <w:t xml:space="preserve">roup stressed the importance of, at a minimum, ensuring </w:t>
      </w:r>
      <w:r w:rsidR="00683B16" w:rsidRPr="001D5473">
        <w:t xml:space="preserve">the </w:t>
      </w:r>
      <w:r w:rsidRPr="001D5473">
        <w:t xml:space="preserve">consistency of reporting by countries over time and transparency in what reported expenditure </w:t>
      </w:r>
      <w:r w:rsidR="007A14A9">
        <w:t>covered,</w:t>
      </w:r>
      <w:r w:rsidRPr="001D5473">
        <w:t xml:space="preserve"> </w:t>
      </w:r>
      <w:r w:rsidR="0059015B" w:rsidRPr="001D5473">
        <w:t xml:space="preserve">and </w:t>
      </w:r>
      <w:r w:rsidR="007C5A28" w:rsidRPr="001D5473">
        <w:t xml:space="preserve">the </w:t>
      </w:r>
      <w:r w:rsidRPr="001D5473">
        <w:t>methodology used to assess expenditure</w:t>
      </w:r>
      <w:r w:rsidR="004A2297" w:rsidRPr="001D5473">
        <w:t xml:space="preserve">. </w:t>
      </w:r>
    </w:p>
    <w:p w14:paraId="7AE3458A" w14:textId="2D56AAB7" w:rsidR="003B7EBF" w:rsidRPr="001D5473" w:rsidRDefault="00E23C6B" w:rsidP="00F31A26">
      <w:pPr>
        <w:pStyle w:val="Para1"/>
      </w:pPr>
      <w:r w:rsidRPr="001D5473">
        <w:t>T</w:t>
      </w:r>
      <w:r w:rsidR="00377A2D" w:rsidRPr="001D5473">
        <w:t xml:space="preserve">he </w:t>
      </w:r>
      <w:r w:rsidR="0059015B" w:rsidRPr="001D5473">
        <w:t>Technical Expert G</w:t>
      </w:r>
      <w:r w:rsidR="00377A2D" w:rsidRPr="001D5473">
        <w:t xml:space="preserve">roup </w:t>
      </w:r>
      <w:r w:rsidR="00C9717E" w:rsidRPr="001D5473">
        <w:t xml:space="preserve">identified </w:t>
      </w:r>
      <w:r w:rsidR="007E6B08" w:rsidRPr="001D5473">
        <w:t xml:space="preserve">an opportunity to harmonize </w:t>
      </w:r>
      <w:r w:rsidR="003B7EBF" w:rsidRPr="001D5473">
        <w:t>the language across indicators D.1, D.2 and D.3.</w:t>
      </w:r>
    </w:p>
    <w:p w14:paraId="2E52E625" w14:textId="71EE41A7" w:rsidR="0081214C" w:rsidRPr="001D5473" w:rsidRDefault="0039491C" w:rsidP="00F31A26">
      <w:pPr>
        <w:pStyle w:val="Para1"/>
      </w:pPr>
      <w:r w:rsidRPr="001D5473">
        <w:t xml:space="preserve">The </w:t>
      </w:r>
      <w:r w:rsidR="00FA38BF" w:rsidRPr="001D5473">
        <w:t>Technical Expert G</w:t>
      </w:r>
      <w:r w:rsidR="00922B9E" w:rsidRPr="001D5473">
        <w:t xml:space="preserve">roup </w:t>
      </w:r>
      <w:r w:rsidRPr="001D5473">
        <w:t>recognized a general need for more capacity</w:t>
      </w:r>
      <w:r w:rsidR="00FA38BF" w:rsidRPr="001D5473">
        <w:t>-</w:t>
      </w:r>
      <w:r w:rsidRPr="001D5473">
        <w:t>building to improve the effectiveness of national reporting</w:t>
      </w:r>
      <w:r w:rsidR="00F83FD3" w:rsidRPr="001D5473">
        <w:t>. After briefly discussing national reporting capacity</w:t>
      </w:r>
      <w:r w:rsidR="007E6B4A" w:rsidRPr="001D5473">
        <w:noBreakHyphen/>
      </w:r>
      <w:r w:rsidR="00F83FD3" w:rsidRPr="001D5473">
        <w:t xml:space="preserve">building needs for each headline indicator, the </w:t>
      </w:r>
      <w:r w:rsidR="007E6B4A" w:rsidRPr="001D5473">
        <w:t xml:space="preserve">Group </w:t>
      </w:r>
      <w:r w:rsidR="00922B9E" w:rsidRPr="001D5473">
        <w:t>decided that specific capacity</w:t>
      </w:r>
      <w:r w:rsidR="007E6B4A" w:rsidRPr="001D5473">
        <w:noBreakHyphen/>
      </w:r>
      <w:r w:rsidR="00922B9E" w:rsidRPr="001D5473">
        <w:t>building needs would be identified by the individual subgroups.</w:t>
      </w:r>
    </w:p>
    <w:p w14:paraId="25BF7F30" w14:textId="7E2D48C1" w:rsidR="009D026B" w:rsidRPr="001D5473" w:rsidRDefault="009F6273" w:rsidP="00F31A26">
      <w:pPr>
        <w:pStyle w:val="Para1"/>
      </w:pPr>
      <w:r w:rsidRPr="001D5473">
        <w:lastRenderedPageBreak/>
        <w:t xml:space="preserve">The </w:t>
      </w:r>
      <w:r w:rsidR="00372FC9" w:rsidRPr="001D5473">
        <w:t>Technical Expert G</w:t>
      </w:r>
      <w:r w:rsidRPr="001D5473">
        <w:t xml:space="preserve">roup agreed that further work on headline indicator D.2 would be conducted </w:t>
      </w:r>
      <w:r w:rsidR="00A063E6" w:rsidRPr="001D5473">
        <w:t xml:space="preserve">by a </w:t>
      </w:r>
      <w:r w:rsidR="00BE5336" w:rsidRPr="001D5473">
        <w:t>dedicated</w:t>
      </w:r>
      <w:r w:rsidR="00A063E6" w:rsidRPr="001D5473">
        <w:t xml:space="preserve"> subgroup </w:t>
      </w:r>
      <w:r w:rsidRPr="001D5473">
        <w:t>during the intersessional period</w:t>
      </w:r>
      <w:r w:rsidR="00A063E6" w:rsidRPr="001D5473">
        <w:t>.</w:t>
      </w:r>
    </w:p>
    <w:p w14:paraId="7C004496" w14:textId="28532F9D" w:rsidR="0081214C" w:rsidRPr="00FC681F" w:rsidRDefault="0081214C" w:rsidP="00FC681F">
      <w:pPr>
        <w:pStyle w:val="Para1"/>
        <w:numPr>
          <w:ilvl w:val="0"/>
          <w:numId w:val="0"/>
        </w:numPr>
        <w:ind w:left="562" w:right="713"/>
        <w:jc w:val="left"/>
        <w:rPr>
          <w:i/>
          <w:iCs/>
        </w:rPr>
      </w:pPr>
      <w:r w:rsidRPr="00FC681F">
        <w:rPr>
          <w:i/>
          <w:iCs/>
        </w:rPr>
        <w:t xml:space="preserve">Initial discussion on </w:t>
      </w:r>
      <w:r w:rsidR="00F52B09" w:rsidRPr="00FC681F">
        <w:rPr>
          <w:i/>
          <w:iCs/>
        </w:rPr>
        <w:t xml:space="preserve">headline indicator </w:t>
      </w:r>
      <w:r w:rsidRPr="00FC681F">
        <w:rPr>
          <w:i/>
          <w:iCs/>
        </w:rPr>
        <w:t>D</w:t>
      </w:r>
      <w:r w:rsidR="00F52B09" w:rsidRPr="00FC681F">
        <w:rPr>
          <w:i/>
          <w:iCs/>
        </w:rPr>
        <w:t>.</w:t>
      </w:r>
      <w:r w:rsidRPr="00FC681F">
        <w:rPr>
          <w:i/>
          <w:iCs/>
        </w:rPr>
        <w:t xml:space="preserve">3 </w:t>
      </w:r>
      <w:r w:rsidR="00B604B2" w:rsidRPr="00FC681F">
        <w:rPr>
          <w:i/>
          <w:iCs/>
        </w:rPr>
        <w:t>(</w:t>
      </w:r>
      <w:r w:rsidRPr="00FC681F">
        <w:rPr>
          <w:i/>
          <w:iCs/>
        </w:rPr>
        <w:t>private funding</w:t>
      </w:r>
      <w:r w:rsidR="00F52B09" w:rsidRPr="00FC681F">
        <w:rPr>
          <w:i/>
          <w:iCs/>
        </w:rPr>
        <w:t xml:space="preserve"> </w:t>
      </w:r>
      <w:r w:rsidR="00802128" w:rsidRPr="00FC681F">
        <w:rPr>
          <w:i/>
          <w:iCs/>
        </w:rPr>
        <w:t xml:space="preserve">(domestic and international) on conservation and sustainable use of </w:t>
      </w:r>
      <w:r w:rsidR="00F52B09" w:rsidRPr="00FC681F">
        <w:rPr>
          <w:i/>
          <w:iCs/>
        </w:rPr>
        <w:t>biodiversity</w:t>
      </w:r>
      <w:r w:rsidR="00DA2649" w:rsidRPr="00FC681F">
        <w:rPr>
          <w:i/>
          <w:iCs/>
        </w:rPr>
        <w:t xml:space="preserve"> and ecosystems)</w:t>
      </w:r>
    </w:p>
    <w:p w14:paraId="3731D60A" w14:textId="41E0FD28" w:rsidR="00E642B1" w:rsidRPr="001D5473" w:rsidRDefault="008D0DF3" w:rsidP="00F31A26">
      <w:pPr>
        <w:pStyle w:val="Para1"/>
      </w:pPr>
      <w:r w:rsidRPr="00531867">
        <w:t xml:space="preserve">With a view to </w:t>
      </w:r>
      <w:r w:rsidR="0081214C" w:rsidRPr="001D5473">
        <w:t>potential interlinkages</w:t>
      </w:r>
      <w:r w:rsidR="00790075" w:rsidRPr="001D5473">
        <w:t xml:space="preserve">, the </w:t>
      </w:r>
      <w:r w:rsidR="00372FC9" w:rsidRPr="001D5473">
        <w:t>Technical Expert G</w:t>
      </w:r>
      <w:r w:rsidR="00790075" w:rsidRPr="001D5473">
        <w:t xml:space="preserve">roup </w:t>
      </w:r>
      <w:r w:rsidR="00116C1B" w:rsidRPr="001D5473">
        <w:t xml:space="preserve">heard a </w:t>
      </w:r>
      <w:r w:rsidR="00790075" w:rsidRPr="001D5473">
        <w:t>brief</w:t>
      </w:r>
      <w:r w:rsidR="00116C1B" w:rsidRPr="001D5473">
        <w:t>ing</w:t>
      </w:r>
      <w:r w:rsidR="00790075" w:rsidRPr="001D5473">
        <w:t xml:space="preserve"> </w:t>
      </w:r>
      <w:r w:rsidR="00194DCF" w:rsidRPr="001D5473">
        <w:t xml:space="preserve">on the work </w:t>
      </w:r>
      <w:r w:rsidR="00A4074B" w:rsidRPr="001D5473">
        <w:t>of</w:t>
      </w:r>
      <w:r w:rsidR="00901FE0" w:rsidRPr="001D5473">
        <w:t xml:space="preserve"> the Ad Hoc Technical Expert Group on Indicators </w:t>
      </w:r>
      <w:r w:rsidR="00194DCF" w:rsidRPr="001D5473">
        <w:t>on the indicator</w:t>
      </w:r>
      <w:r w:rsidR="00BB28F0" w:rsidRPr="001D5473">
        <w:t>s</w:t>
      </w:r>
      <w:r w:rsidR="00194DCF" w:rsidRPr="001D5473">
        <w:t xml:space="preserve"> for Target 15. </w:t>
      </w:r>
      <w:r w:rsidR="00AB23DF" w:rsidRPr="001D5473">
        <w:t>Headline i</w:t>
      </w:r>
      <w:r w:rsidR="0081214C" w:rsidRPr="001D5473">
        <w:t>ndicator 15.1 refer</w:t>
      </w:r>
      <w:r w:rsidR="00AB23DF" w:rsidRPr="001D5473">
        <w:t>red</w:t>
      </w:r>
      <w:r w:rsidR="0081214C" w:rsidRPr="001D5473">
        <w:t xml:space="preserve"> to the number of companies reporting on</w:t>
      </w:r>
      <w:r w:rsidR="00305F54" w:rsidRPr="00531867">
        <w:t xml:space="preserve"> the</w:t>
      </w:r>
      <w:r w:rsidR="0081214C" w:rsidRPr="001D5473">
        <w:t xml:space="preserve"> disclosure</w:t>
      </w:r>
      <w:r w:rsidR="00D619E8" w:rsidRPr="001D5473">
        <w:t>s</w:t>
      </w:r>
      <w:r w:rsidR="0081214C" w:rsidRPr="001D5473">
        <w:t xml:space="preserve"> of risk, dependencies and impacts on biodiversity. During the </w:t>
      </w:r>
      <w:r w:rsidR="002A7715" w:rsidRPr="001D5473">
        <w:t xml:space="preserve">third </w:t>
      </w:r>
      <w:r w:rsidR="0081214C" w:rsidRPr="001D5473">
        <w:t xml:space="preserve">meeting of the </w:t>
      </w:r>
      <w:r w:rsidR="003D68A6" w:rsidRPr="001D5473">
        <w:t xml:space="preserve">Expert </w:t>
      </w:r>
      <w:r w:rsidR="006B33CB" w:rsidRPr="001D5473">
        <w:t>Group</w:t>
      </w:r>
      <w:r w:rsidR="003D68A6" w:rsidRPr="001D5473">
        <w:t xml:space="preserve"> on Indicators</w:t>
      </w:r>
      <w:r w:rsidR="00E04C78" w:rsidRPr="001D5473">
        <w:t>,</w:t>
      </w:r>
      <w:r w:rsidR="006B33CB" w:rsidRPr="001D5473">
        <w:t xml:space="preserve"> </w:t>
      </w:r>
      <w:r w:rsidR="0081214C" w:rsidRPr="001D5473">
        <w:t xml:space="preserve">in October 2023, indicator </w:t>
      </w:r>
      <w:r w:rsidR="003D68A6" w:rsidRPr="001D5473">
        <w:t xml:space="preserve">15.1 had been </w:t>
      </w:r>
      <w:r w:rsidR="0081214C" w:rsidRPr="001D5473">
        <w:t>categorized as not yet hav</w:t>
      </w:r>
      <w:r w:rsidR="00012288" w:rsidRPr="001D5473">
        <w:t>ing</w:t>
      </w:r>
      <w:r w:rsidR="0081214C" w:rsidRPr="001D5473">
        <w:t xml:space="preserve"> a developed methodology. A </w:t>
      </w:r>
      <w:r w:rsidR="008F7152" w:rsidRPr="00531867">
        <w:t xml:space="preserve">dedicated </w:t>
      </w:r>
      <w:r w:rsidR="0081214C" w:rsidRPr="001D5473">
        <w:t xml:space="preserve">subgroup </w:t>
      </w:r>
      <w:r w:rsidR="00012288" w:rsidRPr="001D5473">
        <w:t xml:space="preserve">had been </w:t>
      </w:r>
      <w:r w:rsidR="0081214C" w:rsidRPr="001D5473">
        <w:t xml:space="preserve">established and tasked </w:t>
      </w:r>
      <w:r w:rsidR="00012288" w:rsidRPr="001D5473">
        <w:t>with</w:t>
      </w:r>
      <w:r w:rsidR="0081214C" w:rsidRPr="001D5473">
        <w:t xml:space="preserve"> provid</w:t>
      </w:r>
      <w:r w:rsidR="00012288" w:rsidRPr="001D5473">
        <w:t>ing</w:t>
      </w:r>
      <w:r w:rsidR="0081214C" w:rsidRPr="001D5473">
        <w:t xml:space="preserve"> guidance </w:t>
      </w:r>
      <w:r w:rsidR="00615460" w:rsidRPr="00531867">
        <w:t>on</w:t>
      </w:r>
      <w:r w:rsidR="00615460" w:rsidRPr="001D5473">
        <w:t xml:space="preserve"> </w:t>
      </w:r>
      <w:r w:rsidR="006A3757" w:rsidRPr="001D5473">
        <w:t xml:space="preserve">the </w:t>
      </w:r>
      <w:r w:rsidR="0081214C" w:rsidRPr="001D5473">
        <w:t>develop</w:t>
      </w:r>
      <w:r w:rsidR="006A3757" w:rsidRPr="001D5473">
        <w:t>ment of</w:t>
      </w:r>
      <w:r w:rsidR="0081214C" w:rsidRPr="001D5473">
        <w:t xml:space="preserve"> a methodology </w:t>
      </w:r>
      <w:r w:rsidR="00735FA6" w:rsidRPr="00531867">
        <w:t>for</w:t>
      </w:r>
      <w:r w:rsidR="00735FA6" w:rsidRPr="001D5473">
        <w:t xml:space="preserve"> </w:t>
      </w:r>
      <w:r w:rsidR="0081214C" w:rsidRPr="001D5473">
        <w:t>collect</w:t>
      </w:r>
      <w:r w:rsidR="00735FA6" w:rsidRPr="00531867">
        <w:t>ing</w:t>
      </w:r>
      <w:r w:rsidR="0081214C" w:rsidRPr="001D5473">
        <w:t xml:space="preserve"> information on the number of businesses that disclose</w:t>
      </w:r>
      <w:r w:rsidR="006A3757" w:rsidRPr="001D5473">
        <w:t>d</w:t>
      </w:r>
      <w:r w:rsidR="0081214C" w:rsidRPr="001D5473">
        <w:t xml:space="preserve"> information on risks, impacts and dependencies, </w:t>
      </w:r>
      <w:proofErr w:type="gramStart"/>
      <w:r w:rsidR="0081214C" w:rsidRPr="001D5473">
        <w:t>taking into account</w:t>
      </w:r>
      <w:proofErr w:type="gramEnd"/>
      <w:r w:rsidR="0081214C" w:rsidRPr="001D5473">
        <w:t xml:space="preserve"> the work of the </w:t>
      </w:r>
      <w:r w:rsidR="00446077" w:rsidRPr="001D5473">
        <w:t>Task Force on Nature-related Financial Disclosures</w:t>
      </w:r>
      <w:r w:rsidR="00790BA4" w:rsidRPr="001D5473">
        <w:t>.</w:t>
      </w:r>
    </w:p>
    <w:p w14:paraId="51C07C6E" w14:textId="34963522" w:rsidR="0081214C" w:rsidRPr="001D5473" w:rsidRDefault="007F4F19" w:rsidP="00F31A26">
      <w:pPr>
        <w:pStyle w:val="Para1"/>
      </w:pPr>
      <w:r w:rsidRPr="00531867">
        <w:t>T</w:t>
      </w:r>
      <w:r w:rsidR="0081214C" w:rsidRPr="001D5473">
        <w:t xml:space="preserve">he </w:t>
      </w:r>
      <w:r w:rsidR="00446077" w:rsidRPr="001D5473">
        <w:t>Technical Expert G</w:t>
      </w:r>
      <w:r w:rsidR="0081214C" w:rsidRPr="001D5473">
        <w:t xml:space="preserve">roup </w:t>
      </w:r>
      <w:r w:rsidR="00E04C78" w:rsidRPr="001D5473">
        <w:t xml:space="preserve">on Financial Reporting </w:t>
      </w:r>
      <w:r w:rsidR="0081214C" w:rsidRPr="001D5473">
        <w:t xml:space="preserve">expressed its appreciation for the briefing and progress made. The </w:t>
      </w:r>
      <w:r w:rsidR="00337DB1" w:rsidRPr="001D5473">
        <w:t>G</w:t>
      </w:r>
      <w:r w:rsidR="0081214C" w:rsidRPr="001D5473">
        <w:t xml:space="preserve">roup </w:t>
      </w:r>
      <w:r w:rsidR="007A14A9">
        <w:t>noted</w:t>
      </w:r>
      <w:r w:rsidR="007A14A9" w:rsidRPr="001D5473">
        <w:t xml:space="preserve"> </w:t>
      </w:r>
      <w:r w:rsidR="0081214C" w:rsidRPr="001D5473">
        <w:t>a clear delineation of tasks</w:t>
      </w:r>
      <w:r w:rsidR="00C75634" w:rsidRPr="001D5473">
        <w:t>,</w:t>
      </w:r>
      <w:r w:rsidR="0081214C" w:rsidRPr="001D5473">
        <w:t xml:space="preserve"> given that indicator</w:t>
      </w:r>
      <w:r w:rsidR="0037254F" w:rsidRPr="00531867">
        <w:t> </w:t>
      </w:r>
      <w:r w:rsidR="0081214C" w:rsidRPr="001D5473">
        <w:t xml:space="preserve">15.1 would </w:t>
      </w:r>
      <w:r w:rsidR="00C75634" w:rsidRPr="001D5473">
        <w:t xml:space="preserve">be </w:t>
      </w:r>
      <w:r w:rsidR="0081214C" w:rsidRPr="001D5473">
        <w:t>focus</w:t>
      </w:r>
      <w:r w:rsidR="00C75634" w:rsidRPr="001D5473">
        <w:t>sed</w:t>
      </w:r>
      <w:r w:rsidR="0081214C" w:rsidRPr="001D5473">
        <w:t xml:space="preserve"> on </w:t>
      </w:r>
      <w:proofErr w:type="gramStart"/>
      <w:r w:rsidR="00930D40" w:rsidRPr="001D5473">
        <w:t>a number of</w:t>
      </w:r>
      <w:proofErr w:type="gramEnd"/>
      <w:r w:rsidR="00930D40" w:rsidRPr="001D5473">
        <w:t xml:space="preserve"> private institutions of a certain size (large</w:t>
      </w:r>
      <w:r w:rsidR="005B46B5" w:rsidRPr="001D5473">
        <w:t xml:space="preserve"> and transnational</w:t>
      </w:r>
      <w:r w:rsidR="00930D40" w:rsidRPr="001D5473">
        <w:t>) that would report</w:t>
      </w:r>
      <w:r w:rsidR="0059344D" w:rsidRPr="001D5473">
        <w:t xml:space="preserve"> the </w:t>
      </w:r>
      <w:r w:rsidR="00BF4377" w:rsidRPr="00531867">
        <w:t xml:space="preserve">requested </w:t>
      </w:r>
      <w:r w:rsidR="0059344D" w:rsidRPr="001D5473">
        <w:t>information</w:t>
      </w:r>
      <w:r w:rsidR="00895894" w:rsidRPr="001D5473">
        <w:t>,</w:t>
      </w:r>
      <w:r w:rsidR="00930D40" w:rsidRPr="001D5473">
        <w:t xml:space="preserve"> </w:t>
      </w:r>
      <w:r w:rsidR="0081214C" w:rsidRPr="001D5473">
        <w:t>while indicator</w:t>
      </w:r>
      <w:r w:rsidR="0059344D" w:rsidRPr="001D5473">
        <w:t> </w:t>
      </w:r>
      <w:r w:rsidR="0081214C" w:rsidRPr="001D5473">
        <w:t xml:space="preserve">D.3 would </w:t>
      </w:r>
      <w:r w:rsidR="0059344D" w:rsidRPr="001D5473">
        <w:t xml:space="preserve">be </w:t>
      </w:r>
      <w:r w:rsidR="0081214C" w:rsidRPr="001D5473">
        <w:t>focus</w:t>
      </w:r>
      <w:r w:rsidR="0059344D" w:rsidRPr="001D5473">
        <w:t>ed</w:t>
      </w:r>
      <w:r w:rsidR="0081214C" w:rsidRPr="001D5473">
        <w:t xml:space="preserve"> on</w:t>
      </w:r>
      <w:r w:rsidR="00930D40" w:rsidRPr="001D5473">
        <w:t xml:space="preserve"> the entirety of private institutions and their </w:t>
      </w:r>
      <w:r w:rsidR="008C1F9A" w:rsidRPr="001D5473">
        <w:t xml:space="preserve">biodiversity-related </w:t>
      </w:r>
      <w:r w:rsidR="00F02530" w:rsidRPr="001D5473">
        <w:t>funding</w:t>
      </w:r>
      <w:r w:rsidR="00930D40" w:rsidRPr="001D5473">
        <w:t>.</w:t>
      </w:r>
    </w:p>
    <w:p w14:paraId="75B6D6E9" w14:textId="3FEB4D07" w:rsidR="00DA3039" w:rsidRPr="001D5473" w:rsidRDefault="0081214C" w:rsidP="00F31A26">
      <w:pPr>
        <w:pStyle w:val="Para1"/>
      </w:pPr>
      <w:r w:rsidRPr="001D5473">
        <w:t>In its introductory presentation on indic</w:t>
      </w:r>
      <w:r w:rsidR="008E54E6" w:rsidRPr="001D5473">
        <w:t>a</w:t>
      </w:r>
      <w:r w:rsidRPr="001D5473">
        <w:t xml:space="preserve">tor D.3, </w:t>
      </w:r>
      <w:r w:rsidR="00CC5745" w:rsidRPr="001D5473">
        <w:t xml:space="preserve">a representative of </w:t>
      </w:r>
      <w:r w:rsidRPr="001D5473">
        <w:t xml:space="preserve">the Secretariat </w:t>
      </w:r>
      <w:r w:rsidR="00AD7615" w:rsidRPr="001D5473">
        <w:t xml:space="preserve">explained how the issue of reporting on private funding </w:t>
      </w:r>
      <w:r w:rsidR="007A14A9">
        <w:t>used to be</w:t>
      </w:r>
      <w:r w:rsidR="007A14A9" w:rsidRPr="001D5473">
        <w:t xml:space="preserve"> </w:t>
      </w:r>
      <w:r w:rsidR="00AD7615" w:rsidRPr="001D5473">
        <w:t xml:space="preserve">addressed in the Financial Reporting Framework. </w:t>
      </w:r>
      <w:r w:rsidR="006132C7" w:rsidRPr="001D5473">
        <w:t xml:space="preserve">Very </w:t>
      </w:r>
      <w:r w:rsidR="001E7DD3" w:rsidRPr="001D5473">
        <w:t xml:space="preserve">few </w:t>
      </w:r>
      <w:r w:rsidR="006F1CA7" w:rsidRPr="001D5473">
        <w:t>Parties reported qua</w:t>
      </w:r>
      <w:r w:rsidR="006132C7" w:rsidRPr="001D5473">
        <w:t xml:space="preserve">ntitative </w:t>
      </w:r>
      <w:r w:rsidR="00553C13" w:rsidRPr="001D5473">
        <w:t xml:space="preserve">data </w:t>
      </w:r>
      <w:r w:rsidR="006F1CA7" w:rsidRPr="001D5473">
        <w:t>on international private flows</w:t>
      </w:r>
      <w:r w:rsidR="00487B49" w:rsidRPr="001D5473">
        <w:t xml:space="preserve">, </w:t>
      </w:r>
      <w:r w:rsidR="004749A4" w:rsidRPr="00531867">
        <w:t>whereas</w:t>
      </w:r>
      <w:r w:rsidR="004749A4" w:rsidRPr="001D5473">
        <w:t xml:space="preserve"> </w:t>
      </w:r>
      <w:r w:rsidR="00487B49" w:rsidRPr="001D5473">
        <w:t>a larger number reported includ</w:t>
      </w:r>
      <w:r w:rsidR="004749A4" w:rsidRPr="00531867">
        <w:t>ing</w:t>
      </w:r>
      <w:r w:rsidR="00487B49" w:rsidRPr="001D5473">
        <w:t xml:space="preserve"> private flows in domestic expenditure. </w:t>
      </w:r>
    </w:p>
    <w:p w14:paraId="56E9D8D4" w14:textId="5A904256" w:rsidR="00EF78DB" w:rsidRPr="001D5473" w:rsidRDefault="00DA3039" w:rsidP="00F31A26">
      <w:pPr>
        <w:pStyle w:val="Para1"/>
      </w:pPr>
      <w:r w:rsidRPr="001D5473">
        <w:t xml:space="preserve">Recognizing the </w:t>
      </w:r>
      <w:r w:rsidR="002C637C" w:rsidRPr="001D5473">
        <w:t xml:space="preserve">potential </w:t>
      </w:r>
      <w:r w:rsidRPr="001D5473">
        <w:t xml:space="preserve">challenges </w:t>
      </w:r>
      <w:r w:rsidR="00565DF4" w:rsidRPr="001D5473">
        <w:t>in developing a reporting methodology for indicator</w:t>
      </w:r>
      <w:r w:rsidR="000A4C79" w:rsidRPr="00531867">
        <w:t> </w:t>
      </w:r>
      <w:r w:rsidR="00565DF4" w:rsidRPr="001D5473">
        <w:t xml:space="preserve">D.3 and the </w:t>
      </w:r>
      <w:r w:rsidR="00E968ED" w:rsidRPr="001D5473">
        <w:t>need for additional capacity in supporting the work</w:t>
      </w:r>
      <w:r w:rsidR="00A953FA" w:rsidRPr="001D5473">
        <w:t xml:space="preserve"> involved</w:t>
      </w:r>
      <w:r w:rsidR="00E968ED" w:rsidRPr="001D5473">
        <w:t xml:space="preserve">, the </w:t>
      </w:r>
      <w:r w:rsidR="00685F02" w:rsidRPr="001D5473">
        <w:t xml:space="preserve">representative of the </w:t>
      </w:r>
      <w:r w:rsidR="00E968ED" w:rsidRPr="001D5473">
        <w:t xml:space="preserve">Secretariat informed the </w:t>
      </w:r>
      <w:r w:rsidR="00D244FB" w:rsidRPr="001D5473">
        <w:t>Technical Expert G</w:t>
      </w:r>
      <w:r w:rsidR="00E968ED" w:rsidRPr="001D5473">
        <w:t>roup o</w:t>
      </w:r>
      <w:r w:rsidR="00A953FA" w:rsidRPr="001D5473">
        <w:t>f</w:t>
      </w:r>
      <w:r w:rsidR="00E968ED" w:rsidRPr="001D5473">
        <w:t xml:space="preserve"> progress in hiring </w:t>
      </w:r>
      <w:r w:rsidR="00F33E9C" w:rsidRPr="001D5473">
        <w:t>a consultant on th</w:t>
      </w:r>
      <w:r w:rsidR="00877FF7" w:rsidRPr="001D5473">
        <w:t>at</w:t>
      </w:r>
      <w:r w:rsidR="00F33E9C" w:rsidRPr="001D5473">
        <w:t xml:space="preserve"> matter, with financial support </w:t>
      </w:r>
      <w:r w:rsidR="00A953FA" w:rsidRPr="001D5473">
        <w:t xml:space="preserve">generously </w:t>
      </w:r>
      <w:r w:rsidR="00F33E9C" w:rsidRPr="001D5473">
        <w:t>provided by the Government of the United Kingdom</w:t>
      </w:r>
      <w:r w:rsidR="00A953FA" w:rsidRPr="001D5473">
        <w:t>.</w:t>
      </w:r>
    </w:p>
    <w:p w14:paraId="60B345F3" w14:textId="6906E79E" w:rsidR="008E54E6" w:rsidRPr="001D5473" w:rsidRDefault="008E54E6" w:rsidP="00F31A26">
      <w:pPr>
        <w:pStyle w:val="Para1"/>
      </w:pPr>
      <w:r w:rsidRPr="001D5473">
        <w:t xml:space="preserve">In the subsequent discussion, the </w:t>
      </w:r>
      <w:r w:rsidR="0023692C" w:rsidRPr="001D5473">
        <w:t>Technical Expert G</w:t>
      </w:r>
      <w:r w:rsidRPr="001D5473">
        <w:t xml:space="preserve">roup noted that some elements of headline indicator D.3, such as funding provided by non-profit organizations, could be covered </w:t>
      </w:r>
      <w:r w:rsidR="00A953FA" w:rsidRPr="001D5473">
        <w:t>in</w:t>
      </w:r>
      <w:r w:rsidRPr="001D5473">
        <w:t xml:space="preserve"> country-specific analyses. The </w:t>
      </w:r>
      <w:r w:rsidR="00967746" w:rsidRPr="001D5473">
        <w:t>G</w:t>
      </w:r>
      <w:r w:rsidRPr="001D5473">
        <w:t xml:space="preserve">roup recognized that international funding provided by key private philanthropic institutions </w:t>
      </w:r>
      <w:r w:rsidR="000D31CB" w:rsidRPr="001D5473">
        <w:t xml:space="preserve">was </w:t>
      </w:r>
      <w:r w:rsidRPr="001D5473">
        <w:t>already captured by OECD, as well as private finance mobili</w:t>
      </w:r>
      <w:r w:rsidR="000D31CB" w:rsidRPr="001D5473">
        <w:t>z</w:t>
      </w:r>
      <w:r w:rsidRPr="001D5473">
        <w:t>ed by development finance</w:t>
      </w:r>
      <w:r w:rsidR="00EB3837" w:rsidRPr="001D5473">
        <w:t>,</w:t>
      </w:r>
      <w:r w:rsidRPr="001D5473">
        <w:t xml:space="preserve"> and that th</w:t>
      </w:r>
      <w:r w:rsidR="00EB3837" w:rsidRPr="001D5473">
        <w:t>e</w:t>
      </w:r>
      <w:r w:rsidRPr="001D5473">
        <w:t xml:space="preserve"> system could be expanded. Conversely, the </w:t>
      </w:r>
      <w:r w:rsidR="00D515C9" w:rsidRPr="001D5473">
        <w:t>G</w:t>
      </w:r>
      <w:r w:rsidRPr="001D5473">
        <w:t xml:space="preserve">roup noted that the most significant gap likely </w:t>
      </w:r>
      <w:r w:rsidR="00EB3837" w:rsidRPr="001D5473">
        <w:t xml:space="preserve">lay </w:t>
      </w:r>
      <w:r w:rsidRPr="001D5473">
        <w:t xml:space="preserve">within the funding provided by for-profit entities. </w:t>
      </w:r>
      <w:r w:rsidR="00996D20" w:rsidRPr="001D5473">
        <w:t>T</w:t>
      </w:r>
      <w:r w:rsidR="00606A28" w:rsidRPr="001D5473">
        <w:t xml:space="preserve">he Group </w:t>
      </w:r>
      <w:r w:rsidRPr="001D5473">
        <w:t xml:space="preserve">agreed that expanding reporting requirements under </w:t>
      </w:r>
      <w:r w:rsidR="006B143B" w:rsidRPr="001D5473">
        <w:t xml:space="preserve">the </w:t>
      </w:r>
      <w:r w:rsidR="00D020CA" w:rsidRPr="001D5473">
        <w:t>e</w:t>
      </w:r>
      <w:r w:rsidR="0031743B" w:rsidRPr="001D5473">
        <w:t xml:space="preserve">nvironmental </w:t>
      </w:r>
      <w:r w:rsidR="00D020CA" w:rsidRPr="001D5473">
        <w:t>p</w:t>
      </w:r>
      <w:r w:rsidR="0031743B" w:rsidRPr="001D5473">
        <w:t xml:space="preserve">rotection </w:t>
      </w:r>
      <w:r w:rsidR="00D020CA" w:rsidRPr="001D5473">
        <w:t>e</w:t>
      </w:r>
      <w:r w:rsidR="0031743B" w:rsidRPr="001D5473">
        <w:t>xpenditur</w:t>
      </w:r>
      <w:r w:rsidR="00D32D84" w:rsidRPr="001D5473">
        <w:t xml:space="preserve">e </w:t>
      </w:r>
      <w:r w:rsidR="00D020CA" w:rsidRPr="001D5473">
        <w:t>a</w:t>
      </w:r>
      <w:r w:rsidR="00D32D84" w:rsidRPr="001D5473">
        <w:t>ccount</w:t>
      </w:r>
      <w:r w:rsidR="00D020CA" w:rsidRPr="001D5473">
        <w:t>s</w:t>
      </w:r>
      <w:r w:rsidR="0031743B" w:rsidRPr="001D5473">
        <w:t xml:space="preserve"> </w:t>
      </w:r>
      <w:r w:rsidR="00A460AE" w:rsidRPr="001D5473">
        <w:t xml:space="preserve">of the System of Environmental-Economic Accounting </w:t>
      </w:r>
      <w:r w:rsidRPr="001D5473">
        <w:t>could be a medium-term option. More generally, the work of third-</w:t>
      </w:r>
      <w:r w:rsidR="006B143B" w:rsidRPr="001D5473">
        <w:t>p</w:t>
      </w:r>
      <w:r w:rsidRPr="001D5473">
        <w:t xml:space="preserve">arty data providers could be extended to better capture biodiversity expenditure. Some elements of the relevant targets could be captured by binary indicators as a last resort. </w:t>
      </w:r>
    </w:p>
    <w:p w14:paraId="56473C6C" w14:textId="115FF16B" w:rsidR="00053698" w:rsidRPr="001D5473" w:rsidRDefault="00FB5CC4" w:rsidP="00F31A26">
      <w:pPr>
        <w:pStyle w:val="Para1"/>
      </w:pPr>
      <w:r w:rsidRPr="001D5473">
        <w:t>Members of the</w:t>
      </w:r>
      <w:r w:rsidR="000847CB" w:rsidRPr="001D5473">
        <w:t xml:space="preserve"> Technical Expert</w:t>
      </w:r>
      <w:r w:rsidRPr="001D5473">
        <w:t xml:space="preserve"> </w:t>
      </w:r>
      <w:r w:rsidR="00F77E29" w:rsidRPr="001D5473">
        <w:t xml:space="preserve">Group noted </w:t>
      </w:r>
      <w:r w:rsidR="00053698" w:rsidRPr="001D5473">
        <w:t xml:space="preserve">the lack of a common understanding of what biodiversity </w:t>
      </w:r>
      <w:r w:rsidR="00AC59C6" w:rsidRPr="001D5473">
        <w:t xml:space="preserve">was </w:t>
      </w:r>
      <w:r w:rsidR="00053698" w:rsidRPr="001D5473">
        <w:t>and what it encompasse</w:t>
      </w:r>
      <w:r w:rsidR="00AC59C6" w:rsidRPr="001D5473">
        <w:t>d</w:t>
      </w:r>
      <w:r w:rsidR="00F77E29" w:rsidRPr="001D5473">
        <w:t xml:space="preserve">, and </w:t>
      </w:r>
      <w:r w:rsidR="000847CB" w:rsidRPr="001D5473">
        <w:t xml:space="preserve">how </w:t>
      </w:r>
      <w:r w:rsidR="00F77E29" w:rsidRPr="001D5473">
        <w:t>this m</w:t>
      </w:r>
      <w:r w:rsidR="00AC59C6" w:rsidRPr="001D5473">
        <w:t>ight</w:t>
      </w:r>
      <w:r w:rsidR="00F77E29" w:rsidRPr="001D5473">
        <w:t xml:space="preserve"> </w:t>
      </w:r>
      <w:r w:rsidR="00D63B58" w:rsidRPr="001D5473">
        <w:t xml:space="preserve">adversely affect reporting by </w:t>
      </w:r>
      <w:r w:rsidR="00053698" w:rsidRPr="001D5473">
        <w:t>private institutions</w:t>
      </w:r>
      <w:r w:rsidR="00D63B58" w:rsidRPr="001D5473">
        <w:t>.</w:t>
      </w:r>
      <w:r w:rsidR="00053698" w:rsidRPr="001D5473">
        <w:t xml:space="preserve"> </w:t>
      </w:r>
    </w:p>
    <w:p w14:paraId="4936C779" w14:textId="0C78CCDD" w:rsidR="00767337" w:rsidRPr="001D5473" w:rsidRDefault="004F5B57" w:rsidP="00F31A26">
      <w:pPr>
        <w:pStyle w:val="Para1"/>
      </w:pPr>
      <w:r w:rsidRPr="001D5473">
        <w:t>In</w:t>
      </w:r>
      <w:r w:rsidR="00C761BC" w:rsidRPr="001D5473">
        <w:t xml:space="preserve"> the</w:t>
      </w:r>
      <w:r w:rsidRPr="001D5473">
        <w:t xml:space="preserve"> light of the methodological challenges and the limited time available, members </w:t>
      </w:r>
      <w:r w:rsidR="00C761BC" w:rsidRPr="001D5473">
        <w:t xml:space="preserve">of the Technical Expert Group </w:t>
      </w:r>
      <w:r w:rsidRPr="001D5473">
        <w:t xml:space="preserve">underscored the need to collaborate closely with the </w:t>
      </w:r>
      <w:proofErr w:type="gramStart"/>
      <w:r w:rsidR="008F44BC" w:rsidRPr="001D5473">
        <w:t xml:space="preserve">aforementioned </w:t>
      </w:r>
      <w:r w:rsidRPr="001D5473">
        <w:t>consultant</w:t>
      </w:r>
      <w:proofErr w:type="gramEnd"/>
      <w:r w:rsidRPr="001D5473">
        <w:t xml:space="preserve"> </w:t>
      </w:r>
      <w:r w:rsidR="003D14E0" w:rsidRPr="001D5473">
        <w:t xml:space="preserve">to ensure </w:t>
      </w:r>
      <w:r w:rsidRPr="001D5473">
        <w:t>that the deliverables respond</w:t>
      </w:r>
      <w:r w:rsidR="008F44BC" w:rsidRPr="001D5473">
        <w:t>ed</w:t>
      </w:r>
      <w:r w:rsidRPr="001D5473">
        <w:t xml:space="preserve"> </w:t>
      </w:r>
      <w:r w:rsidR="00B54A14" w:rsidRPr="001D5473">
        <w:t xml:space="preserve">to the tasks </w:t>
      </w:r>
      <w:r w:rsidR="008F44BC" w:rsidRPr="001D5473">
        <w:t>assigned to</w:t>
      </w:r>
      <w:r w:rsidR="00B54A14" w:rsidRPr="001D5473">
        <w:t xml:space="preserve"> the </w:t>
      </w:r>
      <w:r w:rsidR="00AC11F6" w:rsidRPr="001D5473">
        <w:t>G</w:t>
      </w:r>
      <w:r w:rsidR="00B54A14" w:rsidRPr="001D5473">
        <w:t xml:space="preserve">roup in a practical </w:t>
      </w:r>
      <w:r w:rsidR="00CF11D2" w:rsidRPr="001D5473">
        <w:t>manner</w:t>
      </w:r>
      <w:r w:rsidR="000074C0" w:rsidRPr="001D5473">
        <w:t>,</w:t>
      </w:r>
      <w:r w:rsidR="00CF11D2" w:rsidRPr="001D5473">
        <w:t xml:space="preserve"> </w:t>
      </w:r>
      <w:r w:rsidR="009D1CBC" w:rsidRPr="00531867">
        <w:t xml:space="preserve">and </w:t>
      </w:r>
      <w:r w:rsidR="00CF11D2" w:rsidRPr="001D5473">
        <w:t xml:space="preserve">the </w:t>
      </w:r>
      <w:r w:rsidR="003D14E0" w:rsidRPr="001D5473">
        <w:t>G</w:t>
      </w:r>
      <w:r w:rsidR="00CF11D2" w:rsidRPr="001D5473">
        <w:t xml:space="preserve">roup decided to establish a subgroup </w:t>
      </w:r>
      <w:r w:rsidR="00BF5CA1" w:rsidRPr="001D5473">
        <w:t>on indicator</w:t>
      </w:r>
      <w:r w:rsidR="00E4184A" w:rsidRPr="001D5473">
        <w:t> </w:t>
      </w:r>
      <w:r w:rsidR="00BF5CA1" w:rsidRPr="001D5473">
        <w:t>D.3</w:t>
      </w:r>
      <w:r w:rsidR="000074C0" w:rsidRPr="001D5473">
        <w:t xml:space="preserve"> to that effect</w:t>
      </w:r>
      <w:r w:rsidR="003D216A" w:rsidRPr="001D5473">
        <w:t>.</w:t>
      </w:r>
      <w:r w:rsidR="00767337" w:rsidRPr="001D5473">
        <w:t xml:space="preserve"> </w:t>
      </w:r>
    </w:p>
    <w:p w14:paraId="2E5B67A9" w14:textId="4CBF7593" w:rsidR="00DB7F51" w:rsidRPr="001D5473" w:rsidRDefault="00DB7F51" w:rsidP="00840B1F">
      <w:pPr>
        <w:keepNext/>
        <w:keepLines/>
        <w:spacing w:before="123"/>
        <w:rPr>
          <w:b/>
          <w:sz w:val="24"/>
          <w:szCs w:val="22"/>
        </w:rPr>
      </w:pPr>
      <w:r w:rsidRPr="00531867">
        <w:rPr>
          <w:b/>
          <w:sz w:val="24"/>
        </w:rPr>
        <w:lastRenderedPageBreak/>
        <w:t>Item</w:t>
      </w:r>
      <w:r w:rsidRPr="00531867">
        <w:rPr>
          <w:b/>
          <w:spacing w:val="-4"/>
          <w:sz w:val="24"/>
        </w:rPr>
        <w:t xml:space="preserve"> </w:t>
      </w:r>
      <w:r w:rsidR="00D91EE4" w:rsidRPr="00531867">
        <w:rPr>
          <w:b/>
          <w:spacing w:val="-10"/>
          <w:sz w:val="24"/>
        </w:rPr>
        <w:t>4</w:t>
      </w:r>
    </w:p>
    <w:p w14:paraId="03A4947E" w14:textId="5C793570" w:rsidR="00DB7F51" w:rsidRPr="00531867" w:rsidRDefault="00D91EE4" w:rsidP="00840B1F">
      <w:pPr>
        <w:keepNext/>
        <w:keepLines/>
        <w:rPr>
          <w:b/>
          <w:sz w:val="24"/>
        </w:rPr>
      </w:pPr>
      <w:r w:rsidRPr="00531867">
        <w:rPr>
          <w:b/>
          <w:sz w:val="24"/>
        </w:rPr>
        <w:t xml:space="preserve">Next </w:t>
      </w:r>
      <w:r w:rsidR="00CF3023" w:rsidRPr="00531867">
        <w:rPr>
          <w:b/>
          <w:sz w:val="24"/>
        </w:rPr>
        <w:t>s</w:t>
      </w:r>
      <w:r w:rsidRPr="00531867">
        <w:rPr>
          <w:b/>
          <w:sz w:val="24"/>
        </w:rPr>
        <w:t>teps</w:t>
      </w:r>
    </w:p>
    <w:p w14:paraId="5BE14DEF" w14:textId="4B840264" w:rsidR="00DB7F51" w:rsidRPr="00FC681F" w:rsidRDefault="002E0B1B" w:rsidP="00840B1F">
      <w:pPr>
        <w:pStyle w:val="Para1"/>
        <w:keepNext/>
        <w:keepLines/>
        <w:numPr>
          <w:ilvl w:val="0"/>
          <w:numId w:val="0"/>
        </w:numPr>
        <w:ind w:left="567"/>
        <w:rPr>
          <w:i/>
          <w:iCs/>
        </w:rPr>
      </w:pPr>
      <w:r w:rsidRPr="00FC681F">
        <w:rPr>
          <w:i/>
          <w:iCs/>
        </w:rPr>
        <w:t xml:space="preserve">Organization of intersessional work </w:t>
      </w:r>
    </w:p>
    <w:p w14:paraId="42F73D79" w14:textId="118DE5A9" w:rsidR="005F1F83" w:rsidRPr="001D5473" w:rsidRDefault="0036600E" w:rsidP="00F31A26">
      <w:pPr>
        <w:pStyle w:val="Para1"/>
      </w:pPr>
      <w:r w:rsidRPr="001D5473">
        <w:t>T</w:t>
      </w:r>
      <w:r w:rsidR="005F1F83" w:rsidRPr="001D5473">
        <w:t xml:space="preserve">he </w:t>
      </w:r>
      <w:r w:rsidR="006D621B" w:rsidRPr="001D5473">
        <w:t xml:space="preserve">Technical Expert Group </w:t>
      </w:r>
      <w:r w:rsidR="005F1F83" w:rsidRPr="001D5473">
        <w:t xml:space="preserve">decided to assign intersessional work to five subgroups, each focusing on one of the five </w:t>
      </w:r>
      <w:r w:rsidR="00113513" w:rsidRPr="001D5473">
        <w:t xml:space="preserve">headline </w:t>
      </w:r>
      <w:r w:rsidR="005F1F83" w:rsidRPr="001D5473">
        <w:t xml:space="preserve">indicators under review by the </w:t>
      </w:r>
      <w:r w:rsidR="00415D68" w:rsidRPr="001D5473">
        <w:t>Group</w:t>
      </w:r>
      <w:r w:rsidR="005F1F83" w:rsidRPr="001D5473">
        <w:t xml:space="preserve">. </w:t>
      </w:r>
      <w:r w:rsidR="00F75A5F" w:rsidRPr="001D5473">
        <w:t>T</w:t>
      </w:r>
      <w:r w:rsidR="005F1F83" w:rsidRPr="001D5473">
        <w:t xml:space="preserve">he </w:t>
      </w:r>
      <w:r w:rsidR="00C00588" w:rsidRPr="001D5473">
        <w:t xml:space="preserve">Group discussed and agreed on </w:t>
      </w:r>
      <w:r w:rsidR="005F1F83" w:rsidRPr="001D5473">
        <w:t xml:space="preserve">terms of reference for each of the subgroups </w:t>
      </w:r>
      <w:proofErr w:type="gramStart"/>
      <w:r w:rsidR="00C00588" w:rsidRPr="001D5473">
        <w:t>on</w:t>
      </w:r>
      <w:r w:rsidR="00F75A5F" w:rsidRPr="001D5473">
        <w:t xml:space="preserve"> the basis of</w:t>
      </w:r>
      <w:proofErr w:type="gramEnd"/>
      <w:r w:rsidR="00F75A5F" w:rsidRPr="001D5473">
        <w:t xml:space="preserve"> the template provided in annex</w:t>
      </w:r>
      <w:r w:rsidR="00552917" w:rsidRPr="00531867">
        <w:t> </w:t>
      </w:r>
      <w:r w:rsidR="00F75A5F" w:rsidRPr="001D5473">
        <w:t>I to the present report</w:t>
      </w:r>
      <w:r w:rsidR="005F1F83" w:rsidRPr="001D5473">
        <w:t>.</w:t>
      </w:r>
    </w:p>
    <w:p w14:paraId="40C507CC" w14:textId="332747E4" w:rsidR="00B9613E" w:rsidRPr="001D5473" w:rsidRDefault="00BA5B3D" w:rsidP="00F31A26">
      <w:pPr>
        <w:pStyle w:val="Para1"/>
      </w:pPr>
      <w:r w:rsidRPr="001D5473">
        <w:t xml:space="preserve">The </w:t>
      </w:r>
      <w:r w:rsidR="00202340" w:rsidRPr="001D5473">
        <w:t xml:space="preserve">Technical Expert Group </w:t>
      </w:r>
      <w:r w:rsidRPr="001D5473">
        <w:t xml:space="preserve">agreed that the subgroups </w:t>
      </w:r>
      <w:r w:rsidR="00892DAD" w:rsidRPr="001D5473">
        <w:t xml:space="preserve">would </w:t>
      </w:r>
      <w:r w:rsidRPr="001D5473">
        <w:t xml:space="preserve">work autonomously </w:t>
      </w:r>
      <w:r w:rsidR="00B33CCE" w:rsidRPr="001D5473">
        <w:t>until</w:t>
      </w:r>
      <w:r w:rsidRPr="001D5473">
        <w:t xml:space="preserve"> </w:t>
      </w:r>
      <w:r w:rsidR="00B33CCE" w:rsidRPr="001D5473">
        <w:t xml:space="preserve">its </w:t>
      </w:r>
      <w:r w:rsidRPr="001D5473">
        <w:t>second meeting</w:t>
      </w:r>
      <w:r w:rsidR="00B33CCE" w:rsidRPr="001D5473">
        <w:t>,</w:t>
      </w:r>
      <w:r w:rsidRPr="001D5473">
        <w:t xml:space="preserve"> </w:t>
      </w:r>
      <w:r w:rsidR="00F33D5A" w:rsidRPr="001D5473">
        <w:t xml:space="preserve">tentatively </w:t>
      </w:r>
      <w:r w:rsidR="00B9613E" w:rsidRPr="001D5473">
        <w:t xml:space="preserve">scheduled for the </w:t>
      </w:r>
      <w:r w:rsidR="00F33D5A" w:rsidRPr="001D5473">
        <w:t xml:space="preserve">end of </w:t>
      </w:r>
      <w:r w:rsidR="00C5006B" w:rsidRPr="001D5473">
        <w:t>February 2024</w:t>
      </w:r>
      <w:r w:rsidR="00F33D5A" w:rsidRPr="001D5473">
        <w:t xml:space="preserve">. At </w:t>
      </w:r>
      <w:r w:rsidR="00B33CCE" w:rsidRPr="001D5473">
        <w:t xml:space="preserve">that </w:t>
      </w:r>
      <w:r w:rsidR="00F33D5A" w:rsidRPr="001D5473">
        <w:t>meeting</w:t>
      </w:r>
      <w:r w:rsidR="00C5006B" w:rsidRPr="001D5473">
        <w:t xml:space="preserve">, the </w:t>
      </w:r>
      <w:r w:rsidR="003A1533" w:rsidRPr="001D5473">
        <w:t xml:space="preserve">Group </w:t>
      </w:r>
      <w:r w:rsidR="00B9613E" w:rsidRPr="001D5473">
        <w:t xml:space="preserve">would </w:t>
      </w:r>
      <w:r w:rsidR="00F33D5A" w:rsidRPr="001D5473">
        <w:t xml:space="preserve">consider and finalize </w:t>
      </w:r>
      <w:r w:rsidR="008F1B2C" w:rsidRPr="001D5473">
        <w:t xml:space="preserve">the </w:t>
      </w:r>
      <w:r w:rsidR="00CB20DF" w:rsidRPr="001D5473">
        <w:t>draft deliverables</w:t>
      </w:r>
      <w:r w:rsidR="000707D0" w:rsidRPr="001D5473">
        <w:t xml:space="preserve"> of the subgroups, namely: </w:t>
      </w:r>
    </w:p>
    <w:p w14:paraId="6DCB8214" w14:textId="152C264B" w:rsidR="00D67CF6" w:rsidRPr="001D5473" w:rsidRDefault="00B9613E" w:rsidP="00840B1F">
      <w:pPr>
        <w:pStyle w:val="Para1"/>
        <w:numPr>
          <w:ilvl w:val="0"/>
          <w:numId w:val="0"/>
        </w:numPr>
        <w:tabs>
          <w:tab w:val="clear" w:pos="1134"/>
          <w:tab w:val="left" w:pos="1701"/>
        </w:tabs>
        <w:ind w:left="567" w:firstLine="567"/>
      </w:pPr>
      <w:r w:rsidRPr="001D5473">
        <w:t>(a)</w:t>
      </w:r>
      <w:r w:rsidRPr="001D5473">
        <w:tab/>
      </w:r>
      <w:r w:rsidR="00D67CF6" w:rsidRPr="001D5473">
        <w:t>T</w:t>
      </w:r>
      <w:r w:rsidR="00E07BB7" w:rsidRPr="001D5473">
        <w:t xml:space="preserve">he </w:t>
      </w:r>
      <w:r w:rsidR="000707D0" w:rsidRPr="001D5473">
        <w:t xml:space="preserve">draft </w:t>
      </w:r>
      <w:r w:rsidR="00CB20DF" w:rsidRPr="001D5473">
        <w:t>metadata sheets</w:t>
      </w:r>
      <w:r w:rsidR="00D67CF6" w:rsidRPr="001D5473">
        <w:t>;</w:t>
      </w:r>
    </w:p>
    <w:p w14:paraId="6F47266D" w14:textId="59C5B774" w:rsidR="00EE34C5" w:rsidRPr="001D5473" w:rsidRDefault="00D67CF6" w:rsidP="00840B1F">
      <w:pPr>
        <w:pStyle w:val="Para1"/>
        <w:numPr>
          <w:ilvl w:val="0"/>
          <w:numId w:val="0"/>
        </w:numPr>
        <w:tabs>
          <w:tab w:val="clear" w:pos="1134"/>
          <w:tab w:val="left" w:pos="1701"/>
        </w:tabs>
        <w:ind w:left="567" w:firstLine="567"/>
      </w:pPr>
      <w:r w:rsidRPr="001D5473">
        <w:t>(b)</w:t>
      </w:r>
      <w:r w:rsidRPr="001D5473">
        <w:tab/>
      </w:r>
      <w:r w:rsidR="00EE34C5" w:rsidRPr="001D5473">
        <w:t>D</w:t>
      </w:r>
      <w:r w:rsidR="00E07BB7" w:rsidRPr="001D5473">
        <w:t xml:space="preserve">raft proposals for </w:t>
      </w:r>
      <w:r w:rsidR="00A926FA" w:rsidRPr="001D5473">
        <w:t>the complementary and binary indicat</w:t>
      </w:r>
      <w:r w:rsidR="00E37D8B" w:rsidRPr="001D5473">
        <w:t>o</w:t>
      </w:r>
      <w:r w:rsidR="00A926FA" w:rsidRPr="001D5473">
        <w:t xml:space="preserve">rs, if any; </w:t>
      </w:r>
    </w:p>
    <w:p w14:paraId="60ECCD9F" w14:textId="329B198C" w:rsidR="00B9613E" w:rsidRPr="001D5473" w:rsidRDefault="00EE34C5" w:rsidP="00840B1F">
      <w:pPr>
        <w:pStyle w:val="Para1"/>
        <w:numPr>
          <w:ilvl w:val="0"/>
          <w:numId w:val="0"/>
        </w:numPr>
        <w:tabs>
          <w:tab w:val="clear" w:pos="1134"/>
          <w:tab w:val="left" w:pos="1701"/>
        </w:tabs>
        <w:ind w:left="567" w:firstLine="567"/>
      </w:pPr>
      <w:r w:rsidRPr="001D5473">
        <w:t>(c)</w:t>
      </w:r>
      <w:r w:rsidRPr="001D5473">
        <w:tab/>
      </w:r>
      <w:r w:rsidR="0020419F" w:rsidRPr="001D5473">
        <w:t>T</w:t>
      </w:r>
      <w:r w:rsidR="00E07BB7" w:rsidRPr="001D5473">
        <w:t xml:space="preserve">he </w:t>
      </w:r>
      <w:r w:rsidR="000707D0" w:rsidRPr="001D5473">
        <w:t>draft list</w:t>
      </w:r>
      <w:r w:rsidR="00E07BB7" w:rsidRPr="001D5473">
        <w:t>s</w:t>
      </w:r>
      <w:r w:rsidR="000707D0" w:rsidRPr="001D5473">
        <w:t xml:space="preserve"> of </w:t>
      </w:r>
      <w:r w:rsidR="00CB20DF" w:rsidRPr="001D5473">
        <w:t>gap</w:t>
      </w:r>
      <w:r w:rsidR="000707D0" w:rsidRPr="001D5473">
        <w:t xml:space="preserve">s and associated </w:t>
      </w:r>
      <w:r w:rsidR="000D2232" w:rsidRPr="001D5473">
        <w:t>capacity-building needs</w:t>
      </w:r>
      <w:r w:rsidR="00A926FA" w:rsidRPr="001D5473">
        <w:t>;</w:t>
      </w:r>
      <w:r w:rsidR="000D2232" w:rsidRPr="001D5473">
        <w:t xml:space="preserve"> </w:t>
      </w:r>
    </w:p>
    <w:p w14:paraId="19065EC1" w14:textId="5D7EE838" w:rsidR="00F61307" w:rsidRPr="001D5473" w:rsidRDefault="00655949" w:rsidP="00840B1F">
      <w:pPr>
        <w:pStyle w:val="Para1"/>
        <w:numPr>
          <w:ilvl w:val="0"/>
          <w:numId w:val="0"/>
        </w:numPr>
        <w:tabs>
          <w:tab w:val="clear" w:pos="1134"/>
          <w:tab w:val="left" w:pos="1701"/>
        </w:tabs>
        <w:ind w:left="567" w:firstLine="567"/>
      </w:pPr>
      <w:r w:rsidRPr="001D5473">
        <w:t>(d)</w:t>
      </w:r>
      <w:r w:rsidRPr="001D5473">
        <w:tab/>
        <w:t>S</w:t>
      </w:r>
      <w:r w:rsidR="000D2232" w:rsidRPr="001D5473">
        <w:t>uggestions for the reporting template</w:t>
      </w:r>
      <w:r w:rsidR="00F61307" w:rsidRPr="001D5473">
        <w:t>;</w:t>
      </w:r>
    </w:p>
    <w:p w14:paraId="1F1D9600" w14:textId="689F9338" w:rsidR="00BA5B3D" w:rsidRPr="001D5473" w:rsidRDefault="004A3F26" w:rsidP="00840B1F">
      <w:pPr>
        <w:pStyle w:val="Para1"/>
        <w:numPr>
          <w:ilvl w:val="0"/>
          <w:numId w:val="0"/>
        </w:numPr>
        <w:tabs>
          <w:tab w:val="clear" w:pos="1134"/>
          <w:tab w:val="left" w:pos="1701"/>
        </w:tabs>
        <w:ind w:left="567" w:firstLine="567"/>
      </w:pPr>
      <w:r w:rsidRPr="001D5473">
        <w:t>(e)</w:t>
      </w:r>
      <w:r w:rsidRPr="001D5473">
        <w:tab/>
        <w:t xml:space="preserve">Suggestions </w:t>
      </w:r>
      <w:r w:rsidR="005010B3" w:rsidRPr="001D5473">
        <w:t xml:space="preserve">for </w:t>
      </w:r>
      <w:r w:rsidR="0074322A" w:rsidRPr="001D5473">
        <w:t>future</w:t>
      </w:r>
      <w:r w:rsidR="00DE350C" w:rsidRPr="001D5473">
        <w:t xml:space="preserve"> work</w:t>
      </w:r>
      <w:r w:rsidR="005010B3" w:rsidRPr="001D5473">
        <w:t>,</w:t>
      </w:r>
      <w:r w:rsidR="00DE350C" w:rsidRPr="001D5473">
        <w:t xml:space="preserve"> as needed</w:t>
      </w:r>
      <w:r w:rsidR="007511E6" w:rsidRPr="001D5473">
        <w:t xml:space="preserve">. </w:t>
      </w:r>
    </w:p>
    <w:p w14:paraId="7192486E" w14:textId="2AEB7285" w:rsidR="00AA58E2" w:rsidRPr="001D5473" w:rsidRDefault="00AA58E2" w:rsidP="00F31A26">
      <w:pPr>
        <w:pStyle w:val="Para1"/>
      </w:pPr>
      <w:r w:rsidRPr="001D5473">
        <w:t xml:space="preserve">The </w:t>
      </w:r>
      <w:r w:rsidR="00132246" w:rsidRPr="001D5473">
        <w:t>Technical Expert G</w:t>
      </w:r>
      <w:r w:rsidR="004A2375" w:rsidRPr="001D5473">
        <w:t>roup allocate</w:t>
      </w:r>
      <w:r w:rsidR="00A052D9" w:rsidRPr="001D5473">
        <w:t>d</w:t>
      </w:r>
      <w:r w:rsidR="004A2375" w:rsidRPr="001D5473">
        <w:t xml:space="preserve"> </w:t>
      </w:r>
      <w:r w:rsidRPr="001D5473">
        <w:t xml:space="preserve">its </w:t>
      </w:r>
      <w:r w:rsidR="004A2375" w:rsidRPr="001D5473">
        <w:t xml:space="preserve">members </w:t>
      </w:r>
      <w:r w:rsidR="00A052D9" w:rsidRPr="001D5473">
        <w:t xml:space="preserve">among </w:t>
      </w:r>
      <w:r w:rsidRPr="001D5473">
        <w:t>the five subgroups</w:t>
      </w:r>
      <w:r w:rsidR="00CE3E72" w:rsidRPr="001D5473">
        <w:t xml:space="preserve"> and </w:t>
      </w:r>
      <w:r w:rsidRPr="001D5473">
        <w:t xml:space="preserve">selected </w:t>
      </w:r>
      <w:r w:rsidR="00CE3E72" w:rsidRPr="001D5473">
        <w:t xml:space="preserve">at least one </w:t>
      </w:r>
      <w:r w:rsidRPr="001D5473">
        <w:t xml:space="preserve">member </w:t>
      </w:r>
      <w:r w:rsidR="00AD716A" w:rsidRPr="001D5473">
        <w:t>from</w:t>
      </w:r>
      <w:r w:rsidRPr="001D5473">
        <w:t xml:space="preserve"> each of the subgroups to chaperone the work of the respective subgroup</w:t>
      </w:r>
      <w:r w:rsidR="001C3120" w:rsidRPr="001D5473">
        <w:t>s</w:t>
      </w:r>
      <w:r w:rsidRPr="001D5473">
        <w:t xml:space="preserve">. </w:t>
      </w:r>
    </w:p>
    <w:p w14:paraId="4BF60904" w14:textId="201AE701" w:rsidR="001714EC" w:rsidRPr="001D5473" w:rsidRDefault="001714EC" w:rsidP="001D5473">
      <w:pPr>
        <w:spacing w:before="123"/>
        <w:rPr>
          <w:b/>
          <w:sz w:val="24"/>
          <w:szCs w:val="22"/>
        </w:rPr>
      </w:pPr>
      <w:r w:rsidRPr="00531867">
        <w:rPr>
          <w:b/>
          <w:sz w:val="24"/>
        </w:rPr>
        <w:t>Item</w:t>
      </w:r>
      <w:r w:rsidRPr="00531867">
        <w:rPr>
          <w:b/>
          <w:spacing w:val="-4"/>
          <w:sz w:val="24"/>
        </w:rPr>
        <w:t xml:space="preserve"> </w:t>
      </w:r>
      <w:r w:rsidRPr="00531867">
        <w:rPr>
          <w:b/>
          <w:spacing w:val="-10"/>
          <w:sz w:val="24"/>
        </w:rPr>
        <w:t>5</w:t>
      </w:r>
    </w:p>
    <w:p w14:paraId="2FDF3378" w14:textId="25952A11" w:rsidR="001714EC" w:rsidRPr="00531867" w:rsidRDefault="001714EC" w:rsidP="001D5473">
      <w:pPr>
        <w:rPr>
          <w:b/>
          <w:sz w:val="24"/>
        </w:rPr>
      </w:pPr>
      <w:r w:rsidRPr="00531867">
        <w:rPr>
          <w:b/>
          <w:sz w:val="24"/>
        </w:rPr>
        <w:t xml:space="preserve">Other </w:t>
      </w:r>
      <w:r w:rsidR="00CF3023" w:rsidRPr="00531867">
        <w:rPr>
          <w:b/>
          <w:sz w:val="24"/>
        </w:rPr>
        <w:t>m</w:t>
      </w:r>
      <w:r w:rsidRPr="00531867">
        <w:rPr>
          <w:b/>
          <w:sz w:val="24"/>
        </w:rPr>
        <w:t>atter</w:t>
      </w:r>
      <w:r w:rsidR="00B9325D" w:rsidRPr="00531867">
        <w:rPr>
          <w:b/>
          <w:sz w:val="24"/>
        </w:rPr>
        <w:t>s</w:t>
      </w:r>
    </w:p>
    <w:p w14:paraId="60BEFAC1" w14:textId="23757D81" w:rsidR="00E164E0" w:rsidRPr="001D5473" w:rsidRDefault="00A64EBE" w:rsidP="00F31A26">
      <w:pPr>
        <w:pStyle w:val="Para1"/>
      </w:pPr>
      <w:r w:rsidRPr="001D5473">
        <w:t>N</w:t>
      </w:r>
      <w:r w:rsidR="00CB0050" w:rsidRPr="001D5473">
        <w:t xml:space="preserve">o </w:t>
      </w:r>
      <w:r w:rsidR="003C7FB8" w:rsidRPr="001D5473">
        <w:t>issues</w:t>
      </w:r>
      <w:r w:rsidRPr="001D5473">
        <w:t xml:space="preserve"> were raised</w:t>
      </w:r>
      <w:r w:rsidR="008B7CF1" w:rsidRPr="001D5473">
        <w:t xml:space="preserve"> under agenda item 5</w:t>
      </w:r>
      <w:r w:rsidR="00A557FC" w:rsidRPr="001D5473">
        <w:t>.</w:t>
      </w:r>
      <w:r w:rsidR="00FC6E51" w:rsidRPr="001D5473">
        <w:t xml:space="preserve"> </w:t>
      </w:r>
    </w:p>
    <w:p w14:paraId="301D7034" w14:textId="61E67161" w:rsidR="001714EC" w:rsidRPr="001D5473" w:rsidRDefault="001714EC" w:rsidP="001D5473">
      <w:pPr>
        <w:spacing w:before="123"/>
        <w:rPr>
          <w:b/>
          <w:sz w:val="24"/>
          <w:szCs w:val="22"/>
        </w:rPr>
      </w:pPr>
      <w:r w:rsidRPr="00531867">
        <w:rPr>
          <w:b/>
          <w:sz w:val="24"/>
        </w:rPr>
        <w:t>Item</w:t>
      </w:r>
      <w:r w:rsidRPr="00531867">
        <w:rPr>
          <w:b/>
          <w:spacing w:val="-4"/>
          <w:sz w:val="24"/>
        </w:rPr>
        <w:t xml:space="preserve"> </w:t>
      </w:r>
      <w:r w:rsidR="00937C75" w:rsidRPr="00531867">
        <w:rPr>
          <w:b/>
          <w:spacing w:val="-10"/>
          <w:sz w:val="24"/>
        </w:rPr>
        <w:t>6</w:t>
      </w:r>
    </w:p>
    <w:p w14:paraId="439AA692" w14:textId="39511908" w:rsidR="001977D3" w:rsidRPr="00531867" w:rsidRDefault="00937C75" w:rsidP="001D5473">
      <w:pPr>
        <w:rPr>
          <w:b/>
          <w:sz w:val="24"/>
        </w:rPr>
      </w:pPr>
      <w:r w:rsidRPr="00531867">
        <w:rPr>
          <w:b/>
          <w:sz w:val="24"/>
        </w:rPr>
        <w:t xml:space="preserve">Closure of the </w:t>
      </w:r>
      <w:r w:rsidR="00CF3023" w:rsidRPr="00531867">
        <w:rPr>
          <w:b/>
          <w:sz w:val="24"/>
        </w:rPr>
        <w:t>m</w:t>
      </w:r>
      <w:r w:rsidRPr="00531867">
        <w:rPr>
          <w:b/>
          <w:sz w:val="24"/>
        </w:rPr>
        <w:t>eeting</w:t>
      </w:r>
    </w:p>
    <w:p w14:paraId="21ADBA80" w14:textId="3423B18D" w:rsidR="00DB7F51" w:rsidRPr="001D5473" w:rsidRDefault="00BC7624" w:rsidP="00F31A26">
      <w:pPr>
        <w:pStyle w:val="Para1"/>
      </w:pPr>
      <w:r w:rsidRPr="001D5473">
        <w:t xml:space="preserve">The </w:t>
      </w:r>
      <w:r w:rsidR="008B7CF1" w:rsidRPr="001D5473">
        <w:t>C</w:t>
      </w:r>
      <w:r w:rsidRPr="001D5473">
        <w:t>o-</w:t>
      </w:r>
      <w:r w:rsidR="008B7CF1" w:rsidRPr="001D5473">
        <w:t>C</w:t>
      </w:r>
      <w:r w:rsidRPr="001D5473">
        <w:t xml:space="preserve">hairs </w:t>
      </w:r>
      <w:r w:rsidR="00FF1184" w:rsidRPr="001D5473">
        <w:t>provided closing remarks</w:t>
      </w:r>
      <w:r w:rsidR="00996ECF" w:rsidRPr="001D5473">
        <w:t>,</w:t>
      </w:r>
      <w:r w:rsidR="00FF1184" w:rsidRPr="001D5473">
        <w:t xml:space="preserve"> thank</w:t>
      </w:r>
      <w:r w:rsidR="00996ECF" w:rsidRPr="001D5473">
        <w:t xml:space="preserve">ing </w:t>
      </w:r>
      <w:r w:rsidR="00FF1184" w:rsidRPr="001D5473">
        <w:t xml:space="preserve">the </w:t>
      </w:r>
      <w:r w:rsidR="00996ECF" w:rsidRPr="001D5473">
        <w:t>p</w:t>
      </w:r>
      <w:r w:rsidR="00FF1184" w:rsidRPr="001D5473">
        <w:t xml:space="preserve">articipants and </w:t>
      </w:r>
      <w:r w:rsidR="0003330D" w:rsidRPr="001D5473">
        <w:t xml:space="preserve">the </w:t>
      </w:r>
      <w:r w:rsidR="00FF1184" w:rsidRPr="001D5473">
        <w:t xml:space="preserve">organizers </w:t>
      </w:r>
      <w:r w:rsidR="0006787F" w:rsidRPr="001D5473">
        <w:t>for contributing to the fruitful discussion</w:t>
      </w:r>
      <w:r w:rsidR="00AC58C7" w:rsidRPr="001D5473">
        <w:t>s</w:t>
      </w:r>
      <w:r w:rsidR="0006787F" w:rsidRPr="001D5473">
        <w:t xml:space="preserve"> </w:t>
      </w:r>
      <w:r w:rsidR="002608ED" w:rsidRPr="001D5473">
        <w:t xml:space="preserve">held </w:t>
      </w:r>
      <w:r w:rsidR="0006787F" w:rsidRPr="001D5473">
        <w:t xml:space="preserve">over the course of the meeting. </w:t>
      </w:r>
    </w:p>
    <w:p w14:paraId="44BAEA9F" w14:textId="585F38ED" w:rsidR="00712917" w:rsidRPr="001D5473" w:rsidRDefault="00DD36BF" w:rsidP="00F31A26">
      <w:pPr>
        <w:pStyle w:val="Para1"/>
      </w:pPr>
      <w:r w:rsidRPr="001D5473">
        <w:t>After the usual exchange of courtesies, t</w:t>
      </w:r>
      <w:r w:rsidR="00712917" w:rsidRPr="001D5473">
        <w:t xml:space="preserve">he meeting </w:t>
      </w:r>
      <w:r w:rsidR="00CA3F76" w:rsidRPr="001D5473">
        <w:t xml:space="preserve">was </w:t>
      </w:r>
      <w:r w:rsidR="00712917" w:rsidRPr="001D5473">
        <w:t xml:space="preserve">closed at 5 </w:t>
      </w:r>
      <w:r w:rsidR="00F126BD" w:rsidRPr="001D5473">
        <w:t>p.m.</w:t>
      </w:r>
      <w:r w:rsidR="00712917" w:rsidRPr="001D5473">
        <w:t xml:space="preserve"> on 1 December</w:t>
      </w:r>
      <w:r w:rsidR="00F126BD" w:rsidRPr="001D5473">
        <w:t xml:space="preserve"> 2023. </w:t>
      </w:r>
    </w:p>
    <w:p w14:paraId="3B761C22" w14:textId="77777777" w:rsidR="006C39D1" w:rsidRPr="001D5473" w:rsidRDefault="006C39D1" w:rsidP="00F31A26">
      <w:pPr>
        <w:pStyle w:val="Para1"/>
        <w:numPr>
          <w:ilvl w:val="0"/>
          <w:numId w:val="0"/>
        </w:numPr>
        <w:ind w:left="567"/>
        <w:sectPr w:rsidR="006C39D1" w:rsidRPr="001D5473" w:rsidSect="00302717">
          <w:pgSz w:w="12240" w:h="15840"/>
          <w:pgMar w:top="1134" w:right="1440" w:bottom="1134" w:left="1440" w:header="709" w:footer="709" w:gutter="0"/>
          <w:cols w:space="708"/>
          <w:docGrid w:linePitch="360"/>
        </w:sectPr>
      </w:pPr>
    </w:p>
    <w:p w14:paraId="118A2C07" w14:textId="77777777" w:rsidR="006C39D1" w:rsidRPr="001D5473" w:rsidRDefault="00EE003F" w:rsidP="001D5473">
      <w:pPr>
        <w:pStyle w:val="Annex"/>
      </w:pPr>
      <w:r w:rsidRPr="001D5473">
        <w:lastRenderedPageBreak/>
        <w:t>Annex I</w:t>
      </w:r>
    </w:p>
    <w:p w14:paraId="251D65A4" w14:textId="5817B99B" w:rsidR="00BA0F90" w:rsidRPr="001D5473" w:rsidRDefault="00BA0F90" w:rsidP="001D5473">
      <w:pPr>
        <w:pStyle w:val="Title"/>
        <w:rPr>
          <w:lang w:eastAsia="zh-CN"/>
        </w:rPr>
      </w:pPr>
      <w:bookmarkStart w:id="4" w:name="_Hlk152284947"/>
      <w:r w:rsidRPr="001D5473">
        <w:rPr>
          <w:lang w:eastAsia="zh-CN"/>
        </w:rPr>
        <w:t>Conclusions and next steps (template</w:t>
      </w:r>
      <w:r w:rsidR="00DF1545" w:rsidRPr="001D5473">
        <w:rPr>
          <w:lang w:eastAsia="zh-CN"/>
        </w:rPr>
        <w:t xml:space="preserve"> for</w:t>
      </w:r>
      <w:r w:rsidR="00036DB9" w:rsidRPr="001D5473">
        <w:rPr>
          <w:lang w:eastAsia="zh-CN"/>
        </w:rPr>
        <w:t xml:space="preserve"> the</w:t>
      </w:r>
      <w:r w:rsidR="00DF1545" w:rsidRPr="001D5473">
        <w:rPr>
          <w:lang w:eastAsia="zh-CN"/>
        </w:rPr>
        <w:t xml:space="preserve"> subgroups</w:t>
      </w:r>
      <w:r w:rsidRPr="001D5473">
        <w:rPr>
          <w:lang w:eastAsia="zh-CN"/>
        </w:rPr>
        <w:t>)</w:t>
      </w:r>
    </w:p>
    <w:tbl>
      <w:tblPr>
        <w:tblStyle w:val="TableGrid2"/>
        <w:tblW w:w="5000" w:type="pct"/>
        <w:tblBorders>
          <w:top w:val="dotted" w:sz="4" w:space="0" w:color="D1E7A8"/>
          <w:left w:val="dotted" w:sz="4" w:space="0" w:color="D1E7A8"/>
          <w:bottom w:val="dotted" w:sz="4" w:space="0" w:color="D1E7A8"/>
          <w:right w:val="dotted" w:sz="4" w:space="0" w:color="D1E7A8"/>
          <w:insideH w:val="dotted" w:sz="4" w:space="0" w:color="D1E7A8"/>
          <w:insideV w:val="dotted" w:sz="4" w:space="0" w:color="D1E7A8"/>
        </w:tblBorders>
        <w:tblLook w:val="04A0" w:firstRow="1" w:lastRow="0" w:firstColumn="1" w:lastColumn="0" w:noHBand="0" w:noVBand="1"/>
      </w:tblPr>
      <w:tblGrid>
        <w:gridCol w:w="9350"/>
      </w:tblGrid>
      <w:tr w:rsidR="00BA0F90" w:rsidRPr="00531867" w14:paraId="33AC188B" w14:textId="77777777" w:rsidTr="00BA0F90">
        <w:tc>
          <w:tcPr>
            <w:tcW w:w="5000" w:type="pct"/>
          </w:tcPr>
          <w:bookmarkEnd w:id="4"/>
          <w:p w14:paraId="73D0FDF8" w14:textId="77777777" w:rsidR="00BA0F90" w:rsidRPr="001D5473" w:rsidRDefault="00BA0F90" w:rsidP="00BA0F90">
            <w:pPr>
              <w:snapToGrid w:val="0"/>
              <w:spacing w:before="120"/>
              <w:jc w:val="left"/>
              <w:rPr>
                <w:rFonts w:eastAsia="DengXian"/>
                <w:b/>
                <w:bCs/>
                <w:sz w:val="24"/>
              </w:rPr>
            </w:pPr>
            <w:r w:rsidRPr="001D5473">
              <w:rPr>
                <w:rFonts w:eastAsia="DengXian Light"/>
                <w:sz w:val="24"/>
              </w:rPr>
              <w:t>Indicator XXX</w:t>
            </w:r>
          </w:p>
        </w:tc>
      </w:tr>
      <w:tr w:rsidR="00BA0F90" w:rsidRPr="00531867" w14:paraId="7B26A3C2" w14:textId="77777777" w:rsidTr="00BA0F90">
        <w:tc>
          <w:tcPr>
            <w:tcW w:w="5000" w:type="pct"/>
          </w:tcPr>
          <w:p w14:paraId="6C36534D" w14:textId="6F63E9D9" w:rsidR="00BA0F90" w:rsidRPr="001D5473" w:rsidRDefault="00BA0F90" w:rsidP="00BA0F90">
            <w:pPr>
              <w:numPr>
                <w:ilvl w:val="0"/>
                <w:numId w:val="37"/>
              </w:numPr>
              <w:snapToGrid w:val="0"/>
              <w:spacing w:before="120"/>
              <w:jc w:val="left"/>
              <w:rPr>
                <w:rFonts w:eastAsia="DengXian"/>
                <w:b/>
                <w:bCs/>
                <w:szCs w:val="22"/>
              </w:rPr>
            </w:pPr>
            <w:r w:rsidRPr="001D5473">
              <w:rPr>
                <w:rFonts w:eastAsia="DengXian"/>
                <w:b/>
                <w:bCs/>
                <w:szCs w:val="22"/>
              </w:rPr>
              <w:t xml:space="preserve">Preliminary conclusions of the </w:t>
            </w:r>
            <w:r w:rsidR="00BE5F01" w:rsidRPr="001D5473">
              <w:rPr>
                <w:rFonts w:eastAsia="DengXian"/>
                <w:b/>
                <w:bCs/>
                <w:szCs w:val="22"/>
              </w:rPr>
              <w:t xml:space="preserve">Technical Expert Group on </w:t>
            </w:r>
            <w:r w:rsidR="0061159F" w:rsidRPr="001D5473">
              <w:rPr>
                <w:rFonts w:eastAsia="DengXian"/>
                <w:b/>
                <w:bCs/>
                <w:szCs w:val="22"/>
              </w:rPr>
              <w:t>Financial Reporting</w:t>
            </w:r>
          </w:p>
        </w:tc>
      </w:tr>
      <w:tr w:rsidR="00BA0F90" w:rsidRPr="00531867" w14:paraId="0E5AD7DB" w14:textId="77777777" w:rsidTr="00BA0F90">
        <w:tc>
          <w:tcPr>
            <w:tcW w:w="5000" w:type="pct"/>
          </w:tcPr>
          <w:p w14:paraId="1465542C" w14:textId="670F0E62" w:rsidR="00BA0F90" w:rsidRPr="001D5473" w:rsidRDefault="00BA0F90" w:rsidP="00BA0F90">
            <w:pPr>
              <w:numPr>
                <w:ilvl w:val="1"/>
                <w:numId w:val="37"/>
              </w:numPr>
              <w:snapToGrid w:val="0"/>
              <w:jc w:val="left"/>
              <w:rPr>
                <w:rFonts w:eastAsia="DengXian"/>
                <w:b/>
                <w:bCs/>
                <w:szCs w:val="22"/>
              </w:rPr>
            </w:pPr>
            <w:r w:rsidRPr="001D5473">
              <w:rPr>
                <w:rFonts w:eastAsia="DengXian"/>
                <w:b/>
                <w:bCs/>
                <w:szCs w:val="22"/>
              </w:rPr>
              <w:t xml:space="preserve">Critical </w:t>
            </w:r>
            <w:r w:rsidR="0061159F" w:rsidRPr="001D5473">
              <w:rPr>
                <w:rFonts w:eastAsia="DengXian"/>
                <w:b/>
                <w:bCs/>
                <w:szCs w:val="22"/>
              </w:rPr>
              <w:t>g</w:t>
            </w:r>
            <w:r w:rsidRPr="001D5473">
              <w:rPr>
                <w:rFonts w:eastAsia="DengXian"/>
                <w:b/>
                <w:bCs/>
                <w:szCs w:val="22"/>
              </w:rPr>
              <w:t>aps</w:t>
            </w:r>
          </w:p>
        </w:tc>
      </w:tr>
      <w:tr w:rsidR="00BA0F90" w:rsidRPr="00531867" w14:paraId="7C23E246" w14:textId="77777777" w:rsidTr="00BA0F90">
        <w:tc>
          <w:tcPr>
            <w:tcW w:w="5000" w:type="pct"/>
          </w:tcPr>
          <w:p w14:paraId="4E17A50E" w14:textId="77777777" w:rsidR="00BA0F90" w:rsidRPr="001D5473" w:rsidRDefault="00BA0F90" w:rsidP="00BA0F90">
            <w:pPr>
              <w:numPr>
                <w:ilvl w:val="0"/>
                <w:numId w:val="38"/>
              </w:numPr>
              <w:snapToGrid w:val="0"/>
              <w:jc w:val="left"/>
              <w:rPr>
                <w:rFonts w:eastAsia="DengXian"/>
                <w:szCs w:val="22"/>
              </w:rPr>
            </w:pPr>
            <w:r w:rsidRPr="001D5473">
              <w:rPr>
                <w:rFonts w:eastAsia="DengXian"/>
                <w:szCs w:val="22"/>
              </w:rPr>
              <w:t>(…)</w:t>
            </w:r>
          </w:p>
        </w:tc>
      </w:tr>
      <w:tr w:rsidR="00BA0F90" w:rsidRPr="00531867" w14:paraId="020E615E" w14:textId="77777777" w:rsidTr="00BA0F90">
        <w:tc>
          <w:tcPr>
            <w:tcW w:w="5000" w:type="pct"/>
          </w:tcPr>
          <w:p w14:paraId="07AC8F9E" w14:textId="09035108" w:rsidR="00BA0F90" w:rsidRPr="001D5473" w:rsidRDefault="00BA0F90" w:rsidP="00BA0F90">
            <w:pPr>
              <w:numPr>
                <w:ilvl w:val="1"/>
                <w:numId w:val="37"/>
              </w:numPr>
              <w:snapToGrid w:val="0"/>
              <w:jc w:val="left"/>
              <w:rPr>
                <w:rFonts w:eastAsia="DengXian"/>
                <w:b/>
                <w:bCs/>
                <w:szCs w:val="22"/>
              </w:rPr>
            </w:pPr>
            <w:r w:rsidRPr="001D5473">
              <w:rPr>
                <w:rFonts w:eastAsia="DengXian"/>
                <w:b/>
                <w:bCs/>
                <w:szCs w:val="22"/>
              </w:rPr>
              <w:t>Capacity</w:t>
            </w:r>
            <w:r w:rsidR="00BE5F01" w:rsidRPr="001D5473">
              <w:rPr>
                <w:rFonts w:eastAsia="DengXian"/>
                <w:b/>
                <w:bCs/>
                <w:szCs w:val="22"/>
              </w:rPr>
              <w:t>-b</w:t>
            </w:r>
            <w:r w:rsidRPr="001D5473">
              <w:rPr>
                <w:rFonts w:eastAsia="DengXian"/>
                <w:b/>
                <w:bCs/>
                <w:szCs w:val="22"/>
              </w:rPr>
              <w:t xml:space="preserve">uilding </w:t>
            </w:r>
            <w:r w:rsidR="00BE5F01" w:rsidRPr="001D5473">
              <w:rPr>
                <w:rFonts w:eastAsia="DengXian"/>
                <w:b/>
                <w:bCs/>
                <w:szCs w:val="22"/>
              </w:rPr>
              <w:t>n</w:t>
            </w:r>
            <w:r w:rsidRPr="001D5473">
              <w:rPr>
                <w:rFonts w:eastAsia="DengXian"/>
                <w:b/>
                <w:bCs/>
                <w:szCs w:val="22"/>
              </w:rPr>
              <w:t>eeds</w:t>
            </w:r>
          </w:p>
        </w:tc>
      </w:tr>
      <w:tr w:rsidR="00BA0F90" w:rsidRPr="00531867" w14:paraId="04A33C13" w14:textId="77777777" w:rsidTr="00BA0F90">
        <w:tc>
          <w:tcPr>
            <w:tcW w:w="5000" w:type="pct"/>
          </w:tcPr>
          <w:p w14:paraId="7CB9F2C4" w14:textId="77777777" w:rsidR="00BA0F90" w:rsidRPr="001D5473" w:rsidRDefault="00BA0F90" w:rsidP="00BA0F90">
            <w:pPr>
              <w:numPr>
                <w:ilvl w:val="0"/>
                <w:numId w:val="38"/>
              </w:numPr>
              <w:snapToGrid w:val="0"/>
              <w:jc w:val="left"/>
              <w:rPr>
                <w:rFonts w:eastAsia="DengXian"/>
                <w:szCs w:val="22"/>
              </w:rPr>
            </w:pPr>
            <w:r w:rsidRPr="001D5473">
              <w:rPr>
                <w:rFonts w:eastAsia="DengXian"/>
                <w:szCs w:val="22"/>
              </w:rPr>
              <w:t>(…)</w:t>
            </w:r>
          </w:p>
        </w:tc>
      </w:tr>
      <w:tr w:rsidR="00BA0F90" w:rsidRPr="00531867" w14:paraId="2A4FCF4A" w14:textId="77777777" w:rsidTr="00BA0F90">
        <w:tc>
          <w:tcPr>
            <w:tcW w:w="5000" w:type="pct"/>
          </w:tcPr>
          <w:p w14:paraId="05445A7B" w14:textId="77777777" w:rsidR="00BA0F90" w:rsidRPr="001D5473" w:rsidRDefault="00BA0F90" w:rsidP="00BA0F90">
            <w:pPr>
              <w:numPr>
                <w:ilvl w:val="1"/>
                <w:numId w:val="37"/>
              </w:numPr>
              <w:snapToGrid w:val="0"/>
              <w:jc w:val="left"/>
              <w:rPr>
                <w:rFonts w:eastAsia="DengXian"/>
                <w:b/>
                <w:bCs/>
                <w:szCs w:val="22"/>
              </w:rPr>
            </w:pPr>
            <w:r w:rsidRPr="001D5473">
              <w:rPr>
                <w:rFonts w:eastAsia="DengXian"/>
                <w:b/>
                <w:bCs/>
                <w:szCs w:val="22"/>
              </w:rPr>
              <w:t>Suggested changes to indicators</w:t>
            </w:r>
          </w:p>
        </w:tc>
      </w:tr>
      <w:tr w:rsidR="00BA0F90" w:rsidRPr="00531867" w14:paraId="15DA832D" w14:textId="77777777" w:rsidTr="00BA0F90">
        <w:tc>
          <w:tcPr>
            <w:tcW w:w="5000" w:type="pct"/>
          </w:tcPr>
          <w:p w14:paraId="52D022F9" w14:textId="77777777" w:rsidR="00BA0F90" w:rsidRPr="001D5473" w:rsidRDefault="00BA0F90" w:rsidP="00BA0F90">
            <w:pPr>
              <w:numPr>
                <w:ilvl w:val="0"/>
                <w:numId w:val="38"/>
              </w:numPr>
              <w:snapToGrid w:val="0"/>
              <w:jc w:val="left"/>
              <w:rPr>
                <w:rFonts w:eastAsia="DengXian"/>
                <w:szCs w:val="22"/>
              </w:rPr>
            </w:pPr>
            <w:r w:rsidRPr="001D5473">
              <w:rPr>
                <w:rFonts w:eastAsia="DengXian"/>
                <w:szCs w:val="22"/>
              </w:rPr>
              <w:t>(…)</w:t>
            </w:r>
          </w:p>
        </w:tc>
      </w:tr>
      <w:tr w:rsidR="00BA0F90" w:rsidRPr="00531867" w14:paraId="0CA65430" w14:textId="77777777" w:rsidTr="00BA0F90">
        <w:tc>
          <w:tcPr>
            <w:tcW w:w="5000" w:type="pct"/>
          </w:tcPr>
          <w:p w14:paraId="7AE70B38" w14:textId="77777777" w:rsidR="00BA0F90" w:rsidRPr="001D5473" w:rsidRDefault="00BA0F90" w:rsidP="00BA0F90">
            <w:pPr>
              <w:numPr>
                <w:ilvl w:val="1"/>
                <w:numId w:val="37"/>
              </w:numPr>
              <w:snapToGrid w:val="0"/>
              <w:jc w:val="left"/>
              <w:rPr>
                <w:rFonts w:eastAsia="DengXian"/>
                <w:b/>
                <w:bCs/>
                <w:szCs w:val="22"/>
              </w:rPr>
            </w:pPr>
            <w:r w:rsidRPr="001D5473">
              <w:rPr>
                <w:rFonts w:eastAsia="DengXian"/>
                <w:b/>
                <w:bCs/>
                <w:szCs w:val="22"/>
              </w:rPr>
              <w:t>Suggested binary indicator(s)</w:t>
            </w:r>
          </w:p>
        </w:tc>
      </w:tr>
      <w:tr w:rsidR="004A2C9B" w:rsidRPr="00531867" w14:paraId="3A8C9C67" w14:textId="77777777" w:rsidTr="00BA0F90">
        <w:tc>
          <w:tcPr>
            <w:tcW w:w="5000" w:type="pct"/>
          </w:tcPr>
          <w:p w14:paraId="15C4D0D8" w14:textId="155FF54D" w:rsidR="004A2C9B" w:rsidRPr="001D5473" w:rsidRDefault="004A2C9B" w:rsidP="001D5473">
            <w:pPr>
              <w:numPr>
                <w:ilvl w:val="0"/>
                <w:numId w:val="38"/>
              </w:numPr>
              <w:snapToGrid w:val="0"/>
              <w:jc w:val="left"/>
              <w:rPr>
                <w:rFonts w:eastAsia="DengXian"/>
                <w:szCs w:val="22"/>
              </w:rPr>
            </w:pPr>
            <w:r w:rsidRPr="001D5473">
              <w:rPr>
                <w:rFonts w:eastAsia="DengXian"/>
                <w:szCs w:val="22"/>
              </w:rPr>
              <w:t>(…)</w:t>
            </w:r>
          </w:p>
        </w:tc>
      </w:tr>
      <w:tr w:rsidR="00BA0F90" w:rsidRPr="00531867" w14:paraId="4F0E05F3" w14:textId="77777777" w:rsidTr="00BA0F90">
        <w:tc>
          <w:tcPr>
            <w:tcW w:w="5000" w:type="pct"/>
          </w:tcPr>
          <w:p w14:paraId="63F87E31" w14:textId="5F484EBC" w:rsidR="00BA0F90" w:rsidRPr="001D5473" w:rsidRDefault="00BA0F90" w:rsidP="00BA0F90">
            <w:pPr>
              <w:numPr>
                <w:ilvl w:val="0"/>
                <w:numId w:val="37"/>
              </w:numPr>
              <w:snapToGrid w:val="0"/>
              <w:spacing w:before="120"/>
              <w:jc w:val="left"/>
              <w:rPr>
                <w:rFonts w:eastAsia="DengXian"/>
                <w:b/>
                <w:bCs/>
                <w:szCs w:val="22"/>
              </w:rPr>
            </w:pPr>
            <w:r w:rsidRPr="001D5473">
              <w:rPr>
                <w:rFonts w:eastAsia="DengXian"/>
                <w:b/>
                <w:bCs/>
                <w:szCs w:val="22"/>
              </w:rPr>
              <w:t>Terms of reference of the subgroup on indicator XXX</w:t>
            </w:r>
          </w:p>
        </w:tc>
      </w:tr>
      <w:tr w:rsidR="00BA0F90" w:rsidRPr="00531867" w14:paraId="758511C1" w14:textId="77777777" w:rsidTr="00BA0F90">
        <w:tc>
          <w:tcPr>
            <w:tcW w:w="5000" w:type="pct"/>
          </w:tcPr>
          <w:p w14:paraId="6807278C" w14:textId="46E39B74" w:rsidR="00BA0F90" w:rsidRPr="001D5473" w:rsidRDefault="00BA0F90" w:rsidP="00BA0F90">
            <w:pPr>
              <w:numPr>
                <w:ilvl w:val="1"/>
                <w:numId w:val="37"/>
              </w:numPr>
              <w:snapToGrid w:val="0"/>
              <w:jc w:val="left"/>
              <w:rPr>
                <w:rFonts w:eastAsia="DengXian"/>
                <w:szCs w:val="22"/>
              </w:rPr>
            </w:pPr>
            <w:r w:rsidRPr="001D5473">
              <w:rPr>
                <w:rFonts w:eastAsia="DengXian"/>
                <w:szCs w:val="22"/>
              </w:rPr>
              <w:t>Review and amend</w:t>
            </w:r>
            <w:r w:rsidR="00DC49BD" w:rsidRPr="00531867">
              <w:rPr>
                <w:rFonts w:eastAsia="DengXian"/>
                <w:szCs w:val="22"/>
              </w:rPr>
              <w:t>,</w:t>
            </w:r>
            <w:r w:rsidRPr="001D5473">
              <w:rPr>
                <w:rFonts w:eastAsia="DengXian"/>
                <w:szCs w:val="22"/>
              </w:rPr>
              <w:t xml:space="preserve"> as necessary</w:t>
            </w:r>
            <w:r w:rsidR="00DC49BD" w:rsidRPr="00531867">
              <w:rPr>
                <w:rFonts w:eastAsia="DengXian"/>
                <w:szCs w:val="22"/>
              </w:rPr>
              <w:t>,</w:t>
            </w:r>
            <w:r w:rsidRPr="001D5473">
              <w:rPr>
                <w:rFonts w:eastAsia="DengXian"/>
                <w:szCs w:val="22"/>
              </w:rPr>
              <w:t xml:space="preserve"> the list of critical gaps above</w:t>
            </w:r>
          </w:p>
        </w:tc>
      </w:tr>
      <w:tr w:rsidR="00BA0F90" w:rsidRPr="00531867" w14:paraId="61DF2724" w14:textId="77777777" w:rsidTr="00BA0F90">
        <w:tc>
          <w:tcPr>
            <w:tcW w:w="5000" w:type="pct"/>
          </w:tcPr>
          <w:p w14:paraId="0D070889" w14:textId="7401704A" w:rsidR="00BA0F90" w:rsidRPr="001D5473" w:rsidRDefault="00BA0F90" w:rsidP="00BA0F90">
            <w:pPr>
              <w:numPr>
                <w:ilvl w:val="1"/>
                <w:numId w:val="37"/>
              </w:numPr>
              <w:snapToGrid w:val="0"/>
              <w:jc w:val="left"/>
              <w:rPr>
                <w:rFonts w:eastAsia="DengXian"/>
                <w:szCs w:val="22"/>
              </w:rPr>
            </w:pPr>
            <w:r w:rsidRPr="001D5473">
              <w:rPr>
                <w:rFonts w:eastAsia="DengXian"/>
                <w:szCs w:val="22"/>
              </w:rPr>
              <w:t>Review and amend</w:t>
            </w:r>
            <w:r w:rsidR="00DC49BD" w:rsidRPr="00531867">
              <w:rPr>
                <w:rFonts w:eastAsia="DengXian"/>
                <w:szCs w:val="22"/>
              </w:rPr>
              <w:t>,</w:t>
            </w:r>
            <w:r w:rsidRPr="001D5473">
              <w:rPr>
                <w:rFonts w:eastAsia="DengXian"/>
                <w:szCs w:val="22"/>
              </w:rPr>
              <w:t xml:space="preserve"> as necessary</w:t>
            </w:r>
            <w:r w:rsidR="00DC49BD" w:rsidRPr="00531867">
              <w:rPr>
                <w:rFonts w:eastAsia="DengXian"/>
                <w:szCs w:val="22"/>
              </w:rPr>
              <w:t>,</w:t>
            </w:r>
            <w:r w:rsidRPr="001D5473">
              <w:rPr>
                <w:rFonts w:eastAsia="DengXian"/>
                <w:szCs w:val="22"/>
              </w:rPr>
              <w:t xml:space="preserve"> the list of capacity</w:t>
            </w:r>
            <w:r w:rsidR="0061159F" w:rsidRPr="001D5473">
              <w:rPr>
                <w:rFonts w:eastAsia="DengXian"/>
                <w:szCs w:val="22"/>
              </w:rPr>
              <w:t>-</w:t>
            </w:r>
            <w:r w:rsidRPr="001D5473">
              <w:rPr>
                <w:rFonts w:eastAsia="DengXian"/>
                <w:szCs w:val="22"/>
              </w:rPr>
              <w:t>building needs above</w:t>
            </w:r>
          </w:p>
        </w:tc>
      </w:tr>
      <w:tr w:rsidR="00BA0F90" w:rsidRPr="00531867" w14:paraId="585B3EA7" w14:textId="77777777" w:rsidTr="00BA0F90">
        <w:tc>
          <w:tcPr>
            <w:tcW w:w="5000" w:type="pct"/>
          </w:tcPr>
          <w:p w14:paraId="48ED72D5" w14:textId="763DB998" w:rsidR="00BA0F90" w:rsidRPr="001D5473" w:rsidRDefault="00BA0F90" w:rsidP="00BA0F90">
            <w:pPr>
              <w:numPr>
                <w:ilvl w:val="1"/>
                <w:numId w:val="37"/>
              </w:numPr>
              <w:snapToGrid w:val="0"/>
              <w:jc w:val="left"/>
              <w:rPr>
                <w:rFonts w:eastAsia="DengXian"/>
                <w:szCs w:val="22"/>
              </w:rPr>
            </w:pPr>
            <w:r w:rsidRPr="001D5473">
              <w:rPr>
                <w:rFonts w:eastAsia="DengXian"/>
                <w:szCs w:val="22"/>
              </w:rPr>
              <w:t>Review and further develop</w:t>
            </w:r>
            <w:r w:rsidR="00AB2640" w:rsidRPr="001D5473">
              <w:rPr>
                <w:rFonts w:eastAsia="DengXian"/>
                <w:szCs w:val="22"/>
              </w:rPr>
              <w:t xml:space="preserve"> or </w:t>
            </w:r>
            <w:r w:rsidRPr="001D5473">
              <w:rPr>
                <w:rFonts w:eastAsia="DengXian"/>
                <w:szCs w:val="22"/>
              </w:rPr>
              <w:t>update the metadata fact sheet</w:t>
            </w:r>
            <w:r w:rsidR="00AB2640" w:rsidRPr="001D5473">
              <w:rPr>
                <w:rFonts w:eastAsia="DengXian"/>
                <w:szCs w:val="22"/>
              </w:rPr>
              <w:t>,</w:t>
            </w:r>
            <w:r w:rsidRPr="001D5473">
              <w:rPr>
                <w:rFonts w:eastAsia="DengXian"/>
                <w:szCs w:val="22"/>
              </w:rPr>
              <w:t xml:space="preserve"> as needed:</w:t>
            </w:r>
          </w:p>
        </w:tc>
      </w:tr>
      <w:tr w:rsidR="00BA0F90" w:rsidRPr="00531867" w14:paraId="16BA2D52" w14:textId="77777777" w:rsidTr="00BA0F90">
        <w:tc>
          <w:tcPr>
            <w:tcW w:w="5000" w:type="pct"/>
          </w:tcPr>
          <w:p w14:paraId="3F7F6E60" w14:textId="2D8A2403" w:rsidR="00BA0F90" w:rsidRPr="001D5473" w:rsidRDefault="00BA0F90" w:rsidP="00BA0F90">
            <w:pPr>
              <w:numPr>
                <w:ilvl w:val="0"/>
                <w:numId w:val="38"/>
              </w:numPr>
              <w:snapToGrid w:val="0"/>
              <w:jc w:val="left"/>
              <w:rPr>
                <w:rFonts w:eastAsia="DengXian"/>
                <w:szCs w:val="22"/>
              </w:rPr>
            </w:pPr>
            <w:r w:rsidRPr="001D5473">
              <w:rPr>
                <w:rFonts w:eastAsia="DengXian"/>
                <w:szCs w:val="22"/>
              </w:rPr>
              <w:t>&lt;</w:t>
            </w:r>
            <w:r w:rsidR="00AB2640" w:rsidRPr="001D5473">
              <w:rPr>
                <w:rFonts w:eastAsia="DengXian"/>
                <w:szCs w:val="22"/>
              </w:rPr>
              <w:t xml:space="preserve">insert </w:t>
            </w:r>
            <w:r w:rsidRPr="001D5473">
              <w:rPr>
                <w:rFonts w:eastAsia="DengXian"/>
                <w:szCs w:val="22"/>
              </w:rPr>
              <w:t>more details</w:t>
            </w:r>
            <w:r w:rsidR="00AB2640" w:rsidRPr="001D5473">
              <w:rPr>
                <w:rFonts w:eastAsia="DengXian"/>
                <w:szCs w:val="22"/>
              </w:rPr>
              <w:t>,</w:t>
            </w:r>
            <w:r w:rsidRPr="001D5473">
              <w:rPr>
                <w:rFonts w:eastAsia="DengXian"/>
                <w:szCs w:val="22"/>
              </w:rPr>
              <w:t xml:space="preserve"> as identified&gt;</w:t>
            </w:r>
          </w:p>
        </w:tc>
      </w:tr>
      <w:tr w:rsidR="00BA0F90" w:rsidRPr="00531867" w14:paraId="32CDA2A7" w14:textId="77777777" w:rsidTr="00BA0F90">
        <w:tc>
          <w:tcPr>
            <w:tcW w:w="5000" w:type="pct"/>
          </w:tcPr>
          <w:p w14:paraId="7F697176" w14:textId="77777777" w:rsidR="00BA0F90" w:rsidRPr="001D5473" w:rsidRDefault="00BA0F90" w:rsidP="00BA0F90">
            <w:pPr>
              <w:numPr>
                <w:ilvl w:val="1"/>
                <w:numId w:val="37"/>
              </w:numPr>
              <w:snapToGrid w:val="0"/>
              <w:jc w:val="left"/>
              <w:rPr>
                <w:rFonts w:eastAsia="DengXian"/>
                <w:szCs w:val="22"/>
              </w:rPr>
            </w:pPr>
            <w:r w:rsidRPr="001D5473">
              <w:rPr>
                <w:rFonts w:eastAsia="DengXian"/>
                <w:szCs w:val="22"/>
              </w:rPr>
              <w:t xml:space="preserve">Identify (and provide textual suggestions) for any further changes to the table of </w:t>
            </w:r>
            <w:proofErr w:type="gramStart"/>
            <w:r w:rsidRPr="001D5473">
              <w:rPr>
                <w:rFonts w:eastAsia="DengXian"/>
                <w:szCs w:val="22"/>
              </w:rPr>
              <w:t>indicators</w:t>
            </w:r>
            <w:proofErr w:type="gramEnd"/>
          </w:p>
          <w:p w14:paraId="0B32B16F" w14:textId="77777777" w:rsidR="00BA0F90" w:rsidRPr="001D5473" w:rsidRDefault="00BA0F90" w:rsidP="00BA0F90">
            <w:pPr>
              <w:numPr>
                <w:ilvl w:val="0"/>
                <w:numId w:val="41"/>
              </w:numPr>
              <w:snapToGrid w:val="0"/>
              <w:jc w:val="left"/>
              <w:rPr>
                <w:rFonts w:eastAsia="DengXian"/>
                <w:szCs w:val="22"/>
              </w:rPr>
            </w:pPr>
            <w:r w:rsidRPr="001D5473">
              <w:rPr>
                <w:rFonts w:eastAsia="DengXian"/>
                <w:szCs w:val="22"/>
              </w:rPr>
              <w:t>(…)</w:t>
            </w:r>
          </w:p>
        </w:tc>
      </w:tr>
      <w:tr w:rsidR="00BA0F90" w:rsidRPr="00531867" w14:paraId="25E0E50D" w14:textId="77777777" w:rsidTr="00BA0F90">
        <w:tc>
          <w:tcPr>
            <w:tcW w:w="5000" w:type="pct"/>
          </w:tcPr>
          <w:p w14:paraId="15E5A468" w14:textId="77777777" w:rsidR="00BA0F90" w:rsidRPr="001D5473" w:rsidRDefault="00BA0F90" w:rsidP="00BA0F90">
            <w:pPr>
              <w:numPr>
                <w:ilvl w:val="1"/>
                <w:numId w:val="37"/>
              </w:numPr>
              <w:snapToGrid w:val="0"/>
              <w:jc w:val="left"/>
              <w:rPr>
                <w:rFonts w:eastAsia="DengXian"/>
                <w:szCs w:val="22"/>
              </w:rPr>
            </w:pPr>
            <w:r w:rsidRPr="001D5473">
              <w:rPr>
                <w:rFonts w:eastAsia="DengXian"/>
                <w:szCs w:val="22"/>
              </w:rPr>
              <w:t>Identify any need for (and provide textual suggestions) for binary questions</w:t>
            </w:r>
          </w:p>
        </w:tc>
      </w:tr>
      <w:tr w:rsidR="00BA0F90" w:rsidRPr="00531867" w14:paraId="41950453" w14:textId="77777777" w:rsidTr="00BA0F90">
        <w:tc>
          <w:tcPr>
            <w:tcW w:w="5000" w:type="pct"/>
          </w:tcPr>
          <w:p w14:paraId="3FBFF133" w14:textId="77777777" w:rsidR="00BA0F90" w:rsidRPr="001D5473" w:rsidRDefault="00BA0F90" w:rsidP="00BA0F90">
            <w:pPr>
              <w:numPr>
                <w:ilvl w:val="0"/>
                <w:numId w:val="39"/>
              </w:numPr>
              <w:snapToGrid w:val="0"/>
              <w:jc w:val="left"/>
              <w:rPr>
                <w:rFonts w:eastAsia="DengXian"/>
                <w:szCs w:val="22"/>
              </w:rPr>
            </w:pPr>
            <w:r w:rsidRPr="001D5473">
              <w:rPr>
                <w:rFonts w:eastAsia="DengXian"/>
                <w:szCs w:val="22"/>
              </w:rPr>
              <w:t>(…)</w:t>
            </w:r>
          </w:p>
        </w:tc>
      </w:tr>
      <w:tr w:rsidR="00BA0F90" w:rsidRPr="00531867" w14:paraId="1F6C7161" w14:textId="77777777" w:rsidTr="00BA0F90">
        <w:tc>
          <w:tcPr>
            <w:tcW w:w="5000" w:type="pct"/>
          </w:tcPr>
          <w:p w14:paraId="0CD3B2FB" w14:textId="39060005" w:rsidR="00BA0F90" w:rsidRPr="001D5473" w:rsidRDefault="00BA0F90" w:rsidP="00BA0F90">
            <w:pPr>
              <w:numPr>
                <w:ilvl w:val="1"/>
                <w:numId w:val="37"/>
              </w:numPr>
              <w:snapToGrid w:val="0"/>
              <w:jc w:val="left"/>
              <w:rPr>
                <w:rFonts w:eastAsia="DengXian"/>
                <w:szCs w:val="22"/>
              </w:rPr>
            </w:pPr>
            <w:r w:rsidRPr="001D5473">
              <w:rPr>
                <w:rFonts w:eastAsia="DengXian"/>
                <w:szCs w:val="22"/>
              </w:rPr>
              <w:t>Review and make recommendation</w:t>
            </w:r>
            <w:r w:rsidR="00AB2640" w:rsidRPr="001D5473">
              <w:rPr>
                <w:rFonts w:eastAsia="DengXian"/>
                <w:szCs w:val="22"/>
              </w:rPr>
              <w:t>s</w:t>
            </w:r>
            <w:r w:rsidRPr="001D5473">
              <w:rPr>
                <w:rFonts w:eastAsia="DengXian"/>
                <w:szCs w:val="22"/>
              </w:rPr>
              <w:t xml:space="preserve"> </w:t>
            </w:r>
            <w:r w:rsidR="00AB2640" w:rsidRPr="001D5473">
              <w:rPr>
                <w:rFonts w:eastAsia="DengXian"/>
                <w:szCs w:val="22"/>
              </w:rPr>
              <w:t xml:space="preserve">for a </w:t>
            </w:r>
            <w:r w:rsidRPr="001D5473">
              <w:rPr>
                <w:rFonts w:eastAsia="DengXian"/>
                <w:szCs w:val="22"/>
              </w:rPr>
              <w:t xml:space="preserve">simple, standardized national reporting </w:t>
            </w:r>
            <w:proofErr w:type="gramStart"/>
            <w:r w:rsidRPr="001D5473">
              <w:rPr>
                <w:rFonts w:eastAsia="DengXian"/>
                <w:szCs w:val="22"/>
              </w:rPr>
              <w:t>template</w:t>
            </w:r>
            <w:proofErr w:type="gramEnd"/>
          </w:p>
          <w:p w14:paraId="3085FDF5" w14:textId="77777777" w:rsidR="00BA0F90" w:rsidRPr="001D5473" w:rsidRDefault="00BA0F90" w:rsidP="00BA0F90">
            <w:pPr>
              <w:numPr>
                <w:ilvl w:val="0"/>
                <w:numId w:val="39"/>
              </w:numPr>
              <w:snapToGrid w:val="0"/>
              <w:contextualSpacing/>
              <w:jc w:val="left"/>
              <w:rPr>
                <w:rFonts w:eastAsia="DengXian"/>
                <w:szCs w:val="22"/>
              </w:rPr>
            </w:pPr>
            <w:r w:rsidRPr="001D5473">
              <w:rPr>
                <w:rFonts w:eastAsia="DengXian"/>
                <w:szCs w:val="22"/>
              </w:rPr>
              <w:t>(…)</w:t>
            </w:r>
          </w:p>
        </w:tc>
      </w:tr>
      <w:tr w:rsidR="00BA0F90" w:rsidRPr="00531867" w14:paraId="0B07F1D4" w14:textId="77777777" w:rsidTr="00BA0F90">
        <w:tc>
          <w:tcPr>
            <w:tcW w:w="5000" w:type="pct"/>
          </w:tcPr>
          <w:p w14:paraId="1E4653C2" w14:textId="2AE6B91D" w:rsidR="00BA0F90" w:rsidRPr="001D5473" w:rsidRDefault="00BA0F90" w:rsidP="00A44E14">
            <w:pPr>
              <w:numPr>
                <w:ilvl w:val="1"/>
                <w:numId w:val="37"/>
              </w:numPr>
              <w:snapToGrid w:val="0"/>
              <w:jc w:val="left"/>
              <w:rPr>
                <w:rFonts w:eastAsia="DengXian"/>
                <w:szCs w:val="22"/>
              </w:rPr>
            </w:pPr>
            <w:r w:rsidRPr="001D5473">
              <w:rPr>
                <w:rFonts w:eastAsia="DengXian"/>
                <w:szCs w:val="22"/>
              </w:rPr>
              <w:t>Identify possible next steps (or elements of a work programme)</w:t>
            </w:r>
            <w:r w:rsidR="00AB2640" w:rsidRPr="001D5473">
              <w:rPr>
                <w:rFonts w:eastAsia="DengXian"/>
                <w:szCs w:val="22"/>
              </w:rPr>
              <w:t>,</w:t>
            </w:r>
            <w:r w:rsidRPr="001D5473">
              <w:rPr>
                <w:rFonts w:eastAsia="DengXian"/>
                <w:szCs w:val="22"/>
              </w:rPr>
              <w:t xml:space="preserve"> as needed (</w:t>
            </w:r>
            <w:r w:rsidR="0096398E" w:rsidRPr="00A44E14">
              <w:rPr>
                <w:rFonts w:eastAsia="DengXian"/>
                <w:szCs w:val="22"/>
              </w:rPr>
              <w:t xml:space="preserve">in accordance with </w:t>
            </w:r>
            <w:r w:rsidR="003C6527">
              <w:rPr>
                <w:rFonts w:eastAsia="DengXian"/>
                <w:szCs w:val="22"/>
              </w:rPr>
              <w:t xml:space="preserve">the </w:t>
            </w:r>
            <w:r w:rsidR="003C01B1" w:rsidRPr="001D5473">
              <w:rPr>
                <w:rFonts w:eastAsia="DengXian"/>
                <w:szCs w:val="22"/>
              </w:rPr>
              <w:t>a</w:t>
            </w:r>
            <w:r w:rsidRPr="001D5473">
              <w:rPr>
                <w:rFonts w:eastAsia="DengXian"/>
                <w:szCs w:val="22"/>
              </w:rPr>
              <w:t xml:space="preserve">nnex </w:t>
            </w:r>
            <w:r w:rsidR="003C01B1" w:rsidRPr="001D5473">
              <w:rPr>
                <w:rFonts w:eastAsia="DengXian"/>
                <w:szCs w:val="22"/>
              </w:rPr>
              <w:t xml:space="preserve">to </w:t>
            </w:r>
            <w:r w:rsidRPr="001D5473">
              <w:rPr>
                <w:rFonts w:eastAsia="DengXian"/>
                <w:szCs w:val="22"/>
              </w:rPr>
              <w:t xml:space="preserve">the report of the </w:t>
            </w:r>
            <w:r w:rsidR="003C01B1" w:rsidRPr="001D5473">
              <w:rPr>
                <w:rFonts w:eastAsia="DengXian"/>
                <w:szCs w:val="22"/>
              </w:rPr>
              <w:t>Ad Hoc Technical Expert Group on I</w:t>
            </w:r>
            <w:r w:rsidRPr="001D5473">
              <w:rPr>
                <w:rFonts w:eastAsia="DengXian"/>
                <w:szCs w:val="22"/>
              </w:rPr>
              <w:t>ndicators</w:t>
            </w:r>
            <w:r w:rsidR="00A44E14" w:rsidRPr="00A44E14">
              <w:rPr>
                <w:rFonts w:eastAsia="DengXian"/>
                <w:szCs w:val="22"/>
              </w:rPr>
              <w:t xml:space="preserve"> for the</w:t>
            </w:r>
            <w:r w:rsidR="00A44E14">
              <w:rPr>
                <w:rFonts w:eastAsia="DengXian"/>
                <w:szCs w:val="22"/>
              </w:rPr>
              <w:t xml:space="preserve"> </w:t>
            </w:r>
            <w:r w:rsidR="00A44E14" w:rsidRPr="00A44E14">
              <w:rPr>
                <w:rFonts w:eastAsia="DengXian"/>
                <w:szCs w:val="22"/>
              </w:rPr>
              <w:t>Kunming-Montreal Global Biodiversity Framework on its third</w:t>
            </w:r>
            <w:r w:rsidR="00A44E14">
              <w:rPr>
                <w:rFonts w:eastAsia="DengXian"/>
                <w:szCs w:val="22"/>
              </w:rPr>
              <w:t xml:space="preserve"> </w:t>
            </w:r>
            <w:r w:rsidR="00A44E14" w:rsidRPr="00A44E14">
              <w:rPr>
                <w:rFonts w:eastAsia="DengXian"/>
                <w:szCs w:val="22"/>
              </w:rPr>
              <w:t>meeting</w:t>
            </w:r>
            <w:r w:rsidRPr="001D5473">
              <w:rPr>
                <w:rFonts w:eastAsia="DengXian"/>
                <w:szCs w:val="22"/>
              </w:rPr>
              <w:t>)</w:t>
            </w:r>
            <w:r w:rsidR="001A134A">
              <w:rPr>
                <w:rStyle w:val="FootnoteReference"/>
                <w:rFonts w:eastAsia="DengXian"/>
                <w:szCs w:val="22"/>
              </w:rPr>
              <w:footnoteReference w:id="4"/>
            </w:r>
          </w:p>
        </w:tc>
      </w:tr>
      <w:tr w:rsidR="00BA0F90" w:rsidRPr="00531867" w14:paraId="66EA9F58" w14:textId="77777777" w:rsidTr="00BA0F90">
        <w:tc>
          <w:tcPr>
            <w:tcW w:w="5000" w:type="pct"/>
          </w:tcPr>
          <w:p w14:paraId="4AD4F5E8" w14:textId="705862BA" w:rsidR="00BA0F90" w:rsidRPr="001D5473" w:rsidRDefault="00BA0F90" w:rsidP="00BA0F90">
            <w:pPr>
              <w:numPr>
                <w:ilvl w:val="0"/>
                <w:numId w:val="37"/>
              </w:numPr>
              <w:snapToGrid w:val="0"/>
              <w:spacing w:before="120"/>
              <w:jc w:val="left"/>
              <w:rPr>
                <w:rFonts w:eastAsia="DengXian"/>
                <w:b/>
                <w:bCs/>
                <w:szCs w:val="22"/>
              </w:rPr>
            </w:pPr>
            <w:bookmarkStart w:id="5" w:name="_Hlk152292472"/>
            <w:r w:rsidRPr="001D5473">
              <w:rPr>
                <w:rFonts w:eastAsia="DengXian"/>
                <w:b/>
                <w:bCs/>
                <w:szCs w:val="22"/>
              </w:rPr>
              <w:t>Work modalities of the subgroup</w:t>
            </w:r>
          </w:p>
        </w:tc>
      </w:tr>
      <w:tr w:rsidR="00BA0F90" w:rsidRPr="00531867" w14:paraId="79799CE2" w14:textId="77777777" w:rsidTr="00BA0F90">
        <w:tc>
          <w:tcPr>
            <w:tcW w:w="5000" w:type="pct"/>
          </w:tcPr>
          <w:p w14:paraId="51EFD98B" w14:textId="77777777" w:rsidR="00BA0F90" w:rsidRPr="001D5473" w:rsidRDefault="00BA0F90" w:rsidP="00BA0F90">
            <w:pPr>
              <w:numPr>
                <w:ilvl w:val="1"/>
                <w:numId w:val="37"/>
              </w:numPr>
              <w:snapToGrid w:val="0"/>
              <w:jc w:val="left"/>
              <w:rPr>
                <w:rFonts w:eastAsia="DengXian"/>
                <w:b/>
                <w:bCs/>
                <w:szCs w:val="22"/>
              </w:rPr>
            </w:pPr>
            <w:r w:rsidRPr="001D5473">
              <w:rPr>
                <w:rFonts w:eastAsia="DengXian"/>
                <w:b/>
                <w:bCs/>
                <w:szCs w:val="22"/>
              </w:rPr>
              <w:t xml:space="preserve">Composition: </w:t>
            </w:r>
          </w:p>
        </w:tc>
      </w:tr>
      <w:tr w:rsidR="00BA0F90" w:rsidRPr="00531867" w14:paraId="7B28362F" w14:textId="77777777" w:rsidTr="00BA0F90">
        <w:tc>
          <w:tcPr>
            <w:tcW w:w="5000" w:type="pct"/>
          </w:tcPr>
          <w:p w14:paraId="49847FD0" w14:textId="77777777" w:rsidR="00BA0F90" w:rsidRPr="001D5473" w:rsidRDefault="00BA0F90" w:rsidP="00BA0F90">
            <w:pPr>
              <w:numPr>
                <w:ilvl w:val="2"/>
                <w:numId w:val="40"/>
              </w:numPr>
              <w:snapToGrid w:val="0"/>
              <w:jc w:val="left"/>
              <w:rPr>
                <w:rFonts w:eastAsia="DengXian"/>
                <w:szCs w:val="22"/>
              </w:rPr>
            </w:pPr>
            <w:r w:rsidRPr="001D5473">
              <w:rPr>
                <w:rFonts w:eastAsia="DengXian"/>
                <w:szCs w:val="22"/>
              </w:rPr>
              <w:t>Chaperone: XXX</w:t>
            </w:r>
          </w:p>
        </w:tc>
      </w:tr>
      <w:tr w:rsidR="00BA0F90" w:rsidRPr="00531867" w14:paraId="18A56CC8" w14:textId="77777777" w:rsidTr="00BA0F90">
        <w:tc>
          <w:tcPr>
            <w:tcW w:w="5000" w:type="pct"/>
          </w:tcPr>
          <w:p w14:paraId="50B3B14B" w14:textId="77777777" w:rsidR="00BA0F90" w:rsidRPr="001D5473" w:rsidRDefault="00BA0F90" w:rsidP="00BA0F90">
            <w:pPr>
              <w:numPr>
                <w:ilvl w:val="2"/>
                <w:numId w:val="40"/>
              </w:numPr>
              <w:snapToGrid w:val="0"/>
              <w:jc w:val="left"/>
              <w:rPr>
                <w:rFonts w:eastAsia="DengXian"/>
                <w:szCs w:val="22"/>
              </w:rPr>
            </w:pPr>
            <w:r w:rsidRPr="001D5473">
              <w:rPr>
                <w:rFonts w:eastAsia="DengXian"/>
                <w:szCs w:val="22"/>
              </w:rPr>
              <w:t>XXX</w:t>
            </w:r>
          </w:p>
        </w:tc>
      </w:tr>
      <w:tr w:rsidR="00BA0F90" w:rsidRPr="00531867" w14:paraId="5CE65B76" w14:textId="77777777" w:rsidTr="00BA0F90">
        <w:tc>
          <w:tcPr>
            <w:tcW w:w="5000" w:type="pct"/>
          </w:tcPr>
          <w:p w14:paraId="1D4AE2AA" w14:textId="77777777" w:rsidR="00BA0F90" w:rsidRPr="001D5473" w:rsidRDefault="00BA0F90" w:rsidP="00BA0F90">
            <w:pPr>
              <w:numPr>
                <w:ilvl w:val="2"/>
                <w:numId w:val="40"/>
              </w:numPr>
              <w:snapToGrid w:val="0"/>
              <w:jc w:val="left"/>
              <w:rPr>
                <w:rFonts w:eastAsia="DengXian"/>
                <w:szCs w:val="22"/>
              </w:rPr>
            </w:pPr>
            <w:r w:rsidRPr="001D5473">
              <w:rPr>
                <w:rFonts w:eastAsia="DengXian"/>
                <w:szCs w:val="22"/>
              </w:rPr>
              <w:t>XXX</w:t>
            </w:r>
          </w:p>
        </w:tc>
      </w:tr>
      <w:tr w:rsidR="00BA0F90" w:rsidRPr="00531867" w14:paraId="69417576" w14:textId="77777777" w:rsidTr="00BA0F90">
        <w:tc>
          <w:tcPr>
            <w:tcW w:w="5000" w:type="pct"/>
          </w:tcPr>
          <w:p w14:paraId="0C4FB78E" w14:textId="77777777" w:rsidR="00BA0F90" w:rsidRPr="001D5473" w:rsidRDefault="00BA0F90" w:rsidP="00BA0F90">
            <w:pPr>
              <w:numPr>
                <w:ilvl w:val="2"/>
                <w:numId w:val="40"/>
              </w:numPr>
              <w:snapToGrid w:val="0"/>
              <w:jc w:val="left"/>
              <w:rPr>
                <w:rFonts w:eastAsia="DengXian"/>
                <w:szCs w:val="22"/>
              </w:rPr>
            </w:pPr>
            <w:r w:rsidRPr="001D5473">
              <w:rPr>
                <w:rFonts w:eastAsia="DengXian"/>
                <w:szCs w:val="22"/>
              </w:rPr>
              <w:t>(…)</w:t>
            </w:r>
          </w:p>
        </w:tc>
      </w:tr>
      <w:tr w:rsidR="00BA0F90" w:rsidRPr="00531867" w14:paraId="4220C050" w14:textId="77777777" w:rsidTr="00BA0F90">
        <w:tc>
          <w:tcPr>
            <w:tcW w:w="5000" w:type="pct"/>
          </w:tcPr>
          <w:p w14:paraId="0F441686" w14:textId="6B242B31" w:rsidR="00BA0F90" w:rsidRPr="001D5473" w:rsidRDefault="00BA0F90" w:rsidP="00BA0F90">
            <w:pPr>
              <w:numPr>
                <w:ilvl w:val="1"/>
                <w:numId w:val="37"/>
              </w:numPr>
              <w:snapToGrid w:val="0"/>
              <w:jc w:val="left"/>
              <w:rPr>
                <w:rFonts w:eastAsia="DengXian"/>
                <w:szCs w:val="22"/>
              </w:rPr>
            </w:pPr>
            <w:r w:rsidRPr="001D5473">
              <w:rPr>
                <w:rFonts w:eastAsia="DengXian"/>
                <w:b/>
                <w:bCs/>
                <w:szCs w:val="22"/>
              </w:rPr>
              <w:t xml:space="preserve">Timeline: </w:t>
            </w:r>
            <w:r w:rsidRPr="001D5473">
              <w:rPr>
                <w:rFonts w:eastAsia="DengXian"/>
                <w:szCs w:val="22"/>
              </w:rPr>
              <w:t xml:space="preserve">Completion of the draft metadata sheet, completed gap analysis </w:t>
            </w:r>
            <w:r w:rsidR="008D5EAA" w:rsidRPr="001D5473">
              <w:rPr>
                <w:rFonts w:eastAsia="DengXian"/>
                <w:szCs w:val="22"/>
              </w:rPr>
              <w:t xml:space="preserve">and </w:t>
            </w:r>
            <w:r w:rsidRPr="001D5473">
              <w:rPr>
                <w:rFonts w:eastAsia="DengXian"/>
                <w:szCs w:val="22"/>
              </w:rPr>
              <w:t>additional indicators</w:t>
            </w:r>
            <w:r w:rsidR="008D5EAA" w:rsidRPr="001D5473">
              <w:rPr>
                <w:rFonts w:eastAsia="DengXian"/>
                <w:szCs w:val="22"/>
              </w:rPr>
              <w:t>,</w:t>
            </w:r>
            <w:r w:rsidRPr="001D5473">
              <w:rPr>
                <w:rFonts w:eastAsia="DengXian"/>
                <w:szCs w:val="22"/>
              </w:rPr>
              <w:t xml:space="preserve"> if any</w:t>
            </w:r>
            <w:r w:rsidR="008D5EAA" w:rsidRPr="001D5473">
              <w:rPr>
                <w:rFonts w:eastAsia="DengXian"/>
                <w:szCs w:val="22"/>
              </w:rPr>
              <w:t>,</w:t>
            </w:r>
            <w:r w:rsidRPr="001D5473">
              <w:rPr>
                <w:rFonts w:eastAsia="DengXian"/>
                <w:szCs w:val="22"/>
              </w:rPr>
              <w:t xml:space="preserve"> by mid-February </w:t>
            </w:r>
            <w:r w:rsidR="008D5EAA" w:rsidRPr="001D5473">
              <w:rPr>
                <w:rFonts w:eastAsia="DengXian"/>
                <w:szCs w:val="22"/>
              </w:rPr>
              <w:t xml:space="preserve">2024 </w:t>
            </w:r>
            <w:r w:rsidRPr="001D5473">
              <w:rPr>
                <w:rFonts w:eastAsia="DengXian"/>
                <w:szCs w:val="22"/>
              </w:rPr>
              <w:t>(</w:t>
            </w:r>
            <w:r w:rsidR="00966DDA" w:rsidRPr="00531867">
              <w:rPr>
                <w:rFonts w:eastAsia="DengXian"/>
                <w:szCs w:val="22"/>
              </w:rPr>
              <w:t>one</w:t>
            </w:r>
            <w:r w:rsidRPr="001D5473">
              <w:rPr>
                <w:rFonts w:eastAsia="DengXian"/>
                <w:szCs w:val="22"/>
              </w:rPr>
              <w:t xml:space="preserve"> week before </w:t>
            </w:r>
            <w:r w:rsidR="008D5EAA" w:rsidRPr="001D5473">
              <w:rPr>
                <w:rFonts w:eastAsia="DengXian"/>
                <w:szCs w:val="22"/>
              </w:rPr>
              <w:t xml:space="preserve">the in-person </w:t>
            </w:r>
            <w:r w:rsidRPr="001D5473">
              <w:rPr>
                <w:rFonts w:eastAsia="DengXian"/>
                <w:szCs w:val="22"/>
              </w:rPr>
              <w:t xml:space="preserve">meeting) </w:t>
            </w:r>
          </w:p>
        </w:tc>
      </w:tr>
      <w:tr w:rsidR="00BA0F90" w:rsidRPr="00531867" w14:paraId="7A3F66CE" w14:textId="77777777" w:rsidTr="00BA0F90">
        <w:tc>
          <w:tcPr>
            <w:tcW w:w="5000" w:type="pct"/>
          </w:tcPr>
          <w:p w14:paraId="7D7E8849" w14:textId="5637C9AD" w:rsidR="00BA0F90" w:rsidRPr="001D5473" w:rsidRDefault="00BA0F90" w:rsidP="00BA0F90">
            <w:pPr>
              <w:numPr>
                <w:ilvl w:val="1"/>
                <w:numId w:val="37"/>
              </w:numPr>
              <w:snapToGrid w:val="0"/>
              <w:jc w:val="left"/>
              <w:rPr>
                <w:rFonts w:eastAsia="DengXian"/>
                <w:szCs w:val="22"/>
              </w:rPr>
            </w:pPr>
            <w:r w:rsidRPr="001D5473">
              <w:rPr>
                <w:rFonts w:eastAsia="DengXian"/>
                <w:szCs w:val="22"/>
              </w:rPr>
              <w:t xml:space="preserve">The draft deliverables draft metadata sheet, completed gap analysis </w:t>
            </w:r>
            <w:r w:rsidR="008D5EAA" w:rsidRPr="001D5473">
              <w:rPr>
                <w:rFonts w:eastAsia="DengXian"/>
                <w:szCs w:val="22"/>
              </w:rPr>
              <w:t xml:space="preserve">and </w:t>
            </w:r>
            <w:r w:rsidRPr="001D5473">
              <w:rPr>
                <w:rFonts w:eastAsia="DengXian"/>
                <w:szCs w:val="22"/>
              </w:rPr>
              <w:t>additional indicators</w:t>
            </w:r>
            <w:r w:rsidR="008D5EAA" w:rsidRPr="001D5473">
              <w:rPr>
                <w:rFonts w:eastAsia="DengXian"/>
                <w:szCs w:val="22"/>
              </w:rPr>
              <w:t>,</w:t>
            </w:r>
            <w:r w:rsidRPr="001D5473">
              <w:rPr>
                <w:rFonts w:eastAsia="DengXian"/>
                <w:szCs w:val="22"/>
              </w:rPr>
              <w:t xml:space="preserve"> if any</w:t>
            </w:r>
            <w:r w:rsidR="008D5EAA" w:rsidRPr="001D5473">
              <w:rPr>
                <w:rFonts w:eastAsia="DengXian"/>
                <w:szCs w:val="22"/>
              </w:rPr>
              <w:t>,</w:t>
            </w:r>
            <w:r w:rsidRPr="001D5473">
              <w:rPr>
                <w:rFonts w:eastAsia="DengXian"/>
                <w:szCs w:val="22"/>
              </w:rPr>
              <w:t xml:space="preserve"> will be reviewed and finalized by the </w:t>
            </w:r>
            <w:r w:rsidR="007C2720" w:rsidRPr="001D5473">
              <w:rPr>
                <w:rFonts w:eastAsia="DengXian"/>
                <w:szCs w:val="22"/>
              </w:rPr>
              <w:t xml:space="preserve">Technical Expert Group on Financial Reporting </w:t>
            </w:r>
            <w:r w:rsidRPr="001D5473">
              <w:rPr>
                <w:rFonts w:eastAsia="DengXian"/>
                <w:szCs w:val="22"/>
              </w:rPr>
              <w:t xml:space="preserve">at </w:t>
            </w:r>
            <w:r w:rsidR="008D5EAA" w:rsidRPr="001D5473">
              <w:rPr>
                <w:rFonts w:eastAsia="DengXian"/>
                <w:szCs w:val="22"/>
              </w:rPr>
              <w:t xml:space="preserve">its </w:t>
            </w:r>
            <w:r w:rsidRPr="001D5473">
              <w:rPr>
                <w:rFonts w:eastAsia="DengXian"/>
                <w:szCs w:val="22"/>
              </w:rPr>
              <w:t>second meeting</w:t>
            </w:r>
            <w:r w:rsidR="00722AE2" w:rsidRPr="001D5473">
              <w:rPr>
                <w:rFonts w:eastAsia="DengXian"/>
                <w:szCs w:val="22"/>
              </w:rPr>
              <w:t>,</w:t>
            </w:r>
            <w:r w:rsidRPr="001D5473">
              <w:rPr>
                <w:rFonts w:eastAsia="DengXian"/>
                <w:szCs w:val="22"/>
              </w:rPr>
              <w:t xml:space="preserve"> in the last week of February (</w:t>
            </w:r>
            <w:r w:rsidR="00722AE2" w:rsidRPr="001D5473">
              <w:rPr>
                <w:rFonts w:eastAsia="DengXian"/>
                <w:szCs w:val="22"/>
              </w:rPr>
              <w:t>date to be confirmed</w:t>
            </w:r>
            <w:r w:rsidRPr="001D5473">
              <w:rPr>
                <w:rFonts w:eastAsia="DengXian"/>
                <w:szCs w:val="22"/>
              </w:rPr>
              <w:t>).</w:t>
            </w:r>
          </w:p>
        </w:tc>
      </w:tr>
      <w:tr w:rsidR="00BA0F90" w:rsidRPr="00531867" w14:paraId="60D16E84" w14:textId="77777777" w:rsidTr="00BA0F90">
        <w:tc>
          <w:tcPr>
            <w:tcW w:w="5000" w:type="pct"/>
          </w:tcPr>
          <w:p w14:paraId="6D57EAA3" w14:textId="1322D18F" w:rsidR="00BA0F90" w:rsidRPr="001D5473" w:rsidRDefault="00BA0F90" w:rsidP="00BA0F90">
            <w:pPr>
              <w:numPr>
                <w:ilvl w:val="1"/>
                <w:numId w:val="37"/>
              </w:numPr>
              <w:snapToGrid w:val="0"/>
              <w:contextualSpacing/>
              <w:jc w:val="left"/>
              <w:rPr>
                <w:rFonts w:eastAsia="DengXian"/>
                <w:szCs w:val="22"/>
              </w:rPr>
            </w:pPr>
            <w:r w:rsidRPr="001D5473">
              <w:rPr>
                <w:rFonts w:eastAsia="DengXian"/>
                <w:b/>
                <w:bCs/>
                <w:szCs w:val="22"/>
              </w:rPr>
              <w:t>Technical and other support</w:t>
            </w:r>
            <w:r w:rsidRPr="001D5473">
              <w:rPr>
                <w:rFonts w:eastAsia="DengXian"/>
                <w:szCs w:val="22"/>
              </w:rPr>
              <w:t xml:space="preserve">: </w:t>
            </w:r>
            <w:r w:rsidR="007C2720" w:rsidRPr="001D5473">
              <w:rPr>
                <w:rFonts w:eastAsia="DengXian"/>
                <w:szCs w:val="22"/>
              </w:rPr>
              <w:t>all working documents</w:t>
            </w:r>
            <w:r w:rsidR="007C2720" w:rsidRPr="001D5473" w:rsidDel="007C2720">
              <w:rPr>
                <w:rFonts w:eastAsia="DengXian"/>
                <w:szCs w:val="22"/>
              </w:rPr>
              <w:t xml:space="preserve"> </w:t>
            </w:r>
            <w:r w:rsidR="007C2720" w:rsidRPr="001D5473">
              <w:rPr>
                <w:rFonts w:eastAsia="DengXian"/>
                <w:szCs w:val="22"/>
              </w:rPr>
              <w:t xml:space="preserve">to be </w:t>
            </w:r>
            <w:r w:rsidR="00DD6411" w:rsidRPr="001D5473">
              <w:rPr>
                <w:rFonts w:eastAsia="DengXian"/>
                <w:szCs w:val="22"/>
              </w:rPr>
              <w:t>submitted</w:t>
            </w:r>
            <w:r w:rsidR="007C2720" w:rsidRPr="001D5473">
              <w:rPr>
                <w:rFonts w:eastAsia="DengXian"/>
                <w:szCs w:val="22"/>
              </w:rPr>
              <w:t xml:space="preserve"> in </w:t>
            </w:r>
            <w:r w:rsidRPr="001D5473">
              <w:rPr>
                <w:rFonts w:eastAsia="DengXian"/>
                <w:szCs w:val="22"/>
              </w:rPr>
              <w:t>Share</w:t>
            </w:r>
            <w:r w:rsidR="00FB25AA" w:rsidRPr="00531867">
              <w:rPr>
                <w:rFonts w:eastAsia="DengXian"/>
                <w:szCs w:val="22"/>
              </w:rPr>
              <w:t>P</w:t>
            </w:r>
            <w:r w:rsidRPr="001D5473">
              <w:rPr>
                <w:rFonts w:eastAsia="DengXian"/>
                <w:szCs w:val="22"/>
              </w:rPr>
              <w:t>oint</w:t>
            </w:r>
          </w:p>
        </w:tc>
      </w:tr>
      <w:tr w:rsidR="00BA0F90" w:rsidRPr="00531867" w14:paraId="0611F012" w14:textId="77777777" w:rsidTr="00BA0F90">
        <w:tc>
          <w:tcPr>
            <w:tcW w:w="5000" w:type="pct"/>
          </w:tcPr>
          <w:p w14:paraId="5D89AF2B" w14:textId="39CE1E9C" w:rsidR="00BA0F90" w:rsidRPr="001D5473" w:rsidRDefault="00BA0F90" w:rsidP="00BA0F90">
            <w:pPr>
              <w:numPr>
                <w:ilvl w:val="1"/>
                <w:numId w:val="37"/>
              </w:numPr>
              <w:snapToGrid w:val="0"/>
              <w:jc w:val="left"/>
              <w:rPr>
                <w:rFonts w:eastAsia="DengXian"/>
                <w:szCs w:val="22"/>
              </w:rPr>
            </w:pPr>
            <w:r w:rsidRPr="001D5473">
              <w:rPr>
                <w:rFonts w:eastAsia="DengXian"/>
                <w:b/>
                <w:bCs/>
                <w:szCs w:val="22"/>
              </w:rPr>
              <w:t>Working modality:</w:t>
            </w:r>
            <w:r w:rsidRPr="001D5473">
              <w:rPr>
                <w:rFonts w:eastAsia="DengXian"/>
                <w:szCs w:val="22"/>
              </w:rPr>
              <w:t xml:space="preserve"> </w:t>
            </w:r>
            <w:r w:rsidR="00DD6411" w:rsidRPr="001D5473">
              <w:rPr>
                <w:rFonts w:eastAsia="DengXian"/>
                <w:szCs w:val="22"/>
              </w:rPr>
              <w:t xml:space="preserve">online </w:t>
            </w:r>
          </w:p>
        </w:tc>
      </w:tr>
      <w:bookmarkEnd w:id="5"/>
    </w:tbl>
    <w:p w14:paraId="7933A825" w14:textId="77777777" w:rsidR="00BA0F90" w:rsidRPr="001D5473" w:rsidRDefault="00BA0F90" w:rsidP="00BA0F90">
      <w:pPr>
        <w:snapToGrid w:val="0"/>
        <w:spacing w:line="259" w:lineRule="auto"/>
        <w:jc w:val="left"/>
        <w:rPr>
          <w:rFonts w:ascii="Calibri" w:eastAsia="DengXian" w:hAnsi="Calibri" w:cs="Arial"/>
          <w:szCs w:val="22"/>
          <w:lang w:eastAsia="zh-CN"/>
        </w:rPr>
      </w:pPr>
    </w:p>
    <w:p w14:paraId="3D22095C" w14:textId="7CDBEBB1" w:rsidR="00EE003F" w:rsidRPr="001D5473" w:rsidRDefault="00EE003F" w:rsidP="00F31A26">
      <w:pPr>
        <w:pStyle w:val="Para1"/>
        <w:numPr>
          <w:ilvl w:val="0"/>
          <w:numId w:val="0"/>
        </w:numPr>
        <w:ind w:left="567"/>
        <w:sectPr w:rsidR="00EE003F" w:rsidRPr="001D5473" w:rsidSect="00302717">
          <w:footnotePr>
            <w:numRestart w:val="eachSect"/>
          </w:footnotePr>
          <w:pgSz w:w="12240" w:h="15840"/>
          <w:pgMar w:top="1134" w:right="1440" w:bottom="1134" w:left="1440" w:header="709" w:footer="709" w:gutter="0"/>
          <w:cols w:space="708"/>
          <w:docGrid w:linePitch="360"/>
        </w:sectPr>
      </w:pPr>
    </w:p>
    <w:p w14:paraId="410070BE" w14:textId="42C3710C" w:rsidR="006C39D1" w:rsidRPr="00531867" w:rsidRDefault="006C39D1" w:rsidP="001D5473">
      <w:pPr>
        <w:pStyle w:val="Annex"/>
      </w:pPr>
      <w:r w:rsidRPr="00531867">
        <w:lastRenderedPageBreak/>
        <w:t>Annex II</w:t>
      </w:r>
    </w:p>
    <w:p w14:paraId="1E8A189E" w14:textId="6C0A4162" w:rsidR="006C39D1" w:rsidRPr="00531867" w:rsidRDefault="006C39D1" w:rsidP="001D5473">
      <w:pPr>
        <w:pStyle w:val="Title"/>
      </w:pPr>
      <w:r w:rsidRPr="00531867">
        <w:t>List of participants</w:t>
      </w:r>
    </w:p>
    <w:p w14:paraId="46F18CC9" w14:textId="75863DF4" w:rsidR="00FA56B5" w:rsidRPr="001D5473" w:rsidRDefault="0066417A" w:rsidP="001D5473">
      <w:pPr>
        <w:spacing w:after="160" w:line="259" w:lineRule="auto"/>
        <w:jc w:val="left"/>
        <w:rPr>
          <w:rFonts w:asciiTheme="majorBidi" w:eastAsiaTheme="minorEastAsia" w:hAnsiTheme="majorBidi" w:cstheme="majorBidi"/>
          <w:b/>
          <w:bCs/>
          <w:kern w:val="2"/>
          <w:sz w:val="24"/>
          <w:lang w:eastAsia="zh-CN"/>
          <w14:ligatures w14:val="standardContextual"/>
        </w:rPr>
      </w:pPr>
      <w:r w:rsidRPr="001D5473">
        <w:rPr>
          <w:rFonts w:asciiTheme="majorBidi" w:eastAsiaTheme="minorEastAsia" w:hAnsiTheme="majorBidi" w:cstheme="majorBidi"/>
          <w:b/>
          <w:bCs/>
          <w:kern w:val="2"/>
          <w:sz w:val="24"/>
          <w:lang w:eastAsia="zh-CN"/>
          <w14:ligatures w14:val="standardContextual"/>
        </w:rPr>
        <w:t>African States</w:t>
      </w:r>
    </w:p>
    <w:p w14:paraId="56B3CC8F" w14:textId="0D31A865" w:rsidR="00FA56B5" w:rsidRPr="001D5473" w:rsidRDefault="00FA56B5" w:rsidP="001D5473">
      <w:pPr>
        <w:spacing w:after="120" w:line="259" w:lineRule="auto"/>
        <w:ind w:left="284"/>
        <w:jc w:val="left"/>
        <w:rPr>
          <w:rFonts w:asciiTheme="majorBidi" w:eastAsiaTheme="minorEastAsia" w:hAnsiTheme="majorBidi" w:cstheme="majorBidi"/>
          <w:b/>
          <w:bCs/>
          <w:kern w:val="2"/>
          <w:szCs w:val="22"/>
          <w:lang w:eastAsia="zh-CN"/>
          <w14:ligatures w14:val="standardContextual"/>
        </w:rPr>
      </w:pPr>
      <w:r w:rsidRPr="001D5473">
        <w:rPr>
          <w:rFonts w:asciiTheme="majorBidi" w:eastAsiaTheme="minorEastAsia" w:hAnsiTheme="majorBidi" w:cstheme="majorBidi"/>
          <w:b/>
          <w:bCs/>
          <w:kern w:val="2"/>
          <w:szCs w:val="22"/>
          <w:lang w:eastAsia="zh-CN"/>
          <w14:ligatures w14:val="standardContextual"/>
        </w:rPr>
        <w:t>Egypt</w:t>
      </w:r>
      <w:r w:rsidR="00121641" w:rsidRPr="001D5473">
        <w:rPr>
          <w:rFonts w:asciiTheme="majorBidi" w:eastAsiaTheme="minorEastAsia" w:hAnsiTheme="majorBidi" w:cstheme="majorBidi"/>
          <w:b/>
          <w:bCs/>
          <w:kern w:val="2"/>
          <w:szCs w:val="22"/>
          <w:lang w:eastAsia="zh-CN"/>
          <w14:ligatures w14:val="standardContextual"/>
        </w:rPr>
        <w:br/>
      </w:r>
      <w:r w:rsidRPr="001D5473">
        <w:rPr>
          <w:rFonts w:asciiTheme="majorBidi" w:eastAsiaTheme="minorEastAsia" w:hAnsiTheme="majorBidi" w:cstheme="majorBidi"/>
          <w:kern w:val="2"/>
          <w:szCs w:val="22"/>
          <w:lang w:eastAsia="zh-CN"/>
          <w14:ligatures w14:val="standardContextual"/>
        </w:rPr>
        <w:t xml:space="preserve">Ahmed Mohamed </w:t>
      </w:r>
      <w:proofErr w:type="spellStart"/>
      <w:r w:rsidRPr="001D5473">
        <w:rPr>
          <w:rFonts w:asciiTheme="majorBidi" w:eastAsiaTheme="minorEastAsia" w:hAnsiTheme="majorBidi" w:cstheme="majorBidi"/>
          <w:kern w:val="2"/>
          <w:szCs w:val="22"/>
          <w:lang w:eastAsia="zh-CN"/>
          <w14:ligatures w14:val="standardContextual"/>
        </w:rPr>
        <w:t>Abdelmaksoud</w:t>
      </w:r>
      <w:proofErr w:type="spellEnd"/>
      <w:r w:rsidRPr="001D5473">
        <w:rPr>
          <w:rFonts w:asciiTheme="majorBidi" w:eastAsiaTheme="minorEastAsia" w:hAnsiTheme="majorBidi" w:cstheme="majorBidi"/>
          <w:kern w:val="2"/>
          <w:szCs w:val="22"/>
          <w:lang w:eastAsia="zh-CN"/>
          <w14:ligatures w14:val="standardContextual"/>
        </w:rPr>
        <w:t xml:space="preserve"> Abdallah</w:t>
      </w:r>
      <w:r w:rsidRPr="001D5473">
        <w:rPr>
          <w:rFonts w:asciiTheme="majorBidi" w:eastAsiaTheme="minorEastAsia" w:hAnsiTheme="majorBidi" w:cstheme="majorBidi"/>
          <w:kern w:val="2"/>
          <w:szCs w:val="22"/>
          <w:lang w:eastAsia="zh-CN"/>
          <w14:ligatures w14:val="standardContextual"/>
        </w:rPr>
        <w:br/>
        <w:t>National Project Coordinator of the Biodiversity Finance Initiative</w:t>
      </w:r>
      <w:r w:rsidRPr="001D5473">
        <w:rPr>
          <w:rFonts w:asciiTheme="majorBidi" w:eastAsiaTheme="minorEastAsia" w:hAnsiTheme="majorBidi" w:cstheme="majorBidi"/>
          <w:kern w:val="2"/>
          <w:szCs w:val="22"/>
          <w:lang w:eastAsia="zh-CN"/>
          <w14:ligatures w14:val="standardContextual"/>
        </w:rPr>
        <w:br/>
        <w:t>CBD National Focal Point for Financial Resources Mobilization</w:t>
      </w:r>
      <w:r w:rsidRPr="001D5473">
        <w:rPr>
          <w:rFonts w:asciiTheme="majorBidi" w:eastAsiaTheme="minorEastAsia" w:hAnsiTheme="majorBidi" w:cstheme="majorBidi"/>
          <w:kern w:val="2"/>
          <w:szCs w:val="22"/>
          <w:lang w:eastAsia="zh-CN"/>
          <w14:ligatures w14:val="standardContextual"/>
        </w:rPr>
        <w:br/>
        <w:t>Egyptian Environmental Affairs Agency</w:t>
      </w:r>
      <w:r w:rsidRPr="001D5473">
        <w:rPr>
          <w:rFonts w:asciiTheme="majorBidi" w:eastAsiaTheme="minorEastAsia" w:hAnsiTheme="majorBidi" w:cstheme="majorBidi"/>
          <w:kern w:val="2"/>
          <w:szCs w:val="22"/>
          <w:lang w:eastAsia="zh-CN"/>
          <w14:ligatures w14:val="standardContextual"/>
        </w:rPr>
        <w:br/>
        <w:t>Cairo</w:t>
      </w:r>
    </w:p>
    <w:p w14:paraId="42F6ABEE" w14:textId="38E3C5DF" w:rsidR="00FA56B5" w:rsidRPr="001D5473" w:rsidRDefault="00FA56B5" w:rsidP="001D5473">
      <w:pPr>
        <w:spacing w:after="120" w:line="259" w:lineRule="auto"/>
        <w:ind w:left="284"/>
        <w:jc w:val="left"/>
        <w:rPr>
          <w:rFonts w:asciiTheme="majorBidi" w:eastAsiaTheme="minorEastAsia" w:hAnsiTheme="majorBidi" w:cstheme="majorBidi"/>
          <w:b/>
          <w:bCs/>
          <w:kern w:val="2"/>
          <w:szCs w:val="22"/>
          <w:lang w:eastAsia="zh-CN"/>
          <w14:ligatures w14:val="standardContextual"/>
        </w:rPr>
      </w:pPr>
      <w:r w:rsidRPr="001D5473">
        <w:rPr>
          <w:rFonts w:asciiTheme="majorBidi" w:eastAsiaTheme="minorEastAsia" w:hAnsiTheme="majorBidi" w:cstheme="majorBidi"/>
          <w:b/>
          <w:bCs/>
          <w:kern w:val="2"/>
          <w:szCs w:val="22"/>
          <w:lang w:eastAsia="zh-CN"/>
          <w14:ligatures w14:val="standardContextual"/>
        </w:rPr>
        <w:t>Madagascar</w:t>
      </w:r>
      <w:r w:rsidR="00121641" w:rsidRPr="001D5473">
        <w:rPr>
          <w:rFonts w:asciiTheme="majorBidi" w:eastAsiaTheme="minorEastAsia" w:hAnsiTheme="majorBidi" w:cstheme="majorBidi"/>
          <w:b/>
          <w:bCs/>
          <w:kern w:val="2"/>
          <w:szCs w:val="22"/>
          <w:lang w:eastAsia="zh-CN"/>
          <w14:ligatures w14:val="standardContextual"/>
        </w:rPr>
        <w:br/>
      </w:r>
      <w:r w:rsidRPr="001D5473">
        <w:rPr>
          <w:rFonts w:asciiTheme="majorBidi" w:eastAsiaTheme="minorEastAsia" w:hAnsiTheme="majorBidi" w:cstheme="majorBidi"/>
          <w:kern w:val="2"/>
          <w:szCs w:val="22"/>
          <w:lang w:eastAsia="zh-CN"/>
          <w14:ligatures w14:val="standardContextual"/>
        </w:rPr>
        <w:t xml:space="preserve">Hanitra Lalaina Randrianasolo </w:t>
      </w:r>
      <w:r w:rsidRPr="001D5473">
        <w:rPr>
          <w:rFonts w:asciiTheme="majorBidi" w:eastAsiaTheme="minorEastAsia" w:hAnsiTheme="majorBidi" w:cstheme="majorBidi"/>
          <w:kern w:val="2"/>
          <w:szCs w:val="22"/>
          <w:lang w:eastAsia="zh-CN"/>
          <w14:ligatures w14:val="standardContextual"/>
        </w:rPr>
        <w:br/>
        <w:t>Technical Assistant</w:t>
      </w:r>
      <w:r w:rsidRPr="001D5473">
        <w:rPr>
          <w:rFonts w:asciiTheme="majorBidi" w:eastAsiaTheme="minorEastAsia" w:hAnsiTheme="majorBidi" w:cstheme="majorBidi"/>
          <w:kern w:val="2"/>
          <w:szCs w:val="22"/>
          <w:lang w:eastAsia="zh-CN"/>
          <w14:ligatures w14:val="standardContextual"/>
        </w:rPr>
        <w:br/>
        <w:t>Directorate of the Protected Areas System</w:t>
      </w:r>
      <w:r w:rsidRPr="001D5473">
        <w:rPr>
          <w:rFonts w:asciiTheme="majorBidi" w:eastAsiaTheme="minorEastAsia" w:hAnsiTheme="majorBidi" w:cstheme="majorBidi"/>
          <w:kern w:val="2"/>
          <w:szCs w:val="22"/>
          <w:lang w:eastAsia="zh-CN"/>
          <w14:ligatures w14:val="standardContextual"/>
        </w:rPr>
        <w:br/>
        <w:t>General Directorate of Forests</w:t>
      </w:r>
      <w:r w:rsidRPr="001D5473">
        <w:rPr>
          <w:rFonts w:asciiTheme="majorBidi" w:eastAsiaTheme="minorEastAsia" w:hAnsiTheme="majorBidi" w:cstheme="majorBidi"/>
          <w:kern w:val="2"/>
          <w:szCs w:val="22"/>
          <w:lang w:eastAsia="zh-CN"/>
          <w14:ligatures w14:val="standardContextual"/>
        </w:rPr>
        <w:br/>
        <w:t>Antananarivo</w:t>
      </w:r>
    </w:p>
    <w:p w14:paraId="0C2E92F8" w14:textId="69148DF4" w:rsidR="00FA56B5" w:rsidRPr="001D5473" w:rsidRDefault="0066417A" w:rsidP="001D5473">
      <w:pPr>
        <w:spacing w:after="160" w:line="259" w:lineRule="auto"/>
        <w:jc w:val="left"/>
        <w:rPr>
          <w:rFonts w:asciiTheme="majorBidi" w:eastAsiaTheme="minorEastAsia" w:hAnsiTheme="majorBidi" w:cstheme="majorBidi"/>
          <w:b/>
          <w:bCs/>
          <w:kern w:val="2"/>
          <w:sz w:val="24"/>
          <w:lang w:eastAsia="zh-CN"/>
          <w14:ligatures w14:val="standardContextual"/>
        </w:rPr>
      </w:pPr>
      <w:r w:rsidRPr="001D5473">
        <w:rPr>
          <w:rFonts w:asciiTheme="majorBidi" w:eastAsiaTheme="minorEastAsia" w:hAnsiTheme="majorBidi" w:cstheme="majorBidi"/>
          <w:b/>
          <w:bCs/>
          <w:kern w:val="2"/>
          <w:sz w:val="24"/>
          <w:lang w:eastAsia="zh-CN"/>
          <w14:ligatures w14:val="standardContextual"/>
        </w:rPr>
        <w:t>Asia-Pacific States</w:t>
      </w:r>
    </w:p>
    <w:p w14:paraId="71C8EED6" w14:textId="6829867C" w:rsidR="00FA56B5" w:rsidRPr="001D5473" w:rsidRDefault="00FA56B5" w:rsidP="001D5473">
      <w:pPr>
        <w:spacing w:after="120" w:line="259" w:lineRule="auto"/>
        <w:ind w:left="284"/>
        <w:jc w:val="left"/>
        <w:rPr>
          <w:rFonts w:asciiTheme="majorBidi" w:eastAsiaTheme="minorEastAsia" w:hAnsiTheme="majorBidi" w:cstheme="majorBidi"/>
          <w:b/>
          <w:bCs/>
          <w:kern w:val="2"/>
          <w:szCs w:val="22"/>
          <w:lang w:eastAsia="zh-CN"/>
          <w14:ligatures w14:val="standardContextual"/>
        </w:rPr>
      </w:pPr>
      <w:r w:rsidRPr="001D5473">
        <w:rPr>
          <w:rFonts w:asciiTheme="majorBidi" w:eastAsiaTheme="minorEastAsia" w:hAnsiTheme="majorBidi" w:cstheme="majorBidi"/>
          <w:b/>
          <w:bCs/>
          <w:kern w:val="2"/>
          <w:szCs w:val="22"/>
          <w:lang w:eastAsia="zh-CN"/>
          <w14:ligatures w14:val="standardContextual"/>
        </w:rPr>
        <w:t>China</w:t>
      </w:r>
      <w:r w:rsidR="00FB3701" w:rsidRPr="001D5473">
        <w:rPr>
          <w:rFonts w:asciiTheme="majorBidi" w:eastAsiaTheme="minorEastAsia" w:hAnsiTheme="majorBidi" w:cstheme="majorBidi"/>
          <w:b/>
          <w:bCs/>
          <w:kern w:val="2"/>
          <w:szCs w:val="22"/>
          <w:lang w:eastAsia="zh-CN"/>
          <w14:ligatures w14:val="standardContextual"/>
        </w:rPr>
        <w:br/>
      </w:r>
      <w:r w:rsidRPr="001D5473">
        <w:rPr>
          <w:rFonts w:asciiTheme="majorBidi" w:eastAsiaTheme="minorEastAsia" w:hAnsiTheme="majorBidi" w:cstheme="majorBidi"/>
          <w:kern w:val="2"/>
          <w:szCs w:val="22"/>
          <w:lang w:eastAsia="zh-CN"/>
          <w14:ligatures w14:val="standardContextual"/>
        </w:rPr>
        <w:t>Jing Xu</w:t>
      </w:r>
      <w:r w:rsidRPr="001D5473">
        <w:rPr>
          <w:rFonts w:asciiTheme="majorBidi" w:eastAsiaTheme="minorEastAsia" w:hAnsiTheme="majorBidi" w:cstheme="majorBidi"/>
          <w:kern w:val="2"/>
          <w:szCs w:val="22"/>
          <w:lang w:eastAsia="zh-CN"/>
          <w14:ligatures w14:val="standardContextual"/>
        </w:rPr>
        <w:br/>
        <w:t>Professor Engineer, Institute of Ecology</w:t>
      </w:r>
      <w:r w:rsidRPr="001D5473">
        <w:rPr>
          <w:rFonts w:asciiTheme="majorBidi" w:eastAsiaTheme="minorEastAsia" w:hAnsiTheme="majorBidi" w:cstheme="majorBidi"/>
          <w:kern w:val="2"/>
          <w:szCs w:val="22"/>
          <w:lang w:eastAsia="zh-CN"/>
          <w14:ligatures w14:val="standardContextual"/>
        </w:rPr>
        <w:br/>
        <w:t>Chinese Research Academy of Environmental Sciences</w:t>
      </w:r>
      <w:r w:rsidRPr="001D5473">
        <w:rPr>
          <w:rFonts w:asciiTheme="majorBidi" w:eastAsiaTheme="minorEastAsia" w:hAnsiTheme="majorBidi" w:cstheme="majorBidi"/>
          <w:kern w:val="2"/>
          <w:szCs w:val="22"/>
          <w:lang w:eastAsia="zh-CN"/>
          <w14:ligatures w14:val="standardContextual"/>
        </w:rPr>
        <w:br/>
        <w:t>Beijing</w:t>
      </w:r>
      <w:r w:rsidR="005123FD" w:rsidRPr="001D5473" w:rsidDel="005123FD">
        <w:rPr>
          <w:rFonts w:asciiTheme="majorBidi" w:eastAsiaTheme="minorEastAsia" w:hAnsiTheme="majorBidi" w:cstheme="majorBidi"/>
          <w:kern w:val="2"/>
          <w:szCs w:val="22"/>
          <w:lang w:eastAsia="zh-CN"/>
          <w14:ligatures w14:val="standardContextual"/>
        </w:rPr>
        <w:t xml:space="preserve"> </w:t>
      </w:r>
    </w:p>
    <w:p w14:paraId="6EC092A1" w14:textId="7E4F57B4" w:rsidR="00282C39" w:rsidRPr="001D5473" w:rsidRDefault="00FA56B5" w:rsidP="001D5473">
      <w:pPr>
        <w:spacing w:after="120" w:line="259" w:lineRule="auto"/>
        <w:ind w:left="284"/>
        <w:jc w:val="left"/>
        <w:rPr>
          <w:rFonts w:asciiTheme="majorBidi" w:eastAsiaTheme="minorEastAsia" w:hAnsiTheme="majorBidi" w:cstheme="majorBidi"/>
          <w:kern w:val="2"/>
          <w:szCs w:val="22"/>
          <w14:ligatures w14:val="standardContextual"/>
        </w:rPr>
      </w:pPr>
      <w:r w:rsidRPr="001D5473">
        <w:rPr>
          <w:rFonts w:asciiTheme="majorBidi" w:eastAsiaTheme="minorEastAsia" w:hAnsiTheme="majorBidi" w:cstheme="majorBidi"/>
          <w:b/>
          <w:bCs/>
          <w:kern w:val="2"/>
          <w:szCs w:val="22"/>
          <w:lang w:eastAsia="zh-CN"/>
          <w14:ligatures w14:val="standardContextual"/>
        </w:rPr>
        <w:t>Lao People</w:t>
      </w:r>
      <w:r w:rsidR="00C10C65" w:rsidRPr="001D5473">
        <w:rPr>
          <w:rFonts w:asciiTheme="majorBidi" w:eastAsiaTheme="minorEastAsia" w:hAnsiTheme="majorBidi" w:cstheme="majorBidi"/>
          <w:b/>
          <w:bCs/>
          <w:kern w:val="2"/>
          <w:szCs w:val="22"/>
          <w:lang w:eastAsia="zh-CN"/>
          <w14:ligatures w14:val="standardContextual"/>
        </w:rPr>
        <w:t>’</w:t>
      </w:r>
      <w:r w:rsidRPr="001D5473">
        <w:rPr>
          <w:rFonts w:asciiTheme="majorBidi" w:eastAsiaTheme="minorEastAsia" w:hAnsiTheme="majorBidi" w:cstheme="majorBidi"/>
          <w:b/>
          <w:bCs/>
          <w:kern w:val="2"/>
          <w:szCs w:val="22"/>
          <w:lang w:eastAsia="zh-CN"/>
          <w14:ligatures w14:val="standardContextual"/>
        </w:rPr>
        <w:t>s Democratic Republic</w:t>
      </w:r>
      <w:r w:rsidR="00FB3701" w:rsidRPr="001D5473">
        <w:rPr>
          <w:rFonts w:asciiTheme="majorBidi" w:eastAsiaTheme="minorEastAsia" w:hAnsiTheme="majorBidi" w:cstheme="majorBidi"/>
          <w:b/>
          <w:bCs/>
          <w:kern w:val="2"/>
          <w:szCs w:val="22"/>
          <w:lang w:eastAsia="zh-CN"/>
          <w14:ligatures w14:val="standardContextual"/>
        </w:rPr>
        <w:br/>
      </w:r>
      <w:proofErr w:type="spellStart"/>
      <w:r w:rsidRPr="001D5473">
        <w:rPr>
          <w:rFonts w:asciiTheme="majorBidi" w:eastAsiaTheme="minorEastAsia" w:hAnsiTheme="majorBidi" w:cstheme="majorBidi"/>
          <w:color w:val="000000"/>
          <w:kern w:val="2"/>
          <w:szCs w:val="22"/>
          <w14:ligatures w14:val="standardContextual"/>
        </w:rPr>
        <w:t>Soukvilay</w:t>
      </w:r>
      <w:proofErr w:type="spellEnd"/>
      <w:r w:rsidRPr="001D5473">
        <w:rPr>
          <w:rFonts w:asciiTheme="majorBidi" w:eastAsiaTheme="minorEastAsia" w:hAnsiTheme="majorBidi" w:cstheme="majorBidi"/>
          <w:color w:val="000000"/>
          <w:kern w:val="2"/>
          <w:szCs w:val="22"/>
          <w14:ligatures w14:val="standardContextual"/>
        </w:rPr>
        <w:t xml:space="preserve"> Vilavong</w:t>
      </w:r>
      <w:r w:rsidRPr="001D5473">
        <w:rPr>
          <w:rFonts w:asciiTheme="majorBidi" w:eastAsiaTheme="minorEastAsia" w:hAnsiTheme="majorBidi" w:cstheme="majorBidi"/>
          <w:color w:val="000000"/>
          <w:kern w:val="2"/>
          <w:szCs w:val="22"/>
          <w14:ligatures w14:val="standardContextual"/>
        </w:rPr>
        <w:br/>
        <w:t>Deputy Director</w:t>
      </w:r>
      <w:r w:rsidRPr="001D5473">
        <w:rPr>
          <w:rFonts w:asciiTheme="majorBidi" w:eastAsiaTheme="minorEastAsia" w:hAnsiTheme="majorBidi" w:cstheme="majorBidi"/>
          <w:color w:val="000000"/>
          <w:kern w:val="2"/>
          <w:szCs w:val="22"/>
          <w14:ligatures w14:val="standardContextual"/>
        </w:rPr>
        <w:br/>
        <w:t>Environmental Policy Division</w:t>
      </w:r>
      <w:r w:rsidRPr="001D5473">
        <w:rPr>
          <w:rFonts w:asciiTheme="majorBidi" w:eastAsiaTheme="minorEastAsia" w:hAnsiTheme="majorBidi" w:cstheme="majorBidi"/>
          <w:color w:val="000000"/>
          <w:kern w:val="2"/>
          <w:szCs w:val="22"/>
          <w14:ligatures w14:val="standardContextual"/>
        </w:rPr>
        <w:br/>
        <w:t>Ministry of Natural Resources and Environment</w:t>
      </w:r>
      <w:r w:rsidRPr="001D5473">
        <w:rPr>
          <w:rFonts w:asciiTheme="majorBidi" w:eastAsiaTheme="minorEastAsia" w:hAnsiTheme="majorBidi" w:cstheme="majorBidi"/>
          <w:color w:val="000000"/>
          <w:kern w:val="2"/>
          <w:szCs w:val="22"/>
          <w14:ligatures w14:val="standardContextual"/>
        </w:rPr>
        <w:br/>
        <w:t>Vientiane</w:t>
      </w:r>
      <w:r w:rsidR="00DB62C1" w:rsidRPr="001D5473" w:rsidDel="00DB62C1">
        <w:rPr>
          <w:rFonts w:asciiTheme="majorBidi" w:eastAsiaTheme="minorEastAsia" w:hAnsiTheme="majorBidi" w:cstheme="majorBidi"/>
          <w:color w:val="000000"/>
          <w:kern w:val="2"/>
          <w:szCs w:val="22"/>
          <w14:ligatures w14:val="standardContextual"/>
        </w:rPr>
        <w:t xml:space="preserve"> </w:t>
      </w:r>
    </w:p>
    <w:p w14:paraId="53C1C97C" w14:textId="44E48229" w:rsidR="00FA56B5" w:rsidRPr="001D5473" w:rsidRDefault="00002490" w:rsidP="001D5473">
      <w:pPr>
        <w:spacing w:after="160" w:line="259" w:lineRule="auto"/>
        <w:jc w:val="left"/>
        <w:rPr>
          <w:rFonts w:asciiTheme="majorBidi" w:eastAsiaTheme="minorEastAsia" w:hAnsiTheme="majorBidi" w:cstheme="majorBidi"/>
          <w:b/>
          <w:bCs/>
          <w:kern w:val="2"/>
          <w:sz w:val="24"/>
          <w:lang w:eastAsia="zh-CN"/>
          <w14:ligatures w14:val="standardContextual"/>
        </w:rPr>
      </w:pPr>
      <w:r w:rsidRPr="001D5473">
        <w:rPr>
          <w:rFonts w:asciiTheme="majorBidi" w:eastAsiaTheme="minorEastAsia" w:hAnsiTheme="majorBidi" w:cstheme="majorBidi"/>
          <w:b/>
          <w:bCs/>
          <w:kern w:val="2"/>
          <w:sz w:val="24"/>
          <w:lang w:eastAsia="zh-CN"/>
          <w14:ligatures w14:val="standardContextual"/>
        </w:rPr>
        <w:t>Latin America</w:t>
      </w:r>
      <w:r w:rsidR="00DD6411" w:rsidRPr="001D5473">
        <w:rPr>
          <w:rFonts w:asciiTheme="majorBidi" w:eastAsiaTheme="minorEastAsia" w:hAnsiTheme="majorBidi" w:cstheme="majorBidi"/>
          <w:b/>
          <w:bCs/>
          <w:kern w:val="2"/>
          <w:sz w:val="24"/>
          <w:lang w:eastAsia="zh-CN"/>
          <w14:ligatures w14:val="standardContextual"/>
        </w:rPr>
        <w:t>n</w:t>
      </w:r>
      <w:r w:rsidRPr="001D5473">
        <w:rPr>
          <w:rFonts w:asciiTheme="majorBidi" w:eastAsiaTheme="minorEastAsia" w:hAnsiTheme="majorBidi" w:cstheme="majorBidi"/>
          <w:b/>
          <w:bCs/>
          <w:kern w:val="2"/>
          <w:sz w:val="24"/>
          <w:lang w:eastAsia="zh-CN"/>
          <w14:ligatures w14:val="standardContextual"/>
        </w:rPr>
        <w:t xml:space="preserve"> and Caribbean States</w:t>
      </w:r>
    </w:p>
    <w:p w14:paraId="6A010E13" w14:textId="0DC5B21D" w:rsidR="00FA56B5" w:rsidRPr="001D5473" w:rsidRDefault="00FA56B5" w:rsidP="001D5473">
      <w:pPr>
        <w:spacing w:after="120" w:line="259" w:lineRule="auto"/>
        <w:ind w:left="284"/>
        <w:jc w:val="left"/>
        <w:rPr>
          <w:rFonts w:asciiTheme="majorBidi" w:eastAsiaTheme="minorEastAsia" w:hAnsiTheme="majorBidi" w:cstheme="majorBidi"/>
          <w:b/>
          <w:bCs/>
          <w:kern w:val="2"/>
          <w:szCs w:val="22"/>
          <w:lang w:eastAsia="zh-CN"/>
          <w14:ligatures w14:val="standardContextual"/>
        </w:rPr>
      </w:pPr>
      <w:r w:rsidRPr="001D5473">
        <w:rPr>
          <w:rFonts w:asciiTheme="majorBidi" w:eastAsiaTheme="minorEastAsia" w:hAnsiTheme="majorBidi" w:cstheme="majorBidi"/>
          <w:b/>
          <w:bCs/>
          <w:kern w:val="2"/>
          <w:szCs w:val="22"/>
          <w:lang w:eastAsia="zh-CN"/>
          <w14:ligatures w14:val="standardContextual"/>
        </w:rPr>
        <w:t>Brazil</w:t>
      </w:r>
      <w:r w:rsidR="00FB3701" w:rsidRPr="001D5473">
        <w:rPr>
          <w:rFonts w:asciiTheme="majorBidi" w:eastAsiaTheme="minorEastAsia" w:hAnsiTheme="majorBidi" w:cstheme="majorBidi"/>
          <w:b/>
          <w:bCs/>
          <w:kern w:val="2"/>
          <w:szCs w:val="22"/>
          <w:lang w:eastAsia="zh-CN"/>
          <w14:ligatures w14:val="standardContextual"/>
        </w:rPr>
        <w:br/>
      </w:r>
      <w:r w:rsidRPr="001D5473">
        <w:rPr>
          <w:rFonts w:asciiTheme="majorBidi" w:eastAsiaTheme="minorEastAsia" w:hAnsiTheme="majorBidi" w:cstheme="majorBidi"/>
          <w:kern w:val="2"/>
          <w:szCs w:val="22"/>
          <w:lang w:eastAsia="zh-CN"/>
          <w14:ligatures w14:val="standardContextual"/>
        </w:rPr>
        <w:t>Livia Farias Ferreira De Oliveira</w:t>
      </w:r>
      <w:r w:rsidRPr="001D5473">
        <w:rPr>
          <w:rFonts w:asciiTheme="majorBidi" w:eastAsiaTheme="minorEastAsia" w:hAnsiTheme="majorBidi" w:cstheme="majorBidi"/>
          <w:kern w:val="2"/>
          <w:szCs w:val="22"/>
          <w:lang w:eastAsia="zh-CN"/>
          <w14:ligatures w14:val="standardContextual"/>
        </w:rPr>
        <w:br/>
      </w:r>
      <w:r w:rsidR="00724243" w:rsidRPr="00531867">
        <w:rPr>
          <w:rFonts w:asciiTheme="majorBidi" w:hAnsiTheme="majorBidi" w:cstheme="majorBidi"/>
        </w:rPr>
        <w:t>Deputy Undersecretary for Sustainable Development</w:t>
      </w:r>
      <w:r w:rsidR="00724243" w:rsidRPr="00531867">
        <w:rPr>
          <w:rFonts w:asciiTheme="majorBidi" w:hAnsiTheme="majorBidi" w:cstheme="majorBidi"/>
        </w:rPr>
        <w:br/>
        <w:t>Ministry of Finance</w:t>
      </w:r>
      <w:r w:rsidRPr="001D5473">
        <w:rPr>
          <w:rFonts w:asciiTheme="majorBidi" w:eastAsiaTheme="minorEastAsia" w:hAnsiTheme="majorBidi" w:cstheme="majorBidi"/>
          <w:kern w:val="2"/>
          <w:szCs w:val="22"/>
          <w:lang w:eastAsia="zh-CN"/>
          <w14:ligatures w14:val="standardContextual"/>
        </w:rPr>
        <w:br/>
        <w:t>Brasilia</w:t>
      </w:r>
    </w:p>
    <w:p w14:paraId="3FE1E220" w14:textId="59A66B9C" w:rsidR="006B611E" w:rsidRPr="00EB4B1F" w:rsidRDefault="00FA56B5" w:rsidP="001D5473">
      <w:pPr>
        <w:spacing w:line="259" w:lineRule="auto"/>
        <w:ind w:left="284"/>
        <w:jc w:val="left"/>
        <w:rPr>
          <w:rFonts w:asciiTheme="majorBidi" w:eastAsiaTheme="minorEastAsia" w:hAnsiTheme="majorBidi" w:cstheme="majorBidi"/>
          <w:kern w:val="2"/>
          <w:szCs w:val="22"/>
          <w:lang w:val="es-ES" w:eastAsia="zh-CN"/>
          <w14:ligatures w14:val="standardContextual"/>
        </w:rPr>
      </w:pPr>
      <w:r w:rsidRPr="00EB4B1F">
        <w:rPr>
          <w:rFonts w:asciiTheme="majorBidi" w:eastAsiaTheme="minorEastAsia" w:hAnsiTheme="majorBidi" w:cstheme="majorBidi"/>
          <w:b/>
          <w:bCs/>
          <w:kern w:val="2"/>
          <w:szCs w:val="22"/>
          <w:lang w:val="es-ES" w:eastAsia="zh-CN"/>
          <w14:ligatures w14:val="standardContextual"/>
        </w:rPr>
        <w:t>Colombia</w:t>
      </w:r>
      <w:r w:rsidR="00FB3701" w:rsidRPr="00EB4B1F">
        <w:rPr>
          <w:rFonts w:asciiTheme="majorBidi" w:eastAsiaTheme="minorEastAsia" w:hAnsiTheme="majorBidi" w:cstheme="majorBidi"/>
          <w:b/>
          <w:bCs/>
          <w:kern w:val="2"/>
          <w:szCs w:val="22"/>
          <w:lang w:val="es-ES" w:eastAsia="zh-CN"/>
          <w14:ligatures w14:val="standardContextual"/>
        </w:rPr>
        <w:br/>
      </w:r>
      <w:r w:rsidRPr="00EB4B1F">
        <w:rPr>
          <w:rFonts w:asciiTheme="majorBidi" w:eastAsiaTheme="minorEastAsia" w:hAnsiTheme="majorBidi" w:cstheme="majorBidi"/>
          <w:kern w:val="2"/>
          <w:szCs w:val="22"/>
          <w:lang w:val="es-ES" w:eastAsia="zh-CN"/>
          <w14:ligatures w14:val="standardContextual"/>
        </w:rPr>
        <w:t>Juan Camilo Pinto Ojeda</w:t>
      </w:r>
      <w:r w:rsidRPr="00EB4B1F">
        <w:rPr>
          <w:rFonts w:asciiTheme="majorBidi" w:eastAsiaTheme="minorEastAsia" w:hAnsiTheme="majorBidi" w:cstheme="majorBidi"/>
          <w:kern w:val="2"/>
          <w:szCs w:val="22"/>
          <w:lang w:val="es-ES" w:eastAsia="zh-CN"/>
          <w14:ligatures w14:val="standardContextual"/>
        </w:rPr>
        <w:br/>
      </w:r>
      <w:proofErr w:type="spellStart"/>
      <w:r w:rsidR="0012191F" w:rsidRPr="00EB4B1F">
        <w:rPr>
          <w:rFonts w:asciiTheme="majorBidi" w:eastAsiaTheme="minorEastAsia" w:hAnsiTheme="majorBidi" w:cstheme="majorBidi"/>
          <w:kern w:val="2"/>
          <w:szCs w:val="22"/>
          <w:lang w:val="es-ES" w:eastAsia="zh-CN"/>
          <w14:ligatures w14:val="standardContextual"/>
        </w:rPr>
        <w:t>Special</w:t>
      </w:r>
      <w:proofErr w:type="spellEnd"/>
      <w:r w:rsidR="0012191F" w:rsidRPr="00EB4B1F">
        <w:rPr>
          <w:rFonts w:asciiTheme="majorBidi" w:eastAsiaTheme="minorEastAsia" w:hAnsiTheme="majorBidi" w:cstheme="majorBidi"/>
          <w:kern w:val="2"/>
          <w:szCs w:val="22"/>
          <w:lang w:val="es-ES" w:eastAsia="zh-CN"/>
          <w14:ligatures w14:val="standardContextual"/>
        </w:rPr>
        <w:t xml:space="preserve"> </w:t>
      </w:r>
      <w:proofErr w:type="spellStart"/>
      <w:r w:rsidRPr="00EB4B1F">
        <w:rPr>
          <w:rFonts w:asciiTheme="majorBidi" w:eastAsiaTheme="minorEastAsia" w:hAnsiTheme="majorBidi" w:cstheme="majorBidi"/>
          <w:kern w:val="2"/>
          <w:szCs w:val="22"/>
          <w:lang w:val="es-ES" w:eastAsia="zh-CN"/>
          <w14:ligatures w14:val="standardContextual"/>
        </w:rPr>
        <w:t>Adviso</w:t>
      </w:r>
      <w:r w:rsidR="0012191F" w:rsidRPr="00EB4B1F">
        <w:rPr>
          <w:rFonts w:asciiTheme="majorBidi" w:eastAsiaTheme="minorEastAsia" w:hAnsiTheme="majorBidi" w:cstheme="majorBidi"/>
          <w:kern w:val="2"/>
          <w:szCs w:val="22"/>
          <w:lang w:val="es-ES" w:eastAsia="zh-CN"/>
          <w14:ligatures w14:val="standardContextual"/>
        </w:rPr>
        <w:t>r</w:t>
      </w:r>
      <w:proofErr w:type="spellEnd"/>
    </w:p>
    <w:p w14:paraId="4585F16D" w14:textId="779FFCEB" w:rsidR="00FA56B5" w:rsidRPr="001D5473" w:rsidRDefault="00FA56B5" w:rsidP="001D5473">
      <w:pPr>
        <w:spacing w:after="120" w:line="259" w:lineRule="auto"/>
        <w:ind w:left="284"/>
        <w:jc w:val="left"/>
        <w:rPr>
          <w:rFonts w:asciiTheme="majorBidi" w:eastAsiaTheme="minorEastAsia" w:hAnsiTheme="majorBidi" w:cstheme="majorBidi"/>
          <w:kern w:val="2"/>
          <w:szCs w:val="22"/>
          <w:lang w:eastAsia="zh-CN"/>
          <w14:ligatures w14:val="standardContextual"/>
        </w:rPr>
      </w:pPr>
      <w:r w:rsidRPr="001D5473">
        <w:rPr>
          <w:rFonts w:asciiTheme="majorBidi" w:eastAsiaTheme="minorEastAsia" w:hAnsiTheme="majorBidi" w:cstheme="majorBidi"/>
          <w:kern w:val="2"/>
          <w:szCs w:val="22"/>
          <w:lang w:eastAsia="zh-CN"/>
          <w14:ligatures w14:val="standardContextual"/>
        </w:rPr>
        <w:t>Office of the Vice</w:t>
      </w:r>
      <w:r w:rsidR="00B60742" w:rsidRPr="001D5473">
        <w:rPr>
          <w:rFonts w:asciiTheme="majorBidi" w:eastAsiaTheme="minorEastAsia" w:hAnsiTheme="majorBidi" w:cstheme="majorBidi"/>
          <w:kern w:val="2"/>
          <w:szCs w:val="22"/>
          <w:lang w:eastAsia="zh-CN"/>
          <w14:ligatures w14:val="standardContextual"/>
        </w:rPr>
        <w:t>-</w:t>
      </w:r>
      <w:r w:rsidRPr="001D5473">
        <w:rPr>
          <w:rFonts w:asciiTheme="majorBidi" w:eastAsiaTheme="minorEastAsia" w:hAnsiTheme="majorBidi" w:cstheme="majorBidi"/>
          <w:kern w:val="2"/>
          <w:szCs w:val="22"/>
          <w:lang w:eastAsia="zh-CN"/>
          <w14:ligatures w14:val="standardContextual"/>
        </w:rPr>
        <w:t>Minister of Environmental Policies and Standardization</w:t>
      </w:r>
      <w:r w:rsidRPr="001D5473">
        <w:rPr>
          <w:rFonts w:asciiTheme="majorBidi" w:eastAsiaTheme="minorEastAsia" w:hAnsiTheme="majorBidi" w:cstheme="majorBidi"/>
          <w:kern w:val="2"/>
          <w:szCs w:val="22"/>
          <w:lang w:eastAsia="zh-CN"/>
          <w14:ligatures w14:val="standardContextual"/>
        </w:rPr>
        <w:br/>
        <w:t>Ministry of Environment and Sustainable Development</w:t>
      </w:r>
      <w:r w:rsidRPr="001D5473">
        <w:rPr>
          <w:rFonts w:asciiTheme="majorBidi" w:eastAsiaTheme="minorEastAsia" w:hAnsiTheme="majorBidi" w:cstheme="majorBidi"/>
          <w:kern w:val="2"/>
          <w:szCs w:val="22"/>
          <w:lang w:eastAsia="zh-CN"/>
          <w14:ligatures w14:val="standardContextual"/>
        </w:rPr>
        <w:br/>
        <w:t>Bogot</w:t>
      </w:r>
      <w:r w:rsidR="00DB62C1" w:rsidRPr="001D5473">
        <w:rPr>
          <w:rFonts w:asciiTheme="majorBidi" w:eastAsiaTheme="minorEastAsia" w:hAnsiTheme="majorBidi" w:cstheme="majorBidi"/>
          <w:kern w:val="2"/>
          <w:szCs w:val="22"/>
          <w:lang w:eastAsia="zh-CN"/>
          <w14:ligatures w14:val="standardContextual"/>
        </w:rPr>
        <w:t>á</w:t>
      </w:r>
    </w:p>
    <w:p w14:paraId="3E8BCC79" w14:textId="57B43499" w:rsidR="00FA56B5" w:rsidRPr="001D5473" w:rsidRDefault="00FA56B5" w:rsidP="001D5473">
      <w:pPr>
        <w:spacing w:after="120" w:line="259" w:lineRule="auto"/>
        <w:ind w:left="284"/>
        <w:jc w:val="left"/>
        <w:rPr>
          <w:rFonts w:asciiTheme="majorBidi" w:eastAsiaTheme="minorEastAsia" w:hAnsiTheme="majorBidi" w:cstheme="majorBidi"/>
          <w:kern w:val="2"/>
          <w:szCs w:val="22"/>
          <w:lang w:eastAsia="zh-CN"/>
          <w14:ligatures w14:val="standardContextual"/>
        </w:rPr>
      </w:pPr>
      <w:r w:rsidRPr="001D5473">
        <w:rPr>
          <w:rFonts w:asciiTheme="majorBidi" w:eastAsiaTheme="minorEastAsia" w:hAnsiTheme="majorBidi" w:cstheme="majorBidi"/>
          <w:b/>
          <w:bCs/>
          <w:kern w:val="2"/>
          <w:szCs w:val="22"/>
          <w:lang w:eastAsia="zh-CN"/>
          <w14:ligatures w14:val="standardContextual"/>
        </w:rPr>
        <w:t>Peru</w:t>
      </w:r>
      <w:r w:rsidRPr="001D5473">
        <w:rPr>
          <w:rFonts w:asciiTheme="majorBidi" w:eastAsiaTheme="minorEastAsia" w:hAnsiTheme="majorBidi" w:cstheme="majorBidi"/>
          <w:b/>
          <w:bCs/>
          <w:kern w:val="2"/>
          <w:szCs w:val="22"/>
          <w:lang w:eastAsia="zh-CN"/>
          <w14:ligatures w14:val="standardContextual"/>
        </w:rPr>
        <w:br/>
      </w:r>
      <w:r w:rsidRPr="001D5473">
        <w:rPr>
          <w:rFonts w:asciiTheme="majorBidi" w:eastAsiaTheme="minorEastAsia" w:hAnsiTheme="majorBidi" w:cstheme="majorBidi"/>
          <w:kern w:val="2"/>
          <w:szCs w:val="22"/>
          <w:lang w:eastAsia="zh-CN"/>
          <w14:ligatures w14:val="standardContextual"/>
        </w:rPr>
        <w:t xml:space="preserve">Luis Guillermo Marino Nava </w:t>
      </w:r>
      <w:r w:rsidRPr="001D5473">
        <w:rPr>
          <w:rFonts w:asciiTheme="majorBidi" w:eastAsiaTheme="minorEastAsia" w:hAnsiTheme="majorBidi" w:cstheme="majorBidi"/>
          <w:kern w:val="2"/>
          <w:szCs w:val="22"/>
          <w:lang w:eastAsia="zh-CN"/>
          <w14:ligatures w14:val="standardContextual"/>
        </w:rPr>
        <w:br/>
        <w:t>National Director</w:t>
      </w:r>
      <w:r w:rsidRPr="001D5473">
        <w:rPr>
          <w:rFonts w:asciiTheme="majorBidi" w:eastAsiaTheme="minorEastAsia" w:hAnsiTheme="majorBidi" w:cstheme="majorBidi"/>
          <w:kern w:val="2"/>
          <w:szCs w:val="22"/>
          <w:lang w:eastAsia="zh-CN"/>
          <w14:ligatures w14:val="standardContextual"/>
        </w:rPr>
        <w:br/>
        <w:t>Business Alliance for the Amazon</w:t>
      </w:r>
      <w:r w:rsidRPr="001D5473">
        <w:rPr>
          <w:rFonts w:asciiTheme="majorBidi" w:eastAsiaTheme="minorEastAsia" w:hAnsiTheme="majorBidi" w:cstheme="majorBidi"/>
          <w:kern w:val="2"/>
          <w:szCs w:val="22"/>
          <w:lang w:eastAsia="zh-CN"/>
          <w14:ligatures w14:val="standardContextual"/>
        </w:rPr>
        <w:br/>
      </w:r>
      <w:r w:rsidRPr="001D5473">
        <w:rPr>
          <w:rFonts w:asciiTheme="majorBidi" w:eastAsiaTheme="minorEastAsia" w:hAnsiTheme="majorBidi" w:cstheme="majorBidi"/>
          <w:kern w:val="2"/>
          <w:szCs w:val="22"/>
          <w:lang w:eastAsia="zh-CN"/>
          <w14:ligatures w14:val="standardContextual"/>
        </w:rPr>
        <w:lastRenderedPageBreak/>
        <w:t>Conservation International</w:t>
      </w:r>
      <w:r w:rsidRPr="001D5473">
        <w:rPr>
          <w:rFonts w:asciiTheme="majorBidi" w:eastAsiaTheme="minorEastAsia" w:hAnsiTheme="majorBidi" w:cstheme="majorBidi"/>
          <w:kern w:val="2"/>
          <w:szCs w:val="22"/>
          <w:lang w:eastAsia="zh-CN"/>
          <w14:ligatures w14:val="standardContextual"/>
        </w:rPr>
        <w:br/>
        <w:t>Lima</w:t>
      </w:r>
    </w:p>
    <w:p w14:paraId="1216B56B" w14:textId="1F2903D0" w:rsidR="00FA56B5" w:rsidRPr="001D5473" w:rsidRDefault="0066417A" w:rsidP="001D5473">
      <w:pPr>
        <w:spacing w:after="160" w:line="259" w:lineRule="auto"/>
        <w:jc w:val="left"/>
        <w:rPr>
          <w:rFonts w:asciiTheme="majorBidi" w:eastAsiaTheme="minorEastAsia" w:hAnsiTheme="majorBidi" w:cstheme="majorBidi"/>
          <w:b/>
          <w:bCs/>
          <w:kern w:val="2"/>
          <w:sz w:val="24"/>
          <w:lang w:eastAsia="zh-CN"/>
          <w14:ligatures w14:val="standardContextual"/>
        </w:rPr>
      </w:pPr>
      <w:r w:rsidRPr="001D5473">
        <w:rPr>
          <w:rFonts w:asciiTheme="majorBidi" w:eastAsiaTheme="minorEastAsia" w:hAnsiTheme="majorBidi" w:cstheme="majorBidi"/>
          <w:b/>
          <w:bCs/>
          <w:kern w:val="2"/>
          <w:sz w:val="24"/>
          <w:lang w:eastAsia="zh-CN"/>
          <w14:ligatures w14:val="standardContextual"/>
        </w:rPr>
        <w:t>Western Europe</w:t>
      </w:r>
      <w:r w:rsidR="00DD6411" w:rsidRPr="001D5473">
        <w:rPr>
          <w:rFonts w:asciiTheme="majorBidi" w:eastAsiaTheme="minorEastAsia" w:hAnsiTheme="majorBidi" w:cstheme="majorBidi"/>
          <w:b/>
          <w:bCs/>
          <w:kern w:val="2"/>
          <w:sz w:val="24"/>
          <w:lang w:eastAsia="zh-CN"/>
          <w14:ligatures w14:val="standardContextual"/>
        </w:rPr>
        <w:t>an</w:t>
      </w:r>
      <w:r w:rsidRPr="001D5473">
        <w:rPr>
          <w:rFonts w:asciiTheme="majorBidi" w:eastAsiaTheme="minorEastAsia" w:hAnsiTheme="majorBidi" w:cstheme="majorBidi"/>
          <w:b/>
          <w:bCs/>
          <w:kern w:val="2"/>
          <w:sz w:val="24"/>
          <w:lang w:eastAsia="zh-CN"/>
          <w14:ligatures w14:val="standardContextual"/>
        </w:rPr>
        <w:t xml:space="preserve"> and other</w:t>
      </w:r>
      <w:r w:rsidR="00FA56B5" w:rsidRPr="001D5473">
        <w:rPr>
          <w:rFonts w:asciiTheme="majorBidi" w:eastAsiaTheme="minorEastAsia" w:hAnsiTheme="majorBidi" w:cstheme="majorBidi"/>
          <w:b/>
          <w:bCs/>
          <w:kern w:val="2"/>
          <w:sz w:val="24"/>
          <w:lang w:eastAsia="zh-CN"/>
          <w14:ligatures w14:val="standardContextual"/>
        </w:rPr>
        <w:t xml:space="preserve"> </w:t>
      </w:r>
      <w:r w:rsidR="00A13790" w:rsidRPr="001D5473">
        <w:rPr>
          <w:rFonts w:asciiTheme="majorBidi" w:eastAsiaTheme="minorEastAsia" w:hAnsiTheme="majorBidi" w:cstheme="majorBidi"/>
          <w:b/>
          <w:bCs/>
          <w:kern w:val="2"/>
          <w:sz w:val="24"/>
          <w:lang w:eastAsia="zh-CN"/>
          <w14:ligatures w14:val="standardContextual"/>
        </w:rPr>
        <w:t>S</w:t>
      </w:r>
      <w:r w:rsidRPr="001D5473">
        <w:rPr>
          <w:rFonts w:asciiTheme="majorBidi" w:eastAsiaTheme="minorEastAsia" w:hAnsiTheme="majorBidi" w:cstheme="majorBidi"/>
          <w:b/>
          <w:bCs/>
          <w:kern w:val="2"/>
          <w:sz w:val="24"/>
          <w:lang w:eastAsia="zh-CN"/>
          <w14:ligatures w14:val="standardContextual"/>
        </w:rPr>
        <w:t>tates</w:t>
      </w:r>
    </w:p>
    <w:p w14:paraId="39AE3F1A" w14:textId="1F452736" w:rsidR="00FA56B5" w:rsidRPr="001D5473" w:rsidRDefault="00FA56B5" w:rsidP="001D5473">
      <w:pPr>
        <w:spacing w:after="120" w:line="259" w:lineRule="auto"/>
        <w:ind w:left="284"/>
        <w:jc w:val="left"/>
        <w:rPr>
          <w:rFonts w:asciiTheme="majorBidi" w:eastAsiaTheme="minorEastAsia" w:hAnsiTheme="majorBidi" w:cstheme="majorBidi"/>
          <w:b/>
          <w:bCs/>
          <w:kern w:val="2"/>
          <w:szCs w:val="22"/>
          <w:lang w:eastAsia="zh-CN"/>
          <w14:ligatures w14:val="standardContextual"/>
        </w:rPr>
      </w:pPr>
      <w:r w:rsidRPr="001D5473">
        <w:rPr>
          <w:rFonts w:asciiTheme="majorBidi" w:eastAsiaTheme="minorEastAsia" w:hAnsiTheme="majorBidi" w:cstheme="majorBidi"/>
          <w:b/>
          <w:bCs/>
          <w:kern w:val="2"/>
          <w:szCs w:val="22"/>
          <w:lang w:eastAsia="zh-CN"/>
          <w14:ligatures w14:val="standardContextual"/>
        </w:rPr>
        <w:t>Finland</w:t>
      </w:r>
      <w:r w:rsidR="00121641" w:rsidRPr="001D5473">
        <w:rPr>
          <w:rFonts w:asciiTheme="majorBidi" w:eastAsiaTheme="minorEastAsia" w:hAnsiTheme="majorBidi" w:cstheme="majorBidi"/>
          <w:b/>
          <w:bCs/>
          <w:kern w:val="2"/>
          <w:szCs w:val="22"/>
          <w:lang w:eastAsia="zh-CN"/>
          <w14:ligatures w14:val="standardContextual"/>
        </w:rPr>
        <w:br/>
      </w:r>
      <w:r w:rsidRPr="001D5473">
        <w:rPr>
          <w:rFonts w:asciiTheme="majorBidi" w:eastAsiaTheme="minorEastAsia" w:hAnsiTheme="majorBidi" w:cstheme="majorBidi"/>
          <w:color w:val="000000"/>
          <w:kern w:val="2"/>
          <w:szCs w:val="22"/>
          <w14:ligatures w14:val="standardContextual"/>
        </w:rPr>
        <w:t>Johanna Pakarinen</w:t>
      </w:r>
      <w:r w:rsidRPr="001D5473">
        <w:rPr>
          <w:rFonts w:asciiTheme="majorBidi" w:eastAsiaTheme="minorEastAsia" w:hAnsiTheme="majorBidi" w:cstheme="majorBidi"/>
          <w:color w:val="000000"/>
          <w:kern w:val="2"/>
          <w:szCs w:val="22"/>
          <w14:ligatures w14:val="standardContextual"/>
        </w:rPr>
        <w:br/>
        <w:t>Senior Statistician, Economic and Environmental Statistics</w:t>
      </w:r>
      <w:r w:rsidRPr="001D5473">
        <w:rPr>
          <w:rFonts w:asciiTheme="majorBidi" w:eastAsiaTheme="minorEastAsia" w:hAnsiTheme="majorBidi" w:cstheme="majorBidi"/>
          <w:color w:val="000000"/>
          <w:kern w:val="2"/>
          <w:szCs w:val="22"/>
          <w14:ligatures w14:val="standardContextual"/>
        </w:rPr>
        <w:br/>
      </w:r>
      <w:proofErr w:type="spellStart"/>
      <w:r w:rsidRPr="001D5473">
        <w:rPr>
          <w:rFonts w:asciiTheme="majorBidi" w:eastAsiaTheme="minorEastAsia" w:hAnsiTheme="majorBidi" w:cstheme="majorBidi"/>
          <w:color w:val="000000"/>
          <w:kern w:val="2"/>
          <w:szCs w:val="22"/>
          <w14:ligatures w14:val="standardContextual"/>
        </w:rPr>
        <w:t>Statistics</w:t>
      </w:r>
      <w:proofErr w:type="spellEnd"/>
      <w:r w:rsidRPr="001D5473">
        <w:rPr>
          <w:rFonts w:asciiTheme="majorBidi" w:eastAsiaTheme="minorEastAsia" w:hAnsiTheme="majorBidi" w:cstheme="majorBidi"/>
          <w:color w:val="000000"/>
          <w:kern w:val="2"/>
          <w:szCs w:val="22"/>
          <w14:ligatures w14:val="standardContextual"/>
        </w:rPr>
        <w:t xml:space="preserve"> Finland </w:t>
      </w:r>
      <w:r w:rsidRPr="001D5473">
        <w:rPr>
          <w:rFonts w:asciiTheme="majorBidi" w:eastAsiaTheme="minorEastAsia" w:hAnsiTheme="majorBidi" w:cstheme="majorBidi"/>
          <w:color w:val="000000"/>
          <w:kern w:val="2"/>
          <w:szCs w:val="22"/>
          <w14:ligatures w14:val="standardContextual"/>
        </w:rPr>
        <w:br/>
        <w:t>Helsinki</w:t>
      </w:r>
    </w:p>
    <w:p w14:paraId="01A7C037" w14:textId="543A2300" w:rsidR="00FA56B5" w:rsidRPr="001D5473" w:rsidRDefault="00FA56B5" w:rsidP="001D5473">
      <w:pPr>
        <w:spacing w:after="120" w:line="259" w:lineRule="auto"/>
        <w:ind w:left="284"/>
        <w:jc w:val="left"/>
        <w:rPr>
          <w:rFonts w:asciiTheme="majorBidi" w:eastAsiaTheme="minorEastAsia" w:hAnsiTheme="majorBidi" w:cstheme="majorBidi"/>
          <w:b/>
          <w:bCs/>
          <w:kern w:val="2"/>
          <w:szCs w:val="22"/>
          <w:lang w:eastAsia="zh-CN"/>
          <w14:ligatures w14:val="standardContextual"/>
        </w:rPr>
      </w:pPr>
      <w:r w:rsidRPr="001D5473">
        <w:rPr>
          <w:rFonts w:asciiTheme="majorBidi" w:eastAsiaTheme="minorEastAsia" w:hAnsiTheme="majorBidi" w:cstheme="majorBidi"/>
          <w:b/>
          <w:bCs/>
          <w:kern w:val="2"/>
          <w:szCs w:val="22"/>
          <w:lang w:eastAsia="zh-CN"/>
          <w14:ligatures w14:val="standardContextual"/>
        </w:rPr>
        <w:t>France</w:t>
      </w:r>
      <w:r w:rsidR="00121641" w:rsidRPr="001D5473">
        <w:rPr>
          <w:rFonts w:asciiTheme="majorBidi" w:eastAsiaTheme="minorEastAsia" w:hAnsiTheme="majorBidi" w:cstheme="majorBidi"/>
          <w:b/>
          <w:bCs/>
          <w:kern w:val="2"/>
          <w:szCs w:val="22"/>
          <w:lang w:eastAsia="zh-CN"/>
          <w14:ligatures w14:val="standardContextual"/>
        </w:rPr>
        <w:br/>
      </w:r>
      <w:r w:rsidRPr="001D5473">
        <w:rPr>
          <w:rFonts w:asciiTheme="majorBidi" w:eastAsiaTheme="minorEastAsia" w:hAnsiTheme="majorBidi" w:cstheme="majorBidi"/>
          <w:kern w:val="2"/>
          <w:szCs w:val="22"/>
          <w:lang w:eastAsia="zh-CN"/>
          <w14:ligatures w14:val="standardContextual"/>
        </w:rPr>
        <w:t>Alexandra Matas Calderon</w:t>
      </w:r>
      <w:r w:rsidR="00121641" w:rsidRPr="001D5473">
        <w:rPr>
          <w:rFonts w:asciiTheme="majorBidi" w:eastAsiaTheme="minorEastAsia" w:hAnsiTheme="majorBidi" w:cstheme="majorBidi"/>
          <w:kern w:val="2"/>
          <w:szCs w:val="22"/>
          <w:lang w:eastAsia="zh-CN"/>
          <w14:ligatures w14:val="standardContextual"/>
        </w:rPr>
        <w:br/>
      </w:r>
      <w:r w:rsidR="00121641" w:rsidRPr="00531867">
        <w:rPr>
          <w:rFonts w:asciiTheme="majorBidi" w:hAnsiTheme="majorBidi" w:cstheme="majorBidi"/>
          <w:color w:val="000000"/>
        </w:rPr>
        <w:t>Deputy Head of the Official Development Assistance Unit</w:t>
      </w:r>
      <w:r w:rsidR="00121641" w:rsidRPr="00531867">
        <w:rPr>
          <w:rFonts w:asciiTheme="majorBidi" w:hAnsiTheme="majorBidi" w:cstheme="majorBidi"/>
          <w:color w:val="000000"/>
        </w:rPr>
        <w:br/>
        <w:t>Directorate-General of the Treasury</w:t>
      </w:r>
      <w:r w:rsidR="00121641" w:rsidRPr="00531867">
        <w:rPr>
          <w:rFonts w:asciiTheme="majorBidi" w:hAnsiTheme="majorBidi" w:cstheme="majorBidi"/>
          <w:color w:val="000000"/>
        </w:rPr>
        <w:br/>
        <w:t>Ministry of Economy, Finance and Industrial and Digital Sovereignty</w:t>
      </w:r>
      <w:r w:rsidR="00121641" w:rsidRPr="00531867">
        <w:rPr>
          <w:rFonts w:asciiTheme="majorBidi" w:hAnsiTheme="majorBidi" w:cstheme="majorBidi"/>
          <w:color w:val="000000"/>
        </w:rPr>
        <w:br/>
      </w:r>
      <w:r w:rsidRPr="001D5473">
        <w:rPr>
          <w:rFonts w:asciiTheme="majorBidi" w:eastAsiaTheme="minorEastAsia" w:hAnsiTheme="majorBidi" w:cstheme="majorBidi"/>
          <w:color w:val="000000"/>
          <w:kern w:val="2"/>
          <w:szCs w:val="22"/>
          <w14:ligatures w14:val="standardContextual"/>
        </w:rPr>
        <w:t>Paris</w:t>
      </w:r>
    </w:p>
    <w:p w14:paraId="750F2EFD" w14:textId="733ED20A" w:rsidR="00FA56B5" w:rsidRPr="001D5473" w:rsidRDefault="001674EE" w:rsidP="001D5473">
      <w:pPr>
        <w:ind w:left="284" w:right="44"/>
        <w:jc w:val="left"/>
        <w:rPr>
          <w:rFonts w:asciiTheme="majorBidi" w:hAnsiTheme="majorBidi" w:cstheme="majorBidi"/>
          <w:b/>
          <w:bCs/>
          <w:color w:val="000000"/>
          <w:szCs w:val="22"/>
        </w:rPr>
      </w:pPr>
      <w:r w:rsidRPr="001D5473">
        <w:rPr>
          <w:rFonts w:asciiTheme="majorBidi" w:hAnsiTheme="majorBidi" w:cstheme="majorBidi"/>
          <w:b/>
          <w:bCs/>
          <w:color w:val="000000"/>
          <w:szCs w:val="22"/>
        </w:rPr>
        <w:t>S</w:t>
      </w:r>
      <w:r w:rsidR="00FA56B5" w:rsidRPr="001D5473">
        <w:rPr>
          <w:rFonts w:asciiTheme="majorBidi" w:hAnsiTheme="majorBidi" w:cstheme="majorBidi"/>
          <w:b/>
          <w:bCs/>
          <w:color w:val="000000"/>
          <w:szCs w:val="22"/>
        </w:rPr>
        <w:t>witzerland</w:t>
      </w:r>
    </w:p>
    <w:p w14:paraId="7C53ECFC" w14:textId="555DA837" w:rsidR="00FA56B5" w:rsidRPr="00531867" w:rsidRDefault="00FA56B5" w:rsidP="001D5473">
      <w:pPr>
        <w:ind w:left="284" w:right="44"/>
        <w:jc w:val="left"/>
        <w:rPr>
          <w:rFonts w:asciiTheme="majorBidi" w:hAnsiTheme="majorBidi" w:cstheme="majorBidi"/>
          <w:color w:val="000000"/>
          <w:szCs w:val="22"/>
        </w:rPr>
      </w:pPr>
      <w:r w:rsidRPr="00531867">
        <w:rPr>
          <w:rFonts w:asciiTheme="majorBidi" w:hAnsiTheme="majorBidi" w:cstheme="majorBidi"/>
          <w:color w:val="000000"/>
          <w:szCs w:val="22"/>
        </w:rPr>
        <w:t>Lucretia Landmann</w:t>
      </w:r>
    </w:p>
    <w:p w14:paraId="3AB7825F" w14:textId="77777777" w:rsidR="00FA56B5" w:rsidRPr="00531867" w:rsidRDefault="00FA56B5" w:rsidP="001D5473">
      <w:pPr>
        <w:ind w:left="284" w:right="44"/>
        <w:jc w:val="left"/>
        <w:rPr>
          <w:rFonts w:asciiTheme="majorBidi" w:hAnsiTheme="majorBidi" w:cstheme="majorBidi"/>
          <w:color w:val="000000"/>
          <w:szCs w:val="22"/>
        </w:rPr>
      </w:pPr>
      <w:r w:rsidRPr="00531867">
        <w:rPr>
          <w:rFonts w:asciiTheme="majorBidi" w:hAnsiTheme="majorBidi" w:cstheme="majorBidi"/>
          <w:color w:val="000000"/>
          <w:szCs w:val="22"/>
        </w:rPr>
        <w:t>Senior Policy Adviser</w:t>
      </w:r>
    </w:p>
    <w:p w14:paraId="2D11560C" w14:textId="77777777" w:rsidR="00FA56B5" w:rsidRPr="00531867" w:rsidRDefault="00FA56B5" w:rsidP="001D5473">
      <w:pPr>
        <w:ind w:left="284" w:right="44"/>
        <w:jc w:val="left"/>
        <w:rPr>
          <w:rFonts w:asciiTheme="majorBidi" w:hAnsiTheme="majorBidi" w:cstheme="majorBidi"/>
          <w:color w:val="000000"/>
          <w:szCs w:val="22"/>
        </w:rPr>
      </w:pPr>
      <w:r w:rsidRPr="00531867">
        <w:rPr>
          <w:rFonts w:asciiTheme="majorBidi" w:hAnsiTheme="majorBidi" w:cstheme="majorBidi"/>
          <w:color w:val="000000"/>
          <w:szCs w:val="22"/>
        </w:rPr>
        <w:t>International Affairs Division</w:t>
      </w:r>
    </w:p>
    <w:p w14:paraId="0D1ED48B" w14:textId="050B316E" w:rsidR="00FA56B5" w:rsidRPr="00531867" w:rsidRDefault="00FA56B5" w:rsidP="001D5473">
      <w:pPr>
        <w:ind w:left="284" w:right="44"/>
        <w:jc w:val="left"/>
        <w:rPr>
          <w:rFonts w:asciiTheme="majorBidi" w:hAnsiTheme="majorBidi" w:cstheme="majorBidi"/>
          <w:color w:val="000000"/>
          <w:szCs w:val="22"/>
        </w:rPr>
      </w:pPr>
      <w:r w:rsidRPr="00531867">
        <w:rPr>
          <w:rFonts w:asciiTheme="majorBidi" w:hAnsiTheme="majorBidi" w:cstheme="majorBidi"/>
          <w:color w:val="000000"/>
          <w:szCs w:val="22"/>
        </w:rPr>
        <w:t>Federal Office for the Environment</w:t>
      </w:r>
    </w:p>
    <w:p w14:paraId="21546D60" w14:textId="7886FE64" w:rsidR="006425FD" w:rsidRPr="001D5473" w:rsidRDefault="00FA56B5" w:rsidP="001D5473">
      <w:pPr>
        <w:ind w:left="284" w:right="44"/>
        <w:jc w:val="left"/>
        <w:rPr>
          <w:rFonts w:asciiTheme="majorBidi" w:hAnsiTheme="majorBidi" w:cstheme="majorBidi"/>
          <w:color w:val="000000"/>
          <w:szCs w:val="22"/>
        </w:rPr>
      </w:pPr>
      <w:r w:rsidRPr="001D5473">
        <w:rPr>
          <w:rFonts w:asciiTheme="majorBidi" w:hAnsiTheme="majorBidi" w:cstheme="majorBidi"/>
          <w:color w:val="000000"/>
          <w:szCs w:val="22"/>
        </w:rPr>
        <w:t>Bern</w:t>
      </w:r>
    </w:p>
    <w:p w14:paraId="4D1D142D" w14:textId="6DDA2A2D" w:rsidR="006425FD" w:rsidRPr="001D5473" w:rsidRDefault="00235082" w:rsidP="001D5473">
      <w:pPr>
        <w:spacing w:before="240" w:after="160" w:line="259" w:lineRule="auto"/>
        <w:jc w:val="left"/>
        <w:rPr>
          <w:rFonts w:asciiTheme="majorBidi" w:eastAsiaTheme="minorEastAsia" w:hAnsiTheme="majorBidi" w:cstheme="majorBidi"/>
          <w:b/>
          <w:bCs/>
          <w:kern w:val="2"/>
          <w:sz w:val="24"/>
          <w:lang w:eastAsia="zh-CN"/>
          <w14:ligatures w14:val="standardContextual"/>
        </w:rPr>
      </w:pPr>
      <w:r w:rsidRPr="001D5473">
        <w:rPr>
          <w:rFonts w:asciiTheme="majorBidi" w:eastAsiaTheme="minorEastAsia" w:hAnsiTheme="majorBidi" w:cstheme="majorBidi"/>
          <w:b/>
          <w:bCs/>
          <w:kern w:val="2"/>
          <w:sz w:val="24"/>
          <w:lang w:eastAsia="zh-CN"/>
          <w14:ligatures w14:val="standardContextual"/>
        </w:rPr>
        <w:t xml:space="preserve">United </w:t>
      </w:r>
      <w:r w:rsidR="000F6B36" w:rsidRPr="00531867">
        <w:rPr>
          <w:rFonts w:asciiTheme="majorBidi" w:eastAsiaTheme="minorEastAsia" w:hAnsiTheme="majorBidi" w:cstheme="majorBidi"/>
          <w:b/>
          <w:bCs/>
          <w:kern w:val="2"/>
          <w:sz w:val="24"/>
          <w:lang w:eastAsia="zh-CN"/>
          <w14:ligatures w14:val="standardContextual"/>
        </w:rPr>
        <w:t>N</w:t>
      </w:r>
      <w:r w:rsidRPr="001D5473">
        <w:rPr>
          <w:rFonts w:asciiTheme="majorBidi" w:eastAsiaTheme="minorEastAsia" w:hAnsiTheme="majorBidi" w:cstheme="majorBidi"/>
          <w:b/>
          <w:bCs/>
          <w:kern w:val="2"/>
          <w:sz w:val="24"/>
          <w:lang w:eastAsia="zh-CN"/>
          <w14:ligatures w14:val="standardContextual"/>
        </w:rPr>
        <w:t>ations</w:t>
      </w:r>
      <w:r w:rsidR="00A56D38" w:rsidRPr="00531867">
        <w:rPr>
          <w:rFonts w:asciiTheme="majorBidi" w:eastAsiaTheme="minorEastAsia" w:hAnsiTheme="majorBidi" w:cstheme="majorBidi"/>
          <w:b/>
          <w:bCs/>
          <w:kern w:val="2"/>
          <w:sz w:val="24"/>
          <w:lang w:eastAsia="zh-CN"/>
          <w14:ligatures w14:val="standardContextual"/>
        </w:rPr>
        <w:t xml:space="preserve"> </w:t>
      </w:r>
      <w:r w:rsidR="00564F2B" w:rsidRPr="00531867">
        <w:rPr>
          <w:rFonts w:asciiTheme="majorBidi" w:eastAsiaTheme="minorEastAsia" w:hAnsiTheme="majorBidi" w:cstheme="majorBidi"/>
          <w:b/>
          <w:bCs/>
          <w:kern w:val="2"/>
          <w:sz w:val="24"/>
          <w:lang w:eastAsia="zh-CN"/>
          <w14:ligatures w14:val="standardContextual"/>
        </w:rPr>
        <w:t>and its</w:t>
      </w:r>
      <w:r w:rsidRPr="001D5473">
        <w:rPr>
          <w:rFonts w:asciiTheme="majorBidi" w:eastAsiaTheme="minorEastAsia" w:hAnsiTheme="majorBidi" w:cstheme="majorBidi"/>
          <w:b/>
          <w:bCs/>
          <w:kern w:val="2"/>
          <w:sz w:val="24"/>
          <w:lang w:eastAsia="zh-CN"/>
          <w14:ligatures w14:val="standardContextual"/>
        </w:rPr>
        <w:t xml:space="preserve"> </w:t>
      </w:r>
      <w:r w:rsidR="00564F2B" w:rsidRPr="00531867">
        <w:rPr>
          <w:rFonts w:asciiTheme="majorBidi" w:eastAsiaTheme="minorEastAsia" w:hAnsiTheme="majorBidi" w:cstheme="majorBidi"/>
          <w:b/>
          <w:bCs/>
          <w:kern w:val="2"/>
          <w:sz w:val="24"/>
          <w:lang w:eastAsia="zh-CN"/>
          <w14:ligatures w14:val="standardContextual"/>
        </w:rPr>
        <w:t xml:space="preserve">funds, </w:t>
      </w:r>
      <w:proofErr w:type="gramStart"/>
      <w:r w:rsidR="00564F2B" w:rsidRPr="00531867">
        <w:rPr>
          <w:rFonts w:asciiTheme="majorBidi" w:eastAsiaTheme="minorEastAsia" w:hAnsiTheme="majorBidi" w:cstheme="majorBidi"/>
          <w:b/>
          <w:bCs/>
          <w:kern w:val="2"/>
          <w:sz w:val="24"/>
          <w:lang w:eastAsia="zh-CN"/>
          <w14:ligatures w14:val="standardContextual"/>
        </w:rPr>
        <w:t>programmes</w:t>
      </w:r>
      <w:proofErr w:type="gramEnd"/>
      <w:r w:rsidR="00564F2B" w:rsidRPr="00531867">
        <w:rPr>
          <w:rFonts w:asciiTheme="majorBidi" w:eastAsiaTheme="minorEastAsia" w:hAnsiTheme="majorBidi" w:cstheme="majorBidi"/>
          <w:b/>
          <w:bCs/>
          <w:kern w:val="2"/>
          <w:sz w:val="24"/>
          <w:lang w:eastAsia="zh-CN"/>
          <w14:ligatures w14:val="standardContextual"/>
        </w:rPr>
        <w:t xml:space="preserve"> </w:t>
      </w:r>
      <w:r w:rsidRPr="001D5473">
        <w:rPr>
          <w:rFonts w:asciiTheme="majorBidi" w:eastAsiaTheme="minorEastAsia" w:hAnsiTheme="majorBidi" w:cstheme="majorBidi"/>
          <w:b/>
          <w:bCs/>
          <w:kern w:val="2"/>
          <w:sz w:val="24"/>
          <w:lang w:eastAsia="zh-CN"/>
          <w14:ligatures w14:val="standardContextual"/>
        </w:rPr>
        <w:t>and specialized agencies</w:t>
      </w:r>
    </w:p>
    <w:p w14:paraId="195C87F7" w14:textId="7066A4AA" w:rsidR="001D1276" w:rsidRPr="001D5473" w:rsidRDefault="006425FD" w:rsidP="001D5473">
      <w:pPr>
        <w:spacing w:after="160" w:line="259" w:lineRule="auto"/>
        <w:ind w:left="284"/>
        <w:jc w:val="left"/>
        <w:rPr>
          <w:rFonts w:asciiTheme="majorBidi" w:eastAsiaTheme="minorEastAsia" w:hAnsiTheme="majorBidi" w:cstheme="majorBidi"/>
          <w:b/>
          <w:bCs/>
          <w:color w:val="000000"/>
          <w:kern w:val="2"/>
          <w:szCs w:val="22"/>
          <w14:ligatures w14:val="standardContextual"/>
        </w:rPr>
      </w:pPr>
      <w:r w:rsidRPr="001D5473">
        <w:rPr>
          <w:rFonts w:asciiTheme="majorBidi" w:eastAsiaTheme="minorEastAsia" w:hAnsiTheme="majorBidi" w:cstheme="majorBidi"/>
          <w:b/>
          <w:bCs/>
          <w:color w:val="000000"/>
          <w:kern w:val="2"/>
          <w:szCs w:val="22"/>
          <w14:ligatures w14:val="standardContextual"/>
        </w:rPr>
        <w:t>United Nations Development Programme</w:t>
      </w:r>
      <w:r w:rsidRPr="001D5473">
        <w:rPr>
          <w:rFonts w:asciiTheme="majorBidi" w:eastAsiaTheme="minorEastAsia" w:hAnsiTheme="majorBidi" w:cstheme="majorBidi"/>
          <w:b/>
          <w:bCs/>
          <w:color w:val="000000"/>
          <w:kern w:val="2"/>
          <w:szCs w:val="22"/>
          <w14:ligatures w14:val="standardContextual"/>
        </w:rPr>
        <w:br/>
      </w:r>
      <w:r w:rsidRPr="001D5473">
        <w:rPr>
          <w:rFonts w:asciiTheme="majorBidi" w:eastAsiaTheme="minorEastAsia" w:hAnsiTheme="majorBidi" w:cstheme="majorBidi"/>
          <w:color w:val="000000"/>
          <w:kern w:val="2"/>
          <w:szCs w:val="22"/>
          <w14:ligatures w14:val="standardContextual"/>
        </w:rPr>
        <w:t>Mariana Bellot</w:t>
      </w:r>
      <w:r w:rsidRPr="001D5473">
        <w:rPr>
          <w:rFonts w:asciiTheme="majorBidi" w:eastAsiaTheme="minorEastAsia" w:hAnsiTheme="majorBidi" w:cstheme="majorBidi"/>
          <w:color w:val="000000"/>
          <w:kern w:val="2"/>
          <w:szCs w:val="22"/>
          <w14:ligatures w14:val="standardContextual"/>
        </w:rPr>
        <w:br/>
        <w:t>Senior Technical Advisor</w:t>
      </w:r>
      <w:r w:rsidRPr="001D5473">
        <w:rPr>
          <w:rFonts w:asciiTheme="majorBidi" w:eastAsiaTheme="minorEastAsia" w:hAnsiTheme="majorBidi" w:cstheme="majorBidi"/>
          <w:color w:val="000000"/>
          <w:kern w:val="2"/>
          <w:szCs w:val="22"/>
          <w14:ligatures w14:val="standardContextual"/>
        </w:rPr>
        <w:br/>
        <w:t>Biodiversity Finance Initiative</w:t>
      </w:r>
    </w:p>
    <w:p w14:paraId="1291CE1C" w14:textId="6A946AAB" w:rsidR="00235082" w:rsidRPr="001D5473" w:rsidRDefault="00235082" w:rsidP="00235082">
      <w:pPr>
        <w:spacing w:before="120" w:after="160"/>
        <w:jc w:val="left"/>
        <w:rPr>
          <w:rFonts w:asciiTheme="majorBidi" w:eastAsiaTheme="minorEastAsia" w:hAnsiTheme="majorBidi" w:cstheme="majorBidi"/>
          <w:b/>
          <w:bCs/>
          <w:color w:val="000000"/>
          <w:kern w:val="2"/>
          <w:szCs w:val="22"/>
          <w14:ligatures w14:val="standardContextual"/>
        </w:rPr>
      </w:pPr>
      <w:r w:rsidRPr="001D5473">
        <w:rPr>
          <w:rFonts w:asciiTheme="majorBidi" w:eastAsiaTheme="minorEastAsia" w:hAnsiTheme="majorBidi" w:cstheme="majorBidi"/>
          <w:b/>
          <w:bCs/>
          <w:kern w:val="2"/>
          <w:sz w:val="24"/>
          <w:lang w:eastAsia="zh-CN"/>
          <w14:ligatures w14:val="standardContextual"/>
        </w:rPr>
        <w:t>Intergovernmental organizations</w:t>
      </w:r>
    </w:p>
    <w:p w14:paraId="2070AFD8" w14:textId="3B42FB83" w:rsidR="00BE4998" w:rsidRPr="001D5473" w:rsidRDefault="004C7D47" w:rsidP="001D5473">
      <w:pPr>
        <w:spacing w:before="120" w:after="160"/>
        <w:ind w:left="284"/>
        <w:jc w:val="left"/>
        <w:rPr>
          <w:rFonts w:asciiTheme="majorBidi" w:eastAsiaTheme="minorEastAsia" w:hAnsiTheme="majorBidi" w:cstheme="majorBidi"/>
          <w:kern w:val="2"/>
          <w:szCs w:val="22"/>
          <w14:ligatures w14:val="standardContextual"/>
        </w:rPr>
      </w:pPr>
      <w:r w:rsidRPr="001D5473">
        <w:rPr>
          <w:rFonts w:asciiTheme="majorBidi" w:eastAsiaTheme="minorEastAsia" w:hAnsiTheme="majorBidi" w:cstheme="majorBidi"/>
          <w:b/>
          <w:bCs/>
          <w:color w:val="000000"/>
          <w:kern w:val="2"/>
          <w:szCs w:val="22"/>
          <w14:ligatures w14:val="standardContextual"/>
        </w:rPr>
        <w:t>Organisation for Economic Co-operation and Development</w:t>
      </w:r>
    </w:p>
    <w:p w14:paraId="1F3B1B27" w14:textId="7B93E94D" w:rsidR="006425FD" w:rsidRPr="001D5473" w:rsidRDefault="004C7D47" w:rsidP="001D5473">
      <w:pPr>
        <w:spacing w:before="120" w:after="160"/>
        <w:ind w:left="284"/>
        <w:jc w:val="left"/>
        <w:rPr>
          <w:rFonts w:asciiTheme="majorBidi" w:eastAsiaTheme="minorEastAsia" w:hAnsiTheme="majorBidi" w:cstheme="majorBidi"/>
          <w:kern w:val="2"/>
          <w:szCs w:val="22"/>
          <w14:ligatures w14:val="standardContextual"/>
        </w:rPr>
      </w:pPr>
      <w:r w:rsidRPr="001D5473">
        <w:rPr>
          <w:rFonts w:asciiTheme="majorBidi" w:eastAsiaTheme="minorEastAsia" w:hAnsiTheme="majorBidi" w:cstheme="majorBidi"/>
          <w:kern w:val="2"/>
          <w:szCs w:val="22"/>
          <w14:ligatures w14:val="standardContextual"/>
        </w:rPr>
        <w:t>Edward Perry</w:t>
      </w:r>
      <w:r w:rsidRPr="001D5473">
        <w:rPr>
          <w:rFonts w:asciiTheme="majorBidi" w:eastAsiaTheme="minorEastAsia" w:hAnsiTheme="majorBidi" w:cstheme="majorBidi"/>
          <w:kern w:val="2"/>
          <w:szCs w:val="22"/>
          <w14:ligatures w14:val="standardContextual"/>
        </w:rPr>
        <w:br/>
        <w:t>Biodiversity Policy Analyst</w:t>
      </w:r>
      <w:r w:rsidRPr="001D5473">
        <w:rPr>
          <w:rFonts w:asciiTheme="majorBidi" w:eastAsiaTheme="minorEastAsia" w:hAnsiTheme="majorBidi" w:cstheme="majorBidi"/>
          <w:kern w:val="2"/>
          <w:szCs w:val="22"/>
          <w14:ligatures w14:val="standardContextual"/>
        </w:rPr>
        <w:br/>
        <w:t>Climate, Biodiversity and Water Division, Environment Directorate</w:t>
      </w:r>
    </w:p>
    <w:p w14:paraId="7F70B6E2" w14:textId="2AE89BBE" w:rsidR="006425FD" w:rsidRPr="001D5473" w:rsidRDefault="006425FD" w:rsidP="001D5473">
      <w:pPr>
        <w:spacing w:after="160" w:line="259" w:lineRule="auto"/>
        <w:ind w:left="284"/>
        <w:jc w:val="left"/>
        <w:rPr>
          <w:rFonts w:asciiTheme="majorBidi" w:eastAsiaTheme="minorEastAsia" w:hAnsiTheme="majorBidi" w:cstheme="majorBidi"/>
          <w:kern w:val="2"/>
          <w:szCs w:val="22"/>
          <w:lang w:eastAsia="zh-CN"/>
          <w14:ligatures w14:val="standardContextual"/>
        </w:rPr>
      </w:pPr>
      <w:r w:rsidRPr="001D5473">
        <w:rPr>
          <w:rFonts w:asciiTheme="majorBidi" w:eastAsiaTheme="minorEastAsia" w:hAnsiTheme="majorBidi" w:cstheme="majorBidi"/>
          <w:kern w:val="2"/>
          <w:szCs w:val="22"/>
          <w14:ligatures w14:val="standardContextual"/>
        </w:rPr>
        <w:t>Juan Casado-Asensio</w:t>
      </w:r>
      <w:r w:rsidRPr="001D5473">
        <w:rPr>
          <w:rFonts w:asciiTheme="majorBidi" w:eastAsiaTheme="minorEastAsia" w:hAnsiTheme="majorBidi" w:cstheme="majorBidi"/>
          <w:kern w:val="2"/>
          <w:szCs w:val="22"/>
          <w14:ligatures w14:val="standardContextual"/>
        </w:rPr>
        <w:br/>
      </w:r>
      <w:r w:rsidRPr="001D5473">
        <w:rPr>
          <w:rFonts w:asciiTheme="majorBidi" w:eastAsiaTheme="minorEastAsia" w:hAnsiTheme="majorBidi" w:cstheme="majorBidi"/>
          <w:kern w:val="2"/>
          <w:szCs w:val="22"/>
          <w:lang w:eastAsia="zh-CN"/>
          <w14:ligatures w14:val="standardContextual"/>
        </w:rPr>
        <w:t xml:space="preserve">Policy Analyst </w:t>
      </w:r>
      <w:r w:rsidRPr="001D5473">
        <w:rPr>
          <w:rFonts w:asciiTheme="majorBidi" w:eastAsiaTheme="minorEastAsia" w:hAnsiTheme="majorBidi" w:cstheme="majorBidi"/>
          <w:kern w:val="2"/>
          <w:szCs w:val="22"/>
          <w14:ligatures w14:val="standardContextual"/>
        </w:rPr>
        <w:br/>
      </w:r>
      <w:r w:rsidRPr="001D5473">
        <w:rPr>
          <w:rFonts w:asciiTheme="majorBidi" w:eastAsiaTheme="minorEastAsia" w:hAnsiTheme="majorBidi" w:cstheme="majorBidi"/>
          <w:kern w:val="2"/>
          <w:szCs w:val="22"/>
          <w:lang w:eastAsia="zh-CN"/>
          <w14:ligatures w14:val="standardContextual"/>
        </w:rPr>
        <w:t>Development Co-operation Directorate</w:t>
      </w:r>
    </w:p>
    <w:p w14:paraId="22250BBE" w14:textId="61FE012D" w:rsidR="006425FD" w:rsidRPr="001D5473" w:rsidRDefault="00BE4998" w:rsidP="001D5473">
      <w:pPr>
        <w:spacing w:after="160" w:line="259" w:lineRule="auto"/>
        <w:jc w:val="left"/>
        <w:rPr>
          <w:rFonts w:asciiTheme="majorBidi" w:eastAsiaTheme="minorEastAsia" w:hAnsiTheme="majorBidi" w:cstheme="majorBidi"/>
          <w:b/>
          <w:bCs/>
          <w:kern w:val="2"/>
          <w:sz w:val="24"/>
          <w:lang w:eastAsia="zh-CN"/>
          <w14:ligatures w14:val="standardContextual"/>
        </w:rPr>
      </w:pPr>
      <w:r w:rsidRPr="001D5473">
        <w:rPr>
          <w:rFonts w:asciiTheme="majorBidi" w:eastAsiaTheme="minorEastAsia" w:hAnsiTheme="majorBidi" w:cstheme="majorBidi"/>
          <w:b/>
          <w:bCs/>
          <w:kern w:val="2"/>
          <w:sz w:val="24"/>
          <w:lang w:eastAsia="zh-CN"/>
          <w14:ligatures w14:val="standardContextual"/>
        </w:rPr>
        <w:t>Non-governmental organizations</w:t>
      </w:r>
    </w:p>
    <w:p w14:paraId="17FC0CCA" w14:textId="28E6241B" w:rsidR="006425FD" w:rsidRPr="001D5473" w:rsidRDefault="006425FD" w:rsidP="001D5473">
      <w:pPr>
        <w:spacing w:after="160" w:line="259" w:lineRule="auto"/>
        <w:ind w:left="284"/>
        <w:jc w:val="left"/>
        <w:rPr>
          <w:rFonts w:asciiTheme="majorBidi" w:eastAsiaTheme="minorEastAsia" w:hAnsiTheme="majorBidi" w:cstheme="majorBidi"/>
          <w:b/>
          <w:bCs/>
          <w:color w:val="000000"/>
          <w:kern w:val="2"/>
          <w:szCs w:val="22"/>
          <w14:ligatures w14:val="standardContextual"/>
        </w:rPr>
      </w:pPr>
      <w:r w:rsidRPr="001D5473">
        <w:rPr>
          <w:rFonts w:asciiTheme="majorBidi" w:eastAsiaTheme="minorEastAsia" w:hAnsiTheme="majorBidi" w:cstheme="majorBidi"/>
          <w:b/>
          <w:bCs/>
          <w:color w:val="000000"/>
          <w:kern w:val="2"/>
          <w:szCs w:val="22"/>
          <w14:ligatures w14:val="standardContextual"/>
        </w:rPr>
        <w:t>Campaign for Nature</w:t>
      </w:r>
      <w:r w:rsidR="00FB3701" w:rsidRPr="001D5473">
        <w:rPr>
          <w:rFonts w:asciiTheme="majorBidi" w:eastAsiaTheme="minorEastAsia" w:hAnsiTheme="majorBidi" w:cstheme="majorBidi"/>
          <w:b/>
          <w:bCs/>
          <w:color w:val="000000"/>
          <w:kern w:val="2"/>
          <w:szCs w:val="22"/>
          <w14:ligatures w14:val="standardContextual"/>
        </w:rPr>
        <w:br/>
      </w:r>
      <w:r w:rsidRPr="001D5473">
        <w:rPr>
          <w:rFonts w:asciiTheme="majorBidi" w:eastAsiaTheme="minorEastAsia" w:hAnsiTheme="majorBidi" w:cstheme="majorBidi"/>
          <w:color w:val="000000"/>
          <w:kern w:val="2"/>
          <w:szCs w:val="22"/>
          <w14:ligatures w14:val="standardContextual"/>
        </w:rPr>
        <w:t>Mark Opel</w:t>
      </w:r>
      <w:r w:rsidRPr="001D5473">
        <w:rPr>
          <w:rFonts w:asciiTheme="majorBidi" w:eastAsiaTheme="minorEastAsia" w:hAnsiTheme="majorBidi" w:cstheme="majorBidi"/>
          <w:color w:val="000000"/>
          <w:kern w:val="2"/>
          <w:szCs w:val="22"/>
          <w14:ligatures w14:val="standardContextual"/>
        </w:rPr>
        <w:br/>
        <w:t>Finance Lead</w:t>
      </w:r>
      <w:r w:rsidRPr="001D5473">
        <w:rPr>
          <w:rFonts w:asciiTheme="majorBidi" w:eastAsiaTheme="minorEastAsia" w:hAnsiTheme="majorBidi" w:cstheme="majorBidi"/>
          <w:color w:val="000000"/>
          <w:kern w:val="2"/>
          <w:szCs w:val="22"/>
          <w14:ligatures w14:val="standardContextual"/>
        </w:rPr>
        <w:br/>
        <w:t>Boulder, United States of America</w:t>
      </w:r>
    </w:p>
    <w:p w14:paraId="74857A2C" w14:textId="1B0305E6" w:rsidR="00ED6BE5" w:rsidRPr="001D5473" w:rsidRDefault="006425FD" w:rsidP="00ED6BE5">
      <w:pPr>
        <w:spacing w:before="120" w:after="160" w:line="259" w:lineRule="auto"/>
        <w:ind w:left="284"/>
        <w:jc w:val="left"/>
        <w:rPr>
          <w:rFonts w:asciiTheme="majorBidi" w:eastAsiaTheme="minorEastAsia" w:hAnsiTheme="majorBidi" w:cstheme="majorBidi"/>
          <w:b/>
          <w:bCs/>
          <w:color w:val="000000"/>
          <w:kern w:val="2"/>
          <w:szCs w:val="22"/>
          <w14:ligatures w14:val="standardContextual"/>
        </w:rPr>
      </w:pPr>
      <w:r w:rsidRPr="001D5473">
        <w:rPr>
          <w:rFonts w:asciiTheme="majorBidi" w:eastAsiaTheme="minorEastAsia" w:hAnsiTheme="majorBidi" w:cstheme="majorBidi"/>
          <w:b/>
          <w:bCs/>
          <w:color w:val="000000"/>
          <w:kern w:val="2"/>
          <w:szCs w:val="22"/>
          <w14:ligatures w14:val="standardContextual"/>
        </w:rPr>
        <w:t xml:space="preserve">Fundación </w:t>
      </w:r>
      <w:proofErr w:type="spellStart"/>
      <w:r w:rsidRPr="001D5473">
        <w:rPr>
          <w:rFonts w:asciiTheme="majorBidi" w:eastAsiaTheme="minorEastAsia" w:hAnsiTheme="majorBidi" w:cstheme="majorBidi"/>
          <w:b/>
          <w:bCs/>
          <w:color w:val="000000"/>
          <w:kern w:val="2"/>
          <w:szCs w:val="22"/>
          <w14:ligatures w14:val="standardContextual"/>
        </w:rPr>
        <w:t>Ambiente</w:t>
      </w:r>
      <w:proofErr w:type="spellEnd"/>
      <w:r w:rsidRPr="001D5473">
        <w:rPr>
          <w:rFonts w:asciiTheme="majorBidi" w:eastAsiaTheme="minorEastAsia" w:hAnsiTheme="majorBidi" w:cstheme="majorBidi"/>
          <w:b/>
          <w:bCs/>
          <w:color w:val="000000"/>
          <w:kern w:val="2"/>
          <w:szCs w:val="22"/>
          <w14:ligatures w14:val="standardContextual"/>
        </w:rPr>
        <w:t xml:space="preserve"> y </w:t>
      </w:r>
      <w:proofErr w:type="spellStart"/>
      <w:r w:rsidRPr="001D5473">
        <w:rPr>
          <w:rFonts w:asciiTheme="majorBidi" w:eastAsiaTheme="minorEastAsia" w:hAnsiTheme="majorBidi" w:cstheme="majorBidi"/>
          <w:b/>
          <w:bCs/>
          <w:color w:val="000000"/>
          <w:kern w:val="2"/>
          <w:szCs w:val="22"/>
          <w14:ligatures w14:val="standardContextual"/>
        </w:rPr>
        <w:t>Recursos</w:t>
      </w:r>
      <w:proofErr w:type="spellEnd"/>
      <w:r w:rsidRPr="001D5473">
        <w:rPr>
          <w:rFonts w:asciiTheme="majorBidi" w:eastAsiaTheme="minorEastAsia" w:hAnsiTheme="majorBidi" w:cstheme="majorBidi"/>
          <w:b/>
          <w:bCs/>
          <w:color w:val="000000"/>
          <w:kern w:val="2"/>
          <w:szCs w:val="22"/>
          <w14:ligatures w14:val="standardContextual"/>
        </w:rPr>
        <w:t xml:space="preserve"> Naturales</w:t>
      </w:r>
      <w:r w:rsidR="00FB3701" w:rsidRPr="001D5473">
        <w:rPr>
          <w:rFonts w:asciiTheme="majorBidi" w:eastAsiaTheme="minorEastAsia" w:hAnsiTheme="majorBidi" w:cstheme="majorBidi"/>
          <w:b/>
          <w:bCs/>
          <w:color w:val="000000"/>
          <w:kern w:val="2"/>
          <w:szCs w:val="22"/>
          <w14:ligatures w14:val="standardContextual"/>
        </w:rPr>
        <w:br/>
      </w:r>
      <w:r w:rsidRPr="001D5473">
        <w:rPr>
          <w:rFonts w:asciiTheme="majorBidi" w:eastAsiaTheme="minorEastAsia" w:hAnsiTheme="majorBidi" w:cstheme="majorBidi"/>
          <w:kern w:val="2"/>
          <w:szCs w:val="22"/>
          <w:lang w:eastAsia="zh-CN"/>
          <w14:ligatures w14:val="standardContextual"/>
        </w:rPr>
        <w:t>Cathy Yitong Li</w:t>
      </w:r>
      <w:r w:rsidRPr="001D5473">
        <w:rPr>
          <w:rFonts w:asciiTheme="majorBidi" w:eastAsiaTheme="minorEastAsia" w:hAnsiTheme="majorBidi" w:cstheme="majorBidi"/>
          <w:kern w:val="2"/>
          <w:szCs w:val="22"/>
          <w:lang w:eastAsia="zh-CN"/>
          <w14:ligatures w14:val="standardContextual"/>
        </w:rPr>
        <w:br/>
        <w:t>Sustainable Finance Consultant</w:t>
      </w:r>
      <w:r w:rsidRPr="001D5473">
        <w:rPr>
          <w:rFonts w:asciiTheme="majorBidi" w:eastAsiaTheme="minorEastAsia" w:hAnsiTheme="majorBidi" w:cstheme="majorBidi"/>
          <w:kern w:val="2"/>
          <w:szCs w:val="22"/>
          <w:lang w:eastAsia="zh-CN"/>
          <w14:ligatures w14:val="standardContextual"/>
        </w:rPr>
        <w:br/>
        <w:t>London, United Kingdom of Great Britain and Northern Irland</w:t>
      </w:r>
    </w:p>
    <w:p w14:paraId="5C7EEB05" w14:textId="2309EE5E" w:rsidR="006425FD" w:rsidRPr="001D5473" w:rsidRDefault="006425FD" w:rsidP="001D5473">
      <w:pPr>
        <w:spacing w:before="120" w:after="160" w:line="259" w:lineRule="auto"/>
        <w:ind w:left="284"/>
        <w:jc w:val="left"/>
        <w:rPr>
          <w:rFonts w:asciiTheme="majorBidi" w:eastAsiaTheme="minorEastAsia" w:hAnsiTheme="majorBidi" w:cstheme="majorBidi"/>
          <w:b/>
          <w:bCs/>
          <w:kern w:val="2"/>
          <w:szCs w:val="22"/>
          <w:lang w:eastAsia="zh-CN"/>
          <w14:ligatures w14:val="standardContextual"/>
        </w:rPr>
      </w:pPr>
      <w:r w:rsidRPr="001D5473">
        <w:rPr>
          <w:rFonts w:asciiTheme="majorBidi" w:eastAsiaTheme="minorEastAsia" w:hAnsiTheme="majorBidi" w:cstheme="majorBidi"/>
          <w:b/>
          <w:bCs/>
          <w:color w:val="000000"/>
          <w:kern w:val="2"/>
          <w:szCs w:val="22"/>
          <w14:ligatures w14:val="standardContextual"/>
        </w:rPr>
        <w:lastRenderedPageBreak/>
        <w:t>World Benchmarking Alliance</w:t>
      </w:r>
      <w:r w:rsidR="00FB3701" w:rsidRPr="001D5473">
        <w:rPr>
          <w:rFonts w:asciiTheme="majorBidi" w:eastAsiaTheme="minorEastAsia" w:hAnsiTheme="majorBidi" w:cstheme="majorBidi"/>
          <w:b/>
          <w:bCs/>
          <w:color w:val="000000"/>
          <w:kern w:val="2"/>
          <w:szCs w:val="22"/>
          <w14:ligatures w14:val="standardContextual"/>
        </w:rPr>
        <w:br/>
      </w:r>
      <w:r w:rsidRPr="001D5473">
        <w:rPr>
          <w:rFonts w:asciiTheme="majorBidi" w:eastAsiaTheme="minorEastAsia" w:hAnsiTheme="majorBidi" w:cstheme="majorBidi"/>
          <w:kern w:val="2"/>
          <w:szCs w:val="22"/>
          <w14:ligatures w14:val="standardContextual"/>
        </w:rPr>
        <w:t xml:space="preserve">Nicolas </w:t>
      </w:r>
      <w:proofErr w:type="spellStart"/>
      <w:r w:rsidRPr="001D5473">
        <w:rPr>
          <w:rFonts w:asciiTheme="majorBidi" w:eastAsiaTheme="minorEastAsia" w:hAnsiTheme="majorBidi" w:cstheme="majorBidi"/>
          <w:kern w:val="2"/>
          <w:szCs w:val="22"/>
          <w14:ligatures w14:val="standardContextual"/>
        </w:rPr>
        <w:t>Sauviat</w:t>
      </w:r>
      <w:proofErr w:type="spellEnd"/>
      <w:r w:rsidRPr="001D5473">
        <w:rPr>
          <w:rFonts w:asciiTheme="majorBidi" w:eastAsiaTheme="minorEastAsia" w:hAnsiTheme="majorBidi" w:cstheme="majorBidi"/>
          <w:kern w:val="2"/>
          <w:szCs w:val="22"/>
          <w14:ligatures w14:val="standardContextual"/>
        </w:rPr>
        <w:br/>
        <w:t>Senior Researcher</w:t>
      </w:r>
      <w:r w:rsidRPr="001D5473">
        <w:rPr>
          <w:rFonts w:asciiTheme="majorBidi" w:eastAsiaTheme="minorEastAsia" w:hAnsiTheme="majorBidi" w:cstheme="majorBidi"/>
          <w:kern w:val="2"/>
          <w:szCs w:val="22"/>
          <w14:ligatures w14:val="standardContextual"/>
        </w:rPr>
        <w:br/>
        <w:t xml:space="preserve">Amsterdam, Kingdom of the Netherlands </w:t>
      </w:r>
    </w:p>
    <w:p w14:paraId="6BA5C30E" w14:textId="595F95F7" w:rsidR="00FB3701" w:rsidRPr="001D5473" w:rsidRDefault="00BE4998" w:rsidP="001D5473">
      <w:pPr>
        <w:keepNext/>
        <w:spacing w:after="160" w:line="259" w:lineRule="auto"/>
        <w:jc w:val="left"/>
        <w:rPr>
          <w:rFonts w:asciiTheme="majorBidi" w:eastAsiaTheme="minorEastAsia" w:hAnsiTheme="majorBidi" w:cstheme="majorBidi"/>
          <w:b/>
          <w:bCs/>
          <w:kern w:val="2"/>
          <w:szCs w:val="22"/>
          <w:u w:val="single"/>
          <w:lang w:eastAsia="zh-CN"/>
          <w14:ligatures w14:val="standardContextual"/>
        </w:rPr>
      </w:pPr>
      <w:r w:rsidRPr="001D5473">
        <w:rPr>
          <w:rFonts w:asciiTheme="majorBidi" w:eastAsiaTheme="minorEastAsia" w:hAnsiTheme="majorBidi" w:cstheme="majorBidi"/>
          <w:b/>
          <w:bCs/>
          <w:kern w:val="2"/>
          <w:sz w:val="24"/>
          <w:lang w:eastAsia="zh-CN"/>
          <w14:ligatures w14:val="standardContextual"/>
        </w:rPr>
        <w:t>Indigenous people and local community organizations</w:t>
      </w:r>
    </w:p>
    <w:p w14:paraId="18703A25" w14:textId="64F6F5DC" w:rsidR="006425FD" w:rsidRPr="001D5473" w:rsidRDefault="006425FD" w:rsidP="001D5473">
      <w:pPr>
        <w:spacing w:after="160" w:line="259" w:lineRule="auto"/>
        <w:ind w:left="284"/>
        <w:jc w:val="left"/>
        <w:rPr>
          <w:rFonts w:asciiTheme="majorBidi" w:eastAsiaTheme="minorEastAsia" w:hAnsiTheme="majorBidi" w:cstheme="majorBidi"/>
          <w:b/>
          <w:bCs/>
          <w:color w:val="000000"/>
          <w:kern w:val="2"/>
          <w:szCs w:val="22"/>
          <w14:ligatures w14:val="standardContextual"/>
        </w:rPr>
      </w:pPr>
      <w:proofErr w:type="spellStart"/>
      <w:r w:rsidRPr="001D5473">
        <w:rPr>
          <w:rFonts w:asciiTheme="majorBidi" w:eastAsiaTheme="minorEastAsia" w:hAnsiTheme="majorBidi" w:cstheme="majorBidi"/>
          <w:b/>
          <w:bCs/>
          <w:color w:val="000000"/>
          <w:kern w:val="2"/>
          <w:szCs w:val="22"/>
          <w14:ligatures w14:val="standardContextual"/>
        </w:rPr>
        <w:t>Ogiek</w:t>
      </w:r>
      <w:proofErr w:type="spellEnd"/>
      <w:r w:rsidRPr="001D5473">
        <w:rPr>
          <w:rFonts w:asciiTheme="majorBidi" w:eastAsiaTheme="minorEastAsia" w:hAnsiTheme="majorBidi" w:cstheme="majorBidi"/>
          <w:b/>
          <w:bCs/>
          <w:color w:val="000000"/>
          <w:kern w:val="2"/>
          <w:szCs w:val="22"/>
          <w14:ligatures w14:val="standardContextual"/>
        </w:rPr>
        <w:t xml:space="preserve"> Peoples</w:t>
      </w:r>
      <w:r w:rsidR="00803633" w:rsidRPr="001D5473">
        <w:rPr>
          <w:rFonts w:asciiTheme="majorBidi" w:eastAsiaTheme="minorEastAsia" w:hAnsiTheme="majorBidi" w:cstheme="majorBidi"/>
          <w:b/>
          <w:bCs/>
          <w:color w:val="000000"/>
          <w:kern w:val="2"/>
          <w:szCs w:val="22"/>
          <w14:ligatures w14:val="standardContextual"/>
        </w:rPr>
        <w:t>’</w:t>
      </w:r>
      <w:r w:rsidRPr="001D5473">
        <w:rPr>
          <w:rFonts w:asciiTheme="majorBidi" w:eastAsiaTheme="minorEastAsia" w:hAnsiTheme="majorBidi" w:cstheme="majorBidi"/>
          <w:b/>
          <w:bCs/>
          <w:color w:val="000000"/>
          <w:kern w:val="2"/>
          <w:szCs w:val="22"/>
          <w14:ligatures w14:val="standardContextual"/>
        </w:rPr>
        <w:t xml:space="preserve"> Development Program</w:t>
      </w:r>
      <w:r w:rsidRPr="001D5473">
        <w:rPr>
          <w:rFonts w:asciiTheme="majorBidi" w:eastAsiaTheme="minorEastAsia" w:hAnsiTheme="majorBidi" w:cstheme="majorBidi"/>
          <w:b/>
          <w:bCs/>
          <w:color w:val="000000"/>
          <w:kern w:val="2"/>
          <w:szCs w:val="22"/>
          <w14:ligatures w14:val="standardContextual"/>
        </w:rPr>
        <w:br/>
      </w:r>
      <w:r w:rsidRPr="001D5473">
        <w:rPr>
          <w:rFonts w:asciiTheme="majorBidi" w:eastAsiaTheme="minorEastAsia" w:hAnsiTheme="majorBidi" w:cstheme="majorBidi"/>
          <w:kern w:val="2"/>
          <w:szCs w:val="22"/>
          <w14:ligatures w14:val="standardContextual"/>
        </w:rPr>
        <w:t xml:space="preserve">Daniel </w:t>
      </w:r>
      <w:proofErr w:type="spellStart"/>
      <w:r w:rsidRPr="001D5473">
        <w:rPr>
          <w:rFonts w:asciiTheme="majorBidi" w:eastAsiaTheme="minorEastAsia" w:hAnsiTheme="majorBidi" w:cstheme="majorBidi"/>
          <w:kern w:val="2"/>
          <w:szCs w:val="22"/>
          <w14:ligatures w14:val="standardContextual"/>
        </w:rPr>
        <w:t>Mpoiko</w:t>
      </w:r>
      <w:proofErr w:type="spellEnd"/>
      <w:r w:rsidRPr="001D5473">
        <w:rPr>
          <w:rFonts w:asciiTheme="majorBidi" w:eastAsiaTheme="minorEastAsia" w:hAnsiTheme="majorBidi" w:cstheme="majorBidi"/>
          <w:kern w:val="2"/>
          <w:szCs w:val="22"/>
          <w14:ligatures w14:val="standardContextual"/>
        </w:rPr>
        <w:t xml:space="preserve"> Kobei</w:t>
      </w:r>
      <w:r w:rsidRPr="001D5473">
        <w:rPr>
          <w:rFonts w:asciiTheme="majorBidi" w:eastAsiaTheme="minorEastAsia" w:hAnsiTheme="majorBidi" w:cstheme="majorBidi"/>
          <w:kern w:val="2"/>
          <w:szCs w:val="22"/>
          <w14:ligatures w14:val="standardContextual"/>
        </w:rPr>
        <w:br/>
        <w:t xml:space="preserve">Executive Director </w:t>
      </w:r>
      <w:r w:rsidRPr="001D5473">
        <w:rPr>
          <w:rFonts w:asciiTheme="majorBidi" w:eastAsiaTheme="minorEastAsia" w:hAnsiTheme="majorBidi" w:cstheme="majorBidi"/>
          <w:kern w:val="2"/>
          <w:szCs w:val="22"/>
          <w14:ligatures w14:val="standardContextual"/>
        </w:rPr>
        <w:br/>
        <w:t>Egerton, Kenya</w:t>
      </w:r>
    </w:p>
    <w:p w14:paraId="7D695C69" w14:textId="1BB9054D" w:rsidR="006425FD" w:rsidRPr="001D5473" w:rsidRDefault="00BE4998" w:rsidP="001D5473">
      <w:pPr>
        <w:spacing w:after="160" w:line="259" w:lineRule="auto"/>
        <w:jc w:val="left"/>
        <w:rPr>
          <w:rFonts w:asciiTheme="majorBidi" w:eastAsiaTheme="minorEastAsia" w:hAnsiTheme="majorBidi" w:cstheme="majorBidi"/>
          <w:b/>
          <w:bCs/>
          <w:kern w:val="2"/>
          <w:sz w:val="24"/>
          <w:lang w:eastAsia="zh-CN"/>
          <w14:ligatures w14:val="standardContextual"/>
        </w:rPr>
      </w:pPr>
      <w:r w:rsidRPr="001D5473">
        <w:rPr>
          <w:rFonts w:asciiTheme="majorBidi" w:eastAsiaTheme="minorEastAsia" w:hAnsiTheme="majorBidi" w:cstheme="majorBidi"/>
          <w:b/>
          <w:bCs/>
          <w:kern w:val="2"/>
          <w:sz w:val="24"/>
          <w:lang w:eastAsia="zh-CN"/>
          <w14:ligatures w14:val="standardContextual"/>
        </w:rPr>
        <w:t>Academic</w:t>
      </w:r>
      <w:r w:rsidR="00A13790" w:rsidRPr="001D5473">
        <w:rPr>
          <w:rFonts w:asciiTheme="majorBidi" w:eastAsiaTheme="minorEastAsia" w:hAnsiTheme="majorBidi" w:cstheme="majorBidi"/>
          <w:b/>
          <w:bCs/>
          <w:kern w:val="2"/>
          <w:sz w:val="24"/>
          <w:lang w:eastAsia="zh-CN"/>
          <w14:ligatures w14:val="standardContextual"/>
        </w:rPr>
        <w:t>s</w:t>
      </w:r>
      <w:r w:rsidRPr="001D5473">
        <w:rPr>
          <w:rFonts w:asciiTheme="majorBidi" w:eastAsiaTheme="minorEastAsia" w:hAnsiTheme="majorBidi" w:cstheme="majorBidi"/>
          <w:b/>
          <w:bCs/>
          <w:kern w:val="2"/>
          <w:sz w:val="24"/>
          <w:lang w:eastAsia="zh-CN"/>
          <w14:ligatures w14:val="standardContextual"/>
        </w:rPr>
        <w:t>/research</w:t>
      </w:r>
      <w:r w:rsidR="00A13790" w:rsidRPr="001D5473">
        <w:rPr>
          <w:rFonts w:asciiTheme="majorBidi" w:eastAsiaTheme="minorEastAsia" w:hAnsiTheme="majorBidi" w:cstheme="majorBidi"/>
          <w:b/>
          <w:bCs/>
          <w:kern w:val="2"/>
          <w:sz w:val="24"/>
          <w:lang w:eastAsia="zh-CN"/>
          <w14:ligatures w14:val="standardContextual"/>
        </w:rPr>
        <w:t xml:space="preserve"> entities</w:t>
      </w:r>
    </w:p>
    <w:p w14:paraId="1DC7081E" w14:textId="42DFC864" w:rsidR="006425FD" w:rsidRPr="001D5473" w:rsidRDefault="006425FD" w:rsidP="001D5473">
      <w:pPr>
        <w:spacing w:after="160" w:line="259" w:lineRule="auto"/>
        <w:ind w:left="284"/>
        <w:jc w:val="left"/>
        <w:rPr>
          <w:rFonts w:asciiTheme="majorBidi" w:eastAsiaTheme="minorEastAsia" w:hAnsiTheme="majorBidi" w:cstheme="majorBidi"/>
          <w:kern w:val="2"/>
          <w:szCs w:val="22"/>
          <w14:ligatures w14:val="standardContextual"/>
        </w:rPr>
      </w:pPr>
      <w:r w:rsidRPr="001D5473">
        <w:rPr>
          <w:rFonts w:asciiTheme="majorBidi" w:eastAsiaTheme="minorEastAsia" w:hAnsiTheme="majorBidi" w:cstheme="majorBidi"/>
          <w:b/>
          <w:bCs/>
          <w:color w:val="000000"/>
          <w:kern w:val="2"/>
          <w:szCs w:val="22"/>
          <w14:ligatures w14:val="standardContextual"/>
        </w:rPr>
        <w:t>Cornell University</w:t>
      </w:r>
      <w:r w:rsidRPr="001D5473">
        <w:rPr>
          <w:rFonts w:asciiTheme="majorBidi" w:eastAsiaTheme="minorEastAsia" w:hAnsiTheme="majorBidi" w:cstheme="majorBidi"/>
          <w:b/>
          <w:bCs/>
          <w:color w:val="000000"/>
          <w:kern w:val="2"/>
          <w:szCs w:val="22"/>
          <w14:ligatures w14:val="standardContextual"/>
        </w:rPr>
        <w:br/>
      </w:r>
      <w:r w:rsidRPr="001D5473">
        <w:rPr>
          <w:rFonts w:asciiTheme="majorBidi" w:eastAsiaTheme="minorEastAsia" w:hAnsiTheme="majorBidi" w:cstheme="majorBidi"/>
          <w:kern w:val="2"/>
          <w:szCs w:val="22"/>
          <w14:ligatures w14:val="standardContextual"/>
        </w:rPr>
        <w:t>John Tobin-de la Puente</w:t>
      </w:r>
      <w:r w:rsidRPr="001D5473">
        <w:rPr>
          <w:rFonts w:asciiTheme="majorBidi" w:eastAsiaTheme="minorEastAsia" w:hAnsiTheme="majorBidi" w:cstheme="majorBidi"/>
          <w:kern w:val="2"/>
          <w:szCs w:val="22"/>
          <w14:ligatures w14:val="standardContextual"/>
        </w:rPr>
        <w:br/>
        <w:t>Professor of Practice of Corporate Sustainability</w:t>
      </w:r>
      <w:r w:rsidRPr="001D5473">
        <w:rPr>
          <w:rFonts w:asciiTheme="majorBidi" w:eastAsiaTheme="minorEastAsia" w:hAnsiTheme="majorBidi" w:cstheme="majorBidi"/>
          <w:kern w:val="2"/>
          <w:szCs w:val="22"/>
          <w14:ligatures w14:val="standardContextual"/>
        </w:rPr>
        <w:br/>
        <w:t xml:space="preserve">Academic Director, Cornell CEMS MPS/MIM Program </w:t>
      </w:r>
      <w:r w:rsidRPr="001D5473">
        <w:rPr>
          <w:rFonts w:asciiTheme="majorBidi" w:eastAsiaTheme="minorEastAsia" w:hAnsiTheme="majorBidi" w:cstheme="majorBidi"/>
          <w:kern w:val="2"/>
          <w:szCs w:val="22"/>
          <w14:ligatures w14:val="standardContextual"/>
        </w:rPr>
        <w:br/>
        <w:t>Director, Grand Challenges Program</w:t>
      </w:r>
      <w:r w:rsidRPr="001D5473">
        <w:rPr>
          <w:rFonts w:asciiTheme="majorBidi" w:eastAsiaTheme="minorEastAsia" w:hAnsiTheme="majorBidi" w:cstheme="majorBidi"/>
          <w:kern w:val="2"/>
          <w:szCs w:val="22"/>
          <w14:ligatures w14:val="standardContextual"/>
        </w:rPr>
        <w:br/>
        <w:t>Founding Co-Director, Initiative on Responsible Finance</w:t>
      </w:r>
      <w:r w:rsidRPr="001D5473">
        <w:rPr>
          <w:rFonts w:asciiTheme="majorBidi" w:eastAsiaTheme="minorEastAsia" w:hAnsiTheme="majorBidi" w:cstheme="majorBidi"/>
          <w:kern w:val="2"/>
          <w:szCs w:val="22"/>
          <w14:ligatures w14:val="standardContextual"/>
        </w:rPr>
        <w:br/>
        <w:t xml:space="preserve">Senior Faculty Fellow, Cornell Atkinson </w:t>
      </w:r>
      <w:proofErr w:type="spellStart"/>
      <w:r w:rsidRPr="001D5473">
        <w:rPr>
          <w:rFonts w:asciiTheme="majorBidi" w:eastAsiaTheme="minorEastAsia" w:hAnsiTheme="majorBidi" w:cstheme="majorBidi"/>
          <w:kern w:val="2"/>
          <w:szCs w:val="22"/>
          <w14:ligatures w14:val="standardContextual"/>
        </w:rPr>
        <w:t>Center</w:t>
      </w:r>
      <w:proofErr w:type="spellEnd"/>
      <w:r w:rsidRPr="001D5473">
        <w:rPr>
          <w:rFonts w:asciiTheme="majorBidi" w:eastAsiaTheme="minorEastAsia" w:hAnsiTheme="majorBidi" w:cstheme="majorBidi"/>
          <w:kern w:val="2"/>
          <w:szCs w:val="22"/>
          <w14:ligatures w14:val="standardContextual"/>
        </w:rPr>
        <w:t xml:space="preserve"> for Sustainability</w:t>
      </w:r>
      <w:r w:rsidRPr="001D5473">
        <w:rPr>
          <w:rFonts w:asciiTheme="majorBidi" w:eastAsiaTheme="minorEastAsia" w:hAnsiTheme="majorBidi" w:cstheme="majorBidi"/>
          <w:kern w:val="2"/>
          <w:szCs w:val="22"/>
          <w14:ligatures w14:val="standardContextual"/>
        </w:rPr>
        <w:br/>
        <w:t>The Charles H. Dyson School of Applied Economics and Management</w:t>
      </w:r>
      <w:r w:rsidRPr="001D5473">
        <w:rPr>
          <w:rFonts w:asciiTheme="majorBidi" w:eastAsiaTheme="minorEastAsia" w:hAnsiTheme="majorBidi" w:cstheme="majorBidi"/>
          <w:kern w:val="2"/>
          <w:szCs w:val="22"/>
          <w14:ligatures w14:val="standardContextual"/>
        </w:rPr>
        <w:br/>
        <w:t>Cornell S.C. Johnson College of Business, College of Agriculture and Life Sciences</w:t>
      </w:r>
      <w:r w:rsidRPr="001D5473">
        <w:rPr>
          <w:rFonts w:asciiTheme="majorBidi" w:eastAsiaTheme="minorEastAsia" w:hAnsiTheme="majorBidi" w:cstheme="majorBidi"/>
          <w:kern w:val="2"/>
          <w:szCs w:val="22"/>
          <w14:ligatures w14:val="standardContextual"/>
        </w:rPr>
        <w:br/>
        <w:t>Cornell University</w:t>
      </w:r>
      <w:r w:rsidRPr="001D5473">
        <w:rPr>
          <w:rFonts w:asciiTheme="majorBidi" w:eastAsiaTheme="minorEastAsia" w:hAnsiTheme="majorBidi" w:cstheme="majorBidi"/>
          <w:kern w:val="2"/>
          <w:szCs w:val="22"/>
          <w14:ligatures w14:val="standardContextual"/>
        </w:rPr>
        <w:br/>
        <w:t>New York, United States</w:t>
      </w:r>
    </w:p>
    <w:p w14:paraId="4A74A9B5" w14:textId="6BBEC0A2" w:rsidR="006425FD" w:rsidRPr="001D5473" w:rsidRDefault="00532002" w:rsidP="001D5473">
      <w:pPr>
        <w:spacing w:after="160" w:line="259" w:lineRule="auto"/>
        <w:jc w:val="left"/>
        <w:rPr>
          <w:rFonts w:asciiTheme="majorBidi" w:eastAsiaTheme="minorEastAsia" w:hAnsiTheme="majorBidi" w:cstheme="majorBidi"/>
          <w:b/>
          <w:bCs/>
          <w:kern w:val="2"/>
          <w:sz w:val="24"/>
          <w:lang w:eastAsia="zh-CN"/>
          <w14:ligatures w14:val="standardContextual"/>
        </w:rPr>
      </w:pPr>
      <w:r w:rsidRPr="001D5473">
        <w:rPr>
          <w:rFonts w:asciiTheme="majorBidi" w:eastAsiaTheme="minorEastAsia" w:hAnsiTheme="majorBidi" w:cstheme="majorBidi"/>
          <w:b/>
          <w:bCs/>
          <w:kern w:val="2"/>
          <w:sz w:val="24"/>
          <w:lang w:eastAsia="zh-CN"/>
          <w14:ligatures w14:val="standardContextual"/>
        </w:rPr>
        <w:t>Youth</w:t>
      </w:r>
      <w:r w:rsidR="006616C4" w:rsidRPr="001D5473">
        <w:rPr>
          <w:rFonts w:asciiTheme="majorBidi" w:eastAsiaTheme="minorEastAsia" w:hAnsiTheme="majorBidi" w:cstheme="majorBidi"/>
          <w:b/>
          <w:bCs/>
          <w:kern w:val="2"/>
          <w:sz w:val="24"/>
          <w:lang w:eastAsia="zh-CN"/>
          <w14:ligatures w14:val="standardContextual"/>
        </w:rPr>
        <w:t xml:space="preserve"> organizations</w:t>
      </w:r>
    </w:p>
    <w:p w14:paraId="6CB7F676" w14:textId="3E692828" w:rsidR="00FB3701" w:rsidRPr="001D5473" w:rsidRDefault="006425FD" w:rsidP="001D5473">
      <w:pPr>
        <w:spacing w:after="160" w:line="259" w:lineRule="auto"/>
        <w:ind w:left="284"/>
        <w:jc w:val="left"/>
        <w:rPr>
          <w:rFonts w:asciiTheme="majorBidi" w:eastAsiaTheme="minorEastAsia" w:hAnsiTheme="majorBidi" w:cstheme="majorBidi"/>
          <w:b/>
          <w:bCs/>
          <w:color w:val="000000"/>
          <w:kern w:val="2"/>
          <w:szCs w:val="22"/>
          <w14:ligatures w14:val="standardContextual"/>
        </w:rPr>
      </w:pPr>
      <w:r w:rsidRPr="001D5473">
        <w:rPr>
          <w:rFonts w:asciiTheme="majorBidi" w:eastAsiaTheme="minorEastAsia" w:hAnsiTheme="majorBidi" w:cstheme="majorBidi"/>
          <w:b/>
          <w:bCs/>
          <w:color w:val="000000"/>
          <w:kern w:val="2"/>
          <w:szCs w:val="22"/>
          <w14:ligatures w14:val="standardContextual"/>
        </w:rPr>
        <w:t>Global Youth Biodiversity Network</w:t>
      </w:r>
      <w:r w:rsidR="00FB3701" w:rsidRPr="001D5473">
        <w:rPr>
          <w:rFonts w:asciiTheme="majorBidi" w:eastAsiaTheme="minorEastAsia" w:hAnsiTheme="majorBidi" w:cstheme="majorBidi"/>
          <w:b/>
          <w:bCs/>
          <w:color w:val="000000"/>
          <w:kern w:val="2"/>
          <w:szCs w:val="22"/>
          <w14:ligatures w14:val="standardContextual"/>
        </w:rPr>
        <w:br/>
      </w:r>
      <w:r w:rsidRPr="001D5473">
        <w:rPr>
          <w:rFonts w:asciiTheme="majorBidi" w:eastAsiaTheme="minorEastAsia" w:hAnsiTheme="majorBidi" w:cstheme="majorBidi"/>
          <w:kern w:val="2"/>
          <w:szCs w:val="22"/>
          <w:lang w:eastAsia="zh-CN"/>
          <w14:ligatures w14:val="standardContextual"/>
        </w:rPr>
        <w:t>Ronja Fischer</w:t>
      </w:r>
      <w:r w:rsidRPr="001D5473">
        <w:rPr>
          <w:rFonts w:asciiTheme="majorBidi" w:eastAsiaTheme="minorEastAsia" w:hAnsiTheme="majorBidi" w:cstheme="majorBidi"/>
          <w:kern w:val="2"/>
          <w:szCs w:val="22"/>
          <w:lang w:eastAsia="zh-CN"/>
          <w14:ligatures w14:val="standardContextual"/>
        </w:rPr>
        <w:br/>
        <w:t>Biodiversity Finance Initiative</w:t>
      </w:r>
      <w:r w:rsidRPr="001D5473">
        <w:rPr>
          <w:rFonts w:asciiTheme="majorBidi" w:eastAsiaTheme="minorEastAsia" w:hAnsiTheme="majorBidi" w:cstheme="majorBidi"/>
          <w:kern w:val="2"/>
          <w:szCs w:val="22"/>
          <w:lang w:eastAsia="zh-CN"/>
          <w14:ligatures w14:val="standardContextual"/>
        </w:rPr>
        <w:br/>
        <w:t xml:space="preserve">United Nations Development Programme </w:t>
      </w:r>
      <w:r w:rsidRPr="001D5473">
        <w:rPr>
          <w:rFonts w:asciiTheme="majorBidi" w:eastAsiaTheme="minorEastAsia" w:hAnsiTheme="majorBidi" w:cstheme="majorBidi"/>
          <w:kern w:val="2"/>
          <w:szCs w:val="22"/>
          <w:lang w:eastAsia="zh-CN"/>
          <w14:ligatures w14:val="standardContextual"/>
        </w:rPr>
        <w:br/>
        <w:t>Global Youth Biodiversity Network</w:t>
      </w:r>
      <w:r w:rsidRPr="001D5473">
        <w:rPr>
          <w:rFonts w:asciiTheme="majorBidi" w:eastAsiaTheme="minorEastAsia" w:hAnsiTheme="majorBidi" w:cstheme="majorBidi"/>
          <w:kern w:val="2"/>
          <w:szCs w:val="22"/>
          <w:lang w:eastAsia="zh-CN"/>
          <w14:ligatures w14:val="standardContextual"/>
        </w:rPr>
        <w:br/>
        <w:t>Istanbul, Türkiye</w:t>
      </w:r>
    </w:p>
    <w:p w14:paraId="48B20BB5" w14:textId="4EEADDE4" w:rsidR="00FA56B5" w:rsidRPr="001D5473" w:rsidRDefault="00532002" w:rsidP="001D5473">
      <w:pPr>
        <w:spacing w:after="160" w:line="259" w:lineRule="auto"/>
        <w:jc w:val="left"/>
        <w:rPr>
          <w:rFonts w:asciiTheme="majorBidi" w:eastAsiaTheme="minorEastAsia" w:hAnsiTheme="majorBidi" w:cstheme="majorBidi"/>
          <w:b/>
          <w:bCs/>
          <w:kern w:val="2"/>
          <w:sz w:val="24"/>
          <w:lang w:eastAsia="zh-CN"/>
          <w14:ligatures w14:val="standardContextual"/>
        </w:rPr>
      </w:pPr>
      <w:r w:rsidRPr="001D5473">
        <w:rPr>
          <w:rFonts w:asciiTheme="majorBidi" w:eastAsiaTheme="minorEastAsia" w:hAnsiTheme="majorBidi" w:cstheme="majorBidi"/>
          <w:b/>
          <w:bCs/>
          <w:kern w:val="2"/>
          <w:sz w:val="24"/>
          <w:lang w:eastAsia="zh-CN"/>
          <w14:ligatures w14:val="standardContextual"/>
        </w:rPr>
        <w:t xml:space="preserve">Invited </w:t>
      </w:r>
      <w:proofErr w:type="gramStart"/>
      <w:r w:rsidRPr="001D5473">
        <w:rPr>
          <w:rFonts w:asciiTheme="majorBidi" w:eastAsiaTheme="minorEastAsia" w:hAnsiTheme="majorBidi" w:cstheme="majorBidi"/>
          <w:b/>
          <w:bCs/>
          <w:kern w:val="2"/>
          <w:sz w:val="24"/>
          <w:lang w:eastAsia="zh-CN"/>
          <w14:ligatures w14:val="standardContextual"/>
        </w:rPr>
        <w:t>participants</w:t>
      </w:r>
      <w:proofErr w:type="gramEnd"/>
    </w:p>
    <w:p w14:paraId="77AE6A6D" w14:textId="2E9C83C1" w:rsidR="003E5D68" w:rsidRPr="001D5473" w:rsidRDefault="00FA56B5" w:rsidP="001D5473">
      <w:pPr>
        <w:spacing w:after="160" w:line="259" w:lineRule="auto"/>
        <w:ind w:left="284"/>
        <w:jc w:val="left"/>
        <w:rPr>
          <w:rFonts w:asciiTheme="majorBidi" w:eastAsiaTheme="minorEastAsia" w:hAnsiTheme="majorBidi" w:cstheme="majorBidi"/>
          <w:b/>
          <w:bCs/>
          <w:kern w:val="2"/>
          <w:szCs w:val="22"/>
          <w:lang w:eastAsia="zh-CN"/>
          <w14:ligatures w14:val="standardContextual"/>
        </w:rPr>
      </w:pPr>
      <w:r w:rsidRPr="001D5473">
        <w:rPr>
          <w:rFonts w:asciiTheme="majorBidi" w:eastAsiaTheme="minorEastAsia" w:hAnsiTheme="majorBidi" w:cstheme="majorBidi"/>
          <w:b/>
          <w:bCs/>
          <w:kern w:val="2"/>
          <w:szCs w:val="22"/>
          <w:lang w:eastAsia="zh-CN"/>
          <w14:ligatures w14:val="standardContextual"/>
        </w:rPr>
        <w:t>Co-</w:t>
      </w:r>
      <w:r w:rsidR="006616C4" w:rsidRPr="001D5473">
        <w:rPr>
          <w:rFonts w:asciiTheme="majorBidi" w:eastAsiaTheme="minorEastAsia" w:hAnsiTheme="majorBidi" w:cstheme="majorBidi"/>
          <w:b/>
          <w:bCs/>
          <w:kern w:val="2"/>
          <w:szCs w:val="22"/>
          <w:lang w:eastAsia="zh-CN"/>
          <w14:ligatures w14:val="standardContextual"/>
        </w:rPr>
        <w:t>C</w:t>
      </w:r>
      <w:r w:rsidRPr="001D5473">
        <w:rPr>
          <w:rFonts w:asciiTheme="majorBidi" w:eastAsiaTheme="minorEastAsia" w:hAnsiTheme="majorBidi" w:cstheme="majorBidi"/>
          <w:b/>
          <w:bCs/>
          <w:kern w:val="2"/>
          <w:szCs w:val="22"/>
          <w:lang w:eastAsia="zh-CN"/>
          <w14:ligatures w14:val="standardContextual"/>
        </w:rPr>
        <w:t xml:space="preserve">hair of the </w:t>
      </w:r>
      <w:r w:rsidR="006616C4" w:rsidRPr="001D5473">
        <w:rPr>
          <w:rFonts w:asciiTheme="majorBidi" w:eastAsiaTheme="minorEastAsia" w:hAnsiTheme="majorBidi" w:cstheme="majorBidi"/>
          <w:b/>
          <w:bCs/>
          <w:kern w:val="2"/>
          <w:szCs w:val="22"/>
          <w:lang w:eastAsia="zh-CN"/>
          <w14:ligatures w14:val="standardContextual"/>
        </w:rPr>
        <w:t xml:space="preserve">Ad Hoc Technical Expert Group </w:t>
      </w:r>
      <w:r w:rsidRPr="001D5473">
        <w:rPr>
          <w:rFonts w:asciiTheme="majorBidi" w:eastAsiaTheme="minorEastAsia" w:hAnsiTheme="majorBidi" w:cstheme="majorBidi"/>
          <w:b/>
          <w:bCs/>
          <w:kern w:val="2"/>
          <w:szCs w:val="22"/>
          <w:lang w:eastAsia="zh-CN"/>
          <w14:ligatures w14:val="standardContextual"/>
        </w:rPr>
        <w:t xml:space="preserve">on </w:t>
      </w:r>
      <w:r w:rsidR="006616C4" w:rsidRPr="001D5473">
        <w:rPr>
          <w:rFonts w:asciiTheme="majorBidi" w:eastAsiaTheme="minorEastAsia" w:hAnsiTheme="majorBidi" w:cstheme="majorBidi"/>
          <w:b/>
          <w:bCs/>
          <w:kern w:val="2"/>
          <w:szCs w:val="22"/>
          <w:lang w:eastAsia="zh-CN"/>
          <w14:ligatures w14:val="standardContextual"/>
        </w:rPr>
        <w:t>I</w:t>
      </w:r>
      <w:r w:rsidRPr="001D5473">
        <w:rPr>
          <w:rFonts w:asciiTheme="majorBidi" w:eastAsiaTheme="minorEastAsia" w:hAnsiTheme="majorBidi" w:cstheme="majorBidi"/>
          <w:b/>
          <w:bCs/>
          <w:kern w:val="2"/>
          <w:szCs w:val="22"/>
          <w:lang w:eastAsia="zh-CN"/>
          <w14:ligatures w14:val="standardContextual"/>
        </w:rPr>
        <w:t>ndicators</w:t>
      </w:r>
      <w:r w:rsidR="001F2E01" w:rsidRPr="001D5473">
        <w:rPr>
          <w:rFonts w:asciiTheme="majorBidi" w:eastAsiaTheme="minorEastAsia" w:hAnsiTheme="majorBidi" w:cstheme="majorBidi"/>
          <w:b/>
          <w:bCs/>
          <w:kern w:val="2"/>
          <w:szCs w:val="22"/>
          <w:lang w:eastAsia="zh-CN"/>
          <w14:ligatures w14:val="standardContextual"/>
        </w:rPr>
        <w:t xml:space="preserve"> for the Kunming-Montreal Global Biodiversity</w:t>
      </w:r>
      <w:r w:rsidR="00121641" w:rsidRPr="001D5473">
        <w:rPr>
          <w:rFonts w:asciiTheme="majorBidi" w:eastAsiaTheme="minorEastAsia" w:hAnsiTheme="majorBidi" w:cstheme="majorBidi"/>
          <w:b/>
          <w:bCs/>
          <w:kern w:val="2"/>
          <w:szCs w:val="22"/>
          <w:lang w:eastAsia="zh-CN"/>
          <w14:ligatures w14:val="standardContextual"/>
        </w:rPr>
        <w:br/>
      </w:r>
      <w:r w:rsidRPr="001D5473">
        <w:rPr>
          <w:rFonts w:asciiTheme="majorBidi" w:eastAsiaTheme="minorEastAsia" w:hAnsiTheme="majorBidi" w:cstheme="majorBidi"/>
          <w:kern w:val="2"/>
          <w:szCs w:val="22"/>
          <w:lang w:eastAsia="zh-CN"/>
          <w14:ligatures w14:val="standardContextual"/>
        </w:rPr>
        <w:t>Maria Cecilia Londono</w:t>
      </w:r>
      <w:r w:rsidRPr="001D5473">
        <w:rPr>
          <w:rFonts w:asciiTheme="majorBidi" w:eastAsiaTheme="minorEastAsia" w:hAnsiTheme="majorBidi" w:cstheme="majorBidi"/>
          <w:kern w:val="2"/>
          <w:szCs w:val="22"/>
          <w:lang w:eastAsia="zh-CN"/>
          <w14:ligatures w14:val="standardContextual"/>
        </w:rPr>
        <w:br/>
        <w:t xml:space="preserve">Principal </w:t>
      </w:r>
      <w:r w:rsidR="006425FD" w:rsidRPr="001D5473">
        <w:rPr>
          <w:rFonts w:asciiTheme="majorBidi" w:eastAsiaTheme="minorEastAsia" w:hAnsiTheme="majorBidi" w:cstheme="majorBidi"/>
          <w:kern w:val="2"/>
          <w:szCs w:val="22"/>
          <w:lang w:eastAsia="zh-CN"/>
          <w14:ligatures w14:val="standardContextual"/>
        </w:rPr>
        <w:t>R</w:t>
      </w:r>
      <w:r w:rsidRPr="001D5473">
        <w:rPr>
          <w:rFonts w:asciiTheme="majorBidi" w:eastAsiaTheme="minorEastAsia" w:hAnsiTheme="majorBidi" w:cstheme="majorBidi"/>
          <w:kern w:val="2"/>
          <w:szCs w:val="22"/>
          <w:lang w:eastAsia="zh-CN"/>
          <w14:ligatures w14:val="standardContextual"/>
        </w:rPr>
        <w:t>esearcher</w:t>
      </w:r>
      <w:r w:rsidRPr="001D5473">
        <w:rPr>
          <w:rFonts w:asciiTheme="majorBidi" w:eastAsiaTheme="minorEastAsia" w:hAnsiTheme="majorBidi" w:cstheme="majorBidi"/>
          <w:kern w:val="2"/>
          <w:szCs w:val="22"/>
          <w:lang w:eastAsia="zh-CN"/>
          <w14:ligatures w14:val="standardContextual"/>
        </w:rPr>
        <w:br/>
        <w:t xml:space="preserve">Biodiversity Assessment and Monitoring </w:t>
      </w:r>
      <w:r w:rsidR="00E333E4" w:rsidRPr="001D5473">
        <w:rPr>
          <w:rFonts w:asciiTheme="majorBidi" w:eastAsiaTheme="minorEastAsia" w:hAnsiTheme="majorBidi" w:cstheme="majorBidi"/>
          <w:kern w:val="2"/>
          <w:szCs w:val="22"/>
          <w:lang w:eastAsia="zh-CN"/>
          <w14:ligatures w14:val="standardContextual"/>
        </w:rPr>
        <w:t>P</w:t>
      </w:r>
      <w:r w:rsidRPr="001D5473">
        <w:rPr>
          <w:rFonts w:asciiTheme="majorBidi" w:eastAsiaTheme="minorEastAsia" w:hAnsiTheme="majorBidi" w:cstheme="majorBidi"/>
          <w:kern w:val="2"/>
          <w:szCs w:val="22"/>
          <w:lang w:eastAsia="zh-CN"/>
          <w14:ligatures w14:val="standardContextual"/>
        </w:rPr>
        <w:t>rogram</w:t>
      </w:r>
      <w:r w:rsidRPr="001D5473">
        <w:rPr>
          <w:rFonts w:asciiTheme="majorBidi" w:eastAsiaTheme="minorEastAsia" w:hAnsiTheme="majorBidi" w:cstheme="majorBidi"/>
          <w:kern w:val="2"/>
          <w:szCs w:val="22"/>
          <w:lang w:eastAsia="zh-CN"/>
          <w14:ligatures w14:val="standardContextual"/>
        </w:rPr>
        <w:br/>
      </w:r>
      <w:r w:rsidR="009039EC" w:rsidRPr="00531867">
        <w:rPr>
          <w:rFonts w:asciiTheme="majorBidi" w:hAnsiTheme="majorBidi" w:cstheme="majorBidi"/>
        </w:rPr>
        <w:t>Alexander von Humboldt Biological Resources Research Institute</w:t>
      </w:r>
      <w:r w:rsidR="009039EC" w:rsidRPr="00531867">
        <w:rPr>
          <w:rFonts w:asciiTheme="majorBidi" w:hAnsiTheme="majorBidi" w:cstheme="majorBidi"/>
        </w:rPr>
        <w:br/>
      </w:r>
      <w:r w:rsidRPr="001D5473">
        <w:rPr>
          <w:rFonts w:asciiTheme="majorBidi" w:eastAsiaTheme="minorEastAsia" w:hAnsiTheme="majorBidi" w:cstheme="majorBidi"/>
          <w:kern w:val="2"/>
          <w:szCs w:val="22"/>
          <w:lang w:eastAsia="zh-CN"/>
          <w14:ligatures w14:val="standardContextual"/>
        </w:rPr>
        <w:t>Bogot</w:t>
      </w:r>
      <w:r w:rsidR="00DB62C1" w:rsidRPr="001D5473">
        <w:rPr>
          <w:rFonts w:asciiTheme="majorBidi" w:eastAsiaTheme="minorEastAsia" w:hAnsiTheme="majorBidi" w:cstheme="majorBidi"/>
          <w:kern w:val="2"/>
          <w:szCs w:val="22"/>
          <w:lang w:eastAsia="zh-CN"/>
          <w14:ligatures w14:val="standardContextual"/>
        </w:rPr>
        <w:t>á</w:t>
      </w:r>
      <w:r w:rsidRPr="001D5473">
        <w:rPr>
          <w:rFonts w:asciiTheme="majorBidi" w:eastAsiaTheme="minorEastAsia" w:hAnsiTheme="majorBidi" w:cstheme="majorBidi"/>
          <w:kern w:val="2"/>
          <w:szCs w:val="22"/>
          <w:lang w:eastAsia="zh-CN"/>
          <w14:ligatures w14:val="standardContextual"/>
        </w:rPr>
        <w:t>, Colombia</w:t>
      </w:r>
    </w:p>
    <w:p w14:paraId="661DF7C0" w14:textId="73A24CB2" w:rsidR="00FA56B5" w:rsidRPr="001D5473" w:rsidRDefault="00FA56B5" w:rsidP="00C168B9">
      <w:pPr>
        <w:spacing w:after="160" w:line="259" w:lineRule="auto"/>
        <w:jc w:val="left"/>
        <w:rPr>
          <w:rFonts w:asciiTheme="majorBidi" w:eastAsiaTheme="minorEastAsia" w:hAnsiTheme="majorBidi" w:cstheme="majorBidi"/>
          <w:b/>
          <w:bCs/>
          <w:kern w:val="2"/>
          <w:szCs w:val="22"/>
          <w:lang w:eastAsia="zh-CN"/>
          <w14:ligatures w14:val="standardContextual"/>
        </w:rPr>
      </w:pPr>
      <w:r w:rsidRPr="00C168B9">
        <w:rPr>
          <w:rFonts w:asciiTheme="majorBidi" w:eastAsiaTheme="minorEastAsia" w:hAnsiTheme="majorBidi" w:cstheme="majorBidi"/>
          <w:b/>
          <w:bCs/>
          <w:kern w:val="2"/>
          <w:szCs w:val="22"/>
          <w:lang w:val="en-US" w:eastAsia="zh-CN"/>
          <w14:ligatures w14:val="standardContextual"/>
        </w:rPr>
        <w:t>E</w:t>
      </w:r>
      <w:proofErr w:type="spellStart"/>
      <w:r w:rsidRPr="001D5473">
        <w:rPr>
          <w:rFonts w:asciiTheme="majorBidi" w:eastAsiaTheme="minorEastAsia" w:hAnsiTheme="majorBidi" w:cstheme="majorBidi"/>
          <w:b/>
          <w:bCs/>
          <w:kern w:val="2"/>
          <w:szCs w:val="22"/>
          <w:lang w:eastAsia="zh-CN"/>
          <w14:ligatures w14:val="standardContextual"/>
        </w:rPr>
        <w:t>xperts</w:t>
      </w:r>
      <w:proofErr w:type="spellEnd"/>
      <w:r w:rsidR="00C168B9" w:rsidRPr="00C168B9" w:rsidDel="00C168B9">
        <w:rPr>
          <w:rFonts w:asciiTheme="majorBidi" w:eastAsiaTheme="minorEastAsia" w:hAnsiTheme="majorBidi" w:cstheme="majorBidi"/>
          <w:b/>
          <w:bCs/>
          <w:kern w:val="2"/>
          <w:szCs w:val="22"/>
          <w:lang w:eastAsia="zh-CN"/>
          <w14:ligatures w14:val="standardContextual"/>
        </w:rPr>
        <w:t xml:space="preserve"> </w:t>
      </w:r>
    </w:p>
    <w:p w14:paraId="41027362" w14:textId="781F1DE4" w:rsidR="00FA56B5" w:rsidRPr="001D5473" w:rsidRDefault="00FA56B5" w:rsidP="001D5473">
      <w:pPr>
        <w:spacing w:after="160" w:line="259" w:lineRule="auto"/>
        <w:ind w:left="284"/>
        <w:jc w:val="left"/>
        <w:rPr>
          <w:rFonts w:eastAsiaTheme="minorEastAsia"/>
          <w:color w:val="000000" w:themeColor="text1"/>
          <w:kern w:val="2"/>
          <w:szCs w:val="22"/>
          <w:lang w:eastAsia="zh-CN"/>
          <w14:ligatures w14:val="standardContextual"/>
        </w:rPr>
      </w:pPr>
      <w:r w:rsidRPr="001D5473">
        <w:rPr>
          <w:rFonts w:asciiTheme="majorBidi" w:eastAsiaTheme="minorEastAsia" w:hAnsiTheme="majorBidi" w:cstheme="majorBidi"/>
          <w:kern w:val="2"/>
          <w:szCs w:val="22"/>
          <w:lang w:eastAsia="zh-CN"/>
          <w14:ligatures w14:val="standardContextual"/>
        </w:rPr>
        <w:t xml:space="preserve">Alessandra Alfieri </w:t>
      </w:r>
      <w:r w:rsidRPr="001D5473">
        <w:rPr>
          <w:rFonts w:asciiTheme="majorBidi" w:eastAsiaTheme="minorEastAsia" w:hAnsiTheme="majorBidi" w:cstheme="majorBidi"/>
          <w:kern w:val="2"/>
          <w:szCs w:val="22"/>
          <w:lang w:eastAsia="zh-CN"/>
          <w14:ligatures w14:val="standardContextual"/>
        </w:rPr>
        <w:br/>
        <w:t xml:space="preserve">Assistant Director, Statistics Department </w:t>
      </w:r>
      <w:r w:rsidRPr="001D5473">
        <w:rPr>
          <w:rFonts w:asciiTheme="majorBidi" w:eastAsiaTheme="minorEastAsia" w:hAnsiTheme="majorBidi" w:cstheme="majorBidi"/>
          <w:kern w:val="2"/>
          <w:szCs w:val="22"/>
          <w:lang w:eastAsia="zh-CN"/>
          <w14:ligatures w14:val="standardContextual"/>
        </w:rPr>
        <w:br/>
        <w:t xml:space="preserve">International Monetary Fund </w:t>
      </w:r>
      <w:r w:rsidRPr="001D5473">
        <w:rPr>
          <w:rFonts w:asciiTheme="majorBidi" w:eastAsiaTheme="minorEastAsia" w:hAnsiTheme="majorBidi" w:cstheme="majorBidi"/>
          <w:kern w:val="2"/>
          <w:szCs w:val="22"/>
          <w:lang w:eastAsia="zh-CN"/>
          <w14:ligatures w14:val="standardContextual"/>
        </w:rPr>
        <w:br/>
        <w:t>Washington</w:t>
      </w:r>
      <w:r w:rsidR="00601198" w:rsidRPr="001D5473">
        <w:rPr>
          <w:rFonts w:asciiTheme="majorBidi" w:eastAsiaTheme="minorEastAsia" w:hAnsiTheme="majorBidi" w:cstheme="majorBidi"/>
          <w:kern w:val="2"/>
          <w:szCs w:val="22"/>
          <w:lang w:eastAsia="zh-CN"/>
          <w14:ligatures w14:val="standardContextual"/>
        </w:rPr>
        <w:t>,</w:t>
      </w:r>
      <w:r w:rsidRPr="001D5473">
        <w:rPr>
          <w:rFonts w:asciiTheme="majorBidi" w:eastAsiaTheme="minorEastAsia" w:hAnsiTheme="majorBidi" w:cstheme="majorBidi"/>
          <w:kern w:val="2"/>
          <w:szCs w:val="22"/>
          <w:lang w:eastAsia="zh-CN"/>
          <w14:ligatures w14:val="standardContextual"/>
        </w:rPr>
        <w:t xml:space="preserve"> D</w:t>
      </w:r>
      <w:r w:rsidR="001F2C0D" w:rsidRPr="001D5473">
        <w:rPr>
          <w:rFonts w:asciiTheme="majorBidi" w:eastAsiaTheme="minorEastAsia" w:hAnsiTheme="majorBidi" w:cstheme="majorBidi"/>
          <w:kern w:val="2"/>
          <w:szCs w:val="22"/>
          <w:lang w:eastAsia="zh-CN"/>
          <w14:ligatures w14:val="standardContextual"/>
        </w:rPr>
        <w:t>.</w:t>
      </w:r>
      <w:r w:rsidRPr="001D5473">
        <w:rPr>
          <w:rFonts w:asciiTheme="majorBidi" w:eastAsiaTheme="minorEastAsia" w:hAnsiTheme="majorBidi" w:cstheme="majorBidi"/>
          <w:kern w:val="2"/>
          <w:szCs w:val="22"/>
          <w:lang w:eastAsia="zh-CN"/>
          <w14:ligatures w14:val="standardContextual"/>
        </w:rPr>
        <w:t>C</w:t>
      </w:r>
      <w:r w:rsidR="001F2C0D" w:rsidRPr="001D5473">
        <w:rPr>
          <w:rFonts w:asciiTheme="majorBidi" w:eastAsiaTheme="minorEastAsia" w:hAnsiTheme="majorBidi" w:cstheme="majorBidi"/>
          <w:kern w:val="2"/>
          <w:szCs w:val="22"/>
          <w:lang w:eastAsia="zh-CN"/>
          <w14:ligatures w14:val="standardContextual"/>
        </w:rPr>
        <w:t>.</w:t>
      </w:r>
      <w:r w:rsidRPr="001D5473">
        <w:rPr>
          <w:rFonts w:asciiTheme="majorBidi" w:eastAsiaTheme="minorEastAsia" w:hAnsiTheme="majorBidi" w:cstheme="majorBidi"/>
          <w:kern w:val="2"/>
          <w:szCs w:val="22"/>
          <w:lang w:eastAsia="zh-CN"/>
          <w14:ligatures w14:val="standardContextual"/>
        </w:rPr>
        <w:t>, U</w:t>
      </w:r>
      <w:r w:rsidR="001F2C0D" w:rsidRPr="001D5473">
        <w:rPr>
          <w:rFonts w:asciiTheme="majorBidi" w:eastAsiaTheme="minorEastAsia" w:hAnsiTheme="majorBidi" w:cstheme="majorBidi"/>
          <w:kern w:val="2"/>
          <w:szCs w:val="22"/>
          <w:lang w:eastAsia="zh-CN"/>
          <w14:ligatures w14:val="standardContextual"/>
        </w:rPr>
        <w:t xml:space="preserve">nited </w:t>
      </w:r>
      <w:r w:rsidRPr="001D5473">
        <w:rPr>
          <w:rFonts w:asciiTheme="majorBidi" w:eastAsiaTheme="minorEastAsia" w:hAnsiTheme="majorBidi" w:cstheme="majorBidi"/>
          <w:kern w:val="2"/>
          <w:szCs w:val="22"/>
          <w:lang w:eastAsia="zh-CN"/>
          <w14:ligatures w14:val="standardContextual"/>
        </w:rPr>
        <w:t>S</w:t>
      </w:r>
      <w:r w:rsidR="001F2C0D" w:rsidRPr="001D5473">
        <w:rPr>
          <w:rFonts w:asciiTheme="majorBidi" w:eastAsiaTheme="minorEastAsia" w:hAnsiTheme="majorBidi" w:cstheme="majorBidi"/>
          <w:kern w:val="2"/>
          <w:szCs w:val="22"/>
          <w:lang w:eastAsia="zh-CN"/>
          <w14:ligatures w14:val="standardContextual"/>
        </w:rPr>
        <w:t>tates</w:t>
      </w:r>
    </w:p>
    <w:p w14:paraId="161156E3" w14:textId="6D0152EF" w:rsidR="00FA56B5" w:rsidRPr="001D5473" w:rsidRDefault="00FA56B5" w:rsidP="001D5473">
      <w:pPr>
        <w:keepNext/>
        <w:keepLines/>
        <w:spacing w:after="120" w:line="259" w:lineRule="auto"/>
        <w:ind w:left="284"/>
        <w:jc w:val="left"/>
        <w:rPr>
          <w:rFonts w:asciiTheme="majorBidi" w:eastAsiaTheme="minorEastAsia" w:hAnsiTheme="majorBidi" w:cstheme="majorBidi"/>
          <w:kern w:val="2"/>
          <w:szCs w:val="22"/>
          <w:lang w:eastAsia="zh-CN"/>
          <w14:ligatures w14:val="standardContextual"/>
        </w:rPr>
      </w:pPr>
      <w:r w:rsidRPr="001D5473">
        <w:rPr>
          <w:rFonts w:asciiTheme="majorBidi" w:eastAsiaTheme="minorEastAsia" w:hAnsiTheme="majorBidi" w:cstheme="majorBidi"/>
          <w:kern w:val="2"/>
          <w:szCs w:val="22"/>
          <w:lang w:eastAsia="zh-CN"/>
          <w14:ligatures w14:val="standardContextual"/>
        </w:rPr>
        <w:lastRenderedPageBreak/>
        <w:t>Julian Chow</w:t>
      </w:r>
      <w:r w:rsidRPr="001D5473">
        <w:rPr>
          <w:rFonts w:asciiTheme="majorBidi" w:eastAsiaTheme="minorEastAsia" w:hAnsiTheme="majorBidi" w:cstheme="majorBidi"/>
          <w:kern w:val="2"/>
          <w:szCs w:val="22"/>
          <w:lang w:eastAsia="zh-CN"/>
          <w14:ligatures w14:val="standardContextual"/>
        </w:rPr>
        <w:br/>
        <w:t>Chief of Section, Statistics</w:t>
      </w:r>
      <w:r w:rsidRPr="001D5473">
        <w:rPr>
          <w:rFonts w:asciiTheme="majorBidi" w:eastAsiaTheme="minorEastAsia" w:hAnsiTheme="majorBidi" w:cstheme="majorBidi"/>
          <w:kern w:val="2"/>
          <w:szCs w:val="22"/>
          <w:lang w:eastAsia="zh-CN"/>
          <w14:ligatures w14:val="standardContextual"/>
        </w:rPr>
        <w:br/>
        <w:t>Department of Economic and Social Affairs</w:t>
      </w:r>
      <w:r w:rsidR="00C446E9" w:rsidRPr="001D5473">
        <w:rPr>
          <w:rFonts w:asciiTheme="majorBidi" w:eastAsiaTheme="minorEastAsia" w:hAnsiTheme="majorBidi" w:cstheme="majorBidi"/>
          <w:kern w:val="2"/>
          <w:szCs w:val="22"/>
          <w:lang w:eastAsia="zh-CN"/>
          <w14:ligatures w14:val="standardContextual"/>
        </w:rPr>
        <w:br/>
        <w:t>United Nations</w:t>
      </w:r>
      <w:r w:rsidRPr="001D5473">
        <w:rPr>
          <w:rFonts w:asciiTheme="majorBidi" w:eastAsiaTheme="minorEastAsia" w:hAnsiTheme="majorBidi" w:cstheme="majorBidi"/>
          <w:kern w:val="2"/>
          <w:szCs w:val="22"/>
          <w:lang w:eastAsia="zh-CN"/>
          <w14:ligatures w14:val="standardContextual"/>
        </w:rPr>
        <w:br/>
        <w:t>New York City, U</w:t>
      </w:r>
      <w:r w:rsidR="001F2C0D" w:rsidRPr="001D5473">
        <w:rPr>
          <w:rFonts w:asciiTheme="majorBidi" w:eastAsiaTheme="minorEastAsia" w:hAnsiTheme="majorBidi" w:cstheme="majorBidi"/>
          <w:kern w:val="2"/>
          <w:szCs w:val="22"/>
          <w:lang w:eastAsia="zh-CN"/>
          <w14:ligatures w14:val="standardContextual"/>
        </w:rPr>
        <w:t xml:space="preserve">nited </w:t>
      </w:r>
      <w:r w:rsidRPr="001D5473">
        <w:rPr>
          <w:rFonts w:asciiTheme="majorBidi" w:eastAsiaTheme="minorEastAsia" w:hAnsiTheme="majorBidi" w:cstheme="majorBidi"/>
          <w:kern w:val="2"/>
          <w:szCs w:val="22"/>
          <w:lang w:eastAsia="zh-CN"/>
          <w14:ligatures w14:val="standardContextual"/>
        </w:rPr>
        <w:t>S</w:t>
      </w:r>
      <w:r w:rsidR="001F2C0D" w:rsidRPr="001D5473">
        <w:rPr>
          <w:rFonts w:asciiTheme="majorBidi" w:eastAsiaTheme="minorEastAsia" w:hAnsiTheme="majorBidi" w:cstheme="majorBidi"/>
          <w:kern w:val="2"/>
          <w:szCs w:val="22"/>
          <w:lang w:eastAsia="zh-CN"/>
          <w14:ligatures w14:val="standardContextual"/>
        </w:rPr>
        <w:t>tates</w:t>
      </w:r>
    </w:p>
    <w:p w14:paraId="30D4DA2D" w14:textId="66D78DC3" w:rsidR="00FE3B5B" w:rsidRPr="001D5473" w:rsidRDefault="00FE3B5B" w:rsidP="001D5473">
      <w:pPr>
        <w:ind w:left="284" w:right="44"/>
        <w:jc w:val="left"/>
        <w:rPr>
          <w:rFonts w:asciiTheme="majorBidi" w:hAnsiTheme="majorBidi" w:cstheme="majorBidi"/>
          <w:szCs w:val="22"/>
          <w:lang w:eastAsia="en-CA"/>
        </w:rPr>
      </w:pPr>
      <w:r w:rsidRPr="001D5473">
        <w:rPr>
          <w:rFonts w:asciiTheme="majorBidi" w:hAnsiTheme="majorBidi" w:cstheme="majorBidi"/>
          <w:szCs w:val="22"/>
          <w:lang w:eastAsia="en-CA"/>
        </w:rPr>
        <w:t>Odile Conchou</w:t>
      </w:r>
    </w:p>
    <w:p w14:paraId="70C2CCE2" w14:textId="77777777" w:rsidR="00FE3B5B" w:rsidRPr="001D5473" w:rsidRDefault="00FE3B5B" w:rsidP="001D5473">
      <w:pPr>
        <w:ind w:left="284" w:right="44"/>
        <w:jc w:val="left"/>
        <w:rPr>
          <w:rFonts w:asciiTheme="majorBidi" w:hAnsiTheme="majorBidi" w:cstheme="majorBidi"/>
          <w:szCs w:val="22"/>
          <w:lang w:eastAsia="en-CA"/>
        </w:rPr>
      </w:pPr>
      <w:r w:rsidRPr="001D5473">
        <w:rPr>
          <w:rFonts w:asciiTheme="majorBidi" w:hAnsiTheme="majorBidi" w:cstheme="majorBidi"/>
          <w:szCs w:val="22"/>
          <w:lang w:eastAsia="en-CA"/>
        </w:rPr>
        <w:t xml:space="preserve">Biodiversity and Finance Senior Advisor </w:t>
      </w:r>
    </w:p>
    <w:p w14:paraId="7C3AE073" w14:textId="77777777" w:rsidR="00FE3B5B" w:rsidRPr="00EB4B1F" w:rsidRDefault="00FE3B5B" w:rsidP="001D5473">
      <w:pPr>
        <w:ind w:left="284" w:right="44"/>
        <w:jc w:val="left"/>
        <w:rPr>
          <w:rFonts w:asciiTheme="majorBidi" w:hAnsiTheme="majorBidi" w:cstheme="majorBidi"/>
          <w:szCs w:val="22"/>
          <w:lang w:val="fr-FR" w:eastAsia="en-CA"/>
        </w:rPr>
      </w:pPr>
      <w:r w:rsidRPr="00EB4B1F">
        <w:rPr>
          <w:rFonts w:asciiTheme="majorBidi" w:hAnsiTheme="majorBidi" w:cstheme="majorBidi"/>
          <w:szCs w:val="22"/>
          <w:lang w:val="fr-FR" w:eastAsia="en-CA"/>
        </w:rPr>
        <w:t xml:space="preserve">Agence française de développement </w:t>
      </w:r>
    </w:p>
    <w:p w14:paraId="57937FA7" w14:textId="502AD521" w:rsidR="000307D2" w:rsidRPr="001D5473" w:rsidRDefault="00FE3B5B" w:rsidP="001D5473">
      <w:pPr>
        <w:spacing w:after="120"/>
        <w:ind w:left="284" w:right="44"/>
        <w:jc w:val="left"/>
        <w:rPr>
          <w:rFonts w:asciiTheme="majorBidi" w:eastAsiaTheme="minorEastAsia" w:hAnsiTheme="majorBidi" w:cstheme="majorBidi"/>
          <w:kern w:val="2"/>
          <w:szCs w:val="22"/>
          <w:lang w:val="fr-FR" w:eastAsia="zh-CN"/>
          <w14:ligatures w14:val="standardContextual"/>
        </w:rPr>
      </w:pPr>
      <w:r w:rsidRPr="00EB4B1F">
        <w:rPr>
          <w:rFonts w:asciiTheme="majorBidi" w:hAnsiTheme="majorBidi" w:cstheme="majorBidi"/>
          <w:szCs w:val="22"/>
          <w:lang w:val="fr-FR" w:eastAsia="en-CA"/>
        </w:rPr>
        <w:t>Paris, France</w:t>
      </w:r>
    </w:p>
    <w:p w14:paraId="323F059A" w14:textId="1042ACC0" w:rsidR="00FA56B5" w:rsidRPr="001D5473" w:rsidRDefault="00FA56B5" w:rsidP="001D5473">
      <w:pPr>
        <w:spacing w:after="120" w:line="259" w:lineRule="auto"/>
        <w:ind w:left="284"/>
        <w:jc w:val="left"/>
        <w:rPr>
          <w:rFonts w:asciiTheme="majorBidi" w:eastAsiaTheme="minorEastAsia" w:hAnsiTheme="majorBidi" w:cstheme="majorBidi"/>
          <w:kern w:val="2"/>
          <w:szCs w:val="22"/>
          <w:lang w:eastAsia="zh-CN"/>
          <w14:ligatures w14:val="standardContextual"/>
        </w:rPr>
      </w:pPr>
      <w:proofErr w:type="spellStart"/>
      <w:r w:rsidRPr="001D5473">
        <w:rPr>
          <w:rFonts w:asciiTheme="majorBidi" w:eastAsiaTheme="minorEastAsia" w:hAnsiTheme="majorBidi" w:cstheme="majorBidi"/>
          <w:kern w:val="2"/>
          <w:szCs w:val="22"/>
          <w:lang w:eastAsia="zh-CN"/>
          <w14:ligatures w14:val="standardContextual"/>
        </w:rPr>
        <w:t>Illaria</w:t>
      </w:r>
      <w:proofErr w:type="spellEnd"/>
      <w:r w:rsidRPr="001D5473">
        <w:rPr>
          <w:rFonts w:asciiTheme="majorBidi" w:eastAsiaTheme="minorEastAsia" w:hAnsiTheme="majorBidi" w:cstheme="majorBidi"/>
          <w:kern w:val="2"/>
          <w:szCs w:val="22"/>
          <w:lang w:eastAsia="zh-CN"/>
          <w14:ligatures w14:val="standardContextual"/>
        </w:rPr>
        <w:t xml:space="preserve"> Di Matteo</w:t>
      </w:r>
      <w:r w:rsidRPr="001D5473">
        <w:rPr>
          <w:rFonts w:asciiTheme="majorBidi" w:eastAsiaTheme="minorEastAsia" w:hAnsiTheme="majorBidi" w:cstheme="majorBidi"/>
          <w:kern w:val="2"/>
          <w:szCs w:val="22"/>
          <w:lang w:eastAsia="zh-CN"/>
          <w14:ligatures w14:val="standardContextual"/>
        </w:rPr>
        <w:br/>
        <w:t>Chief of Section, Statistics</w:t>
      </w:r>
      <w:r w:rsidRPr="001D5473">
        <w:rPr>
          <w:rFonts w:asciiTheme="majorBidi" w:eastAsiaTheme="minorEastAsia" w:hAnsiTheme="majorBidi" w:cstheme="majorBidi"/>
          <w:kern w:val="2"/>
          <w:szCs w:val="22"/>
          <w:lang w:eastAsia="zh-CN"/>
          <w14:ligatures w14:val="standardContextual"/>
        </w:rPr>
        <w:br/>
        <w:t>Department of Economic and Social Affairs</w:t>
      </w:r>
      <w:r w:rsidRPr="001D5473">
        <w:rPr>
          <w:rFonts w:asciiTheme="majorBidi" w:eastAsiaTheme="minorEastAsia" w:hAnsiTheme="majorBidi" w:cstheme="majorBidi"/>
          <w:kern w:val="2"/>
          <w:szCs w:val="22"/>
          <w:lang w:eastAsia="zh-CN"/>
          <w14:ligatures w14:val="standardContextual"/>
        </w:rPr>
        <w:br/>
      </w:r>
      <w:r w:rsidR="0000247F" w:rsidRPr="001D5473">
        <w:rPr>
          <w:rFonts w:asciiTheme="majorBidi" w:eastAsiaTheme="minorEastAsia" w:hAnsiTheme="majorBidi" w:cstheme="majorBidi"/>
          <w:kern w:val="2"/>
          <w:szCs w:val="22"/>
          <w:lang w:eastAsia="zh-CN"/>
          <w14:ligatures w14:val="standardContextual"/>
        </w:rPr>
        <w:t>United Nations</w:t>
      </w:r>
      <w:r w:rsidRPr="001D5473">
        <w:rPr>
          <w:rFonts w:asciiTheme="majorBidi" w:eastAsiaTheme="minorEastAsia" w:hAnsiTheme="majorBidi" w:cstheme="majorBidi"/>
          <w:kern w:val="2"/>
          <w:szCs w:val="22"/>
          <w:lang w:eastAsia="zh-CN"/>
          <w14:ligatures w14:val="standardContextual"/>
        </w:rPr>
        <w:br/>
        <w:t>New York, U</w:t>
      </w:r>
      <w:r w:rsidR="001F2C0D" w:rsidRPr="001D5473">
        <w:rPr>
          <w:rFonts w:asciiTheme="majorBidi" w:eastAsiaTheme="minorEastAsia" w:hAnsiTheme="majorBidi" w:cstheme="majorBidi"/>
          <w:kern w:val="2"/>
          <w:szCs w:val="22"/>
          <w:lang w:eastAsia="zh-CN"/>
          <w14:ligatures w14:val="standardContextual"/>
        </w:rPr>
        <w:t xml:space="preserve">nited </w:t>
      </w:r>
      <w:r w:rsidRPr="001D5473">
        <w:rPr>
          <w:rFonts w:asciiTheme="majorBidi" w:eastAsiaTheme="minorEastAsia" w:hAnsiTheme="majorBidi" w:cstheme="majorBidi"/>
          <w:kern w:val="2"/>
          <w:szCs w:val="22"/>
          <w:lang w:eastAsia="zh-CN"/>
          <w14:ligatures w14:val="standardContextual"/>
        </w:rPr>
        <w:t>S</w:t>
      </w:r>
      <w:r w:rsidR="001F2C0D" w:rsidRPr="001D5473">
        <w:rPr>
          <w:rFonts w:asciiTheme="majorBidi" w:eastAsiaTheme="minorEastAsia" w:hAnsiTheme="majorBidi" w:cstheme="majorBidi"/>
          <w:kern w:val="2"/>
          <w:szCs w:val="22"/>
          <w:lang w:eastAsia="zh-CN"/>
          <w14:ligatures w14:val="standardContextual"/>
        </w:rPr>
        <w:t>tate</w:t>
      </w:r>
      <w:r w:rsidR="00D1047E" w:rsidRPr="001D5473">
        <w:rPr>
          <w:rFonts w:asciiTheme="majorBidi" w:eastAsiaTheme="minorEastAsia" w:hAnsiTheme="majorBidi" w:cstheme="majorBidi"/>
          <w:kern w:val="2"/>
          <w:szCs w:val="22"/>
          <w:lang w:eastAsia="zh-CN"/>
          <w14:ligatures w14:val="standardContextual"/>
        </w:rPr>
        <w:t>s</w:t>
      </w:r>
    </w:p>
    <w:p w14:paraId="5F988477" w14:textId="68E9EF28" w:rsidR="00FE3B5B" w:rsidRPr="001D5473" w:rsidRDefault="00FE3B5B" w:rsidP="001D5473">
      <w:pPr>
        <w:ind w:left="284" w:right="44"/>
        <w:jc w:val="left"/>
        <w:rPr>
          <w:rFonts w:asciiTheme="majorBidi" w:hAnsiTheme="majorBidi" w:cstheme="majorBidi"/>
          <w:szCs w:val="22"/>
          <w:lang w:eastAsia="en-CA"/>
        </w:rPr>
      </w:pPr>
      <w:r w:rsidRPr="001D5473">
        <w:rPr>
          <w:rFonts w:asciiTheme="majorBidi" w:hAnsiTheme="majorBidi" w:cstheme="majorBidi"/>
          <w:szCs w:val="22"/>
          <w:lang w:eastAsia="en-CA"/>
        </w:rPr>
        <w:t>Macha Kemperman</w:t>
      </w:r>
    </w:p>
    <w:p w14:paraId="791EB4C0" w14:textId="77777777" w:rsidR="00FE3B5B" w:rsidRPr="001D5473" w:rsidRDefault="00FE3B5B" w:rsidP="001D5473">
      <w:pPr>
        <w:ind w:left="284" w:right="44"/>
        <w:jc w:val="left"/>
        <w:rPr>
          <w:rFonts w:asciiTheme="majorBidi" w:hAnsiTheme="majorBidi" w:cstheme="majorBidi"/>
          <w:szCs w:val="22"/>
          <w:lang w:eastAsia="en-CA"/>
        </w:rPr>
      </w:pPr>
      <w:r w:rsidRPr="001D5473">
        <w:rPr>
          <w:rFonts w:asciiTheme="majorBidi" w:hAnsiTheme="majorBidi" w:cstheme="majorBidi"/>
          <w:szCs w:val="22"/>
          <w:lang w:eastAsia="en-CA"/>
        </w:rPr>
        <w:t>Monitoring and Evaluation Specialist</w:t>
      </w:r>
    </w:p>
    <w:p w14:paraId="2A091CB1" w14:textId="7188AE37" w:rsidR="00FE3B5B" w:rsidRPr="001D5473" w:rsidRDefault="00FE3B5B" w:rsidP="001D5473">
      <w:pPr>
        <w:ind w:left="284" w:right="44"/>
        <w:jc w:val="left"/>
        <w:rPr>
          <w:rFonts w:asciiTheme="majorBidi" w:hAnsiTheme="majorBidi" w:cstheme="majorBidi"/>
          <w:szCs w:val="22"/>
          <w:lang w:eastAsia="en-CA"/>
        </w:rPr>
      </w:pPr>
      <w:r w:rsidRPr="001D5473">
        <w:rPr>
          <w:rFonts w:asciiTheme="majorBidi" w:hAnsiTheme="majorBidi" w:cstheme="majorBidi"/>
          <w:szCs w:val="22"/>
          <w:lang w:eastAsia="en-CA"/>
        </w:rPr>
        <w:t>World Bank Group</w:t>
      </w:r>
    </w:p>
    <w:p w14:paraId="2B8F375A" w14:textId="198D7859" w:rsidR="00FE3B5B" w:rsidRPr="001D5473" w:rsidRDefault="00FE3B5B" w:rsidP="001D5473">
      <w:pPr>
        <w:spacing w:after="120"/>
        <w:ind w:left="284" w:right="44"/>
        <w:jc w:val="left"/>
        <w:rPr>
          <w:rFonts w:asciiTheme="majorBidi" w:hAnsiTheme="majorBidi" w:cstheme="majorBidi"/>
          <w:szCs w:val="22"/>
          <w:lang w:eastAsia="en-CA"/>
        </w:rPr>
      </w:pPr>
      <w:r w:rsidRPr="001D5473">
        <w:rPr>
          <w:rFonts w:asciiTheme="majorBidi" w:hAnsiTheme="majorBidi" w:cstheme="majorBidi"/>
          <w:szCs w:val="22"/>
          <w:lang w:eastAsia="en-CA"/>
        </w:rPr>
        <w:t>Washington</w:t>
      </w:r>
      <w:r w:rsidR="00601198" w:rsidRPr="001D5473">
        <w:rPr>
          <w:rFonts w:asciiTheme="majorBidi" w:hAnsiTheme="majorBidi" w:cstheme="majorBidi"/>
          <w:szCs w:val="22"/>
          <w:lang w:eastAsia="en-CA"/>
        </w:rPr>
        <w:t>,</w:t>
      </w:r>
      <w:r w:rsidRPr="001D5473">
        <w:rPr>
          <w:rFonts w:asciiTheme="majorBidi" w:hAnsiTheme="majorBidi" w:cstheme="majorBidi"/>
          <w:szCs w:val="22"/>
          <w:lang w:eastAsia="en-CA"/>
        </w:rPr>
        <w:t xml:space="preserve"> D</w:t>
      </w:r>
      <w:r w:rsidR="00B3507A" w:rsidRPr="001D5473">
        <w:rPr>
          <w:rFonts w:asciiTheme="majorBidi" w:hAnsiTheme="majorBidi" w:cstheme="majorBidi"/>
          <w:szCs w:val="22"/>
          <w:lang w:eastAsia="en-CA"/>
        </w:rPr>
        <w:t>.</w:t>
      </w:r>
      <w:r w:rsidRPr="001D5473">
        <w:rPr>
          <w:rFonts w:asciiTheme="majorBidi" w:hAnsiTheme="majorBidi" w:cstheme="majorBidi"/>
          <w:szCs w:val="22"/>
          <w:lang w:eastAsia="en-CA"/>
        </w:rPr>
        <w:t>C</w:t>
      </w:r>
      <w:r w:rsidR="00B3507A" w:rsidRPr="001D5473">
        <w:rPr>
          <w:rFonts w:asciiTheme="majorBidi" w:hAnsiTheme="majorBidi" w:cstheme="majorBidi"/>
          <w:szCs w:val="22"/>
          <w:lang w:eastAsia="en-CA"/>
        </w:rPr>
        <w:t>.</w:t>
      </w:r>
      <w:r w:rsidRPr="001D5473">
        <w:rPr>
          <w:rFonts w:asciiTheme="majorBidi" w:hAnsiTheme="majorBidi" w:cstheme="majorBidi"/>
          <w:szCs w:val="22"/>
          <w:lang w:eastAsia="en-CA"/>
        </w:rPr>
        <w:t>, United States</w:t>
      </w:r>
    </w:p>
    <w:p w14:paraId="36C6B532" w14:textId="13D9292D" w:rsidR="00FA56B5" w:rsidRPr="001D5473" w:rsidRDefault="00FA56B5" w:rsidP="001D5473">
      <w:pPr>
        <w:spacing w:after="120" w:line="259" w:lineRule="auto"/>
        <w:ind w:left="284"/>
        <w:jc w:val="left"/>
        <w:rPr>
          <w:rFonts w:eastAsiaTheme="minorEastAsia"/>
          <w:kern w:val="2"/>
          <w:szCs w:val="22"/>
          <w:lang w:eastAsia="zh-CN"/>
          <w14:ligatures w14:val="standardContextual"/>
        </w:rPr>
      </w:pPr>
      <w:proofErr w:type="spellStart"/>
      <w:r w:rsidRPr="001D5473">
        <w:rPr>
          <w:rFonts w:asciiTheme="majorBidi" w:eastAsiaTheme="minorEastAsia" w:hAnsiTheme="majorBidi" w:cstheme="majorBidi"/>
          <w:kern w:val="2"/>
          <w:szCs w:val="22"/>
          <w:lang w:eastAsia="zh-CN"/>
          <w14:ligatures w14:val="standardContextual"/>
        </w:rPr>
        <w:t>Aeree</w:t>
      </w:r>
      <w:proofErr w:type="spellEnd"/>
      <w:r w:rsidRPr="001D5473">
        <w:rPr>
          <w:rFonts w:asciiTheme="majorBidi" w:eastAsiaTheme="minorEastAsia" w:hAnsiTheme="majorBidi" w:cstheme="majorBidi"/>
          <w:kern w:val="2"/>
          <w:szCs w:val="22"/>
          <w:lang w:eastAsia="zh-CN"/>
          <w14:ligatures w14:val="standardContextual"/>
        </w:rPr>
        <w:t xml:space="preserve"> </w:t>
      </w:r>
      <w:r w:rsidR="00C732FA" w:rsidRPr="001D5473">
        <w:rPr>
          <w:rFonts w:asciiTheme="majorBidi" w:eastAsiaTheme="minorEastAsia" w:hAnsiTheme="majorBidi" w:cstheme="majorBidi"/>
          <w:kern w:val="2"/>
          <w:szCs w:val="22"/>
          <w:lang w:eastAsia="zh-CN"/>
          <w14:ligatures w14:val="standardContextual"/>
        </w:rPr>
        <w:t xml:space="preserve">Joy </w:t>
      </w:r>
      <w:r w:rsidRPr="001D5473">
        <w:rPr>
          <w:rFonts w:asciiTheme="majorBidi" w:eastAsiaTheme="minorEastAsia" w:hAnsiTheme="majorBidi" w:cstheme="majorBidi"/>
          <w:kern w:val="2"/>
          <w:szCs w:val="22"/>
          <w:lang w:eastAsia="zh-CN"/>
          <w14:ligatures w14:val="standardContextual"/>
        </w:rPr>
        <w:t>Kim</w:t>
      </w:r>
      <w:r w:rsidRPr="001D5473">
        <w:rPr>
          <w:rFonts w:asciiTheme="majorBidi" w:eastAsiaTheme="minorEastAsia" w:hAnsiTheme="majorBidi" w:cstheme="majorBidi"/>
          <w:kern w:val="2"/>
          <w:szCs w:val="22"/>
          <w:lang w:eastAsia="zh-CN"/>
          <w14:ligatures w14:val="standardContextual"/>
        </w:rPr>
        <w:br/>
        <w:t>Economic Affairs Officer</w:t>
      </w:r>
      <w:r w:rsidRPr="001D5473">
        <w:rPr>
          <w:rFonts w:asciiTheme="majorBidi" w:eastAsiaTheme="minorEastAsia" w:hAnsiTheme="majorBidi" w:cstheme="majorBidi"/>
          <w:kern w:val="2"/>
          <w:szCs w:val="22"/>
          <w:lang w:eastAsia="zh-CN"/>
          <w14:ligatures w14:val="standardContextual"/>
        </w:rPr>
        <w:br/>
        <w:t>United Nations Environment Programme</w:t>
      </w:r>
      <w:r w:rsidRPr="001D5473">
        <w:rPr>
          <w:rFonts w:asciiTheme="majorBidi" w:eastAsiaTheme="minorEastAsia" w:hAnsiTheme="majorBidi" w:cstheme="majorBidi"/>
          <w:kern w:val="2"/>
          <w:szCs w:val="22"/>
          <w:lang w:eastAsia="zh-CN"/>
          <w14:ligatures w14:val="standardContextual"/>
        </w:rPr>
        <w:br/>
        <w:t>Nairobi, Kenya</w:t>
      </w:r>
    </w:p>
    <w:p w14:paraId="6AC2F7AD" w14:textId="0BCF9948" w:rsidR="00FE3B5B" w:rsidRPr="001D5473" w:rsidRDefault="00FE3B5B" w:rsidP="001D5473">
      <w:pPr>
        <w:spacing w:after="120" w:line="259" w:lineRule="auto"/>
        <w:ind w:left="284"/>
        <w:jc w:val="left"/>
        <w:rPr>
          <w:rFonts w:asciiTheme="majorBidi" w:eastAsiaTheme="minorEastAsia" w:hAnsiTheme="majorBidi" w:cstheme="majorBidi"/>
          <w:kern w:val="2"/>
          <w:szCs w:val="22"/>
          <w:lang w:eastAsia="zh-CN"/>
          <w14:ligatures w14:val="standardContextual"/>
        </w:rPr>
      </w:pPr>
      <w:r w:rsidRPr="001D5473">
        <w:rPr>
          <w:rFonts w:asciiTheme="majorBidi" w:eastAsiaTheme="minorEastAsia" w:hAnsiTheme="majorBidi" w:cstheme="majorBidi"/>
          <w:kern w:val="2"/>
          <w:szCs w:val="22"/>
          <w:lang w:eastAsia="zh-CN"/>
          <w14:ligatures w14:val="standardContextual"/>
        </w:rPr>
        <w:t xml:space="preserve">Ryo </w:t>
      </w:r>
      <w:proofErr w:type="spellStart"/>
      <w:r w:rsidRPr="001D5473">
        <w:rPr>
          <w:rFonts w:asciiTheme="majorBidi" w:eastAsiaTheme="minorEastAsia" w:hAnsiTheme="majorBidi" w:cstheme="majorBidi"/>
          <w:kern w:val="2"/>
          <w:szCs w:val="22"/>
          <w:lang w:eastAsia="zh-CN"/>
          <w14:ligatures w14:val="standardContextual"/>
        </w:rPr>
        <w:t>Kohsaka</w:t>
      </w:r>
      <w:proofErr w:type="spellEnd"/>
      <w:r w:rsidRPr="001D5473">
        <w:rPr>
          <w:rFonts w:asciiTheme="majorBidi" w:eastAsiaTheme="minorEastAsia" w:hAnsiTheme="majorBidi" w:cstheme="majorBidi"/>
          <w:kern w:val="2"/>
          <w:szCs w:val="22"/>
          <w:lang w:eastAsia="zh-CN"/>
          <w14:ligatures w14:val="standardContextual"/>
        </w:rPr>
        <w:br/>
        <w:t>Professor</w:t>
      </w:r>
      <w:r w:rsidRPr="001D5473">
        <w:rPr>
          <w:rFonts w:asciiTheme="majorBidi" w:eastAsiaTheme="minorEastAsia" w:hAnsiTheme="majorBidi" w:cstheme="majorBidi"/>
          <w:kern w:val="2"/>
          <w:szCs w:val="22"/>
          <w:lang w:eastAsia="zh-CN"/>
          <w14:ligatures w14:val="standardContextual"/>
        </w:rPr>
        <w:br/>
        <w:t>University of Tokyo</w:t>
      </w:r>
      <w:r w:rsidRPr="001D5473">
        <w:rPr>
          <w:rFonts w:asciiTheme="majorBidi" w:eastAsiaTheme="minorEastAsia" w:hAnsiTheme="majorBidi" w:cstheme="majorBidi"/>
          <w:kern w:val="2"/>
          <w:szCs w:val="22"/>
          <w:lang w:eastAsia="zh-CN"/>
          <w14:ligatures w14:val="standardContextual"/>
        </w:rPr>
        <w:br/>
      </w:r>
      <w:proofErr w:type="spellStart"/>
      <w:r w:rsidRPr="001D5473">
        <w:rPr>
          <w:rFonts w:asciiTheme="majorBidi" w:eastAsiaTheme="minorEastAsia" w:hAnsiTheme="majorBidi" w:cstheme="majorBidi"/>
          <w:kern w:val="2"/>
          <w:szCs w:val="22"/>
          <w:lang w:eastAsia="zh-CN"/>
          <w14:ligatures w14:val="standardContextual"/>
        </w:rPr>
        <w:t>Tokyo</w:t>
      </w:r>
      <w:proofErr w:type="spellEnd"/>
      <w:r w:rsidRPr="001D5473">
        <w:rPr>
          <w:rFonts w:asciiTheme="majorBidi" w:eastAsiaTheme="minorEastAsia" w:hAnsiTheme="majorBidi" w:cstheme="majorBidi"/>
          <w:kern w:val="2"/>
          <w:szCs w:val="22"/>
          <w:lang w:eastAsia="zh-CN"/>
          <w14:ligatures w14:val="standardContextual"/>
        </w:rPr>
        <w:t>, Japan</w:t>
      </w:r>
    </w:p>
    <w:p w14:paraId="00220740" w14:textId="4A8EA5E4" w:rsidR="00FA56B5" w:rsidRPr="001D5473" w:rsidRDefault="00FA56B5" w:rsidP="001D5473">
      <w:pPr>
        <w:spacing w:after="120" w:line="259" w:lineRule="auto"/>
        <w:ind w:left="284"/>
        <w:jc w:val="left"/>
        <w:rPr>
          <w:rFonts w:eastAsiaTheme="minorEastAsia"/>
          <w:color w:val="000000" w:themeColor="text1"/>
          <w:kern w:val="2"/>
          <w:szCs w:val="22"/>
          <w:lang w:eastAsia="zh-CN"/>
          <w14:ligatures w14:val="standardContextual"/>
        </w:rPr>
      </w:pPr>
      <w:r w:rsidRPr="001D5473">
        <w:rPr>
          <w:rFonts w:asciiTheme="majorBidi" w:eastAsiaTheme="minorEastAsia" w:hAnsiTheme="majorBidi" w:cstheme="majorBidi"/>
          <w:kern w:val="2"/>
          <w:szCs w:val="22"/>
          <w:lang w:eastAsia="zh-CN"/>
          <w14:ligatures w14:val="standardContextual"/>
        </w:rPr>
        <w:t>Steffi Schuster</w:t>
      </w:r>
      <w:r w:rsidRPr="001D5473">
        <w:rPr>
          <w:rFonts w:asciiTheme="majorBidi" w:eastAsiaTheme="minorEastAsia" w:hAnsiTheme="majorBidi" w:cstheme="majorBidi"/>
          <w:kern w:val="2"/>
          <w:szCs w:val="22"/>
          <w:lang w:eastAsia="zh-CN"/>
          <w14:ligatures w14:val="standardContextual"/>
        </w:rPr>
        <w:br/>
        <w:t>Division Chief, Government Finance</w:t>
      </w:r>
      <w:r w:rsidRPr="001D5473">
        <w:rPr>
          <w:rFonts w:asciiTheme="majorBidi" w:eastAsiaTheme="minorEastAsia" w:hAnsiTheme="majorBidi" w:cstheme="majorBidi"/>
          <w:kern w:val="2"/>
          <w:szCs w:val="22"/>
          <w:lang w:eastAsia="zh-CN"/>
          <w14:ligatures w14:val="standardContextual"/>
        </w:rPr>
        <w:br/>
        <w:t xml:space="preserve">International Monetary Fund </w:t>
      </w:r>
      <w:r w:rsidRPr="001D5473">
        <w:rPr>
          <w:rFonts w:asciiTheme="majorBidi" w:eastAsiaTheme="minorEastAsia" w:hAnsiTheme="majorBidi" w:cstheme="majorBidi"/>
          <w:kern w:val="2"/>
          <w:szCs w:val="22"/>
          <w:lang w:eastAsia="zh-CN"/>
          <w14:ligatures w14:val="standardContextual"/>
        </w:rPr>
        <w:br/>
        <w:t>Washington</w:t>
      </w:r>
      <w:r w:rsidR="00601198" w:rsidRPr="001D5473">
        <w:rPr>
          <w:rFonts w:asciiTheme="majorBidi" w:eastAsiaTheme="minorEastAsia" w:hAnsiTheme="majorBidi" w:cstheme="majorBidi"/>
          <w:kern w:val="2"/>
          <w:szCs w:val="22"/>
          <w:lang w:eastAsia="zh-CN"/>
          <w14:ligatures w14:val="standardContextual"/>
        </w:rPr>
        <w:t>,</w:t>
      </w:r>
      <w:r w:rsidRPr="001D5473">
        <w:rPr>
          <w:rFonts w:asciiTheme="majorBidi" w:eastAsiaTheme="minorEastAsia" w:hAnsiTheme="majorBidi" w:cstheme="majorBidi"/>
          <w:kern w:val="2"/>
          <w:szCs w:val="22"/>
          <w:lang w:eastAsia="zh-CN"/>
          <w14:ligatures w14:val="standardContextual"/>
        </w:rPr>
        <w:t xml:space="preserve"> D</w:t>
      </w:r>
      <w:r w:rsidR="00D83CC4" w:rsidRPr="001D5473">
        <w:rPr>
          <w:rFonts w:asciiTheme="majorBidi" w:eastAsiaTheme="minorEastAsia" w:hAnsiTheme="majorBidi" w:cstheme="majorBidi"/>
          <w:kern w:val="2"/>
          <w:szCs w:val="22"/>
          <w:lang w:eastAsia="zh-CN"/>
          <w14:ligatures w14:val="standardContextual"/>
        </w:rPr>
        <w:t>.</w:t>
      </w:r>
      <w:r w:rsidRPr="001D5473">
        <w:rPr>
          <w:rFonts w:asciiTheme="majorBidi" w:eastAsiaTheme="minorEastAsia" w:hAnsiTheme="majorBidi" w:cstheme="majorBidi"/>
          <w:kern w:val="2"/>
          <w:szCs w:val="22"/>
          <w:lang w:eastAsia="zh-CN"/>
          <w14:ligatures w14:val="standardContextual"/>
        </w:rPr>
        <w:t>C</w:t>
      </w:r>
      <w:r w:rsidR="00D83CC4" w:rsidRPr="001D5473">
        <w:rPr>
          <w:rFonts w:asciiTheme="majorBidi" w:eastAsiaTheme="minorEastAsia" w:hAnsiTheme="majorBidi" w:cstheme="majorBidi"/>
          <w:kern w:val="2"/>
          <w:szCs w:val="22"/>
          <w:lang w:eastAsia="zh-CN"/>
          <w14:ligatures w14:val="standardContextual"/>
        </w:rPr>
        <w:t>.</w:t>
      </w:r>
      <w:r w:rsidRPr="001D5473">
        <w:rPr>
          <w:rFonts w:asciiTheme="majorBidi" w:eastAsiaTheme="minorEastAsia" w:hAnsiTheme="majorBidi" w:cstheme="majorBidi"/>
          <w:kern w:val="2"/>
          <w:szCs w:val="22"/>
          <w:lang w:eastAsia="zh-CN"/>
          <w14:ligatures w14:val="standardContextual"/>
        </w:rPr>
        <w:t>, U</w:t>
      </w:r>
      <w:r w:rsidR="00D83CC4" w:rsidRPr="001D5473">
        <w:rPr>
          <w:rFonts w:asciiTheme="majorBidi" w:eastAsiaTheme="minorEastAsia" w:hAnsiTheme="majorBidi" w:cstheme="majorBidi"/>
          <w:kern w:val="2"/>
          <w:szCs w:val="22"/>
          <w:lang w:eastAsia="zh-CN"/>
          <w14:ligatures w14:val="standardContextual"/>
        </w:rPr>
        <w:t xml:space="preserve">nited </w:t>
      </w:r>
      <w:r w:rsidRPr="001D5473">
        <w:rPr>
          <w:rFonts w:asciiTheme="majorBidi" w:eastAsiaTheme="minorEastAsia" w:hAnsiTheme="majorBidi" w:cstheme="majorBidi"/>
          <w:kern w:val="2"/>
          <w:szCs w:val="22"/>
          <w:lang w:eastAsia="zh-CN"/>
          <w14:ligatures w14:val="standardContextual"/>
        </w:rPr>
        <w:t>S</w:t>
      </w:r>
      <w:r w:rsidR="00D83CC4" w:rsidRPr="001D5473">
        <w:rPr>
          <w:rFonts w:asciiTheme="majorBidi" w:eastAsiaTheme="minorEastAsia" w:hAnsiTheme="majorBidi" w:cstheme="majorBidi"/>
          <w:kern w:val="2"/>
          <w:szCs w:val="22"/>
          <w:lang w:eastAsia="zh-CN"/>
          <w14:ligatures w14:val="standardContextual"/>
        </w:rPr>
        <w:t>tates</w:t>
      </w:r>
    </w:p>
    <w:p w14:paraId="36CABB0F" w14:textId="4AE74FA4" w:rsidR="00121641" w:rsidRPr="001D5473" w:rsidRDefault="00FA56B5" w:rsidP="001D5473">
      <w:pPr>
        <w:ind w:left="284" w:right="44"/>
        <w:jc w:val="left"/>
        <w:rPr>
          <w:szCs w:val="22"/>
          <w:lang w:eastAsia="en-CA"/>
        </w:rPr>
      </w:pPr>
      <w:r w:rsidRPr="001D5473">
        <w:rPr>
          <w:rFonts w:asciiTheme="majorBidi" w:eastAsiaTheme="minorEastAsia" w:hAnsiTheme="majorBidi" w:cstheme="majorBidi"/>
          <w:kern w:val="2"/>
          <w:szCs w:val="22"/>
          <w:lang w:eastAsia="zh-CN"/>
          <w14:ligatures w14:val="standardContextual"/>
        </w:rPr>
        <w:t xml:space="preserve">Annabelle Trinidad </w:t>
      </w:r>
      <w:r w:rsidRPr="001D5473">
        <w:rPr>
          <w:rFonts w:asciiTheme="majorBidi" w:eastAsiaTheme="minorEastAsia" w:hAnsiTheme="majorBidi" w:cstheme="majorBidi"/>
          <w:kern w:val="2"/>
          <w:szCs w:val="22"/>
          <w:lang w:eastAsia="zh-CN"/>
          <w14:ligatures w14:val="standardContextual"/>
        </w:rPr>
        <w:br/>
        <w:t>Senior Technical Advisor</w:t>
      </w:r>
      <w:r w:rsidRPr="001D5473">
        <w:rPr>
          <w:rFonts w:asciiTheme="majorBidi" w:eastAsiaTheme="minorEastAsia" w:hAnsiTheme="majorBidi" w:cstheme="majorBidi"/>
          <w:kern w:val="2"/>
          <w:szCs w:val="22"/>
          <w:lang w:eastAsia="zh-CN"/>
          <w14:ligatures w14:val="standardContextual"/>
        </w:rPr>
        <w:br/>
        <w:t>Biodiversity Finance Initiative</w:t>
      </w:r>
      <w:r w:rsidRPr="001D5473">
        <w:rPr>
          <w:rFonts w:asciiTheme="majorBidi" w:eastAsiaTheme="minorEastAsia" w:hAnsiTheme="majorBidi" w:cstheme="majorBidi"/>
          <w:kern w:val="2"/>
          <w:szCs w:val="22"/>
          <w:lang w:eastAsia="zh-CN"/>
          <w14:ligatures w14:val="standardContextual"/>
        </w:rPr>
        <w:br/>
        <w:t>Istanbul, Turkey</w:t>
      </w:r>
    </w:p>
    <w:p w14:paraId="592BCA07" w14:textId="3B4285DB" w:rsidR="00FA56B5" w:rsidRPr="001D5473" w:rsidRDefault="00803633" w:rsidP="001D5473">
      <w:pPr>
        <w:spacing w:before="240" w:after="160" w:line="259" w:lineRule="auto"/>
        <w:jc w:val="left"/>
        <w:rPr>
          <w:b/>
          <w:bCs/>
          <w:szCs w:val="22"/>
          <w:u w:val="single"/>
          <w:lang w:eastAsia="en-CA"/>
        </w:rPr>
      </w:pPr>
      <w:r w:rsidRPr="001D5473">
        <w:rPr>
          <w:rFonts w:asciiTheme="majorBidi" w:eastAsiaTheme="minorEastAsia" w:hAnsiTheme="majorBidi" w:cstheme="majorBidi"/>
          <w:b/>
          <w:bCs/>
          <w:kern w:val="2"/>
          <w:sz w:val="24"/>
          <w:lang w:eastAsia="zh-CN"/>
          <w14:ligatures w14:val="standardContextual"/>
        </w:rPr>
        <w:t>Secretariat of the Convention on Biological Diversity</w:t>
      </w:r>
    </w:p>
    <w:p w14:paraId="2F26CEA3" w14:textId="0215FA87" w:rsidR="002F1F43" w:rsidRPr="001D5473" w:rsidRDefault="002F1F43" w:rsidP="001D5473">
      <w:pPr>
        <w:ind w:left="284" w:right="44"/>
        <w:jc w:val="left"/>
        <w:rPr>
          <w:rFonts w:asciiTheme="majorBidi" w:hAnsiTheme="majorBidi" w:cstheme="majorBidi"/>
          <w:szCs w:val="22"/>
          <w:lang w:eastAsia="en-CA"/>
        </w:rPr>
      </w:pPr>
      <w:r w:rsidRPr="001D5473">
        <w:rPr>
          <w:rFonts w:asciiTheme="majorBidi" w:hAnsiTheme="majorBidi" w:cstheme="majorBidi"/>
          <w:szCs w:val="22"/>
          <w:lang w:eastAsia="en-CA"/>
        </w:rPr>
        <w:t>David Cooper</w:t>
      </w:r>
    </w:p>
    <w:p w14:paraId="763C40E3" w14:textId="35049A17" w:rsidR="002F1F43" w:rsidRPr="001D5473" w:rsidRDefault="002F1F43" w:rsidP="001D5473">
      <w:pPr>
        <w:ind w:left="284" w:right="44"/>
        <w:jc w:val="left"/>
        <w:rPr>
          <w:rFonts w:asciiTheme="majorBidi" w:hAnsiTheme="majorBidi" w:cstheme="majorBidi"/>
          <w:szCs w:val="22"/>
          <w:lang w:eastAsia="en-CA"/>
        </w:rPr>
      </w:pPr>
      <w:r w:rsidRPr="001D5473">
        <w:rPr>
          <w:rFonts w:asciiTheme="majorBidi" w:hAnsiTheme="majorBidi" w:cstheme="majorBidi"/>
          <w:szCs w:val="22"/>
          <w:lang w:eastAsia="en-CA"/>
        </w:rPr>
        <w:t>Acting Executive Secretary</w:t>
      </w:r>
    </w:p>
    <w:p w14:paraId="00922C9F" w14:textId="0C9830C9" w:rsidR="002F1F43" w:rsidRPr="001D5473" w:rsidRDefault="002F1F43" w:rsidP="001D5473">
      <w:pPr>
        <w:spacing w:before="120"/>
        <w:ind w:left="284" w:right="44"/>
        <w:jc w:val="left"/>
        <w:rPr>
          <w:rFonts w:asciiTheme="majorBidi" w:hAnsiTheme="majorBidi" w:cstheme="majorBidi"/>
          <w:szCs w:val="22"/>
          <w:lang w:eastAsia="en-CA"/>
        </w:rPr>
      </w:pPr>
      <w:r w:rsidRPr="001D5473">
        <w:rPr>
          <w:rFonts w:asciiTheme="majorBidi" w:hAnsiTheme="majorBidi" w:cstheme="majorBidi"/>
          <w:szCs w:val="22"/>
          <w:lang w:eastAsia="en-CA"/>
        </w:rPr>
        <w:t>Jihyun Lee</w:t>
      </w:r>
    </w:p>
    <w:p w14:paraId="757B7921" w14:textId="1A5869FE" w:rsidR="002F1F43" w:rsidRPr="001D5473" w:rsidRDefault="002F1F43" w:rsidP="001D5473">
      <w:pPr>
        <w:ind w:left="284" w:right="44"/>
        <w:jc w:val="left"/>
        <w:rPr>
          <w:rFonts w:asciiTheme="majorBidi" w:hAnsiTheme="majorBidi" w:cstheme="majorBidi"/>
          <w:szCs w:val="22"/>
          <w:lang w:eastAsia="en-CA"/>
        </w:rPr>
      </w:pPr>
      <w:r w:rsidRPr="001D5473">
        <w:rPr>
          <w:rFonts w:asciiTheme="majorBidi" w:hAnsiTheme="majorBidi" w:cstheme="majorBidi"/>
          <w:szCs w:val="22"/>
          <w:lang w:eastAsia="en-CA"/>
        </w:rPr>
        <w:t xml:space="preserve">Principal </w:t>
      </w:r>
      <w:r w:rsidR="00D92D59" w:rsidRPr="001D5473">
        <w:rPr>
          <w:rFonts w:asciiTheme="majorBidi" w:hAnsiTheme="majorBidi" w:cstheme="majorBidi"/>
          <w:szCs w:val="22"/>
          <w:lang w:eastAsia="en-CA"/>
        </w:rPr>
        <w:t xml:space="preserve">Programme Management </w:t>
      </w:r>
      <w:r w:rsidRPr="001D5473">
        <w:rPr>
          <w:rFonts w:asciiTheme="majorBidi" w:hAnsiTheme="majorBidi" w:cstheme="majorBidi"/>
          <w:szCs w:val="22"/>
          <w:lang w:eastAsia="en-CA"/>
        </w:rPr>
        <w:t>Officer</w:t>
      </w:r>
    </w:p>
    <w:p w14:paraId="1CE2E369" w14:textId="4CE70752" w:rsidR="002F1F43" w:rsidRPr="001D5473" w:rsidRDefault="002F1F43" w:rsidP="001D5473">
      <w:pPr>
        <w:spacing w:before="120"/>
        <w:ind w:left="284" w:right="44"/>
        <w:jc w:val="left"/>
        <w:rPr>
          <w:rFonts w:asciiTheme="majorBidi" w:hAnsiTheme="majorBidi" w:cstheme="majorBidi"/>
          <w:szCs w:val="22"/>
          <w:lang w:eastAsia="en-CA"/>
        </w:rPr>
      </w:pPr>
      <w:r w:rsidRPr="001D5473">
        <w:rPr>
          <w:rFonts w:asciiTheme="majorBidi" w:hAnsiTheme="majorBidi" w:cstheme="majorBidi"/>
          <w:szCs w:val="22"/>
          <w:lang w:eastAsia="en-CA"/>
        </w:rPr>
        <w:t>Markus Lehmann</w:t>
      </w:r>
    </w:p>
    <w:p w14:paraId="596CC70A" w14:textId="6AF63C9A" w:rsidR="002F1F43" w:rsidRPr="001D5473" w:rsidRDefault="002F1F43" w:rsidP="001D5473">
      <w:pPr>
        <w:spacing w:after="120"/>
        <w:ind w:left="284" w:right="44"/>
        <w:jc w:val="left"/>
        <w:rPr>
          <w:rFonts w:asciiTheme="majorBidi" w:hAnsiTheme="majorBidi" w:cstheme="majorBidi"/>
          <w:szCs w:val="22"/>
          <w:lang w:eastAsia="en-CA"/>
        </w:rPr>
      </w:pPr>
      <w:r w:rsidRPr="001D5473">
        <w:rPr>
          <w:rFonts w:asciiTheme="majorBidi" w:hAnsiTheme="majorBidi" w:cstheme="majorBidi"/>
          <w:szCs w:val="22"/>
          <w:lang w:eastAsia="en-CA"/>
        </w:rPr>
        <w:t>Senior Programme Management Officer</w:t>
      </w:r>
    </w:p>
    <w:p w14:paraId="1D6844D7" w14:textId="12981B68" w:rsidR="002F1F43" w:rsidRPr="001D5473" w:rsidRDefault="002F1F43" w:rsidP="001D5473">
      <w:pPr>
        <w:ind w:left="284" w:right="44"/>
        <w:jc w:val="left"/>
        <w:rPr>
          <w:rFonts w:asciiTheme="majorBidi" w:hAnsiTheme="majorBidi" w:cstheme="majorBidi"/>
          <w:szCs w:val="22"/>
          <w:lang w:eastAsia="en-CA"/>
        </w:rPr>
      </w:pPr>
      <w:r w:rsidRPr="001D5473">
        <w:rPr>
          <w:rFonts w:asciiTheme="majorBidi" w:hAnsiTheme="majorBidi" w:cstheme="majorBidi"/>
          <w:szCs w:val="22"/>
          <w:lang w:eastAsia="en-CA"/>
        </w:rPr>
        <w:t>Jillian Campbell</w:t>
      </w:r>
      <w:r w:rsidRPr="001D5473">
        <w:rPr>
          <w:rFonts w:asciiTheme="majorBidi" w:hAnsiTheme="majorBidi" w:cstheme="majorBidi"/>
          <w:szCs w:val="22"/>
          <w:lang w:eastAsia="en-CA"/>
        </w:rPr>
        <w:br/>
        <w:t>Senior Programme Management Officer</w:t>
      </w:r>
    </w:p>
    <w:p w14:paraId="4425AB6C" w14:textId="70601C9A" w:rsidR="002F1F43" w:rsidRPr="001D5473" w:rsidRDefault="002F1F43" w:rsidP="001D5473">
      <w:pPr>
        <w:keepNext/>
        <w:spacing w:before="120"/>
        <w:ind w:left="288" w:right="43"/>
        <w:jc w:val="left"/>
        <w:rPr>
          <w:rFonts w:asciiTheme="majorBidi" w:hAnsiTheme="majorBidi" w:cstheme="majorBidi"/>
          <w:szCs w:val="22"/>
          <w:lang w:eastAsia="en-CA"/>
        </w:rPr>
      </w:pPr>
      <w:r w:rsidRPr="001D5473">
        <w:rPr>
          <w:rFonts w:asciiTheme="majorBidi" w:hAnsiTheme="majorBidi" w:cstheme="majorBidi"/>
          <w:szCs w:val="22"/>
          <w:lang w:eastAsia="en-CA"/>
        </w:rPr>
        <w:lastRenderedPageBreak/>
        <w:t>Bianca Brasil</w:t>
      </w:r>
    </w:p>
    <w:p w14:paraId="1C7E41A0" w14:textId="303487D9" w:rsidR="002F1F43" w:rsidRPr="001D5473" w:rsidRDefault="002F1F43" w:rsidP="001D5473">
      <w:pPr>
        <w:ind w:left="284" w:right="44"/>
        <w:jc w:val="left"/>
        <w:rPr>
          <w:rFonts w:asciiTheme="majorBidi" w:hAnsiTheme="majorBidi" w:cstheme="majorBidi"/>
          <w:szCs w:val="22"/>
          <w:lang w:eastAsia="en-CA"/>
        </w:rPr>
      </w:pPr>
      <w:r w:rsidRPr="001D5473">
        <w:rPr>
          <w:rFonts w:asciiTheme="majorBidi" w:hAnsiTheme="majorBidi" w:cstheme="majorBidi"/>
          <w:szCs w:val="22"/>
          <w:lang w:eastAsia="en-CA"/>
        </w:rPr>
        <w:t>Programme Management Officer</w:t>
      </w:r>
    </w:p>
    <w:p w14:paraId="03AC9668" w14:textId="3364D1B5" w:rsidR="002F1F43" w:rsidRPr="001D5473" w:rsidRDefault="002F1F43" w:rsidP="001D5473">
      <w:pPr>
        <w:spacing w:before="120"/>
        <w:ind w:left="284" w:right="44"/>
        <w:jc w:val="left"/>
        <w:rPr>
          <w:rFonts w:asciiTheme="majorBidi" w:hAnsiTheme="majorBidi" w:cstheme="majorBidi"/>
          <w:szCs w:val="22"/>
          <w:lang w:val="fr-FR" w:eastAsia="en-CA"/>
        </w:rPr>
      </w:pPr>
      <w:r w:rsidRPr="001D5473">
        <w:rPr>
          <w:rFonts w:asciiTheme="majorBidi" w:hAnsiTheme="majorBidi" w:cstheme="majorBidi"/>
          <w:szCs w:val="22"/>
          <w:lang w:val="fr-FR" w:eastAsia="en-CA"/>
        </w:rPr>
        <w:t>Lijie Cai</w:t>
      </w:r>
      <w:r w:rsidRPr="001D5473">
        <w:rPr>
          <w:rFonts w:asciiTheme="majorBidi" w:hAnsiTheme="majorBidi" w:cstheme="majorBidi"/>
          <w:szCs w:val="22"/>
          <w:lang w:val="fr-FR" w:eastAsia="en-CA"/>
        </w:rPr>
        <w:br/>
        <w:t xml:space="preserve">Programme Management </w:t>
      </w:r>
      <w:proofErr w:type="spellStart"/>
      <w:r w:rsidRPr="001D5473">
        <w:rPr>
          <w:rFonts w:asciiTheme="majorBidi" w:hAnsiTheme="majorBidi" w:cstheme="majorBidi"/>
          <w:szCs w:val="22"/>
          <w:lang w:val="fr-FR" w:eastAsia="en-CA"/>
        </w:rPr>
        <w:t>Officer</w:t>
      </w:r>
      <w:proofErr w:type="spellEnd"/>
    </w:p>
    <w:p w14:paraId="0F12D0DA" w14:textId="3DCDDE34" w:rsidR="002F1F43" w:rsidRPr="001D5473" w:rsidRDefault="002F1F43" w:rsidP="001D5473">
      <w:pPr>
        <w:spacing w:before="120"/>
        <w:ind w:left="284" w:right="44"/>
        <w:jc w:val="left"/>
        <w:rPr>
          <w:rFonts w:asciiTheme="majorBidi" w:hAnsiTheme="majorBidi" w:cstheme="majorBidi"/>
          <w:szCs w:val="22"/>
          <w:lang w:eastAsia="en-CA"/>
        </w:rPr>
      </w:pPr>
      <w:r w:rsidRPr="001D5473">
        <w:rPr>
          <w:rFonts w:asciiTheme="majorBidi" w:hAnsiTheme="majorBidi" w:cstheme="majorBidi"/>
          <w:szCs w:val="22"/>
          <w:lang w:eastAsia="en-CA"/>
        </w:rPr>
        <w:t>Hirotsugu Takahashi</w:t>
      </w:r>
    </w:p>
    <w:p w14:paraId="66786680" w14:textId="0D37218B" w:rsidR="00370DF0" w:rsidRPr="001D5473" w:rsidRDefault="002F1F43" w:rsidP="00370DF0">
      <w:pPr>
        <w:ind w:left="284" w:right="44"/>
        <w:jc w:val="left"/>
        <w:rPr>
          <w:rFonts w:asciiTheme="majorBidi" w:hAnsiTheme="majorBidi" w:cstheme="majorBidi"/>
          <w:szCs w:val="22"/>
          <w:lang w:eastAsia="en-CA"/>
        </w:rPr>
      </w:pPr>
      <w:r w:rsidRPr="001D5473">
        <w:rPr>
          <w:rFonts w:asciiTheme="majorBidi" w:hAnsiTheme="majorBidi" w:cstheme="majorBidi"/>
          <w:szCs w:val="22"/>
          <w:lang w:eastAsia="en-CA"/>
        </w:rPr>
        <w:t>Junior Programme Officer</w:t>
      </w:r>
    </w:p>
    <w:p w14:paraId="335EB8B6" w14:textId="652D68FB" w:rsidR="002F1F43" w:rsidRPr="001D5473" w:rsidRDefault="002F1F43" w:rsidP="001D5473">
      <w:pPr>
        <w:spacing w:before="120"/>
        <w:ind w:left="284" w:right="44"/>
        <w:jc w:val="left"/>
        <w:rPr>
          <w:rFonts w:asciiTheme="majorBidi" w:hAnsiTheme="majorBidi" w:cstheme="majorBidi"/>
          <w:szCs w:val="22"/>
          <w:lang w:eastAsia="en-CA"/>
        </w:rPr>
      </w:pPr>
      <w:r w:rsidRPr="001D5473">
        <w:rPr>
          <w:rFonts w:asciiTheme="majorBidi" w:hAnsiTheme="majorBidi" w:cstheme="majorBidi"/>
          <w:szCs w:val="22"/>
          <w:lang w:eastAsia="en-CA"/>
        </w:rPr>
        <w:t>Gordana Dosen</w:t>
      </w:r>
    </w:p>
    <w:p w14:paraId="53E0ED2A" w14:textId="77777777" w:rsidR="002F1F43" w:rsidRPr="001D5473" w:rsidRDefault="002F1F43" w:rsidP="001D5473">
      <w:pPr>
        <w:ind w:left="284" w:right="44"/>
        <w:jc w:val="left"/>
        <w:rPr>
          <w:rFonts w:asciiTheme="majorBidi" w:hAnsiTheme="majorBidi" w:cstheme="majorBidi"/>
          <w:szCs w:val="22"/>
          <w:lang w:eastAsia="en-CA"/>
        </w:rPr>
      </w:pPr>
      <w:r w:rsidRPr="001D5473">
        <w:rPr>
          <w:rFonts w:asciiTheme="majorBidi" w:hAnsiTheme="majorBidi" w:cstheme="majorBidi"/>
          <w:szCs w:val="22"/>
          <w:lang w:eastAsia="en-CA"/>
        </w:rPr>
        <w:t>Programme Management Assistant</w:t>
      </w:r>
    </w:p>
    <w:p w14:paraId="3AE4EAD0" w14:textId="77777777" w:rsidR="00370DF0" w:rsidRPr="001D5473" w:rsidRDefault="00370DF0" w:rsidP="00370DF0">
      <w:pPr>
        <w:spacing w:before="120"/>
        <w:ind w:left="284" w:right="44"/>
        <w:jc w:val="left"/>
        <w:rPr>
          <w:rFonts w:asciiTheme="majorBidi" w:hAnsiTheme="majorBidi" w:cstheme="majorBidi"/>
          <w:szCs w:val="22"/>
          <w:lang w:eastAsia="en-CA"/>
        </w:rPr>
      </w:pPr>
      <w:r w:rsidRPr="001D5473">
        <w:rPr>
          <w:rFonts w:asciiTheme="majorBidi" w:hAnsiTheme="majorBidi" w:cstheme="majorBidi"/>
          <w:szCs w:val="22"/>
          <w:lang w:eastAsia="en-CA"/>
        </w:rPr>
        <w:t>Guilherme Patury</w:t>
      </w:r>
    </w:p>
    <w:p w14:paraId="074ACB20" w14:textId="79B9E402" w:rsidR="006C39D1" w:rsidRPr="001D5473" w:rsidRDefault="00370DF0" w:rsidP="00370DF0">
      <w:pPr>
        <w:ind w:left="284" w:right="44"/>
        <w:jc w:val="left"/>
        <w:rPr>
          <w:rFonts w:asciiTheme="majorBidi" w:hAnsiTheme="majorBidi" w:cstheme="majorBidi"/>
          <w:szCs w:val="22"/>
          <w:lang w:eastAsia="en-CA"/>
        </w:rPr>
      </w:pPr>
      <w:r w:rsidRPr="001D5473">
        <w:rPr>
          <w:rFonts w:asciiTheme="majorBidi" w:hAnsiTheme="majorBidi" w:cstheme="majorBidi"/>
          <w:szCs w:val="22"/>
          <w:lang w:eastAsia="en-CA"/>
        </w:rPr>
        <w:t>Individual contractor</w:t>
      </w:r>
    </w:p>
    <w:p w14:paraId="4D6C3EC1" w14:textId="77777777" w:rsidR="00F014CC" w:rsidRPr="001D5473" w:rsidRDefault="00F014CC" w:rsidP="00F014CC">
      <w:pPr>
        <w:spacing w:before="120"/>
        <w:ind w:left="284" w:right="44"/>
        <w:jc w:val="left"/>
        <w:rPr>
          <w:rFonts w:asciiTheme="majorBidi" w:hAnsiTheme="majorBidi" w:cstheme="majorBidi"/>
          <w:szCs w:val="22"/>
          <w:lang w:eastAsia="en-CA"/>
        </w:rPr>
      </w:pPr>
      <w:r w:rsidRPr="001D5473">
        <w:rPr>
          <w:rFonts w:asciiTheme="majorBidi" w:hAnsiTheme="majorBidi" w:cstheme="majorBidi"/>
          <w:szCs w:val="22"/>
          <w:lang w:eastAsia="en-CA"/>
        </w:rPr>
        <w:t>Usman Tariq</w:t>
      </w:r>
    </w:p>
    <w:p w14:paraId="6E087AE6" w14:textId="5DF42A2C" w:rsidR="00F014CC" w:rsidRPr="001D5473" w:rsidRDefault="00F014CC" w:rsidP="001D5473">
      <w:pPr>
        <w:ind w:left="284" w:right="44"/>
        <w:jc w:val="left"/>
      </w:pPr>
      <w:r w:rsidRPr="001D5473">
        <w:rPr>
          <w:rFonts w:asciiTheme="majorBidi" w:hAnsiTheme="majorBidi" w:cstheme="majorBidi"/>
          <w:szCs w:val="22"/>
          <w:lang w:eastAsia="en-CA"/>
        </w:rPr>
        <w:t>Consultant</w:t>
      </w:r>
    </w:p>
    <w:p w14:paraId="4817EB1F" w14:textId="013FABF6" w:rsidR="00AC58C7" w:rsidRPr="001D5473" w:rsidRDefault="006A6152" w:rsidP="00B13A1C">
      <w:pPr>
        <w:pStyle w:val="Para1"/>
        <w:numPr>
          <w:ilvl w:val="0"/>
          <w:numId w:val="0"/>
        </w:numPr>
        <w:jc w:val="center"/>
      </w:pPr>
      <w:r w:rsidRPr="001D5473">
        <w:t>__________</w:t>
      </w:r>
    </w:p>
    <w:sectPr w:rsidR="00AC58C7" w:rsidRPr="001D5473" w:rsidSect="00302717">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D8C4" w14:textId="77777777" w:rsidR="00302717" w:rsidRDefault="00302717" w:rsidP="00A96B21">
      <w:r>
        <w:separator/>
      </w:r>
    </w:p>
  </w:endnote>
  <w:endnote w:type="continuationSeparator" w:id="0">
    <w:p w14:paraId="130B6025" w14:textId="77777777" w:rsidR="00302717" w:rsidRDefault="00302717" w:rsidP="00A96B21">
      <w:r>
        <w:continuationSeparator/>
      </w:r>
    </w:p>
  </w:endnote>
  <w:endnote w:type="continuationNotice" w:id="1">
    <w:p w14:paraId="21233FEA" w14:textId="77777777" w:rsidR="00302717" w:rsidRDefault="00302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panose1 w:val="02020803070505020304"/>
    <w:charset w:val="00"/>
    <w:family w:val="roman"/>
    <w:notTrueType/>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41BA8C5A"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2292E2BE" w14:textId="77777777" w:rsidR="002B559C" w:rsidRDefault="002B559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A201" w14:textId="129FADB7" w:rsidR="001D5473" w:rsidRDefault="001D5473" w:rsidP="001D5473">
    <w:pPr>
      <w:pStyle w:val="Footer"/>
      <w:jc w:val="left"/>
    </w:pPr>
    <w:sdt>
      <w:sdtPr>
        <w:id w:val="2065830978"/>
        <w:docPartObj>
          <w:docPartGallery w:val="Page Numbers (Top of Page)"/>
          <w:docPartUnique/>
        </w:docPartObj>
      </w:sdtPr>
      <w:sdtContent>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3</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16</w:t>
        </w:r>
        <w:r w:rsidRPr="002B559C">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F251" w14:textId="77777777" w:rsidR="00302717" w:rsidRDefault="00302717" w:rsidP="00A96B21">
      <w:r>
        <w:separator/>
      </w:r>
    </w:p>
  </w:footnote>
  <w:footnote w:type="continuationSeparator" w:id="0">
    <w:p w14:paraId="54923B24" w14:textId="77777777" w:rsidR="00302717" w:rsidRDefault="00302717" w:rsidP="00A96B21">
      <w:r>
        <w:continuationSeparator/>
      </w:r>
    </w:p>
  </w:footnote>
  <w:footnote w:type="continuationNotice" w:id="1">
    <w:p w14:paraId="067B0C86" w14:textId="77777777" w:rsidR="00302717" w:rsidRDefault="00302717"/>
  </w:footnote>
  <w:footnote w:id="2">
    <w:p w14:paraId="015BF018" w14:textId="7E319EC4" w:rsidR="001C6447" w:rsidRPr="001C6447" w:rsidRDefault="001C6447">
      <w:pPr>
        <w:pStyle w:val="FootnoteText"/>
      </w:pPr>
      <w:r>
        <w:rPr>
          <w:rStyle w:val="FootnoteReference"/>
        </w:rPr>
        <w:footnoteRef/>
      </w:r>
      <w:r w:rsidRPr="002F3BD0">
        <w:t xml:space="preserve"> </w:t>
      </w:r>
      <w:hyperlink r:id="rId1" w:history="1">
        <w:r w:rsidRPr="002F3BD0">
          <w:rPr>
            <w:rStyle w:val="Hyperlink"/>
          </w:rPr>
          <w:t>CBD/IN</w:t>
        </w:r>
        <w:r w:rsidR="00CE4647">
          <w:rPr>
            <w:rStyle w:val="Hyperlink"/>
          </w:rPr>
          <w:t>D</w:t>
        </w:r>
        <w:r w:rsidRPr="002F3BD0">
          <w:rPr>
            <w:rStyle w:val="Hyperlink"/>
          </w:rPr>
          <w:t>/AHTEG/2023/3/2</w:t>
        </w:r>
      </w:hyperlink>
      <w:r>
        <w:rPr>
          <w:rStyle w:val="Hyperlink"/>
        </w:rPr>
        <w:t>.</w:t>
      </w:r>
    </w:p>
  </w:footnote>
  <w:footnote w:id="3">
    <w:p w14:paraId="5CAEA97A" w14:textId="10FFAC27" w:rsidR="00CC4605" w:rsidRPr="00CC4605" w:rsidRDefault="00CC4605">
      <w:pPr>
        <w:pStyle w:val="FootnoteText"/>
        <w:rPr>
          <w:lang w:val="en-US"/>
        </w:rPr>
      </w:pPr>
      <w:r>
        <w:rPr>
          <w:rStyle w:val="FootnoteReference"/>
        </w:rPr>
        <w:footnoteRef/>
      </w:r>
      <w:r>
        <w:t xml:space="preserve"> </w:t>
      </w:r>
      <w:hyperlink r:id="rId2" w:history="1">
        <w:r w:rsidRPr="001D5473">
          <w:rPr>
            <w:rStyle w:val="Hyperlink"/>
            <w:sz w:val="18"/>
            <w:szCs w:val="18"/>
          </w:rPr>
          <w:t>https://chm.cbd.int/search/reporting-map?filter=resourceMobilisation</w:t>
        </w:r>
      </w:hyperlink>
      <w:r w:rsidRPr="001D5473">
        <w:rPr>
          <w:sz w:val="18"/>
          <w:szCs w:val="18"/>
        </w:rPr>
        <w:t>.</w:t>
      </w:r>
    </w:p>
  </w:footnote>
  <w:footnote w:id="4">
    <w:p w14:paraId="01696784" w14:textId="0329EAC1" w:rsidR="001A134A" w:rsidRPr="001D5473" w:rsidRDefault="001A134A">
      <w:pPr>
        <w:pStyle w:val="FootnoteText"/>
        <w:rPr>
          <w:sz w:val="18"/>
          <w:szCs w:val="18"/>
          <w:lang w:val="en-US"/>
        </w:rPr>
      </w:pPr>
      <w:r w:rsidRPr="001D5473">
        <w:rPr>
          <w:rStyle w:val="FootnoteReference"/>
          <w:sz w:val="18"/>
          <w:szCs w:val="18"/>
        </w:rPr>
        <w:footnoteRef/>
      </w:r>
      <w:r w:rsidRPr="001D5473">
        <w:rPr>
          <w:sz w:val="18"/>
          <w:szCs w:val="18"/>
        </w:rPr>
        <w:t xml:space="preserve"> CBD/IND/AHTEG/2023/3/2.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44A4AA80" w14:textId="4028745D" w:rsidR="002B559C" w:rsidRPr="0012010F" w:rsidRDefault="00000000" w:rsidP="002B559C">
    <w:pPr>
      <w:pStyle w:val="Header"/>
      <w:pBdr>
        <w:bottom w:val="single" w:sz="4" w:space="1" w:color="auto"/>
      </w:pBdr>
      <w:spacing w:after="240"/>
      <w:rPr>
        <w:sz w:val="20"/>
        <w:szCs w:val="20"/>
        <w:lang w:val="de-DE"/>
      </w:rPr>
    </w:pPr>
    <w:sdt>
      <w:sdtPr>
        <w:rPr>
          <w:sz w:val="20"/>
          <w:szCs w:val="20"/>
          <w:lang w:val="de-DE"/>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6358F1" w:rsidRPr="0012010F">
          <w:rPr>
            <w:sz w:val="20"/>
            <w:szCs w:val="20"/>
            <w:lang w:val="de-DE"/>
          </w:rPr>
          <w:t>CBD/FM/TEG/2023/1/3</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0D8933E2" w14:textId="77777777" w:rsidR="002B559C" w:rsidRPr="002B559C" w:rsidRDefault="00CF70AB" w:rsidP="002B559C">
        <w:pPr>
          <w:pStyle w:val="Header"/>
          <w:pBdr>
            <w:bottom w:val="single" w:sz="4" w:space="1" w:color="auto"/>
          </w:pBdr>
          <w:spacing w:after="240"/>
          <w:jc w:val="right"/>
          <w:rPr>
            <w:sz w:val="20"/>
            <w:szCs w:val="20"/>
            <w:lang w:val="fr-FR"/>
          </w:rPr>
        </w:pPr>
        <w:r>
          <w:rPr>
            <w:sz w:val="20"/>
            <w:szCs w:val="20"/>
            <w:lang w:val="fr-FR"/>
          </w:rPr>
          <w:t>CBD/</w:t>
        </w:r>
        <w:r w:rsidR="00B1444B">
          <w:rPr>
            <w:sz w:val="20"/>
            <w:szCs w:val="20"/>
            <w:lang w:val="fr-FR"/>
          </w:rPr>
          <w:t>FM/TEG/2023/1/3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6102"/>
    <w:multiLevelType w:val="hybridMultilevel"/>
    <w:tmpl w:val="5606A2E2"/>
    <w:lvl w:ilvl="0" w:tplc="514ADEFE">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 w15:restartNumberingAfterBreak="0">
    <w:nsid w:val="1D742776"/>
    <w:multiLevelType w:val="hybridMultilevel"/>
    <w:tmpl w:val="987C7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21822351"/>
    <w:multiLevelType w:val="hybridMultilevel"/>
    <w:tmpl w:val="717ACBDE"/>
    <w:lvl w:ilvl="0" w:tplc="43C07A90">
      <w:start w:val="1"/>
      <w:numFmt w:val="lowerLetter"/>
      <w:lvlText w:val="(%1)"/>
      <w:lvlJc w:val="left"/>
      <w:pPr>
        <w:ind w:left="1487" w:hanging="360"/>
      </w:pPr>
      <w:rPr>
        <w:rFonts w:hint="default"/>
      </w:rPr>
    </w:lvl>
    <w:lvl w:ilvl="1" w:tplc="10090019" w:tentative="1">
      <w:start w:val="1"/>
      <w:numFmt w:val="lowerLetter"/>
      <w:lvlText w:val="%2."/>
      <w:lvlJc w:val="left"/>
      <w:pPr>
        <w:ind w:left="2207" w:hanging="360"/>
      </w:pPr>
    </w:lvl>
    <w:lvl w:ilvl="2" w:tplc="1009001B" w:tentative="1">
      <w:start w:val="1"/>
      <w:numFmt w:val="lowerRoman"/>
      <w:lvlText w:val="%3."/>
      <w:lvlJc w:val="right"/>
      <w:pPr>
        <w:ind w:left="2927" w:hanging="180"/>
      </w:pPr>
    </w:lvl>
    <w:lvl w:ilvl="3" w:tplc="1009000F" w:tentative="1">
      <w:start w:val="1"/>
      <w:numFmt w:val="decimal"/>
      <w:lvlText w:val="%4."/>
      <w:lvlJc w:val="left"/>
      <w:pPr>
        <w:ind w:left="3647" w:hanging="360"/>
      </w:pPr>
    </w:lvl>
    <w:lvl w:ilvl="4" w:tplc="10090019" w:tentative="1">
      <w:start w:val="1"/>
      <w:numFmt w:val="lowerLetter"/>
      <w:lvlText w:val="%5."/>
      <w:lvlJc w:val="left"/>
      <w:pPr>
        <w:ind w:left="4367" w:hanging="360"/>
      </w:pPr>
    </w:lvl>
    <w:lvl w:ilvl="5" w:tplc="1009001B" w:tentative="1">
      <w:start w:val="1"/>
      <w:numFmt w:val="lowerRoman"/>
      <w:lvlText w:val="%6."/>
      <w:lvlJc w:val="right"/>
      <w:pPr>
        <w:ind w:left="5087" w:hanging="180"/>
      </w:pPr>
    </w:lvl>
    <w:lvl w:ilvl="6" w:tplc="1009000F" w:tentative="1">
      <w:start w:val="1"/>
      <w:numFmt w:val="decimal"/>
      <w:lvlText w:val="%7."/>
      <w:lvlJc w:val="left"/>
      <w:pPr>
        <w:ind w:left="5807" w:hanging="360"/>
      </w:pPr>
    </w:lvl>
    <w:lvl w:ilvl="7" w:tplc="10090019" w:tentative="1">
      <w:start w:val="1"/>
      <w:numFmt w:val="lowerLetter"/>
      <w:lvlText w:val="%8."/>
      <w:lvlJc w:val="left"/>
      <w:pPr>
        <w:ind w:left="6527" w:hanging="360"/>
      </w:pPr>
    </w:lvl>
    <w:lvl w:ilvl="8" w:tplc="1009001B" w:tentative="1">
      <w:start w:val="1"/>
      <w:numFmt w:val="lowerRoman"/>
      <w:lvlText w:val="%9."/>
      <w:lvlJc w:val="right"/>
      <w:pPr>
        <w:ind w:left="7247" w:hanging="180"/>
      </w:pPr>
    </w:lvl>
  </w:abstractNum>
  <w:abstractNum w:abstractNumId="4"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5"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6"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352C1E8A"/>
    <w:multiLevelType w:val="hybridMultilevel"/>
    <w:tmpl w:val="97E00D0A"/>
    <w:lvl w:ilvl="0" w:tplc="B4DCD204">
      <w:start w:val="1"/>
      <w:numFmt w:val="decimal"/>
      <w:lvlText w:val="%1."/>
      <w:lvlJc w:val="left"/>
      <w:pPr>
        <w:ind w:left="1020" w:hanging="360"/>
      </w:pPr>
    </w:lvl>
    <w:lvl w:ilvl="1" w:tplc="70F4CE82">
      <w:start w:val="1"/>
      <w:numFmt w:val="decimal"/>
      <w:lvlText w:val="%2."/>
      <w:lvlJc w:val="left"/>
      <w:pPr>
        <w:ind w:left="1020" w:hanging="360"/>
      </w:pPr>
    </w:lvl>
    <w:lvl w:ilvl="2" w:tplc="E1C28204">
      <w:start w:val="1"/>
      <w:numFmt w:val="decimal"/>
      <w:lvlText w:val="%3."/>
      <w:lvlJc w:val="left"/>
      <w:pPr>
        <w:ind w:left="1020" w:hanging="360"/>
      </w:pPr>
    </w:lvl>
    <w:lvl w:ilvl="3" w:tplc="76506880">
      <w:start w:val="1"/>
      <w:numFmt w:val="decimal"/>
      <w:lvlText w:val="%4."/>
      <w:lvlJc w:val="left"/>
      <w:pPr>
        <w:ind w:left="1020" w:hanging="360"/>
      </w:pPr>
    </w:lvl>
    <w:lvl w:ilvl="4" w:tplc="58203B7A">
      <w:start w:val="1"/>
      <w:numFmt w:val="decimal"/>
      <w:lvlText w:val="%5."/>
      <w:lvlJc w:val="left"/>
      <w:pPr>
        <w:ind w:left="1020" w:hanging="360"/>
      </w:pPr>
    </w:lvl>
    <w:lvl w:ilvl="5" w:tplc="2FB0F752">
      <w:start w:val="1"/>
      <w:numFmt w:val="decimal"/>
      <w:lvlText w:val="%6."/>
      <w:lvlJc w:val="left"/>
      <w:pPr>
        <w:ind w:left="1020" w:hanging="360"/>
      </w:pPr>
    </w:lvl>
    <w:lvl w:ilvl="6" w:tplc="D136A4D4">
      <w:start w:val="1"/>
      <w:numFmt w:val="decimal"/>
      <w:lvlText w:val="%7."/>
      <w:lvlJc w:val="left"/>
      <w:pPr>
        <w:ind w:left="1020" w:hanging="360"/>
      </w:pPr>
    </w:lvl>
    <w:lvl w:ilvl="7" w:tplc="E384E7CE">
      <w:start w:val="1"/>
      <w:numFmt w:val="decimal"/>
      <w:lvlText w:val="%8."/>
      <w:lvlJc w:val="left"/>
      <w:pPr>
        <w:ind w:left="1020" w:hanging="360"/>
      </w:pPr>
    </w:lvl>
    <w:lvl w:ilvl="8" w:tplc="4B0C6826">
      <w:start w:val="1"/>
      <w:numFmt w:val="decimal"/>
      <w:lvlText w:val="%9."/>
      <w:lvlJc w:val="left"/>
      <w:pPr>
        <w:ind w:left="1020" w:hanging="360"/>
      </w:pPr>
    </w:lvl>
  </w:abstractNum>
  <w:abstractNum w:abstractNumId="8" w15:restartNumberingAfterBreak="0">
    <w:nsid w:val="421321E7"/>
    <w:multiLevelType w:val="hybridMultilevel"/>
    <w:tmpl w:val="A9CA3D4A"/>
    <w:lvl w:ilvl="0" w:tplc="9822F93C">
      <w:start w:val="1"/>
      <w:numFmt w:val="decimal"/>
      <w:lvlText w:val="%1."/>
      <w:lvlJc w:val="left"/>
      <w:pPr>
        <w:ind w:left="958" w:hanging="567"/>
      </w:pPr>
      <w:rPr>
        <w:rFonts w:ascii="Times New Roman" w:eastAsia="Times New Roman" w:hAnsi="Times New Roman" w:cs="Times New Roman" w:hint="default"/>
        <w:b w:val="0"/>
        <w:bCs w:val="0"/>
        <w:i w:val="0"/>
        <w:iCs w:val="0"/>
        <w:spacing w:val="0"/>
        <w:w w:val="100"/>
        <w:sz w:val="22"/>
        <w:szCs w:val="22"/>
        <w:lang w:val="en-US" w:eastAsia="en-US" w:bidi="ar-SA"/>
      </w:rPr>
    </w:lvl>
    <w:lvl w:ilvl="1" w:tplc="FBC20B4E">
      <w:numFmt w:val="bullet"/>
      <w:lvlText w:val="•"/>
      <w:lvlJc w:val="left"/>
      <w:pPr>
        <w:ind w:left="1924" w:hanging="567"/>
      </w:pPr>
      <w:rPr>
        <w:lang w:val="en-US" w:eastAsia="en-US" w:bidi="ar-SA"/>
      </w:rPr>
    </w:lvl>
    <w:lvl w:ilvl="2" w:tplc="0C7A1EA8">
      <w:numFmt w:val="bullet"/>
      <w:lvlText w:val="•"/>
      <w:lvlJc w:val="left"/>
      <w:pPr>
        <w:ind w:left="2888" w:hanging="567"/>
      </w:pPr>
      <w:rPr>
        <w:lang w:val="en-US" w:eastAsia="en-US" w:bidi="ar-SA"/>
      </w:rPr>
    </w:lvl>
    <w:lvl w:ilvl="3" w:tplc="84EA654C">
      <w:numFmt w:val="bullet"/>
      <w:lvlText w:val="•"/>
      <w:lvlJc w:val="left"/>
      <w:pPr>
        <w:ind w:left="3852" w:hanging="567"/>
      </w:pPr>
      <w:rPr>
        <w:lang w:val="en-US" w:eastAsia="en-US" w:bidi="ar-SA"/>
      </w:rPr>
    </w:lvl>
    <w:lvl w:ilvl="4" w:tplc="788E68AE">
      <w:numFmt w:val="bullet"/>
      <w:lvlText w:val="•"/>
      <w:lvlJc w:val="left"/>
      <w:pPr>
        <w:ind w:left="4816" w:hanging="567"/>
      </w:pPr>
      <w:rPr>
        <w:lang w:val="en-US" w:eastAsia="en-US" w:bidi="ar-SA"/>
      </w:rPr>
    </w:lvl>
    <w:lvl w:ilvl="5" w:tplc="3FC02758">
      <w:numFmt w:val="bullet"/>
      <w:lvlText w:val="•"/>
      <w:lvlJc w:val="left"/>
      <w:pPr>
        <w:ind w:left="5780" w:hanging="567"/>
      </w:pPr>
      <w:rPr>
        <w:lang w:val="en-US" w:eastAsia="en-US" w:bidi="ar-SA"/>
      </w:rPr>
    </w:lvl>
    <w:lvl w:ilvl="6" w:tplc="B0FAD72E">
      <w:numFmt w:val="bullet"/>
      <w:lvlText w:val="•"/>
      <w:lvlJc w:val="left"/>
      <w:pPr>
        <w:ind w:left="6744" w:hanging="567"/>
      </w:pPr>
      <w:rPr>
        <w:lang w:val="en-US" w:eastAsia="en-US" w:bidi="ar-SA"/>
      </w:rPr>
    </w:lvl>
    <w:lvl w:ilvl="7" w:tplc="C2C44E34">
      <w:numFmt w:val="bullet"/>
      <w:lvlText w:val="•"/>
      <w:lvlJc w:val="left"/>
      <w:pPr>
        <w:ind w:left="7708" w:hanging="567"/>
      </w:pPr>
      <w:rPr>
        <w:lang w:val="en-US" w:eastAsia="en-US" w:bidi="ar-SA"/>
      </w:rPr>
    </w:lvl>
    <w:lvl w:ilvl="8" w:tplc="A6D27580">
      <w:numFmt w:val="bullet"/>
      <w:lvlText w:val="•"/>
      <w:lvlJc w:val="left"/>
      <w:pPr>
        <w:ind w:left="8672" w:hanging="567"/>
      </w:pPr>
      <w:rPr>
        <w:lang w:val="en-US" w:eastAsia="en-US" w:bidi="ar-SA"/>
      </w:rPr>
    </w:lvl>
  </w:abstractNum>
  <w:abstractNum w:abstractNumId="9" w15:restartNumberingAfterBreak="0">
    <w:nsid w:val="44CF06D4"/>
    <w:multiLevelType w:val="hybridMultilevel"/>
    <w:tmpl w:val="21BA5004"/>
    <w:lvl w:ilvl="0" w:tplc="096249E6">
      <w:start w:val="1"/>
      <w:numFmt w:val="lowerLetter"/>
      <w:lvlText w:val="(%1)"/>
      <w:lvlJc w:val="left"/>
      <w:pPr>
        <w:ind w:left="1134" w:hanging="567"/>
      </w:pPr>
      <w:rPr>
        <w:rFonts w:ascii="Times New Roman" w:eastAsia="Times New Roman" w:hAnsi="Times New Roman" w:cs="Times New Roman" w:hint="default"/>
        <w:b/>
        <w:bCs/>
        <w:i w:val="0"/>
        <w:iCs w:val="0"/>
        <w:spacing w:val="0"/>
        <w:w w:val="100"/>
        <w:sz w:val="22"/>
        <w:szCs w:val="22"/>
        <w:lang w:val="en-US" w:eastAsia="en-US" w:bidi="ar-SA"/>
      </w:rPr>
    </w:lvl>
    <w:lvl w:ilvl="1" w:tplc="70922C76">
      <w:start w:val="12"/>
      <w:numFmt w:val="decimal"/>
      <w:lvlText w:val="%2."/>
      <w:lvlJc w:val="left"/>
      <w:pPr>
        <w:ind w:left="1134" w:hanging="567"/>
      </w:pPr>
      <w:rPr>
        <w:rFonts w:ascii="Times New Roman" w:eastAsia="Times New Roman" w:hAnsi="Times New Roman" w:cs="Times New Roman" w:hint="default"/>
        <w:b w:val="0"/>
        <w:bCs w:val="0"/>
        <w:i w:val="0"/>
        <w:iCs w:val="0"/>
        <w:spacing w:val="0"/>
        <w:w w:val="100"/>
        <w:sz w:val="22"/>
        <w:szCs w:val="22"/>
        <w:lang w:val="en-US" w:eastAsia="en-US" w:bidi="ar-SA"/>
      </w:rPr>
    </w:lvl>
    <w:lvl w:ilvl="2" w:tplc="032AA4A8">
      <w:start w:val="1"/>
      <w:numFmt w:val="lowerLetter"/>
      <w:lvlText w:val="(%3)"/>
      <w:lvlJc w:val="left"/>
      <w:pPr>
        <w:ind w:left="1134" w:hanging="720"/>
      </w:pPr>
      <w:rPr>
        <w:rFonts w:ascii="Times New Roman" w:eastAsia="Times New Roman" w:hAnsi="Times New Roman" w:cs="Times New Roman" w:hint="default"/>
        <w:b w:val="0"/>
        <w:bCs w:val="0"/>
        <w:i w:val="0"/>
        <w:iCs w:val="0"/>
        <w:spacing w:val="0"/>
        <w:w w:val="100"/>
        <w:sz w:val="22"/>
        <w:szCs w:val="22"/>
        <w:lang w:val="en-US" w:eastAsia="en-US" w:bidi="ar-SA"/>
      </w:rPr>
    </w:lvl>
    <w:lvl w:ilvl="3" w:tplc="46209F3A">
      <w:numFmt w:val="bullet"/>
      <w:lvlText w:val=""/>
      <w:lvlJc w:val="left"/>
      <w:pPr>
        <w:ind w:left="3294" w:hanging="721"/>
      </w:pPr>
      <w:rPr>
        <w:rFonts w:ascii="Symbol" w:eastAsia="Symbol" w:hAnsi="Symbol" w:cs="Symbol" w:hint="default"/>
        <w:b w:val="0"/>
        <w:bCs w:val="0"/>
        <w:i w:val="0"/>
        <w:iCs w:val="0"/>
        <w:spacing w:val="0"/>
        <w:w w:val="100"/>
        <w:sz w:val="28"/>
        <w:szCs w:val="28"/>
        <w:lang w:val="en-US" w:eastAsia="en-US" w:bidi="ar-SA"/>
      </w:rPr>
    </w:lvl>
    <w:lvl w:ilvl="4" w:tplc="04580C8A">
      <w:numFmt w:val="bullet"/>
      <w:lvlText w:val="•"/>
      <w:lvlJc w:val="left"/>
      <w:pPr>
        <w:ind w:left="5789" w:hanging="721"/>
      </w:pPr>
      <w:rPr>
        <w:lang w:val="en-US" w:eastAsia="en-US" w:bidi="ar-SA"/>
      </w:rPr>
    </w:lvl>
    <w:lvl w:ilvl="5" w:tplc="5672DAB6">
      <w:numFmt w:val="bullet"/>
      <w:lvlText w:val="•"/>
      <w:lvlJc w:val="left"/>
      <w:pPr>
        <w:ind w:left="6620" w:hanging="721"/>
      </w:pPr>
      <w:rPr>
        <w:lang w:val="en-US" w:eastAsia="en-US" w:bidi="ar-SA"/>
      </w:rPr>
    </w:lvl>
    <w:lvl w:ilvl="6" w:tplc="F110ADAA">
      <w:numFmt w:val="bullet"/>
      <w:lvlText w:val="•"/>
      <w:lvlJc w:val="left"/>
      <w:pPr>
        <w:ind w:left="7451" w:hanging="721"/>
      </w:pPr>
      <w:rPr>
        <w:lang w:val="en-US" w:eastAsia="en-US" w:bidi="ar-SA"/>
      </w:rPr>
    </w:lvl>
    <w:lvl w:ilvl="7" w:tplc="C8088A2E">
      <w:numFmt w:val="bullet"/>
      <w:lvlText w:val="•"/>
      <w:lvlJc w:val="left"/>
      <w:pPr>
        <w:ind w:left="8282" w:hanging="721"/>
      </w:pPr>
      <w:rPr>
        <w:lang w:val="en-US" w:eastAsia="en-US" w:bidi="ar-SA"/>
      </w:rPr>
    </w:lvl>
    <w:lvl w:ilvl="8" w:tplc="AF0620EA">
      <w:numFmt w:val="bullet"/>
      <w:lvlText w:val="•"/>
      <w:lvlJc w:val="left"/>
      <w:pPr>
        <w:ind w:left="9113" w:hanging="721"/>
      </w:pPr>
      <w:rPr>
        <w:lang w:val="en-US" w:eastAsia="en-US" w:bidi="ar-SA"/>
      </w:rPr>
    </w:lvl>
  </w:abstractNum>
  <w:abstractNum w:abstractNumId="10"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A9741E1"/>
    <w:multiLevelType w:val="hybridMultilevel"/>
    <w:tmpl w:val="0A32A0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558D5BC3"/>
    <w:multiLevelType w:val="hybridMultilevel"/>
    <w:tmpl w:val="0A804B14"/>
    <w:lvl w:ilvl="0" w:tplc="6BAC2D4C">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6D149B6"/>
    <w:multiLevelType w:val="multilevel"/>
    <w:tmpl w:val="22EE59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69108E"/>
    <w:multiLevelType w:val="multilevel"/>
    <w:tmpl w:val="F58C9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8"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9"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15:restartNumberingAfterBreak="0">
    <w:nsid w:val="67A72E7F"/>
    <w:multiLevelType w:val="hybridMultilevel"/>
    <w:tmpl w:val="E91A2FCC"/>
    <w:lvl w:ilvl="0" w:tplc="1F567B96">
      <w:start w:val="1"/>
      <w:numFmt w:val="lowerLetter"/>
      <w:lvlText w:val="(%1)"/>
      <w:lvlJc w:val="left"/>
      <w:pPr>
        <w:ind w:left="958" w:hanging="567"/>
      </w:pPr>
      <w:rPr>
        <w:rFonts w:ascii="Times New Roman" w:eastAsia="Times New Roman" w:hAnsi="Times New Roman" w:cs="Times New Roman" w:hint="default"/>
        <w:b/>
        <w:bCs/>
        <w:i w:val="0"/>
        <w:iCs w:val="0"/>
        <w:spacing w:val="0"/>
        <w:w w:val="100"/>
        <w:sz w:val="22"/>
        <w:szCs w:val="22"/>
        <w:lang w:val="en-US" w:eastAsia="en-US" w:bidi="ar-SA"/>
      </w:rPr>
    </w:lvl>
    <w:lvl w:ilvl="1" w:tplc="BE04176A">
      <w:start w:val="12"/>
      <w:numFmt w:val="decimal"/>
      <w:lvlText w:val="%2."/>
      <w:lvlJc w:val="left"/>
      <w:pPr>
        <w:ind w:left="958" w:hanging="567"/>
      </w:pPr>
      <w:rPr>
        <w:rFonts w:ascii="Times New Roman" w:eastAsia="Times New Roman" w:hAnsi="Times New Roman" w:cs="Times New Roman" w:hint="default"/>
        <w:b w:val="0"/>
        <w:bCs w:val="0"/>
        <w:i w:val="0"/>
        <w:iCs w:val="0"/>
        <w:spacing w:val="0"/>
        <w:w w:val="100"/>
        <w:sz w:val="22"/>
        <w:szCs w:val="22"/>
        <w:lang w:val="en-US" w:eastAsia="en-US" w:bidi="ar-SA"/>
      </w:rPr>
    </w:lvl>
    <w:lvl w:ilvl="2" w:tplc="9A1CA58C">
      <w:start w:val="1"/>
      <w:numFmt w:val="lowerLetter"/>
      <w:lvlText w:val="(%3)"/>
      <w:lvlJc w:val="left"/>
      <w:pPr>
        <w:ind w:left="958" w:hanging="720"/>
      </w:pPr>
      <w:rPr>
        <w:rFonts w:ascii="Times New Roman" w:eastAsia="Times New Roman" w:hAnsi="Times New Roman" w:cs="Times New Roman" w:hint="default"/>
        <w:b w:val="0"/>
        <w:bCs w:val="0"/>
        <w:i w:val="0"/>
        <w:iCs w:val="0"/>
        <w:spacing w:val="0"/>
        <w:w w:val="100"/>
        <w:sz w:val="22"/>
        <w:szCs w:val="22"/>
        <w:lang w:val="en-US" w:eastAsia="en-US" w:bidi="ar-SA"/>
      </w:rPr>
    </w:lvl>
    <w:lvl w:ilvl="3" w:tplc="58C8502A">
      <w:numFmt w:val="bullet"/>
      <w:lvlText w:val=""/>
      <w:lvlJc w:val="left"/>
      <w:pPr>
        <w:ind w:left="3118" w:hanging="721"/>
      </w:pPr>
      <w:rPr>
        <w:rFonts w:ascii="Symbol" w:eastAsia="Symbol" w:hAnsi="Symbol" w:cs="Symbol" w:hint="default"/>
        <w:b w:val="0"/>
        <w:bCs w:val="0"/>
        <w:i w:val="0"/>
        <w:iCs w:val="0"/>
        <w:spacing w:val="0"/>
        <w:w w:val="100"/>
        <w:sz w:val="28"/>
        <w:szCs w:val="28"/>
        <w:lang w:val="en-US" w:eastAsia="en-US" w:bidi="ar-SA"/>
      </w:rPr>
    </w:lvl>
    <w:lvl w:ilvl="4" w:tplc="C1161CD4">
      <w:numFmt w:val="bullet"/>
      <w:lvlText w:val="•"/>
      <w:lvlJc w:val="left"/>
      <w:pPr>
        <w:ind w:left="5613" w:hanging="721"/>
      </w:pPr>
      <w:rPr>
        <w:lang w:val="en-US" w:eastAsia="en-US" w:bidi="ar-SA"/>
      </w:rPr>
    </w:lvl>
    <w:lvl w:ilvl="5" w:tplc="5B3454D8">
      <w:numFmt w:val="bullet"/>
      <w:lvlText w:val="•"/>
      <w:lvlJc w:val="left"/>
      <w:pPr>
        <w:ind w:left="6444" w:hanging="721"/>
      </w:pPr>
      <w:rPr>
        <w:lang w:val="en-US" w:eastAsia="en-US" w:bidi="ar-SA"/>
      </w:rPr>
    </w:lvl>
    <w:lvl w:ilvl="6" w:tplc="46D83C1E">
      <w:numFmt w:val="bullet"/>
      <w:lvlText w:val="•"/>
      <w:lvlJc w:val="left"/>
      <w:pPr>
        <w:ind w:left="7275" w:hanging="721"/>
      </w:pPr>
      <w:rPr>
        <w:lang w:val="en-US" w:eastAsia="en-US" w:bidi="ar-SA"/>
      </w:rPr>
    </w:lvl>
    <w:lvl w:ilvl="7" w:tplc="BA62B26C">
      <w:numFmt w:val="bullet"/>
      <w:lvlText w:val="•"/>
      <w:lvlJc w:val="left"/>
      <w:pPr>
        <w:ind w:left="8106" w:hanging="721"/>
      </w:pPr>
      <w:rPr>
        <w:lang w:val="en-US" w:eastAsia="en-US" w:bidi="ar-SA"/>
      </w:rPr>
    </w:lvl>
    <w:lvl w:ilvl="8" w:tplc="6434A18A">
      <w:numFmt w:val="bullet"/>
      <w:lvlText w:val="•"/>
      <w:lvlJc w:val="left"/>
      <w:pPr>
        <w:ind w:left="8937" w:hanging="721"/>
      </w:pPr>
      <w:rPr>
        <w:lang w:val="en-US" w:eastAsia="en-US" w:bidi="ar-SA"/>
      </w:rPr>
    </w:lvl>
  </w:abstractNum>
  <w:abstractNum w:abstractNumId="21" w15:restartNumberingAfterBreak="0">
    <w:nsid w:val="67F024B5"/>
    <w:multiLevelType w:val="hybridMultilevel"/>
    <w:tmpl w:val="E410DEDC"/>
    <w:lvl w:ilvl="0" w:tplc="27BE0026">
      <w:start w:val="1"/>
      <w:numFmt w:val="decimal"/>
      <w:lvlText w:val="%1."/>
      <w:lvlJc w:val="left"/>
      <w:pPr>
        <w:ind w:left="958" w:hanging="567"/>
      </w:pPr>
      <w:rPr>
        <w:rFonts w:ascii="Times New Roman" w:eastAsia="Times New Roman" w:hAnsi="Times New Roman" w:cs="Times New Roman" w:hint="default"/>
        <w:b w:val="0"/>
        <w:bCs w:val="0"/>
        <w:i w:val="0"/>
        <w:iCs w:val="0"/>
        <w:spacing w:val="0"/>
        <w:w w:val="100"/>
        <w:sz w:val="22"/>
        <w:szCs w:val="22"/>
        <w:lang w:val="en-US" w:eastAsia="en-US" w:bidi="ar-SA"/>
      </w:rPr>
    </w:lvl>
    <w:lvl w:ilvl="1" w:tplc="0DA6E9D6">
      <w:numFmt w:val="bullet"/>
      <w:lvlText w:val="•"/>
      <w:lvlJc w:val="left"/>
      <w:pPr>
        <w:ind w:left="1924" w:hanging="567"/>
      </w:pPr>
      <w:rPr>
        <w:lang w:val="en-US" w:eastAsia="en-US" w:bidi="ar-SA"/>
      </w:rPr>
    </w:lvl>
    <w:lvl w:ilvl="2" w:tplc="552AB12A">
      <w:numFmt w:val="bullet"/>
      <w:lvlText w:val="•"/>
      <w:lvlJc w:val="left"/>
      <w:pPr>
        <w:ind w:left="2888" w:hanging="567"/>
      </w:pPr>
      <w:rPr>
        <w:lang w:val="en-US" w:eastAsia="en-US" w:bidi="ar-SA"/>
      </w:rPr>
    </w:lvl>
    <w:lvl w:ilvl="3" w:tplc="18AA9416">
      <w:numFmt w:val="bullet"/>
      <w:lvlText w:val="•"/>
      <w:lvlJc w:val="left"/>
      <w:pPr>
        <w:ind w:left="3852" w:hanging="567"/>
      </w:pPr>
      <w:rPr>
        <w:lang w:val="en-US" w:eastAsia="en-US" w:bidi="ar-SA"/>
      </w:rPr>
    </w:lvl>
    <w:lvl w:ilvl="4" w:tplc="96C0E83C">
      <w:numFmt w:val="bullet"/>
      <w:lvlText w:val="•"/>
      <w:lvlJc w:val="left"/>
      <w:pPr>
        <w:ind w:left="4816" w:hanging="567"/>
      </w:pPr>
      <w:rPr>
        <w:lang w:val="en-US" w:eastAsia="en-US" w:bidi="ar-SA"/>
      </w:rPr>
    </w:lvl>
    <w:lvl w:ilvl="5" w:tplc="CEAC3EFA">
      <w:numFmt w:val="bullet"/>
      <w:lvlText w:val="•"/>
      <w:lvlJc w:val="left"/>
      <w:pPr>
        <w:ind w:left="5780" w:hanging="567"/>
      </w:pPr>
      <w:rPr>
        <w:lang w:val="en-US" w:eastAsia="en-US" w:bidi="ar-SA"/>
      </w:rPr>
    </w:lvl>
    <w:lvl w:ilvl="6" w:tplc="898A05B4">
      <w:numFmt w:val="bullet"/>
      <w:lvlText w:val="•"/>
      <w:lvlJc w:val="left"/>
      <w:pPr>
        <w:ind w:left="6744" w:hanging="567"/>
      </w:pPr>
      <w:rPr>
        <w:lang w:val="en-US" w:eastAsia="en-US" w:bidi="ar-SA"/>
      </w:rPr>
    </w:lvl>
    <w:lvl w:ilvl="7" w:tplc="04267A98">
      <w:numFmt w:val="bullet"/>
      <w:lvlText w:val="•"/>
      <w:lvlJc w:val="left"/>
      <w:pPr>
        <w:ind w:left="7708" w:hanging="567"/>
      </w:pPr>
      <w:rPr>
        <w:lang w:val="en-US" w:eastAsia="en-US" w:bidi="ar-SA"/>
      </w:rPr>
    </w:lvl>
    <w:lvl w:ilvl="8" w:tplc="781C2C6C">
      <w:numFmt w:val="bullet"/>
      <w:lvlText w:val="•"/>
      <w:lvlJc w:val="left"/>
      <w:pPr>
        <w:ind w:left="8672" w:hanging="567"/>
      </w:pPr>
      <w:rPr>
        <w:lang w:val="en-US" w:eastAsia="en-US" w:bidi="ar-SA"/>
      </w:rPr>
    </w:lvl>
  </w:abstractNum>
  <w:abstractNum w:abstractNumId="22" w15:restartNumberingAfterBreak="0">
    <w:nsid w:val="68B70991"/>
    <w:multiLevelType w:val="hybridMultilevel"/>
    <w:tmpl w:val="47E23F9A"/>
    <w:lvl w:ilvl="0" w:tplc="4248569E">
      <w:start w:val="1"/>
      <w:numFmt w:val="decimal"/>
      <w:pStyle w:val="Para1"/>
      <w:lvlText w:val="%1."/>
      <w:lvlJc w:val="left"/>
      <w:pPr>
        <w:ind w:left="1800" w:hanging="360"/>
      </w:pPr>
      <w:rPr>
        <w:rFonts w:hint="default"/>
        <w:b w:val="0"/>
        <w:bCs/>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69884688"/>
    <w:multiLevelType w:val="hybridMultilevel"/>
    <w:tmpl w:val="2272EE2C"/>
    <w:lvl w:ilvl="0" w:tplc="A9CC6BFC">
      <w:start w:val="1"/>
      <w:numFmt w:val="bullet"/>
      <w:lvlText w:val=""/>
      <w:lvlJc w:val="left"/>
      <w:pPr>
        <w:ind w:left="1080" w:hanging="360"/>
      </w:pPr>
      <w:rPr>
        <w:rFonts w:ascii="Symbol" w:hAnsi="Symbol"/>
      </w:rPr>
    </w:lvl>
    <w:lvl w:ilvl="1" w:tplc="3FA6403E">
      <w:start w:val="1"/>
      <w:numFmt w:val="bullet"/>
      <w:lvlText w:val=""/>
      <w:lvlJc w:val="left"/>
      <w:pPr>
        <w:ind w:left="1080" w:hanging="360"/>
      </w:pPr>
      <w:rPr>
        <w:rFonts w:ascii="Symbol" w:hAnsi="Symbol"/>
      </w:rPr>
    </w:lvl>
    <w:lvl w:ilvl="2" w:tplc="16B46CEE">
      <w:start w:val="1"/>
      <w:numFmt w:val="bullet"/>
      <w:lvlText w:val=""/>
      <w:lvlJc w:val="left"/>
      <w:pPr>
        <w:ind w:left="1080" w:hanging="360"/>
      </w:pPr>
      <w:rPr>
        <w:rFonts w:ascii="Symbol" w:hAnsi="Symbol"/>
      </w:rPr>
    </w:lvl>
    <w:lvl w:ilvl="3" w:tplc="465241A0">
      <w:start w:val="1"/>
      <w:numFmt w:val="bullet"/>
      <w:lvlText w:val=""/>
      <w:lvlJc w:val="left"/>
      <w:pPr>
        <w:ind w:left="1080" w:hanging="360"/>
      </w:pPr>
      <w:rPr>
        <w:rFonts w:ascii="Symbol" w:hAnsi="Symbol"/>
      </w:rPr>
    </w:lvl>
    <w:lvl w:ilvl="4" w:tplc="EC9EE784">
      <w:start w:val="1"/>
      <w:numFmt w:val="bullet"/>
      <w:lvlText w:val=""/>
      <w:lvlJc w:val="left"/>
      <w:pPr>
        <w:ind w:left="1080" w:hanging="360"/>
      </w:pPr>
      <w:rPr>
        <w:rFonts w:ascii="Symbol" w:hAnsi="Symbol"/>
      </w:rPr>
    </w:lvl>
    <w:lvl w:ilvl="5" w:tplc="74904E4E">
      <w:start w:val="1"/>
      <w:numFmt w:val="bullet"/>
      <w:lvlText w:val=""/>
      <w:lvlJc w:val="left"/>
      <w:pPr>
        <w:ind w:left="1080" w:hanging="360"/>
      </w:pPr>
      <w:rPr>
        <w:rFonts w:ascii="Symbol" w:hAnsi="Symbol"/>
      </w:rPr>
    </w:lvl>
    <w:lvl w:ilvl="6" w:tplc="7E3A0E52">
      <w:start w:val="1"/>
      <w:numFmt w:val="bullet"/>
      <w:lvlText w:val=""/>
      <w:lvlJc w:val="left"/>
      <w:pPr>
        <w:ind w:left="1080" w:hanging="360"/>
      </w:pPr>
      <w:rPr>
        <w:rFonts w:ascii="Symbol" w:hAnsi="Symbol"/>
      </w:rPr>
    </w:lvl>
    <w:lvl w:ilvl="7" w:tplc="B818E762">
      <w:start w:val="1"/>
      <w:numFmt w:val="bullet"/>
      <w:lvlText w:val=""/>
      <w:lvlJc w:val="left"/>
      <w:pPr>
        <w:ind w:left="1080" w:hanging="360"/>
      </w:pPr>
      <w:rPr>
        <w:rFonts w:ascii="Symbol" w:hAnsi="Symbol"/>
      </w:rPr>
    </w:lvl>
    <w:lvl w:ilvl="8" w:tplc="273C8866">
      <w:start w:val="1"/>
      <w:numFmt w:val="bullet"/>
      <w:lvlText w:val=""/>
      <w:lvlJc w:val="left"/>
      <w:pPr>
        <w:ind w:left="1080" w:hanging="360"/>
      </w:pPr>
      <w:rPr>
        <w:rFonts w:ascii="Symbol" w:hAnsi="Symbol"/>
      </w:rPr>
    </w:lvl>
  </w:abstractNum>
  <w:abstractNum w:abstractNumId="24" w15:restartNumberingAfterBreak="0">
    <w:nsid w:val="72BC7354"/>
    <w:multiLevelType w:val="hybridMultilevel"/>
    <w:tmpl w:val="44724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6"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93270093">
    <w:abstractNumId w:val="10"/>
  </w:num>
  <w:num w:numId="2" w16cid:durableId="1624268559">
    <w:abstractNumId w:val="22"/>
  </w:num>
  <w:num w:numId="3" w16cid:durableId="1906332930">
    <w:abstractNumId w:val="25"/>
  </w:num>
  <w:num w:numId="4" w16cid:durableId="1684891501">
    <w:abstractNumId w:val="2"/>
  </w:num>
  <w:num w:numId="5" w16cid:durableId="1185948241">
    <w:abstractNumId w:val="4"/>
  </w:num>
  <w:num w:numId="6" w16cid:durableId="977564340">
    <w:abstractNumId w:val="4"/>
  </w:num>
  <w:num w:numId="7" w16cid:durableId="917523707">
    <w:abstractNumId w:val="6"/>
  </w:num>
  <w:num w:numId="8" w16cid:durableId="383216668">
    <w:abstractNumId w:val="15"/>
  </w:num>
  <w:num w:numId="9" w16cid:durableId="499547379">
    <w:abstractNumId w:val="19"/>
  </w:num>
  <w:num w:numId="10" w16cid:durableId="1507211347">
    <w:abstractNumId w:val="18"/>
  </w:num>
  <w:num w:numId="11" w16cid:durableId="173155367">
    <w:abstractNumId w:val="12"/>
  </w:num>
  <w:num w:numId="12" w16cid:durableId="1080101194">
    <w:abstractNumId w:val="5"/>
  </w:num>
  <w:num w:numId="13" w16cid:durableId="645815601">
    <w:abstractNumId w:val="5"/>
    <w:lvlOverride w:ilvl="0">
      <w:startOverride w:val="1"/>
    </w:lvlOverride>
  </w:num>
  <w:num w:numId="14" w16cid:durableId="1815951502">
    <w:abstractNumId w:val="17"/>
  </w:num>
  <w:num w:numId="15" w16cid:durableId="212271611">
    <w:abstractNumId w:val="17"/>
    <w:lvlOverride w:ilvl="0">
      <w:startOverride w:val="1"/>
    </w:lvlOverride>
  </w:num>
  <w:num w:numId="16" w16cid:durableId="523175553">
    <w:abstractNumId w:val="22"/>
    <w:lvlOverride w:ilvl="0">
      <w:startOverride w:val="1"/>
    </w:lvlOverride>
  </w:num>
  <w:num w:numId="17" w16cid:durableId="477385204">
    <w:abstractNumId w:val="17"/>
    <w:lvlOverride w:ilvl="0">
      <w:startOverride w:val="1"/>
    </w:lvlOverride>
  </w:num>
  <w:num w:numId="18" w16cid:durableId="1705055118">
    <w:abstractNumId w:val="26"/>
  </w:num>
  <w:num w:numId="19" w16cid:durableId="1005521960">
    <w:abstractNumId w:val="22"/>
    <w:lvlOverride w:ilvl="0">
      <w:startOverride w:val="1"/>
    </w:lvlOverride>
  </w:num>
  <w:num w:numId="20" w16cid:durableId="624384029">
    <w:abstractNumId w:val="22"/>
    <w:lvlOverride w:ilvl="0">
      <w:startOverride w:val="1"/>
    </w:lvlOverride>
  </w:num>
  <w:num w:numId="21" w16cid:durableId="183523296">
    <w:abstractNumId w:val="22"/>
  </w:num>
  <w:num w:numId="22" w16cid:durableId="1446003582">
    <w:abstractNumId w:val="21"/>
    <w:lvlOverride w:ilvl="0">
      <w:startOverride w:val="1"/>
    </w:lvlOverride>
    <w:lvlOverride w:ilvl="1"/>
    <w:lvlOverride w:ilvl="2"/>
    <w:lvlOverride w:ilvl="3"/>
    <w:lvlOverride w:ilvl="4"/>
    <w:lvlOverride w:ilvl="5"/>
    <w:lvlOverride w:ilvl="6"/>
    <w:lvlOverride w:ilvl="7"/>
    <w:lvlOverride w:ilvl="8"/>
  </w:num>
  <w:num w:numId="23" w16cid:durableId="892808252">
    <w:abstractNumId w:val="9"/>
    <w:lvlOverride w:ilvl="0">
      <w:startOverride w:val="1"/>
    </w:lvlOverride>
    <w:lvlOverride w:ilvl="1">
      <w:startOverride w:val="12"/>
    </w:lvlOverride>
    <w:lvlOverride w:ilvl="2">
      <w:startOverride w:val="1"/>
    </w:lvlOverride>
    <w:lvlOverride w:ilvl="3"/>
    <w:lvlOverride w:ilvl="4"/>
    <w:lvlOverride w:ilvl="5"/>
    <w:lvlOverride w:ilvl="6"/>
    <w:lvlOverride w:ilvl="7"/>
    <w:lvlOverride w:ilvl="8"/>
  </w:num>
  <w:num w:numId="24" w16cid:durableId="1738355522">
    <w:abstractNumId w:val="22"/>
  </w:num>
  <w:num w:numId="25" w16cid:durableId="1003708061">
    <w:abstractNumId w:val="8"/>
    <w:lvlOverride w:ilvl="0">
      <w:startOverride w:val="1"/>
    </w:lvlOverride>
    <w:lvlOverride w:ilvl="1"/>
    <w:lvlOverride w:ilvl="2"/>
    <w:lvlOverride w:ilvl="3"/>
    <w:lvlOverride w:ilvl="4"/>
    <w:lvlOverride w:ilvl="5"/>
    <w:lvlOverride w:ilvl="6"/>
    <w:lvlOverride w:ilvl="7"/>
    <w:lvlOverride w:ilvl="8"/>
  </w:num>
  <w:num w:numId="26" w16cid:durableId="238829950">
    <w:abstractNumId w:val="22"/>
    <w:lvlOverride w:ilvl="0">
      <w:startOverride w:val="1"/>
    </w:lvlOverride>
  </w:num>
  <w:num w:numId="27" w16cid:durableId="2052219225">
    <w:abstractNumId w:val="22"/>
    <w:lvlOverride w:ilvl="0">
      <w:startOverride w:val="1"/>
    </w:lvlOverride>
  </w:num>
  <w:num w:numId="28" w16cid:durableId="2063559804">
    <w:abstractNumId w:val="0"/>
  </w:num>
  <w:num w:numId="29" w16cid:durableId="1789621019">
    <w:abstractNumId w:val="20"/>
    <w:lvlOverride w:ilvl="0">
      <w:startOverride w:val="1"/>
    </w:lvlOverride>
    <w:lvlOverride w:ilvl="1">
      <w:startOverride w:val="12"/>
    </w:lvlOverride>
    <w:lvlOverride w:ilvl="2">
      <w:startOverride w:val="1"/>
    </w:lvlOverride>
    <w:lvlOverride w:ilvl="3"/>
    <w:lvlOverride w:ilvl="4"/>
    <w:lvlOverride w:ilvl="5"/>
    <w:lvlOverride w:ilvl="6"/>
    <w:lvlOverride w:ilvl="7"/>
    <w:lvlOverride w:ilvl="8"/>
  </w:num>
  <w:num w:numId="30" w16cid:durableId="16811971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10044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90734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6721369">
    <w:abstractNumId w:val="3"/>
  </w:num>
  <w:num w:numId="34" w16cid:durableId="430205433">
    <w:abstractNumId w:val="17"/>
    <w:lvlOverride w:ilvl="0">
      <w:startOverride w:val="1"/>
    </w:lvlOverride>
  </w:num>
  <w:num w:numId="35" w16cid:durableId="1986354813">
    <w:abstractNumId w:val="17"/>
    <w:lvlOverride w:ilvl="0">
      <w:startOverride w:val="1"/>
    </w:lvlOverride>
  </w:num>
  <w:num w:numId="36" w16cid:durableId="2120103939">
    <w:abstractNumId w:val="22"/>
    <w:lvlOverride w:ilvl="0">
      <w:startOverride w:val="1"/>
    </w:lvlOverride>
  </w:num>
  <w:num w:numId="37" w16cid:durableId="63912244">
    <w:abstractNumId w:val="16"/>
  </w:num>
  <w:num w:numId="38" w16cid:durableId="374040707">
    <w:abstractNumId w:val="24"/>
  </w:num>
  <w:num w:numId="39" w16cid:durableId="1301109159">
    <w:abstractNumId w:val="1"/>
  </w:num>
  <w:num w:numId="40" w16cid:durableId="5789331">
    <w:abstractNumId w:val="14"/>
  </w:num>
  <w:num w:numId="41" w16cid:durableId="1928465944">
    <w:abstractNumId w:val="11"/>
  </w:num>
  <w:num w:numId="42" w16cid:durableId="1492791708">
    <w:abstractNumId w:val="13"/>
  </w:num>
  <w:num w:numId="43" w16cid:durableId="229660791">
    <w:abstractNumId w:val="23"/>
  </w:num>
  <w:num w:numId="44" w16cid:durableId="1260216143">
    <w:abstractNumId w:val="22"/>
  </w:num>
  <w:num w:numId="45" w16cid:durableId="18126749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1D"/>
    <w:rsid w:val="000021E4"/>
    <w:rsid w:val="0000247F"/>
    <w:rsid w:val="00002490"/>
    <w:rsid w:val="00003128"/>
    <w:rsid w:val="00004551"/>
    <w:rsid w:val="00005653"/>
    <w:rsid w:val="00006EF2"/>
    <w:rsid w:val="00007030"/>
    <w:rsid w:val="000073B1"/>
    <w:rsid w:val="000073D9"/>
    <w:rsid w:val="000074C0"/>
    <w:rsid w:val="00010C86"/>
    <w:rsid w:val="00012288"/>
    <w:rsid w:val="00012683"/>
    <w:rsid w:val="00012AE5"/>
    <w:rsid w:val="0001373F"/>
    <w:rsid w:val="00013791"/>
    <w:rsid w:val="00013957"/>
    <w:rsid w:val="00014355"/>
    <w:rsid w:val="000214CD"/>
    <w:rsid w:val="00021565"/>
    <w:rsid w:val="00021988"/>
    <w:rsid w:val="00021C09"/>
    <w:rsid w:val="0002463A"/>
    <w:rsid w:val="00024DFC"/>
    <w:rsid w:val="00027225"/>
    <w:rsid w:val="000273C5"/>
    <w:rsid w:val="00027520"/>
    <w:rsid w:val="00027649"/>
    <w:rsid w:val="000302A3"/>
    <w:rsid w:val="000307D2"/>
    <w:rsid w:val="00030E47"/>
    <w:rsid w:val="0003225A"/>
    <w:rsid w:val="0003279D"/>
    <w:rsid w:val="0003330D"/>
    <w:rsid w:val="00033730"/>
    <w:rsid w:val="00035726"/>
    <w:rsid w:val="0003573D"/>
    <w:rsid w:val="00035DAC"/>
    <w:rsid w:val="00036721"/>
    <w:rsid w:val="00036A98"/>
    <w:rsid w:val="00036DB9"/>
    <w:rsid w:val="00037912"/>
    <w:rsid w:val="00037CD0"/>
    <w:rsid w:val="00040598"/>
    <w:rsid w:val="00040FC1"/>
    <w:rsid w:val="00041E93"/>
    <w:rsid w:val="000421FB"/>
    <w:rsid w:val="00046BCC"/>
    <w:rsid w:val="00046DA5"/>
    <w:rsid w:val="00047DD5"/>
    <w:rsid w:val="000517C5"/>
    <w:rsid w:val="000535A9"/>
    <w:rsid w:val="00053698"/>
    <w:rsid w:val="00053A89"/>
    <w:rsid w:val="00053C63"/>
    <w:rsid w:val="00053C76"/>
    <w:rsid w:val="00053D9A"/>
    <w:rsid w:val="00054958"/>
    <w:rsid w:val="00054B81"/>
    <w:rsid w:val="00054D08"/>
    <w:rsid w:val="000572D7"/>
    <w:rsid w:val="00057737"/>
    <w:rsid w:val="00057984"/>
    <w:rsid w:val="00057F4B"/>
    <w:rsid w:val="000608DA"/>
    <w:rsid w:val="000635FC"/>
    <w:rsid w:val="0006586B"/>
    <w:rsid w:val="000665FA"/>
    <w:rsid w:val="00066B48"/>
    <w:rsid w:val="00067180"/>
    <w:rsid w:val="0006787F"/>
    <w:rsid w:val="00067DFD"/>
    <w:rsid w:val="000707D0"/>
    <w:rsid w:val="0007148A"/>
    <w:rsid w:val="000729FA"/>
    <w:rsid w:val="000730FC"/>
    <w:rsid w:val="00076378"/>
    <w:rsid w:val="00076A08"/>
    <w:rsid w:val="00076A67"/>
    <w:rsid w:val="00077232"/>
    <w:rsid w:val="0008149F"/>
    <w:rsid w:val="000816FC"/>
    <w:rsid w:val="00081953"/>
    <w:rsid w:val="00082403"/>
    <w:rsid w:val="00083197"/>
    <w:rsid w:val="000847CB"/>
    <w:rsid w:val="0008594C"/>
    <w:rsid w:val="0008632F"/>
    <w:rsid w:val="000865E3"/>
    <w:rsid w:val="000865EE"/>
    <w:rsid w:val="0008732C"/>
    <w:rsid w:val="0008793B"/>
    <w:rsid w:val="00090771"/>
    <w:rsid w:val="000923CB"/>
    <w:rsid w:val="00095273"/>
    <w:rsid w:val="000952C6"/>
    <w:rsid w:val="00095794"/>
    <w:rsid w:val="000962EE"/>
    <w:rsid w:val="0009635F"/>
    <w:rsid w:val="000A086A"/>
    <w:rsid w:val="000A140F"/>
    <w:rsid w:val="000A1967"/>
    <w:rsid w:val="000A212F"/>
    <w:rsid w:val="000A2D12"/>
    <w:rsid w:val="000A391A"/>
    <w:rsid w:val="000A4C79"/>
    <w:rsid w:val="000A5CB1"/>
    <w:rsid w:val="000A7D55"/>
    <w:rsid w:val="000B0AFC"/>
    <w:rsid w:val="000B1CB3"/>
    <w:rsid w:val="000B4ED9"/>
    <w:rsid w:val="000B50D3"/>
    <w:rsid w:val="000B6DDC"/>
    <w:rsid w:val="000B71CC"/>
    <w:rsid w:val="000C1219"/>
    <w:rsid w:val="000C2FED"/>
    <w:rsid w:val="000C3237"/>
    <w:rsid w:val="000C3259"/>
    <w:rsid w:val="000C3E9F"/>
    <w:rsid w:val="000C4010"/>
    <w:rsid w:val="000C4128"/>
    <w:rsid w:val="000C764A"/>
    <w:rsid w:val="000D061F"/>
    <w:rsid w:val="000D0BB4"/>
    <w:rsid w:val="000D2232"/>
    <w:rsid w:val="000D2D05"/>
    <w:rsid w:val="000D2F38"/>
    <w:rsid w:val="000D31CB"/>
    <w:rsid w:val="000D3208"/>
    <w:rsid w:val="000D48D6"/>
    <w:rsid w:val="000E061D"/>
    <w:rsid w:val="000E2A09"/>
    <w:rsid w:val="000E4DB3"/>
    <w:rsid w:val="000E5BBB"/>
    <w:rsid w:val="000F06EB"/>
    <w:rsid w:val="000F18E2"/>
    <w:rsid w:val="000F1D6F"/>
    <w:rsid w:val="000F2104"/>
    <w:rsid w:val="000F22DB"/>
    <w:rsid w:val="000F2C28"/>
    <w:rsid w:val="000F4299"/>
    <w:rsid w:val="000F4EDF"/>
    <w:rsid w:val="000F6B36"/>
    <w:rsid w:val="000F78A7"/>
    <w:rsid w:val="001002CD"/>
    <w:rsid w:val="00102726"/>
    <w:rsid w:val="00103A3C"/>
    <w:rsid w:val="00104068"/>
    <w:rsid w:val="00104076"/>
    <w:rsid w:val="00104801"/>
    <w:rsid w:val="00104863"/>
    <w:rsid w:val="00105211"/>
    <w:rsid w:val="0010618F"/>
    <w:rsid w:val="00106831"/>
    <w:rsid w:val="0010751D"/>
    <w:rsid w:val="00112E5F"/>
    <w:rsid w:val="00112F9E"/>
    <w:rsid w:val="00113216"/>
    <w:rsid w:val="00113513"/>
    <w:rsid w:val="00114FF3"/>
    <w:rsid w:val="00115207"/>
    <w:rsid w:val="00115FB6"/>
    <w:rsid w:val="001162BC"/>
    <w:rsid w:val="00116C1B"/>
    <w:rsid w:val="00116C54"/>
    <w:rsid w:val="00117F1B"/>
    <w:rsid w:val="0012010F"/>
    <w:rsid w:val="00120C4F"/>
    <w:rsid w:val="00120DFD"/>
    <w:rsid w:val="0012118A"/>
    <w:rsid w:val="00121641"/>
    <w:rsid w:val="0012191F"/>
    <w:rsid w:val="0012227A"/>
    <w:rsid w:val="00124826"/>
    <w:rsid w:val="00124AD0"/>
    <w:rsid w:val="00124BEB"/>
    <w:rsid w:val="00124C2E"/>
    <w:rsid w:val="00124D67"/>
    <w:rsid w:val="00125DAB"/>
    <w:rsid w:val="00127A7C"/>
    <w:rsid w:val="001315FD"/>
    <w:rsid w:val="00131B58"/>
    <w:rsid w:val="00132246"/>
    <w:rsid w:val="00132581"/>
    <w:rsid w:val="00132FEE"/>
    <w:rsid w:val="00134026"/>
    <w:rsid w:val="0013403B"/>
    <w:rsid w:val="00134116"/>
    <w:rsid w:val="0013453D"/>
    <w:rsid w:val="0013470F"/>
    <w:rsid w:val="00134977"/>
    <w:rsid w:val="00137572"/>
    <w:rsid w:val="001400BF"/>
    <w:rsid w:val="00141B89"/>
    <w:rsid w:val="001426F7"/>
    <w:rsid w:val="0014371A"/>
    <w:rsid w:val="00144ECD"/>
    <w:rsid w:val="00145880"/>
    <w:rsid w:val="00147069"/>
    <w:rsid w:val="00147BDF"/>
    <w:rsid w:val="00147FAA"/>
    <w:rsid w:val="00150E40"/>
    <w:rsid w:val="00152DEA"/>
    <w:rsid w:val="001532F4"/>
    <w:rsid w:val="001533C9"/>
    <w:rsid w:val="0015370B"/>
    <w:rsid w:val="00153E25"/>
    <w:rsid w:val="001540C0"/>
    <w:rsid w:val="00154898"/>
    <w:rsid w:val="001548B0"/>
    <w:rsid w:val="001558DF"/>
    <w:rsid w:val="001562C5"/>
    <w:rsid w:val="001576F4"/>
    <w:rsid w:val="00157D5F"/>
    <w:rsid w:val="00160031"/>
    <w:rsid w:val="00160B44"/>
    <w:rsid w:val="001643D9"/>
    <w:rsid w:val="001674EE"/>
    <w:rsid w:val="00167C33"/>
    <w:rsid w:val="001708AA"/>
    <w:rsid w:val="00170DA3"/>
    <w:rsid w:val="001714EC"/>
    <w:rsid w:val="00171659"/>
    <w:rsid w:val="00172B35"/>
    <w:rsid w:val="00173013"/>
    <w:rsid w:val="0017531D"/>
    <w:rsid w:val="00175A05"/>
    <w:rsid w:val="00175F1E"/>
    <w:rsid w:val="001765FF"/>
    <w:rsid w:val="0017681A"/>
    <w:rsid w:val="00177FA6"/>
    <w:rsid w:val="00180B33"/>
    <w:rsid w:val="00181277"/>
    <w:rsid w:val="00182663"/>
    <w:rsid w:val="00184909"/>
    <w:rsid w:val="00185F6E"/>
    <w:rsid w:val="0018682C"/>
    <w:rsid w:val="0018718E"/>
    <w:rsid w:val="001878BF"/>
    <w:rsid w:val="00190A30"/>
    <w:rsid w:val="00191C42"/>
    <w:rsid w:val="00192D8D"/>
    <w:rsid w:val="00194DCF"/>
    <w:rsid w:val="0019710C"/>
    <w:rsid w:val="00197516"/>
    <w:rsid w:val="001977D3"/>
    <w:rsid w:val="001A01A8"/>
    <w:rsid w:val="001A03A7"/>
    <w:rsid w:val="001A134A"/>
    <w:rsid w:val="001A1E5C"/>
    <w:rsid w:val="001A2347"/>
    <w:rsid w:val="001A3701"/>
    <w:rsid w:val="001A435F"/>
    <w:rsid w:val="001A6156"/>
    <w:rsid w:val="001A624D"/>
    <w:rsid w:val="001A64D7"/>
    <w:rsid w:val="001A755E"/>
    <w:rsid w:val="001A7644"/>
    <w:rsid w:val="001B00AD"/>
    <w:rsid w:val="001B104D"/>
    <w:rsid w:val="001B1452"/>
    <w:rsid w:val="001B21E2"/>
    <w:rsid w:val="001B4F44"/>
    <w:rsid w:val="001B600B"/>
    <w:rsid w:val="001B6486"/>
    <w:rsid w:val="001B7824"/>
    <w:rsid w:val="001C01BF"/>
    <w:rsid w:val="001C1092"/>
    <w:rsid w:val="001C177D"/>
    <w:rsid w:val="001C1842"/>
    <w:rsid w:val="001C2684"/>
    <w:rsid w:val="001C30D8"/>
    <w:rsid w:val="001C3120"/>
    <w:rsid w:val="001C3FAC"/>
    <w:rsid w:val="001C456E"/>
    <w:rsid w:val="001C6447"/>
    <w:rsid w:val="001C6EB0"/>
    <w:rsid w:val="001D0240"/>
    <w:rsid w:val="001D1276"/>
    <w:rsid w:val="001D2C9B"/>
    <w:rsid w:val="001D2F52"/>
    <w:rsid w:val="001D3A16"/>
    <w:rsid w:val="001D3E1F"/>
    <w:rsid w:val="001D3FF9"/>
    <w:rsid w:val="001D5473"/>
    <w:rsid w:val="001D7501"/>
    <w:rsid w:val="001D797E"/>
    <w:rsid w:val="001E0DB0"/>
    <w:rsid w:val="001E1BA0"/>
    <w:rsid w:val="001E1F35"/>
    <w:rsid w:val="001E2845"/>
    <w:rsid w:val="001E3087"/>
    <w:rsid w:val="001E41E3"/>
    <w:rsid w:val="001E6DCF"/>
    <w:rsid w:val="001E7242"/>
    <w:rsid w:val="001E78F2"/>
    <w:rsid w:val="001E7DD3"/>
    <w:rsid w:val="001F00E3"/>
    <w:rsid w:val="001F138A"/>
    <w:rsid w:val="001F167A"/>
    <w:rsid w:val="001F16F0"/>
    <w:rsid w:val="001F1CA8"/>
    <w:rsid w:val="001F1D70"/>
    <w:rsid w:val="001F2C0D"/>
    <w:rsid w:val="001F2E01"/>
    <w:rsid w:val="001F377C"/>
    <w:rsid w:val="001F3B0A"/>
    <w:rsid w:val="001F4571"/>
    <w:rsid w:val="001F531D"/>
    <w:rsid w:val="001F5E24"/>
    <w:rsid w:val="001F69CF"/>
    <w:rsid w:val="001F7300"/>
    <w:rsid w:val="001F791D"/>
    <w:rsid w:val="00202340"/>
    <w:rsid w:val="00202461"/>
    <w:rsid w:val="00202618"/>
    <w:rsid w:val="00202C4B"/>
    <w:rsid w:val="002036D4"/>
    <w:rsid w:val="0020419F"/>
    <w:rsid w:val="00204322"/>
    <w:rsid w:val="0020482B"/>
    <w:rsid w:val="00205793"/>
    <w:rsid w:val="00206542"/>
    <w:rsid w:val="00207A1C"/>
    <w:rsid w:val="00207C09"/>
    <w:rsid w:val="00211332"/>
    <w:rsid w:val="00211BA6"/>
    <w:rsid w:val="00212D4D"/>
    <w:rsid w:val="00212FA7"/>
    <w:rsid w:val="0021395C"/>
    <w:rsid w:val="002148FA"/>
    <w:rsid w:val="00214BDD"/>
    <w:rsid w:val="00214DA2"/>
    <w:rsid w:val="002151CD"/>
    <w:rsid w:val="00215AED"/>
    <w:rsid w:val="00216285"/>
    <w:rsid w:val="00216608"/>
    <w:rsid w:val="00221A68"/>
    <w:rsid w:val="00223305"/>
    <w:rsid w:val="002242E6"/>
    <w:rsid w:val="00224E7C"/>
    <w:rsid w:val="0022509A"/>
    <w:rsid w:val="00225B26"/>
    <w:rsid w:val="002270B7"/>
    <w:rsid w:val="0022783D"/>
    <w:rsid w:val="00230700"/>
    <w:rsid w:val="00230DDD"/>
    <w:rsid w:val="0023307E"/>
    <w:rsid w:val="00234C13"/>
    <w:rsid w:val="00235082"/>
    <w:rsid w:val="00235921"/>
    <w:rsid w:val="00235E4C"/>
    <w:rsid w:val="00235EB5"/>
    <w:rsid w:val="00236648"/>
    <w:rsid w:val="002366EE"/>
    <w:rsid w:val="0023692C"/>
    <w:rsid w:val="00236DE9"/>
    <w:rsid w:val="002401AC"/>
    <w:rsid w:val="00240495"/>
    <w:rsid w:val="0024398B"/>
    <w:rsid w:val="00244E4A"/>
    <w:rsid w:val="00245957"/>
    <w:rsid w:val="002469EE"/>
    <w:rsid w:val="0025020F"/>
    <w:rsid w:val="00252283"/>
    <w:rsid w:val="002548A3"/>
    <w:rsid w:val="002548C6"/>
    <w:rsid w:val="00255470"/>
    <w:rsid w:val="00255AD7"/>
    <w:rsid w:val="00257559"/>
    <w:rsid w:val="00257D75"/>
    <w:rsid w:val="00257F75"/>
    <w:rsid w:val="00260041"/>
    <w:rsid w:val="002608ED"/>
    <w:rsid w:val="00261227"/>
    <w:rsid w:val="00261DFB"/>
    <w:rsid w:val="00261FA9"/>
    <w:rsid w:val="00262313"/>
    <w:rsid w:val="00262E49"/>
    <w:rsid w:val="00264800"/>
    <w:rsid w:val="0026493B"/>
    <w:rsid w:val="002649A2"/>
    <w:rsid w:val="00266A42"/>
    <w:rsid w:val="00267151"/>
    <w:rsid w:val="00270157"/>
    <w:rsid w:val="002706B8"/>
    <w:rsid w:val="002706CA"/>
    <w:rsid w:val="00270ECE"/>
    <w:rsid w:val="0027120B"/>
    <w:rsid w:val="00271D70"/>
    <w:rsid w:val="00271E5B"/>
    <w:rsid w:val="00272480"/>
    <w:rsid w:val="00272B1F"/>
    <w:rsid w:val="0027370D"/>
    <w:rsid w:val="002745A4"/>
    <w:rsid w:val="00274658"/>
    <w:rsid w:val="002751BE"/>
    <w:rsid w:val="0027524F"/>
    <w:rsid w:val="0027560B"/>
    <w:rsid w:val="00275EBC"/>
    <w:rsid w:val="00276465"/>
    <w:rsid w:val="00277232"/>
    <w:rsid w:val="00277C17"/>
    <w:rsid w:val="002812C7"/>
    <w:rsid w:val="002824B9"/>
    <w:rsid w:val="00282A6B"/>
    <w:rsid w:val="00282C39"/>
    <w:rsid w:val="00283544"/>
    <w:rsid w:val="0028487F"/>
    <w:rsid w:val="00284F85"/>
    <w:rsid w:val="0028584E"/>
    <w:rsid w:val="00286DED"/>
    <w:rsid w:val="002874BB"/>
    <w:rsid w:val="002876B9"/>
    <w:rsid w:val="0029014D"/>
    <w:rsid w:val="00290341"/>
    <w:rsid w:val="00291CD2"/>
    <w:rsid w:val="00293009"/>
    <w:rsid w:val="002944D9"/>
    <w:rsid w:val="00297844"/>
    <w:rsid w:val="00297BAE"/>
    <w:rsid w:val="002A2B07"/>
    <w:rsid w:val="002A32FA"/>
    <w:rsid w:val="002A3CFD"/>
    <w:rsid w:val="002A48C9"/>
    <w:rsid w:val="002A524B"/>
    <w:rsid w:val="002A5BC5"/>
    <w:rsid w:val="002A7596"/>
    <w:rsid w:val="002A7715"/>
    <w:rsid w:val="002A7A06"/>
    <w:rsid w:val="002B00CA"/>
    <w:rsid w:val="002B235F"/>
    <w:rsid w:val="002B2AA1"/>
    <w:rsid w:val="002B38E6"/>
    <w:rsid w:val="002B4A83"/>
    <w:rsid w:val="002B559C"/>
    <w:rsid w:val="002B57E0"/>
    <w:rsid w:val="002B5ED6"/>
    <w:rsid w:val="002B7195"/>
    <w:rsid w:val="002B719F"/>
    <w:rsid w:val="002C180E"/>
    <w:rsid w:val="002C1D05"/>
    <w:rsid w:val="002C4596"/>
    <w:rsid w:val="002C5042"/>
    <w:rsid w:val="002C637C"/>
    <w:rsid w:val="002C6708"/>
    <w:rsid w:val="002C6E8A"/>
    <w:rsid w:val="002D06D9"/>
    <w:rsid w:val="002D0A27"/>
    <w:rsid w:val="002D1C63"/>
    <w:rsid w:val="002D21BF"/>
    <w:rsid w:val="002D312D"/>
    <w:rsid w:val="002D37B8"/>
    <w:rsid w:val="002D450E"/>
    <w:rsid w:val="002D4A32"/>
    <w:rsid w:val="002D5146"/>
    <w:rsid w:val="002D5650"/>
    <w:rsid w:val="002D6030"/>
    <w:rsid w:val="002E0B1B"/>
    <w:rsid w:val="002E0F03"/>
    <w:rsid w:val="002E31DB"/>
    <w:rsid w:val="002E3AF6"/>
    <w:rsid w:val="002E41BE"/>
    <w:rsid w:val="002E4468"/>
    <w:rsid w:val="002E5205"/>
    <w:rsid w:val="002E5522"/>
    <w:rsid w:val="002E5994"/>
    <w:rsid w:val="002E6117"/>
    <w:rsid w:val="002E7A28"/>
    <w:rsid w:val="002F121C"/>
    <w:rsid w:val="002F1F43"/>
    <w:rsid w:val="002F2BDB"/>
    <w:rsid w:val="002F3966"/>
    <w:rsid w:val="002F3BD0"/>
    <w:rsid w:val="002F4E52"/>
    <w:rsid w:val="002F5F2E"/>
    <w:rsid w:val="002F67ED"/>
    <w:rsid w:val="002F730F"/>
    <w:rsid w:val="00301D49"/>
    <w:rsid w:val="00302717"/>
    <w:rsid w:val="00302BE4"/>
    <w:rsid w:val="00302F3D"/>
    <w:rsid w:val="00303BB8"/>
    <w:rsid w:val="00304CDC"/>
    <w:rsid w:val="00304E7F"/>
    <w:rsid w:val="0030547A"/>
    <w:rsid w:val="00305F54"/>
    <w:rsid w:val="00306A8A"/>
    <w:rsid w:val="00306CB3"/>
    <w:rsid w:val="00310608"/>
    <w:rsid w:val="003124EB"/>
    <w:rsid w:val="00315BA1"/>
    <w:rsid w:val="0031739B"/>
    <w:rsid w:val="0031743B"/>
    <w:rsid w:val="00317A48"/>
    <w:rsid w:val="00317C02"/>
    <w:rsid w:val="00317E6C"/>
    <w:rsid w:val="00320024"/>
    <w:rsid w:val="003209F8"/>
    <w:rsid w:val="00321BBF"/>
    <w:rsid w:val="0032265A"/>
    <w:rsid w:val="00323F22"/>
    <w:rsid w:val="00324CD9"/>
    <w:rsid w:val="003257AF"/>
    <w:rsid w:val="00332C72"/>
    <w:rsid w:val="00335D97"/>
    <w:rsid w:val="0033775C"/>
    <w:rsid w:val="00337855"/>
    <w:rsid w:val="00337C12"/>
    <w:rsid w:val="00337C19"/>
    <w:rsid w:val="00337C3D"/>
    <w:rsid w:val="00337DB1"/>
    <w:rsid w:val="00343606"/>
    <w:rsid w:val="00343C57"/>
    <w:rsid w:val="00343C9F"/>
    <w:rsid w:val="003442FE"/>
    <w:rsid w:val="00346B66"/>
    <w:rsid w:val="003476A9"/>
    <w:rsid w:val="00350F4C"/>
    <w:rsid w:val="00350FD1"/>
    <w:rsid w:val="00351250"/>
    <w:rsid w:val="00354289"/>
    <w:rsid w:val="00354DAE"/>
    <w:rsid w:val="00356279"/>
    <w:rsid w:val="003563E5"/>
    <w:rsid w:val="003573FD"/>
    <w:rsid w:val="003606FC"/>
    <w:rsid w:val="00360FDF"/>
    <w:rsid w:val="003616C2"/>
    <w:rsid w:val="0036261E"/>
    <w:rsid w:val="003638C4"/>
    <w:rsid w:val="00363B40"/>
    <w:rsid w:val="00363E88"/>
    <w:rsid w:val="00364181"/>
    <w:rsid w:val="00364307"/>
    <w:rsid w:val="00365ACB"/>
    <w:rsid w:val="0036600E"/>
    <w:rsid w:val="003667AE"/>
    <w:rsid w:val="00370388"/>
    <w:rsid w:val="00370B64"/>
    <w:rsid w:val="00370DF0"/>
    <w:rsid w:val="00371234"/>
    <w:rsid w:val="0037254F"/>
    <w:rsid w:val="00372FC9"/>
    <w:rsid w:val="00374007"/>
    <w:rsid w:val="00374491"/>
    <w:rsid w:val="00375087"/>
    <w:rsid w:val="00377801"/>
    <w:rsid w:val="00377A2D"/>
    <w:rsid w:val="00380395"/>
    <w:rsid w:val="00381D93"/>
    <w:rsid w:val="00384DA2"/>
    <w:rsid w:val="00384EE1"/>
    <w:rsid w:val="00384F1C"/>
    <w:rsid w:val="00385444"/>
    <w:rsid w:val="003902DD"/>
    <w:rsid w:val="003904C8"/>
    <w:rsid w:val="00392E21"/>
    <w:rsid w:val="0039304B"/>
    <w:rsid w:val="0039491C"/>
    <w:rsid w:val="0039602D"/>
    <w:rsid w:val="003971E5"/>
    <w:rsid w:val="003A033E"/>
    <w:rsid w:val="003A1474"/>
    <w:rsid w:val="003A1533"/>
    <w:rsid w:val="003A2021"/>
    <w:rsid w:val="003A33F7"/>
    <w:rsid w:val="003A36BE"/>
    <w:rsid w:val="003A4041"/>
    <w:rsid w:val="003A6862"/>
    <w:rsid w:val="003A74F7"/>
    <w:rsid w:val="003A776C"/>
    <w:rsid w:val="003A7BEE"/>
    <w:rsid w:val="003B0E24"/>
    <w:rsid w:val="003B1819"/>
    <w:rsid w:val="003B1982"/>
    <w:rsid w:val="003B256A"/>
    <w:rsid w:val="003B26BD"/>
    <w:rsid w:val="003B2E4C"/>
    <w:rsid w:val="003B37EA"/>
    <w:rsid w:val="003B4CA0"/>
    <w:rsid w:val="003B6404"/>
    <w:rsid w:val="003B7EBF"/>
    <w:rsid w:val="003C01B1"/>
    <w:rsid w:val="003C06B4"/>
    <w:rsid w:val="003C112B"/>
    <w:rsid w:val="003C4421"/>
    <w:rsid w:val="003C58D7"/>
    <w:rsid w:val="003C5C04"/>
    <w:rsid w:val="003C6527"/>
    <w:rsid w:val="003C660C"/>
    <w:rsid w:val="003C6F10"/>
    <w:rsid w:val="003C7206"/>
    <w:rsid w:val="003C784E"/>
    <w:rsid w:val="003C7FB8"/>
    <w:rsid w:val="003C7FBF"/>
    <w:rsid w:val="003D14E0"/>
    <w:rsid w:val="003D1885"/>
    <w:rsid w:val="003D1F1E"/>
    <w:rsid w:val="003D216A"/>
    <w:rsid w:val="003D3C7F"/>
    <w:rsid w:val="003D3CF1"/>
    <w:rsid w:val="003D3FBB"/>
    <w:rsid w:val="003D4BB7"/>
    <w:rsid w:val="003D5DCD"/>
    <w:rsid w:val="003D669A"/>
    <w:rsid w:val="003D68A6"/>
    <w:rsid w:val="003E0761"/>
    <w:rsid w:val="003E1077"/>
    <w:rsid w:val="003E1944"/>
    <w:rsid w:val="003E331B"/>
    <w:rsid w:val="003E3CE4"/>
    <w:rsid w:val="003E4E07"/>
    <w:rsid w:val="003E5D68"/>
    <w:rsid w:val="003E6071"/>
    <w:rsid w:val="003E6ACC"/>
    <w:rsid w:val="003F023C"/>
    <w:rsid w:val="003F0EB8"/>
    <w:rsid w:val="003F1456"/>
    <w:rsid w:val="003F2ABB"/>
    <w:rsid w:val="003F332F"/>
    <w:rsid w:val="003F76E2"/>
    <w:rsid w:val="00400C7D"/>
    <w:rsid w:val="0040165B"/>
    <w:rsid w:val="00402571"/>
    <w:rsid w:val="00403580"/>
    <w:rsid w:val="0040372D"/>
    <w:rsid w:val="0040602C"/>
    <w:rsid w:val="004110DE"/>
    <w:rsid w:val="00411192"/>
    <w:rsid w:val="0041154E"/>
    <w:rsid w:val="00412F1C"/>
    <w:rsid w:val="0041308C"/>
    <w:rsid w:val="0041483D"/>
    <w:rsid w:val="00415272"/>
    <w:rsid w:val="0041588F"/>
    <w:rsid w:val="00415B75"/>
    <w:rsid w:val="00415D68"/>
    <w:rsid w:val="00416CC6"/>
    <w:rsid w:val="00417D38"/>
    <w:rsid w:val="004204DA"/>
    <w:rsid w:val="00420AAF"/>
    <w:rsid w:val="00421BBF"/>
    <w:rsid w:val="00422292"/>
    <w:rsid w:val="0042263D"/>
    <w:rsid w:val="004238F0"/>
    <w:rsid w:val="0042539D"/>
    <w:rsid w:val="0042592F"/>
    <w:rsid w:val="00426773"/>
    <w:rsid w:val="00426CF2"/>
    <w:rsid w:val="00427C83"/>
    <w:rsid w:val="00427FCC"/>
    <w:rsid w:val="00432BE8"/>
    <w:rsid w:val="00432D2C"/>
    <w:rsid w:val="004343EC"/>
    <w:rsid w:val="004352B7"/>
    <w:rsid w:val="004353E9"/>
    <w:rsid w:val="00436066"/>
    <w:rsid w:val="00441498"/>
    <w:rsid w:val="00442546"/>
    <w:rsid w:val="00443888"/>
    <w:rsid w:val="0044388E"/>
    <w:rsid w:val="00443C9F"/>
    <w:rsid w:val="00443EDA"/>
    <w:rsid w:val="00443F79"/>
    <w:rsid w:val="004449FA"/>
    <w:rsid w:val="00446077"/>
    <w:rsid w:val="00447380"/>
    <w:rsid w:val="004477D9"/>
    <w:rsid w:val="00447C27"/>
    <w:rsid w:val="0045002C"/>
    <w:rsid w:val="0045012B"/>
    <w:rsid w:val="004515C2"/>
    <w:rsid w:val="00452075"/>
    <w:rsid w:val="004524E1"/>
    <w:rsid w:val="004537C0"/>
    <w:rsid w:val="00453C15"/>
    <w:rsid w:val="0045564D"/>
    <w:rsid w:val="00455D04"/>
    <w:rsid w:val="00455DAA"/>
    <w:rsid w:val="00456880"/>
    <w:rsid w:val="0045757E"/>
    <w:rsid w:val="00457DEF"/>
    <w:rsid w:val="004615CB"/>
    <w:rsid w:val="0046222E"/>
    <w:rsid w:val="0046223B"/>
    <w:rsid w:val="00463B76"/>
    <w:rsid w:val="004659BA"/>
    <w:rsid w:val="00466121"/>
    <w:rsid w:val="004678D3"/>
    <w:rsid w:val="0046797D"/>
    <w:rsid w:val="004701EE"/>
    <w:rsid w:val="00470A7A"/>
    <w:rsid w:val="0047177C"/>
    <w:rsid w:val="0047373D"/>
    <w:rsid w:val="004745D0"/>
    <w:rsid w:val="004749A4"/>
    <w:rsid w:val="00474C94"/>
    <w:rsid w:val="004755C8"/>
    <w:rsid w:val="004777AC"/>
    <w:rsid w:val="00477B56"/>
    <w:rsid w:val="00477F0E"/>
    <w:rsid w:val="00480A8D"/>
    <w:rsid w:val="0048152B"/>
    <w:rsid w:val="00486DF8"/>
    <w:rsid w:val="004878B7"/>
    <w:rsid w:val="00487B49"/>
    <w:rsid w:val="0049052B"/>
    <w:rsid w:val="00490708"/>
    <w:rsid w:val="00493947"/>
    <w:rsid w:val="004939A2"/>
    <w:rsid w:val="004979B3"/>
    <w:rsid w:val="004A0B48"/>
    <w:rsid w:val="004A1DAA"/>
    <w:rsid w:val="004A2297"/>
    <w:rsid w:val="004A2375"/>
    <w:rsid w:val="004A2A2D"/>
    <w:rsid w:val="004A2C61"/>
    <w:rsid w:val="004A2C9B"/>
    <w:rsid w:val="004A2F40"/>
    <w:rsid w:val="004A363B"/>
    <w:rsid w:val="004A3F26"/>
    <w:rsid w:val="004A48F5"/>
    <w:rsid w:val="004A49BD"/>
    <w:rsid w:val="004A5148"/>
    <w:rsid w:val="004A7A84"/>
    <w:rsid w:val="004B0089"/>
    <w:rsid w:val="004B0ADA"/>
    <w:rsid w:val="004B0AED"/>
    <w:rsid w:val="004B1377"/>
    <w:rsid w:val="004B4D1C"/>
    <w:rsid w:val="004B578A"/>
    <w:rsid w:val="004B5AEB"/>
    <w:rsid w:val="004C13C5"/>
    <w:rsid w:val="004C27B0"/>
    <w:rsid w:val="004C417A"/>
    <w:rsid w:val="004C485A"/>
    <w:rsid w:val="004C4ABD"/>
    <w:rsid w:val="004C4B82"/>
    <w:rsid w:val="004C5112"/>
    <w:rsid w:val="004C75CD"/>
    <w:rsid w:val="004C7D47"/>
    <w:rsid w:val="004C7F72"/>
    <w:rsid w:val="004D222B"/>
    <w:rsid w:val="004D3012"/>
    <w:rsid w:val="004D661C"/>
    <w:rsid w:val="004D7ACC"/>
    <w:rsid w:val="004E0344"/>
    <w:rsid w:val="004E042D"/>
    <w:rsid w:val="004E24EA"/>
    <w:rsid w:val="004E44C5"/>
    <w:rsid w:val="004E7120"/>
    <w:rsid w:val="004E7FF8"/>
    <w:rsid w:val="004F125D"/>
    <w:rsid w:val="004F1328"/>
    <w:rsid w:val="004F1912"/>
    <w:rsid w:val="004F29F3"/>
    <w:rsid w:val="004F2FE4"/>
    <w:rsid w:val="004F3D28"/>
    <w:rsid w:val="004F5568"/>
    <w:rsid w:val="004F5B57"/>
    <w:rsid w:val="004F67AD"/>
    <w:rsid w:val="004F6B9A"/>
    <w:rsid w:val="00500886"/>
    <w:rsid w:val="005010B3"/>
    <w:rsid w:val="00501D24"/>
    <w:rsid w:val="00501D5C"/>
    <w:rsid w:val="00503717"/>
    <w:rsid w:val="00503907"/>
    <w:rsid w:val="00504F01"/>
    <w:rsid w:val="005123FD"/>
    <w:rsid w:val="005128FA"/>
    <w:rsid w:val="00512B27"/>
    <w:rsid w:val="00512EDC"/>
    <w:rsid w:val="00514D47"/>
    <w:rsid w:val="005153C1"/>
    <w:rsid w:val="0051571C"/>
    <w:rsid w:val="00516745"/>
    <w:rsid w:val="0051709E"/>
    <w:rsid w:val="0051714C"/>
    <w:rsid w:val="005179E0"/>
    <w:rsid w:val="0052034E"/>
    <w:rsid w:val="00521903"/>
    <w:rsid w:val="0052493F"/>
    <w:rsid w:val="00526D86"/>
    <w:rsid w:val="005313CC"/>
    <w:rsid w:val="00531867"/>
    <w:rsid w:val="00532002"/>
    <w:rsid w:val="00532E14"/>
    <w:rsid w:val="00533A1E"/>
    <w:rsid w:val="00533BC3"/>
    <w:rsid w:val="00537248"/>
    <w:rsid w:val="00543A4C"/>
    <w:rsid w:val="0054409E"/>
    <w:rsid w:val="005458D8"/>
    <w:rsid w:val="00545CF8"/>
    <w:rsid w:val="0054628F"/>
    <w:rsid w:val="00550C85"/>
    <w:rsid w:val="00550CA6"/>
    <w:rsid w:val="00552338"/>
    <w:rsid w:val="00552917"/>
    <w:rsid w:val="005532FC"/>
    <w:rsid w:val="00553797"/>
    <w:rsid w:val="00553C13"/>
    <w:rsid w:val="00554795"/>
    <w:rsid w:val="0055511F"/>
    <w:rsid w:val="00555E3B"/>
    <w:rsid w:val="00556970"/>
    <w:rsid w:val="00556975"/>
    <w:rsid w:val="0056053A"/>
    <w:rsid w:val="005607DC"/>
    <w:rsid w:val="00560969"/>
    <w:rsid w:val="00561049"/>
    <w:rsid w:val="005621F1"/>
    <w:rsid w:val="00563C30"/>
    <w:rsid w:val="00563FEE"/>
    <w:rsid w:val="005647F2"/>
    <w:rsid w:val="00564A27"/>
    <w:rsid w:val="00564F2B"/>
    <w:rsid w:val="0056547F"/>
    <w:rsid w:val="00565903"/>
    <w:rsid w:val="00565B6B"/>
    <w:rsid w:val="00565DF4"/>
    <w:rsid w:val="00565EB0"/>
    <w:rsid w:val="00566DC7"/>
    <w:rsid w:val="00567548"/>
    <w:rsid w:val="0057155E"/>
    <w:rsid w:val="00571572"/>
    <w:rsid w:val="00571792"/>
    <w:rsid w:val="005719F1"/>
    <w:rsid w:val="005753E7"/>
    <w:rsid w:val="00576131"/>
    <w:rsid w:val="00577B9E"/>
    <w:rsid w:val="00580C76"/>
    <w:rsid w:val="00582AA1"/>
    <w:rsid w:val="0058330B"/>
    <w:rsid w:val="00583799"/>
    <w:rsid w:val="005859EC"/>
    <w:rsid w:val="00585CB8"/>
    <w:rsid w:val="0059015B"/>
    <w:rsid w:val="00591631"/>
    <w:rsid w:val="0059176F"/>
    <w:rsid w:val="005925A3"/>
    <w:rsid w:val="0059344D"/>
    <w:rsid w:val="00593FC1"/>
    <w:rsid w:val="005A206E"/>
    <w:rsid w:val="005A2A37"/>
    <w:rsid w:val="005A4F2E"/>
    <w:rsid w:val="005A5BC6"/>
    <w:rsid w:val="005A6905"/>
    <w:rsid w:val="005A7D29"/>
    <w:rsid w:val="005B0E15"/>
    <w:rsid w:val="005B145B"/>
    <w:rsid w:val="005B2FC7"/>
    <w:rsid w:val="005B3751"/>
    <w:rsid w:val="005B46B5"/>
    <w:rsid w:val="005B5DD1"/>
    <w:rsid w:val="005B62A8"/>
    <w:rsid w:val="005B6AA9"/>
    <w:rsid w:val="005C0D4D"/>
    <w:rsid w:val="005C1E60"/>
    <w:rsid w:val="005C2AD2"/>
    <w:rsid w:val="005C3E06"/>
    <w:rsid w:val="005C4A1D"/>
    <w:rsid w:val="005C5674"/>
    <w:rsid w:val="005C5B1F"/>
    <w:rsid w:val="005C5C34"/>
    <w:rsid w:val="005D007D"/>
    <w:rsid w:val="005D1384"/>
    <w:rsid w:val="005D1E2D"/>
    <w:rsid w:val="005D607C"/>
    <w:rsid w:val="005D70D3"/>
    <w:rsid w:val="005D72B7"/>
    <w:rsid w:val="005E1515"/>
    <w:rsid w:val="005E161E"/>
    <w:rsid w:val="005E2605"/>
    <w:rsid w:val="005E747B"/>
    <w:rsid w:val="005E7671"/>
    <w:rsid w:val="005E7DAE"/>
    <w:rsid w:val="005F1821"/>
    <w:rsid w:val="005F1DC1"/>
    <w:rsid w:val="005F1F83"/>
    <w:rsid w:val="005F410D"/>
    <w:rsid w:val="005F4383"/>
    <w:rsid w:val="005F43FB"/>
    <w:rsid w:val="005F4646"/>
    <w:rsid w:val="005F466C"/>
    <w:rsid w:val="005F6219"/>
    <w:rsid w:val="005F782B"/>
    <w:rsid w:val="00601198"/>
    <w:rsid w:val="00603275"/>
    <w:rsid w:val="0060578A"/>
    <w:rsid w:val="00605C37"/>
    <w:rsid w:val="00606A28"/>
    <w:rsid w:val="0061159F"/>
    <w:rsid w:val="00611A43"/>
    <w:rsid w:val="0061266F"/>
    <w:rsid w:val="006132C7"/>
    <w:rsid w:val="00614F15"/>
    <w:rsid w:val="00615015"/>
    <w:rsid w:val="00615460"/>
    <w:rsid w:val="006167C3"/>
    <w:rsid w:val="00617677"/>
    <w:rsid w:val="006234AA"/>
    <w:rsid w:val="0062354C"/>
    <w:rsid w:val="006240FF"/>
    <w:rsid w:val="006244E3"/>
    <w:rsid w:val="00626C8A"/>
    <w:rsid w:val="00631CEE"/>
    <w:rsid w:val="0063245D"/>
    <w:rsid w:val="00634D8D"/>
    <w:rsid w:val="006358F1"/>
    <w:rsid w:val="00635971"/>
    <w:rsid w:val="006368DC"/>
    <w:rsid w:val="00636B72"/>
    <w:rsid w:val="00636B83"/>
    <w:rsid w:val="00636F0B"/>
    <w:rsid w:val="006370C7"/>
    <w:rsid w:val="0064049C"/>
    <w:rsid w:val="006425FD"/>
    <w:rsid w:val="006435D8"/>
    <w:rsid w:val="00643A49"/>
    <w:rsid w:val="00645C07"/>
    <w:rsid w:val="00646169"/>
    <w:rsid w:val="006462DD"/>
    <w:rsid w:val="00646945"/>
    <w:rsid w:val="00647BD8"/>
    <w:rsid w:val="00650169"/>
    <w:rsid w:val="006503A1"/>
    <w:rsid w:val="00652A84"/>
    <w:rsid w:val="00652BDA"/>
    <w:rsid w:val="00654127"/>
    <w:rsid w:val="006554F1"/>
    <w:rsid w:val="0065586C"/>
    <w:rsid w:val="00655949"/>
    <w:rsid w:val="006568A9"/>
    <w:rsid w:val="00656B57"/>
    <w:rsid w:val="00656BC1"/>
    <w:rsid w:val="006570E3"/>
    <w:rsid w:val="006572BC"/>
    <w:rsid w:val="00657ED6"/>
    <w:rsid w:val="00660462"/>
    <w:rsid w:val="006615ED"/>
    <w:rsid w:val="006616C4"/>
    <w:rsid w:val="0066219D"/>
    <w:rsid w:val="00663854"/>
    <w:rsid w:val="0066385E"/>
    <w:rsid w:val="0066417A"/>
    <w:rsid w:val="00665634"/>
    <w:rsid w:val="00665DAE"/>
    <w:rsid w:val="00666156"/>
    <w:rsid w:val="00666494"/>
    <w:rsid w:val="00666F0F"/>
    <w:rsid w:val="006701BA"/>
    <w:rsid w:val="006711FC"/>
    <w:rsid w:val="006736B2"/>
    <w:rsid w:val="00673C91"/>
    <w:rsid w:val="0067440D"/>
    <w:rsid w:val="00674C33"/>
    <w:rsid w:val="006755E5"/>
    <w:rsid w:val="00675BEE"/>
    <w:rsid w:val="0067678A"/>
    <w:rsid w:val="00680111"/>
    <w:rsid w:val="00680576"/>
    <w:rsid w:val="0068064F"/>
    <w:rsid w:val="0068075F"/>
    <w:rsid w:val="00680784"/>
    <w:rsid w:val="006816CB"/>
    <w:rsid w:val="00682A2D"/>
    <w:rsid w:val="00682D24"/>
    <w:rsid w:val="00683B16"/>
    <w:rsid w:val="00685923"/>
    <w:rsid w:val="00685F02"/>
    <w:rsid w:val="00691282"/>
    <w:rsid w:val="0069165D"/>
    <w:rsid w:val="00692BBF"/>
    <w:rsid w:val="006952BA"/>
    <w:rsid w:val="0069575A"/>
    <w:rsid w:val="006969B2"/>
    <w:rsid w:val="00696DCD"/>
    <w:rsid w:val="006977F5"/>
    <w:rsid w:val="006A1339"/>
    <w:rsid w:val="006A3757"/>
    <w:rsid w:val="006A475C"/>
    <w:rsid w:val="006A47D3"/>
    <w:rsid w:val="006A48C5"/>
    <w:rsid w:val="006A6145"/>
    <w:rsid w:val="006A6152"/>
    <w:rsid w:val="006B00FF"/>
    <w:rsid w:val="006B143B"/>
    <w:rsid w:val="006B293D"/>
    <w:rsid w:val="006B33CB"/>
    <w:rsid w:val="006B611E"/>
    <w:rsid w:val="006B64A6"/>
    <w:rsid w:val="006B692F"/>
    <w:rsid w:val="006B7644"/>
    <w:rsid w:val="006C0AD2"/>
    <w:rsid w:val="006C1ADD"/>
    <w:rsid w:val="006C2911"/>
    <w:rsid w:val="006C2E6B"/>
    <w:rsid w:val="006C314E"/>
    <w:rsid w:val="006C38E7"/>
    <w:rsid w:val="006C39D1"/>
    <w:rsid w:val="006C5224"/>
    <w:rsid w:val="006C57F5"/>
    <w:rsid w:val="006C5937"/>
    <w:rsid w:val="006C7575"/>
    <w:rsid w:val="006C7BBE"/>
    <w:rsid w:val="006D0CAD"/>
    <w:rsid w:val="006D109D"/>
    <w:rsid w:val="006D1522"/>
    <w:rsid w:val="006D3595"/>
    <w:rsid w:val="006D4730"/>
    <w:rsid w:val="006D60F7"/>
    <w:rsid w:val="006D621B"/>
    <w:rsid w:val="006D7E4B"/>
    <w:rsid w:val="006E0416"/>
    <w:rsid w:val="006E11A2"/>
    <w:rsid w:val="006E19C3"/>
    <w:rsid w:val="006E30EB"/>
    <w:rsid w:val="006E512D"/>
    <w:rsid w:val="006E5376"/>
    <w:rsid w:val="006E7BD2"/>
    <w:rsid w:val="006E7EF8"/>
    <w:rsid w:val="006F1AFF"/>
    <w:rsid w:val="006F1CA7"/>
    <w:rsid w:val="006F37A4"/>
    <w:rsid w:val="006F37AE"/>
    <w:rsid w:val="006F42F5"/>
    <w:rsid w:val="006F55B8"/>
    <w:rsid w:val="006F5AFF"/>
    <w:rsid w:val="006F7705"/>
    <w:rsid w:val="0070097A"/>
    <w:rsid w:val="007018DC"/>
    <w:rsid w:val="0070464A"/>
    <w:rsid w:val="00704EFC"/>
    <w:rsid w:val="007059A7"/>
    <w:rsid w:val="007072CC"/>
    <w:rsid w:val="00710381"/>
    <w:rsid w:val="00710693"/>
    <w:rsid w:val="00710A8A"/>
    <w:rsid w:val="0071190D"/>
    <w:rsid w:val="0071199A"/>
    <w:rsid w:val="00712917"/>
    <w:rsid w:val="00713170"/>
    <w:rsid w:val="00713B0E"/>
    <w:rsid w:val="00714110"/>
    <w:rsid w:val="00714A45"/>
    <w:rsid w:val="0071572D"/>
    <w:rsid w:val="00720196"/>
    <w:rsid w:val="00720C35"/>
    <w:rsid w:val="007225F2"/>
    <w:rsid w:val="00722AE2"/>
    <w:rsid w:val="007240CF"/>
    <w:rsid w:val="00724243"/>
    <w:rsid w:val="007244D6"/>
    <w:rsid w:val="00725328"/>
    <w:rsid w:val="00725B24"/>
    <w:rsid w:val="00725E7F"/>
    <w:rsid w:val="00726F91"/>
    <w:rsid w:val="00731176"/>
    <w:rsid w:val="00731E02"/>
    <w:rsid w:val="007347CB"/>
    <w:rsid w:val="00734E73"/>
    <w:rsid w:val="00734F19"/>
    <w:rsid w:val="00735FA6"/>
    <w:rsid w:val="00737E63"/>
    <w:rsid w:val="00742633"/>
    <w:rsid w:val="0074322A"/>
    <w:rsid w:val="00744D9F"/>
    <w:rsid w:val="00745AE2"/>
    <w:rsid w:val="00745F44"/>
    <w:rsid w:val="0074613D"/>
    <w:rsid w:val="00746573"/>
    <w:rsid w:val="0074772B"/>
    <w:rsid w:val="007511E6"/>
    <w:rsid w:val="00752F30"/>
    <w:rsid w:val="0075378D"/>
    <w:rsid w:val="007550EA"/>
    <w:rsid w:val="007557AE"/>
    <w:rsid w:val="0075688D"/>
    <w:rsid w:val="007573DF"/>
    <w:rsid w:val="00760870"/>
    <w:rsid w:val="00760CD4"/>
    <w:rsid w:val="00760E17"/>
    <w:rsid w:val="007610A8"/>
    <w:rsid w:val="0076182C"/>
    <w:rsid w:val="00762243"/>
    <w:rsid w:val="00763BDC"/>
    <w:rsid w:val="00763FCF"/>
    <w:rsid w:val="00764360"/>
    <w:rsid w:val="00766A1D"/>
    <w:rsid w:val="007670A4"/>
    <w:rsid w:val="00767337"/>
    <w:rsid w:val="00772096"/>
    <w:rsid w:val="007730FA"/>
    <w:rsid w:val="00774F1D"/>
    <w:rsid w:val="0077608E"/>
    <w:rsid w:val="00776A73"/>
    <w:rsid w:val="00776EB9"/>
    <w:rsid w:val="00777628"/>
    <w:rsid w:val="007801CC"/>
    <w:rsid w:val="0078097C"/>
    <w:rsid w:val="00782CC4"/>
    <w:rsid w:val="00785F03"/>
    <w:rsid w:val="007862FD"/>
    <w:rsid w:val="00786887"/>
    <w:rsid w:val="007869E6"/>
    <w:rsid w:val="00790010"/>
    <w:rsid w:val="00790075"/>
    <w:rsid w:val="00790250"/>
    <w:rsid w:val="0079068B"/>
    <w:rsid w:val="00790BA4"/>
    <w:rsid w:val="0079124B"/>
    <w:rsid w:val="007914A2"/>
    <w:rsid w:val="0079239D"/>
    <w:rsid w:val="007938A5"/>
    <w:rsid w:val="00793D0A"/>
    <w:rsid w:val="007946F1"/>
    <w:rsid w:val="007950E7"/>
    <w:rsid w:val="00795E78"/>
    <w:rsid w:val="00796C01"/>
    <w:rsid w:val="007A14A9"/>
    <w:rsid w:val="007A30E5"/>
    <w:rsid w:val="007A425C"/>
    <w:rsid w:val="007A5476"/>
    <w:rsid w:val="007A6D89"/>
    <w:rsid w:val="007B136D"/>
    <w:rsid w:val="007B148E"/>
    <w:rsid w:val="007B1B15"/>
    <w:rsid w:val="007B2743"/>
    <w:rsid w:val="007B46EB"/>
    <w:rsid w:val="007B506B"/>
    <w:rsid w:val="007B7EC6"/>
    <w:rsid w:val="007C0D2C"/>
    <w:rsid w:val="007C26AE"/>
    <w:rsid w:val="007C2720"/>
    <w:rsid w:val="007C31B5"/>
    <w:rsid w:val="007C503A"/>
    <w:rsid w:val="007C5A28"/>
    <w:rsid w:val="007C5EC2"/>
    <w:rsid w:val="007C65EA"/>
    <w:rsid w:val="007C673B"/>
    <w:rsid w:val="007C748C"/>
    <w:rsid w:val="007C77BC"/>
    <w:rsid w:val="007D086E"/>
    <w:rsid w:val="007D17BE"/>
    <w:rsid w:val="007D3FF0"/>
    <w:rsid w:val="007D5626"/>
    <w:rsid w:val="007D6195"/>
    <w:rsid w:val="007E07E5"/>
    <w:rsid w:val="007E0E79"/>
    <w:rsid w:val="007E5930"/>
    <w:rsid w:val="007E6B08"/>
    <w:rsid w:val="007E6B4A"/>
    <w:rsid w:val="007E7205"/>
    <w:rsid w:val="007E76B6"/>
    <w:rsid w:val="007F0030"/>
    <w:rsid w:val="007F0BA3"/>
    <w:rsid w:val="007F132A"/>
    <w:rsid w:val="007F16F3"/>
    <w:rsid w:val="007F1E2D"/>
    <w:rsid w:val="007F1F1F"/>
    <w:rsid w:val="007F23BA"/>
    <w:rsid w:val="007F4F19"/>
    <w:rsid w:val="007F5434"/>
    <w:rsid w:val="007F5FEB"/>
    <w:rsid w:val="007F6725"/>
    <w:rsid w:val="007F7E40"/>
    <w:rsid w:val="00800B2B"/>
    <w:rsid w:val="00801A99"/>
    <w:rsid w:val="00802128"/>
    <w:rsid w:val="00803633"/>
    <w:rsid w:val="0080403D"/>
    <w:rsid w:val="008041E8"/>
    <w:rsid w:val="00806564"/>
    <w:rsid w:val="008103BC"/>
    <w:rsid w:val="0081069F"/>
    <w:rsid w:val="00810C04"/>
    <w:rsid w:val="00811B86"/>
    <w:rsid w:val="0081214C"/>
    <w:rsid w:val="00812860"/>
    <w:rsid w:val="00813E6C"/>
    <w:rsid w:val="00814342"/>
    <w:rsid w:val="008145DD"/>
    <w:rsid w:val="00814953"/>
    <w:rsid w:val="0081548D"/>
    <w:rsid w:val="00816000"/>
    <w:rsid w:val="00816122"/>
    <w:rsid w:val="008169C1"/>
    <w:rsid w:val="008216EF"/>
    <w:rsid w:val="00821C90"/>
    <w:rsid w:val="00821F56"/>
    <w:rsid w:val="00822834"/>
    <w:rsid w:val="00822F13"/>
    <w:rsid w:val="00822F51"/>
    <w:rsid w:val="00826D02"/>
    <w:rsid w:val="0083162D"/>
    <w:rsid w:val="00832574"/>
    <w:rsid w:val="00837039"/>
    <w:rsid w:val="008407F8"/>
    <w:rsid w:val="00840B1F"/>
    <w:rsid w:val="00842F67"/>
    <w:rsid w:val="0084426A"/>
    <w:rsid w:val="00844BC3"/>
    <w:rsid w:val="00844D44"/>
    <w:rsid w:val="008453B2"/>
    <w:rsid w:val="00847D8F"/>
    <w:rsid w:val="00851051"/>
    <w:rsid w:val="0085243A"/>
    <w:rsid w:val="008561C2"/>
    <w:rsid w:val="008574FE"/>
    <w:rsid w:val="00857C9D"/>
    <w:rsid w:val="0086324C"/>
    <w:rsid w:val="008638CA"/>
    <w:rsid w:val="00863DB3"/>
    <w:rsid w:val="0086444C"/>
    <w:rsid w:val="008655B9"/>
    <w:rsid w:val="00866B82"/>
    <w:rsid w:val="00866EF6"/>
    <w:rsid w:val="00867E00"/>
    <w:rsid w:val="0087108A"/>
    <w:rsid w:val="008735FE"/>
    <w:rsid w:val="00874541"/>
    <w:rsid w:val="008746E1"/>
    <w:rsid w:val="00874DA2"/>
    <w:rsid w:val="008773FA"/>
    <w:rsid w:val="00877FF7"/>
    <w:rsid w:val="00880476"/>
    <w:rsid w:val="00881716"/>
    <w:rsid w:val="00881972"/>
    <w:rsid w:val="00882F00"/>
    <w:rsid w:val="00883FB3"/>
    <w:rsid w:val="00885571"/>
    <w:rsid w:val="008860FF"/>
    <w:rsid w:val="008861E4"/>
    <w:rsid w:val="008870DD"/>
    <w:rsid w:val="0088750B"/>
    <w:rsid w:val="00887F2F"/>
    <w:rsid w:val="0089057C"/>
    <w:rsid w:val="00890633"/>
    <w:rsid w:val="00890A60"/>
    <w:rsid w:val="00890EA8"/>
    <w:rsid w:val="00891489"/>
    <w:rsid w:val="00892571"/>
    <w:rsid w:val="0089259F"/>
    <w:rsid w:val="00892BA7"/>
    <w:rsid w:val="00892DAD"/>
    <w:rsid w:val="0089376F"/>
    <w:rsid w:val="00893B4E"/>
    <w:rsid w:val="00894E49"/>
    <w:rsid w:val="00895894"/>
    <w:rsid w:val="0089589D"/>
    <w:rsid w:val="00896964"/>
    <w:rsid w:val="00896D9A"/>
    <w:rsid w:val="00897446"/>
    <w:rsid w:val="008A27C0"/>
    <w:rsid w:val="008A5631"/>
    <w:rsid w:val="008A5C56"/>
    <w:rsid w:val="008A719B"/>
    <w:rsid w:val="008B0A76"/>
    <w:rsid w:val="008B1430"/>
    <w:rsid w:val="008B15BA"/>
    <w:rsid w:val="008B2263"/>
    <w:rsid w:val="008B49B1"/>
    <w:rsid w:val="008B5046"/>
    <w:rsid w:val="008B5AAC"/>
    <w:rsid w:val="008B60B4"/>
    <w:rsid w:val="008B71D8"/>
    <w:rsid w:val="008B7CF1"/>
    <w:rsid w:val="008B7D8B"/>
    <w:rsid w:val="008C0035"/>
    <w:rsid w:val="008C04F3"/>
    <w:rsid w:val="008C1F9A"/>
    <w:rsid w:val="008C2235"/>
    <w:rsid w:val="008C2245"/>
    <w:rsid w:val="008C3BE8"/>
    <w:rsid w:val="008C3D6B"/>
    <w:rsid w:val="008C3EE4"/>
    <w:rsid w:val="008C5ABF"/>
    <w:rsid w:val="008C64CB"/>
    <w:rsid w:val="008C7552"/>
    <w:rsid w:val="008D026A"/>
    <w:rsid w:val="008D0790"/>
    <w:rsid w:val="008D098B"/>
    <w:rsid w:val="008D0DF3"/>
    <w:rsid w:val="008D2933"/>
    <w:rsid w:val="008D3810"/>
    <w:rsid w:val="008D3F29"/>
    <w:rsid w:val="008D4797"/>
    <w:rsid w:val="008D5796"/>
    <w:rsid w:val="008D5EAA"/>
    <w:rsid w:val="008D7C79"/>
    <w:rsid w:val="008E0581"/>
    <w:rsid w:val="008E0607"/>
    <w:rsid w:val="008E0949"/>
    <w:rsid w:val="008E0B9D"/>
    <w:rsid w:val="008E1360"/>
    <w:rsid w:val="008E148D"/>
    <w:rsid w:val="008E3779"/>
    <w:rsid w:val="008E54E6"/>
    <w:rsid w:val="008E6C78"/>
    <w:rsid w:val="008E76A4"/>
    <w:rsid w:val="008E78C8"/>
    <w:rsid w:val="008F04B7"/>
    <w:rsid w:val="008F07C5"/>
    <w:rsid w:val="008F0837"/>
    <w:rsid w:val="008F0CC7"/>
    <w:rsid w:val="008F1B2C"/>
    <w:rsid w:val="008F1FEF"/>
    <w:rsid w:val="008F298C"/>
    <w:rsid w:val="008F3663"/>
    <w:rsid w:val="008F44BC"/>
    <w:rsid w:val="008F55A4"/>
    <w:rsid w:val="008F7152"/>
    <w:rsid w:val="009003E6"/>
    <w:rsid w:val="00900788"/>
    <w:rsid w:val="0090152A"/>
    <w:rsid w:val="00901B94"/>
    <w:rsid w:val="00901FE0"/>
    <w:rsid w:val="009039EC"/>
    <w:rsid w:val="00905CAA"/>
    <w:rsid w:val="009062A3"/>
    <w:rsid w:val="009075DE"/>
    <w:rsid w:val="00913215"/>
    <w:rsid w:val="00913E7F"/>
    <w:rsid w:val="009147D9"/>
    <w:rsid w:val="00914D56"/>
    <w:rsid w:val="00916B2A"/>
    <w:rsid w:val="00917018"/>
    <w:rsid w:val="0091721D"/>
    <w:rsid w:val="009178ED"/>
    <w:rsid w:val="00920F9E"/>
    <w:rsid w:val="0092149A"/>
    <w:rsid w:val="00921B2A"/>
    <w:rsid w:val="00921D13"/>
    <w:rsid w:val="00922A11"/>
    <w:rsid w:val="00922B9E"/>
    <w:rsid w:val="00922C25"/>
    <w:rsid w:val="00922FCB"/>
    <w:rsid w:val="00924C0D"/>
    <w:rsid w:val="00925291"/>
    <w:rsid w:val="009256B2"/>
    <w:rsid w:val="00925CFD"/>
    <w:rsid w:val="0092733B"/>
    <w:rsid w:val="00930D40"/>
    <w:rsid w:val="00931AC6"/>
    <w:rsid w:val="00932D95"/>
    <w:rsid w:val="009350A5"/>
    <w:rsid w:val="009353AD"/>
    <w:rsid w:val="00935461"/>
    <w:rsid w:val="00935829"/>
    <w:rsid w:val="00936E80"/>
    <w:rsid w:val="009372CB"/>
    <w:rsid w:val="00937C75"/>
    <w:rsid w:val="00942161"/>
    <w:rsid w:val="009421B6"/>
    <w:rsid w:val="00943605"/>
    <w:rsid w:val="0094373C"/>
    <w:rsid w:val="00944FC4"/>
    <w:rsid w:val="00945651"/>
    <w:rsid w:val="009459E3"/>
    <w:rsid w:val="00945FA5"/>
    <w:rsid w:val="00947128"/>
    <w:rsid w:val="00947477"/>
    <w:rsid w:val="00947CCF"/>
    <w:rsid w:val="00950342"/>
    <w:rsid w:val="009520F6"/>
    <w:rsid w:val="0095233F"/>
    <w:rsid w:val="00956620"/>
    <w:rsid w:val="0095798C"/>
    <w:rsid w:val="009603B7"/>
    <w:rsid w:val="0096398E"/>
    <w:rsid w:val="0096447B"/>
    <w:rsid w:val="00964CF5"/>
    <w:rsid w:val="0096699F"/>
    <w:rsid w:val="00966D11"/>
    <w:rsid w:val="00966DDA"/>
    <w:rsid w:val="00966EBA"/>
    <w:rsid w:val="00967746"/>
    <w:rsid w:val="00967EF5"/>
    <w:rsid w:val="00970228"/>
    <w:rsid w:val="00971847"/>
    <w:rsid w:val="0097551C"/>
    <w:rsid w:val="009756E9"/>
    <w:rsid w:val="00976539"/>
    <w:rsid w:val="00976FB3"/>
    <w:rsid w:val="00977104"/>
    <w:rsid w:val="009810B9"/>
    <w:rsid w:val="00981C9A"/>
    <w:rsid w:val="009826E1"/>
    <w:rsid w:val="0098362E"/>
    <w:rsid w:val="0098666F"/>
    <w:rsid w:val="009866BD"/>
    <w:rsid w:val="00986CE0"/>
    <w:rsid w:val="00987913"/>
    <w:rsid w:val="00987978"/>
    <w:rsid w:val="00987D38"/>
    <w:rsid w:val="00991B83"/>
    <w:rsid w:val="00991CB9"/>
    <w:rsid w:val="009922ED"/>
    <w:rsid w:val="00992BCC"/>
    <w:rsid w:val="00992C34"/>
    <w:rsid w:val="00993953"/>
    <w:rsid w:val="00994A2C"/>
    <w:rsid w:val="0099533B"/>
    <w:rsid w:val="0099553F"/>
    <w:rsid w:val="0099573C"/>
    <w:rsid w:val="00995C8D"/>
    <w:rsid w:val="00995DDC"/>
    <w:rsid w:val="0099601E"/>
    <w:rsid w:val="0099675B"/>
    <w:rsid w:val="00996A94"/>
    <w:rsid w:val="00996D20"/>
    <w:rsid w:val="00996ECF"/>
    <w:rsid w:val="00997170"/>
    <w:rsid w:val="009A2264"/>
    <w:rsid w:val="009A4381"/>
    <w:rsid w:val="009A79B7"/>
    <w:rsid w:val="009B10D0"/>
    <w:rsid w:val="009B31F8"/>
    <w:rsid w:val="009B581C"/>
    <w:rsid w:val="009B633C"/>
    <w:rsid w:val="009B6DC4"/>
    <w:rsid w:val="009C1114"/>
    <w:rsid w:val="009C1B4B"/>
    <w:rsid w:val="009C1FC1"/>
    <w:rsid w:val="009C31A5"/>
    <w:rsid w:val="009C3535"/>
    <w:rsid w:val="009C37E7"/>
    <w:rsid w:val="009C3971"/>
    <w:rsid w:val="009D026B"/>
    <w:rsid w:val="009D12D4"/>
    <w:rsid w:val="009D1B63"/>
    <w:rsid w:val="009D1CBC"/>
    <w:rsid w:val="009D1D27"/>
    <w:rsid w:val="009D2789"/>
    <w:rsid w:val="009D28E4"/>
    <w:rsid w:val="009D2C67"/>
    <w:rsid w:val="009D2DB7"/>
    <w:rsid w:val="009D3301"/>
    <w:rsid w:val="009D4CC6"/>
    <w:rsid w:val="009D69EA"/>
    <w:rsid w:val="009D7726"/>
    <w:rsid w:val="009D7F85"/>
    <w:rsid w:val="009E01F1"/>
    <w:rsid w:val="009E1567"/>
    <w:rsid w:val="009E15CF"/>
    <w:rsid w:val="009E1D01"/>
    <w:rsid w:val="009E2744"/>
    <w:rsid w:val="009E282F"/>
    <w:rsid w:val="009E37DF"/>
    <w:rsid w:val="009E53B6"/>
    <w:rsid w:val="009E5DD0"/>
    <w:rsid w:val="009E628D"/>
    <w:rsid w:val="009E65E8"/>
    <w:rsid w:val="009E69D3"/>
    <w:rsid w:val="009F0B52"/>
    <w:rsid w:val="009F1833"/>
    <w:rsid w:val="009F2804"/>
    <w:rsid w:val="009F3C50"/>
    <w:rsid w:val="009F493D"/>
    <w:rsid w:val="009F5AE8"/>
    <w:rsid w:val="009F6273"/>
    <w:rsid w:val="009F6A41"/>
    <w:rsid w:val="009F70DE"/>
    <w:rsid w:val="00A00EC5"/>
    <w:rsid w:val="00A031B2"/>
    <w:rsid w:val="00A04C98"/>
    <w:rsid w:val="00A052D9"/>
    <w:rsid w:val="00A0555B"/>
    <w:rsid w:val="00A0617E"/>
    <w:rsid w:val="00A063E6"/>
    <w:rsid w:val="00A076B5"/>
    <w:rsid w:val="00A1060B"/>
    <w:rsid w:val="00A10650"/>
    <w:rsid w:val="00A11EBB"/>
    <w:rsid w:val="00A13790"/>
    <w:rsid w:val="00A13A43"/>
    <w:rsid w:val="00A14E0F"/>
    <w:rsid w:val="00A15007"/>
    <w:rsid w:val="00A155BA"/>
    <w:rsid w:val="00A15C6B"/>
    <w:rsid w:val="00A15EBA"/>
    <w:rsid w:val="00A16C12"/>
    <w:rsid w:val="00A17572"/>
    <w:rsid w:val="00A20D98"/>
    <w:rsid w:val="00A216A2"/>
    <w:rsid w:val="00A2320F"/>
    <w:rsid w:val="00A23F31"/>
    <w:rsid w:val="00A2679A"/>
    <w:rsid w:val="00A27692"/>
    <w:rsid w:val="00A3050E"/>
    <w:rsid w:val="00A32255"/>
    <w:rsid w:val="00A33279"/>
    <w:rsid w:val="00A33742"/>
    <w:rsid w:val="00A349F0"/>
    <w:rsid w:val="00A36045"/>
    <w:rsid w:val="00A3741C"/>
    <w:rsid w:val="00A376AD"/>
    <w:rsid w:val="00A377C1"/>
    <w:rsid w:val="00A4074B"/>
    <w:rsid w:val="00A44E14"/>
    <w:rsid w:val="00A460AE"/>
    <w:rsid w:val="00A4742B"/>
    <w:rsid w:val="00A532C6"/>
    <w:rsid w:val="00A54FA0"/>
    <w:rsid w:val="00A55358"/>
    <w:rsid w:val="00A554A6"/>
    <w:rsid w:val="00A557FC"/>
    <w:rsid w:val="00A55B56"/>
    <w:rsid w:val="00A5647F"/>
    <w:rsid w:val="00A56709"/>
    <w:rsid w:val="00A56D38"/>
    <w:rsid w:val="00A604CF"/>
    <w:rsid w:val="00A6315D"/>
    <w:rsid w:val="00A63245"/>
    <w:rsid w:val="00A63BF8"/>
    <w:rsid w:val="00A645BB"/>
    <w:rsid w:val="00A64EBE"/>
    <w:rsid w:val="00A65498"/>
    <w:rsid w:val="00A66476"/>
    <w:rsid w:val="00A66962"/>
    <w:rsid w:val="00A67743"/>
    <w:rsid w:val="00A730D3"/>
    <w:rsid w:val="00A73E23"/>
    <w:rsid w:val="00A74B5E"/>
    <w:rsid w:val="00A76E7D"/>
    <w:rsid w:val="00A77B5D"/>
    <w:rsid w:val="00A80DD9"/>
    <w:rsid w:val="00A81836"/>
    <w:rsid w:val="00A83124"/>
    <w:rsid w:val="00A85547"/>
    <w:rsid w:val="00A85CDB"/>
    <w:rsid w:val="00A868A0"/>
    <w:rsid w:val="00A87E9F"/>
    <w:rsid w:val="00A9110F"/>
    <w:rsid w:val="00A926FA"/>
    <w:rsid w:val="00A9271E"/>
    <w:rsid w:val="00A93378"/>
    <w:rsid w:val="00A93EA1"/>
    <w:rsid w:val="00A949F9"/>
    <w:rsid w:val="00A94F1E"/>
    <w:rsid w:val="00A953FA"/>
    <w:rsid w:val="00A95823"/>
    <w:rsid w:val="00A9679F"/>
    <w:rsid w:val="00A9690C"/>
    <w:rsid w:val="00A96B21"/>
    <w:rsid w:val="00A96CD0"/>
    <w:rsid w:val="00A97210"/>
    <w:rsid w:val="00A97211"/>
    <w:rsid w:val="00AA0079"/>
    <w:rsid w:val="00AA0E3B"/>
    <w:rsid w:val="00AA0E79"/>
    <w:rsid w:val="00AA4D56"/>
    <w:rsid w:val="00AA5125"/>
    <w:rsid w:val="00AA58E2"/>
    <w:rsid w:val="00AA5A97"/>
    <w:rsid w:val="00AA64CC"/>
    <w:rsid w:val="00AA777B"/>
    <w:rsid w:val="00AB1B62"/>
    <w:rsid w:val="00AB23DF"/>
    <w:rsid w:val="00AB2640"/>
    <w:rsid w:val="00AB4289"/>
    <w:rsid w:val="00AB4E2E"/>
    <w:rsid w:val="00AB560C"/>
    <w:rsid w:val="00AB5FD4"/>
    <w:rsid w:val="00AB6851"/>
    <w:rsid w:val="00AB69AB"/>
    <w:rsid w:val="00AB719A"/>
    <w:rsid w:val="00AB7825"/>
    <w:rsid w:val="00AB7974"/>
    <w:rsid w:val="00AC0FE5"/>
    <w:rsid w:val="00AC11F6"/>
    <w:rsid w:val="00AC18E7"/>
    <w:rsid w:val="00AC239E"/>
    <w:rsid w:val="00AC23B0"/>
    <w:rsid w:val="00AC2E95"/>
    <w:rsid w:val="00AC3831"/>
    <w:rsid w:val="00AC498E"/>
    <w:rsid w:val="00AC51F3"/>
    <w:rsid w:val="00AC58C7"/>
    <w:rsid w:val="00AC59C6"/>
    <w:rsid w:val="00AC682E"/>
    <w:rsid w:val="00AC6AA7"/>
    <w:rsid w:val="00AC6B99"/>
    <w:rsid w:val="00AD0C6C"/>
    <w:rsid w:val="00AD1923"/>
    <w:rsid w:val="00AD2283"/>
    <w:rsid w:val="00AD2CC3"/>
    <w:rsid w:val="00AD3B1D"/>
    <w:rsid w:val="00AD58E8"/>
    <w:rsid w:val="00AD601F"/>
    <w:rsid w:val="00AD65E9"/>
    <w:rsid w:val="00AD716A"/>
    <w:rsid w:val="00AD7615"/>
    <w:rsid w:val="00AE0F6D"/>
    <w:rsid w:val="00AE1A1E"/>
    <w:rsid w:val="00AE1A95"/>
    <w:rsid w:val="00AE1D3B"/>
    <w:rsid w:val="00AE1F8E"/>
    <w:rsid w:val="00AE4797"/>
    <w:rsid w:val="00AE4C14"/>
    <w:rsid w:val="00AE758B"/>
    <w:rsid w:val="00AF0266"/>
    <w:rsid w:val="00AF0728"/>
    <w:rsid w:val="00AF2FC6"/>
    <w:rsid w:val="00AF6F6B"/>
    <w:rsid w:val="00B00BEE"/>
    <w:rsid w:val="00B00CB8"/>
    <w:rsid w:val="00B01080"/>
    <w:rsid w:val="00B05C4C"/>
    <w:rsid w:val="00B06134"/>
    <w:rsid w:val="00B07EF8"/>
    <w:rsid w:val="00B119D2"/>
    <w:rsid w:val="00B11D27"/>
    <w:rsid w:val="00B125F2"/>
    <w:rsid w:val="00B13A1C"/>
    <w:rsid w:val="00B14404"/>
    <w:rsid w:val="00B1444B"/>
    <w:rsid w:val="00B146E7"/>
    <w:rsid w:val="00B14CE0"/>
    <w:rsid w:val="00B15EC6"/>
    <w:rsid w:val="00B16E2D"/>
    <w:rsid w:val="00B17209"/>
    <w:rsid w:val="00B17F93"/>
    <w:rsid w:val="00B20CCE"/>
    <w:rsid w:val="00B20DA2"/>
    <w:rsid w:val="00B210C2"/>
    <w:rsid w:val="00B21B21"/>
    <w:rsid w:val="00B22618"/>
    <w:rsid w:val="00B22E7F"/>
    <w:rsid w:val="00B24F6C"/>
    <w:rsid w:val="00B25F78"/>
    <w:rsid w:val="00B25F98"/>
    <w:rsid w:val="00B26E7F"/>
    <w:rsid w:val="00B26FF6"/>
    <w:rsid w:val="00B2734E"/>
    <w:rsid w:val="00B2745D"/>
    <w:rsid w:val="00B30A0F"/>
    <w:rsid w:val="00B313ED"/>
    <w:rsid w:val="00B31AF4"/>
    <w:rsid w:val="00B33CCE"/>
    <w:rsid w:val="00B3433F"/>
    <w:rsid w:val="00B349A5"/>
    <w:rsid w:val="00B34BD8"/>
    <w:rsid w:val="00B3507A"/>
    <w:rsid w:val="00B35D5F"/>
    <w:rsid w:val="00B36EA9"/>
    <w:rsid w:val="00B40DCA"/>
    <w:rsid w:val="00B40F29"/>
    <w:rsid w:val="00B4211B"/>
    <w:rsid w:val="00B42C78"/>
    <w:rsid w:val="00B432DE"/>
    <w:rsid w:val="00B44C99"/>
    <w:rsid w:val="00B45029"/>
    <w:rsid w:val="00B45ACC"/>
    <w:rsid w:val="00B467E5"/>
    <w:rsid w:val="00B46B12"/>
    <w:rsid w:val="00B500BD"/>
    <w:rsid w:val="00B50A3D"/>
    <w:rsid w:val="00B52854"/>
    <w:rsid w:val="00B52B26"/>
    <w:rsid w:val="00B52CF6"/>
    <w:rsid w:val="00B53468"/>
    <w:rsid w:val="00B545BE"/>
    <w:rsid w:val="00B5466B"/>
    <w:rsid w:val="00B549F5"/>
    <w:rsid w:val="00B54A14"/>
    <w:rsid w:val="00B55578"/>
    <w:rsid w:val="00B5633C"/>
    <w:rsid w:val="00B57BC2"/>
    <w:rsid w:val="00B604B2"/>
    <w:rsid w:val="00B60742"/>
    <w:rsid w:val="00B6151D"/>
    <w:rsid w:val="00B617D7"/>
    <w:rsid w:val="00B61B2D"/>
    <w:rsid w:val="00B628C2"/>
    <w:rsid w:val="00B628DA"/>
    <w:rsid w:val="00B62926"/>
    <w:rsid w:val="00B629DA"/>
    <w:rsid w:val="00B6410E"/>
    <w:rsid w:val="00B64970"/>
    <w:rsid w:val="00B659B4"/>
    <w:rsid w:val="00B678D9"/>
    <w:rsid w:val="00B6797C"/>
    <w:rsid w:val="00B7103A"/>
    <w:rsid w:val="00B71987"/>
    <w:rsid w:val="00B71B00"/>
    <w:rsid w:val="00B71E05"/>
    <w:rsid w:val="00B72A5E"/>
    <w:rsid w:val="00B72AA3"/>
    <w:rsid w:val="00B72D8B"/>
    <w:rsid w:val="00B75370"/>
    <w:rsid w:val="00B76FA4"/>
    <w:rsid w:val="00B77DFC"/>
    <w:rsid w:val="00B801C4"/>
    <w:rsid w:val="00B80BBA"/>
    <w:rsid w:val="00B81622"/>
    <w:rsid w:val="00B8341D"/>
    <w:rsid w:val="00B83F1A"/>
    <w:rsid w:val="00B85ACB"/>
    <w:rsid w:val="00B85BFB"/>
    <w:rsid w:val="00B87A04"/>
    <w:rsid w:val="00B87F9A"/>
    <w:rsid w:val="00B913A0"/>
    <w:rsid w:val="00B918FE"/>
    <w:rsid w:val="00B91CC5"/>
    <w:rsid w:val="00B91F38"/>
    <w:rsid w:val="00B91F50"/>
    <w:rsid w:val="00B92177"/>
    <w:rsid w:val="00B92B55"/>
    <w:rsid w:val="00B92E0B"/>
    <w:rsid w:val="00B92EF5"/>
    <w:rsid w:val="00B9325D"/>
    <w:rsid w:val="00B93777"/>
    <w:rsid w:val="00B9427B"/>
    <w:rsid w:val="00B94B0F"/>
    <w:rsid w:val="00B94B1C"/>
    <w:rsid w:val="00B95C08"/>
    <w:rsid w:val="00B9613E"/>
    <w:rsid w:val="00B96DF1"/>
    <w:rsid w:val="00B97123"/>
    <w:rsid w:val="00B974DD"/>
    <w:rsid w:val="00B97EBD"/>
    <w:rsid w:val="00BA0F90"/>
    <w:rsid w:val="00BA1060"/>
    <w:rsid w:val="00BA2586"/>
    <w:rsid w:val="00BA26BC"/>
    <w:rsid w:val="00BA4A0E"/>
    <w:rsid w:val="00BA5B3D"/>
    <w:rsid w:val="00BA617F"/>
    <w:rsid w:val="00BA6ECE"/>
    <w:rsid w:val="00BA6ED1"/>
    <w:rsid w:val="00BB0299"/>
    <w:rsid w:val="00BB28F0"/>
    <w:rsid w:val="00BB339B"/>
    <w:rsid w:val="00BB3828"/>
    <w:rsid w:val="00BB4239"/>
    <w:rsid w:val="00BB4C6C"/>
    <w:rsid w:val="00BB58D4"/>
    <w:rsid w:val="00BB62B9"/>
    <w:rsid w:val="00BB7D83"/>
    <w:rsid w:val="00BB7F0A"/>
    <w:rsid w:val="00BC0D66"/>
    <w:rsid w:val="00BC3C13"/>
    <w:rsid w:val="00BC3F0B"/>
    <w:rsid w:val="00BC4D63"/>
    <w:rsid w:val="00BC4FEA"/>
    <w:rsid w:val="00BC7624"/>
    <w:rsid w:val="00BC7EC3"/>
    <w:rsid w:val="00BD06FA"/>
    <w:rsid w:val="00BD0718"/>
    <w:rsid w:val="00BD1B67"/>
    <w:rsid w:val="00BD1E7C"/>
    <w:rsid w:val="00BD2413"/>
    <w:rsid w:val="00BD277E"/>
    <w:rsid w:val="00BD2A52"/>
    <w:rsid w:val="00BD362D"/>
    <w:rsid w:val="00BD37C7"/>
    <w:rsid w:val="00BD555E"/>
    <w:rsid w:val="00BD632B"/>
    <w:rsid w:val="00BD7134"/>
    <w:rsid w:val="00BD7AB5"/>
    <w:rsid w:val="00BD7ACC"/>
    <w:rsid w:val="00BE0145"/>
    <w:rsid w:val="00BE09B1"/>
    <w:rsid w:val="00BE0C0A"/>
    <w:rsid w:val="00BE23D0"/>
    <w:rsid w:val="00BE3F9D"/>
    <w:rsid w:val="00BE4998"/>
    <w:rsid w:val="00BE4CE2"/>
    <w:rsid w:val="00BE4FF5"/>
    <w:rsid w:val="00BE5336"/>
    <w:rsid w:val="00BE53B1"/>
    <w:rsid w:val="00BE5F01"/>
    <w:rsid w:val="00BE65C1"/>
    <w:rsid w:val="00BF0B9A"/>
    <w:rsid w:val="00BF0D73"/>
    <w:rsid w:val="00BF11D3"/>
    <w:rsid w:val="00BF135F"/>
    <w:rsid w:val="00BF14D2"/>
    <w:rsid w:val="00BF356D"/>
    <w:rsid w:val="00BF38F7"/>
    <w:rsid w:val="00BF3E72"/>
    <w:rsid w:val="00BF3EF0"/>
    <w:rsid w:val="00BF407E"/>
    <w:rsid w:val="00BF4377"/>
    <w:rsid w:val="00BF5CA1"/>
    <w:rsid w:val="00BF5F0E"/>
    <w:rsid w:val="00C00045"/>
    <w:rsid w:val="00C0043B"/>
    <w:rsid w:val="00C00588"/>
    <w:rsid w:val="00C072AA"/>
    <w:rsid w:val="00C07558"/>
    <w:rsid w:val="00C10C65"/>
    <w:rsid w:val="00C110BA"/>
    <w:rsid w:val="00C11C3B"/>
    <w:rsid w:val="00C12CD7"/>
    <w:rsid w:val="00C13CC7"/>
    <w:rsid w:val="00C15D6A"/>
    <w:rsid w:val="00C1666B"/>
    <w:rsid w:val="00C168B9"/>
    <w:rsid w:val="00C17217"/>
    <w:rsid w:val="00C17AF6"/>
    <w:rsid w:val="00C17EEE"/>
    <w:rsid w:val="00C20DBD"/>
    <w:rsid w:val="00C211CA"/>
    <w:rsid w:val="00C222DF"/>
    <w:rsid w:val="00C229CB"/>
    <w:rsid w:val="00C23372"/>
    <w:rsid w:val="00C2354A"/>
    <w:rsid w:val="00C2420C"/>
    <w:rsid w:val="00C242A2"/>
    <w:rsid w:val="00C257CE"/>
    <w:rsid w:val="00C27073"/>
    <w:rsid w:val="00C303E4"/>
    <w:rsid w:val="00C30D8C"/>
    <w:rsid w:val="00C31705"/>
    <w:rsid w:val="00C31E0E"/>
    <w:rsid w:val="00C336CA"/>
    <w:rsid w:val="00C349D7"/>
    <w:rsid w:val="00C34D84"/>
    <w:rsid w:val="00C35402"/>
    <w:rsid w:val="00C3656B"/>
    <w:rsid w:val="00C36607"/>
    <w:rsid w:val="00C368DC"/>
    <w:rsid w:val="00C40876"/>
    <w:rsid w:val="00C41524"/>
    <w:rsid w:val="00C4185D"/>
    <w:rsid w:val="00C43420"/>
    <w:rsid w:val="00C44602"/>
    <w:rsid w:val="00C446E9"/>
    <w:rsid w:val="00C4569C"/>
    <w:rsid w:val="00C45B03"/>
    <w:rsid w:val="00C47F94"/>
    <w:rsid w:val="00C5006B"/>
    <w:rsid w:val="00C5006F"/>
    <w:rsid w:val="00C50F85"/>
    <w:rsid w:val="00C510A1"/>
    <w:rsid w:val="00C5204A"/>
    <w:rsid w:val="00C542F7"/>
    <w:rsid w:val="00C562E5"/>
    <w:rsid w:val="00C56327"/>
    <w:rsid w:val="00C56D3F"/>
    <w:rsid w:val="00C572B3"/>
    <w:rsid w:val="00C61BE9"/>
    <w:rsid w:val="00C6529D"/>
    <w:rsid w:val="00C674A3"/>
    <w:rsid w:val="00C67676"/>
    <w:rsid w:val="00C71CD5"/>
    <w:rsid w:val="00C71CD9"/>
    <w:rsid w:val="00C7221F"/>
    <w:rsid w:val="00C730D9"/>
    <w:rsid w:val="00C732FA"/>
    <w:rsid w:val="00C7461E"/>
    <w:rsid w:val="00C75634"/>
    <w:rsid w:val="00C761BC"/>
    <w:rsid w:val="00C7640A"/>
    <w:rsid w:val="00C76F32"/>
    <w:rsid w:val="00C77067"/>
    <w:rsid w:val="00C800BB"/>
    <w:rsid w:val="00C825E9"/>
    <w:rsid w:val="00C83148"/>
    <w:rsid w:val="00C83363"/>
    <w:rsid w:val="00C84537"/>
    <w:rsid w:val="00C85BAF"/>
    <w:rsid w:val="00C85E73"/>
    <w:rsid w:val="00C85F03"/>
    <w:rsid w:val="00C85FF4"/>
    <w:rsid w:val="00C87BA8"/>
    <w:rsid w:val="00C90F4A"/>
    <w:rsid w:val="00C91047"/>
    <w:rsid w:val="00C9269C"/>
    <w:rsid w:val="00C92D5A"/>
    <w:rsid w:val="00C94208"/>
    <w:rsid w:val="00C9445D"/>
    <w:rsid w:val="00C95021"/>
    <w:rsid w:val="00C954A3"/>
    <w:rsid w:val="00C95979"/>
    <w:rsid w:val="00C95CA1"/>
    <w:rsid w:val="00C96CE1"/>
    <w:rsid w:val="00C9717E"/>
    <w:rsid w:val="00CA0757"/>
    <w:rsid w:val="00CA1B56"/>
    <w:rsid w:val="00CA3F76"/>
    <w:rsid w:val="00CA5927"/>
    <w:rsid w:val="00CB0050"/>
    <w:rsid w:val="00CB0A09"/>
    <w:rsid w:val="00CB0E84"/>
    <w:rsid w:val="00CB133F"/>
    <w:rsid w:val="00CB1A08"/>
    <w:rsid w:val="00CB20DF"/>
    <w:rsid w:val="00CB332E"/>
    <w:rsid w:val="00CB3D9E"/>
    <w:rsid w:val="00CB47D6"/>
    <w:rsid w:val="00CB495E"/>
    <w:rsid w:val="00CB49EB"/>
    <w:rsid w:val="00CB6E4E"/>
    <w:rsid w:val="00CC04E5"/>
    <w:rsid w:val="00CC1579"/>
    <w:rsid w:val="00CC277D"/>
    <w:rsid w:val="00CC4605"/>
    <w:rsid w:val="00CC48B3"/>
    <w:rsid w:val="00CC4FBB"/>
    <w:rsid w:val="00CC5745"/>
    <w:rsid w:val="00CC6B4B"/>
    <w:rsid w:val="00CC6D2C"/>
    <w:rsid w:val="00CC7AA5"/>
    <w:rsid w:val="00CC7C19"/>
    <w:rsid w:val="00CC7FCE"/>
    <w:rsid w:val="00CD0DAD"/>
    <w:rsid w:val="00CD1DED"/>
    <w:rsid w:val="00CD30D5"/>
    <w:rsid w:val="00CD6AD6"/>
    <w:rsid w:val="00CD6EC5"/>
    <w:rsid w:val="00CD71BB"/>
    <w:rsid w:val="00CD7363"/>
    <w:rsid w:val="00CE18E0"/>
    <w:rsid w:val="00CE2738"/>
    <w:rsid w:val="00CE3E72"/>
    <w:rsid w:val="00CE4647"/>
    <w:rsid w:val="00CE5A53"/>
    <w:rsid w:val="00CE7FBD"/>
    <w:rsid w:val="00CF11D2"/>
    <w:rsid w:val="00CF19A0"/>
    <w:rsid w:val="00CF1CF4"/>
    <w:rsid w:val="00CF1ED7"/>
    <w:rsid w:val="00CF2877"/>
    <w:rsid w:val="00CF3023"/>
    <w:rsid w:val="00CF3A46"/>
    <w:rsid w:val="00CF3BE8"/>
    <w:rsid w:val="00CF4697"/>
    <w:rsid w:val="00CF59B9"/>
    <w:rsid w:val="00CF5A68"/>
    <w:rsid w:val="00CF6008"/>
    <w:rsid w:val="00CF6DD4"/>
    <w:rsid w:val="00CF70AB"/>
    <w:rsid w:val="00CF7409"/>
    <w:rsid w:val="00CF755B"/>
    <w:rsid w:val="00D00155"/>
    <w:rsid w:val="00D00F39"/>
    <w:rsid w:val="00D020CA"/>
    <w:rsid w:val="00D0218C"/>
    <w:rsid w:val="00D02A32"/>
    <w:rsid w:val="00D0329E"/>
    <w:rsid w:val="00D032FA"/>
    <w:rsid w:val="00D05F58"/>
    <w:rsid w:val="00D0635B"/>
    <w:rsid w:val="00D070F2"/>
    <w:rsid w:val="00D07552"/>
    <w:rsid w:val="00D075CD"/>
    <w:rsid w:val="00D07F5B"/>
    <w:rsid w:val="00D1047E"/>
    <w:rsid w:val="00D10B2E"/>
    <w:rsid w:val="00D13206"/>
    <w:rsid w:val="00D136EE"/>
    <w:rsid w:val="00D1375B"/>
    <w:rsid w:val="00D13E6E"/>
    <w:rsid w:val="00D14B3C"/>
    <w:rsid w:val="00D15226"/>
    <w:rsid w:val="00D15306"/>
    <w:rsid w:val="00D163BE"/>
    <w:rsid w:val="00D16623"/>
    <w:rsid w:val="00D16840"/>
    <w:rsid w:val="00D1698A"/>
    <w:rsid w:val="00D21B96"/>
    <w:rsid w:val="00D220B4"/>
    <w:rsid w:val="00D2280F"/>
    <w:rsid w:val="00D244FB"/>
    <w:rsid w:val="00D3059B"/>
    <w:rsid w:val="00D309CE"/>
    <w:rsid w:val="00D317E4"/>
    <w:rsid w:val="00D32C69"/>
    <w:rsid w:val="00D32D84"/>
    <w:rsid w:val="00D337E1"/>
    <w:rsid w:val="00D34A3D"/>
    <w:rsid w:val="00D355DF"/>
    <w:rsid w:val="00D35708"/>
    <w:rsid w:val="00D35AC9"/>
    <w:rsid w:val="00D35AD5"/>
    <w:rsid w:val="00D35B2A"/>
    <w:rsid w:val="00D35CAE"/>
    <w:rsid w:val="00D36493"/>
    <w:rsid w:val="00D4003C"/>
    <w:rsid w:val="00D40376"/>
    <w:rsid w:val="00D4041F"/>
    <w:rsid w:val="00D429A6"/>
    <w:rsid w:val="00D434BC"/>
    <w:rsid w:val="00D43E44"/>
    <w:rsid w:val="00D44B55"/>
    <w:rsid w:val="00D460C0"/>
    <w:rsid w:val="00D46EFF"/>
    <w:rsid w:val="00D47CDA"/>
    <w:rsid w:val="00D5018B"/>
    <w:rsid w:val="00D50316"/>
    <w:rsid w:val="00D515C9"/>
    <w:rsid w:val="00D51FC9"/>
    <w:rsid w:val="00D520E9"/>
    <w:rsid w:val="00D52134"/>
    <w:rsid w:val="00D5257A"/>
    <w:rsid w:val="00D53057"/>
    <w:rsid w:val="00D53168"/>
    <w:rsid w:val="00D54710"/>
    <w:rsid w:val="00D5733D"/>
    <w:rsid w:val="00D57358"/>
    <w:rsid w:val="00D57D59"/>
    <w:rsid w:val="00D60046"/>
    <w:rsid w:val="00D60868"/>
    <w:rsid w:val="00D60A5F"/>
    <w:rsid w:val="00D6152B"/>
    <w:rsid w:val="00D618DF"/>
    <w:rsid w:val="00D619E8"/>
    <w:rsid w:val="00D63B58"/>
    <w:rsid w:val="00D64026"/>
    <w:rsid w:val="00D65732"/>
    <w:rsid w:val="00D65BE9"/>
    <w:rsid w:val="00D66D31"/>
    <w:rsid w:val="00D66EBC"/>
    <w:rsid w:val="00D67CF6"/>
    <w:rsid w:val="00D70703"/>
    <w:rsid w:val="00D719F2"/>
    <w:rsid w:val="00D71FFB"/>
    <w:rsid w:val="00D72237"/>
    <w:rsid w:val="00D7225D"/>
    <w:rsid w:val="00D73047"/>
    <w:rsid w:val="00D737DE"/>
    <w:rsid w:val="00D73932"/>
    <w:rsid w:val="00D73CDE"/>
    <w:rsid w:val="00D74287"/>
    <w:rsid w:val="00D7485C"/>
    <w:rsid w:val="00D80E0E"/>
    <w:rsid w:val="00D81F0F"/>
    <w:rsid w:val="00D8321D"/>
    <w:rsid w:val="00D83CC4"/>
    <w:rsid w:val="00D847AA"/>
    <w:rsid w:val="00D84FD3"/>
    <w:rsid w:val="00D851FA"/>
    <w:rsid w:val="00D91202"/>
    <w:rsid w:val="00D91EE4"/>
    <w:rsid w:val="00D92D59"/>
    <w:rsid w:val="00D92D8A"/>
    <w:rsid w:val="00D93915"/>
    <w:rsid w:val="00D93DFD"/>
    <w:rsid w:val="00D9446E"/>
    <w:rsid w:val="00D96354"/>
    <w:rsid w:val="00D97096"/>
    <w:rsid w:val="00D970E9"/>
    <w:rsid w:val="00D978DE"/>
    <w:rsid w:val="00DA0B34"/>
    <w:rsid w:val="00DA1323"/>
    <w:rsid w:val="00DA24BE"/>
    <w:rsid w:val="00DA2649"/>
    <w:rsid w:val="00DA2DD7"/>
    <w:rsid w:val="00DA3039"/>
    <w:rsid w:val="00DA3768"/>
    <w:rsid w:val="00DA3B77"/>
    <w:rsid w:val="00DA4F1D"/>
    <w:rsid w:val="00DA6AE0"/>
    <w:rsid w:val="00DB02F6"/>
    <w:rsid w:val="00DB046E"/>
    <w:rsid w:val="00DB2B9B"/>
    <w:rsid w:val="00DB428C"/>
    <w:rsid w:val="00DB59F4"/>
    <w:rsid w:val="00DB62C1"/>
    <w:rsid w:val="00DB6903"/>
    <w:rsid w:val="00DB7F51"/>
    <w:rsid w:val="00DC1A56"/>
    <w:rsid w:val="00DC2380"/>
    <w:rsid w:val="00DC3012"/>
    <w:rsid w:val="00DC356E"/>
    <w:rsid w:val="00DC38E8"/>
    <w:rsid w:val="00DC49BD"/>
    <w:rsid w:val="00DC4D55"/>
    <w:rsid w:val="00DC614A"/>
    <w:rsid w:val="00DC6941"/>
    <w:rsid w:val="00DC74DA"/>
    <w:rsid w:val="00DD0567"/>
    <w:rsid w:val="00DD0A47"/>
    <w:rsid w:val="00DD1901"/>
    <w:rsid w:val="00DD1ED4"/>
    <w:rsid w:val="00DD20E1"/>
    <w:rsid w:val="00DD26ED"/>
    <w:rsid w:val="00DD2B74"/>
    <w:rsid w:val="00DD2FEF"/>
    <w:rsid w:val="00DD3033"/>
    <w:rsid w:val="00DD34F2"/>
    <w:rsid w:val="00DD36BF"/>
    <w:rsid w:val="00DD3E91"/>
    <w:rsid w:val="00DD4A8B"/>
    <w:rsid w:val="00DD4F1F"/>
    <w:rsid w:val="00DD6411"/>
    <w:rsid w:val="00DD6B94"/>
    <w:rsid w:val="00DE0874"/>
    <w:rsid w:val="00DE2D17"/>
    <w:rsid w:val="00DE34C3"/>
    <w:rsid w:val="00DE3507"/>
    <w:rsid w:val="00DE350C"/>
    <w:rsid w:val="00DE4538"/>
    <w:rsid w:val="00DE4BA2"/>
    <w:rsid w:val="00DE56BC"/>
    <w:rsid w:val="00DE5F4E"/>
    <w:rsid w:val="00DE6317"/>
    <w:rsid w:val="00DE6D0D"/>
    <w:rsid w:val="00DE7A89"/>
    <w:rsid w:val="00DF0F0A"/>
    <w:rsid w:val="00DF136B"/>
    <w:rsid w:val="00DF1545"/>
    <w:rsid w:val="00DF1F69"/>
    <w:rsid w:val="00DF2D59"/>
    <w:rsid w:val="00DF2DEA"/>
    <w:rsid w:val="00DF3482"/>
    <w:rsid w:val="00DF3B6B"/>
    <w:rsid w:val="00DF457F"/>
    <w:rsid w:val="00DF4642"/>
    <w:rsid w:val="00DF483C"/>
    <w:rsid w:val="00DF4894"/>
    <w:rsid w:val="00DF4B69"/>
    <w:rsid w:val="00DF72F6"/>
    <w:rsid w:val="00E0269F"/>
    <w:rsid w:val="00E02D25"/>
    <w:rsid w:val="00E03974"/>
    <w:rsid w:val="00E03D9E"/>
    <w:rsid w:val="00E0431B"/>
    <w:rsid w:val="00E044AD"/>
    <w:rsid w:val="00E0485A"/>
    <w:rsid w:val="00E04C78"/>
    <w:rsid w:val="00E04E50"/>
    <w:rsid w:val="00E05139"/>
    <w:rsid w:val="00E05D23"/>
    <w:rsid w:val="00E0656B"/>
    <w:rsid w:val="00E07147"/>
    <w:rsid w:val="00E07269"/>
    <w:rsid w:val="00E07BB7"/>
    <w:rsid w:val="00E10247"/>
    <w:rsid w:val="00E10A73"/>
    <w:rsid w:val="00E10C06"/>
    <w:rsid w:val="00E122FB"/>
    <w:rsid w:val="00E1378A"/>
    <w:rsid w:val="00E13FDD"/>
    <w:rsid w:val="00E14957"/>
    <w:rsid w:val="00E1513C"/>
    <w:rsid w:val="00E1597C"/>
    <w:rsid w:val="00E164E0"/>
    <w:rsid w:val="00E16E15"/>
    <w:rsid w:val="00E172DE"/>
    <w:rsid w:val="00E177C4"/>
    <w:rsid w:val="00E17B09"/>
    <w:rsid w:val="00E2137C"/>
    <w:rsid w:val="00E21D4E"/>
    <w:rsid w:val="00E23C6B"/>
    <w:rsid w:val="00E23E06"/>
    <w:rsid w:val="00E278F2"/>
    <w:rsid w:val="00E27958"/>
    <w:rsid w:val="00E27BAB"/>
    <w:rsid w:val="00E27CC0"/>
    <w:rsid w:val="00E333E4"/>
    <w:rsid w:val="00E335DD"/>
    <w:rsid w:val="00E337BB"/>
    <w:rsid w:val="00E35906"/>
    <w:rsid w:val="00E37D8B"/>
    <w:rsid w:val="00E40672"/>
    <w:rsid w:val="00E4184A"/>
    <w:rsid w:val="00E43524"/>
    <w:rsid w:val="00E43A18"/>
    <w:rsid w:val="00E4480E"/>
    <w:rsid w:val="00E44C41"/>
    <w:rsid w:val="00E45585"/>
    <w:rsid w:val="00E473A5"/>
    <w:rsid w:val="00E5267A"/>
    <w:rsid w:val="00E52C96"/>
    <w:rsid w:val="00E555FC"/>
    <w:rsid w:val="00E55F34"/>
    <w:rsid w:val="00E62980"/>
    <w:rsid w:val="00E634C0"/>
    <w:rsid w:val="00E64026"/>
    <w:rsid w:val="00E642B1"/>
    <w:rsid w:val="00E64CEA"/>
    <w:rsid w:val="00E6511E"/>
    <w:rsid w:val="00E66BE4"/>
    <w:rsid w:val="00E66E71"/>
    <w:rsid w:val="00E67271"/>
    <w:rsid w:val="00E70110"/>
    <w:rsid w:val="00E70F9E"/>
    <w:rsid w:val="00E71FA2"/>
    <w:rsid w:val="00E721A8"/>
    <w:rsid w:val="00E7363E"/>
    <w:rsid w:val="00E73694"/>
    <w:rsid w:val="00E7397D"/>
    <w:rsid w:val="00E73CF5"/>
    <w:rsid w:val="00E74692"/>
    <w:rsid w:val="00E74B8F"/>
    <w:rsid w:val="00E75961"/>
    <w:rsid w:val="00E7732A"/>
    <w:rsid w:val="00E77F50"/>
    <w:rsid w:val="00E80C82"/>
    <w:rsid w:val="00E81B7D"/>
    <w:rsid w:val="00E820FE"/>
    <w:rsid w:val="00E82665"/>
    <w:rsid w:val="00E83175"/>
    <w:rsid w:val="00E83BBF"/>
    <w:rsid w:val="00E844D2"/>
    <w:rsid w:val="00E8496F"/>
    <w:rsid w:val="00E8609E"/>
    <w:rsid w:val="00E87990"/>
    <w:rsid w:val="00E87AF7"/>
    <w:rsid w:val="00E90EF6"/>
    <w:rsid w:val="00E91AC3"/>
    <w:rsid w:val="00E929E5"/>
    <w:rsid w:val="00E92E3C"/>
    <w:rsid w:val="00E92F5E"/>
    <w:rsid w:val="00E94D9E"/>
    <w:rsid w:val="00E95B48"/>
    <w:rsid w:val="00E968ED"/>
    <w:rsid w:val="00E978AB"/>
    <w:rsid w:val="00E978FB"/>
    <w:rsid w:val="00EA0A11"/>
    <w:rsid w:val="00EA131D"/>
    <w:rsid w:val="00EA1EFC"/>
    <w:rsid w:val="00EA2EC3"/>
    <w:rsid w:val="00EA301A"/>
    <w:rsid w:val="00EA326A"/>
    <w:rsid w:val="00EA3826"/>
    <w:rsid w:val="00EA390C"/>
    <w:rsid w:val="00EA3D0A"/>
    <w:rsid w:val="00EA46E4"/>
    <w:rsid w:val="00EA56B4"/>
    <w:rsid w:val="00EA6576"/>
    <w:rsid w:val="00EA7FD7"/>
    <w:rsid w:val="00EB0D61"/>
    <w:rsid w:val="00EB0F3E"/>
    <w:rsid w:val="00EB10C2"/>
    <w:rsid w:val="00EB2216"/>
    <w:rsid w:val="00EB362B"/>
    <w:rsid w:val="00EB3837"/>
    <w:rsid w:val="00EB3F3E"/>
    <w:rsid w:val="00EB45F8"/>
    <w:rsid w:val="00EB4B1F"/>
    <w:rsid w:val="00EB52FC"/>
    <w:rsid w:val="00EB60C6"/>
    <w:rsid w:val="00EB6834"/>
    <w:rsid w:val="00EB6F3C"/>
    <w:rsid w:val="00EC0065"/>
    <w:rsid w:val="00EC0F72"/>
    <w:rsid w:val="00EC4585"/>
    <w:rsid w:val="00EC486D"/>
    <w:rsid w:val="00EC5BBD"/>
    <w:rsid w:val="00EC65B6"/>
    <w:rsid w:val="00EC695A"/>
    <w:rsid w:val="00EC6F49"/>
    <w:rsid w:val="00ED0047"/>
    <w:rsid w:val="00ED03DD"/>
    <w:rsid w:val="00ED0C21"/>
    <w:rsid w:val="00ED0DDF"/>
    <w:rsid w:val="00ED152F"/>
    <w:rsid w:val="00ED178E"/>
    <w:rsid w:val="00ED255B"/>
    <w:rsid w:val="00ED3849"/>
    <w:rsid w:val="00ED3B72"/>
    <w:rsid w:val="00ED4C31"/>
    <w:rsid w:val="00ED5318"/>
    <w:rsid w:val="00ED575B"/>
    <w:rsid w:val="00ED5A74"/>
    <w:rsid w:val="00ED692C"/>
    <w:rsid w:val="00ED6BE5"/>
    <w:rsid w:val="00EE003F"/>
    <w:rsid w:val="00EE2625"/>
    <w:rsid w:val="00EE34C5"/>
    <w:rsid w:val="00EE3649"/>
    <w:rsid w:val="00EE5135"/>
    <w:rsid w:val="00EE72CD"/>
    <w:rsid w:val="00EF314D"/>
    <w:rsid w:val="00EF3268"/>
    <w:rsid w:val="00EF45C0"/>
    <w:rsid w:val="00EF46BE"/>
    <w:rsid w:val="00EF4D93"/>
    <w:rsid w:val="00EF5111"/>
    <w:rsid w:val="00EF5A1A"/>
    <w:rsid w:val="00EF6CC4"/>
    <w:rsid w:val="00EF6DFB"/>
    <w:rsid w:val="00EF7522"/>
    <w:rsid w:val="00EF775B"/>
    <w:rsid w:val="00EF78DB"/>
    <w:rsid w:val="00F00A86"/>
    <w:rsid w:val="00F014CC"/>
    <w:rsid w:val="00F02530"/>
    <w:rsid w:val="00F02C71"/>
    <w:rsid w:val="00F02C8B"/>
    <w:rsid w:val="00F0354C"/>
    <w:rsid w:val="00F0520E"/>
    <w:rsid w:val="00F05A0D"/>
    <w:rsid w:val="00F07128"/>
    <w:rsid w:val="00F073C2"/>
    <w:rsid w:val="00F07538"/>
    <w:rsid w:val="00F11151"/>
    <w:rsid w:val="00F11834"/>
    <w:rsid w:val="00F126BD"/>
    <w:rsid w:val="00F13149"/>
    <w:rsid w:val="00F1502C"/>
    <w:rsid w:val="00F157BF"/>
    <w:rsid w:val="00F16500"/>
    <w:rsid w:val="00F16B34"/>
    <w:rsid w:val="00F17960"/>
    <w:rsid w:val="00F17983"/>
    <w:rsid w:val="00F17EE7"/>
    <w:rsid w:val="00F21B2A"/>
    <w:rsid w:val="00F22A3C"/>
    <w:rsid w:val="00F22AD8"/>
    <w:rsid w:val="00F233D1"/>
    <w:rsid w:val="00F2449A"/>
    <w:rsid w:val="00F24C1A"/>
    <w:rsid w:val="00F258FB"/>
    <w:rsid w:val="00F26A3A"/>
    <w:rsid w:val="00F31154"/>
    <w:rsid w:val="00F3143F"/>
    <w:rsid w:val="00F31498"/>
    <w:rsid w:val="00F31A26"/>
    <w:rsid w:val="00F3215E"/>
    <w:rsid w:val="00F32666"/>
    <w:rsid w:val="00F333A0"/>
    <w:rsid w:val="00F33751"/>
    <w:rsid w:val="00F33D5A"/>
    <w:rsid w:val="00F33E9C"/>
    <w:rsid w:val="00F355D6"/>
    <w:rsid w:val="00F3644F"/>
    <w:rsid w:val="00F372E0"/>
    <w:rsid w:val="00F37362"/>
    <w:rsid w:val="00F40EAC"/>
    <w:rsid w:val="00F4142C"/>
    <w:rsid w:val="00F427D9"/>
    <w:rsid w:val="00F43F20"/>
    <w:rsid w:val="00F440CE"/>
    <w:rsid w:val="00F46B08"/>
    <w:rsid w:val="00F47C18"/>
    <w:rsid w:val="00F50140"/>
    <w:rsid w:val="00F502F6"/>
    <w:rsid w:val="00F521D0"/>
    <w:rsid w:val="00F52B09"/>
    <w:rsid w:val="00F5351C"/>
    <w:rsid w:val="00F53DD4"/>
    <w:rsid w:val="00F567C9"/>
    <w:rsid w:val="00F57E3E"/>
    <w:rsid w:val="00F61307"/>
    <w:rsid w:val="00F61829"/>
    <w:rsid w:val="00F61FE9"/>
    <w:rsid w:val="00F640FC"/>
    <w:rsid w:val="00F66106"/>
    <w:rsid w:val="00F66638"/>
    <w:rsid w:val="00F70196"/>
    <w:rsid w:val="00F70702"/>
    <w:rsid w:val="00F717B5"/>
    <w:rsid w:val="00F71E2E"/>
    <w:rsid w:val="00F71F18"/>
    <w:rsid w:val="00F72E45"/>
    <w:rsid w:val="00F75A5F"/>
    <w:rsid w:val="00F75ED5"/>
    <w:rsid w:val="00F75F90"/>
    <w:rsid w:val="00F769FB"/>
    <w:rsid w:val="00F76B37"/>
    <w:rsid w:val="00F77E29"/>
    <w:rsid w:val="00F804D5"/>
    <w:rsid w:val="00F81DAE"/>
    <w:rsid w:val="00F81DFA"/>
    <w:rsid w:val="00F82182"/>
    <w:rsid w:val="00F82A60"/>
    <w:rsid w:val="00F83FD3"/>
    <w:rsid w:val="00F84585"/>
    <w:rsid w:val="00F851D3"/>
    <w:rsid w:val="00F86FEF"/>
    <w:rsid w:val="00F8725D"/>
    <w:rsid w:val="00F900B2"/>
    <w:rsid w:val="00F909FB"/>
    <w:rsid w:val="00F922AA"/>
    <w:rsid w:val="00F93838"/>
    <w:rsid w:val="00F9423E"/>
    <w:rsid w:val="00F95663"/>
    <w:rsid w:val="00F95AD0"/>
    <w:rsid w:val="00F95D18"/>
    <w:rsid w:val="00F975BA"/>
    <w:rsid w:val="00FA15CD"/>
    <w:rsid w:val="00FA15EC"/>
    <w:rsid w:val="00FA18C9"/>
    <w:rsid w:val="00FA238A"/>
    <w:rsid w:val="00FA23FB"/>
    <w:rsid w:val="00FA38BF"/>
    <w:rsid w:val="00FA3950"/>
    <w:rsid w:val="00FA4F80"/>
    <w:rsid w:val="00FA56B5"/>
    <w:rsid w:val="00FA65F7"/>
    <w:rsid w:val="00FA6DD8"/>
    <w:rsid w:val="00FA74DC"/>
    <w:rsid w:val="00FA76F7"/>
    <w:rsid w:val="00FA7D40"/>
    <w:rsid w:val="00FA7ED2"/>
    <w:rsid w:val="00FB24F8"/>
    <w:rsid w:val="00FB25AA"/>
    <w:rsid w:val="00FB2C83"/>
    <w:rsid w:val="00FB2F5C"/>
    <w:rsid w:val="00FB31ED"/>
    <w:rsid w:val="00FB3701"/>
    <w:rsid w:val="00FB4334"/>
    <w:rsid w:val="00FB4720"/>
    <w:rsid w:val="00FB50FB"/>
    <w:rsid w:val="00FB5CC4"/>
    <w:rsid w:val="00FB6449"/>
    <w:rsid w:val="00FB6EE6"/>
    <w:rsid w:val="00FB7F1A"/>
    <w:rsid w:val="00FC191B"/>
    <w:rsid w:val="00FC1A96"/>
    <w:rsid w:val="00FC221C"/>
    <w:rsid w:val="00FC251F"/>
    <w:rsid w:val="00FC25D7"/>
    <w:rsid w:val="00FC2B27"/>
    <w:rsid w:val="00FC2B6E"/>
    <w:rsid w:val="00FC4976"/>
    <w:rsid w:val="00FC588C"/>
    <w:rsid w:val="00FC5AB0"/>
    <w:rsid w:val="00FC5E61"/>
    <w:rsid w:val="00FC681F"/>
    <w:rsid w:val="00FC6E51"/>
    <w:rsid w:val="00FC7C3A"/>
    <w:rsid w:val="00FD120E"/>
    <w:rsid w:val="00FD18D7"/>
    <w:rsid w:val="00FD588B"/>
    <w:rsid w:val="00FD5BCD"/>
    <w:rsid w:val="00FD5DB7"/>
    <w:rsid w:val="00FD5DF4"/>
    <w:rsid w:val="00FD7D33"/>
    <w:rsid w:val="00FE0A35"/>
    <w:rsid w:val="00FE1B76"/>
    <w:rsid w:val="00FE1BDE"/>
    <w:rsid w:val="00FE2579"/>
    <w:rsid w:val="00FE2F08"/>
    <w:rsid w:val="00FE3B5B"/>
    <w:rsid w:val="00FE4B98"/>
    <w:rsid w:val="00FE5C73"/>
    <w:rsid w:val="00FE6F27"/>
    <w:rsid w:val="00FE7733"/>
    <w:rsid w:val="00FE78BD"/>
    <w:rsid w:val="00FE79D2"/>
    <w:rsid w:val="00FF065C"/>
    <w:rsid w:val="00FF1184"/>
    <w:rsid w:val="00FF1870"/>
    <w:rsid w:val="00FF25D6"/>
    <w:rsid w:val="00FF40C0"/>
    <w:rsid w:val="00FF4C3A"/>
    <w:rsid w:val="00FF4EBE"/>
    <w:rsid w:val="00FF512A"/>
    <w:rsid w:val="00FF591C"/>
    <w:rsid w:val="00FF5D18"/>
    <w:rsid w:val="00FF693D"/>
    <w:rsid w:val="00FF7673"/>
    <w:rsid w:val="00FF777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6983F"/>
  <w15:chartTrackingRefBased/>
  <w15:docId w15:val="{92E9CC77-9BBB-47CB-8C93-36EA01E5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B12"/>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semiHidden/>
    <w:unhideWhenUsed/>
    <w:rsid w:val="00A96B21"/>
    <w:rPr>
      <w:sz w:val="20"/>
      <w:szCs w:val="20"/>
    </w:rPr>
  </w:style>
  <w:style w:type="character" w:customStyle="1" w:styleId="FootnoteTextChar">
    <w:name w:val="Footnote Text Char"/>
    <w:basedOn w:val="DefaultParagraphFont"/>
    <w:link w:val="FootnoteText"/>
    <w:uiPriority w:val="99"/>
    <w:semiHidden/>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semiHidden/>
    <w:unhideWhenUsed/>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F31A26"/>
    <w:pPr>
      <w:numPr>
        <w:numId w:val="2"/>
      </w:numPr>
      <w:tabs>
        <w:tab w:val="left" w:pos="1134"/>
      </w:tabs>
      <w:spacing w:before="120" w:after="120"/>
      <w:ind w:left="567" w:firstLine="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1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basedOn w:val="DefaultParagraphFont"/>
    <w:uiPriority w:val="99"/>
    <w:unhideWhenUsed/>
    <w:rsid w:val="00286DED"/>
    <w:rPr>
      <w:color w:val="0563C1" w:themeColor="hyperlink"/>
      <w:u w:val="single"/>
    </w:rPr>
  </w:style>
  <w:style w:type="character" w:styleId="UnresolvedMention">
    <w:name w:val="Unresolved Mention"/>
    <w:basedOn w:val="DefaultParagraphFont"/>
    <w:uiPriority w:val="99"/>
    <w:semiHidden/>
    <w:unhideWhenUsed/>
    <w:rsid w:val="00286DED"/>
    <w:rPr>
      <w:color w:val="605E5C"/>
      <w:shd w:val="clear" w:color="auto" w:fill="E1DFDD"/>
    </w:rPr>
  </w:style>
  <w:style w:type="paragraph" w:styleId="ListParagraph">
    <w:name w:val="List Paragraph"/>
    <w:basedOn w:val="Normal"/>
    <w:uiPriority w:val="1"/>
    <w:qFormat/>
    <w:rsid w:val="00185F6E"/>
    <w:pPr>
      <w:ind w:left="720"/>
      <w:contextualSpacing/>
    </w:pPr>
  </w:style>
  <w:style w:type="character" w:styleId="FollowedHyperlink">
    <w:name w:val="FollowedHyperlink"/>
    <w:basedOn w:val="DefaultParagraphFont"/>
    <w:uiPriority w:val="99"/>
    <w:semiHidden/>
    <w:unhideWhenUsed/>
    <w:rsid w:val="00CC1579"/>
    <w:rPr>
      <w:color w:val="954F72" w:themeColor="followedHyperlink"/>
      <w:u w:val="single"/>
    </w:rPr>
  </w:style>
  <w:style w:type="table" w:customStyle="1" w:styleId="TableGrid2">
    <w:name w:val="Table Grid2"/>
    <w:basedOn w:val="TableNormal"/>
    <w:next w:val="TableGrid"/>
    <w:uiPriority w:val="39"/>
    <w:rsid w:val="00BA0F90"/>
    <w:pPr>
      <w:spacing w:after="0" w:line="240" w:lineRule="auto"/>
    </w:pPr>
    <w:rPr>
      <w:rFonts w:eastAsia="DengXian"/>
      <w:kern w:val="0"/>
      <w:lang w:val="en-US"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4571"/>
    <w:pPr>
      <w:spacing w:after="0" w:line="240" w:lineRule="auto"/>
    </w:pPr>
    <w:rPr>
      <w:rFonts w:ascii="Times New Roman" w:eastAsia="Times New Roman" w:hAnsi="Times New Roman" w:cs="Times New Roman"/>
      <w:kern w:val="0"/>
      <w:szCs w:val="24"/>
      <w:lang w:val="en-GB"/>
      <w14:ligatures w14:val="none"/>
    </w:rPr>
  </w:style>
  <w:style w:type="paragraph" w:customStyle="1" w:styleId="pf0">
    <w:name w:val="pf0"/>
    <w:basedOn w:val="Normal"/>
    <w:rsid w:val="00F33751"/>
    <w:pPr>
      <w:spacing w:before="100" w:beforeAutospacing="1" w:after="100" w:afterAutospacing="1"/>
      <w:jc w:val="left"/>
    </w:pPr>
    <w:rPr>
      <w:sz w:val="24"/>
      <w:lang w:val="en-US" w:eastAsia="zh-CN"/>
    </w:rPr>
  </w:style>
  <w:style w:type="character" w:customStyle="1" w:styleId="cf01">
    <w:name w:val="cf01"/>
    <w:basedOn w:val="DefaultParagraphFont"/>
    <w:rsid w:val="00F33751"/>
    <w:rPr>
      <w:rFonts w:ascii="Segoe UI" w:hAnsi="Segoe UI" w:cs="Segoe UI" w:hint="default"/>
      <w:i/>
      <w:iCs/>
      <w:sz w:val="18"/>
      <w:szCs w:val="18"/>
    </w:rPr>
  </w:style>
  <w:style w:type="paragraph" w:customStyle="1" w:styleId="SingleTxt">
    <w:name w:val="__Single Txt"/>
    <w:basedOn w:val="Normal"/>
    <w:rsid w:val="00E172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eastAsiaTheme="minorHAnsi"/>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5365">
      <w:bodyDiv w:val="1"/>
      <w:marLeft w:val="0"/>
      <w:marRight w:val="0"/>
      <w:marTop w:val="0"/>
      <w:marBottom w:val="0"/>
      <w:divBdr>
        <w:top w:val="none" w:sz="0" w:space="0" w:color="auto"/>
        <w:left w:val="none" w:sz="0" w:space="0" w:color="auto"/>
        <w:bottom w:val="none" w:sz="0" w:space="0" w:color="auto"/>
        <w:right w:val="none" w:sz="0" w:space="0" w:color="auto"/>
      </w:divBdr>
    </w:div>
    <w:div w:id="43987739">
      <w:bodyDiv w:val="1"/>
      <w:marLeft w:val="0"/>
      <w:marRight w:val="0"/>
      <w:marTop w:val="0"/>
      <w:marBottom w:val="0"/>
      <w:divBdr>
        <w:top w:val="none" w:sz="0" w:space="0" w:color="auto"/>
        <w:left w:val="none" w:sz="0" w:space="0" w:color="auto"/>
        <w:bottom w:val="none" w:sz="0" w:space="0" w:color="auto"/>
        <w:right w:val="none" w:sz="0" w:space="0" w:color="auto"/>
      </w:divBdr>
    </w:div>
    <w:div w:id="156503901">
      <w:bodyDiv w:val="1"/>
      <w:marLeft w:val="0"/>
      <w:marRight w:val="0"/>
      <w:marTop w:val="0"/>
      <w:marBottom w:val="0"/>
      <w:divBdr>
        <w:top w:val="none" w:sz="0" w:space="0" w:color="auto"/>
        <w:left w:val="none" w:sz="0" w:space="0" w:color="auto"/>
        <w:bottom w:val="none" w:sz="0" w:space="0" w:color="auto"/>
        <w:right w:val="none" w:sz="0" w:space="0" w:color="auto"/>
      </w:divBdr>
    </w:div>
    <w:div w:id="177307443">
      <w:bodyDiv w:val="1"/>
      <w:marLeft w:val="0"/>
      <w:marRight w:val="0"/>
      <w:marTop w:val="0"/>
      <w:marBottom w:val="0"/>
      <w:divBdr>
        <w:top w:val="none" w:sz="0" w:space="0" w:color="auto"/>
        <w:left w:val="none" w:sz="0" w:space="0" w:color="auto"/>
        <w:bottom w:val="none" w:sz="0" w:space="0" w:color="auto"/>
        <w:right w:val="none" w:sz="0" w:space="0" w:color="auto"/>
      </w:divBdr>
    </w:div>
    <w:div w:id="404038405">
      <w:bodyDiv w:val="1"/>
      <w:marLeft w:val="0"/>
      <w:marRight w:val="0"/>
      <w:marTop w:val="0"/>
      <w:marBottom w:val="0"/>
      <w:divBdr>
        <w:top w:val="none" w:sz="0" w:space="0" w:color="auto"/>
        <w:left w:val="none" w:sz="0" w:space="0" w:color="auto"/>
        <w:bottom w:val="none" w:sz="0" w:space="0" w:color="auto"/>
        <w:right w:val="none" w:sz="0" w:space="0" w:color="auto"/>
      </w:divBdr>
    </w:div>
    <w:div w:id="406196874">
      <w:bodyDiv w:val="1"/>
      <w:marLeft w:val="0"/>
      <w:marRight w:val="0"/>
      <w:marTop w:val="0"/>
      <w:marBottom w:val="0"/>
      <w:divBdr>
        <w:top w:val="none" w:sz="0" w:space="0" w:color="auto"/>
        <w:left w:val="none" w:sz="0" w:space="0" w:color="auto"/>
        <w:bottom w:val="none" w:sz="0" w:space="0" w:color="auto"/>
        <w:right w:val="none" w:sz="0" w:space="0" w:color="auto"/>
      </w:divBdr>
    </w:div>
    <w:div w:id="674839218">
      <w:bodyDiv w:val="1"/>
      <w:marLeft w:val="0"/>
      <w:marRight w:val="0"/>
      <w:marTop w:val="0"/>
      <w:marBottom w:val="0"/>
      <w:divBdr>
        <w:top w:val="none" w:sz="0" w:space="0" w:color="auto"/>
        <w:left w:val="none" w:sz="0" w:space="0" w:color="auto"/>
        <w:bottom w:val="none" w:sz="0" w:space="0" w:color="auto"/>
        <w:right w:val="none" w:sz="0" w:space="0" w:color="auto"/>
      </w:divBdr>
    </w:div>
    <w:div w:id="761417618">
      <w:bodyDiv w:val="1"/>
      <w:marLeft w:val="0"/>
      <w:marRight w:val="0"/>
      <w:marTop w:val="0"/>
      <w:marBottom w:val="0"/>
      <w:divBdr>
        <w:top w:val="none" w:sz="0" w:space="0" w:color="auto"/>
        <w:left w:val="none" w:sz="0" w:space="0" w:color="auto"/>
        <w:bottom w:val="none" w:sz="0" w:space="0" w:color="auto"/>
        <w:right w:val="none" w:sz="0" w:space="0" w:color="auto"/>
      </w:divBdr>
    </w:div>
    <w:div w:id="770668795">
      <w:bodyDiv w:val="1"/>
      <w:marLeft w:val="0"/>
      <w:marRight w:val="0"/>
      <w:marTop w:val="0"/>
      <w:marBottom w:val="0"/>
      <w:divBdr>
        <w:top w:val="none" w:sz="0" w:space="0" w:color="auto"/>
        <w:left w:val="none" w:sz="0" w:space="0" w:color="auto"/>
        <w:bottom w:val="none" w:sz="0" w:space="0" w:color="auto"/>
        <w:right w:val="none" w:sz="0" w:space="0" w:color="auto"/>
      </w:divBdr>
    </w:div>
    <w:div w:id="1121191739">
      <w:bodyDiv w:val="1"/>
      <w:marLeft w:val="0"/>
      <w:marRight w:val="0"/>
      <w:marTop w:val="0"/>
      <w:marBottom w:val="0"/>
      <w:divBdr>
        <w:top w:val="none" w:sz="0" w:space="0" w:color="auto"/>
        <w:left w:val="none" w:sz="0" w:space="0" w:color="auto"/>
        <w:bottom w:val="none" w:sz="0" w:space="0" w:color="auto"/>
        <w:right w:val="none" w:sz="0" w:space="0" w:color="auto"/>
      </w:divBdr>
    </w:div>
    <w:div w:id="1320109461">
      <w:bodyDiv w:val="1"/>
      <w:marLeft w:val="0"/>
      <w:marRight w:val="0"/>
      <w:marTop w:val="0"/>
      <w:marBottom w:val="0"/>
      <w:divBdr>
        <w:top w:val="none" w:sz="0" w:space="0" w:color="auto"/>
        <w:left w:val="none" w:sz="0" w:space="0" w:color="auto"/>
        <w:bottom w:val="none" w:sz="0" w:space="0" w:color="auto"/>
        <w:right w:val="none" w:sz="0" w:space="0" w:color="auto"/>
      </w:divBdr>
    </w:div>
    <w:div w:id="1508328707">
      <w:bodyDiv w:val="1"/>
      <w:marLeft w:val="0"/>
      <w:marRight w:val="0"/>
      <w:marTop w:val="0"/>
      <w:marBottom w:val="0"/>
      <w:divBdr>
        <w:top w:val="none" w:sz="0" w:space="0" w:color="auto"/>
        <w:left w:val="none" w:sz="0" w:space="0" w:color="auto"/>
        <w:bottom w:val="none" w:sz="0" w:space="0" w:color="auto"/>
        <w:right w:val="none" w:sz="0" w:space="0" w:color="auto"/>
      </w:divBdr>
    </w:div>
    <w:div w:id="1762481718">
      <w:bodyDiv w:val="1"/>
      <w:marLeft w:val="0"/>
      <w:marRight w:val="0"/>
      <w:marTop w:val="0"/>
      <w:marBottom w:val="0"/>
      <w:divBdr>
        <w:top w:val="none" w:sz="0" w:space="0" w:color="auto"/>
        <w:left w:val="none" w:sz="0" w:space="0" w:color="auto"/>
        <w:bottom w:val="none" w:sz="0" w:space="0" w:color="auto"/>
        <w:right w:val="none" w:sz="0" w:space="0" w:color="auto"/>
      </w:divBdr>
    </w:div>
    <w:div w:id="1823964622">
      <w:bodyDiv w:val="1"/>
      <w:marLeft w:val="0"/>
      <w:marRight w:val="0"/>
      <w:marTop w:val="0"/>
      <w:marBottom w:val="0"/>
      <w:divBdr>
        <w:top w:val="none" w:sz="0" w:space="0" w:color="auto"/>
        <w:left w:val="none" w:sz="0" w:space="0" w:color="auto"/>
        <w:bottom w:val="none" w:sz="0" w:space="0" w:color="auto"/>
        <w:right w:val="none" w:sz="0" w:space="0" w:color="auto"/>
      </w:divBdr>
    </w:div>
    <w:div w:id="2002922817">
      <w:bodyDiv w:val="1"/>
      <w:marLeft w:val="0"/>
      <w:marRight w:val="0"/>
      <w:marTop w:val="0"/>
      <w:marBottom w:val="0"/>
      <w:divBdr>
        <w:top w:val="none" w:sz="0" w:space="0" w:color="auto"/>
        <w:left w:val="none" w:sz="0" w:space="0" w:color="auto"/>
        <w:bottom w:val="none" w:sz="0" w:space="0" w:color="auto"/>
        <w:right w:val="none" w:sz="0" w:space="0" w:color="auto"/>
      </w:divBdr>
    </w:div>
    <w:div w:id="2084981877">
      <w:bodyDiv w:val="1"/>
      <w:marLeft w:val="0"/>
      <w:marRight w:val="0"/>
      <w:marTop w:val="0"/>
      <w:marBottom w:val="0"/>
      <w:divBdr>
        <w:top w:val="none" w:sz="0" w:space="0" w:color="auto"/>
        <w:left w:val="none" w:sz="0" w:space="0" w:color="auto"/>
        <w:bottom w:val="none" w:sz="0" w:space="0" w:color="auto"/>
        <w:right w:val="none" w:sz="0" w:space="0" w:color="auto"/>
      </w:divBdr>
    </w:div>
    <w:div w:id="2089571262">
      <w:bodyDiv w:val="1"/>
      <w:marLeft w:val="0"/>
      <w:marRight w:val="0"/>
      <w:marTop w:val="0"/>
      <w:marBottom w:val="0"/>
      <w:divBdr>
        <w:top w:val="none" w:sz="0" w:space="0" w:color="auto"/>
        <w:left w:val="none" w:sz="0" w:space="0" w:color="auto"/>
        <w:bottom w:val="none" w:sz="0" w:space="0" w:color="auto"/>
        <w:right w:val="none" w:sz="0" w:space="0" w:color="auto"/>
      </w:divBdr>
    </w:div>
    <w:div w:id="209315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cbd.int/doc/c/146e/86c8/a2f01672d645169219c144f8/fm-teg-2023-01-02-en.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bd.int/doc/c/146e/86c8/a2f01672d645169219c144f8/fm-teg-2023-01-02-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d.int/doc/c/5279/6dcd/530f7fa7496792fb87412845/fm-teg-2023-01-01-add1-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bd.int/doc/c/146e/86c8/a2f01672d645169219c144f8/fm-teg-2023-01-02-e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hm.cbd.int/search/reporting-map?filter=resourceMobilisation" TargetMode="External"/><Relationship Id="rId1" Type="http://schemas.openxmlformats.org/officeDocument/2006/relationships/hyperlink" Target="https://www.cbd.int/doc/c/f22d/ab58/236acdd54779ab58b97aecf1/ind-ahteg-2023-03-02-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lherme.patury\Downloads\template-general%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74F26E14614BC5B6C202D6AA72BA76"/>
        <w:category>
          <w:name w:val="General"/>
          <w:gallery w:val="placeholder"/>
        </w:category>
        <w:types>
          <w:type w:val="bbPlcHdr"/>
        </w:types>
        <w:behaviors>
          <w:behavior w:val="content"/>
        </w:behaviors>
        <w:guid w:val="{DA393028-0F58-4B8B-B953-9CB2E87D94A6}"/>
      </w:docPartPr>
      <w:docPartBody>
        <w:p w:rsidR="002B2941" w:rsidRDefault="007D00C2">
          <w:pPr>
            <w:pStyle w:val="5974F26E14614BC5B6C202D6AA72BA76"/>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panose1 w:val="02020803070505020304"/>
    <w:charset w:val="00"/>
    <w:family w:val="roman"/>
    <w:notTrueType/>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C1"/>
    <w:rsid w:val="000F2F63"/>
    <w:rsid w:val="000F64E0"/>
    <w:rsid w:val="00152A8F"/>
    <w:rsid w:val="001846F5"/>
    <w:rsid w:val="00237350"/>
    <w:rsid w:val="002B2941"/>
    <w:rsid w:val="00343E0F"/>
    <w:rsid w:val="004B00BD"/>
    <w:rsid w:val="004E3A6A"/>
    <w:rsid w:val="0055043D"/>
    <w:rsid w:val="005F41C8"/>
    <w:rsid w:val="006D7BE3"/>
    <w:rsid w:val="007D00C2"/>
    <w:rsid w:val="007D7490"/>
    <w:rsid w:val="007E5C33"/>
    <w:rsid w:val="0085444E"/>
    <w:rsid w:val="008C3606"/>
    <w:rsid w:val="00C207ED"/>
    <w:rsid w:val="00EC53C1"/>
    <w:rsid w:val="00F45307"/>
    <w:rsid w:val="00FC0D6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974F26E14614BC5B6C202D6AA72BA76">
    <w:name w:val="5974F26E14614BC5B6C202D6AA72BA76"/>
    <w:pPr>
      <w:spacing w:line="278" w:lineRule="auto"/>
    </w:pPr>
    <w:rPr>
      <w:sz w:val="24"/>
      <w:szCs w:val="24"/>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5C045-B28A-415B-BB88-1E35DFE1E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61236-FCE9-4213-8DD3-BB7C9227E6AD}">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template-general (1).dotm</Template>
  <TotalTime>9</TotalTime>
  <Pages>16</Pages>
  <Words>6178</Words>
  <Characters>35218</Characters>
  <Application>Microsoft Office Word</Application>
  <DocSecurity>0</DocSecurity>
  <Lines>293</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of the Technical Expert Group on Financial Reporting on its first meeting</vt:lpstr>
      <vt:lpstr>Report of the first meeting of the Technical Expert Group on Financial Reporting</vt:lpstr>
    </vt:vector>
  </TitlesOfParts>
  <Company/>
  <LinksUpToDate>false</LinksUpToDate>
  <CharactersWithSpaces>41314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Technical Expert Group on Financial Reporting on its first meeting</dc:title>
  <dc:subject>CBD/FM/TEG/2023/1/3</dc:subject>
  <dc:creator>guilherme.patury</dc:creator>
  <cp:keywords/>
  <dc:description/>
  <cp:lastModifiedBy>Veronique Lefebvre</cp:lastModifiedBy>
  <cp:revision>12</cp:revision>
  <cp:lastPrinted>2024-01-09T10:58:00Z</cp:lastPrinted>
  <dcterms:created xsi:type="dcterms:W3CDTF">2024-02-22T21:47:00Z</dcterms:created>
  <dcterms:modified xsi:type="dcterms:W3CDTF">2024-02-22T21:56:00Z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